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0DE54">
      <w:pPr>
        <w:spacing w:line="400" w:lineRule="exact"/>
        <w:jc w:val="center"/>
        <w:rPr>
          <w:highlight w:val="none"/>
        </w:rPr>
      </w:pPr>
    </w:p>
    <w:p w14:paraId="614C128D">
      <w:pPr>
        <w:spacing w:line="400" w:lineRule="exact"/>
        <w:jc w:val="center"/>
        <w:rPr>
          <w:highlight w:val="none"/>
        </w:rPr>
      </w:pPr>
    </w:p>
    <w:p w14:paraId="61940193">
      <w:pPr>
        <w:spacing w:line="400" w:lineRule="exact"/>
        <w:jc w:val="center"/>
        <w:rPr>
          <w:highlight w:val="none"/>
        </w:rPr>
      </w:pPr>
    </w:p>
    <w:p w14:paraId="2BF5780D">
      <w:pPr>
        <w:spacing w:line="600" w:lineRule="auto"/>
        <w:jc w:val="center"/>
        <w:rPr>
          <w:rFonts w:hint="eastAsia" w:ascii="宋体" w:hAnsi="宋体" w:cs="宋体"/>
          <w:b/>
          <w:kern w:val="0"/>
          <w:sz w:val="44"/>
          <w:szCs w:val="44"/>
          <w:highlight w:val="none"/>
        </w:rPr>
      </w:pPr>
      <w:r>
        <w:rPr>
          <w:rFonts w:hint="eastAsia" w:ascii="宋体" w:hAnsi="宋体" w:cs="宋体"/>
          <w:b/>
          <w:kern w:val="0"/>
          <w:sz w:val="44"/>
          <w:szCs w:val="44"/>
          <w:highlight w:val="none"/>
        </w:rPr>
        <w:t>夏港街立体公共停车场建设项目设计施工总承包</w:t>
      </w:r>
    </w:p>
    <w:p w14:paraId="489EE621">
      <w:pPr>
        <w:pStyle w:val="171"/>
        <w:rPr>
          <w:rFonts w:hint="eastAsia" w:ascii="宋体" w:hAnsi="宋体" w:cs="宋体"/>
          <w:highlight w:val="none"/>
        </w:rPr>
      </w:pPr>
    </w:p>
    <w:p w14:paraId="0E416838">
      <w:pPr>
        <w:pStyle w:val="171"/>
        <w:rPr>
          <w:rFonts w:hint="eastAsia" w:ascii="宋体" w:hAnsi="宋体" w:cs="宋体"/>
          <w:highlight w:val="none"/>
        </w:rPr>
      </w:pPr>
    </w:p>
    <w:p w14:paraId="1C6FDA78">
      <w:pPr>
        <w:pStyle w:val="171"/>
        <w:rPr>
          <w:rFonts w:hint="eastAsia" w:ascii="宋体" w:hAnsi="宋体" w:cs="宋体"/>
          <w:highlight w:val="none"/>
        </w:rPr>
      </w:pPr>
    </w:p>
    <w:p w14:paraId="6CF81FBE">
      <w:pPr>
        <w:pStyle w:val="171"/>
        <w:rPr>
          <w:rFonts w:hint="eastAsia" w:ascii="宋体" w:hAnsi="宋体" w:cs="宋体"/>
          <w:highlight w:val="none"/>
        </w:rPr>
      </w:pPr>
    </w:p>
    <w:p w14:paraId="3CCAF978">
      <w:pPr>
        <w:pStyle w:val="171"/>
        <w:rPr>
          <w:rFonts w:hint="eastAsia" w:ascii="宋体" w:hAnsi="宋体" w:cs="宋体"/>
          <w:highlight w:val="none"/>
        </w:rPr>
      </w:pPr>
    </w:p>
    <w:p w14:paraId="3D3EE73A">
      <w:pPr>
        <w:pStyle w:val="171"/>
        <w:rPr>
          <w:rFonts w:hint="eastAsia" w:ascii="宋体" w:hAnsi="宋体" w:cs="宋体"/>
          <w:highlight w:val="none"/>
        </w:rPr>
      </w:pPr>
    </w:p>
    <w:p w14:paraId="0085DCFC">
      <w:pPr>
        <w:rPr>
          <w:rFonts w:hint="eastAsia" w:ascii="宋体" w:hAnsi="宋体" w:cs="宋体"/>
          <w:highlight w:val="none"/>
        </w:rPr>
      </w:pPr>
    </w:p>
    <w:p w14:paraId="3C356A9A">
      <w:pPr>
        <w:jc w:val="center"/>
        <w:rPr>
          <w:rFonts w:hint="eastAsia" w:ascii="宋体" w:hAnsi="宋体" w:cs="宋体"/>
          <w:b/>
          <w:sz w:val="72"/>
          <w:szCs w:val="72"/>
          <w:highlight w:val="none"/>
        </w:rPr>
      </w:pPr>
      <w:r>
        <w:rPr>
          <w:rFonts w:hint="eastAsia" w:ascii="宋体" w:hAnsi="宋体" w:cs="宋体"/>
          <w:b/>
          <w:sz w:val="72"/>
          <w:szCs w:val="72"/>
          <w:highlight w:val="none"/>
        </w:rPr>
        <w:t>招 标 文 件</w:t>
      </w:r>
    </w:p>
    <w:p w14:paraId="09731AD0">
      <w:pPr>
        <w:rPr>
          <w:rFonts w:hint="eastAsia" w:ascii="宋体" w:hAnsi="宋体" w:cs="宋体"/>
          <w:sz w:val="32"/>
          <w:szCs w:val="32"/>
          <w:highlight w:val="none"/>
        </w:rPr>
      </w:pPr>
    </w:p>
    <w:p w14:paraId="73F9A94A">
      <w:pPr>
        <w:spacing w:line="400" w:lineRule="exact"/>
        <w:jc w:val="center"/>
        <w:rPr>
          <w:rFonts w:hint="eastAsia" w:ascii="宋体" w:hAnsi="宋体" w:cs="宋体"/>
          <w:b/>
          <w:spacing w:val="-20"/>
          <w:sz w:val="72"/>
          <w:szCs w:val="72"/>
          <w:highlight w:val="none"/>
        </w:rPr>
      </w:pPr>
    </w:p>
    <w:p w14:paraId="07DAFE84">
      <w:pPr>
        <w:spacing w:line="400" w:lineRule="exact"/>
        <w:jc w:val="center"/>
        <w:rPr>
          <w:rFonts w:hint="eastAsia" w:ascii="宋体" w:hAnsi="宋体" w:cs="宋体"/>
          <w:highlight w:val="none"/>
        </w:rPr>
      </w:pPr>
    </w:p>
    <w:p w14:paraId="2B6807E9">
      <w:pPr>
        <w:spacing w:line="400" w:lineRule="exact"/>
        <w:jc w:val="center"/>
        <w:rPr>
          <w:rFonts w:hint="eastAsia" w:ascii="宋体" w:hAnsi="宋体" w:cs="宋体"/>
          <w:highlight w:val="none"/>
        </w:rPr>
      </w:pPr>
    </w:p>
    <w:p w14:paraId="4CE89A5F">
      <w:pPr>
        <w:spacing w:line="400" w:lineRule="exact"/>
        <w:jc w:val="center"/>
        <w:rPr>
          <w:rFonts w:hint="eastAsia" w:ascii="宋体" w:hAnsi="宋体" w:cs="宋体"/>
          <w:highlight w:val="none"/>
        </w:rPr>
      </w:pPr>
    </w:p>
    <w:p w14:paraId="50B28415">
      <w:pPr>
        <w:spacing w:line="400" w:lineRule="exact"/>
        <w:jc w:val="center"/>
        <w:rPr>
          <w:rFonts w:hint="eastAsia" w:ascii="宋体" w:hAnsi="宋体" w:cs="宋体"/>
          <w:highlight w:val="none"/>
        </w:rPr>
      </w:pPr>
    </w:p>
    <w:p w14:paraId="7A316050">
      <w:pPr>
        <w:spacing w:line="400" w:lineRule="exact"/>
        <w:jc w:val="center"/>
        <w:rPr>
          <w:rFonts w:hint="eastAsia" w:ascii="宋体" w:hAnsi="宋体" w:cs="宋体"/>
          <w:highlight w:val="none"/>
        </w:rPr>
      </w:pPr>
    </w:p>
    <w:p w14:paraId="6FACD206">
      <w:pPr>
        <w:pStyle w:val="171"/>
        <w:rPr>
          <w:rFonts w:hint="eastAsia" w:ascii="宋体" w:hAnsi="宋体" w:cs="宋体"/>
          <w:highlight w:val="none"/>
        </w:rPr>
      </w:pPr>
    </w:p>
    <w:p w14:paraId="7CAB4160">
      <w:pPr>
        <w:spacing w:line="360" w:lineRule="auto"/>
        <w:rPr>
          <w:rFonts w:hint="eastAsia" w:ascii="宋体" w:hAnsi="宋体" w:cs="宋体"/>
          <w:b/>
          <w:bCs/>
          <w:sz w:val="32"/>
          <w:szCs w:val="32"/>
          <w:highlight w:val="none"/>
        </w:rPr>
      </w:pPr>
    </w:p>
    <w:p w14:paraId="14D56EEB">
      <w:pPr>
        <w:pStyle w:val="171"/>
        <w:rPr>
          <w:rFonts w:hint="eastAsia" w:ascii="宋体" w:hAnsi="宋体" w:cs="宋体"/>
          <w:highlight w:val="none"/>
        </w:rPr>
      </w:pPr>
    </w:p>
    <w:p w14:paraId="50EE07C0">
      <w:pPr>
        <w:pStyle w:val="171"/>
        <w:rPr>
          <w:rFonts w:hint="eastAsia" w:ascii="宋体" w:hAnsi="宋体" w:cs="宋体"/>
          <w:highlight w:val="none"/>
        </w:rPr>
      </w:pPr>
    </w:p>
    <w:p w14:paraId="6B29DF7B">
      <w:pPr>
        <w:pStyle w:val="171"/>
        <w:rPr>
          <w:rFonts w:hint="eastAsia" w:ascii="宋体" w:hAnsi="宋体" w:cs="宋体"/>
          <w:highlight w:val="none"/>
        </w:rPr>
      </w:pPr>
    </w:p>
    <w:p w14:paraId="01E0DE57">
      <w:pPr>
        <w:spacing w:line="360" w:lineRule="auto"/>
        <w:ind w:firstLine="1263" w:firstLineChars="393"/>
        <w:rPr>
          <w:rFonts w:hint="eastAsia" w:ascii="宋体" w:hAnsi="宋体" w:cs="宋体"/>
          <w:b/>
          <w:bCs/>
          <w:sz w:val="32"/>
          <w:szCs w:val="32"/>
          <w:highlight w:val="none"/>
        </w:rPr>
      </w:pPr>
      <w:r>
        <w:rPr>
          <w:rFonts w:hint="eastAsia" w:ascii="宋体" w:hAnsi="宋体" w:cs="宋体"/>
          <w:b/>
          <w:bCs/>
          <w:sz w:val="32"/>
          <w:szCs w:val="32"/>
          <w:highlight w:val="none"/>
        </w:rPr>
        <w:t xml:space="preserve">招标单位：广州开发区公共交通站场有限公司 </w:t>
      </w:r>
    </w:p>
    <w:p w14:paraId="5BB0A0A2">
      <w:pPr>
        <w:spacing w:line="360" w:lineRule="auto"/>
        <w:ind w:firstLine="1263" w:firstLineChars="393"/>
        <w:rPr>
          <w:rFonts w:hint="eastAsia" w:ascii="宋体" w:hAnsi="宋体" w:cs="宋体"/>
          <w:b/>
          <w:bCs/>
          <w:sz w:val="32"/>
          <w:szCs w:val="32"/>
          <w:highlight w:val="none"/>
        </w:rPr>
      </w:pPr>
      <w:r>
        <w:rPr>
          <w:rFonts w:hint="eastAsia" w:ascii="宋体" w:hAnsi="宋体" w:cs="宋体"/>
          <w:b/>
          <w:bCs/>
          <w:sz w:val="32"/>
          <w:szCs w:val="32"/>
          <w:highlight w:val="none"/>
        </w:rPr>
        <w:t xml:space="preserve">招标代理机构：广东省广大工程顾问有限公司 </w:t>
      </w:r>
    </w:p>
    <w:p w14:paraId="346EBC06">
      <w:pPr>
        <w:spacing w:line="360" w:lineRule="auto"/>
        <w:ind w:firstLine="1263" w:firstLineChars="393"/>
        <w:rPr>
          <w:rFonts w:hint="eastAsia" w:ascii="宋体" w:hAnsi="宋体" w:cs="宋体"/>
          <w:b/>
          <w:bCs/>
          <w:sz w:val="32"/>
          <w:szCs w:val="32"/>
          <w:highlight w:val="none"/>
        </w:rPr>
      </w:pPr>
      <w:r>
        <w:rPr>
          <w:rFonts w:hint="eastAsia" w:ascii="宋体" w:hAnsi="宋体" w:cs="宋体"/>
          <w:b/>
          <w:bCs/>
          <w:sz w:val="32"/>
          <w:szCs w:val="32"/>
          <w:highlight w:val="none"/>
        </w:rPr>
        <w:t>日   期：2025年6月</w:t>
      </w:r>
    </w:p>
    <w:p w14:paraId="4CEF3FF6">
      <w:pPr>
        <w:pStyle w:val="2"/>
        <w:rPr>
          <w:highlight w:val="none"/>
        </w:rPr>
      </w:pPr>
    </w:p>
    <w:p w14:paraId="370415BD">
      <w:pPr>
        <w:pStyle w:val="3"/>
        <w:jc w:val="center"/>
        <w:rPr>
          <w:rFonts w:hint="eastAsia" w:ascii="宋体" w:hAnsi="宋体" w:cs="宋体"/>
          <w:highlight w:val="none"/>
        </w:rPr>
        <w:sectPr>
          <w:headerReference r:id="rId4" w:type="first"/>
          <w:headerReference r:id="rId3" w:type="default"/>
          <w:footerReference r:id="rId5" w:type="even"/>
          <w:pgSz w:w="11906" w:h="16838"/>
          <w:pgMar w:top="1440" w:right="1080" w:bottom="1440" w:left="1080" w:header="851" w:footer="992" w:gutter="0"/>
          <w:pgNumType w:start="0"/>
          <w:cols w:space="720" w:num="1"/>
          <w:titlePg/>
          <w:docGrid w:type="lines" w:linePitch="312" w:charSpace="0"/>
        </w:sectPr>
      </w:pPr>
    </w:p>
    <w:p w14:paraId="3639541F">
      <w:pPr>
        <w:jc w:val="center"/>
        <w:rPr>
          <w:rFonts w:hint="eastAsia" w:ascii="宋体" w:hAnsi="宋体" w:cs="宋体"/>
          <w:b/>
          <w:sz w:val="44"/>
          <w:szCs w:val="44"/>
          <w:highlight w:val="none"/>
        </w:rPr>
      </w:pPr>
    </w:p>
    <w:p w14:paraId="165468AC">
      <w:pPr>
        <w:jc w:val="center"/>
        <w:rPr>
          <w:rFonts w:hint="eastAsia" w:ascii="宋体" w:hAnsi="宋体" w:cs="宋体"/>
          <w:b/>
          <w:sz w:val="44"/>
          <w:szCs w:val="44"/>
          <w:highlight w:val="none"/>
        </w:rPr>
      </w:pPr>
    </w:p>
    <w:p w14:paraId="528E7C13">
      <w:pPr>
        <w:jc w:val="center"/>
        <w:rPr>
          <w:rFonts w:hint="eastAsia" w:ascii="宋体" w:hAnsi="宋体" w:cs="宋体"/>
          <w:b/>
          <w:sz w:val="44"/>
          <w:szCs w:val="44"/>
          <w:highlight w:val="none"/>
          <w:shd w:val="clear" w:color="FFFFFF" w:fill="D9D9D9"/>
        </w:rPr>
      </w:pPr>
      <w:r>
        <w:rPr>
          <w:rFonts w:hint="eastAsia" w:ascii="宋体" w:hAnsi="宋体" w:cs="宋体"/>
          <w:b/>
          <w:sz w:val="44"/>
          <w:szCs w:val="44"/>
          <w:highlight w:val="none"/>
        </w:rPr>
        <w:t>目  录</w:t>
      </w:r>
    </w:p>
    <w:p w14:paraId="2DC02E38">
      <w:pPr>
        <w:pStyle w:val="29"/>
        <w:tabs>
          <w:tab w:val="right" w:leader="dot" w:pos="9411"/>
        </w:tabs>
        <w:rPr>
          <w:rFonts w:hint="eastAsia" w:ascii="宋体" w:hAnsi="宋体" w:cs="宋体"/>
          <w:b w:val="0"/>
          <w:bCs w:val="0"/>
          <w:caps w:val="0"/>
          <w:sz w:val="28"/>
          <w:szCs w:val="28"/>
          <w:highlight w:val="none"/>
          <w:shd w:val="clear" w:color="FFFFFF" w:fill="D9D9D9"/>
        </w:rPr>
      </w:pPr>
    </w:p>
    <w:p w14:paraId="5320AE30">
      <w:pPr>
        <w:pStyle w:val="29"/>
        <w:tabs>
          <w:tab w:val="right" w:leader="dot" w:pos="9411"/>
        </w:tabs>
        <w:rPr>
          <w:sz w:val="28"/>
          <w:szCs w:val="28"/>
          <w:highlight w:val="none"/>
        </w:rPr>
      </w:pPr>
      <w:r>
        <w:rPr>
          <w:rFonts w:hint="eastAsia" w:ascii="宋体" w:hAnsi="宋体" w:cs="宋体"/>
          <w:b w:val="0"/>
          <w:bCs w:val="0"/>
          <w:caps w:val="0"/>
          <w:sz w:val="28"/>
          <w:szCs w:val="28"/>
          <w:highlight w:val="none"/>
          <w:shd w:val="clear" w:color="FFFFFF" w:fill="D9D9D9"/>
        </w:rPr>
        <w:fldChar w:fldCharType="begin"/>
      </w:r>
      <w:r>
        <w:rPr>
          <w:rFonts w:hint="eastAsia" w:ascii="宋体" w:hAnsi="宋体" w:cs="宋体"/>
          <w:b w:val="0"/>
          <w:bCs w:val="0"/>
          <w:caps w:val="0"/>
          <w:sz w:val="28"/>
          <w:szCs w:val="28"/>
          <w:highlight w:val="none"/>
          <w:shd w:val="clear" w:color="FFFFFF" w:fill="D9D9D9"/>
        </w:rPr>
        <w:instrText xml:space="preserve">TOC \o "1-3" \h \u </w:instrText>
      </w:r>
      <w:r>
        <w:rPr>
          <w:rFonts w:hint="eastAsia" w:ascii="宋体" w:hAnsi="宋体" w:cs="宋体"/>
          <w:b w:val="0"/>
          <w:bCs w:val="0"/>
          <w:caps w:val="0"/>
          <w:sz w:val="28"/>
          <w:szCs w:val="28"/>
          <w:highlight w:val="none"/>
          <w:shd w:val="clear" w:color="FFFFFF" w:fill="D9D9D9"/>
        </w:rPr>
        <w:fldChar w:fldCharType="separate"/>
      </w:r>
      <w:r>
        <w:rPr>
          <w:highlight w:val="none"/>
        </w:rPr>
        <w:fldChar w:fldCharType="begin"/>
      </w:r>
      <w:r>
        <w:rPr>
          <w:highlight w:val="none"/>
        </w:rPr>
        <w:instrText xml:space="preserve"> HYPERLINK \l "_Toc29156" </w:instrText>
      </w:r>
      <w:r>
        <w:rPr>
          <w:highlight w:val="none"/>
        </w:rPr>
        <w:fldChar w:fldCharType="separate"/>
      </w:r>
      <w:r>
        <w:rPr>
          <w:rFonts w:hint="eastAsia" w:ascii="宋体" w:hAnsi="宋体" w:cs="宋体"/>
          <w:kern w:val="44"/>
          <w:sz w:val="28"/>
          <w:szCs w:val="28"/>
          <w:highlight w:val="none"/>
        </w:rPr>
        <w:t>第一章 招标公告</w:t>
      </w:r>
      <w:r>
        <w:rPr>
          <w:sz w:val="28"/>
          <w:szCs w:val="28"/>
          <w:highlight w:val="none"/>
        </w:rPr>
        <w:tab/>
      </w:r>
      <w:r>
        <w:rPr>
          <w:sz w:val="28"/>
          <w:szCs w:val="28"/>
          <w:highlight w:val="none"/>
        </w:rPr>
        <w:fldChar w:fldCharType="begin"/>
      </w:r>
      <w:r>
        <w:rPr>
          <w:sz w:val="28"/>
          <w:szCs w:val="28"/>
          <w:highlight w:val="none"/>
        </w:rPr>
        <w:instrText xml:space="preserve"> PAGEREF _Toc29156 \h </w:instrText>
      </w:r>
      <w:r>
        <w:rPr>
          <w:sz w:val="28"/>
          <w:szCs w:val="28"/>
          <w:highlight w:val="none"/>
        </w:rPr>
        <w:fldChar w:fldCharType="separate"/>
      </w:r>
      <w:r>
        <w:rPr>
          <w:sz w:val="28"/>
          <w:szCs w:val="28"/>
          <w:highlight w:val="none"/>
        </w:rPr>
        <w:t>2</w:t>
      </w:r>
      <w:r>
        <w:rPr>
          <w:sz w:val="28"/>
          <w:szCs w:val="28"/>
          <w:highlight w:val="none"/>
        </w:rPr>
        <w:fldChar w:fldCharType="end"/>
      </w:r>
      <w:r>
        <w:rPr>
          <w:sz w:val="28"/>
          <w:szCs w:val="28"/>
          <w:highlight w:val="none"/>
        </w:rPr>
        <w:fldChar w:fldCharType="end"/>
      </w:r>
    </w:p>
    <w:p w14:paraId="13BADA36">
      <w:pPr>
        <w:pStyle w:val="29"/>
        <w:tabs>
          <w:tab w:val="right" w:leader="dot" w:pos="9411"/>
        </w:tabs>
        <w:rPr>
          <w:sz w:val="28"/>
          <w:szCs w:val="28"/>
          <w:highlight w:val="none"/>
        </w:rPr>
      </w:pPr>
      <w:r>
        <w:rPr>
          <w:highlight w:val="none"/>
        </w:rPr>
        <w:fldChar w:fldCharType="begin"/>
      </w:r>
      <w:r>
        <w:rPr>
          <w:highlight w:val="none"/>
        </w:rPr>
        <w:instrText xml:space="preserve"> HYPERLINK \l "_Toc9948" </w:instrText>
      </w:r>
      <w:r>
        <w:rPr>
          <w:highlight w:val="none"/>
        </w:rPr>
        <w:fldChar w:fldCharType="separate"/>
      </w:r>
      <w:r>
        <w:rPr>
          <w:rFonts w:hint="eastAsia" w:ascii="宋体" w:hAnsi="宋体" w:cs="宋体"/>
          <w:kern w:val="44"/>
          <w:sz w:val="28"/>
          <w:szCs w:val="28"/>
          <w:highlight w:val="none"/>
        </w:rPr>
        <w:t>第二章 投标人须知</w:t>
      </w:r>
      <w:r>
        <w:rPr>
          <w:sz w:val="28"/>
          <w:szCs w:val="28"/>
          <w:highlight w:val="none"/>
        </w:rPr>
        <w:tab/>
      </w:r>
      <w:r>
        <w:rPr>
          <w:sz w:val="28"/>
          <w:szCs w:val="28"/>
          <w:highlight w:val="none"/>
        </w:rPr>
        <w:fldChar w:fldCharType="begin"/>
      </w:r>
      <w:r>
        <w:rPr>
          <w:sz w:val="28"/>
          <w:szCs w:val="28"/>
          <w:highlight w:val="none"/>
        </w:rPr>
        <w:instrText xml:space="preserve"> PAGEREF _Toc9948 \h </w:instrText>
      </w:r>
      <w:r>
        <w:rPr>
          <w:sz w:val="28"/>
          <w:szCs w:val="28"/>
          <w:highlight w:val="none"/>
        </w:rPr>
        <w:fldChar w:fldCharType="separate"/>
      </w:r>
      <w:r>
        <w:rPr>
          <w:sz w:val="28"/>
          <w:szCs w:val="28"/>
          <w:highlight w:val="none"/>
        </w:rPr>
        <w:t>2</w:t>
      </w:r>
      <w:r>
        <w:rPr>
          <w:sz w:val="28"/>
          <w:szCs w:val="28"/>
          <w:highlight w:val="none"/>
        </w:rPr>
        <w:fldChar w:fldCharType="end"/>
      </w:r>
      <w:r>
        <w:rPr>
          <w:sz w:val="28"/>
          <w:szCs w:val="28"/>
          <w:highlight w:val="none"/>
        </w:rPr>
        <w:fldChar w:fldCharType="end"/>
      </w:r>
    </w:p>
    <w:p w14:paraId="69C6A3B7">
      <w:pPr>
        <w:pStyle w:val="29"/>
        <w:tabs>
          <w:tab w:val="right" w:leader="dot" w:pos="9411"/>
        </w:tabs>
        <w:rPr>
          <w:sz w:val="28"/>
          <w:szCs w:val="28"/>
          <w:highlight w:val="none"/>
        </w:rPr>
      </w:pPr>
      <w:r>
        <w:rPr>
          <w:highlight w:val="none"/>
        </w:rPr>
        <w:fldChar w:fldCharType="begin"/>
      </w:r>
      <w:r>
        <w:rPr>
          <w:highlight w:val="none"/>
        </w:rPr>
        <w:instrText xml:space="preserve"> HYPERLINK \l "_Toc22564" </w:instrText>
      </w:r>
      <w:r>
        <w:rPr>
          <w:highlight w:val="none"/>
        </w:rPr>
        <w:fldChar w:fldCharType="separate"/>
      </w:r>
      <w:r>
        <w:rPr>
          <w:rFonts w:hint="eastAsia" w:ascii="宋体" w:hAnsi="宋体" w:cs="宋体"/>
          <w:kern w:val="44"/>
          <w:sz w:val="28"/>
          <w:szCs w:val="28"/>
          <w:highlight w:val="none"/>
        </w:rPr>
        <w:t>第三章 评（定）标办法</w:t>
      </w:r>
      <w:r>
        <w:rPr>
          <w:sz w:val="28"/>
          <w:szCs w:val="28"/>
          <w:highlight w:val="none"/>
        </w:rPr>
        <w:tab/>
      </w:r>
      <w:r>
        <w:rPr>
          <w:sz w:val="28"/>
          <w:szCs w:val="28"/>
          <w:highlight w:val="none"/>
        </w:rPr>
        <w:fldChar w:fldCharType="begin"/>
      </w:r>
      <w:r>
        <w:rPr>
          <w:sz w:val="28"/>
          <w:szCs w:val="28"/>
          <w:highlight w:val="none"/>
        </w:rPr>
        <w:instrText xml:space="preserve"> PAGEREF _Toc22564 \h </w:instrText>
      </w:r>
      <w:r>
        <w:rPr>
          <w:sz w:val="28"/>
          <w:szCs w:val="28"/>
          <w:highlight w:val="none"/>
        </w:rPr>
        <w:fldChar w:fldCharType="separate"/>
      </w:r>
      <w:r>
        <w:rPr>
          <w:sz w:val="28"/>
          <w:szCs w:val="28"/>
          <w:highlight w:val="none"/>
        </w:rPr>
        <w:t>34</w:t>
      </w:r>
      <w:r>
        <w:rPr>
          <w:sz w:val="28"/>
          <w:szCs w:val="28"/>
          <w:highlight w:val="none"/>
        </w:rPr>
        <w:fldChar w:fldCharType="end"/>
      </w:r>
      <w:r>
        <w:rPr>
          <w:sz w:val="28"/>
          <w:szCs w:val="28"/>
          <w:highlight w:val="none"/>
        </w:rPr>
        <w:fldChar w:fldCharType="end"/>
      </w:r>
    </w:p>
    <w:p w14:paraId="4ED2D8FE">
      <w:pPr>
        <w:pStyle w:val="29"/>
        <w:tabs>
          <w:tab w:val="right" w:leader="dot" w:pos="9411"/>
        </w:tabs>
        <w:rPr>
          <w:sz w:val="28"/>
          <w:szCs w:val="28"/>
          <w:highlight w:val="none"/>
        </w:rPr>
      </w:pPr>
      <w:r>
        <w:rPr>
          <w:highlight w:val="none"/>
        </w:rPr>
        <w:fldChar w:fldCharType="begin"/>
      </w:r>
      <w:r>
        <w:rPr>
          <w:highlight w:val="none"/>
        </w:rPr>
        <w:instrText xml:space="preserve"> HYPERLINK \l "_Toc12567" </w:instrText>
      </w:r>
      <w:r>
        <w:rPr>
          <w:highlight w:val="none"/>
        </w:rPr>
        <w:fldChar w:fldCharType="separate"/>
      </w:r>
      <w:r>
        <w:rPr>
          <w:rFonts w:hint="eastAsia" w:ascii="宋体" w:hAnsi="宋体" w:cs="宋体"/>
          <w:kern w:val="44"/>
          <w:sz w:val="28"/>
          <w:szCs w:val="28"/>
          <w:highlight w:val="none"/>
        </w:rPr>
        <w:t>第四章 合同条款及格式</w:t>
      </w:r>
      <w:r>
        <w:rPr>
          <w:sz w:val="28"/>
          <w:szCs w:val="28"/>
          <w:highlight w:val="none"/>
        </w:rPr>
        <w:tab/>
      </w:r>
      <w:r>
        <w:rPr>
          <w:sz w:val="28"/>
          <w:szCs w:val="28"/>
          <w:highlight w:val="none"/>
        </w:rPr>
        <w:fldChar w:fldCharType="begin"/>
      </w:r>
      <w:r>
        <w:rPr>
          <w:sz w:val="28"/>
          <w:szCs w:val="28"/>
          <w:highlight w:val="none"/>
        </w:rPr>
        <w:instrText xml:space="preserve"> PAGEREF _Toc12567 \h </w:instrText>
      </w:r>
      <w:r>
        <w:rPr>
          <w:sz w:val="28"/>
          <w:szCs w:val="28"/>
          <w:highlight w:val="none"/>
        </w:rPr>
        <w:fldChar w:fldCharType="separate"/>
      </w:r>
      <w:r>
        <w:rPr>
          <w:sz w:val="28"/>
          <w:szCs w:val="28"/>
          <w:highlight w:val="none"/>
        </w:rPr>
        <w:t>56</w:t>
      </w:r>
      <w:r>
        <w:rPr>
          <w:sz w:val="28"/>
          <w:szCs w:val="28"/>
          <w:highlight w:val="none"/>
        </w:rPr>
        <w:fldChar w:fldCharType="end"/>
      </w:r>
      <w:r>
        <w:rPr>
          <w:sz w:val="28"/>
          <w:szCs w:val="28"/>
          <w:highlight w:val="none"/>
        </w:rPr>
        <w:fldChar w:fldCharType="end"/>
      </w:r>
    </w:p>
    <w:p w14:paraId="7434410E">
      <w:pPr>
        <w:pStyle w:val="29"/>
        <w:tabs>
          <w:tab w:val="right" w:leader="dot" w:pos="9411"/>
        </w:tabs>
        <w:rPr>
          <w:sz w:val="28"/>
          <w:szCs w:val="28"/>
          <w:highlight w:val="none"/>
        </w:rPr>
      </w:pPr>
      <w:r>
        <w:rPr>
          <w:highlight w:val="none"/>
        </w:rPr>
        <w:fldChar w:fldCharType="begin"/>
      </w:r>
      <w:r>
        <w:rPr>
          <w:highlight w:val="none"/>
        </w:rPr>
        <w:instrText xml:space="preserve"> HYPERLINK \l "_Toc25999" </w:instrText>
      </w:r>
      <w:r>
        <w:rPr>
          <w:highlight w:val="none"/>
        </w:rPr>
        <w:fldChar w:fldCharType="separate"/>
      </w:r>
      <w:r>
        <w:rPr>
          <w:rFonts w:hint="eastAsia" w:ascii="宋体" w:hAnsi="宋体" w:cs="宋体"/>
          <w:kern w:val="44"/>
          <w:sz w:val="28"/>
          <w:szCs w:val="28"/>
          <w:highlight w:val="none"/>
        </w:rPr>
        <w:t>第五章 发包人要求</w:t>
      </w:r>
      <w:r>
        <w:rPr>
          <w:sz w:val="28"/>
          <w:szCs w:val="28"/>
          <w:highlight w:val="none"/>
        </w:rPr>
        <w:tab/>
      </w:r>
      <w:r>
        <w:rPr>
          <w:sz w:val="28"/>
          <w:szCs w:val="28"/>
          <w:highlight w:val="none"/>
        </w:rPr>
        <w:fldChar w:fldCharType="begin"/>
      </w:r>
      <w:r>
        <w:rPr>
          <w:sz w:val="28"/>
          <w:szCs w:val="28"/>
          <w:highlight w:val="none"/>
        </w:rPr>
        <w:instrText xml:space="preserve"> PAGEREF _Toc25999 \h </w:instrText>
      </w:r>
      <w:r>
        <w:rPr>
          <w:sz w:val="28"/>
          <w:szCs w:val="28"/>
          <w:highlight w:val="none"/>
        </w:rPr>
        <w:fldChar w:fldCharType="separate"/>
      </w:r>
      <w:r>
        <w:rPr>
          <w:sz w:val="28"/>
          <w:szCs w:val="28"/>
          <w:highlight w:val="none"/>
        </w:rPr>
        <w:t>62</w:t>
      </w:r>
      <w:r>
        <w:rPr>
          <w:sz w:val="28"/>
          <w:szCs w:val="28"/>
          <w:highlight w:val="none"/>
        </w:rPr>
        <w:fldChar w:fldCharType="end"/>
      </w:r>
      <w:r>
        <w:rPr>
          <w:sz w:val="28"/>
          <w:szCs w:val="28"/>
          <w:highlight w:val="none"/>
        </w:rPr>
        <w:fldChar w:fldCharType="end"/>
      </w:r>
    </w:p>
    <w:p w14:paraId="1B7B05FC">
      <w:pPr>
        <w:pStyle w:val="29"/>
        <w:tabs>
          <w:tab w:val="right" w:leader="dot" w:pos="9411"/>
        </w:tabs>
        <w:rPr>
          <w:sz w:val="28"/>
          <w:szCs w:val="28"/>
          <w:highlight w:val="none"/>
        </w:rPr>
      </w:pPr>
      <w:r>
        <w:rPr>
          <w:highlight w:val="none"/>
        </w:rPr>
        <w:fldChar w:fldCharType="begin"/>
      </w:r>
      <w:r>
        <w:rPr>
          <w:highlight w:val="none"/>
        </w:rPr>
        <w:instrText xml:space="preserve"> HYPERLINK \l "_Toc3257" </w:instrText>
      </w:r>
      <w:r>
        <w:rPr>
          <w:highlight w:val="none"/>
        </w:rPr>
        <w:fldChar w:fldCharType="separate"/>
      </w:r>
      <w:r>
        <w:rPr>
          <w:rFonts w:hint="eastAsia" w:ascii="宋体" w:hAnsi="宋体" w:cs="宋体"/>
          <w:kern w:val="44"/>
          <w:sz w:val="28"/>
          <w:szCs w:val="28"/>
          <w:highlight w:val="none"/>
        </w:rPr>
        <w:t>第六章 投标文件格式</w:t>
      </w:r>
      <w:r>
        <w:rPr>
          <w:sz w:val="28"/>
          <w:szCs w:val="28"/>
          <w:highlight w:val="none"/>
        </w:rPr>
        <w:tab/>
      </w:r>
      <w:r>
        <w:rPr>
          <w:sz w:val="28"/>
          <w:szCs w:val="28"/>
          <w:highlight w:val="none"/>
        </w:rPr>
        <w:fldChar w:fldCharType="begin"/>
      </w:r>
      <w:r>
        <w:rPr>
          <w:sz w:val="28"/>
          <w:szCs w:val="28"/>
          <w:highlight w:val="none"/>
        </w:rPr>
        <w:instrText xml:space="preserve"> PAGEREF _Toc3257 \h </w:instrText>
      </w:r>
      <w:r>
        <w:rPr>
          <w:sz w:val="28"/>
          <w:szCs w:val="28"/>
          <w:highlight w:val="none"/>
        </w:rPr>
        <w:fldChar w:fldCharType="separate"/>
      </w:r>
      <w:r>
        <w:rPr>
          <w:sz w:val="28"/>
          <w:szCs w:val="28"/>
          <w:highlight w:val="none"/>
        </w:rPr>
        <w:t>68</w:t>
      </w:r>
      <w:r>
        <w:rPr>
          <w:sz w:val="28"/>
          <w:szCs w:val="28"/>
          <w:highlight w:val="none"/>
        </w:rPr>
        <w:fldChar w:fldCharType="end"/>
      </w:r>
      <w:r>
        <w:rPr>
          <w:sz w:val="28"/>
          <w:szCs w:val="28"/>
          <w:highlight w:val="none"/>
        </w:rPr>
        <w:fldChar w:fldCharType="end"/>
      </w:r>
    </w:p>
    <w:p w14:paraId="37278524">
      <w:pPr>
        <w:spacing w:line="480" w:lineRule="auto"/>
        <w:ind w:firstLine="560" w:firstLineChars="200"/>
        <w:jc w:val="center"/>
        <w:rPr>
          <w:rFonts w:hint="eastAsia" w:ascii="宋体" w:hAnsi="宋体" w:cs="宋体"/>
          <w:szCs w:val="28"/>
          <w:highlight w:val="none"/>
          <w:shd w:val="clear" w:color="FFFFFF" w:fill="D9D9D9"/>
        </w:rPr>
      </w:pPr>
      <w:r>
        <w:rPr>
          <w:rFonts w:hint="eastAsia" w:ascii="宋体" w:hAnsi="宋体" w:cs="宋体"/>
          <w:sz w:val="28"/>
          <w:szCs w:val="28"/>
          <w:highlight w:val="none"/>
          <w:shd w:val="clear" w:color="FFFFFF" w:fill="D9D9D9"/>
        </w:rPr>
        <w:fldChar w:fldCharType="end"/>
      </w:r>
    </w:p>
    <w:p w14:paraId="1D8C7E89">
      <w:pPr>
        <w:keepNext/>
        <w:keepLines/>
        <w:spacing w:before="340" w:after="330"/>
        <w:jc w:val="center"/>
        <w:outlineLvl w:val="0"/>
        <w:rPr>
          <w:rFonts w:hint="eastAsia" w:ascii="宋体" w:hAnsi="宋体" w:cs="宋体"/>
          <w:b/>
          <w:bCs/>
          <w:kern w:val="44"/>
          <w:sz w:val="44"/>
          <w:szCs w:val="44"/>
          <w:highlight w:val="none"/>
        </w:rPr>
      </w:pPr>
      <w:r>
        <w:rPr>
          <w:rFonts w:hint="eastAsia" w:ascii="宋体" w:hAnsi="宋体" w:cs="宋体"/>
          <w:b/>
          <w:bCs/>
          <w:kern w:val="44"/>
          <w:sz w:val="44"/>
          <w:szCs w:val="28"/>
          <w:highlight w:val="none"/>
          <w:shd w:val="clear" w:color="FFFFFF" w:fill="D9D9D9"/>
        </w:rPr>
        <w:br w:type="page"/>
      </w:r>
      <w:bookmarkStart w:id="0" w:name="_Toc29156"/>
      <w:bookmarkStart w:id="1" w:name="_Toc8601"/>
      <w:bookmarkStart w:id="2" w:name="_Toc1080"/>
      <w:bookmarkStart w:id="3" w:name="_Toc25868"/>
      <w:bookmarkStart w:id="4" w:name="_Toc4910"/>
      <w:bookmarkStart w:id="5" w:name="_Toc485211037"/>
      <w:bookmarkStart w:id="6" w:name="_Toc29410"/>
      <w:bookmarkStart w:id="7" w:name="_Toc21337"/>
      <w:r>
        <w:rPr>
          <w:rFonts w:hint="eastAsia" w:ascii="宋体" w:hAnsi="宋体" w:cs="宋体"/>
          <w:b/>
          <w:bCs/>
          <w:kern w:val="44"/>
          <w:sz w:val="44"/>
          <w:szCs w:val="44"/>
          <w:highlight w:val="none"/>
        </w:rPr>
        <w:t>第一章 招标公告</w:t>
      </w:r>
      <w:bookmarkEnd w:id="0"/>
    </w:p>
    <w:p w14:paraId="2CEA6123">
      <w:pPr>
        <w:keepNext/>
        <w:keepLines/>
        <w:spacing w:before="340" w:after="330"/>
        <w:jc w:val="center"/>
        <w:outlineLvl w:val="0"/>
        <w:rPr>
          <w:rFonts w:hint="eastAsia" w:ascii="宋体" w:hAnsi="宋体" w:cs="宋体"/>
          <w:b/>
          <w:bCs/>
          <w:kern w:val="44"/>
          <w:sz w:val="44"/>
          <w:szCs w:val="44"/>
          <w:highlight w:val="none"/>
        </w:rPr>
      </w:pPr>
      <w:bookmarkStart w:id="8" w:name="_Toc9948"/>
      <w:r>
        <w:rPr>
          <w:rFonts w:hint="eastAsia" w:ascii="宋体" w:hAnsi="宋体" w:cs="宋体"/>
          <w:b/>
          <w:bCs/>
          <w:kern w:val="44"/>
          <w:sz w:val="32"/>
          <w:szCs w:val="32"/>
          <w:highlight w:val="none"/>
        </w:rPr>
        <w:t>（另册）</w:t>
      </w:r>
      <w:r>
        <w:rPr>
          <w:rFonts w:hint="eastAsia" w:ascii="宋体" w:hAnsi="宋体" w:cs="宋体"/>
          <w:b/>
          <w:bCs/>
          <w:kern w:val="44"/>
          <w:sz w:val="44"/>
          <w:szCs w:val="44"/>
          <w:highlight w:val="none"/>
        </w:rPr>
        <w:br w:type="page"/>
      </w:r>
      <w:r>
        <w:rPr>
          <w:rFonts w:hint="eastAsia" w:ascii="宋体" w:hAnsi="宋体" w:cs="宋体"/>
          <w:b/>
          <w:bCs/>
          <w:kern w:val="44"/>
          <w:sz w:val="44"/>
          <w:szCs w:val="44"/>
          <w:highlight w:val="none"/>
        </w:rPr>
        <w:t>第二章 投标人须知</w:t>
      </w:r>
      <w:bookmarkEnd w:id="1"/>
      <w:bookmarkEnd w:id="2"/>
      <w:bookmarkEnd w:id="3"/>
      <w:bookmarkEnd w:id="4"/>
      <w:bookmarkEnd w:id="5"/>
      <w:bookmarkEnd w:id="6"/>
      <w:bookmarkEnd w:id="7"/>
      <w:bookmarkEnd w:id="8"/>
    </w:p>
    <w:p w14:paraId="1880CAC8">
      <w:pPr>
        <w:keepNext/>
        <w:keepLines/>
        <w:spacing w:before="200" w:after="200"/>
        <w:jc w:val="center"/>
        <w:outlineLvl w:val="0"/>
        <w:rPr>
          <w:rFonts w:hint="eastAsia" w:ascii="宋体" w:hAnsi="宋体" w:cs="宋体"/>
          <w:b/>
          <w:bCs/>
          <w:kern w:val="44"/>
          <w:sz w:val="44"/>
          <w:szCs w:val="44"/>
          <w:highlight w:val="none"/>
        </w:rPr>
      </w:pPr>
      <w:bookmarkStart w:id="9" w:name="_Toc6263"/>
      <w:bookmarkStart w:id="10" w:name="_Toc14702"/>
      <w:bookmarkStart w:id="11" w:name="_Toc31358"/>
      <w:r>
        <w:rPr>
          <w:rFonts w:hint="eastAsia" w:ascii="宋体" w:hAnsi="宋体" w:cs="宋体"/>
          <w:b/>
          <w:bCs/>
          <w:sz w:val="32"/>
          <w:szCs w:val="32"/>
          <w:highlight w:val="none"/>
        </w:rPr>
        <w:t>《投标人须知前附表》</w:t>
      </w:r>
      <w:bookmarkEnd w:id="9"/>
      <w:bookmarkEnd w:id="10"/>
      <w:bookmarkEnd w:id="11"/>
    </w:p>
    <w:tbl>
      <w:tblPr>
        <w:tblStyle w:val="41"/>
        <w:tblW w:w="4993" w:type="pct"/>
        <w:tblInd w:w="0" w:type="dxa"/>
        <w:tblLayout w:type="autofit"/>
        <w:tblCellMar>
          <w:top w:w="57" w:type="dxa"/>
          <w:left w:w="108" w:type="dxa"/>
          <w:bottom w:w="57" w:type="dxa"/>
          <w:right w:w="108" w:type="dxa"/>
        </w:tblCellMar>
      </w:tblPr>
      <w:tblGrid>
        <w:gridCol w:w="948"/>
        <w:gridCol w:w="2801"/>
        <w:gridCol w:w="5525"/>
      </w:tblGrid>
      <w:tr w14:paraId="0921DEA1">
        <w:tblPrEx>
          <w:tblCellMar>
            <w:top w:w="57" w:type="dxa"/>
            <w:left w:w="108" w:type="dxa"/>
            <w:bottom w:w="57" w:type="dxa"/>
            <w:right w:w="108" w:type="dxa"/>
          </w:tblCellMar>
        </w:tblPrEx>
        <w:trPr>
          <w:trHeight w:val="620" w:hRule="atLeast"/>
          <w:tblHeader/>
        </w:trPr>
        <w:tc>
          <w:tcPr>
            <w:tcW w:w="511" w:type="pct"/>
            <w:tcBorders>
              <w:top w:val="single" w:color="auto" w:sz="4" w:space="0"/>
              <w:left w:val="single" w:color="auto" w:sz="4" w:space="0"/>
              <w:bottom w:val="single" w:color="auto" w:sz="4" w:space="0"/>
              <w:right w:val="single" w:color="auto" w:sz="4" w:space="0"/>
            </w:tcBorders>
            <w:vAlign w:val="center"/>
          </w:tcPr>
          <w:p w14:paraId="0C59F572">
            <w:pPr>
              <w:snapToGrid w:val="0"/>
              <w:spacing w:line="240" w:lineRule="exact"/>
              <w:ind w:left="-55" w:leftChars="-26" w:right="-59" w:rightChars="-28"/>
              <w:jc w:val="center"/>
              <w:rPr>
                <w:rFonts w:hint="eastAsia" w:ascii="宋体" w:hAnsi="宋体" w:cs="宋体"/>
                <w:b/>
                <w:szCs w:val="21"/>
                <w:highlight w:val="none"/>
              </w:rPr>
            </w:pPr>
            <w:r>
              <w:rPr>
                <w:rFonts w:hint="eastAsia" w:ascii="宋体" w:hAnsi="宋体" w:cs="宋体"/>
                <w:b/>
                <w:szCs w:val="21"/>
                <w:highlight w:val="none"/>
              </w:rPr>
              <w:t>条款号</w:t>
            </w:r>
          </w:p>
        </w:tc>
        <w:tc>
          <w:tcPr>
            <w:tcW w:w="1510" w:type="pct"/>
            <w:tcBorders>
              <w:top w:val="single" w:color="auto" w:sz="4" w:space="0"/>
              <w:left w:val="single" w:color="auto" w:sz="4" w:space="0"/>
              <w:bottom w:val="single" w:color="auto" w:sz="4" w:space="0"/>
              <w:right w:val="single" w:color="auto" w:sz="4" w:space="0"/>
            </w:tcBorders>
            <w:vAlign w:val="center"/>
          </w:tcPr>
          <w:p w14:paraId="2FACEFA3">
            <w:pPr>
              <w:snapToGrid w:val="0"/>
              <w:spacing w:line="240" w:lineRule="exact"/>
              <w:ind w:left="-55" w:leftChars="-26" w:right="-59" w:rightChars="-28"/>
              <w:jc w:val="center"/>
              <w:rPr>
                <w:rFonts w:hint="eastAsia" w:ascii="宋体" w:hAnsi="宋体" w:cs="宋体"/>
                <w:b/>
                <w:szCs w:val="21"/>
                <w:highlight w:val="none"/>
              </w:rPr>
            </w:pPr>
            <w:r>
              <w:rPr>
                <w:rFonts w:hint="eastAsia" w:ascii="宋体" w:hAnsi="宋体" w:cs="宋体"/>
                <w:b/>
                <w:szCs w:val="21"/>
                <w:highlight w:val="none"/>
              </w:rPr>
              <w:t>条  款  名  称</w:t>
            </w:r>
          </w:p>
        </w:tc>
        <w:tc>
          <w:tcPr>
            <w:tcW w:w="2978" w:type="pct"/>
            <w:tcBorders>
              <w:top w:val="single" w:color="auto" w:sz="4" w:space="0"/>
              <w:left w:val="single" w:color="auto" w:sz="4" w:space="0"/>
              <w:bottom w:val="single" w:color="auto" w:sz="4" w:space="0"/>
              <w:right w:val="single" w:color="auto" w:sz="4" w:space="0"/>
            </w:tcBorders>
            <w:vAlign w:val="center"/>
          </w:tcPr>
          <w:p w14:paraId="6C8ECD14">
            <w:pPr>
              <w:snapToGrid w:val="0"/>
              <w:ind w:left="-55" w:leftChars="-26" w:right="-59" w:rightChars="-28"/>
              <w:jc w:val="center"/>
              <w:rPr>
                <w:rFonts w:hint="eastAsia" w:ascii="宋体" w:hAnsi="宋体" w:cs="宋体"/>
                <w:b/>
                <w:szCs w:val="21"/>
                <w:highlight w:val="none"/>
              </w:rPr>
            </w:pPr>
            <w:r>
              <w:rPr>
                <w:rFonts w:hint="eastAsia" w:ascii="宋体" w:hAnsi="宋体" w:cs="宋体"/>
                <w:b/>
                <w:szCs w:val="21"/>
                <w:highlight w:val="none"/>
              </w:rPr>
              <w:t>编  列  内  容</w:t>
            </w:r>
          </w:p>
        </w:tc>
      </w:tr>
      <w:tr w14:paraId="06D31208">
        <w:tblPrEx>
          <w:tblCellMar>
            <w:top w:w="57" w:type="dxa"/>
            <w:left w:w="108" w:type="dxa"/>
            <w:bottom w:w="57" w:type="dxa"/>
            <w:right w:w="108" w:type="dxa"/>
          </w:tblCellMar>
        </w:tblPrEx>
        <w:trPr>
          <w:trHeight w:val="1407" w:hRule="atLeast"/>
        </w:trPr>
        <w:tc>
          <w:tcPr>
            <w:tcW w:w="511" w:type="pct"/>
            <w:tcBorders>
              <w:top w:val="single" w:color="auto" w:sz="4" w:space="0"/>
              <w:left w:val="single" w:color="auto" w:sz="4" w:space="0"/>
              <w:bottom w:val="single" w:color="auto" w:sz="4" w:space="0"/>
              <w:right w:val="single" w:color="auto" w:sz="4" w:space="0"/>
            </w:tcBorders>
            <w:vAlign w:val="center"/>
          </w:tcPr>
          <w:p w14:paraId="608762E4">
            <w:pPr>
              <w:snapToGrid w:val="0"/>
              <w:ind w:left="-55" w:leftChars="-26" w:right="-59" w:rightChars="-28"/>
              <w:jc w:val="center"/>
              <w:rPr>
                <w:rFonts w:hint="eastAsia" w:ascii="宋体" w:hAnsi="宋体" w:cs="宋体"/>
                <w:szCs w:val="21"/>
                <w:highlight w:val="none"/>
              </w:rPr>
            </w:pPr>
            <w:r>
              <w:rPr>
                <w:rFonts w:hint="eastAsia" w:ascii="宋体" w:hAnsi="宋体" w:cs="宋体"/>
                <w:szCs w:val="21"/>
                <w:highlight w:val="none"/>
              </w:rPr>
              <w:t>1.1.2</w:t>
            </w:r>
          </w:p>
        </w:tc>
        <w:tc>
          <w:tcPr>
            <w:tcW w:w="1510" w:type="pct"/>
            <w:tcBorders>
              <w:top w:val="single" w:color="auto" w:sz="4" w:space="0"/>
              <w:left w:val="single" w:color="auto" w:sz="4" w:space="0"/>
              <w:bottom w:val="single" w:color="auto" w:sz="4" w:space="0"/>
              <w:right w:val="single" w:color="auto" w:sz="4" w:space="0"/>
            </w:tcBorders>
            <w:vAlign w:val="center"/>
          </w:tcPr>
          <w:p w14:paraId="766B8F89">
            <w:pPr>
              <w:snapToGrid w:val="0"/>
              <w:ind w:left="-55" w:leftChars="-26" w:right="-59" w:rightChars="-28"/>
              <w:jc w:val="center"/>
              <w:rPr>
                <w:rFonts w:hint="eastAsia" w:ascii="宋体" w:hAnsi="宋体" w:cs="宋体"/>
                <w:szCs w:val="21"/>
                <w:highlight w:val="none"/>
              </w:rPr>
            </w:pPr>
            <w:r>
              <w:rPr>
                <w:rFonts w:hint="eastAsia" w:ascii="宋体" w:hAnsi="宋体" w:cs="宋体"/>
                <w:szCs w:val="21"/>
                <w:highlight w:val="none"/>
              </w:rPr>
              <w:t>招标人</w:t>
            </w:r>
          </w:p>
        </w:tc>
        <w:tc>
          <w:tcPr>
            <w:tcW w:w="2978" w:type="pct"/>
            <w:tcBorders>
              <w:top w:val="single" w:color="auto" w:sz="4" w:space="0"/>
              <w:left w:val="single" w:color="auto" w:sz="4" w:space="0"/>
              <w:bottom w:val="single" w:color="auto" w:sz="4" w:space="0"/>
              <w:right w:val="single" w:color="auto" w:sz="4" w:space="0"/>
            </w:tcBorders>
            <w:vAlign w:val="center"/>
          </w:tcPr>
          <w:p w14:paraId="74A7A4C5">
            <w:pPr>
              <w:spacing w:line="276" w:lineRule="auto"/>
              <w:rPr>
                <w:rFonts w:hint="eastAsia" w:ascii="宋体" w:hAnsi="宋体" w:cs="宋体"/>
                <w:szCs w:val="21"/>
                <w:highlight w:val="none"/>
              </w:rPr>
            </w:pPr>
            <w:r>
              <w:rPr>
                <w:rFonts w:hint="eastAsia" w:ascii="宋体" w:hAnsi="宋体" w:cs="宋体"/>
                <w:szCs w:val="21"/>
                <w:highlight w:val="none"/>
              </w:rPr>
              <w:t>名称：</w:t>
            </w:r>
            <w:r>
              <w:rPr>
                <w:rFonts w:hint="eastAsia" w:ascii="宋体" w:hAnsi="宋体" w:cs="宋体"/>
                <w:szCs w:val="21"/>
                <w:highlight w:val="none"/>
                <w:u w:val="single"/>
              </w:rPr>
              <w:t>广州开发区公共交通站场有限公司</w:t>
            </w:r>
          </w:p>
          <w:p w14:paraId="327C3E21">
            <w:pPr>
              <w:spacing w:line="276" w:lineRule="auto"/>
              <w:rPr>
                <w:rFonts w:hint="eastAsia" w:ascii="宋体" w:hAnsi="宋体" w:cs="宋体"/>
                <w:szCs w:val="21"/>
                <w:highlight w:val="none"/>
                <w:u w:val="single"/>
                <w:shd w:val="clear" w:color="auto" w:fill="FFFFFF"/>
              </w:rPr>
            </w:pPr>
            <w:r>
              <w:rPr>
                <w:rFonts w:hint="eastAsia" w:ascii="宋体" w:hAnsi="宋体" w:cs="宋体"/>
                <w:szCs w:val="21"/>
                <w:highlight w:val="none"/>
              </w:rPr>
              <w:t>地址：</w:t>
            </w:r>
            <w:r>
              <w:rPr>
                <w:rFonts w:hint="eastAsia" w:ascii="宋体" w:hAnsi="宋体" w:cs="宋体"/>
                <w:szCs w:val="21"/>
                <w:highlight w:val="none"/>
                <w:u w:val="single"/>
                <w:shd w:val="clear" w:color="auto" w:fill="FFFFFF"/>
              </w:rPr>
              <w:t>广州市黄埔区开泰大道28号2002房</w:t>
            </w:r>
          </w:p>
          <w:p w14:paraId="439D4E9D">
            <w:pPr>
              <w:spacing w:line="276" w:lineRule="auto"/>
              <w:rPr>
                <w:rFonts w:hint="default" w:ascii="宋体" w:hAnsi="宋体" w:eastAsia="宋体" w:cs="宋体"/>
                <w:szCs w:val="21"/>
                <w:highlight w:val="none"/>
                <w:lang w:val="en-US" w:eastAsia="zh-CN"/>
              </w:rPr>
            </w:pPr>
            <w:r>
              <w:rPr>
                <w:rFonts w:hint="eastAsia" w:ascii="宋体" w:hAnsi="宋体" w:cs="宋体"/>
                <w:szCs w:val="21"/>
                <w:highlight w:val="none"/>
              </w:rPr>
              <w:t>联系人：</w:t>
            </w:r>
            <w:r>
              <w:rPr>
                <w:rFonts w:hint="eastAsia" w:ascii="宋体" w:hAnsi="宋体" w:cs="宋体"/>
                <w:szCs w:val="21"/>
                <w:highlight w:val="none"/>
                <w:u w:val="single"/>
                <w:lang w:val="en-US" w:eastAsia="zh-CN"/>
              </w:rPr>
              <w:t>钟工</w:t>
            </w:r>
          </w:p>
          <w:p w14:paraId="44B8E0C8">
            <w:pPr>
              <w:rPr>
                <w:rFonts w:hint="eastAsia" w:ascii="宋体" w:hAnsi="宋体" w:cs="宋体"/>
                <w:highlight w:val="none"/>
              </w:rPr>
            </w:pPr>
            <w:r>
              <w:rPr>
                <w:rFonts w:hint="eastAsia" w:ascii="宋体" w:hAnsi="宋体" w:cs="宋体"/>
                <w:szCs w:val="21"/>
                <w:highlight w:val="none"/>
              </w:rPr>
              <w:t>电话：020-89851879</w:t>
            </w:r>
          </w:p>
        </w:tc>
      </w:tr>
      <w:tr w14:paraId="09F52E40">
        <w:tblPrEx>
          <w:tblCellMar>
            <w:top w:w="57" w:type="dxa"/>
            <w:left w:w="108" w:type="dxa"/>
            <w:bottom w:w="57" w:type="dxa"/>
            <w:right w:w="108" w:type="dxa"/>
          </w:tblCellMar>
        </w:tblPrEx>
        <w:trPr>
          <w:trHeight w:val="1498" w:hRule="atLeast"/>
        </w:trPr>
        <w:tc>
          <w:tcPr>
            <w:tcW w:w="511" w:type="pct"/>
            <w:tcBorders>
              <w:top w:val="single" w:color="auto" w:sz="4" w:space="0"/>
              <w:left w:val="single" w:color="auto" w:sz="4" w:space="0"/>
              <w:bottom w:val="single" w:color="auto" w:sz="4" w:space="0"/>
              <w:right w:val="single" w:color="auto" w:sz="4" w:space="0"/>
            </w:tcBorders>
            <w:vAlign w:val="center"/>
          </w:tcPr>
          <w:p w14:paraId="59962DB2">
            <w:pPr>
              <w:snapToGrid w:val="0"/>
              <w:ind w:left="-55" w:leftChars="-26" w:right="-59" w:rightChars="-28"/>
              <w:jc w:val="center"/>
              <w:rPr>
                <w:rFonts w:hint="eastAsia" w:ascii="宋体" w:hAnsi="宋体" w:cs="宋体"/>
                <w:szCs w:val="21"/>
                <w:highlight w:val="none"/>
              </w:rPr>
            </w:pPr>
            <w:r>
              <w:rPr>
                <w:rFonts w:hint="eastAsia" w:ascii="宋体" w:hAnsi="宋体" w:cs="宋体"/>
                <w:szCs w:val="21"/>
                <w:highlight w:val="none"/>
              </w:rPr>
              <w:t>1.1.3</w:t>
            </w:r>
          </w:p>
        </w:tc>
        <w:tc>
          <w:tcPr>
            <w:tcW w:w="1510" w:type="pct"/>
            <w:tcBorders>
              <w:top w:val="single" w:color="auto" w:sz="4" w:space="0"/>
              <w:left w:val="single" w:color="auto" w:sz="4" w:space="0"/>
              <w:bottom w:val="single" w:color="auto" w:sz="4" w:space="0"/>
              <w:right w:val="single" w:color="auto" w:sz="4" w:space="0"/>
            </w:tcBorders>
            <w:vAlign w:val="center"/>
          </w:tcPr>
          <w:p w14:paraId="51A3BCEC">
            <w:pPr>
              <w:snapToGrid w:val="0"/>
              <w:ind w:left="-55" w:leftChars="-26" w:right="-59" w:rightChars="-28"/>
              <w:jc w:val="center"/>
              <w:rPr>
                <w:rFonts w:hint="eastAsia" w:ascii="宋体" w:hAnsi="宋体" w:cs="宋体"/>
                <w:szCs w:val="21"/>
                <w:highlight w:val="none"/>
              </w:rPr>
            </w:pPr>
            <w:r>
              <w:rPr>
                <w:rFonts w:hint="eastAsia" w:ascii="宋体" w:hAnsi="宋体" w:cs="宋体"/>
                <w:szCs w:val="21"/>
                <w:highlight w:val="none"/>
              </w:rPr>
              <w:t>招标代理机构</w:t>
            </w:r>
          </w:p>
        </w:tc>
        <w:tc>
          <w:tcPr>
            <w:tcW w:w="2978" w:type="pct"/>
            <w:tcBorders>
              <w:top w:val="single" w:color="auto" w:sz="4" w:space="0"/>
              <w:left w:val="single" w:color="auto" w:sz="4" w:space="0"/>
              <w:bottom w:val="single" w:color="auto" w:sz="4" w:space="0"/>
              <w:right w:val="single" w:color="auto" w:sz="4" w:space="0"/>
            </w:tcBorders>
            <w:vAlign w:val="center"/>
          </w:tcPr>
          <w:p w14:paraId="30F433A8">
            <w:pPr>
              <w:spacing w:line="276" w:lineRule="auto"/>
              <w:rPr>
                <w:rFonts w:hint="eastAsia" w:ascii="宋体" w:hAnsi="宋体" w:cs="宋体"/>
                <w:szCs w:val="21"/>
                <w:highlight w:val="none"/>
              </w:rPr>
            </w:pPr>
            <w:r>
              <w:rPr>
                <w:rFonts w:hint="eastAsia" w:ascii="宋体" w:hAnsi="宋体" w:cs="宋体"/>
                <w:szCs w:val="21"/>
                <w:highlight w:val="none"/>
              </w:rPr>
              <w:t>名称：</w:t>
            </w:r>
            <w:r>
              <w:rPr>
                <w:rFonts w:hint="eastAsia" w:ascii="宋体" w:hAnsi="宋体" w:cs="宋体"/>
                <w:szCs w:val="21"/>
                <w:highlight w:val="none"/>
                <w:u w:val="single"/>
                <w:shd w:val="clear" w:color="auto" w:fill="FFFFFF"/>
              </w:rPr>
              <w:t>广东省广大工程顾问有限公司</w:t>
            </w:r>
          </w:p>
          <w:p w14:paraId="10270973">
            <w:pPr>
              <w:spacing w:line="276" w:lineRule="auto"/>
              <w:rPr>
                <w:rFonts w:hint="eastAsia"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广州市黄埔区开泰大道601号311室</w:t>
            </w:r>
          </w:p>
          <w:p w14:paraId="4D6B5D86">
            <w:pPr>
              <w:spacing w:line="276" w:lineRule="auto"/>
              <w:rPr>
                <w:rFonts w:hint="eastAsia" w:ascii="宋体" w:hAnsi="宋体" w:cs="宋体"/>
                <w:szCs w:val="21"/>
                <w:highlight w:val="none"/>
              </w:rPr>
            </w:pPr>
            <w:r>
              <w:rPr>
                <w:rFonts w:hint="eastAsia" w:ascii="宋体" w:hAnsi="宋体" w:cs="宋体"/>
                <w:szCs w:val="21"/>
                <w:highlight w:val="none"/>
              </w:rPr>
              <w:t>联系人：</w:t>
            </w:r>
            <w:r>
              <w:rPr>
                <w:rFonts w:hint="eastAsia" w:ascii="宋体" w:hAnsi="宋体" w:cs="宋体"/>
                <w:szCs w:val="21"/>
                <w:highlight w:val="none"/>
                <w:u w:val="single"/>
              </w:rPr>
              <w:t>蔡工</w:t>
            </w:r>
          </w:p>
          <w:p w14:paraId="08665A62">
            <w:pPr>
              <w:rPr>
                <w:rFonts w:hint="eastAsia" w:ascii="宋体" w:hAnsi="宋体" w:eastAsia="宋体" w:cs="宋体"/>
                <w:highlight w:val="none"/>
                <w:lang w:eastAsia="zh-CN"/>
              </w:rPr>
            </w:pPr>
            <w:r>
              <w:rPr>
                <w:rFonts w:hint="eastAsia" w:ascii="宋体" w:hAnsi="宋体" w:cs="宋体"/>
                <w:szCs w:val="21"/>
                <w:highlight w:val="none"/>
              </w:rPr>
              <w:t>电话：</w:t>
            </w:r>
            <w:r>
              <w:rPr>
                <w:rFonts w:hint="eastAsia" w:ascii="宋体" w:hAnsi="宋体" w:cs="宋体"/>
                <w:kern w:val="0"/>
                <w:szCs w:val="21"/>
                <w:highlight w:val="none"/>
                <w:u w:val="single"/>
                <w:lang w:eastAsia="zh-CN"/>
              </w:rPr>
              <w:t>02038293607</w:t>
            </w:r>
          </w:p>
        </w:tc>
      </w:tr>
      <w:tr w14:paraId="29DF5F03">
        <w:tblPrEx>
          <w:tblCellMar>
            <w:top w:w="57" w:type="dxa"/>
            <w:left w:w="108" w:type="dxa"/>
            <w:bottom w:w="57" w:type="dxa"/>
            <w:right w:w="108" w:type="dxa"/>
          </w:tblCellMar>
        </w:tblPrEx>
        <w:trPr>
          <w:trHeight w:val="660" w:hRule="atLeast"/>
        </w:trPr>
        <w:tc>
          <w:tcPr>
            <w:tcW w:w="511" w:type="pct"/>
            <w:tcBorders>
              <w:top w:val="single" w:color="auto" w:sz="4" w:space="0"/>
              <w:left w:val="single" w:color="auto" w:sz="4" w:space="0"/>
              <w:bottom w:val="single" w:color="auto" w:sz="4" w:space="0"/>
              <w:right w:val="single" w:color="auto" w:sz="4" w:space="0"/>
            </w:tcBorders>
            <w:vAlign w:val="center"/>
          </w:tcPr>
          <w:p w14:paraId="53E42C22">
            <w:pPr>
              <w:snapToGrid w:val="0"/>
              <w:ind w:left="-55" w:leftChars="-26" w:right="-59" w:rightChars="-28"/>
              <w:jc w:val="center"/>
              <w:rPr>
                <w:rFonts w:hint="eastAsia" w:ascii="宋体" w:hAnsi="宋体" w:cs="宋体"/>
                <w:szCs w:val="21"/>
                <w:highlight w:val="none"/>
              </w:rPr>
            </w:pPr>
            <w:r>
              <w:rPr>
                <w:rFonts w:hint="eastAsia" w:ascii="宋体" w:hAnsi="宋体" w:cs="宋体"/>
                <w:szCs w:val="21"/>
                <w:highlight w:val="none"/>
              </w:rPr>
              <w:t>1.1.4</w:t>
            </w:r>
          </w:p>
        </w:tc>
        <w:tc>
          <w:tcPr>
            <w:tcW w:w="1510" w:type="pct"/>
            <w:tcBorders>
              <w:top w:val="single" w:color="auto" w:sz="4" w:space="0"/>
              <w:left w:val="single" w:color="auto" w:sz="4" w:space="0"/>
              <w:bottom w:val="single" w:color="auto" w:sz="4" w:space="0"/>
              <w:right w:val="single" w:color="auto" w:sz="4" w:space="0"/>
            </w:tcBorders>
            <w:vAlign w:val="center"/>
          </w:tcPr>
          <w:p w14:paraId="28397B51">
            <w:pPr>
              <w:snapToGrid w:val="0"/>
              <w:ind w:left="-55" w:leftChars="-26" w:right="-59" w:rightChars="-28"/>
              <w:jc w:val="center"/>
              <w:rPr>
                <w:rFonts w:hint="eastAsia" w:ascii="宋体" w:hAnsi="宋体" w:cs="宋体"/>
                <w:szCs w:val="21"/>
                <w:highlight w:val="none"/>
              </w:rPr>
            </w:pPr>
            <w:r>
              <w:rPr>
                <w:rFonts w:hint="eastAsia" w:ascii="宋体" w:hAnsi="宋体" w:cs="宋体"/>
                <w:szCs w:val="21"/>
                <w:highlight w:val="none"/>
              </w:rPr>
              <w:t>项目名称</w:t>
            </w:r>
          </w:p>
        </w:tc>
        <w:tc>
          <w:tcPr>
            <w:tcW w:w="2978" w:type="pct"/>
            <w:tcBorders>
              <w:top w:val="single" w:color="auto" w:sz="4" w:space="0"/>
              <w:left w:val="single" w:color="auto" w:sz="4" w:space="0"/>
              <w:bottom w:val="single" w:color="auto" w:sz="4" w:space="0"/>
              <w:right w:val="single" w:color="auto" w:sz="4" w:space="0"/>
            </w:tcBorders>
            <w:vAlign w:val="center"/>
          </w:tcPr>
          <w:p w14:paraId="68EC40C7">
            <w:pPr>
              <w:rPr>
                <w:rFonts w:hint="eastAsia" w:ascii="宋体" w:hAnsi="宋体" w:cs="宋体"/>
                <w:highlight w:val="none"/>
              </w:rPr>
            </w:pPr>
            <w:r>
              <w:rPr>
                <w:rFonts w:hint="eastAsia" w:ascii="宋体" w:hAnsi="宋体"/>
                <w:szCs w:val="21"/>
                <w:highlight w:val="none"/>
                <w:u w:val="single"/>
              </w:rPr>
              <w:t>夏港街立体公共停车场建设项目设计施工总承包</w:t>
            </w:r>
          </w:p>
        </w:tc>
      </w:tr>
      <w:tr w14:paraId="3C99F557">
        <w:tblPrEx>
          <w:tblCellMar>
            <w:top w:w="57" w:type="dxa"/>
            <w:left w:w="108" w:type="dxa"/>
            <w:bottom w:w="57" w:type="dxa"/>
            <w:right w:w="108" w:type="dxa"/>
          </w:tblCellMar>
        </w:tblPrEx>
        <w:trPr>
          <w:trHeight w:val="454" w:hRule="atLeast"/>
        </w:trPr>
        <w:tc>
          <w:tcPr>
            <w:tcW w:w="511" w:type="pct"/>
            <w:tcBorders>
              <w:top w:val="single" w:color="auto" w:sz="4" w:space="0"/>
              <w:left w:val="single" w:color="auto" w:sz="4" w:space="0"/>
              <w:bottom w:val="single" w:color="auto" w:sz="4" w:space="0"/>
              <w:right w:val="single" w:color="auto" w:sz="4" w:space="0"/>
            </w:tcBorders>
            <w:vAlign w:val="center"/>
          </w:tcPr>
          <w:p w14:paraId="3B8D5ED9">
            <w:pPr>
              <w:snapToGrid w:val="0"/>
              <w:ind w:left="-55" w:leftChars="-26" w:right="-59" w:rightChars="-28"/>
              <w:jc w:val="center"/>
              <w:rPr>
                <w:rFonts w:hint="eastAsia" w:ascii="宋体" w:hAnsi="宋体" w:cs="宋体"/>
                <w:szCs w:val="21"/>
                <w:highlight w:val="none"/>
              </w:rPr>
            </w:pPr>
            <w:r>
              <w:rPr>
                <w:rFonts w:hint="eastAsia" w:ascii="宋体" w:hAnsi="宋体" w:cs="宋体"/>
                <w:szCs w:val="21"/>
                <w:highlight w:val="none"/>
              </w:rPr>
              <w:t>1.1.5</w:t>
            </w:r>
          </w:p>
        </w:tc>
        <w:tc>
          <w:tcPr>
            <w:tcW w:w="1510" w:type="pct"/>
            <w:tcBorders>
              <w:top w:val="single" w:color="auto" w:sz="4" w:space="0"/>
              <w:left w:val="single" w:color="auto" w:sz="4" w:space="0"/>
              <w:bottom w:val="single" w:color="auto" w:sz="4" w:space="0"/>
              <w:right w:val="single" w:color="auto" w:sz="4" w:space="0"/>
            </w:tcBorders>
            <w:vAlign w:val="center"/>
          </w:tcPr>
          <w:p w14:paraId="6EC01FE5">
            <w:pPr>
              <w:snapToGrid w:val="0"/>
              <w:ind w:left="-55" w:leftChars="-26" w:right="-59" w:rightChars="-28"/>
              <w:jc w:val="center"/>
              <w:rPr>
                <w:rFonts w:hint="eastAsia" w:ascii="宋体" w:hAnsi="宋体" w:cs="宋体"/>
                <w:szCs w:val="21"/>
                <w:highlight w:val="none"/>
              </w:rPr>
            </w:pPr>
            <w:r>
              <w:rPr>
                <w:rFonts w:hint="eastAsia" w:ascii="宋体" w:hAnsi="宋体" w:cs="宋体"/>
                <w:szCs w:val="21"/>
                <w:highlight w:val="none"/>
              </w:rPr>
              <w:t>建设地点</w:t>
            </w:r>
          </w:p>
        </w:tc>
        <w:tc>
          <w:tcPr>
            <w:tcW w:w="2978" w:type="pct"/>
            <w:tcBorders>
              <w:top w:val="single" w:color="auto" w:sz="4" w:space="0"/>
              <w:left w:val="single" w:color="auto" w:sz="4" w:space="0"/>
              <w:bottom w:val="single" w:color="auto" w:sz="4" w:space="0"/>
              <w:right w:val="single" w:color="auto" w:sz="4" w:space="0"/>
            </w:tcBorders>
            <w:vAlign w:val="center"/>
          </w:tcPr>
          <w:p w14:paraId="7E35F205">
            <w:pPr>
              <w:rPr>
                <w:rFonts w:hint="eastAsia" w:ascii="宋体" w:hAnsi="宋体" w:cs="宋体"/>
                <w:highlight w:val="none"/>
              </w:rPr>
            </w:pPr>
            <w:r>
              <w:rPr>
                <w:rFonts w:hint="eastAsia" w:ascii="宋体" w:hAnsi="宋体" w:cs="宋体"/>
                <w:highlight w:val="none"/>
              </w:rPr>
              <w:t>详见招标公告</w:t>
            </w:r>
          </w:p>
        </w:tc>
      </w:tr>
      <w:tr w14:paraId="299EF215">
        <w:tblPrEx>
          <w:tblCellMar>
            <w:top w:w="57" w:type="dxa"/>
            <w:left w:w="108" w:type="dxa"/>
            <w:bottom w:w="57" w:type="dxa"/>
            <w:right w:w="108" w:type="dxa"/>
          </w:tblCellMar>
        </w:tblPrEx>
        <w:trPr>
          <w:trHeight w:val="454" w:hRule="atLeast"/>
        </w:trPr>
        <w:tc>
          <w:tcPr>
            <w:tcW w:w="511" w:type="pct"/>
            <w:tcBorders>
              <w:top w:val="single" w:color="auto" w:sz="4" w:space="0"/>
              <w:left w:val="single" w:color="auto" w:sz="4" w:space="0"/>
              <w:bottom w:val="single" w:color="auto" w:sz="4" w:space="0"/>
              <w:right w:val="single" w:color="auto" w:sz="4" w:space="0"/>
            </w:tcBorders>
            <w:vAlign w:val="center"/>
          </w:tcPr>
          <w:p w14:paraId="3EC86C76">
            <w:pPr>
              <w:snapToGrid w:val="0"/>
              <w:ind w:left="-55" w:leftChars="-26" w:right="-59" w:rightChars="-28"/>
              <w:jc w:val="center"/>
              <w:rPr>
                <w:rFonts w:hint="eastAsia" w:ascii="宋体" w:hAnsi="宋体" w:cs="宋体"/>
                <w:szCs w:val="21"/>
                <w:highlight w:val="none"/>
              </w:rPr>
            </w:pPr>
            <w:r>
              <w:rPr>
                <w:rFonts w:hint="eastAsia" w:ascii="宋体" w:hAnsi="宋体" w:cs="宋体"/>
                <w:szCs w:val="21"/>
                <w:highlight w:val="none"/>
              </w:rPr>
              <w:t>1.2.1</w:t>
            </w:r>
          </w:p>
        </w:tc>
        <w:tc>
          <w:tcPr>
            <w:tcW w:w="1510" w:type="pct"/>
            <w:tcBorders>
              <w:top w:val="single" w:color="auto" w:sz="4" w:space="0"/>
              <w:left w:val="single" w:color="auto" w:sz="4" w:space="0"/>
              <w:bottom w:val="single" w:color="auto" w:sz="4" w:space="0"/>
              <w:right w:val="single" w:color="auto" w:sz="4" w:space="0"/>
            </w:tcBorders>
            <w:vAlign w:val="center"/>
          </w:tcPr>
          <w:p w14:paraId="0FFB17F1">
            <w:pPr>
              <w:snapToGrid w:val="0"/>
              <w:ind w:left="-55" w:leftChars="-26" w:right="-59" w:rightChars="-28"/>
              <w:jc w:val="center"/>
              <w:rPr>
                <w:rFonts w:hint="eastAsia" w:ascii="宋体" w:hAnsi="宋体" w:cs="宋体"/>
                <w:szCs w:val="21"/>
                <w:highlight w:val="none"/>
              </w:rPr>
            </w:pPr>
            <w:r>
              <w:rPr>
                <w:rFonts w:hint="eastAsia" w:ascii="宋体" w:hAnsi="宋体" w:cs="宋体"/>
                <w:szCs w:val="21"/>
                <w:highlight w:val="none"/>
              </w:rPr>
              <w:t>资金来源及比例</w:t>
            </w:r>
          </w:p>
        </w:tc>
        <w:tc>
          <w:tcPr>
            <w:tcW w:w="2978" w:type="pct"/>
            <w:tcBorders>
              <w:top w:val="single" w:color="auto" w:sz="4" w:space="0"/>
              <w:left w:val="single" w:color="auto" w:sz="4" w:space="0"/>
              <w:bottom w:val="single" w:color="auto" w:sz="4" w:space="0"/>
              <w:right w:val="single" w:color="auto" w:sz="4" w:space="0"/>
            </w:tcBorders>
            <w:vAlign w:val="center"/>
          </w:tcPr>
          <w:p w14:paraId="33C84EAE">
            <w:pPr>
              <w:rPr>
                <w:rFonts w:hint="eastAsia" w:ascii="宋体" w:hAnsi="宋体" w:cs="宋体"/>
                <w:highlight w:val="none"/>
              </w:rPr>
            </w:pPr>
            <w:r>
              <w:rPr>
                <w:rFonts w:hint="eastAsia" w:ascii="宋体" w:hAnsi="宋体" w:cs="宋体"/>
                <w:highlight w:val="none"/>
              </w:rPr>
              <w:t>自筹资金100%</w:t>
            </w:r>
          </w:p>
        </w:tc>
      </w:tr>
      <w:tr w14:paraId="27B45BFA">
        <w:tblPrEx>
          <w:tblCellMar>
            <w:top w:w="57" w:type="dxa"/>
            <w:left w:w="108" w:type="dxa"/>
            <w:bottom w:w="57" w:type="dxa"/>
            <w:right w:w="108" w:type="dxa"/>
          </w:tblCellMar>
        </w:tblPrEx>
        <w:trPr>
          <w:trHeight w:val="454" w:hRule="atLeast"/>
        </w:trPr>
        <w:tc>
          <w:tcPr>
            <w:tcW w:w="511" w:type="pct"/>
            <w:tcBorders>
              <w:top w:val="single" w:color="auto" w:sz="4" w:space="0"/>
              <w:left w:val="single" w:color="auto" w:sz="4" w:space="0"/>
              <w:bottom w:val="single" w:color="auto" w:sz="4" w:space="0"/>
              <w:right w:val="single" w:color="auto" w:sz="4" w:space="0"/>
            </w:tcBorders>
            <w:vAlign w:val="center"/>
          </w:tcPr>
          <w:p w14:paraId="6A64759D">
            <w:pPr>
              <w:snapToGrid w:val="0"/>
              <w:ind w:left="-55" w:leftChars="-26" w:right="-59" w:rightChars="-28"/>
              <w:jc w:val="center"/>
              <w:rPr>
                <w:rFonts w:hint="eastAsia" w:ascii="宋体" w:hAnsi="宋体" w:cs="宋体"/>
                <w:szCs w:val="21"/>
                <w:highlight w:val="none"/>
              </w:rPr>
            </w:pPr>
            <w:r>
              <w:rPr>
                <w:rFonts w:hint="eastAsia" w:ascii="宋体" w:hAnsi="宋体" w:cs="宋体"/>
                <w:szCs w:val="21"/>
                <w:highlight w:val="none"/>
              </w:rPr>
              <w:t>1.2.2</w:t>
            </w:r>
          </w:p>
        </w:tc>
        <w:tc>
          <w:tcPr>
            <w:tcW w:w="1510" w:type="pct"/>
            <w:tcBorders>
              <w:top w:val="single" w:color="auto" w:sz="4" w:space="0"/>
              <w:left w:val="single" w:color="auto" w:sz="4" w:space="0"/>
              <w:bottom w:val="single" w:color="auto" w:sz="4" w:space="0"/>
              <w:right w:val="single" w:color="auto" w:sz="4" w:space="0"/>
            </w:tcBorders>
            <w:vAlign w:val="center"/>
          </w:tcPr>
          <w:p w14:paraId="16C5AFA7">
            <w:pPr>
              <w:jc w:val="center"/>
              <w:rPr>
                <w:rFonts w:hint="eastAsia" w:ascii="宋体" w:hAnsi="宋体" w:cs="宋体"/>
                <w:highlight w:val="none"/>
                <w:u w:val="single"/>
              </w:rPr>
            </w:pPr>
            <w:r>
              <w:rPr>
                <w:rFonts w:hint="eastAsia" w:ascii="宋体" w:hAnsi="宋体" w:cs="宋体"/>
                <w:highlight w:val="none"/>
              </w:rPr>
              <w:t>资金落实情况</w:t>
            </w:r>
          </w:p>
        </w:tc>
        <w:tc>
          <w:tcPr>
            <w:tcW w:w="2978" w:type="pct"/>
            <w:tcBorders>
              <w:top w:val="single" w:color="auto" w:sz="4" w:space="0"/>
              <w:left w:val="single" w:color="auto" w:sz="4" w:space="0"/>
              <w:bottom w:val="single" w:color="auto" w:sz="4" w:space="0"/>
              <w:right w:val="single" w:color="auto" w:sz="4" w:space="0"/>
            </w:tcBorders>
            <w:vAlign w:val="center"/>
          </w:tcPr>
          <w:p w14:paraId="6D69FAC1">
            <w:pPr>
              <w:rPr>
                <w:rFonts w:hint="eastAsia" w:ascii="宋体" w:hAnsi="宋体" w:cs="宋体"/>
                <w:highlight w:val="none"/>
              </w:rPr>
            </w:pPr>
            <w:r>
              <w:rPr>
                <w:rFonts w:hint="eastAsia" w:ascii="宋体" w:hAnsi="宋体" w:cs="宋体"/>
                <w:highlight w:val="none"/>
              </w:rPr>
              <w:t>资金已落实。</w:t>
            </w:r>
          </w:p>
        </w:tc>
      </w:tr>
      <w:tr w14:paraId="4EE464C8">
        <w:tblPrEx>
          <w:tblCellMar>
            <w:top w:w="57" w:type="dxa"/>
            <w:left w:w="108" w:type="dxa"/>
            <w:bottom w:w="57" w:type="dxa"/>
            <w:right w:w="108" w:type="dxa"/>
          </w:tblCellMar>
        </w:tblPrEx>
        <w:trPr>
          <w:trHeight w:val="454" w:hRule="atLeast"/>
        </w:trPr>
        <w:tc>
          <w:tcPr>
            <w:tcW w:w="511" w:type="pct"/>
            <w:tcBorders>
              <w:top w:val="single" w:color="auto" w:sz="4" w:space="0"/>
              <w:left w:val="single" w:color="auto" w:sz="4" w:space="0"/>
              <w:bottom w:val="single" w:color="auto" w:sz="4" w:space="0"/>
              <w:right w:val="single" w:color="auto" w:sz="4" w:space="0"/>
            </w:tcBorders>
            <w:vAlign w:val="center"/>
          </w:tcPr>
          <w:p w14:paraId="2B23E9A2">
            <w:pPr>
              <w:snapToGrid w:val="0"/>
              <w:ind w:left="-55" w:leftChars="-26" w:right="-59" w:rightChars="-28"/>
              <w:jc w:val="center"/>
              <w:rPr>
                <w:rFonts w:hint="eastAsia" w:ascii="宋体" w:hAnsi="宋体" w:cs="宋体"/>
                <w:szCs w:val="21"/>
                <w:highlight w:val="none"/>
              </w:rPr>
            </w:pPr>
            <w:r>
              <w:rPr>
                <w:rFonts w:hint="eastAsia" w:ascii="宋体" w:hAnsi="宋体" w:cs="宋体"/>
                <w:szCs w:val="21"/>
                <w:highlight w:val="none"/>
              </w:rPr>
              <w:t>1.3.1</w:t>
            </w:r>
          </w:p>
        </w:tc>
        <w:tc>
          <w:tcPr>
            <w:tcW w:w="1510" w:type="pct"/>
            <w:tcBorders>
              <w:top w:val="single" w:color="auto" w:sz="4" w:space="0"/>
              <w:left w:val="single" w:color="auto" w:sz="4" w:space="0"/>
              <w:bottom w:val="single" w:color="auto" w:sz="4" w:space="0"/>
              <w:right w:val="single" w:color="auto" w:sz="4" w:space="0"/>
            </w:tcBorders>
            <w:vAlign w:val="center"/>
          </w:tcPr>
          <w:p w14:paraId="4F0F8EF8">
            <w:pPr>
              <w:snapToGrid w:val="0"/>
              <w:ind w:left="-55" w:leftChars="-26" w:right="-59" w:rightChars="-28"/>
              <w:jc w:val="center"/>
              <w:rPr>
                <w:rFonts w:hint="eastAsia" w:ascii="宋体" w:hAnsi="宋体" w:cs="宋体"/>
                <w:szCs w:val="21"/>
                <w:highlight w:val="none"/>
              </w:rPr>
            </w:pPr>
            <w:r>
              <w:rPr>
                <w:rFonts w:hint="eastAsia" w:ascii="宋体" w:hAnsi="宋体" w:cs="宋体"/>
                <w:szCs w:val="21"/>
                <w:highlight w:val="none"/>
              </w:rPr>
              <w:t>招标范围</w:t>
            </w:r>
          </w:p>
        </w:tc>
        <w:tc>
          <w:tcPr>
            <w:tcW w:w="2978" w:type="pct"/>
            <w:tcBorders>
              <w:top w:val="single" w:color="auto" w:sz="4" w:space="0"/>
              <w:left w:val="single" w:color="auto" w:sz="4" w:space="0"/>
              <w:bottom w:val="single" w:color="auto" w:sz="4" w:space="0"/>
              <w:right w:val="single" w:color="auto" w:sz="4" w:space="0"/>
            </w:tcBorders>
            <w:vAlign w:val="center"/>
          </w:tcPr>
          <w:p w14:paraId="00C544E6">
            <w:pPr>
              <w:rPr>
                <w:highlight w:val="none"/>
              </w:rPr>
            </w:pPr>
            <w:r>
              <w:rPr>
                <w:rFonts w:hint="eastAsia"/>
                <w:highlight w:val="none"/>
              </w:rPr>
              <w:t>详见招标公告</w:t>
            </w:r>
          </w:p>
          <w:p w14:paraId="730EE0C2">
            <w:pPr>
              <w:rPr>
                <w:highlight w:val="none"/>
              </w:rPr>
            </w:pPr>
            <w:r>
              <w:rPr>
                <w:rFonts w:hint="eastAsia"/>
                <w:highlight w:val="none"/>
              </w:rPr>
              <w:t>注：招标人有权根据项目的实际情况增加和减少工作内容。</w:t>
            </w:r>
          </w:p>
        </w:tc>
      </w:tr>
      <w:tr w14:paraId="0B040F6B">
        <w:tblPrEx>
          <w:tblCellMar>
            <w:top w:w="57" w:type="dxa"/>
            <w:left w:w="108" w:type="dxa"/>
            <w:bottom w:w="57" w:type="dxa"/>
            <w:right w:w="108" w:type="dxa"/>
          </w:tblCellMar>
        </w:tblPrEx>
        <w:trPr>
          <w:trHeight w:val="449" w:hRule="atLeast"/>
        </w:trPr>
        <w:tc>
          <w:tcPr>
            <w:tcW w:w="511" w:type="pct"/>
            <w:tcBorders>
              <w:top w:val="single" w:color="auto" w:sz="4" w:space="0"/>
              <w:left w:val="single" w:color="auto" w:sz="4" w:space="0"/>
              <w:bottom w:val="single" w:color="auto" w:sz="4" w:space="0"/>
              <w:right w:val="single" w:color="auto" w:sz="4" w:space="0"/>
            </w:tcBorders>
            <w:vAlign w:val="center"/>
          </w:tcPr>
          <w:p w14:paraId="0F25F689">
            <w:pPr>
              <w:snapToGrid w:val="0"/>
              <w:ind w:left="-55" w:leftChars="-26" w:right="-59" w:rightChars="-28"/>
              <w:jc w:val="center"/>
              <w:rPr>
                <w:rFonts w:hint="eastAsia" w:ascii="宋体" w:hAnsi="宋体" w:cs="宋体"/>
                <w:szCs w:val="21"/>
                <w:highlight w:val="none"/>
              </w:rPr>
            </w:pPr>
            <w:r>
              <w:rPr>
                <w:rFonts w:hint="eastAsia" w:ascii="宋体" w:hAnsi="宋体" w:cs="宋体"/>
                <w:szCs w:val="21"/>
                <w:highlight w:val="none"/>
              </w:rPr>
              <w:t>1.3.2</w:t>
            </w:r>
          </w:p>
        </w:tc>
        <w:tc>
          <w:tcPr>
            <w:tcW w:w="1510" w:type="pct"/>
            <w:tcBorders>
              <w:top w:val="single" w:color="auto" w:sz="4" w:space="0"/>
              <w:left w:val="single" w:color="auto" w:sz="4" w:space="0"/>
              <w:bottom w:val="single" w:color="auto" w:sz="4" w:space="0"/>
              <w:right w:val="single" w:color="auto" w:sz="4" w:space="0"/>
            </w:tcBorders>
            <w:vAlign w:val="center"/>
          </w:tcPr>
          <w:p w14:paraId="4730584C">
            <w:pPr>
              <w:snapToGrid w:val="0"/>
              <w:ind w:left="-55" w:leftChars="-26" w:right="-59" w:rightChars="-28"/>
              <w:jc w:val="center"/>
              <w:rPr>
                <w:rFonts w:hint="eastAsia" w:ascii="宋体" w:hAnsi="宋体" w:cs="宋体"/>
                <w:szCs w:val="21"/>
                <w:highlight w:val="none"/>
              </w:rPr>
            </w:pPr>
            <w:r>
              <w:rPr>
                <w:rFonts w:hint="eastAsia" w:ascii="宋体" w:hAnsi="宋体" w:cs="宋体"/>
                <w:szCs w:val="21"/>
                <w:highlight w:val="none"/>
              </w:rPr>
              <w:t>计划工期</w:t>
            </w:r>
          </w:p>
        </w:tc>
        <w:tc>
          <w:tcPr>
            <w:tcW w:w="2978" w:type="pct"/>
            <w:tcBorders>
              <w:top w:val="single" w:color="auto" w:sz="4" w:space="0"/>
              <w:left w:val="single" w:color="auto" w:sz="4" w:space="0"/>
              <w:bottom w:val="single" w:color="auto" w:sz="4" w:space="0"/>
              <w:right w:val="single" w:color="auto" w:sz="4" w:space="0"/>
            </w:tcBorders>
            <w:vAlign w:val="center"/>
          </w:tcPr>
          <w:p w14:paraId="20FE1EDE">
            <w:pPr>
              <w:rPr>
                <w:highlight w:val="none"/>
              </w:rPr>
            </w:pPr>
            <w:r>
              <w:rPr>
                <w:rFonts w:hint="eastAsia"/>
                <w:highlight w:val="none"/>
              </w:rPr>
              <w:t>详见本项目招标公告</w:t>
            </w:r>
          </w:p>
          <w:p w14:paraId="2D687BA6">
            <w:pPr>
              <w:rPr>
                <w:highlight w:val="none"/>
              </w:rPr>
            </w:pPr>
            <w:r>
              <w:rPr>
                <w:rFonts w:hint="eastAsia"/>
                <w:highlight w:val="none"/>
              </w:rPr>
              <w:t>注：本工程正式签署合同时，工期按中标人投标文件承诺的工期</w:t>
            </w:r>
          </w:p>
        </w:tc>
      </w:tr>
      <w:tr w14:paraId="083A5E55">
        <w:tblPrEx>
          <w:tblCellMar>
            <w:top w:w="57" w:type="dxa"/>
            <w:left w:w="108" w:type="dxa"/>
            <w:bottom w:w="57" w:type="dxa"/>
            <w:right w:w="108" w:type="dxa"/>
          </w:tblCellMar>
        </w:tblPrEx>
        <w:trPr>
          <w:trHeight w:val="617" w:hRule="atLeast"/>
        </w:trPr>
        <w:tc>
          <w:tcPr>
            <w:tcW w:w="511" w:type="pct"/>
            <w:tcBorders>
              <w:top w:val="single" w:color="auto" w:sz="4" w:space="0"/>
              <w:left w:val="single" w:color="auto" w:sz="4" w:space="0"/>
              <w:bottom w:val="single" w:color="auto" w:sz="4" w:space="0"/>
              <w:right w:val="single" w:color="auto" w:sz="4" w:space="0"/>
            </w:tcBorders>
            <w:vAlign w:val="center"/>
          </w:tcPr>
          <w:p w14:paraId="50FB148E">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1.3.3</w:t>
            </w:r>
          </w:p>
        </w:tc>
        <w:tc>
          <w:tcPr>
            <w:tcW w:w="1510" w:type="pct"/>
            <w:tcBorders>
              <w:top w:val="single" w:color="auto" w:sz="4" w:space="0"/>
              <w:left w:val="single" w:color="auto" w:sz="4" w:space="0"/>
              <w:bottom w:val="single" w:color="auto" w:sz="4" w:space="0"/>
              <w:right w:val="single" w:color="auto" w:sz="4" w:space="0"/>
            </w:tcBorders>
            <w:vAlign w:val="center"/>
          </w:tcPr>
          <w:p w14:paraId="3660AFAE">
            <w:pPr>
              <w:snapToGrid w:val="0"/>
              <w:ind w:left="-55" w:leftChars="-26" w:right="-59" w:rightChars="-28"/>
              <w:jc w:val="center"/>
              <w:rPr>
                <w:rFonts w:hint="eastAsia" w:ascii="宋体" w:hAnsi="宋体" w:cs="宋体"/>
                <w:szCs w:val="21"/>
                <w:highlight w:val="none"/>
              </w:rPr>
            </w:pPr>
            <w:r>
              <w:rPr>
                <w:rFonts w:hint="eastAsia" w:ascii="宋体" w:hAnsi="宋体" w:cs="宋体"/>
                <w:szCs w:val="21"/>
                <w:highlight w:val="none"/>
              </w:rPr>
              <w:t>质量标准</w:t>
            </w:r>
          </w:p>
        </w:tc>
        <w:tc>
          <w:tcPr>
            <w:tcW w:w="2978" w:type="pct"/>
            <w:tcBorders>
              <w:top w:val="single" w:color="auto" w:sz="4" w:space="0"/>
              <w:left w:val="single" w:color="auto" w:sz="4" w:space="0"/>
              <w:bottom w:val="single" w:color="auto" w:sz="4" w:space="0"/>
              <w:right w:val="single" w:color="auto" w:sz="4" w:space="0"/>
            </w:tcBorders>
            <w:vAlign w:val="center"/>
          </w:tcPr>
          <w:p w14:paraId="38F49D37">
            <w:pPr>
              <w:snapToGrid w:val="0"/>
              <w:ind w:left="-55" w:leftChars="-26" w:right="-59" w:rightChars="-28"/>
              <w:rPr>
                <w:highlight w:val="none"/>
              </w:rPr>
            </w:pPr>
            <w:r>
              <w:rPr>
                <w:highlight w:val="none"/>
              </w:rPr>
              <w:t>见本项目招标公告</w:t>
            </w:r>
          </w:p>
        </w:tc>
      </w:tr>
      <w:tr w14:paraId="2FEF9B60">
        <w:tblPrEx>
          <w:tblCellMar>
            <w:top w:w="57" w:type="dxa"/>
            <w:left w:w="108" w:type="dxa"/>
            <w:bottom w:w="57" w:type="dxa"/>
            <w:right w:w="108" w:type="dxa"/>
          </w:tblCellMar>
        </w:tblPrEx>
        <w:trPr>
          <w:trHeight w:val="609" w:hRule="atLeast"/>
        </w:trPr>
        <w:tc>
          <w:tcPr>
            <w:tcW w:w="511" w:type="pct"/>
            <w:tcBorders>
              <w:top w:val="single" w:color="auto" w:sz="4" w:space="0"/>
              <w:left w:val="single" w:color="auto" w:sz="4" w:space="0"/>
              <w:bottom w:val="single" w:color="auto" w:sz="4" w:space="0"/>
              <w:right w:val="single" w:color="auto" w:sz="4" w:space="0"/>
            </w:tcBorders>
            <w:vAlign w:val="center"/>
          </w:tcPr>
          <w:p w14:paraId="0F6F0C27">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1.4.1</w:t>
            </w:r>
          </w:p>
        </w:tc>
        <w:tc>
          <w:tcPr>
            <w:tcW w:w="1510" w:type="pct"/>
            <w:tcBorders>
              <w:top w:val="single" w:color="auto" w:sz="4" w:space="0"/>
              <w:left w:val="single" w:color="auto" w:sz="4" w:space="0"/>
              <w:bottom w:val="single" w:color="auto" w:sz="4" w:space="0"/>
              <w:right w:val="single" w:color="auto" w:sz="4" w:space="0"/>
            </w:tcBorders>
            <w:vAlign w:val="center"/>
          </w:tcPr>
          <w:p w14:paraId="6F4B7228">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投标人资质条件、能力和信誉</w:t>
            </w:r>
          </w:p>
        </w:tc>
        <w:tc>
          <w:tcPr>
            <w:tcW w:w="2978" w:type="pct"/>
            <w:tcBorders>
              <w:top w:val="single" w:color="auto" w:sz="4" w:space="0"/>
              <w:left w:val="single" w:color="auto" w:sz="4" w:space="0"/>
              <w:bottom w:val="single" w:color="auto" w:sz="4" w:space="0"/>
              <w:right w:val="single" w:color="auto" w:sz="4" w:space="0"/>
            </w:tcBorders>
            <w:vAlign w:val="center"/>
          </w:tcPr>
          <w:p w14:paraId="602CB051">
            <w:pPr>
              <w:snapToGrid w:val="0"/>
              <w:ind w:right="-59" w:rightChars="-28"/>
              <w:rPr>
                <w:rFonts w:hint="eastAsia" w:ascii="宋体" w:hAnsi="宋体" w:cs="宋体"/>
                <w:szCs w:val="21"/>
                <w:highlight w:val="none"/>
              </w:rPr>
            </w:pPr>
            <w:r>
              <w:rPr>
                <w:rFonts w:hint="eastAsia" w:ascii="宋体" w:hAnsi="宋体" w:cs="宋体"/>
                <w:szCs w:val="21"/>
                <w:highlight w:val="none"/>
              </w:rPr>
              <w:t>详见本项目招标公告。</w:t>
            </w:r>
          </w:p>
        </w:tc>
      </w:tr>
      <w:tr w14:paraId="5A620551">
        <w:tblPrEx>
          <w:tblCellMar>
            <w:top w:w="57" w:type="dxa"/>
            <w:left w:w="108" w:type="dxa"/>
            <w:bottom w:w="57" w:type="dxa"/>
            <w:right w:w="108" w:type="dxa"/>
          </w:tblCellMar>
        </w:tblPrEx>
        <w:trPr>
          <w:trHeight w:val="702" w:hRule="atLeast"/>
        </w:trPr>
        <w:tc>
          <w:tcPr>
            <w:tcW w:w="511" w:type="pct"/>
            <w:tcBorders>
              <w:top w:val="single" w:color="auto" w:sz="4" w:space="0"/>
              <w:left w:val="single" w:color="auto" w:sz="4" w:space="0"/>
              <w:bottom w:val="single" w:color="auto" w:sz="4" w:space="0"/>
              <w:right w:val="single" w:color="auto" w:sz="4" w:space="0"/>
            </w:tcBorders>
            <w:vAlign w:val="center"/>
          </w:tcPr>
          <w:p w14:paraId="0A5CA495">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1.4.2</w:t>
            </w:r>
          </w:p>
        </w:tc>
        <w:tc>
          <w:tcPr>
            <w:tcW w:w="1510" w:type="pct"/>
            <w:tcBorders>
              <w:top w:val="single" w:color="auto" w:sz="4" w:space="0"/>
              <w:left w:val="single" w:color="auto" w:sz="4" w:space="0"/>
              <w:bottom w:val="single" w:color="auto" w:sz="4" w:space="0"/>
              <w:right w:val="single" w:color="auto" w:sz="4" w:space="0"/>
            </w:tcBorders>
            <w:vAlign w:val="center"/>
          </w:tcPr>
          <w:p w14:paraId="7E72F393">
            <w:pPr>
              <w:snapToGrid w:val="0"/>
              <w:ind w:left="-55" w:leftChars="-26" w:right="-59" w:rightChars="-28"/>
              <w:jc w:val="center"/>
              <w:rPr>
                <w:rFonts w:hint="eastAsia" w:ascii="宋体" w:hAnsi="宋体" w:cs="宋体"/>
                <w:szCs w:val="21"/>
                <w:highlight w:val="none"/>
              </w:rPr>
            </w:pPr>
            <w:r>
              <w:rPr>
                <w:rFonts w:hint="eastAsia" w:ascii="宋体" w:hAnsi="宋体" w:cs="宋体"/>
                <w:szCs w:val="21"/>
                <w:highlight w:val="none"/>
              </w:rPr>
              <w:t>是否接受联合体投标</w:t>
            </w:r>
          </w:p>
        </w:tc>
        <w:tc>
          <w:tcPr>
            <w:tcW w:w="2978" w:type="pct"/>
            <w:tcBorders>
              <w:top w:val="single" w:color="auto" w:sz="4" w:space="0"/>
              <w:left w:val="single" w:color="auto" w:sz="4" w:space="0"/>
              <w:bottom w:val="single" w:color="auto" w:sz="4" w:space="0"/>
              <w:right w:val="single" w:color="auto" w:sz="4" w:space="0"/>
            </w:tcBorders>
            <w:vAlign w:val="center"/>
          </w:tcPr>
          <w:p w14:paraId="2DDDCF7F">
            <w:pPr>
              <w:topLinePunct/>
              <w:snapToGrid w:val="0"/>
              <w:ind w:left="-55" w:leftChars="-26" w:right="-59" w:rightChars="-28"/>
              <w:rPr>
                <w:rFonts w:hint="eastAsia" w:ascii="宋体" w:hAnsi="宋体" w:cs="宋体"/>
                <w:szCs w:val="21"/>
                <w:highlight w:val="none"/>
              </w:rPr>
            </w:pPr>
            <w:r>
              <w:rPr>
                <w:rFonts w:hint="eastAsia" w:ascii="宋体" w:hAnsi="宋体" w:cs="宋体"/>
                <w:szCs w:val="21"/>
                <w:highlight w:val="none"/>
              </w:rPr>
              <w:t>□不接受</w:t>
            </w:r>
          </w:p>
          <w:p w14:paraId="7ABAA178">
            <w:pPr>
              <w:snapToGrid w:val="0"/>
              <w:ind w:left="-55" w:leftChars="-26" w:right="-59" w:rightChars="-28"/>
              <w:rPr>
                <w:rFonts w:hint="eastAsia" w:ascii="宋体" w:hAnsi="宋体" w:cs="宋体"/>
                <w:szCs w:val="21"/>
                <w:highlight w:val="none"/>
              </w:rPr>
            </w:pPr>
            <w:r>
              <w:rPr>
                <w:rFonts w:hint="eastAsia" w:ascii="宋体" w:hAnsi="宋体" w:cs="宋体"/>
                <w:szCs w:val="21"/>
                <w:highlight w:val="none"/>
              </w:rPr>
              <w:t>■接受，应满足下列要求：</w:t>
            </w:r>
            <w:r>
              <w:rPr>
                <w:rFonts w:hint="eastAsia" w:ascii="宋体" w:hAnsi="宋体" w:cs="宋体"/>
                <w:szCs w:val="21"/>
                <w:highlight w:val="none"/>
                <w:u w:val="single"/>
              </w:rPr>
              <w:t>详见本项目招标公告</w:t>
            </w:r>
          </w:p>
        </w:tc>
      </w:tr>
      <w:tr w14:paraId="154CFCF8">
        <w:tblPrEx>
          <w:tblCellMar>
            <w:top w:w="57" w:type="dxa"/>
            <w:left w:w="108" w:type="dxa"/>
            <w:bottom w:w="57" w:type="dxa"/>
            <w:right w:w="108" w:type="dxa"/>
          </w:tblCellMar>
        </w:tblPrEx>
        <w:trPr>
          <w:trHeight w:val="716" w:hRule="atLeast"/>
        </w:trPr>
        <w:tc>
          <w:tcPr>
            <w:tcW w:w="511" w:type="pct"/>
            <w:tcBorders>
              <w:top w:val="single" w:color="auto" w:sz="4" w:space="0"/>
              <w:left w:val="single" w:color="auto" w:sz="4" w:space="0"/>
              <w:bottom w:val="single" w:color="auto" w:sz="4" w:space="0"/>
              <w:right w:val="single" w:color="auto" w:sz="4" w:space="0"/>
            </w:tcBorders>
            <w:vAlign w:val="center"/>
          </w:tcPr>
          <w:p w14:paraId="57E0F640">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1.5</w:t>
            </w:r>
          </w:p>
        </w:tc>
        <w:tc>
          <w:tcPr>
            <w:tcW w:w="1510" w:type="pct"/>
            <w:tcBorders>
              <w:top w:val="single" w:color="auto" w:sz="4" w:space="0"/>
              <w:left w:val="single" w:color="auto" w:sz="4" w:space="0"/>
              <w:bottom w:val="single" w:color="auto" w:sz="4" w:space="0"/>
              <w:right w:val="single" w:color="auto" w:sz="4" w:space="0"/>
            </w:tcBorders>
            <w:vAlign w:val="center"/>
          </w:tcPr>
          <w:p w14:paraId="2DAF7BBD">
            <w:pPr>
              <w:snapToGrid w:val="0"/>
              <w:ind w:left="-55" w:leftChars="-26" w:right="-59" w:rightChars="-28"/>
              <w:jc w:val="center"/>
              <w:rPr>
                <w:rFonts w:hint="eastAsia" w:ascii="宋体" w:hAnsi="宋体" w:cs="宋体"/>
                <w:szCs w:val="21"/>
                <w:highlight w:val="none"/>
              </w:rPr>
            </w:pPr>
            <w:r>
              <w:rPr>
                <w:rFonts w:hint="eastAsia" w:ascii="宋体" w:hAnsi="宋体" w:cs="宋体"/>
                <w:szCs w:val="21"/>
                <w:highlight w:val="none"/>
              </w:rPr>
              <w:t>费用承担和设计成果补偿</w:t>
            </w:r>
          </w:p>
        </w:tc>
        <w:tc>
          <w:tcPr>
            <w:tcW w:w="2978" w:type="pct"/>
            <w:tcBorders>
              <w:top w:val="single" w:color="auto" w:sz="4" w:space="0"/>
              <w:left w:val="single" w:color="auto" w:sz="4" w:space="0"/>
              <w:bottom w:val="single" w:color="auto" w:sz="4" w:space="0"/>
              <w:right w:val="single" w:color="auto" w:sz="4" w:space="0"/>
            </w:tcBorders>
            <w:vAlign w:val="center"/>
          </w:tcPr>
          <w:p w14:paraId="717651B1">
            <w:pPr>
              <w:snapToGrid w:val="0"/>
              <w:ind w:left="-55" w:leftChars="-26" w:right="-59" w:rightChars="-28"/>
              <w:rPr>
                <w:rFonts w:hint="eastAsia" w:ascii="宋体" w:hAnsi="宋体" w:cs="宋体"/>
                <w:szCs w:val="21"/>
                <w:highlight w:val="none"/>
              </w:rPr>
            </w:pPr>
            <w:r>
              <w:rPr>
                <w:rFonts w:hint="eastAsia" w:ascii="宋体" w:hAnsi="宋体" w:cs="宋体"/>
                <w:szCs w:val="21"/>
                <w:highlight w:val="none"/>
              </w:rPr>
              <w:t>■不补偿</w:t>
            </w:r>
          </w:p>
          <w:p w14:paraId="67F4C4A5">
            <w:pPr>
              <w:snapToGrid w:val="0"/>
              <w:ind w:left="-55" w:leftChars="-26" w:right="-59" w:rightChars="-28"/>
              <w:rPr>
                <w:rFonts w:hint="eastAsia" w:ascii="宋体" w:hAnsi="宋体" w:cs="宋体"/>
                <w:szCs w:val="21"/>
                <w:highlight w:val="none"/>
                <w:u w:val="single"/>
              </w:rPr>
            </w:pPr>
            <w:r>
              <w:rPr>
                <w:rFonts w:hint="eastAsia" w:ascii="宋体" w:hAnsi="宋体" w:cs="宋体"/>
                <w:szCs w:val="21"/>
                <w:highlight w:val="none"/>
              </w:rPr>
              <w:t>□补偿，补偿标准：</w:t>
            </w:r>
          </w:p>
        </w:tc>
      </w:tr>
      <w:tr w14:paraId="1BED8B53">
        <w:tblPrEx>
          <w:tblCellMar>
            <w:top w:w="57" w:type="dxa"/>
            <w:left w:w="108" w:type="dxa"/>
            <w:bottom w:w="57" w:type="dxa"/>
            <w:right w:w="108" w:type="dxa"/>
          </w:tblCellMar>
        </w:tblPrEx>
        <w:trPr>
          <w:trHeight w:val="815" w:hRule="atLeast"/>
        </w:trPr>
        <w:tc>
          <w:tcPr>
            <w:tcW w:w="511" w:type="pct"/>
            <w:tcBorders>
              <w:top w:val="single" w:color="auto" w:sz="4" w:space="0"/>
              <w:left w:val="single" w:color="auto" w:sz="4" w:space="0"/>
              <w:bottom w:val="single" w:color="auto" w:sz="4" w:space="0"/>
              <w:right w:val="single" w:color="auto" w:sz="4" w:space="0"/>
            </w:tcBorders>
            <w:vAlign w:val="center"/>
          </w:tcPr>
          <w:p w14:paraId="684321DF">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1.9.1</w:t>
            </w:r>
          </w:p>
        </w:tc>
        <w:tc>
          <w:tcPr>
            <w:tcW w:w="1510" w:type="pct"/>
            <w:tcBorders>
              <w:top w:val="single" w:color="auto" w:sz="4" w:space="0"/>
              <w:left w:val="single" w:color="auto" w:sz="4" w:space="0"/>
              <w:bottom w:val="single" w:color="auto" w:sz="4" w:space="0"/>
              <w:right w:val="single" w:color="auto" w:sz="4" w:space="0"/>
            </w:tcBorders>
            <w:vAlign w:val="center"/>
          </w:tcPr>
          <w:p w14:paraId="7D1B3968">
            <w:pPr>
              <w:snapToGrid w:val="0"/>
              <w:ind w:left="-55" w:leftChars="-26" w:right="-59" w:rightChars="-28"/>
              <w:jc w:val="center"/>
              <w:rPr>
                <w:rFonts w:hint="eastAsia" w:ascii="宋体" w:hAnsi="宋体" w:cs="宋体"/>
                <w:szCs w:val="21"/>
                <w:highlight w:val="none"/>
              </w:rPr>
            </w:pPr>
            <w:r>
              <w:rPr>
                <w:rFonts w:hint="eastAsia" w:ascii="宋体" w:hAnsi="宋体" w:cs="宋体"/>
                <w:szCs w:val="21"/>
                <w:highlight w:val="none"/>
              </w:rPr>
              <w:t>踏勘</w:t>
            </w:r>
          </w:p>
        </w:tc>
        <w:tc>
          <w:tcPr>
            <w:tcW w:w="2978" w:type="pct"/>
            <w:tcBorders>
              <w:top w:val="single" w:color="auto" w:sz="4" w:space="0"/>
              <w:left w:val="single" w:color="auto" w:sz="4" w:space="0"/>
              <w:bottom w:val="single" w:color="auto" w:sz="4" w:space="0"/>
              <w:right w:val="single" w:color="auto" w:sz="4" w:space="0"/>
            </w:tcBorders>
            <w:vAlign w:val="center"/>
          </w:tcPr>
          <w:p w14:paraId="1DDA9BC6">
            <w:pPr>
              <w:snapToGrid w:val="0"/>
              <w:ind w:left="-55" w:leftChars="-26" w:right="-59" w:rightChars="-28"/>
              <w:rPr>
                <w:rFonts w:hint="eastAsia" w:ascii="宋体" w:hAnsi="宋体" w:cs="宋体"/>
                <w:szCs w:val="21"/>
                <w:highlight w:val="none"/>
              </w:rPr>
            </w:pPr>
            <w:r>
              <w:rPr>
                <w:rFonts w:hint="eastAsia" w:ascii="宋体" w:hAnsi="宋体" w:cs="宋体"/>
                <w:szCs w:val="21"/>
                <w:highlight w:val="none"/>
              </w:rPr>
              <w:t>■不组织：</w:t>
            </w:r>
            <w:r>
              <w:rPr>
                <w:rFonts w:hint="eastAsia" w:ascii="宋体" w:hAnsi="宋体" w:cs="宋体"/>
                <w:szCs w:val="21"/>
                <w:highlight w:val="none"/>
                <w:u w:val="single"/>
              </w:rPr>
              <w:t>自行踏勘。投标人不进行踏勘的，视为已熟知现场条件，自行承担相关风险。</w:t>
            </w:r>
          </w:p>
          <w:p w14:paraId="30519A57">
            <w:pPr>
              <w:snapToGrid w:val="0"/>
              <w:ind w:left="-55" w:leftChars="-26" w:right="-59" w:rightChars="-28"/>
              <w:rPr>
                <w:rFonts w:hint="eastAsia" w:ascii="宋体" w:hAnsi="宋体" w:cs="宋体"/>
                <w:szCs w:val="21"/>
                <w:highlight w:val="none"/>
              </w:rPr>
            </w:pPr>
            <w:r>
              <w:rPr>
                <w:rFonts w:hint="eastAsia" w:ascii="宋体" w:hAnsi="宋体" w:cs="宋体"/>
                <w:szCs w:val="21"/>
                <w:highlight w:val="none"/>
              </w:rPr>
              <w:t>□组织，踏勘时间：</w:t>
            </w:r>
          </w:p>
          <w:p w14:paraId="55EECE2E">
            <w:pPr>
              <w:snapToGrid w:val="0"/>
              <w:ind w:left="-55" w:leftChars="-26" w:right="-59" w:rightChars="-28" w:firstLine="840" w:firstLineChars="400"/>
              <w:rPr>
                <w:rFonts w:hint="eastAsia" w:ascii="宋体" w:hAnsi="宋体" w:cs="宋体"/>
                <w:szCs w:val="21"/>
                <w:highlight w:val="none"/>
              </w:rPr>
            </w:pPr>
            <w:r>
              <w:rPr>
                <w:rFonts w:hint="eastAsia" w:ascii="宋体" w:hAnsi="宋体" w:cs="宋体"/>
                <w:szCs w:val="21"/>
                <w:highlight w:val="none"/>
              </w:rPr>
              <w:t>踏勘集中地点：</w:t>
            </w:r>
          </w:p>
        </w:tc>
      </w:tr>
      <w:tr w14:paraId="3072E470">
        <w:tblPrEx>
          <w:tblCellMar>
            <w:top w:w="57" w:type="dxa"/>
            <w:left w:w="108" w:type="dxa"/>
            <w:bottom w:w="57" w:type="dxa"/>
            <w:right w:w="108" w:type="dxa"/>
          </w:tblCellMar>
        </w:tblPrEx>
        <w:trPr>
          <w:trHeight w:val="454" w:hRule="atLeast"/>
        </w:trPr>
        <w:tc>
          <w:tcPr>
            <w:tcW w:w="511" w:type="pct"/>
            <w:tcBorders>
              <w:top w:val="single" w:color="auto" w:sz="4" w:space="0"/>
              <w:left w:val="single" w:color="auto" w:sz="4" w:space="0"/>
              <w:bottom w:val="single" w:color="auto" w:sz="4" w:space="0"/>
              <w:right w:val="single" w:color="auto" w:sz="4" w:space="0"/>
            </w:tcBorders>
            <w:vAlign w:val="center"/>
          </w:tcPr>
          <w:p w14:paraId="06E00252">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1.10.1</w:t>
            </w:r>
          </w:p>
        </w:tc>
        <w:tc>
          <w:tcPr>
            <w:tcW w:w="1510" w:type="pct"/>
            <w:tcBorders>
              <w:top w:val="single" w:color="auto" w:sz="4" w:space="0"/>
              <w:left w:val="single" w:color="auto" w:sz="4" w:space="0"/>
              <w:bottom w:val="single" w:color="auto" w:sz="4" w:space="0"/>
              <w:right w:val="single" w:color="auto" w:sz="4" w:space="0"/>
            </w:tcBorders>
            <w:vAlign w:val="center"/>
          </w:tcPr>
          <w:p w14:paraId="720FE350">
            <w:pPr>
              <w:snapToGrid w:val="0"/>
              <w:ind w:left="-55" w:leftChars="-26" w:right="-59" w:rightChars="-28"/>
              <w:jc w:val="center"/>
              <w:rPr>
                <w:rFonts w:hint="eastAsia" w:ascii="宋体" w:hAnsi="宋体" w:cs="宋体"/>
                <w:szCs w:val="21"/>
                <w:highlight w:val="none"/>
              </w:rPr>
            </w:pPr>
            <w:r>
              <w:rPr>
                <w:rFonts w:hint="eastAsia" w:ascii="宋体" w:hAnsi="宋体" w:cs="宋体"/>
                <w:szCs w:val="21"/>
                <w:highlight w:val="none"/>
              </w:rPr>
              <w:t>投标预备会</w:t>
            </w:r>
          </w:p>
        </w:tc>
        <w:tc>
          <w:tcPr>
            <w:tcW w:w="2978" w:type="pct"/>
            <w:tcBorders>
              <w:top w:val="single" w:color="auto" w:sz="4" w:space="0"/>
              <w:left w:val="single" w:color="auto" w:sz="4" w:space="0"/>
              <w:bottom w:val="single" w:color="auto" w:sz="4" w:space="0"/>
              <w:right w:val="single" w:color="auto" w:sz="4" w:space="0"/>
            </w:tcBorders>
            <w:vAlign w:val="center"/>
          </w:tcPr>
          <w:p w14:paraId="297D1D6C">
            <w:pPr>
              <w:topLinePunct/>
              <w:snapToGrid w:val="0"/>
              <w:ind w:left="-55" w:leftChars="-26" w:right="-59" w:rightChars="-28"/>
              <w:rPr>
                <w:rFonts w:hint="eastAsia" w:ascii="宋体" w:hAnsi="宋体" w:cs="宋体"/>
                <w:szCs w:val="21"/>
                <w:highlight w:val="none"/>
              </w:rPr>
            </w:pPr>
            <w:r>
              <w:rPr>
                <w:rFonts w:hint="eastAsia" w:ascii="宋体" w:hAnsi="宋体" w:cs="宋体"/>
                <w:szCs w:val="21"/>
                <w:highlight w:val="none"/>
              </w:rPr>
              <w:t>■不召开</w:t>
            </w:r>
          </w:p>
          <w:p w14:paraId="2C21AAE9">
            <w:pPr>
              <w:snapToGrid w:val="0"/>
              <w:ind w:left="-55" w:leftChars="-26" w:right="-59" w:rightChars="-28"/>
              <w:rPr>
                <w:rFonts w:hint="eastAsia" w:ascii="宋体" w:hAnsi="宋体" w:cs="宋体"/>
                <w:szCs w:val="21"/>
                <w:highlight w:val="none"/>
              </w:rPr>
            </w:pPr>
            <w:r>
              <w:rPr>
                <w:rFonts w:hint="eastAsia" w:ascii="宋体" w:hAnsi="宋体" w:cs="宋体"/>
                <w:szCs w:val="21"/>
                <w:highlight w:val="none"/>
              </w:rPr>
              <w:t>□召开，召开时间：</w:t>
            </w:r>
          </w:p>
          <w:p w14:paraId="48389175">
            <w:pPr>
              <w:snapToGrid w:val="0"/>
              <w:ind w:left="-55" w:leftChars="-26" w:right="-59" w:rightChars="-28" w:firstLine="840" w:firstLineChars="400"/>
              <w:rPr>
                <w:rFonts w:hint="eastAsia" w:ascii="宋体" w:hAnsi="宋体" w:cs="宋体"/>
                <w:szCs w:val="21"/>
                <w:highlight w:val="none"/>
              </w:rPr>
            </w:pPr>
            <w:r>
              <w:rPr>
                <w:rFonts w:hint="eastAsia" w:ascii="宋体" w:hAnsi="宋体" w:cs="宋体"/>
                <w:szCs w:val="21"/>
                <w:highlight w:val="none"/>
              </w:rPr>
              <w:t>召开地点：</w:t>
            </w:r>
          </w:p>
        </w:tc>
      </w:tr>
      <w:tr w14:paraId="629C0415">
        <w:tblPrEx>
          <w:tblCellMar>
            <w:top w:w="57" w:type="dxa"/>
            <w:left w:w="108" w:type="dxa"/>
            <w:bottom w:w="57" w:type="dxa"/>
            <w:right w:w="108" w:type="dxa"/>
          </w:tblCellMar>
        </w:tblPrEx>
        <w:trPr>
          <w:trHeight w:val="971" w:hRule="atLeast"/>
        </w:trPr>
        <w:tc>
          <w:tcPr>
            <w:tcW w:w="511" w:type="pct"/>
            <w:tcBorders>
              <w:top w:val="single" w:color="auto" w:sz="4" w:space="0"/>
              <w:left w:val="single" w:color="auto" w:sz="4" w:space="0"/>
              <w:bottom w:val="single" w:color="auto" w:sz="4" w:space="0"/>
              <w:right w:val="single" w:color="auto" w:sz="4" w:space="0"/>
            </w:tcBorders>
            <w:vAlign w:val="center"/>
          </w:tcPr>
          <w:p w14:paraId="65A6D800">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1.10.2</w:t>
            </w:r>
          </w:p>
        </w:tc>
        <w:tc>
          <w:tcPr>
            <w:tcW w:w="1510" w:type="pct"/>
            <w:tcBorders>
              <w:top w:val="single" w:color="auto" w:sz="4" w:space="0"/>
              <w:left w:val="single" w:color="auto" w:sz="4" w:space="0"/>
              <w:bottom w:val="single" w:color="auto" w:sz="4" w:space="0"/>
              <w:right w:val="single" w:color="auto" w:sz="4" w:space="0"/>
            </w:tcBorders>
            <w:vAlign w:val="center"/>
          </w:tcPr>
          <w:p w14:paraId="261E1D82">
            <w:pPr>
              <w:snapToGrid w:val="0"/>
              <w:ind w:left="-55" w:leftChars="-26" w:right="-59" w:rightChars="-28"/>
              <w:jc w:val="center"/>
              <w:rPr>
                <w:rFonts w:hint="eastAsia" w:ascii="宋体" w:hAnsi="宋体" w:cs="宋体"/>
                <w:szCs w:val="21"/>
                <w:highlight w:val="none"/>
              </w:rPr>
            </w:pPr>
            <w:r>
              <w:rPr>
                <w:rFonts w:hint="eastAsia" w:ascii="宋体" w:hAnsi="宋体" w:cs="宋体"/>
                <w:szCs w:val="21"/>
                <w:highlight w:val="none"/>
              </w:rPr>
              <w:t>投标人提出问题的截止时间</w:t>
            </w:r>
          </w:p>
        </w:tc>
        <w:tc>
          <w:tcPr>
            <w:tcW w:w="2978" w:type="pct"/>
            <w:tcBorders>
              <w:top w:val="single" w:color="auto" w:sz="4" w:space="0"/>
              <w:left w:val="single" w:color="auto" w:sz="4" w:space="0"/>
              <w:bottom w:val="single" w:color="auto" w:sz="4" w:space="0"/>
              <w:right w:val="single" w:color="auto" w:sz="4" w:space="0"/>
            </w:tcBorders>
            <w:vAlign w:val="center"/>
          </w:tcPr>
          <w:p w14:paraId="3D824157">
            <w:pPr>
              <w:adjustRightInd w:val="0"/>
              <w:snapToGrid w:val="0"/>
              <w:rPr>
                <w:rFonts w:hint="eastAsia" w:ascii="宋体" w:hAnsi="宋体" w:cs="宋体"/>
                <w:szCs w:val="21"/>
                <w:highlight w:val="none"/>
              </w:rPr>
            </w:pPr>
            <w:r>
              <w:rPr>
                <w:rFonts w:hint="eastAsia" w:ascii="宋体" w:hAnsi="宋体" w:cs="宋体"/>
                <w:szCs w:val="21"/>
                <w:highlight w:val="none"/>
              </w:rPr>
              <w:t>1.方式：</w:t>
            </w:r>
            <w:r>
              <w:rPr>
                <w:rFonts w:hint="eastAsia" w:ascii="宋体" w:hAnsi="宋体" w:cs="宋体"/>
                <w:szCs w:val="21"/>
                <w:highlight w:val="none"/>
                <w:u w:val="single"/>
              </w:rPr>
              <w:t>网上答疑。</w:t>
            </w:r>
            <w:r>
              <w:rPr>
                <w:rFonts w:hint="eastAsia" w:ascii="宋体" w:hAnsi="宋体" w:cs="宋体"/>
                <w:szCs w:val="21"/>
                <w:highlight w:val="none"/>
              </w:rPr>
              <w:t>投标人疑问通过网上提交，具体操作详见广州交易集团有限公司（广州公共资源交易中心）网站最新发布的指引。</w:t>
            </w:r>
          </w:p>
          <w:p w14:paraId="43D98F18">
            <w:pPr>
              <w:snapToGrid w:val="0"/>
              <w:ind w:left="-55" w:leftChars="-26" w:right="-59" w:rightChars="-28"/>
              <w:rPr>
                <w:rFonts w:hint="eastAsia" w:ascii="宋体" w:hAnsi="宋体" w:cs="宋体"/>
                <w:szCs w:val="21"/>
                <w:highlight w:val="none"/>
              </w:rPr>
            </w:pPr>
            <w:r>
              <w:rPr>
                <w:rFonts w:hint="eastAsia" w:ascii="宋体" w:hAnsi="宋体" w:cs="宋体"/>
                <w:szCs w:val="21"/>
                <w:highlight w:val="none"/>
              </w:rPr>
              <w:t>2.投标人质疑期限：</w:t>
            </w:r>
            <w:r>
              <w:rPr>
                <w:rFonts w:hint="eastAsia" w:ascii="宋体" w:hAnsi="宋体" w:cs="宋体"/>
                <w:szCs w:val="21"/>
                <w:highlight w:val="none"/>
                <w:u w:val="single"/>
              </w:rPr>
              <w:t>在递交投标文件截止日期前18日。</w:t>
            </w:r>
          </w:p>
        </w:tc>
      </w:tr>
      <w:tr w14:paraId="48AB5BBF">
        <w:tblPrEx>
          <w:tblCellMar>
            <w:top w:w="57" w:type="dxa"/>
            <w:left w:w="108" w:type="dxa"/>
            <w:bottom w:w="57" w:type="dxa"/>
            <w:right w:w="108" w:type="dxa"/>
          </w:tblCellMar>
        </w:tblPrEx>
        <w:trPr>
          <w:trHeight w:val="454" w:hRule="atLeast"/>
        </w:trPr>
        <w:tc>
          <w:tcPr>
            <w:tcW w:w="511" w:type="pct"/>
            <w:tcBorders>
              <w:top w:val="single" w:color="auto" w:sz="4" w:space="0"/>
              <w:left w:val="single" w:color="auto" w:sz="4" w:space="0"/>
              <w:bottom w:val="single" w:color="auto" w:sz="4" w:space="0"/>
              <w:right w:val="single" w:color="auto" w:sz="4" w:space="0"/>
            </w:tcBorders>
            <w:vAlign w:val="center"/>
          </w:tcPr>
          <w:p w14:paraId="181D4A20">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1.10.3</w:t>
            </w:r>
          </w:p>
        </w:tc>
        <w:tc>
          <w:tcPr>
            <w:tcW w:w="1510" w:type="pct"/>
            <w:tcBorders>
              <w:top w:val="single" w:color="auto" w:sz="4" w:space="0"/>
              <w:left w:val="single" w:color="auto" w:sz="4" w:space="0"/>
              <w:bottom w:val="single" w:color="auto" w:sz="4" w:space="0"/>
              <w:right w:val="single" w:color="auto" w:sz="4" w:space="0"/>
            </w:tcBorders>
            <w:vAlign w:val="center"/>
          </w:tcPr>
          <w:p w14:paraId="11A05184">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招标人书面澄清的时间</w:t>
            </w:r>
          </w:p>
        </w:tc>
        <w:tc>
          <w:tcPr>
            <w:tcW w:w="2978" w:type="pct"/>
            <w:tcBorders>
              <w:top w:val="single" w:color="auto" w:sz="4" w:space="0"/>
              <w:left w:val="single" w:color="auto" w:sz="4" w:space="0"/>
              <w:bottom w:val="single" w:color="auto" w:sz="4" w:space="0"/>
              <w:right w:val="single" w:color="auto" w:sz="4" w:space="0"/>
            </w:tcBorders>
            <w:vAlign w:val="center"/>
          </w:tcPr>
          <w:p w14:paraId="01AD272F">
            <w:pPr>
              <w:snapToGrid w:val="0"/>
              <w:ind w:left="-55" w:leftChars="-26" w:right="-59" w:rightChars="-28"/>
              <w:rPr>
                <w:rFonts w:hint="eastAsia" w:ascii="宋体" w:hAnsi="宋体" w:cs="宋体"/>
                <w:szCs w:val="21"/>
                <w:highlight w:val="none"/>
              </w:rPr>
            </w:pPr>
            <w:r>
              <w:rPr>
                <w:rFonts w:hint="eastAsia" w:ascii="宋体" w:hAnsi="宋体" w:cs="宋体"/>
                <w:highlight w:val="none"/>
              </w:rPr>
              <w:t>在递交投标文件截止日期前15日。</w:t>
            </w:r>
          </w:p>
        </w:tc>
      </w:tr>
      <w:tr w14:paraId="328410A1">
        <w:tblPrEx>
          <w:tblCellMar>
            <w:top w:w="57" w:type="dxa"/>
            <w:left w:w="108" w:type="dxa"/>
            <w:bottom w:w="57" w:type="dxa"/>
            <w:right w:w="108" w:type="dxa"/>
          </w:tblCellMar>
        </w:tblPrEx>
        <w:trPr>
          <w:trHeight w:val="567" w:hRule="atLeast"/>
        </w:trPr>
        <w:tc>
          <w:tcPr>
            <w:tcW w:w="511" w:type="pct"/>
            <w:tcBorders>
              <w:top w:val="single" w:color="auto" w:sz="4" w:space="0"/>
              <w:left w:val="single" w:color="auto" w:sz="4" w:space="0"/>
              <w:bottom w:val="single" w:color="auto" w:sz="4" w:space="0"/>
              <w:right w:val="single" w:color="auto" w:sz="4" w:space="0"/>
            </w:tcBorders>
            <w:vAlign w:val="center"/>
          </w:tcPr>
          <w:p w14:paraId="0971A467">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1.11.1</w:t>
            </w:r>
          </w:p>
        </w:tc>
        <w:tc>
          <w:tcPr>
            <w:tcW w:w="1510" w:type="pct"/>
            <w:tcBorders>
              <w:top w:val="single" w:color="auto" w:sz="4" w:space="0"/>
              <w:left w:val="single" w:color="auto" w:sz="4" w:space="0"/>
              <w:bottom w:val="single" w:color="auto" w:sz="4" w:space="0"/>
              <w:right w:val="single" w:color="auto" w:sz="4" w:space="0"/>
            </w:tcBorders>
            <w:vAlign w:val="center"/>
          </w:tcPr>
          <w:p w14:paraId="1186B8A1">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招标人规定由分包人承担的工作</w:t>
            </w:r>
          </w:p>
        </w:tc>
        <w:tc>
          <w:tcPr>
            <w:tcW w:w="2978" w:type="pct"/>
            <w:tcBorders>
              <w:top w:val="single" w:color="auto" w:sz="4" w:space="0"/>
              <w:left w:val="single" w:color="auto" w:sz="4" w:space="0"/>
              <w:bottom w:val="single" w:color="auto" w:sz="4" w:space="0"/>
              <w:right w:val="single" w:color="auto" w:sz="4" w:space="0"/>
            </w:tcBorders>
            <w:vAlign w:val="center"/>
          </w:tcPr>
          <w:p w14:paraId="52D32F65">
            <w:pPr>
              <w:snapToGrid w:val="0"/>
              <w:ind w:left="-55" w:leftChars="-26" w:right="-59" w:rightChars="-28"/>
              <w:rPr>
                <w:rFonts w:hint="eastAsia" w:ascii="宋体" w:hAnsi="宋体" w:cs="宋体"/>
                <w:szCs w:val="21"/>
                <w:highlight w:val="none"/>
              </w:rPr>
            </w:pPr>
            <w:r>
              <w:rPr>
                <w:rFonts w:hint="eastAsia" w:ascii="宋体" w:hAnsi="宋体" w:cs="宋体"/>
                <w:szCs w:val="21"/>
                <w:highlight w:val="none"/>
              </w:rPr>
              <w:t>无</w:t>
            </w:r>
          </w:p>
        </w:tc>
      </w:tr>
      <w:tr w14:paraId="5F1A5E5B">
        <w:tblPrEx>
          <w:tblCellMar>
            <w:top w:w="57" w:type="dxa"/>
            <w:left w:w="108" w:type="dxa"/>
            <w:bottom w:w="57" w:type="dxa"/>
            <w:right w:w="108" w:type="dxa"/>
          </w:tblCellMar>
        </w:tblPrEx>
        <w:trPr>
          <w:trHeight w:val="1124" w:hRule="atLeast"/>
        </w:trPr>
        <w:tc>
          <w:tcPr>
            <w:tcW w:w="511" w:type="pct"/>
            <w:tcBorders>
              <w:top w:val="single" w:color="auto" w:sz="4" w:space="0"/>
              <w:left w:val="single" w:color="auto" w:sz="4" w:space="0"/>
              <w:bottom w:val="single" w:color="auto" w:sz="4" w:space="0"/>
              <w:right w:val="single" w:color="auto" w:sz="4" w:space="0"/>
            </w:tcBorders>
            <w:vAlign w:val="center"/>
          </w:tcPr>
          <w:p w14:paraId="5EB1954C">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1.11.2</w:t>
            </w:r>
          </w:p>
        </w:tc>
        <w:tc>
          <w:tcPr>
            <w:tcW w:w="1510" w:type="pct"/>
            <w:tcBorders>
              <w:top w:val="single" w:color="auto" w:sz="4" w:space="0"/>
              <w:left w:val="single" w:color="auto" w:sz="4" w:space="0"/>
              <w:bottom w:val="single" w:color="auto" w:sz="4" w:space="0"/>
              <w:right w:val="single" w:color="auto" w:sz="4" w:space="0"/>
            </w:tcBorders>
            <w:vAlign w:val="center"/>
          </w:tcPr>
          <w:p w14:paraId="49747511">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投标人拟分包的工作</w:t>
            </w:r>
          </w:p>
        </w:tc>
        <w:tc>
          <w:tcPr>
            <w:tcW w:w="2978" w:type="pct"/>
            <w:tcBorders>
              <w:top w:val="single" w:color="auto" w:sz="4" w:space="0"/>
              <w:left w:val="single" w:color="auto" w:sz="4" w:space="0"/>
              <w:bottom w:val="single" w:color="auto" w:sz="4" w:space="0"/>
              <w:right w:val="single" w:color="auto" w:sz="4" w:space="0"/>
            </w:tcBorders>
            <w:vAlign w:val="center"/>
          </w:tcPr>
          <w:p w14:paraId="38A80598">
            <w:pPr>
              <w:topLinePunct/>
              <w:snapToGrid w:val="0"/>
              <w:ind w:left="-55" w:leftChars="-26" w:right="-59" w:rightChars="-28"/>
              <w:rPr>
                <w:rFonts w:hint="eastAsia" w:ascii="宋体" w:hAnsi="宋体" w:cs="宋体"/>
                <w:szCs w:val="21"/>
                <w:highlight w:val="none"/>
              </w:rPr>
            </w:pPr>
            <w:r>
              <w:rPr>
                <w:rFonts w:hint="eastAsia" w:ascii="宋体" w:hAnsi="宋体" w:cs="宋体"/>
                <w:szCs w:val="32"/>
                <w:highlight w:val="none"/>
              </w:rPr>
              <w:t>□</w:t>
            </w:r>
            <w:r>
              <w:rPr>
                <w:rFonts w:hint="eastAsia" w:ascii="宋体" w:hAnsi="宋体" w:cs="宋体"/>
                <w:szCs w:val="21"/>
                <w:highlight w:val="none"/>
              </w:rPr>
              <w:t>不允许</w:t>
            </w:r>
          </w:p>
          <w:p w14:paraId="116CB340">
            <w:pPr>
              <w:snapToGrid w:val="0"/>
              <w:ind w:left="-55" w:leftChars="-26" w:right="-59" w:rightChars="-28"/>
              <w:rPr>
                <w:rFonts w:hint="eastAsia" w:ascii="宋体" w:hAnsi="宋体" w:cs="宋体"/>
                <w:szCs w:val="21"/>
                <w:highlight w:val="none"/>
              </w:rPr>
            </w:pPr>
            <w:r>
              <w:rPr>
                <w:rFonts w:hint="eastAsia" w:ascii="宋体" w:hAnsi="宋体" w:cs="宋体"/>
                <w:szCs w:val="32"/>
                <w:highlight w:val="none"/>
              </w:rPr>
              <w:t>■</w:t>
            </w:r>
            <w:r>
              <w:rPr>
                <w:rFonts w:hint="eastAsia" w:ascii="宋体" w:hAnsi="宋体" w:cs="宋体"/>
                <w:szCs w:val="21"/>
                <w:highlight w:val="none"/>
              </w:rPr>
              <w:t>允许，经招标人同意，中标人可以把中标项目的部分非主体、非关键性工作分包给具有相应资质和能力的专业单位实施，但不得再次分包。</w:t>
            </w:r>
          </w:p>
        </w:tc>
      </w:tr>
      <w:tr w14:paraId="56C51F0E">
        <w:tblPrEx>
          <w:tblCellMar>
            <w:top w:w="57" w:type="dxa"/>
            <w:left w:w="108" w:type="dxa"/>
            <w:bottom w:w="57" w:type="dxa"/>
            <w:right w:w="108" w:type="dxa"/>
          </w:tblCellMar>
        </w:tblPrEx>
        <w:trPr>
          <w:trHeight w:val="669" w:hRule="atLeast"/>
        </w:trPr>
        <w:tc>
          <w:tcPr>
            <w:tcW w:w="511" w:type="pct"/>
            <w:tcBorders>
              <w:top w:val="single" w:color="auto" w:sz="4" w:space="0"/>
              <w:left w:val="single" w:color="auto" w:sz="4" w:space="0"/>
              <w:bottom w:val="single" w:color="auto" w:sz="4" w:space="0"/>
              <w:right w:val="single" w:color="auto" w:sz="4" w:space="0"/>
            </w:tcBorders>
            <w:vAlign w:val="center"/>
          </w:tcPr>
          <w:p w14:paraId="2EAC348B">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1.12</w:t>
            </w:r>
          </w:p>
        </w:tc>
        <w:tc>
          <w:tcPr>
            <w:tcW w:w="1510" w:type="pct"/>
            <w:tcBorders>
              <w:top w:val="single" w:color="auto" w:sz="4" w:space="0"/>
              <w:left w:val="single" w:color="auto" w:sz="4" w:space="0"/>
              <w:bottom w:val="single" w:color="auto" w:sz="4" w:space="0"/>
              <w:right w:val="single" w:color="auto" w:sz="4" w:space="0"/>
            </w:tcBorders>
            <w:vAlign w:val="center"/>
          </w:tcPr>
          <w:p w14:paraId="79887434">
            <w:pPr>
              <w:topLinePunct/>
              <w:snapToGrid w:val="0"/>
              <w:spacing w:line="240" w:lineRule="exact"/>
              <w:ind w:left="-55" w:leftChars="-26" w:right="-59" w:rightChars="-28"/>
              <w:jc w:val="center"/>
              <w:rPr>
                <w:rFonts w:hint="eastAsia" w:ascii="宋体" w:hAnsi="宋体" w:cs="宋体"/>
                <w:szCs w:val="32"/>
                <w:highlight w:val="none"/>
              </w:rPr>
            </w:pPr>
            <w:r>
              <w:rPr>
                <w:rFonts w:hint="eastAsia" w:ascii="宋体" w:hAnsi="宋体" w:cs="宋体"/>
                <w:szCs w:val="32"/>
                <w:highlight w:val="none"/>
              </w:rPr>
              <w:t>偏离</w:t>
            </w:r>
          </w:p>
        </w:tc>
        <w:tc>
          <w:tcPr>
            <w:tcW w:w="2978" w:type="pct"/>
            <w:tcBorders>
              <w:top w:val="single" w:color="auto" w:sz="4" w:space="0"/>
              <w:left w:val="single" w:color="auto" w:sz="4" w:space="0"/>
              <w:bottom w:val="single" w:color="auto" w:sz="4" w:space="0"/>
              <w:right w:val="single" w:color="auto" w:sz="4" w:space="0"/>
            </w:tcBorders>
            <w:vAlign w:val="center"/>
          </w:tcPr>
          <w:p w14:paraId="1917D728">
            <w:pPr>
              <w:topLinePunct/>
              <w:snapToGrid w:val="0"/>
              <w:ind w:left="-55" w:leftChars="-26" w:right="-59" w:rightChars="-28"/>
              <w:rPr>
                <w:rFonts w:hint="eastAsia" w:ascii="宋体" w:hAnsi="宋体" w:cs="宋体"/>
                <w:szCs w:val="32"/>
                <w:highlight w:val="none"/>
              </w:rPr>
            </w:pPr>
            <w:r>
              <w:rPr>
                <w:rFonts w:hint="eastAsia" w:ascii="宋体" w:hAnsi="宋体" w:cs="宋体"/>
                <w:szCs w:val="32"/>
                <w:highlight w:val="none"/>
              </w:rPr>
              <w:t>■不允许</w:t>
            </w:r>
          </w:p>
          <w:p w14:paraId="24F6F69A">
            <w:pPr>
              <w:topLinePunct/>
              <w:snapToGrid w:val="0"/>
              <w:ind w:left="-55" w:leftChars="-26" w:right="-59" w:rightChars="-28"/>
              <w:rPr>
                <w:rFonts w:hint="eastAsia" w:ascii="宋体" w:hAnsi="宋体" w:cs="宋体"/>
                <w:szCs w:val="32"/>
                <w:highlight w:val="none"/>
              </w:rPr>
            </w:pPr>
            <w:r>
              <w:rPr>
                <w:rFonts w:hint="eastAsia" w:ascii="宋体" w:hAnsi="宋体" w:cs="宋体"/>
                <w:szCs w:val="32"/>
                <w:highlight w:val="none"/>
              </w:rPr>
              <w:t>□允许，允许偏离的内容、偏离范围和幅度</w:t>
            </w:r>
          </w:p>
        </w:tc>
      </w:tr>
      <w:tr w14:paraId="43CCAA6E">
        <w:tblPrEx>
          <w:tblCellMar>
            <w:top w:w="57" w:type="dxa"/>
            <w:left w:w="108" w:type="dxa"/>
            <w:bottom w:w="57" w:type="dxa"/>
            <w:right w:w="108" w:type="dxa"/>
          </w:tblCellMar>
        </w:tblPrEx>
        <w:trPr>
          <w:trHeight w:val="454" w:hRule="atLeast"/>
        </w:trPr>
        <w:tc>
          <w:tcPr>
            <w:tcW w:w="511" w:type="pct"/>
            <w:tcBorders>
              <w:top w:val="single" w:color="auto" w:sz="4" w:space="0"/>
              <w:left w:val="single" w:color="auto" w:sz="4" w:space="0"/>
              <w:bottom w:val="single" w:color="auto" w:sz="4" w:space="0"/>
              <w:right w:val="single" w:color="auto" w:sz="4" w:space="0"/>
            </w:tcBorders>
            <w:vAlign w:val="center"/>
          </w:tcPr>
          <w:p w14:paraId="2A90866F">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2.1</w:t>
            </w:r>
          </w:p>
        </w:tc>
        <w:tc>
          <w:tcPr>
            <w:tcW w:w="1510" w:type="pct"/>
            <w:tcBorders>
              <w:top w:val="single" w:color="auto" w:sz="4" w:space="0"/>
              <w:left w:val="single" w:color="auto" w:sz="4" w:space="0"/>
              <w:bottom w:val="single" w:color="auto" w:sz="4" w:space="0"/>
              <w:right w:val="single" w:color="auto" w:sz="4" w:space="0"/>
            </w:tcBorders>
            <w:vAlign w:val="center"/>
          </w:tcPr>
          <w:p w14:paraId="4A2B869E">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构成招标文件的其他资料</w:t>
            </w:r>
          </w:p>
        </w:tc>
        <w:tc>
          <w:tcPr>
            <w:tcW w:w="2978" w:type="pct"/>
            <w:tcBorders>
              <w:top w:val="single" w:color="auto" w:sz="4" w:space="0"/>
              <w:left w:val="single" w:color="auto" w:sz="4" w:space="0"/>
              <w:bottom w:val="single" w:color="auto" w:sz="4" w:space="0"/>
              <w:right w:val="single" w:color="auto" w:sz="4" w:space="0"/>
            </w:tcBorders>
            <w:vAlign w:val="center"/>
          </w:tcPr>
          <w:p w14:paraId="0389BCE9">
            <w:pPr>
              <w:snapToGrid w:val="0"/>
              <w:ind w:left="-55" w:leftChars="-26" w:right="-59" w:rightChars="-28"/>
              <w:rPr>
                <w:rFonts w:hint="eastAsia" w:ascii="宋体" w:hAnsi="宋体" w:cs="宋体"/>
                <w:szCs w:val="21"/>
                <w:highlight w:val="none"/>
              </w:rPr>
            </w:pPr>
            <w:r>
              <w:rPr>
                <w:rFonts w:hint="eastAsia" w:ascii="宋体" w:hAnsi="宋体" w:cs="宋体"/>
                <w:szCs w:val="21"/>
                <w:highlight w:val="none"/>
              </w:rPr>
              <w:t>补充公告、答疑纪要、澄清文件等（如有）</w:t>
            </w:r>
          </w:p>
        </w:tc>
      </w:tr>
      <w:tr w14:paraId="04318C96">
        <w:tblPrEx>
          <w:tblCellMar>
            <w:top w:w="57" w:type="dxa"/>
            <w:left w:w="108" w:type="dxa"/>
            <w:bottom w:w="57" w:type="dxa"/>
            <w:right w:w="108" w:type="dxa"/>
          </w:tblCellMar>
        </w:tblPrEx>
        <w:trPr>
          <w:trHeight w:val="567" w:hRule="atLeast"/>
        </w:trPr>
        <w:tc>
          <w:tcPr>
            <w:tcW w:w="511" w:type="pct"/>
            <w:tcBorders>
              <w:top w:val="single" w:color="auto" w:sz="4" w:space="0"/>
              <w:left w:val="single" w:color="auto" w:sz="4" w:space="0"/>
              <w:bottom w:val="single" w:color="auto" w:sz="4" w:space="0"/>
              <w:right w:val="single" w:color="auto" w:sz="4" w:space="0"/>
            </w:tcBorders>
            <w:vAlign w:val="center"/>
          </w:tcPr>
          <w:p w14:paraId="5830A76A">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2.2.1</w:t>
            </w:r>
          </w:p>
        </w:tc>
        <w:tc>
          <w:tcPr>
            <w:tcW w:w="1510" w:type="pct"/>
            <w:tcBorders>
              <w:top w:val="single" w:color="auto" w:sz="4" w:space="0"/>
              <w:left w:val="single" w:color="auto" w:sz="4" w:space="0"/>
              <w:bottom w:val="single" w:color="auto" w:sz="4" w:space="0"/>
              <w:right w:val="single" w:color="auto" w:sz="4" w:space="0"/>
            </w:tcBorders>
            <w:vAlign w:val="center"/>
          </w:tcPr>
          <w:p w14:paraId="2C084F50">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投标人要求澄清招标文件的截止时间</w:t>
            </w:r>
          </w:p>
        </w:tc>
        <w:tc>
          <w:tcPr>
            <w:tcW w:w="2978" w:type="pct"/>
            <w:tcBorders>
              <w:top w:val="single" w:color="auto" w:sz="4" w:space="0"/>
              <w:left w:val="single" w:color="auto" w:sz="4" w:space="0"/>
              <w:bottom w:val="single" w:color="auto" w:sz="4" w:space="0"/>
              <w:right w:val="single" w:color="auto" w:sz="4" w:space="0"/>
            </w:tcBorders>
            <w:vAlign w:val="center"/>
          </w:tcPr>
          <w:p w14:paraId="7830A4B8">
            <w:pPr>
              <w:snapToGrid w:val="0"/>
              <w:ind w:left="-55" w:leftChars="-26" w:right="-59" w:rightChars="-28"/>
              <w:rPr>
                <w:rFonts w:hint="eastAsia" w:ascii="宋体" w:hAnsi="宋体" w:cs="宋体"/>
                <w:szCs w:val="21"/>
                <w:highlight w:val="none"/>
              </w:rPr>
            </w:pPr>
            <w:r>
              <w:rPr>
                <w:rFonts w:hint="eastAsia" w:ascii="宋体" w:hAnsi="宋体" w:cs="宋体"/>
                <w:szCs w:val="21"/>
                <w:highlight w:val="none"/>
              </w:rPr>
              <w:t>在递交投标文件截止日期前15日。</w:t>
            </w:r>
          </w:p>
        </w:tc>
      </w:tr>
      <w:tr w14:paraId="12E81881">
        <w:tblPrEx>
          <w:tblCellMar>
            <w:top w:w="57" w:type="dxa"/>
            <w:left w:w="108" w:type="dxa"/>
            <w:bottom w:w="57" w:type="dxa"/>
            <w:right w:w="108" w:type="dxa"/>
          </w:tblCellMar>
        </w:tblPrEx>
        <w:trPr>
          <w:trHeight w:val="567" w:hRule="atLeast"/>
        </w:trPr>
        <w:tc>
          <w:tcPr>
            <w:tcW w:w="511" w:type="pct"/>
            <w:tcBorders>
              <w:top w:val="single" w:color="auto" w:sz="4" w:space="0"/>
              <w:left w:val="single" w:color="auto" w:sz="4" w:space="0"/>
              <w:bottom w:val="single" w:color="auto" w:sz="4" w:space="0"/>
              <w:right w:val="single" w:color="auto" w:sz="4" w:space="0"/>
            </w:tcBorders>
            <w:vAlign w:val="center"/>
          </w:tcPr>
          <w:p w14:paraId="6B2C9739">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2.2.3</w:t>
            </w:r>
          </w:p>
        </w:tc>
        <w:tc>
          <w:tcPr>
            <w:tcW w:w="1510" w:type="pct"/>
            <w:tcBorders>
              <w:top w:val="single" w:color="auto" w:sz="4" w:space="0"/>
              <w:left w:val="single" w:color="auto" w:sz="4" w:space="0"/>
              <w:bottom w:val="single" w:color="auto" w:sz="4" w:space="0"/>
              <w:right w:val="single" w:color="auto" w:sz="4" w:space="0"/>
            </w:tcBorders>
            <w:vAlign w:val="center"/>
          </w:tcPr>
          <w:p w14:paraId="7DD274E3">
            <w:pPr>
              <w:snapToGrid w:val="0"/>
              <w:spacing w:line="240" w:lineRule="exact"/>
              <w:ind w:left="-55" w:leftChars="-26" w:right="-59" w:rightChars="-28"/>
              <w:jc w:val="center"/>
              <w:rPr>
                <w:rFonts w:hint="eastAsia" w:ascii="宋体" w:hAnsi="宋体" w:cs="宋体"/>
                <w:szCs w:val="21"/>
                <w:highlight w:val="none"/>
              </w:rPr>
            </w:pPr>
            <w:r>
              <w:rPr>
                <w:rFonts w:hint="eastAsia" w:ascii="Calibri" w:hAnsi="Calibri"/>
                <w:highlight w:val="none"/>
              </w:rPr>
              <w:t>投标人确认收到答疑纪要或澄清的时间</w:t>
            </w:r>
          </w:p>
        </w:tc>
        <w:tc>
          <w:tcPr>
            <w:tcW w:w="2978" w:type="pct"/>
            <w:tcBorders>
              <w:top w:val="single" w:color="auto" w:sz="4" w:space="0"/>
              <w:left w:val="single" w:color="auto" w:sz="4" w:space="0"/>
              <w:bottom w:val="single" w:color="auto" w:sz="4" w:space="0"/>
              <w:right w:val="single" w:color="auto" w:sz="4" w:space="0"/>
            </w:tcBorders>
            <w:vAlign w:val="center"/>
          </w:tcPr>
          <w:p w14:paraId="303DF1EB">
            <w:pPr>
              <w:snapToGrid w:val="0"/>
              <w:ind w:left="-55" w:leftChars="-26" w:right="-59" w:rightChars="-28"/>
              <w:rPr>
                <w:rFonts w:hint="eastAsia" w:ascii="宋体" w:hAnsi="宋体" w:cs="宋体"/>
                <w:szCs w:val="21"/>
                <w:highlight w:val="none"/>
              </w:rPr>
            </w:pPr>
            <w:r>
              <w:rPr>
                <w:rFonts w:hint="eastAsia" w:ascii="Calibri" w:hAnsi="宋体"/>
                <w:highlight w:val="none"/>
                <w:u w:val="single"/>
              </w:rPr>
              <w:t>招标文件的澄清或修改或补充公告在广州交易集团有限公司（广州公共资源交易中心）网站答疑专区网上公开发布，发出即视作收到，以广州交易集团有限公司（广州公共资源交易中心）数字交易平台网站发布时间作为送达时间。无需投标人确认。投标人应自行关注，招标人不再一一通知。招标文件的修改内容作为招标文件的组成部分，具有约束作用。</w:t>
            </w:r>
          </w:p>
        </w:tc>
      </w:tr>
      <w:tr w14:paraId="0D21DF1D">
        <w:tblPrEx>
          <w:tblCellMar>
            <w:top w:w="57" w:type="dxa"/>
            <w:left w:w="108" w:type="dxa"/>
            <w:bottom w:w="57" w:type="dxa"/>
            <w:right w:w="108" w:type="dxa"/>
          </w:tblCellMar>
        </w:tblPrEx>
        <w:trPr>
          <w:trHeight w:val="2012" w:hRule="atLeast"/>
        </w:trPr>
        <w:tc>
          <w:tcPr>
            <w:tcW w:w="511" w:type="pct"/>
            <w:tcBorders>
              <w:top w:val="single" w:color="auto" w:sz="4" w:space="0"/>
              <w:left w:val="single" w:color="auto" w:sz="4" w:space="0"/>
              <w:bottom w:val="single" w:color="auto" w:sz="4" w:space="0"/>
              <w:right w:val="single" w:color="auto" w:sz="4" w:space="0"/>
            </w:tcBorders>
            <w:vAlign w:val="center"/>
          </w:tcPr>
          <w:p w14:paraId="1CEE08FF">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2.3.2</w:t>
            </w:r>
          </w:p>
        </w:tc>
        <w:tc>
          <w:tcPr>
            <w:tcW w:w="1510" w:type="pct"/>
            <w:tcBorders>
              <w:top w:val="single" w:color="auto" w:sz="4" w:space="0"/>
              <w:left w:val="single" w:color="auto" w:sz="4" w:space="0"/>
              <w:bottom w:val="single" w:color="auto" w:sz="4" w:space="0"/>
              <w:right w:val="single" w:color="auto" w:sz="4" w:space="0"/>
            </w:tcBorders>
            <w:vAlign w:val="center"/>
          </w:tcPr>
          <w:p w14:paraId="37A9749D">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投标人确认收到招标文件修改的时间</w:t>
            </w:r>
          </w:p>
        </w:tc>
        <w:tc>
          <w:tcPr>
            <w:tcW w:w="2978" w:type="pct"/>
            <w:tcBorders>
              <w:top w:val="single" w:color="auto" w:sz="4" w:space="0"/>
              <w:left w:val="single" w:color="auto" w:sz="4" w:space="0"/>
              <w:bottom w:val="single" w:color="auto" w:sz="4" w:space="0"/>
              <w:right w:val="single" w:color="auto" w:sz="4" w:space="0"/>
            </w:tcBorders>
            <w:vAlign w:val="center"/>
          </w:tcPr>
          <w:p w14:paraId="48EABE57">
            <w:pPr>
              <w:snapToGrid w:val="0"/>
              <w:ind w:left="-55" w:leftChars="-26" w:right="-59" w:rightChars="-28"/>
              <w:rPr>
                <w:rFonts w:hint="eastAsia" w:ascii="宋体" w:hAnsi="宋体" w:cs="宋体"/>
                <w:szCs w:val="21"/>
                <w:highlight w:val="none"/>
              </w:rPr>
            </w:pPr>
            <w:r>
              <w:rPr>
                <w:rFonts w:hint="eastAsia" w:ascii="Calibri" w:hAnsi="宋体"/>
                <w:highlight w:val="none"/>
                <w:u w:val="single"/>
              </w:rPr>
              <w:t>招标文件的澄清或修改或补充公告一经在广州交易集团有限公司（广州公共资源交易中心）交易平台网站发布，视作已发放给所有投标人，以广州交易集团有限公司（广州公共资源交易中心）交易平台网站发布时间作为送达时间。无需投标人确认。投标人应自行关注，招标人不再一一通知。招标文件的修改内容作为招标文件的组成部分，具有约束作用。</w:t>
            </w:r>
          </w:p>
        </w:tc>
      </w:tr>
      <w:tr w14:paraId="5BA242FB">
        <w:tblPrEx>
          <w:tblCellMar>
            <w:top w:w="57" w:type="dxa"/>
            <w:left w:w="108" w:type="dxa"/>
            <w:bottom w:w="57" w:type="dxa"/>
            <w:right w:w="108" w:type="dxa"/>
          </w:tblCellMar>
        </w:tblPrEx>
        <w:trPr>
          <w:trHeight w:val="459" w:hRule="atLeast"/>
        </w:trPr>
        <w:tc>
          <w:tcPr>
            <w:tcW w:w="511" w:type="pct"/>
            <w:tcBorders>
              <w:top w:val="single" w:color="auto" w:sz="4" w:space="0"/>
              <w:left w:val="single" w:color="auto" w:sz="4" w:space="0"/>
              <w:bottom w:val="single" w:color="auto" w:sz="4" w:space="0"/>
              <w:right w:val="single" w:color="auto" w:sz="4" w:space="0"/>
            </w:tcBorders>
            <w:vAlign w:val="center"/>
          </w:tcPr>
          <w:p w14:paraId="48574835">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3.1.1</w:t>
            </w:r>
          </w:p>
        </w:tc>
        <w:tc>
          <w:tcPr>
            <w:tcW w:w="1510" w:type="pct"/>
            <w:tcBorders>
              <w:top w:val="single" w:color="auto" w:sz="4" w:space="0"/>
              <w:left w:val="single" w:color="auto" w:sz="4" w:space="0"/>
              <w:bottom w:val="single" w:color="auto" w:sz="4" w:space="0"/>
              <w:right w:val="single" w:color="auto" w:sz="4" w:space="0"/>
            </w:tcBorders>
            <w:vAlign w:val="center"/>
          </w:tcPr>
          <w:p w14:paraId="194D6025">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构成投标文件的其他资料</w:t>
            </w:r>
          </w:p>
        </w:tc>
        <w:tc>
          <w:tcPr>
            <w:tcW w:w="2978" w:type="pct"/>
            <w:tcBorders>
              <w:top w:val="single" w:color="auto" w:sz="4" w:space="0"/>
              <w:left w:val="single" w:color="auto" w:sz="4" w:space="0"/>
              <w:bottom w:val="single" w:color="auto" w:sz="4" w:space="0"/>
              <w:right w:val="single" w:color="auto" w:sz="4" w:space="0"/>
            </w:tcBorders>
            <w:vAlign w:val="center"/>
          </w:tcPr>
          <w:p w14:paraId="08B6B554">
            <w:pPr>
              <w:snapToGrid w:val="0"/>
              <w:ind w:left="-55" w:leftChars="-26" w:right="-59" w:rightChars="-28"/>
              <w:rPr>
                <w:rFonts w:hint="eastAsia" w:ascii="宋体" w:hAnsi="宋体" w:cs="宋体"/>
                <w:szCs w:val="21"/>
                <w:highlight w:val="none"/>
              </w:rPr>
            </w:pPr>
            <w:r>
              <w:rPr>
                <w:rFonts w:hint="eastAsia" w:ascii="宋体" w:hAnsi="宋体" w:cs="宋体"/>
                <w:szCs w:val="21"/>
                <w:highlight w:val="none"/>
              </w:rPr>
              <w:t>投标文件的组成详见“3.1投标文件的组成”</w:t>
            </w:r>
          </w:p>
        </w:tc>
      </w:tr>
      <w:tr w14:paraId="28F8F14C">
        <w:tblPrEx>
          <w:tblCellMar>
            <w:top w:w="57" w:type="dxa"/>
            <w:left w:w="108" w:type="dxa"/>
            <w:bottom w:w="57" w:type="dxa"/>
            <w:right w:w="108" w:type="dxa"/>
          </w:tblCellMar>
        </w:tblPrEx>
        <w:trPr>
          <w:trHeight w:val="1477" w:hRule="atLeast"/>
        </w:trPr>
        <w:tc>
          <w:tcPr>
            <w:tcW w:w="511" w:type="pct"/>
            <w:tcBorders>
              <w:top w:val="single" w:color="auto" w:sz="4" w:space="0"/>
              <w:left w:val="single" w:color="auto" w:sz="4" w:space="0"/>
              <w:bottom w:val="single" w:color="auto" w:sz="4" w:space="0"/>
              <w:right w:val="single" w:color="auto" w:sz="4" w:space="0"/>
            </w:tcBorders>
            <w:vAlign w:val="center"/>
          </w:tcPr>
          <w:p w14:paraId="24418C70">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3.2.3</w:t>
            </w:r>
          </w:p>
        </w:tc>
        <w:tc>
          <w:tcPr>
            <w:tcW w:w="1510" w:type="pct"/>
            <w:tcBorders>
              <w:top w:val="single" w:color="auto" w:sz="4" w:space="0"/>
              <w:left w:val="single" w:color="auto" w:sz="4" w:space="0"/>
              <w:bottom w:val="single" w:color="auto" w:sz="4" w:space="0"/>
              <w:right w:val="single" w:color="auto" w:sz="4" w:space="0"/>
            </w:tcBorders>
            <w:vAlign w:val="center"/>
          </w:tcPr>
          <w:p w14:paraId="4F5BA675">
            <w:pPr>
              <w:snapToGrid w:val="0"/>
              <w:spacing w:line="240" w:lineRule="exact"/>
              <w:ind w:left="-55" w:leftChars="-26" w:right="-59" w:rightChars="-28"/>
              <w:jc w:val="center"/>
              <w:rPr>
                <w:rFonts w:hint="eastAsia" w:ascii="宋体" w:hAnsi="宋体" w:cs="宋体"/>
                <w:szCs w:val="21"/>
                <w:highlight w:val="none"/>
              </w:rPr>
            </w:pPr>
            <w:r>
              <w:rPr>
                <w:rFonts w:hint="eastAsia" w:ascii="宋体"/>
                <w:szCs w:val="21"/>
                <w:highlight w:val="none"/>
              </w:rPr>
              <w:t>招标控制价</w:t>
            </w:r>
          </w:p>
        </w:tc>
        <w:tc>
          <w:tcPr>
            <w:tcW w:w="2978" w:type="pct"/>
            <w:tcBorders>
              <w:top w:val="single" w:color="auto" w:sz="4" w:space="0"/>
              <w:left w:val="single" w:color="auto" w:sz="4" w:space="0"/>
              <w:bottom w:val="single" w:color="auto" w:sz="4" w:space="0"/>
              <w:right w:val="single" w:color="auto" w:sz="4" w:space="0"/>
            </w:tcBorders>
            <w:vAlign w:val="center"/>
          </w:tcPr>
          <w:p w14:paraId="6DDF30F4">
            <w:pPr>
              <w:widowControl/>
              <w:snapToGrid w:val="0"/>
              <w:ind w:right="-59" w:rightChars="-28"/>
              <w:rPr>
                <w:rFonts w:hint="eastAsia" w:ascii="宋体" w:hAnsi="宋体" w:cs="宋体"/>
                <w:kern w:val="0"/>
                <w:szCs w:val="21"/>
                <w:highlight w:val="none"/>
                <w:u w:val="single"/>
              </w:rPr>
            </w:pPr>
            <w:r>
              <w:rPr>
                <w:rFonts w:hint="eastAsia" w:ascii="宋体" w:hAnsi="宋体" w:cs="宋体"/>
                <w:kern w:val="0"/>
                <w:szCs w:val="21"/>
                <w:highlight w:val="none"/>
              </w:rPr>
              <w:t>最高投标限价：</w:t>
            </w:r>
            <w:r>
              <w:rPr>
                <w:rFonts w:hint="eastAsia" w:ascii="宋体" w:hAnsi="宋体" w:cs="宋体"/>
                <w:szCs w:val="21"/>
                <w:highlight w:val="none"/>
                <w:shd w:val="clear" w:color="auto" w:fill="FFFFFF"/>
              </w:rPr>
              <w:t>本项目最高投标限价总价为</w:t>
            </w:r>
            <w:r>
              <w:rPr>
                <w:rFonts w:hint="eastAsia" w:ascii="宋体" w:hAnsi="宋体" w:cs="宋体"/>
                <w:szCs w:val="21"/>
                <w:highlight w:val="none"/>
                <w:u w:val="single"/>
                <w:shd w:val="clear" w:color="auto" w:fill="FFFFFF"/>
              </w:rPr>
              <w:t xml:space="preserve"> </w:t>
            </w:r>
            <w:r>
              <w:rPr>
                <w:rFonts w:hint="eastAsia" w:ascii="宋体" w:hAnsi="宋体" w:cs="宋体"/>
                <w:bCs/>
                <w:szCs w:val="21"/>
                <w:highlight w:val="none"/>
                <w:u w:val="single"/>
                <w:lang w:val="en-US" w:eastAsia="zh-CN"/>
              </w:rPr>
              <w:t>1271.56</w:t>
            </w:r>
            <w:r>
              <w:rPr>
                <w:rFonts w:hint="eastAsia" w:ascii="宋体" w:hAnsi="宋体" w:cs="宋体"/>
                <w:szCs w:val="21"/>
                <w:highlight w:val="none"/>
                <w:u w:val="single"/>
                <w:shd w:val="clear" w:color="auto" w:fill="FFFFFF"/>
              </w:rPr>
              <w:t>万</w:t>
            </w:r>
            <w:r>
              <w:rPr>
                <w:rFonts w:hint="eastAsia" w:ascii="宋体" w:hAnsi="宋体" w:cs="宋体"/>
                <w:szCs w:val="21"/>
                <w:highlight w:val="none"/>
                <w:shd w:val="clear" w:color="auto" w:fill="FFFFFF"/>
              </w:rPr>
              <w:t>元；其中：建安工程费最高投标限价为</w:t>
            </w:r>
            <w:r>
              <w:rPr>
                <w:rFonts w:hint="eastAsia" w:ascii="宋体" w:hAnsi="宋体" w:cs="宋体"/>
                <w:bCs/>
                <w:szCs w:val="21"/>
                <w:highlight w:val="none"/>
                <w:u w:val="single"/>
                <w:lang w:val="en-US" w:eastAsia="zh-CN"/>
              </w:rPr>
              <w:t>1239.87</w:t>
            </w:r>
            <w:r>
              <w:rPr>
                <w:rFonts w:hint="eastAsia" w:ascii="宋体" w:hAnsi="宋体" w:cs="宋体"/>
                <w:szCs w:val="21"/>
                <w:highlight w:val="none"/>
                <w:u w:val="single"/>
                <w:shd w:val="clear" w:color="auto" w:fill="FFFFFF"/>
              </w:rPr>
              <w:t>万</w:t>
            </w:r>
            <w:r>
              <w:rPr>
                <w:rFonts w:hint="eastAsia" w:ascii="宋体" w:hAnsi="宋体" w:cs="宋体"/>
                <w:szCs w:val="21"/>
                <w:highlight w:val="none"/>
                <w:shd w:val="clear" w:color="auto" w:fill="FFFFFF"/>
              </w:rPr>
              <w:t>元，设计费最高投标限价为</w:t>
            </w:r>
            <w:r>
              <w:rPr>
                <w:rFonts w:hint="eastAsia" w:ascii="宋体" w:hAnsi="宋体" w:cs="宋体"/>
                <w:bCs/>
                <w:szCs w:val="21"/>
                <w:highlight w:val="none"/>
                <w:u w:val="single"/>
                <w:lang w:val="en-US" w:eastAsia="zh-CN"/>
              </w:rPr>
              <w:t>31.69</w:t>
            </w:r>
            <w:r>
              <w:rPr>
                <w:rFonts w:hint="eastAsia" w:ascii="宋体" w:hAnsi="宋体" w:cs="宋体"/>
                <w:szCs w:val="21"/>
                <w:highlight w:val="none"/>
                <w:u w:val="single"/>
                <w:shd w:val="clear" w:color="auto" w:fill="FFFFFF"/>
              </w:rPr>
              <w:t>万元</w:t>
            </w:r>
            <w:r>
              <w:rPr>
                <w:rFonts w:hint="eastAsia" w:ascii="宋体" w:hAnsi="宋体" w:cs="宋体"/>
                <w:kern w:val="0"/>
                <w:szCs w:val="21"/>
                <w:highlight w:val="none"/>
                <w:u w:val="single"/>
              </w:rPr>
              <w:t>。</w:t>
            </w:r>
          </w:p>
          <w:p w14:paraId="5D4E6052">
            <w:pPr>
              <w:snapToGrid w:val="0"/>
              <w:ind w:right="-59" w:rightChars="-28"/>
              <w:rPr>
                <w:highlight w:val="none"/>
              </w:rPr>
            </w:pPr>
            <w:r>
              <w:rPr>
                <w:rFonts w:hint="eastAsia" w:ascii="宋体" w:hAnsi="宋体" w:cs="宋体"/>
                <w:b/>
                <w:kern w:val="0"/>
                <w:szCs w:val="21"/>
                <w:highlight w:val="none"/>
                <w:u w:val="single"/>
              </w:rPr>
              <w:t>注：（1）投标人未按要求报价或投标报价（含投标总报价、建安工程费报价、设计费报价）超过上述相应最高投标限价的为无效标。</w:t>
            </w:r>
          </w:p>
        </w:tc>
      </w:tr>
      <w:tr w14:paraId="16829E63">
        <w:tblPrEx>
          <w:tblCellMar>
            <w:top w:w="57" w:type="dxa"/>
            <w:left w:w="108" w:type="dxa"/>
            <w:bottom w:w="57" w:type="dxa"/>
            <w:right w:w="108" w:type="dxa"/>
          </w:tblCellMar>
        </w:tblPrEx>
        <w:trPr>
          <w:trHeight w:val="5259" w:hRule="atLeast"/>
        </w:trPr>
        <w:tc>
          <w:tcPr>
            <w:tcW w:w="511" w:type="pct"/>
            <w:tcBorders>
              <w:top w:val="single" w:color="auto" w:sz="4" w:space="0"/>
              <w:left w:val="single" w:color="auto" w:sz="4" w:space="0"/>
              <w:bottom w:val="single" w:color="auto" w:sz="4" w:space="0"/>
              <w:right w:val="single" w:color="auto" w:sz="4" w:space="0"/>
            </w:tcBorders>
            <w:vAlign w:val="center"/>
          </w:tcPr>
          <w:p w14:paraId="1E5A4875">
            <w:pPr>
              <w:snapToGrid w:val="0"/>
              <w:spacing w:line="240" w:lineRule="exact"/>
              <w:ind w:left="-55" w:leftChars="-26" w:right="-59" w:rightChars="-28"/>
              <w:jc w:val="center"/>
              <w:rPr>
                <w:rFonts w:hint="eastAsia" w:ascii="宋体" w:hAnsi="宋体" w:cs="宋体"/>
                <w:szCs w:val="21"/>
                <w:highlight w:val="none"/>
              </w:rPr>
            </w:pPr>
            <w:r>
              <w:rPr>
                <w:rFonts w:hint="eastAsia" w:ascii="宋体"/>
                <w:szCs w:val="21"/>
                <w:highlight w:val="none"/>
              </w:rPr>
              <w:t>3.2.3.2</w:t>
            </w:r>
          </w:p>
        </w:tc>
        <w:tc>
          <w:tcPr>
            <w:tcW w:w="1510" w:type="pct"/>
            <w:tcBorders>
              <w:top w:val="single" w:color="auto" w:sz="4" w:space="0"/>
              <w:left w:val="single" w:color="auto" w:sz="4" w:space="0"/>
              <w:bottom w:val="single" w:color="auto" w:sz="4" w:space="0"/>
              <w:right w:val="single" w:color="auto" w:sz="4" w:space="0"/>
            </w:tcBorders>
            <w:vAlign w:val="center"/>
          </w:tcPr>
          <w:p w14:paraId="34E54D52">
            <w:pPr>
              <w:snapToGrid w:val="0"/>
              <w:ind w:left="-55" w:leftChars="-26" w:right="-59" w:rightChars="-28"/>
              <w:jc w:val="center"/>
              <w:rPr>
                <w:rFonts w:hint="eastAsia" w:ascii="宋体" w:hAnsi="宋体" w:cs="宋体"/>
                <w:szCs w:val="21"/>
                <w:highlight w:val="none"/>
              </w:rPr>
            </w:pPr>
            <w:r>
              <w:rPr>
                <w:rFonts w:hint="eastAsia" w:ascii="宋体" w:hAnsi="宋体" w:cs="宋体"/>
                <w:szCs w:val="21"/>
                <w:highlight w:val="none"/>
              </w:rPr>
              <w:t>投标报价的其他要求</w:t>
            </w:r>
          </w:p>
        </w:tc>
        <w:tc>
          <w:tcPr>
            <w:tcW w:w="2978" w:type="pct"/>
            <w:tcBorders>
              <w:top w:val="single" w:color="auto" w:sz="4" w:space="0"/>
              <w:left w:val="single" w:color="auto" w:sz="4" w:space="0"/>
              <w:bottom w:val="single" w:color="auto" w:sz="4" w:space="0"/>
              <w:right w:val="single" w:color="auto" w:sz="4" w:space="0"/>
            </w:tcBorders>
            <w:vAlign w:val="center"/>
          </w:tcPr>
          <w:p w14:paraId="3F744EC5">
            <w:pPr>
              <w:widowControl/>
              <w:snapToGrid w:val="0"/>
              <w:ind w:right="-59" w:rightChars="-28"/>
              <w:rPr>
                <w:rFonts w:hint="eastAsia" w:ascii="宋体" w:hAnsi="宋体" w:cs="宋体"/>
                <w:kern w:val="0"/>
                <w:szCs w:val="21"/>
                <w:highlight w:val="none"/>
              </w:rPr>
            </w:pPr>
            <w:r>
              <w:rPr>
                <w:rFonts w:hint="eastAsia" w:ascii="宋体" w:hAnsi="宋体" w:cs="宋体"/>
                <w:kern w:val="0"/>
                <w:szCs w:val="21"/>
                <w:highlight w:val="none"/>
              </w:rPr>
              <w:t>投标报价由设计费报价与建安工程费报价组成。</w:t>
            </w:r>
          </w:p>
          <w:p w14:paraId="24C059D5">
            <w:pPr>
              <w:widowControl/>
              <w:snapToGrid w:val="0"/>
              <w:ind w:right="-59" w:rightChars="-28"/>
              <w:rPr>
                <w:rFonts w:hint="eastAsia" w:ascii="宋体" w:hAnsi="宋体" w:cs="宋体"/>
                <w:kern w:val="0"/>
                <w:szCs w:val="21"/>
                <w:highlight w:val="none"/>
              </w:rPr>
            </w:pPr>
            <w:r>
              <w:rPr>
                <w:rFonts w:hint="eastAsia" w:ascii="宋体" w:hAnsi="宋体" w:cs="宋体"/>
                <w:kern w:val="0"/>
                <w:szCs w:val="21"/>
                <w:highlight w:val="none"/>
              </w:rPr>
              <w:t>（1）设计费：工程设计费为总价包干，设计费按国家计委、建设部颁发的《工程勘察设计收费标准》（计价格[2002]10号）及穗开财字[2014]53号文下浮</w:t>
            </w:r>
            <w:r>
              <w:rPr>
                <w:rFonts w:hint="eastAsia" w:ascii="宋体" w:hAnsi="宋体" w:cs="宋体"/>
                <w:kern w:val="0"/>
                <w:szCs w:val="21"/>
                <w:highlight w:val="none"/>
                <w:lang w:val="en-US" w:eastAsia="zh-CN"/>
              </w:rPr>
              <w:t>20</w:t>
            </w:r>
            <w:r>
              <w:rPr>
                <w:rFonts w:hint="eastAsia" w:ascii="宋体" w:hAnsi="宋体" w:cs="宋体"/>
                <w:kern w:val="0"/>
                <w:szCs w:val="21"/>
                <w:highlight w:val="none"/>
              </w:rPr>
              <w:t>%并结合中标下浮率计取。设计收费结算以审定概算建安工程费为计费额。投标报价由投标人根据招标文件要求以及企业自身情况填报报价及下浮率。结算方式详见合同约定的相应条款。</w:t>
            </w:r>
          </w:p>
          <w:p w14:paraId="7E8D9209">
            <w:pPr>
              <w:widowControl/>
              <w:snapToGrid w:val="0"/>
              <w:ind w:right="-59" w:rightChars="-28"/>
              <w:rPr>
                <w:rFonts w:hint="eastAsia" w:ascii="宋体" w:hAnsi="宋体" w:cs="宋体"/>
                <w:kern w:val="0"/>
                <w:szCs w:val="21"/>
                <w:highlight w:val="none"/>
              </w:rPr>
            </w:pPr>
            <w:r>
              <w:rPr>
                <w:rFonts w:hint="eastAsia" w:ascii="宋体" w:hAnsi="宋体" w:cs="宋体"/>
                <w:kern w:val="0"/>
                <w:szCs w:val="21"/>
                <w:highlight w:val="none"/>
              </w:rPr>
              <w:t>该设计费已包含该项目的全部设计内容及后续项目的变更的设计工作量。</w:t>
            </w:r>
          </w:p>
          <w:p w14:paraId="2CD05C86">
            <w:pPr>
              <w:widowControl/>
              <w:snapToGrid w:val="0"/>
              <w:ind w:right="-59" w:rightChars="-28"/>
              <w:rPr>
                <w:rFonts w:hint="eastAsia" w:ascii="宋体" w:hAnsi="宋体" w:cs="宋体"/>
                <w:kern w:val="0"/>
                <w:szCs w:val="21"/>
                <w:highlight w:val="none"/>
              </w:rPr>
            </w:pPr>
            <w:r>
              <w:rPr>
                <w:rFonts w:hint="eastAsia" w:ascii="宋体" w:hAnsi="宋体" w:cs="宋体"/>
                <w:kern w:val="0"/>
                <w:szCs w:val="21"/>
                <w:highlight w:val="none"/>
              </w:rPr>
              <w:t>（2）建安工程费：由投标人根据招标文件要求以及企业自身情况填报下浮率。结算方式详见合同约定的相应条款。</w:t>
            </w:r>
          </w:p>
          <w:p w14:paraId="69F7BF07">
            <w:pPr>
              <w:widowControl/>
              <w:snapToGrid w:val="0"/>
              <w:ind w:right="-59" w:rightChars="-28"/>
              <w:rPr>
                <w:rFonts w:hint="eastAsia" w:ascii="宋体" w:hAnsi="宋体" w:cs="宋体"/>
                <w:szCs w:val="21"/>
                <w:highlight w:val="none"/>
              </w:rPr>
            </w:pPr>
            <w:r>
              <w:rPr>
                <w:rFonts w:hint="eastAsia" w:ascii="宋体" w:hAnsi="宋体" w:cs="宋体"/>
                <w:kern w:val="0"/>
                <w:szCs w:val="21"/>
                <w:highlight w:val="none"/>
              </w:rPr>
              <w:t>对低于成本警戒价[本工程成本警戒价，按建安工程费投标最高限价的85%设置（即</w:t>
            </w:r>
            <w:r>
              <w:rPr>
                <w:rFonts w:hint="eastAsia" w:ascii="宋体" w:hAnsi="宋体" w:cs="宋体"/>
                <w:kern w:val="0"/>
                <w:szCs w:val="21"/>
                <w:highlight w:val="none"/>
                <w:lang w:val="en-US" w:eastAsia="zh-CN"/>
              </w:rPr>
              <w:t>1053.89</w:t>
            </w:r>
            <w:r>
              <w:rPr>
                <w:rFonts w:hint="eastAsia" w:ascii="宋体" w:hAnsi="宋体" w:cs="宋体"/>
                <w:kern w:val="0"/>
                <w:szCs w:val="21"/>
                <w:highlight w:val="none"/>
              </w:rPr>
              <w:t>万元）]的投标报价，投标人必须提供详细的施工组织设计、单价、措施性费用、单价分析表、主要材料价格表、投标人成本分析供评标委员会评审，由评标委员会判定其是否低于企业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038B2E15">
        <w:tblPrEx>
          <w:tblCellMar>
            <w:top w:w="57" w:type="dxa"/>
            <w:left w:w="108" w:type="dxa"/>
            <w:bottom w:w="57" w:type="dxa"/>
            <w:right w:w="108" w:type="dxa"/>
          </w:tblCellMar>
        </w:tblPrEx>
        <w:trPr>
          <w:trHeight w:val="1229" w:hRule="atLeast"/>
        </w:trPr>
        <w:tc>
          <w:tcPr>
            <w:tcW w:w="511" w:type="pct"/>
            <w:tcBorders>
              <w:top w:val="single" w:color="auto" w:sz="4" w:space="0"/>
              <w:left w:val="single" w:color="auto" w:sz="4" w:space="0"/>
              <w:bottom w:val="single" w:color="auto" w:sz="4" w:space="0"/>
              <w:right w:val="single" w:color="auto" w:sz="4" w:space="0"/>
            </w:tcBorders>
            <w:vAlign w:val="center"/>
          </w:tcPr>
          <w:p w14:paraId="3992ECFE">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3.3.1</w:t>
            </w:r>
          </w:p>
        </w:tc>
        <w:tc>
          <w:tcPr>
            <w:tcW w:w="1510" w:type="pct"/>
            <w:tcBorders>
              <w:top w:val="single" w:color="auto" w:sz="4" w:space="0"/>
              <w:left w:val="single" w:color="auto" w:sz="4" w:space="0"/>
              <w:bottom w:val="single" w:color="auto" w:sz="4" w:space="0"/>
              <w:right w:val="single" w:color="auto" w:sz="4" w:space="0"/>
            </w:tcBorders>
            <w:vAlign w:val="center"/>
          </w:tcPr>
          <w:p w14:paraId="31245619">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投标有效期</w:t>
            </w:r>
          </w:p>
        </w:tc>
        <w:tc>
          <w:tcPr>
            <w:tcW w:w="2978" w:type="pct"/>
            <w:tcBorders>
              <w:top w:val="single" w:color="auto" w:sz="4" w:space="0"/>
              <w:left w:val="single" w:color="auto" w:sz="4" w:space="0"/>
              <w:bottom w:val="single" w:color="auto" w:sz="4" w:space="0"/>
              <w:right w:val="single" w:color="auto" w:sz="4" w:space="0"/>
            </w:tcBorders>
            <w:vAlign w:val="center"/>
          </w:tcPr>
          <w:p w14:paraId="4EECB842">
            <w:pPr>
              <w:snapToGrid w:val="0"/>
              <w:ind w:left="-55" w:leftChars="-26" w:right="-59" w:rightChars="-28"/>
              <w:rPr>
                <w:rFonts w:hint="eastAsia" w:ascii="宋体" w:hAnsi="宋体" w:cs="宋体"/>
                <w:szCs w:val="21"/>
                <w:highlight w:val="none"/>
              </w:rPr>
            </w:pPr>
            <w:r>
              <w:rPr>
                <w:rFonts w:hint="eastAsia" w:ascii="宋体" w:hAnsi="宋体" w:cs="宋体"/>
                <w:szCs w:val="21"/>
                <w:highlight w:val="none"/>
                <w:u w:val="single"/>
              </w:rPr>
              <w:t xml:space="preserve"> 90 </w:t>
            </w:r>
            <w:r>
              <w:rPr>
                <w:rFonts w:hint="eastAsia" w:ascii="宋体" w:hAnsi="宋体" w:cs="宋体"/>
                <w:szCs w:val="21"/>
                <w:highlight w:val="none"/>
              </w:rPr>
              <w:t>日历天</w:t>
            </w:r>
            <w:r>
              <w:rPr>
                <w:rFonts w:hint="eastAsia" w:ascii="宋体" w:hAnsi="宋体" w:cs="宋体"/>
                <w:kern w:val="0"/>
                <w:szCs w:val="21"/>
                <w:highlight w:val="none"/>
              </w:rPr>
              <w:t>（从递交投标文件截止之日计起），如出现异议或投诉，则投标有效期自动延长至异议或投诉处理结束，确定中标人并发放中标通知书为止。中标人的投标有效期自动延期至合同履行完毕。</w:t>
            </w:r>
          </w:p>
        </w:tc>
      </w:tr>
      <w:tr w14:paraId="035EE182">
        <w:tblPrEx>
          <w:tblCellMar>
            <w:top w:w="57" w:type="dxa"/>
            <w:left w:w="108" w:type="dxa"/>
            <w:bottom w:w="57" w:type="dxa"/>
            <w:right w:w="108" w:type="dxa"/>
          </w:tblCellMar>
        </w:tblPrEx>
        <w:trPr>
          <w:trHeight w:val="90" w:hRule="atLeast"/>
        </w:trPr>
        <w:tc>
          <w:tcPr>
            <w:tcW w:w="511" w:type="pct"/>
            <w:tcBorders>
              <w:top w:val="single" w:color="auto" w:sz="4" w:space="0"/>
              <w:left w:val="single" w:color="auto" w:sz="4" w:space="0"/>
              <w:bottom w:val="single" w:color="auto" w:sz="4" w:space="0"/>
              <w:right w:val="single" w:color="auto" w:sz="4" w:space="0"/>
            </w:tcBorders>
            <w:vAlign w:val="center"/>
          </w:tcPr>
          <w:p w14:paraId="51FC75ED">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3.4.1</w:t>
            </w:r>
          </w:p>
        </w:tc>
        <w:tc>
          <w:tcPr>
            <w:tcW w:w="1510" w:type="pct"/>
            <w:tcBorders>
              <w:top w:val="single" w:color="auto" w:sz="4" w:space="0"/>
              <w:left w:val="single" w:color="auto" w:sz="4" w:space="0"/>
              <w:bottom w:val="single" w:color="auto" w:sz="4" w:space="0"/>
              <w:right w:val="single" w:color="auto" w:sz="4" w:space="0"/>
            </w:tcBorders>
            <w:vAlign w:val="center"/>
          </w:tcPr>
          <w:p w14:paraId="11A6DC38">
            <w:pPr>
              <w:jc w:val="center"/>
              <w:rPr>
                <w:rFonts w:hint="eastAsia" w:ascii="宋体" w:hAnsi="宋体" w:cs="宋体"/>
                <w:szCs w:val="21"/>
                <w:highlight w:val="none"/>
              </w:rPr>
            </w:pPr>
            <w:r>
              <w:rPr>
                <w:rFonts w:hint="eastAsia" w:ascii="宋体" w:hAnsi="宋体" w:cs="宋体"/>
                <w:szCs w:val="21"/>
                <w:highlight w:val="none"/>
              </w:rPr>
              <w:t>投标担保</w:t>
            </w:r>
          </w:p>
        </w:tc>
        <w:tc>
          <w:tcPr>
            <w:tcW w:w="2978" w:type="pct"/>
            <w:tcBorders>
              <w:top w:val="single" w:color="auto" w:sz="4" w:space="0"/>
              <w:left w:val="single" w:color="auto" w:sz="4" w:space="0"/>
              <w:bottom w:val="single" w:color="auto" w:sz="4" w:space="0"/>
              <w:right w:val="single" w:color="auto" w:sz="4" w:space="0"/>
            </w:tcBorders>
            <w:vAlign w:val="center"/>
          </w:tcPr>
          <w:p w14:paraId="76869E20">
            <w:pPr>
              <w:keepNext w:val="0"/>
              <w:keepLines w:val="0"/>
              <w:widowControl/>
              <w:suppressLineNumbers w:val="0"/>
              <w:shd w:val="clear"/>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投标担保的金额：人民币</w:t>
            </w:r>
            <w:r>
              <w:rPr>
                <w:rFonts w:hint="eastAsia" w:ascii="宋体" w:hAnsi="宋体" w:cs="宋体"/>
                <w:b/>
                <w:bCs/>
                <w:color w:val="auto"/>
                <w:szCs w:val="21"/>
                <w:highlight w:val="none"/>
                <w:u w:val="single"/>
                <w:lang w:val="en-US" w:eastAsia="zh-CN"/>
              </w:rPr>
              <w:t>20</w:t>
            </w:r>
            <w:r>
              <w:rPr>
                <w:rFonts w:hint="eastAsia" w:ascii="宋体" w:hAnsi="宋体" w:cs="宋体"/>
                <w:color w:val="auto"/>
                <w:szCs w:val="21"/>
                <w:highlight w:val="none"/>
              </w:rPr>
              <w:t>万元</w:t>
            </w:r>
          </w:p>
          <w:p w14:paraId="67ECAE63">
            <w:pPr>
              <w:keepNext w:val="0"/>
              <w:keepLines w:val="0"/>
              <w:widowControl/>
              <w:suppressLineNumbers w:val="0"/>
              <w:shd w:val="clear"/>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投标保证金有效期：大于或等于投标有效期。</w:t>
            </w:r>
          </w:p>
          <w:p w14:paraId="14F43DDC">
            <w:pPr>
              <w:keepNext w:val="0"/>
              <w:keepLines w:val="0"/>
              <w:suppressLineNumbers w:val="0"/>
              <w:shd w:val="clear"/>
              <w:spacing w:before="0" w:beforeAutospacing="0" w:after="0" w:afterAutospacing="0" w:line="240" w:lineRule="auto"/>
              <w:ind w:left="0" w:right="0" w:firstLine="0" w:firstLineChars="0"/>
              <w:rPr>
                <w:rFonts w:hint="default" w:ascii="Calibri" w:hAnsi="Calibri" w:cs="Times New Roman"/>
                <w:color w:val="auto"/>
                <w:highlight w:val="none"/>
              </w:rPr>
            </w:pPr>
            <w:r>
              <w:rPr>
                <w:rFonts w:hint="eastAsia" w:ascii="Calibri" w:hAnsi="Calibri" w:cs="Times New Roman"/>
                <w:color w:val="auto"/>
                <w:highlight w:val="none"/>
              </w:rPr>
              <w:t>缴纳时间：投标</w:t>
            </w:r>
            <w:r>
              <w:rPr>
                <w:rFonts w:hint="eastAsia" w:ascii="Calibri" w:hAnsi="Calibri" w:cs="Times New Roman"/>
                <w:color w:val="auto"/>
                <w:highlight w:val="none"/>
                <w:lang w:val="en-US" w:eastAsia="zh-CN"/>
              </w:rPr>
              <w:t>保证金</w:t>
            </w:r>
            <w:r>
              <w:rPr>
                <w:rFonts w:hint="eastAsia" w:ascii="Calibri" w:hAnsi="Calibri" w:cs="Times New Roman"/>
                <w:color w:val="auto"/>
                <w:highlight w:val="none"/>
              </w:rPr>
              <w:t>，须在递交投标文件截止时间前完成缴纳，</w:t>
            </w:r>
            <w:r>
              <w:rPr>
                <w:rFonts w:hint="eastAsia" w:ascii="Calibri" w:hAnsi="Calibri" w:cs="Times New Roman"/>
                <w:b/>
                <w:bCs/>
                <w:color w:val="auto"/>
                <w:highlight w:val="none"/>
                <w:u w:val="single"/>
              </w:rPr>
              <w:t>对于联合体投标人，投标</w:t>
            </w:r>
            <w:r>
              <w:rPr>
                <w:rFonts w:hint="eastAsia" w:ascii="Calibri" w:hAnsi="Calibri" w:cs="Times New Roman"/>
                <w:b/>
                <w:bCs/>
                <w:color w:val="auto"/>
                <w:highlight w:val="none"/>
                <w:u w:val="single"/>
                <w:lang w:val="en-US" w:eastAsia="zh-CN"/>
              </w:rPr>
              <w:t>保证金</w:t>
            </w:r>
            <w:r>
              <w:rPr>
                <w:rFonts w:hint="eastAsia" w:ascii="Calibri" w:hAnsi="Calibri" w:cs="Times New Roman"/>
                <w:b/>
                <w:bCs/>
                <w:color w:val="auto"/>
                <w:highlight w:val="none"/>
                <w:u w:val="single"/>
              </w:rPr>
              <w:t>由联合体主办方缴纳</w:t>
            </w:r>
            <w:r>
              <w:rPr>
                <w:rFonts w:hint="eastAsia" w:ascii="Calibri" w:hAnsi="Calibri" w:cs="Times New Roman"/>
                <w:color w:val="auto"/>
                <w:highlight w:val="none"/>
              </w:rPr>
              <w:t>。</w:t>
            </w:r>
          </w:p>
          <w:p w14:paraId="1E50298A">
            <w:pPr>
              <w:keepNext w:val="0"/>
              <w:keepLines w:val="0"/>
              <w:suppressLineNumbers w:val="0"/>
              <w:shd w:val="clear"/>
              <w:spacing w:before="0" w:beforeAutospacing="0" w:after="0" w:afterAutospacing="0" w:line="240" w:lineRule="auto"/>
              <w:ind w:left="0" w:right="0" w:firstLine="0" w:firstLineChars="0"/>
              <w:rPr>
                <w:rFonts w:hint="default" w:ascii="Calibri" w:hAnsi="Calibri" w:cs="Times New Roman"/>
                <w:color w:val="auto"/>
                <w:highlight w:val="none"/>
              </w:rPr>
            </w:pPr>
            <w:r>
              <w:rPr>
                <w:rFonts w:hint="eastAsia" w:ascii="Calibri" w:hAnsi="Calibri" w:cs="Times New Roman"/>
                <w:color w:val="auto"/>
                <w:highlight w:val="none"/>
              </w:rPr>
              <w:t>1、投标保证金可采用现金、支票、汇票、信用证、保函、保险等能够实现保证目的的方式。</w:t>
            </w:r>
          </w:p>
          <w:p w14:paraId="58D87CB5">
            <w:pPr>
              <w:keepNext w:val="0"/>
              <w:keepLines w:val="0"/>
              <w:suppressLineNumbers w:val="0"/>
              <w:shd w:val="clear"/>
              <w:spacing w:before="0" w:beforeAutospacing="0" w:after="0" w:afterAutospacing="0" w:line="240" w:lineRule="auto"/>
              <w:ind w:left="0" w:right="0" w:firstLine="0" w:firstLineChars="0"/>
              <w:rPr>
                <w:rFonts w:hint="default" w:ascii="Calibri" w:hAnsi="Calibri" w:cs="Times New Roman"/>
                <w:color w:val="auto"/>
                <w:highlight w:val="none"/>
              </w:rPr>
            </w:pPr>
            <w:r>
              <w:rPr>
                <w:rFonts w:hint="default" w:ascii="Calibri" w:hAnsi="Calibri" w:cs="Times New Roman"/>
                <w:color w:val="auto"/>
                <w:highlight w:val="none"/>
              </w:rPr>
              <w:t>2</w:t>
            </w:r>
            <w:r>
              <w:rPr>
                <w:rFonts w:hint="eastAsia" w:ascii="Calibri" w:hAnsi="Calibri" w:cs="Times New Roman"/>
                <w:color w:val="auto"/>
                <w:highlight w:val="none"/>
              </w:rPr>
              <w:t>、如采用现金、支票或汇票形式提交的，由</w:t>
            </w:r>
            <w:r>
              <w:rPr>
                <w:rFonts w:hint="eastAsia" w:ascii="Calibri" w:hAnsi="Calibri" w:eastAsia="宋体" w:cs="Times New Roman"/>
                <w:color w:val="auto"/>
                <w:highlight w:val="none"/>
                <w:lang w:eastAsia="zh-CN"/>
              </w:rPr>
              <w:t>广州交易集团有限公司（广州公共资源交易中心）</w:t>
            </w:r>
            <w:r>
              <w:rPr>
                <w:rFonts w:hint="eastAsia" w:ascii="Calibri" w:hAnsi="Calibri" w:cs="Times New Roman"/>
                <w:color w:val="auto"/>
                <w:highlight w:val="none"/>
              </w:rPr>
              <w:t>代收（保证金从投标人基本账户转账至</w:t>
            </w:r>
            <w:r>
              <w:rPr>
                <w:rFonts w:hint="eastAsia" w:ascii="Calibri" w:hAnsi="Calibri" w:eastAsia="宋体" w:cs="Times New Roman"/>
                <w:color w:val="auto"/>
                <w:highlight w:val="none"/>
                <w:lang w:eastAsia="zh-CN"/>
              </w:rPr>
              <w:t>广州交易集团有限公司（广州公共资源交易中心）</w:t>
            </w:r>
            <w:r>
              <w:rPr>
                <w:rFonts w:hint="eastAsia" w:ascii="Calibri" w:hAnsi="Calibri" w:cs="Times New Roman"/>
                <w:color w:val="auto"/>
                <w:highlight w:val="none"/>
              </w:rPr>
              <w:t>）。具体操作要求详见</w:t>
            </w:r>
            <w:r>
              <w:rPr>
                <w:rFonts w:hint="eastAsia" w:ascii="Calibri" w:hAnsi="Calibri" w:eastAsia="宋体" w:cs="Times New Roman"/>
                <w:color w:val="auto"/>
                <w:highlight w:val="none"/>
                <w:lang w:eastAsia="zh-CN"/>
              </w:rPr>
              <w:t>广州交易集团有限公司（广州公共资源交易中心）</w:t>
            </w:r>
            <w:r>
              <w:rPr>
                <w:rFonts w:hint="eastAsia" w:ascii="Calibri" w:hAnsi="Calibri" w:cs="Times New Roman"/>
                <w:color w:val="auto"/>
                <w:highlight w:val="none"/>
              </w:rPr>
              <w:t>最新的投标保证金缴纳操作流程及有关指引，递交事宜请自行咨询交易中心；请各投标人在投标文件递交截止时间前按上述金额递交至</w:t>
            </w:r>
            <w:r>
              <w:rPr>
                <w:rFonts w:hint="eastAsia" w:ascii="Calibri" w:hAnsi="Calibri" w:eastAsia="宋体" w:cs="Times New Roman"/>
                <w:color w:val="auto"/>
                <w:highlight w:val="none"/>
                <w:lang w:eastAsia="zh-CN"/>
              </w:rPr>
              <w:t>广州交易集团有限公司（广州公共资源交易中心）</w:t>
            </w:r>
            <w:r>
              <w:rPr>
                <w:rFonts w:hint="eastAsia" w:ascii="Calibri" w:hAnsi="Calibri" w:cs="Times New Roman"/>
                <w:color w:val="auto"/>
                <w:highlight w:val="none"/>
              </w:rPr>
              <w:t>，到账情况以开标时</w:t>
            </w:r>
            <w:r>
              <w:rPr>
                <w:rFonts w:hint="eastAsia" w:ascii="Calibri" w:hAnsi="Calibri" w:eastAsia="宋体" w:cs="Times New Roman"/>
                <w:color w:val="auto"/>
                <w:highlight w:val="none"/>
                <w:lang w:eastAsia="zh-CN"/>
              </w:rPr>
              <w:t>广州交易集团有限公司（广州公共资源交易中心）</w:t>
            </w:r>
            <w:r>
              <w:rPr>
                <w:rFonts w:hint="eastAsia" w:ascii="Calibri" w:hAnsi="Calibri" w:cs="Times New Roman"/>
                <w:color w:val="auto"/>
                <w:highlight w:val="none"/>
              </w:rPr>
              <w:t>数据库查询的信息为准。</w:t>
            </w:r>
          </w:p>
          <w:p w14:paraId="6F83A18D">
            <w:pPr>
              <w:keepNext w:val="0"/>
              <w:keepLines w:val="0"/>
              <w:suppressLineNumbers w:val="0"/>
              <w:shd w:val="clear"/>
              <w:spacing w:before="0" w:beforeAutospacing="0" w:after="0" w:afterAutospacing="0" w:line="240" w:lineRule="auto"/>
              <w:ind w:left="0" w:right="0" w:firstLine="0" w:firstLineChars="0"/>
              <w:rPr>
                <w:rFonts w:hint="default" w:ascii="Calibri" w:hAnsi="Calibri" w:cs="Times New Roman"/>
                <w:color w:val="auto"/>
                <w:highlight w:val="none"/>
              </w:rPr>
            </w:pPr>
            <w:r>
              <w:rPr>
                <w:rFonts w:hint="eastAsia" w:ascii="Calibri" w:hAnsi="Calibri" w:cs="Times New Roman"/>
                <w:color w:val="auto"/>
                <w:highlight w:val="none"/>
              </w:rPr>
              <w:t>3、如采用非电子形式的投标保函或投标保证保险【银行保函或保险需开具给招标人（受益人也必须是招标人）】。提交投标保证金的，在开标前不强制要求投标人提交纸质原件，由中标候选人在中标候选人公示前提交并在网上公示，投标人应在投标文件中提交投标保函或投标保证保险扫描件并加盖投标人公章。</w:t>
            </w:r>
          </w:p>
          <w:p w14:paraId="33A48FF0">
            <w:pPr>
              <w:keepNext w:val="0"/>
              <w:keepLines w:val="0"/>
              <w:suppressLineNumbers w:val="0"/>
              <w:shd w:val="clear"/>
              <w:spacing w:before="0" w:beforeAutospacing="0" w:after="0" w:afterAutospacing="0" w:line="240" w:lineRule="auto"/>
              <w:ind w:left="0" w:right="0" w:firstLine="0" w:firstLineChars="0"/>
              <w:rPr>
                <w:rFonts w:hint="default" w:ascii="Calibri" w:hAnsi="Calibri" w:cs="Times New Roman"/>
                <w:color w:val="auto"/>
                <w:highlight w:val="none"/>
              </w:rPr>
            </w:pPr>
            <w:r>
              <w:rPr>
                <w:rFonts w:hint="eastAsia" w:ascii="Calibri" w:hAnsi="Calibri" w:cs="Times New Roman"/>
                <w:color w:val="auto"/>
                <w:highlight w:val="none"/>
              </w:rPr>
              <w:t>纸质保函或保险等凭证纸质原件也可在投标截止时间前将原件单独密封（封口处加盖投标人单位公章）递交至开标室。递交纸质保函或保险等凭证纸质原件时需提供法定代表人证明书；委托投标的还应提供法人授权委托证明书。</w:t>
            </w:r>
          </w:p>
          <w:p w14:paraId="2B7E43F7">
            <w:pPr>
              <w:rPr>
                <w:rStyle w:val="49"/>
                <w:rFonts w:hint="eastAsia" w:hAnsi="宋体" w:cs="宋体"/>
                <w:highlight w:val="none"/>
              </w:rPr>
            </w:pPr>
            <w:r>
              <w:rPr>
                <w:rFonts w:hint="default" w:ascii="Calibri" w:hAnsi="Calibri" w:cs="Times New Roman"/>
                <w:color w:val="auto"/>
                <w:highlight w:val="none"/>
              </w:rPr>
              <w:t>4</w:t>
            </w:r>
            <w:r>
              <w:rPr>
                <w:rFonts w:hint="eastAsia" w:ascii="Calibri" w:hAnsi="Calibri" w:cs="Times New Roman"/>
                <w:color w:val="auto"/>
                <w:highlight w:val="none"/>
              </w:rPr>
              <w:t>、采用电子保函提交投标保证金的，具体操作要求详见</w:t>
            </w:r>
            <w:r>
              <w:rPr>
                <w:rFonts w:hint="eastAsia" w:ascii="Calibri" w:hAnsi="Calibri" w:eastAsia="宋体" w:cs="Times New Roman"/>
                <w:color w:val="auto"/>
                <w:highlight w:val="none"/>
                <w:lang w:eastAsia="zh-CN"/>
              </w:rPr>
              <w:t>广州交易集团有限公司（广州公共资源交易中心）</w:t>
            </w:r>
            <w:r>
              <w:rPr>
                <w:rFonts w:hint="eastAsia" w:ascii="Calibri" w:hAnsi="Calibri" w:cs="Times New Roman"/>
                <w:color w:val="auto"/>
                <w:highlight w:val="none"/>
              </w:rPr>
              <w:t>有关指引，递交事宜请自行咨询交易中心。</w:t>
            </w:r>
          </w:p>
        </w:tc>
      </w:tr>
      <w:tr w14:paraId="32913E5B">
        <w:tblPrEx>
          <w:tblCellMar>
            <w:top w:w="57" w:type="dxa"/>
            <w:left w:w="108" w:type="dxa"/>
            <w:bottom w:w="57" w:type="dxa"/>
            <w:right w:w="108" w:type="dxa"/>
          </w:tblCellMar>
        </w:tblPrEx>
        <w:trPr>
          <w:trHeight w:val="828" w:hRule="atLeast"/>
        </w:trPr>
        <w:tc>
          <w:tcPr>
            <w:tcW w:w="511" w:type="pct"/>
            <w:tcBorders>
              <w:top w:val="single" w:color="auto" w:sz="4" w:space="0"/>
              <w:left w:val="single" w:color="auto" w:sz="4" w:space="0"/>
              <w:bottom w:val="single" w:color="auto" w:sz="4" w:space="0"/>
              <w:right w:val="single" w:color="auto" w:sz="4" w:space="0"/>
            </w:tcBorders>
            <w:vAlign w:val="center"/>
          </w:tcPr>
          <w:p w14:paraId="4AD27157">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3.6</w:t>
            </w:r>
          </w:p>
        </w:tc>
        <w:tc>
          <w:tcPr>
            <w:tcW w:w="1510" w:type="pct"/>
            <w:tcBorders>
              <w:top w:val="single" w:color="auto" w:sz="4" w:space="0"/>
              <w:left w:val="single" w:color="auto" w:sz="4" w:space="0"/>
              <w:bottom w:val="single" w:color="auto" w:sz="4" w:space="0"/>
              <w:right w:val="single" w:color="auto" w:sz="4" w:space="0"/>
            </w:tcBorders>
            <w:vAlign w:val="center"/>
          </w:tcPr>
          <w:p w14:paraId="3B669C35">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是否允许递交备选投标方案</w:t>
            </w:r>
          </w:p>
        </w:tc>
        <w:tc>
          <w:tcPr>
            <w:tcW w:w="2978" w:type="pct"/>
            <w:tcBorders>
              <w:top w:val="single" w:color="auto" w:sz="4" w:space="0"/>
              <w:left w:val="single" w:color="auto" w:sz="4" w:space="0"/>
              <w:bottom w:val="single" w:color="auto" w:sz="4" w:space="0"/>
              <w:right w:val="single" w:color="auto" w:sz="4" w:space="0"/>
            </w:tcBorders>
            <w:vAlign w:val="center"/>
          </w:tcPr>
          <w:p w14:paraId="25B569D4">
            <w:pPr>
              <w:topLinePunct/>
              <w:snapToGrid w:val="0"/>
              <w:ind w:left="-55" w:leftChars="-26" w:right="-59" w:rightChars="-28"/>
              <w:rPr>
                <w:rFonts w:hint="eastAsia" w:ascii="宋体" w:hAnsi="宋体" w:cs="宋体"/>
                <w:szCs w:val="21"/>
                <w:highlight w:val="none"/>
              </w:rPr>
            </w:pPr>
            <w:r>
              <w:rPr>
                <w:rFonts w:hint="eastAsia" w:ascii="宋体" w:hAnsi="宋体" w:cs="宋体"/>
                <w:szCs w:val="21"/>
                <w:highlight w:val="none"/>
              </w:rPr>
              <w:t>■不允许</w:t>
            </w:r>
          </w:p>
          <w:p w14:paraId="2D89735A">
            <w:pPr>
              <w:snapToGrid w:val="0"/>
              <w:ind w:left="-55" w:leftChars="-26" w:right="-59" w:rightChars="-28"/>
              <w:rPr>
                <w:rFonts w:hint="eastAsia" w:ascii="宋体" w:hAnsi="宋体" w:cs="宋体"/>
                <w:szCs w:val="21"/>
                <w:highlight w:val="none"/>
              </w:rPr>
            </w:pPr>
            <w:r>
              <w:rPr>
                <w:rFonts w:hint="eastAsia" w:ascii="宋体" w:hAnsi="宋体" w:cs="宋体"/>
                <w:szCs w:val="21"/>
                <w:highlight w:val="none"/>
              </w:rPr>
              <w:t>□允许</w:t>
            </w:r>
          </w:p>
        </w:tc>
      </w:tr>
      <w:tr w14:paraId="352BE5AB">
        <w:tblPrEx>
          <w:tblCellMar>
            <w:top w:w="57" w:type="dxa"/>
            <w:left w:w="108" w:type="dxa"/>
            <w:bottom w:w="57" w:type="dxa"/>
            <w:right w:w="108" w:type="dxa"/>
          </w:tblCellMar>
        </w:tblPrEx>
        <w:trPr>
          <w:trHeight w:val="3553" w:hRule="atLeast"/>
        </w:trPr>
        <w:tc>
          <w:tcPr>
            <w:tcW w:w="511" w:type="pct"/>
            <w:tcBorders>
              <w:top w:val="single" w:color="auto" w:sz="4" w:space="0"/>
              <w:left w:val="single" w:color="auto" w:sz="4" w:space="0"/>
              <w:bottom w:val="single" w:color="auto" w:sz="4" w:space="0"/>
              <w:right w:val="single" w:color="auto" w:sz="4" w:space="0"/>
            </w:tcBorders>
            <w:vAlign w:val="center"/>
          </w:tcPr>
          <w:p w14:paraId="007D47C9">
            <w:pPr>
              <w:jc w:val="center"/>
              <w:rPr>
                <w:rFonts w:hint="eastAsia" w:ascii="宋体" w:hAnsi="宋体" w:cs="宋体"/>
                <w:szCs w:val="21"/>
                <w:highlight w:val="none"/>
              </w:rPr>
            </w:pPr>
            <w:r>
              <w:rPr>
                <w:rFonts w:hint="eastAsia" w:ascii="宋体" w:hAnsi="宋体" w:cs="宋体"/>
                <w:szCs w:val="21"/>
                <w:highlight w:val="none"/>
              </w:rPr>
              <w:t>3.7.3</w:t>
            </w:r>
          </w:p>
          <w:p w14:paraId="7702ACB5">
            <w:pPr>
              <w:jc w:val="center"/>
              <w:rPr>
                <w:rFonts w:hint="eastAsia" w:ascii="宋体" w:hAnsi="宋体" w:cs="宋体"/>
                <w:szCs w:val="21"/>
                <w:highlight w:val="none"/>
              </w:rPr>
            </w:pPr>
          </w:p>
        </w:tc>
        <w:tc>
          <w:tcPr>
            <w:tcW w:w="1510" w:type="pct"/>
            <w:tcBorders>
              <w:top w:val="single" w:color="auto" w:sz="4" w:space="0"/>
              <w:left w:val="single" w:color="auto" w:sz="4" w:space="0"/>
              <w:bottom w:val="single" w:color="auto" w:sz="4" w:space="0"/>
              <w:right w:val="single" w:color="auto" w:sz="4" w:space="0"/>
            </w:tcBorders>
            <w:vAlign w:val="center"/>
          </w:tcPr>
          <w:p w14:paraId="062FA99F">
            <w:pPr>
              <w:jc w:val="center"/>
              <w:rPr>
                <w:rFonts w:hint="eastAsia" w:ascii="宋体" w:hAnsi="宋体" w:cs="宋体"/>
                <w:szCs w:val="21"/>
                <w:highlight w:val="none"/>
              </w:rPr>
            </w:pPr>
            <w:r>
              <w:rPr>
                <w:rFonts w:hint="eastAsia" w:ascii="宋体" w:hAnsi="宋体" w:cs="宋体"/>
                <w:szCs w:val="21"/>
                <w:highlight w:val="none"/>
              </w:rPr>
              <w:t>签字或盖章要求</w:t>
            </w:r>
          </w:p>
        </w:tc>
        <w:tc>
          <w:tcPr>
            <w:tcW w:w="2978" w:type="pct"/>
            <w:tcBorders>
              <w:top w:val="single" w:color="auto" w:sz="4" w:space="0"/>
              <w:left w:val="single" w:color="auto" w:sz="4" w:space="0"/>
              <w:bottom w:val="single" w:color="auto" w:sz="4" w:space="0"/>
              <w:right w:val="single" w:color="auto" w:sz="4" w:space="0"/>
            </w:tcBorders>
            <w:vAlign w:val="center"/>
          </w:tcPr>
          <w:p w14:paraId="2362B62D">
            <w:pPr>
              <w:rPr>
                <w:rFonts w:hint="eastAsia" w:ascii="宋体" w:hAnsi="宋体" w:cs="宋体"/>
                <w:szCs w:val="21"/>
                <w:highlight w:val="none"/>
              </w:rPr>
            </w:pPr>
            <w:r>
              <w:rPr>
                <w:rFonts w:hint="eastAsia" w:ascii="Calibri" w:hAnsi="Calibri"/>
                <w:b/>
                <w:highlight w:val="none"/>
                <w:u w:val="single"/>
              </w:rPr>
              <w:t>设计方案文件要求按本须知第3.1.1.2款的要求；</w:t>
            </w:r>
            <w:r>
              <w:rPr>
                <w:rFonts w:hint="eastAsia" w:ascii="Calibri" w:hAnsi="Calibri"/>
                <w:bCs/>
                <w:highlight w:val="none"/>
                <w:u w:val="single"/>
              </w:rPr>
              <w:t>其余资料</w:t>
            </w:r>
            <w:r>
              <w:rPr>
                <w:rFonts w:hint="eastAsia" w:ascii="Calibri" w:hAnsi="Calibri"/>
                <w:highlight w:val="none"/>
                <w:u w:val="single"/>
              </w:rPr>
              <w:t>投标人采用单位数字证书，按招标文件要求在相应位置加盖电子印章。投标文件中需个人签字或盖章的，应</w:t>
            </w:r>
            <w:r>
              <w:rPr>
                <w:rFonts w:hint="eastAsia" w:ascii="Calibri" w:hAnsi="宋体"/>
                <w:bCs/>
                <w:highlight w:val="none"/>
                <w:u w:val="single"/>
              </w:rPr>
              <w:t>加盖个人电子印章或在</w:t>
            </w:r>
            <w:r>
              <w:rPr>
                <w:rFonts w:hint="eastAsia" w:ascii="Calibri" w:hAnsi="Calibri"/>
                <w:highlight w:val="none"/>
                <w:u w:val="single"/>
              </w:rPr>
              <w:t>线下完成后扫描上传。按照交易平台关于全流程电子化项目的相关指南进行操作，联合体投标的，除投标文件中的联合体投标协议书、投标人声明需联合体各方按要求盖章、签字外，投标文件其他内容中的“投标人”等，应填写联合体各方的单位全称[格式表示为：(主)XXXX公司(成)XXXX公司…]，但由主办方盖章、签字即可；法定代表人证明书及授权委托证明书可由联合体主办方出具。</w:t>
            </w:r>
          </w:p>
        </w:tc>
      </w:tr>
      <w:tr w14:paraId="75D07380">
        <w:tblPrEx>
          <w:tblCellMar>
            <w:top w:w="57" w:type="dxa"/>
            <w:left w:w="108" w:type="dxa"/>
            <w:bottom w:w="57" w:type="dxa"/>
            <w:right w:w="108" w:type="dxa"/>
          </w:tblCellMar>
        </w:tblPrEx>
        <w:trPr>
          <w:trHeight w:val="1011" w:hRule="atLeast"/>
        </w:trPr>
        <w:tc>
          <w:tcPr>
            <w:tcW w:w="511" w:type="pct"/>
            <w:tcBorders>
              <w:top w:val="single" w:color="auto" w:sz="4" w:space="0"/>
              <w:left w:val="single" w:color="auto" w:sz="4" w:space="0"/>
              <w:bottom w:val="single" w:color="auto" w:sz="4" w:space="0"/>
              <w:right w:val="single" w:color="auto" w:sz="4" w:space="0"/>
            </w:tcBorders>
            <w:vAlign w:val="center"/>
          </w:tcPr>
          <w:p w14:paraId="6833727D">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4.2.2</w:t>
            </w:r>
          </w:p>
        </w:tc>
        <w:tc>
          <w:tcPr>
            <w:tcW w:w="1510" w:type="pct"/>
            <w:tcBorders>
              <w:top w:val="single" w:color="auto" w:sz="4" w:space="0"/>
              <w:left w:val="single" w:color="auto" w:sz="4" w:space="0"/>
              <w:bottom w:val="single" w:color="auto" w:sz="4" w:space="0"/>
              <w:right w:val="single" w:color="auto" w:sz="4" w:space="0"/>
            </w:tcBorders>
            <w:vAlign w:val="center"/>
          </w:tcPr>
          <w:p w14:paraId="63912C8E">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递交投标文件地点</w:t>
            </w:r>
          </w:p>
        </w:tc>
        <w:tc>
          <w:tcPr>
            <w:tcW w:w="2978" w:type="pct"/>
            <w:tcBorders>
              <w:top w:val="single" w:color="auto" w:sz="4" w:space="0"/>
              <w:left w:val="single" w:color="auto" w:sz="4" w:space="0"/>
              <w:bottom w:val="single" w:color="auto" w:sz="4" w:space="0"/>
              <w:right w:val="single" w:color="auto" w:sz="4" w:space="0"/>
            </w:tcBorders>
            <w:vAlign w:val="center"/>
          </w:tcPr>
          <w:p w14:paraId="556B36B9">
            <w:pPr>
              <w:snapToGrid w:val="0"/>
              <w:ind w:left="-55" w:leftChars="-26" w:right="-59" w:rightChars="-28"/>
              <w:rPr>
                <w:rFonts w:hint="eastAsia" w:ascii="宋体" w:hAnsi="宋体" w:cs="宋体"/>
                <w:szCs w:val="21"/>
                <w:highlight w:val="none"/>
              </w:rPr>
            </w:pPr>
            <w:r>
              <w:rPr>
                <w:rFonts w:hint="eastAsia" w:ascii="宋体" w:hAnsi="宋体" w:cs="宋体"/>
                <w:szCs w:val="21"/>
                <w:highlight w:val="none"/>
              </w:rPr>
              <w:t>投标人应在投标文件递交截止时间前通过广州交易集团有限公司（广州公共资源交易中心）数字交易平台递交电子投标文件。</w:t>
            </w:r>
          </w:p>
        </w:tc>
      </w:tr>
      <w:tr w14:paraId="38894583">
        <w:tblPrEx>
          <w:tblCellMar>
            <w:top w:w="57" w:type="dxa"/>
            <w:left w:w="108" w:type="dxa"/>
            <w:bottom w:w="57" w:type="dxa"/>
            <w:right w:w="108" w:type="dxa"/>
          </w:tblCellMar>
        </w:tblPrEx>
        <w:trPr>
          <w:trHeight w:val="702" w:hRule="atLeast"/>
        </w:trPr>
        <w:tc>
          <w:tcPr>
            <w:tcW w:w="511" w:type="pct"/>
            <w:tcBorders>
              <w:top w:val="single" w:color="auto" w:sz="4" w:space="0"/>
              <w:left w:val="single" w:color="auto" w:sz="4" w:space="0"/>
              <w:bottom w:val="single" w:color="auto" w:sz="4" w:space="0"/>
              <w:right w:val="single" w:color="auto" w:sz="4" w:space="0"/>
            </w:tcBorders>
            <w:vAlign w:val="center"/>
          </w:tcPr>
          <w:p w14:paraId="29961590">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4.2.3</w:t>
            </w:r>
          </w:p>
        </w:tc>
        <w:tc>
          <w:tcPr>
            <w:tcW w:w="1510" w:type="pct"/>
            <w:tcBorders>
              <w:top w:val="single" w:color="auto" w:sz="4" w:space="0"/>
              <w:left w:val="single" w:color="auto" w:sz="4" w:space="0"/>
              <w:bottom w:val="single" w:color="auto" w:sz="4" w:space="0"/>
              <w:right w:val="single" w:color="auto" w:sz="4" w:space="0"/>
            </w:tcBorders>
            <w:vAlign w:val="center"/>
          </w:tcPr>
          <w:p w14:paraId="155266F7">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是否退还投标文件</w:t>
            </w:r>
          </w:p>
        </w:tc>
        <w:tc>
          <w:tcPr>
            <w:tcW w:w="2978" w:type="pct"/>
            <w:tcBorders>
              <w:top w:val="single" w:color="auto" w:sz="4" w:space="0"/>
              <w:left w:val="single" w:color="auto" w:sz="4" w:space="0"/>
              <w:bottom w:val="single" w:color="auto" w:sz="4" w:space="0"/>
              <w:right w:val="single" w:color="auto" w:sz="4" w:space="0"/>
            </w:tcBorders>
            <w:vAlign w:val="center"/>
          </w:tcPr>
          <w:p w14:paraId="6C3EE8EE">
            <w:pPr>
              <w:topLinePunct/>
              <w:snapToGrid w:val="0"/>
              <w:ind w:left="-55" w:leftChars="-26" w:right="-59" w:rightChars="-28"/>
              <w:rPr>
                <w:rFonts w:hint="eastAsia" w:ascii="宋体" w:hAnsi="宋体" w:cs="宋体"/>
                <w:szCs w:val="21"/>
                <w:highlight w:val="none"/>
              </w:rPr>
            </w:pPr>
            <w:r>
              <w:rPr>
                <w:rFonts w:hint="eastAsia" w:ascii="宋体" w:hAnsi="宋体" w:cs="宋体"/>
                <w:szCs w:val="21"/>
                <w:highlight w:val="none"/>
              </w:rPr>
              <w:t>■否</w:t>
            </w:r>
          </w:p>
          <w:p w14:paraId="50873A3C">
            <w:pPr>
              <w:snapToGrid w:val="0"/>
              <w:ind w:left="-55" w:leftChars="-26" w:right="-59" w:rightChars="-28"/>
              <w:rPr>
                <w:rFonts w:hint="eastAsia" w:ascii="宋体" w:hAnsi="宋体" w:cs="宋体"/>
                <w:szCs w:val="21"/>
                <w:highlight w:val="none"/>
                <w:u w:val="single"/>
              </w:rPr>
            </w:pPr>
            <w:r>
              <w:rPr>
                <w:rFonts w:hint="eastAsia" w:ascii="宋体" w:hAnsi="宋体" w:cs="宋体"/>
                <w:szCs w:val="21"/>
                <w:highlight w:val="none"/>
              </w:rPr>
              <w:t>□是</w:t>
            </w:r>
          </w:p>
        </w:tc>
      </w:tr>
      <w:tr w14:paraId="2F23619A">
        <w:tblPrEx>
          <w:tblCellMar>
            <w:top w:w="57" w:type="dxa"/>
            <w:left w:w="108" w:type="dxa"/>
            <w:bottom w:w="57" w:type="dxa"/>
            <w:right w:w="108" w:type="dxa"/>
          </w:tblCellMar>
        </w:tblPrEx>
        <w:trPr>
          <w:trHeight w:val="660" w:hRule="atLeast"/>
        </w:trPr>
        <w:tc>
          <w:tcPr>
            <w:tcW w:w="511" w:type="pct"/>
            <w:tcBorders>
              <w:top w:val="single" w:color="auto" w:sz="4" w:space="0"/>
              <w:left w:val="single" w:color="auto" w:sz="4" w:space="0"/>
              <w:bottom w:val="single" w:color="auto" w:sz="4" w:space="0"/>
              <w:right w:val="single" w:color="auto" w:sz="4" w:space="0"/>
            </w:tcBorders>
            <w:vAlign w:val="center"/>
          </w:tcPr>
          <w:p w14:paraId="29A8A75D">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5.1</w:t>
            </w:r>
          </w:p>
        </w:tc>
        <w:tc>
          <w:tcPr>
            <w:tcW w:w="1510" w:type="pct"/>
            <w:tcBorders>
              <w:top w:val="single" w:color="auto" w:sz="4" w:space="0"/>
              <w:left w:val="single" w:color="auto" w:sz="4" w:space="0"/>
              <w:bottom w:val="single" w:color="auto" w:sz="4" w:space="0"/>
              <w:right w:val="single" w:color="auto" w:sz="4" w:space="0"/>
            </w:tcBorders>
            <w:vAlign w:val="center"/>
          </w:tcPr>
          <w:p w14:paraId="02EDF881">
            <w:pPr>
              <w:snapToGrid w:val="0"/>
              <w:ind w:left="-55" w:leftChars="-26" w:right="-59" w:rightChars="-28"/>
              <w:jc w:val="center"/>
              <w:rPr>
                <w:rFonts w:hint="eastAsia" w:ascii="宋体" w:hAnsi="宋体" w:cs="宋体"/>
                <w:szCs w:val="21"/>
                <w:highlight w:val="none"/>
              </w:rPr>
            </w:pPr>
            <w:r>
              <w:rPr>
                <w:rFonts w:hint="eastAsia" w:ascii="宋体" w:hAnsi="宋体" w:cs="宋体"/>
                <w:szCs w:val="21"/>
                <w:highlight w:val="none"/>
              </w:rPr>
              <w:t>开标开始时间和地点</w:t>
            </w:r>
          </w:p>
        </w:tc>
        <w:tc>
          <w:tcPr>
            <w:tcW w:w="2978" w:type="pct"/>
            <w:tcBorders>
              <w:top w:val="single" w:color="auto" w:sz="4" w:space="0"/>
              <w:left w:val="single" w:color="auto" w:sz="4" w:space="0"/>
              <w:bottom w:val="single" w:color="auto" w:sz="4" w:space="0"/>
              <w:right w:val="single" w:color="auto" w:sz="4" w:space="0"/>
            </w:tcBorders>
            <w:vAlign w:val="center"/>
          </w:tcPr>
          <w:p w14:paraId="7C459250">
            <w:pPr>
              <w:snapToGrid w:val="0"/>
              <w:ind w:left="-55" w:leftChars="-26" w:right="-59" w:rightChars="-28"/>
              <w:rPr>
                <w:rFonts w:hint="eastAsia" w:ascii="宋体" w:hAnsi="宋体" w:cs="宋体"/>
                <w:szCs w:val="21"/>
                <w:highlight w:val="none"/>
              </w:rPr>
            </w:pPr>
            <w:r>
              <w:rPr>
                <w:rFonts w:hint="eastAsia" w:ascii="宋体" w:hAnsi="宋体" w:cs="宋体"/>
                <w:szCs w:val="21"/>
                <w:highlight w:val="none"/>
              </w:rPr>
              <w:t>开标时间同投标截止时间。在电子招标投标交易平台进行网上开标。</w:t>
            </w:r>
          </w:p>
        </w:tc>
      </w:tr>
      <w:tr w14:paraId="44CC1A12">
        <w:tblPrEx>
          <w:tblCellMar>
            <w:top w:w="57" w:type="dxa"/>
            <w:left w:w="108" w:type="dxa"/>
            <w:bottom w:w="57" w:type="dxa"/>
            <w:right w:w="108" w:type="dxa"/>
          </w:tblCellMar>
        </w:tblPrEx>
        <w:trPr>
          <w:trHeight w:val="1635" w:hRule="atLeast"/>
        </w:trPr>
        <w:tc>
          <w:tcPr>
            <w:tcW w:w="511" w:type="pct"/>
            <w:tcBorders>
              <w:top w:val="single" w:color="auto" w:sz="4" w:space="0"/>
              <w:left w:val="single" w:color="auto" w:sz="4" w:space="0"/>
              <w:bottom w:val="single" w:color="auto" w:sz="4" w:space="0"/>
              <w:right w:val="single" w:color="auto" w:sz="4" w:space="0"/>
            </w:tcBorders>
            <w:vAlign w:val="center"/>
          </w:tcPr>
          <w:p w14:paraId="50CABFF9">
            <w:pPr>
              <w:jc w:val="center"/>
              <w:rPr>
                <w:rFonts w:hint="eastAsia" w:ascii="宋体" w:hAnsi="宋体" w:cs="宋体"/>
                <w:szCs w:val="21"/>
                <w:highlight w:val="none"/>
              </w:rPr>
            </w:pPr>
            <w:r>
              <w:rPr>
                <w:rFonts w:hint="eastAsia" w:ascii="宋体" w:hAnsi="宋体" w:cs="宋体"/>
                <w:szCs w:val="21"/>
                <w:highlight w:val="none"/>
              </w:rPr>
              <w:t>5.2</w:t>
            </w:r>
          </w:p>
        </w:tc>
        <w:tc>
          <w:tcPr>
            <w:tcW w:w="1510" w:type="pct"/>
            <w:tcBorders>
              <w:top w:val="single" w:color="auto" w:sz="4" w:space="0"/>
              <w:left w:val="single" w:color="auto" w:sz="4" w:space="0"/>
              <w:bottom w:val="single" w:color="auto" w:sz="4" w:space="0"/>
              <w:right w:val="single" w:color="auto" w:sz="4" w:space="0"/>
            </w:tcBorders>
            <w:vAlign w:val="center"/>
          </w:tcPr>
          <w:p w14:paraId="18F6AE0D">
            <w:pPr>
              <w:jc w:val="center"/>
              <w:rPr>
                <w:rFonts w:hint="eastAsia" w:ascii="宋体" w:hAnsi="宋体" w:cs="宋体"/>
                <w:szCs w:val="21"/>
                <w:highlight w:val="none"/>
              </w:rPr>
            </w:pPr>
            <w:r>
              <w:rPr>
                <w:rFonts w:hint="eastAsia" w:ascii="宋体" w:hAnsi="宋体" w:cs="宋体"/>
                <w:szCs w:val="21"/>
                <w:highlight w:val="none"/>
              </w:rPr>
              <w:t>开标程序</w:t>
            </w:r>
          </w:p>
        </w:tc>
        <w:tc>
          <w:tcPr>
            <w:tcW w:w="2978" w:type="pct"/>
            <w:tcBorders>
              <w:top w:val="single" w:color="auto" w:sz="4" w:space="0"/>
              <w:left w:val="single" w:color="auto" w:sz="4" w:space="0"/>
              <w:bottom w:val="single" w:color="auto" w:sz="4" w:space="0"/>
              <w:right w:val="single" w:color="auto" w:sz="4" w:space="0"/>
            </w:tcBorders>
            <w:vAlign w:val="center"/>
          </w:tcPr>
          <w:p w14:paraId="6C294D7D">
            <w:pPr>
              <w:snapToGrid w:val="0"/>
              <w:rPr>
                <w:rFonts w:hint="eastAsia" w:ascii="宋体" w:hAnsi="宋体" w:cs="宋体"/>
                <w:szCs w:val="21"/>
                <w:highlight w:val="none"/>
                <w:u w:val="single"/>
              </w:rPr>
            </w:pPr>
            <w:r>
              <w:rPr>
                <w:rFonts w:hint="eastAsia" w:ascii="宋体" w:hAnsi="宋体" w:cs="宋体"/>
                <w:szCs w:val="21"/>
                <w:highlight w:val="none"/>
                <w:u w:val="single"/>
              </w:rPr>
              <w:t>主持人按下列程序进行开标：</w:t>
            </w:r>
          </w:p>
          <w:p w14:paraId="4510414E">
            <w:pPr>
              <w:snapToGrid w:val="0"/>
              <w:rPr>
                <w:rFonts w:hint="eastAsia" w:ascii="宋体" w:hAnsi="宋体" w:cs="宋体"/>
                <w:szCs w:val="21"/>
                <w:highlight w:val="none"/>
                <w:u w:val="single"/>
              </w:rPr>
            </w:pPr>
            <w:r>
              <w:rPr>
                <w:rFonts w:hint="eastAsia" w:ascii="宋体" w:hAnsi="宋体" w:cs="宋体"/>
                <w:szCs w:val="21"/>
                <w:highlight w:val="none"/>
                <w:u w:val="single"/>
              </w:rPr>
              <w:t>（1）宣布开标纪律；</w:t>
            </w:r>
          </w:p>
          <w:p w14:paraId="2994259D">
            <w:pPr>
              <w:snapToGrid w:val="0"/>
              <w:rPr>
                <w:rFonts w:hint="eastAsia" w:ascii="宋体" w:hAnsi="宋体" w:cs="宋体"/>
                <w:szCs w:val="21"/>
                <w:highlight w:val="none"/>
                <w:u w:val="single"/>
              </w:rPr>
            </w:pPr>
            <w:r>
              <w:rPr>
                <w:rFonts w:hint="eastAsia" w:ascii="宋体" w:hAnsi="宋体" w:cs="宋体"/>
                <w:szCs w:val="21"/>
                <w:highlight w:val="none"/>
                <w:u w:val="single"/>
              </w:rPr>
              <w:t>（2）公布在投标截止时间前递交投标文件的投标人名称；</w:t>
            </w:r>
          </w:p>
          <w:p w14:paraId="368E33F4">
            <w:pPr>
              <w:snapToGrid w:val="0"/>
              <w:rPr>
                <w:rFonts w:hint="eastAsia" w:ascii="宋体" w:hAnsi="宋体" w:cs="宋体"/>
                <w:szCs w:val="21"/>
                <w:highlight w:val="none"/>
                <w:u w:val="single"/>
              </w:rPr>
            </w:pPr>
            <w:r>
              <w:rPr>
                <w:rFonts w:hint="eastAsia" w:ascii="宋体" w:hAnsi="宋体" w:cs="宋体"/>
                <w:szCs w:val="21"/>
                <w:highlight w:val="none"/>
                <w:u w:val="single"/>
              </w:rPr>
              <w:t>（3）在投标截止时间后一个小时内，投标人通过递交投标文件的交易平台对已递交的电子投标文件进行解密。投标人完成解密后，再由招标人进行解密（投标人只用执行一次解密，招标人执行解密次数根据招标文件开标次数确定）。</w:t>
            </w:r>
          </w:p>
          <w:p w14:paraId="5FF67FE1">
            <w:pPr>
              <w:snapToGrid w:val="0"/>
              <w:rPr>
                <w:rFonts w:hint="eastAsia" w:ascii="宋体" w:hAnsi="宋体" w:cs="宋体"/>
                <w:szCs w:val="21"/>
                <w:highlight w:val="none"/>
                <w:u w:val="single"/>
              </w:rPr>
            </w:pPr>
            <w:r>
              <w:rPr>
                <w:rFonts w:hint="eastAsia" w:ascii="宋体" w:hAnsi="宋体" w:cs="宋体"/>
                <w:szCs w:val="21"/>
                <w:highlight w:val="none"/>
                <w:u w:val="single"/>
              </w:rPr>
              <w:t>（4）解密完成后，公布：a投标人名称；b投标文件递交情况；c投标文件解密情况；d投标担保递交情况；e项目负责人、设计负责人、技术负责人、专职安全员；f投标报价（含设计费报价和建安工程费报价）；g工期；h质量标准；i投标人的加密打包投标文件电脑机器特征码等主要内容，并记录在案。未在规定时间内解密的投标文件不参与开标、评标。</w:t>
            </w:r>
          </w:p>
          <w:p w14:paraId="71F48B28">
            <w:pPr>
              <w:snapToGrid w:val="0"/>
              <w:rPr>
                <w:rFonts w:hint="eastAsia" w:ascii="宋体" w:hAnsi="宋体" w:cs="宋体"/>
                <w:szCs w:val="21"/>
                <w:highlight w:val="none"/>
                <w:u w:val="single"/>
              </w:rPr>
            </w:pPr>
            <w:r>
              <w:rPr>
                <w:rFonts w:hint="eastAsia" w:ascii="宋体" w:hAnsi="宋体" w:cs="宋体"/>
                <w:szCs w:val="21"/>
                <w:highlight w:val="none"/>
                <w:u w:val="single"/>
              </w:rPr>
              <w:t>（5）截标后，开标开始时间因故推迟的，相关评标信息仍以原定的开标开始时间的信息为准。</w:t>
            </w:r>
          </w:p>
          <w:p w14:paraId="52EA0996">
            <w:pPr>
              <w:snapToGrid w:val="0"/>
              <w:rPr>
                <w:rFonts w:hint="eastAsia" w:ascii="宋体" w:hAnsi="宋体" w:cs="宋体"/>
                <w:szCs w:val="21"/>
                <w:highlight w:val="none"/>
                <w:u w:val="single"/>
              </w:rPr>
            </w:pPr>
            <w:r>
              <w:rPr>
                <w:rFonts w:hint="eastAsia" w:ascii="宋体" w:hAnsi="宋体" w:cs="宋体"/>
                <w:szCs w:val="21"/>
                <w:highlight w:val="none"/>
                <w:u w:val="single"/>
              </w:rPr>
              <w:t>（6）备用光盘的读取按“10 电子招标投标”第6点的规定执行。</w:t>
            </w:r>
          </w:p>
          <w:p w14:paraId="67F2D264">
            <w:pPr>
              <w:snapToGrid w:val="0"/>
              <w:rPr>
                <w:rFonts w:hint="eastAsia" w:ascii="宋体" w:hAnsi="宋体" w:cs="宋体"/>
                <w:szCs w:val="21"/>
                <w:highlight w:val="none"/>
                <w:u w:val="single"/>
              </w:rPr>
            </w:pPr>
            <w:r>
              <w:rPr>
                <w:rFonts w:hint="eastAsia" w:ascii="宋体" w:hAnsi="宋体" w:cs="宋体"/>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0B34126">
            <w:pPr>
              <w:snapToGrid w:val="0"/>
              <w:rPr>
                <w:rFonts w:hint="eastAsia" w:ascii="宋体" w:hAnsi="宋体" w:cs="宋体"/>
                <w:szCs w:val="21"/>
                <w:highlight w:val="none"/>
                <w:u w:val="single"/>
              </w:rPr>
            </w:pPr>
            <w:r>
              <w:rPr>
                <w:rFonts w:hint="eastAsia" w:ascii="宋体" w:hAnsi="宋体" w:cs="宋体"/>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117E9CF1">
            <w:pPr>
              <w:snapToGrid w:val="0"/>
              <w:rPr>
                <w:rFonts w:hint="eastAsia" w:ascii="宋体" w:hAnsi="宋体" w:cs="宋体"/>
                <w:szCs w:val="21"/>
                <w:highlight w:val="none"/>
                <w:u w:val="single"/>
              </w:rPr>
            </w:pPr>
            <w:r>
              <w:rPr>
                <w:rFonts w:hint="eastAsia" w:ascii="宋体" w:hAnsi="宋体" w:cs="宋体"/>
                <w:szCs w:val="21"/>
                <w:highlight w:val="none"/>
                <w:u w:val="single"/>
              </w:rPr>
              <w:t>（9）投标人未参加开标或在规定的时间内未提出异议的，视为对开标无异议。</w:t>
            </w:r>
          </w:p>
          <w:p w14:paraId="6D2AFEB4">
            <w:pPr>
              <w:rPr>
                <w:rFonts w:hint="eastAsia" w:ascii="宋体" w:hAnsi="宋体" w:cs="宋体"/>
                <w:szCs w:val="21"/>
                <w:highlight w:val="none"/>
              </w:rPr>
            </w:pPr>
            <w:r>
              <w:rPr>
                <w:rFonts w:hint="eastAsia" w:ascii="Calibri" w:hAnsi="Calibri"/>
                <w:highlight w:val="none"/>
              </w:rPr>
              <w:t>（10）开标时，两个（含两个）以上的投标人加密打包投标文件电脑机器特征码一致的，不参与下一程序，并由评标委员会否决其投标</w:t>
            </w:r>
            <w:r>
              <w:rPr>
                <w:rFonts w:hint="eastAsia" w:ascii="宋体" w:hAnsi="宋体" w:cs="宋体"/>
                <w:szCs w:val="21"/>
                <w:highlight w:val="none"/>
              </w:rPr>
              <w:t>。</w:t>
            </w:r>
          </w:p>
          <w:p w14:paraId="258435E9">
            <w:pPr>
              <w:rPr>
                <w:rFonts w:hint="eastAsia" w:ascii="宋体" w:hAnsi="宋体" w:cs="宋体"/>
                <w:szCs w:val="21"/>
                <w:highlight w:val="none"/>
              </w:rPr>
            </w:pPr>
            <w:r>
              <w:rPr>
                <w:rFonts w:hint="eastAsia" w:ascii="宋体" w:hAnsi="宋体" w:cs="宋体"/>
                <w:szCs w:val="21"/>
                <w:highlight w:val="none"/>
              </w:rPr>
              <w:t>（11）投标人代表、招标人代表、监标人、记录人等有关人员在开标记录上签字确认；若有关人员不签字的，不影响开标程序；</w:t>
            </w:r>
          </w:p>
          <w:p w14:paraId="3A87F2B4">
            <w:pPr>
              <w:rPr>
                <w:rFonts w:hint="eastAsia" w:ascii="宋体" w:hAnsi="宋体" w:cs="宋体"/>
                <w:szCs w:val="21"/>
                <w:highlight w:val="none"/>
              </w:rPr>
            </w:pPr>
            <w:r>
              <w:rPr>
                <w:rFonts w:hint="eastAsia" w:ascii="宋体" w:hAnsi="宋体" w:cs="宋体"/>
                <w:szCs w:val="21"/>
                <w:highlight w:val="none"/>
              </w:rPr>
              <w:t>（12）开标结束。</w:t>
            </w:r>
          </w:p>
          <w:p w14:paraId="5CC5A7BB">
            <w:pPr>
              <w:rPr>
                <w:rFonts w:hint="eastAsia" w:ascii="宋体" w:hAnsi="宋体" w:cs="宋体"/>
                <w:szCs w:val="21"/>
                <w:highlight w:val="none"/>
              </w:rPr>
            </w:pPr>
            <w:r>
              <w:rPr>
                <w:rFonts w:hint="eastAsia" w:ascii="宋体" w:hAnsi="宋体" w:cs="宋体"/>
                <w:szCs w:val="21"/>
                <w:highlight w:val="none"/>
              </w:rPr>
              <w:t>（13）投标文件（设计方案）开标时不得开启，在评标时由广州公共资源交易中心数字交易平台随机编号后开启，交由评标委员会进行评审。编号所对应的投标人在设计方案评审结束前不得告知评标委员会、广州公共资源交易中心数字交易平台工作人员、招标人或招标代理机构。</w:t>
            </w:r>
          </w:p>
        </w:tc>
      </w:tr>
      <w:tr w14:paraId="3216CF4F">
        <w:tblPrEx>
          <w:tblCellMar>
            <w:top w:w="57" w:type="dxa"/>
            <w:left w:w="108" w:type="dxa"/>
            <w:bottom w:w="57" w:type="dxa"/>
            <w:right w:w="108" w:type="dxa"/>
          </w:tblCellMar>
        </w:tblPrEx>
        <w:trPr>
          <w:trHeight w:val="544" w:hRule="atLeast"/>
        </w:trPr>
        <w:tc>
          <w:tcPr>
            <w:tcW w:w="511" w:type="pct"/>
            <w:vMerge w:val="restart"/>
            <w:tcBorders>
              <w:top w:val="single" w:color="auto" w:sz="4" w:space="0"/>
              <w:left w:val="single" w:color="auto" w:sz="4" w:space="0"/>
              <w:right w:val="single" w:color="auto" w:sz="4" w:space="0"/>
            </w:tcBorders>
            <w:vAlign w:val="center"/>
          </w:tcPr>
          <w:p w14:paraId="57781456">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5.4</w:t>
            </w:r>
          </w:p>
        </w:tc>
        <w:tc>
          <w:tcPr>
            <w:tcW w:w="1510" w:type="pct"/>
            <w:vMerge w:val="restart"/>
            <w:tcBorders>
              <w:top w:val="single" w:color="auto" w:sz="4" w:space="0"/>
              <w:left w:val="single" w:color="auto" w:sz="4" w:space="0"/>
              <w:right w:val="single" w:color="auto" w:sz="4" w:space="0"/>
            </w:tcBorders>
            <w:vAlign w:val="center"/>
          </w:tcPr>
          <w:p w14:paraId="1419414C">
            <w:pPr>
              <w:jc w:val="center"/>
              <w:rPr>
                <w:rFonts w:hint="eastAsia" w:ascii="宋体" w:hAnsi="宋体" w:cs="宋体"/>
                <w:szCs w:val="21"/>
                <w:highlight w:val="none"/>
              </w:rPr>
            </w:pPr>
            <w:r>
              <w:rPr>
                <w:rFonts w:hint="eastAsia" w:ascii="宋体" w:hAnsi="宋体" w:cs="宋体"/>
                <w:szCs w:val="21"/>
                <w:highlight w:val="none"/>
                <w:u w:val="single"/>
              </w:rPr>
              <w:t>采用评定分离定标办法</w:t>
            </w:r>
          </w:p>
        </w:tc>
        <w:tc>
          <w:tcPr>
            <w:tcW w:w="2978" w:type="pct"/>
            <w:tcBorders>
              <w:top w:val="single" w:color="auto" w:sz="4" w:space="0"/>
              <w:left w:val="single" w:color="auto" w:sz="4" w:space="0"/>
              <w:right w:val="single" w:color="auto" w:sz="4" w:space="0"/>
            </w:tcBorders>
            <w:vAlign w:val="center"/>
          </w:tcPr>
          <w:p w14:paraId="48D5FBDA">
            <w:pPr>
              <w:rPr>
                <w:rFonts w:hint="eastAsia" w:ascii="宋体" w:hAnsi="宋体" w:cs="宋体"/>
                <w:szCs w:val="21"/>
                <w:highlight w:val="none"/>
                <w:u w:val="single"/>
              </w:rPr>
            </w:pPr>
            <w:r>
              <w:rPr>
                <w:rFonts w:hint="eastAsia" w:ascii="宋体" w:hAnsi="宋体" w:cs="宋体"/>
                <w:szCs w:val="21"/>
                <w:highlight w:val="none"/>
                <w:u w:val="single"/>
              </w:rPr>
              <w:t>评标办法：综合评估法</w:t>
            </w:r>
          </w:p>
        </w:tc>
      </w:tr>
      <w:tr w14:paraId="082A412F">
        <w:tblPrEx>
          <w:tblCellMar>
            <w:top w:w="57" w:type="dxa"/>
            <w:left w:w="108" w:type="dxa"/>
            <w:bottom w:w="57" w:type="dxa"/>
            <w:right w:w="108" w:type="dxa"/>
          </w:tblCellMar>
        </w:tblPrEx>
        <w:trPr>
          <w:trHeight w:val="459" w:hRule="atLeast"/>
        </w:trPr>
        <w:tc>
          <w:tcPr>
            <w:tcW w:w="511" w:type="pct"/>
            <w:vMerge w:val="continue"/>
            <w:tcBorders>
              <w:left w:val="single" w:color="auto" w:sz="4" w:space="0"/>
              <w:right w:val="single" w:color="auto" w:sz="4" w:space="0"/>
            </w:tcBorders>
            <w:vAlign w:val="center"/>
          </w:tcPr>
          <w:p w14:paraId="12D86DE1">
            <w:pPr>
              <w:pStyle w:val="39"/>
              <w:ind w:firstLine="210"/>
              <w:rPr>
                <w:rFonts w:hint="eastAsia" w:ascii="宋体" w:hAnsi="宋体" w:cs="宋体"/>
                <w:highlight w:val="none"/>
                <w:lang w:val="en-US"/>
              </w:rPr>
            </w:pPr>
          </w:p>
        </w:tc>
        <w:tc>
          <w:tcPr>
            <w:tcW w:w="1510" w:type="pct"/>
            <w:vMerge w:val="continue"/>
            <w:tcBorders>
              <w:left w:val="single" w:color="auto" w:sz="4" w:space="0"/>
              <w:right w:val="single" w:color="auto" w:sz="4" w:space="0"/>
            </w:tcBorders>
            <w:vAlign w:val="center"/>
          </w:tcPr>
          <w:p w14:paraId="78AC801D">
            <w:pPr>
              <w:pStyle w:val="39"/>
              <w:ind w:firstLine="210"/>
              <w:rPr>
                <w:rFonts w:hint="eastAsia" w:ascii="宋体" w:hAnsi="宋体" w:cs="宋体"/>
                <w:highlight w:val="none"/>
                <w:lang w:val="en-US"/>
              </w:rPr>
            </w:pPr>
          </w:p>
        </w:tc>
        <w:tc>
          <w:tcPr>
            <w:tcW w:w="2978" w:type="pct"/>
            <w:tcBorders>
              <w:top w:val="single" w:color="auto" w:sz="4" w:space="0"/>
              <w:left w:val="single" w:color="auto" w:sz="4" w:space="0"/>
              <w:right w:val="single" w:color="auto" w:sz="4" w:space="0"/>
            </w:tcBorders>
            <w:vAlign w:val="center"/>
          </w:tcPr>
          <w:p w14:paraId="3C8D5521">
            <w:pPr>
              <w:rPr>
                <w:rFonts w:hint="eastAsia" w:ascii="宋体" w:hAnsi="宋体" w:cs="宋体"/>
                <w:szCs w:val="21"/>
                <w:highlight w:val="none"/>
                <w:u w:val="single"/>
              </w:rPr>
            </w:pPr>
            <w:r>
              <w:rPr>
                <w:rFonts w:hint="eastAsia" w:ascii="宋体" w:hAnsi="宋体" w:cs="宋体"/>
                <w:szCs w:val="21"/>
                <w:highlight w:val="none"/>
                <w:u w:val="single"/>
              </w:rPr>
              <w:t>定标办法：</w:t>
            </w:r>
            <w:r>
              <w:rPr>
                <w:rFonts w:hint="eastAsia" w:ascii="宋体" w:hAnsi="宋体" w:cs="宋体"/>
                <w:szCs w:val="21"/>
                <w:highlight w:val="none"/>
                <w:u w:val="single"/>
                <w:lang w:val="en-US" w:eastAsia="zh-CN"/>
              </w:rPr>
              <w:t>综合</w:t>
            </w:r>
            <w:r>
              <w:rPr>
                <w:rFonts w:hint="eastAsia" w:ascii="宋体" w:hAnsi="宋体" w:cs="宋体"/>
                <w:szCs w:val="21"/>
                <w:highlight w:val="none"/>
                <w:u w:val="single"/>
              </w:rPr>
              <w:t>评分法</w:t>
            </w:r>
          </w:p>
        </w:tc>
      </w:tr>
      <w:tr w14:paraId="5A7EA38F">
        <w:tblPrEx>
          <w:tblCellMar>
            <w:top w:w="57" w:type="dxa"/>
            <w:left w:w="108" w:type="dxa"/>
            <w:bottom w:w="57" w:type="dxa"/>
            <w:right w:w="108" w:type="dxa"/>
          </w:tblCellMar>
        </w:tblPrEx>
        <w:trPr>
          <w:trHeight w:val="846" w:hRule="atLeast"/>
        </w:trPr>
        <w:tc>
          <w:tcPr>
            <w:tcW w:w="511" w:type="pct"/>
            <w:tcBorders>
              <w:top w:val="single" w:color="auto" w:sz="4" w:space="0"/>
              <w:left w:val="single" w:color="auto" w:sz="4" w:space="0"/>
              <w:bottom w:val="single" w:color="auto" w:sz="4" w:space="0"/>
              <w:right w:val="single" w:color="auto" w:sz="4" w:space="0"/>
            </w:tcBorders>
            <w:vAlign w:val="center"/>
          </w:tcPr>
          <w:p w14:paraId="4EFA79C9">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5.5</w:t>
            </w:r>
          </w:p>
        </w:tc>
        <w:tc>
          <w:tcPr>
            <w:tcW w:w="1510" w:type="pct"/>
            <w:tcBorders>
              <w:top w:val="single" w:color="auto" w:sz="4" w:space="0"/>
              <w:left w:val="single" w:color="auto" w:sz="4" w:space="0"/>
              <w:bottom w:val="single" w:color="auto" w:sz="4" w:space="0"/>
              <w:right w:val="single" w:color="auto" w:sz="4" w:space="0"/>
            </w:tcBorders>
            <w:vAlign w:val="center"/>
          </w:tcPr>
          <w:p w14:paraId="5C2D3C25">
            <w:pPr>
              <w:rPr>
                <w:rFonts w:hint="eastAsia" w:ascii="宋体" w:hAnsi="宋体" w:cs="宋体"/>
                <w:szCs w:val="21"/>
                <w:highlight w:val="none"/>
              </w:rPr>
            </w:pPr>
            <w:r>
              <w:rPr>
                <w:rFonts w:hint="eastAsia" w:ascii="宋体" w:hAnsi="宋体" w:cs="宋体"/>
                <w:szCs w:val="21"/>
                <w:highlight w:val="none"/>
              </w:rPr>
              <w:t>进入</w:t>
            </w:r>
            <w:r>
              <w:rPr>
                <w:rFonts w:hint="eastAsia" w:ascii="宋体" w:hAnsi="宋体" w:cs="宋体"/>
                <w:szCs w:val="21"/>
                <w:highlight w:val="none"/>
                <w:u w:val="single"/>
              </w:rPr>
              <w:t>定标阶段的中标候选人</w:t>
            </w:r>
          </w:p>
        </w:tc>
        <w:tc>
          <w:tcPr>
            <w:tcW w:w="2978" w:type="pct"/>
            <w:tcBorders>
              <w:top w:val="single" w:color="auto" w:sz="4" w:space="0"/>
              <w:left w:val="single" w:color="auto" w:sz="4" w:space="0"/>
              <w:bottom w:val="single" w:color="auto" w:sz="4" w:space="0"/>
              <w:right w:val="single" w:color="auto" w:sz="4" w:space="0"/>
            </w:tcBorders>
            <w:vAlign w:val="center"/>
          </w:tcPr>
          <w:p w14:paraId="202264F2">
            <w:pPr>
              <w:rPr>
                <w:rFonts w:hint="eastAsia" w:ascii="宋体" w:hAnsi="宋体" w:cs="宋体"/>
                <w:szCs w:val="21"/>
                <w:highlight w:val="none"/>
              </w:rPr>
            </w:pPr>
            <w:r>
              <w:rPr>
                <w:rFonts w:hint="eastAsia" w:ascii="宋体" w:hAnsi="宋体" w:cs="宋体"/>
                <w:szCs w:val="21"/>
                <w:highlight w:val="none"/>
              </w:rPr>
              <w:t>1、设S（S=M+N）为通过初步评审的投标人数，其中M为低于成本警戒价的投标报价数，N为不低于成本警示价的投标报价数。</w:t>
            </w:r>
          </w:p>
          <w:p w14:paraId="6E0F6F2A">
            <w:pPr>
              <w:rPr>
                <w:rFonts w:hint="eastAsia" w:ascii="宋体" w:hAnsi="宋体" w:cs="宋体"/>
                <w:szCs w:val="21"/>
                <w:highlight w:val="none"/>
              </w:rPr>
            </w:pPr>
            <w:r>
              <w:rPr>
                <w:rFonts w:hint="eastAsia" w:ascii="宋体" w:hAnsi="宋体" w:cs="宋体"/>
                <w:szCs w:val="21"/>
                <w:highlight w:val="none"/>
              </w:rPr>
              <w:t>（1）当S≥3时，按以下方式确定中标候选人：</w:t>
            </w:r>
          </w:p>
          <w:p w14:paraId="6206F1B3">
            <w:pPr>
              <w:rPr>
                <w:rFonts w:hint="eastAsia" w:ascii="宋体" w:hAnsi="宋体" w:cs="宋体"/>
                <w:szCs w:val="21"/>
                <w:highlight w:val="none"/>
              </w:rPr>
            </w:pPr>
            <w:r>
              <w:rPr>
                <w:rFonts w:hint="eastAsia" w:ascii="宋体" w:hAnsi="宋体" w:cs="宋体"/>
                <w:szCs w:val="21"/>
                <w:highlight w:val="none"/>
              </w:rPr>
              <w:t>①对于建安工程费投标报价低于成本警戒价的M个投标人，不参加投标报价详细评审，但需参加设计方案评审、工程总承包实施方案评审的详细评审。评标委员会根据设计方案评审、工程总承包实施方案评审的得分由高到低排序，推荐第1名为中标候选人进入定标阶段。</w:t>
            </w:r>
          </w:p>
          <w:p w14:paraId="5DD7C76E">
            <w:pPr>
              <w:rPr>
                <w:rFonts w:hint="eastAsia" w:ascii="宋体" w:hAnsi="宋体" w:cs="宋体"/>
                <w:szCs w:val="21"/>
                <w:highlight w:val="none"/>
              </w:rPr>
            </w:pPr>
            <w:r>
              <w:rPr>
                <w:rFonts w:hint="eastAsia" w:ascii="宋体" w:hAnsi="宋体" w:cs="宋体"/>
                <w:szCs w:val="21"/>
                <w:highlight w:val="none"/>
              </w:rPr>
              <w:t>②对于建安工程费投标报价不低于成本警戒价的N个投标人，需要参加投标报价评审、设计方案评审、工程总承包实施方案评审的详细评审并排序。</w:t>
            </w:r>
          </w:p>
          <w:p w14:paraId="01B84D56">
            <w:pPr>
              <w:rPr>
                <w:rFonts w:hint="eastAsia" w:ascii="宋体" w:hAnsi="宋体" w:cs="宋体"/>
                <w:szCs w:val="21"/>
                <w:highlight w:val="none"/>
              </w:rPr>
            </w:pPr>
            <w:r>
              <w:rPr>
                <w:rFonts w:hint="eastAsia" w:ascii="宋体" w:hAnsi="宋体" w:cs="宋体"/>
                <w:szCs w:val="21"/>
                <w:highlight w:val="none"/>
              </w:rPr>
              <w:t>当N&lt;3时，全部推荐为中标候选人。</w:t>
            </w:r>
          </w:p>
          <w:p w14:paraId="6F1E5668">
            <w:pPr>
              <w:rPr>
                <w:rFonts w:hint="eastAsia" w:ascii="宋体" w:hAnsi="宋体" w:cs="宋体"/>
                <w:szCs w:val="21"/>
                <w:highlight w:val="none"/>
              </w:rPr>
            </w:pPr>
            <w:r>
              <w:rPr>
                <w:rFonts w:hint="eastAsia" w:ascii="宋体" w:hAnsi="宋体" w:cs="宋体"/>
                <w:szCs w:val="21"/>
                <w:highlight w:val="none"/>
              </w:rPr>
              <w:t>当N≥3时，评标委员会根据详细评审的得分由高到低排序，推荐前7名（不足7名的，则推荐全部有效的投标人为合格中标候选人）不排序的合格中标候选人进入定标阶段。</w:t>
            </w:r>
          </w:p>
          <w:p w14:paraId="6CC9FC84">
            <w:pPr>
              <w:rPr>
                <w:rFonts w:hint="eastAsia" w:ascii="宋体" w:hAnsi="宋体" w:cs="宋体"/>
                <w:szCs w:val="21"/>
                <w:highlight w:val="none"/>
              </w:rPr>
            </w:pPr>
            <w:r>
              <w:rPr>
                <w:rFonts w:hint="eastAsia" w:ascii="宋体" w:hAnsi="宋体" w:cs="宋体"/>
                <w:szCs w:val="21"/>
                <w:highlight w:val="none"/>
              </w:rPr>
              <w:t>（2）当S&lt;3时，招标人应重新招标。</w:t>
            </w:r>
          </w:p>
          <w:p w14:paraId="03109D85">
            <w:pPr>
              <w:rPr>
                <w:rFonts w:hint="eastAsia" w:ascii="宋体" w:hAnsi="宋体" w:cs="宋体"/>
                <w:szCs w:val="21"/>
                <w:highlight w:val="none"/>
              </w:rPr>
            </w:pPr>
            <w:r>
              <w:rPr>
                <w:rFonts w:hint="eastAsia" w:ascii="宋体" w:hAnsi="宋体" w:cs="宋体"/>
                <w:szCs w:val="21"/>
                <w:highlight w:val="none"/>
              </w:rPr>
              <w:t>2、定标因素：详见《定标因素表（定标阶段用表）》</w:t>
            </w:r>
          </w:p>
        </w:tc>
      </w:tr>
      <w:tr w14:paraId="16F16CB7">
        <w:tblPrEx>
          <w:tblCellMar>
            <w:top w:w="57" w:type="dxa"/>
            <w:left w:w="108" w:type="dxa"/>
            <w:bottom w:w="57" w:type="dxa"/>
            <w:right w:w="108" w:type="dxa"/>
          </w:tblCellMar>
        </w:tblPrEx>
        <w:trPr>
          <w:trHeight w:val="542" w:hRule="atLeast"/>
        </w:trPr>
        <w:tc>
          <w:tcPr>
            <w:tcW w:w="511" w:type="pct"/>
            <w:tcBorders>
              <w:top w:val="single" w:color="auto" w:sz="4" w:space="0"/>
              <w:left w:val="single" w:color="auto" w:sz="4" w:space="0"/>
              <w:bottom w:val="single" w:color="auto" w:sz="4" w:space="0"/>
              <w:right w:val="single" w:color="auto" w:sz="4" w:space="0"/>
            </w:tcBorders>
            <w:vAlign w:val="center"/>
          </w:tcPr>
          <w:p w14:paraId="724453EB">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6.1.1</w:t>
            </w:r>
          </w:p>
        </w:tc>
        <w:tc>
          <w:tcPr>
            <w:tcW w:w="1510" w:type="pct"/>
            <w:tcBorders>
              <w:top w:val="single" w:color="auto" w:sz="4" w:space="0"/>
              <w:left w:val="single" w:color="auto" w:sz="4" w:space="0"/>
              <w:bottom w:val="single" w:color="auto" w:sz="4" w:space="0"/>
              <w:right w:val="single" w:color="auto" w:sz="4" w:space="0"/>
            </w:tcBorders>
            <w:vAlign w:val="center"/>
          </w:tcPr>
          <w:p w14:paraId="46482C0E">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评标委员会的组建</w:t>
            </w:r>
          </w:p>
        </w:tc>
        <w:tc>
          <w:tcPr>
            <w:tcW w:w="2978" w:type="pct"/>
            <w:tcBorders>
              <w:top w:val="single" w:color="auto" w:sz="4" w:space="0"/>
              <w:left w:val="single" w:color="auto" w:sz="4" w:space="0"/>
              <w:bottom w:val="single" w:color="auto" w:sz="4" w:space="0"/>
              <w:right w:val="single" w:color="auto" w:sz="4" w:space="0"/>
            </w:tcBorders>
            <w:vAlign w:val="center"/>
          </w:tcPr>
          <w:p w14:paraId="0153B3E9">
            <w:pPr>
              <w:snapToGrid w:val="0"/>
              <w:ind w:left="-55" w:leftChars="-26" w:right="-59" w:rightChars="-28"/>
              <w:rPr>
                <w:rFonts w:hint="eastAsia" w:ascii="宋体" w:hAnsi="宋体" w:cs="宋体"/>
                <w:szCs w:val="21"/>
                <w:highlight w:val="none"/>
              </w:rPr>
            </w:pPr>
            <w:r>
              <w:rPr>
                <w:rFonts w:hint="eastAsia"/>
                <w:highlight w:val="none"/>
              </w:rPr>
              <w:t>评标委员会由招标人依法组建。</w:t>
            </w:r>
          </w:p>
        </w:tc>
      </w:tr>
      <w:tr w14:paraId="3D82120E">
        <w:tblPrEx>
          <w:tblCellMar>
            <w:top w:w="57" w:type="dxa"/>
            <w:left w:w="108" w:type="dxa"/>
            <w:bottom w:w="57" w:type="dxa"/>
            <w:right w:w="108" w:type="dxa"/>
          </w:tblCellMar>
        </w:tblPrEx>
        <w:trPr>
          <w:trHeight w:val="580" w:hRule="atLeast"/>
        </w:trPr>
        <w:tc>
          <w:tcPr>
            <w:tcW w:w="511" w:type="pct"/>
            <w:tcBorders>
              <w:top w:val="single" w:color="auto" w:sz="4" w:space="0"/>
              <w:left w:val="single" w:color="auto" w:sz="4" w:space="0"/>
              <w:bottom w:val="single" w:color="auto" w:sz="4" w:space="0"/>
              <w:right w:val="single" w:color="auto" w:sz="4" w:space="0"/>
            </w:tcBorders>
            <w:vAlign w:val="center"/>
          </w:tcPr>
          <w:p w14:paraId="4D7707DC">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6.1.2</w:t>
            </w:r>
          </w:p>
        </w:tc>
        <w:tc>
          <w:tcPr>
            <w:tcW w:w="1510" w:type="pct"/>
            <w:tcBorders>
              <w:top w:val="single" w:color="auto" w:sz="4" w:space="0"/>
              <w:left w:val="single" w:color="auto" w:sz="4" w:space="0"/>
              <w:bottom w:val="single" w:color="auto" w:sz="4" w:space="0"/>
              <w:right w:val="single" w:color="auto" w:sz="4" w:space="0"/>
            </w:tcBorders>
            <w:vAlign w:val="center"/>
          </w:tcPr>
          <w:p w14:paraId="18FC9B76">
            <w:pPr>
              <w:jc w:val="center"/>
              <w:rPr>
                <w:rFonts w:hint="eastAsia" w:ascii="宋体" w:hAnsi="宋体" w:cs="宋体"/>
                <w:szCs w:val="21"/>
                <w:highlight w:val="none"/>
              </w:rPr>
            </w:pPr>
            <w:r>
              <w:rPr>
                <w:rFonts w:hint="eastAsia" w:ascii="宋体" w:hAnsi="宋体" w:cs="宋体"/>
                <w:szCs w:val="21"/>
                <w:highlight w:val="none"/>
                <w:u w:val="single"/>
              </w:rPr>
              <w:t>定标委员会的组建</w:t>
            </w:r>
          </w:p>
        </w:tc>
        <w:tc>
          <w:tcPr>
            <w:tcW w:w="2978" w:type="pct"/>
            <w:tcBorders>
              <w:top w:val="single" w:color="auto" w:sz="4" w:space="0"/>
              <w:left w:val="single" w:color="auto" w:sz="4" w:space="0"/>
              <w:bottom w:val="single" w:color="auto" w:sz="4" w:space="0"/>
              <w:right w:val="single" w:color="auto" w:sz="4" w:space="0"/>
            </w:tcBorders>
            <w:vAlign w:val="center"/>
          </w:tcPr>
          <w:p w14:paraId="7EA6A2EE">
            <w:pPr>
              <w:pStyle w:val="39"/>
              <w:ind w:firstLine="0" w:firstLineChars="0"/>
              <w:rPr>
                <w:rFonts w:hint="eastAsia" w:ascii="宋体" w:hAnsi="宋体" w:cs="宋体"/>
                <w:szCs w:val="21"/>
                <w:highlight w:val="none"/>
                <w:lang w:val="en-US"/>
              </w:rPr>
            </w:pPr>
            <w:r>
              <w:rPr>
                <w:rFonts w:hint="eastAsia"/>
                <w:highlight w:val="none"/>
                <w:lang w:val="en-US"/>
              </w:rPr>
              <w:t>定标委员会由招标人依法组建。</w:t>
            </w:r>
          </w:p>
        </w:tc>
      </w:tr>
      <w:tr w14:paraId="297C77CC">
        <w:tblPrEx>
          <w:tblCellMar>
            <w:top w:w="57" w:type="dxa"/>
            <w:left w:w="108" w:type="dxa"/>
            <w:bottom w:w="57" w:type="dxa"/>
            <w:right w:w="108" w:type="dxa"/>
          </w:tblCellMar>
        </w:tblPrEx>
        <w:trPr>
          <w:trHeight w:val="862" w:hRule="atLeast"/>
        </w:trPr>
        <w:tc>
          <w:tcPr>
            <w:tcW w:w="511" w:type="pct"/>
            <w:tcBorders>
              <w:top w:val="single" w:color="auto" w:sz="4" w:space="0"/>
              <w:left w:val="single" w:color="auto" w:sz="4" w:space="0"/>
              <w:bottom w:val="single" w:color="auto" w:sz="4" w:space="0"/>
              <w:right w:val="single" w:color="auto" w:sz="4" w:space="0"/>
            </w:tcBorders>
            <w:vAlign w:val="center"/>
          </w:tcPr>
          <w:p w14:paraId="6C094517">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7.1</w:t>
            </w:r>
          </w:p>
        </w:tc>
        <w:tc>
          <w:tcPr>
            <w:tcW w:w="1510" w:type="pct"/>
            <w:tcBorders>
              <w:top w:val="single" w:color="auto" w:sz="4" w:space="0"/>
              <w:left w:val="single" w:color="auto" w:sz="4" w:space="0"/>
              <w:bottom w:val="single" w:color="auto" w:sz="4" w:space="0"/>
              <w:right w:val="single" w:color="auto" w:sz="4" w:space="0"/>
            </w:tcBorders>
            <w:vAlign w:val="center"/>
          </w:tcPr>
          <w:p w14:paraId="72830F42">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是否授权评标委员会确定中标人</w:t>
            </w:r>
          </w:p>
        </w:tc>
        <w:tc>
          <w:tcPr>
            <w:tcW w:w="2978" w:type="pct"/>
            <w:tcBorders>
              <w:top w:val="single" w:color="auto" w:sz="4" w:space="0"/>
              <w:left w:val="single" w:color="auto" w:sz="4" w:space="0"/>
              <w:bottom w:val="single" w:color="auto" w:sz="4" w:space="0"/>
              <w:right w:val="single" w:color="auto" w:sz="4" w:space="0"/>
            </w:tcBorders>
            <w:vAlign w:val="center"/>
          </w:tcPr>
          <w:p w14:paraId="1117FE82">
            <w:pPr>
              <w:snapToGrid w:val="0"/>
              <w:ind w:left="-55" w:leftChars="-26" w:right="-59" w:rightChars="-28"/>
              <w:rPr>
                <w:rFonts w:hint="eastAsia" w:ascii="宋体" w:hAnsi="宋体" w:cs="宋体"/>
                <w:szCs w:val="21"/>
                <w:highlight w:val="none"/>
              </w:rPr>
            </w:pPr>
            <w:r>
              <w:rPr>
                <w:rFonts w:hint="eastAsia" w:ascii="宋体" w:hAnsi="宋体" w:cs="宋体"/>
                <w:szCs w:val="21"/>
                <w:highlight w:val="none"/>
              </w:rPr>
              <w:t>□是</w:t>
            </w:r>
          </w:p>
          <w:p w14:paraId="06FA4D20">
            <w:pPr>
              <w:snapToGrid w:val="0"/>
              <w:ind w:left="-55" w:leftChars="-26" w:right="-59" w:rightChars="-28"/>
              <w:rPr>
                <w:rFonts w:hint="eastAsia" w:ascii="宋体" w:hAnsi="宋体" w:cs="宋体"/>
                <w:szCs w:val="21"/>
                <w:highlight w:val="none"/>
              </w:rPr>
            </w:pPr>
            <w:r>
              <w:rPr>
                <w:rFonts w:hint="eastAsia" w:ascii="宋体" w:hAnsi="宋体" w:cs="宋体"/>
                <w:szCs w:val="21"/>
                <w:highlight w:val="none"/>
              </w:rPr>
              <w:t>■否，推荐的中标候选人数：</w:t>
            </w:r>
            <w:r>
              <w:rPr>
                <w:rFonts w:hint="eastAsia" w:ascii="宋体" w:hAnsi="宋体" w:cs="宋体"/>
                <w:szCs w:val="21"/>
                <w:highlight w:val="none"/>
                <w:u w:val="single"/>
              </w:rPr>
              <w:t>详见第5.5条。</w:t>
            </w:r>
          </w:p>
        </w:tc>
      </w:tr>
      <w:tr w14:paraId="25B76FA8">
        <w:tblPrEx>
          <w:tblCellMar>
            <w:top w:w="57" w:type="dxa"/>
            <w:left w:w="108" w:type="dxa"/>
            <w:bottom w:w="57" w:type="dxa"/>
            <w:right w:w="108" w:type="dxa"/>
          </w:tblCellMar>
        </w:tblPrEx>
        <w:trPr>
          <w:trHeight w:val="1688" w:hRule="atLeast"/>
        </w:trPr>
        <w:tc>
          <w:tcPr>
            <w:tcW w:w="511" w:type="pct"/>
            <w:tcBorders>
              <w:top w:val="single" w:color="auto" w:sz="4" w:space="0"/>
              <w:left w:val="single" w:color="auto" w:sz="4" w:space="0"/>
              <w:right w:val="single" w:color="auto" w:sz="4" w:space="0"/>
            </w:tcBorders>
            <w:vAlign w:val="center"/>
          </w:tcPr>
          <w:p w14:paraId="2F56ADFF">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7.2</w:t>
            </w:r>
          </w:p>
        </w:tc>
        <w:tc>
          <w:tcPr>
            <w:tcW w:w="1510" w:type="pct"/>
            <w:tcBorders>
              <w:top w:val="single" w:color="auto" w:sz="4" w:space="0"/>
              <w:left w:val="single" w:color="auto" w:sz="4" w:space="0"/>
              <w:right w:val="single" w:color="auto" w:sz="4" w:space="0"/>
            </w:tcBorders>
            <w:vAlign w:val="center"/>
          </w:tcPr>
          <w:p w14:paraId="15646D18">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中标候选人公示媒介</w:t>
            </w:r>
          </w:p>
        </w:tc>
        <w:tc>
          <w:tcPr>
            <w:tcW w:w="2978" w:type="pct"/>
            <w:tcBorders>
              <w:top w:val="single" w:color="auto" w:sz="4" w:space="0"/>
              <w:left w:val="single" w:color="auto" w:sz="4" w:space="0"/>
              <w:right w:val="single" w:color="auto" w:sz="4" w:space="0"/>
            </w:tcBorders>
            <w:vAlign w:val="center"/>
          </w:tcPr>
          <w:p w14:paraId="2480EAC1">
            <w:pPr>
              <w:snapToGrid w:val="0"/>
              <w:ind w:left="-55" w:leftChars="-26" w:right="-59" w:rightChars="-28"/>
              <w:rPr>
                <w:rFonts w:hint="eastAsia" w:ascii="宋体" w:hAnsi="宋体" w:cs="宋体"/>
                <w:szCs w:val="21"/>
                <w:highlight w:val="none"/>
              </w:rPr>
            </w:pPr>
            <w:r>
              <w:rPr>
                <w:rFonts w:hint="eastAsia" w:ascii="宋体" w:hAnsi="宋体" w:cs="宋体"/>
                <w:kern w:val="0"/>
                <w:szCs w:val="21"/>
                <w:highlight w:val="none"/>
                <w:u w:val="single"/>
              </w:rPr>
              <w:t>中国招标投标公共服务平台、广东省招标投标监管网、广州交易集团有限公司（广州公共资源交易中心）网站。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40320070">
        <w:tblPrEx>
          <w:tblCellMar>
            <w:top w:w="57" w:type="dxa"/>
            <w:left w:w="108" w:type="dxa"/>
            <w:bottom w:w="57" w:type="dxa"/>
            <w:right w:w="108" w:type="dxa"/>
          </w:tblCellMar>
        </w:tblPrEx>
        <w:trPr>
          <w:trHeight w:val="1131" w:hRule="atLeast"/>
        </w:trPr>
        <w:tc>
          <w:tcPr>
            <w:tcW w:w="511" w:type="pct"/>
            <w:tcBorders>
              <w:top w:val="single" w:color="auto" w:sz="4" w:space="0"/>
              <w:left w:val="single" w:color="auto" w:sz="4" w:space="0"/>
              <w:bottom w:val="single" w:color="auto" w:sz="4" w:space="0"/>
              <w:right w:val="single" w:color="auto" w:sz="4" w:space="0"/>
            </w:tcBorders>
            <w:vAlign w:val="center"/>
          </w:tcPr>
          <w:p w14:paraId="519E4338">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7.4.1</w:t>
            </w:r>
          </w:p>
        </w:tc>
        <w:tc>
          <w:tcPr>
            <w:tcW w:w="1510" w:type="pct"/>
            <w:tcBorders>
              <w:top w:val="single" w:color="auto" w:sz="4" w:space="0"/>
              <w:left w:val="single" w:color="auto" w:sz="4" w:space="0"/>
              <w:bottom w:val="single" w:color="auto" w:sz="4" w:space="0"/>
              <w:right w:val="single" w:color="auto" w:sz="4" w:space="0"/>
            </w:tcBorders>
            <w:vAlign w:val="center"/>
          </w:tcPr>
          <w:p w14:paraId="414143B8">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履约担保</w:t>
            </w:r>
          </w:p>
        </w:tc>
        <w:tc>
          <w:tcPr>
            <w:tcW w:w="2978" w:type="pct"/>
            <w:tcBorders>
              <w:top w:val="single" w:color="auto" w:sz="4" w:space="0"/>
              <w:left w:val="single" w:color="auto" w:sz="4" w:space="0"/>
              <w:bottom w:val="single" w:color="auto" w:sz="4" w:space="0"/>
              <w:right w:val="single" w:color="auto" w:sz="4" w:space="0"/>
            </w:tcBorders>
            <w:vAlign w:val="center"/>
          </w:tcPr>
          <w:p w14:paraId="3BB9CB89">
            <w:pPr>
              <w:jc w:val="left"/>
              <w:rPr>
                <w:rFonts w:hint="eastAsia" w:ascii="宋体" w:hAnsi="宋体" w:cs="宋体"/>
                <w:szCs w:val="21"/>
                <w:highlight w:val="none"/>
              </w:rPr>
            </w:pPr>
            <w:r>
              <w:rPr>
                <w:rFonts w:hint="eastAsia" w:ascii="宋体" w:hAnsi="宋体" w:cs="宋体"/>
                <w:szCs w:val="21"/>
                <w:highlight w:val="none"/>
              </w:rPr>
              <w:t>履约担保的形式：以合同约定为准。</w:t>
            </w:r>
          </w:p>
          <w:p w14:paraId="5283F964">
            <w:pPr>
              <w:jc w:val="left"/>
              <w:rPr>
                <w:rFonts w:hint="eastAsia" w:ascii="宋体" w:hAnsi="宋体" w:cs="宋体"/>
                <w:highlight w:val="none"/>
                <w:u w:val="single"/>
              </w:rPr>
            </w:pPr>
            <w:r>
              <w:rPr>
                <w:rFonts w:hint="eastAsia" w:ascii="宋体" w:hAnsi="宋体" w:cs="宋体"/>
                <w:szCs w:val="21"/>
                <w:highlight w:val="none"/>
              </w:rPr>
              <w:t>履约担保的金额：</w:t>
            </w:r>
            <w:r>
              <w:rPr>
                <w:rFonts w:hint="eastAsia"/>
                <w:highlight w:val="none"/>
              </w:rPr>
              <w:t>中标人（若为联合体，指联合体</w:t>
            </w:r>
            <w:r>
              <w:rPr>
                <w:rFonts w:hint="eastAsia"/>
                <w:highlight w:val="none"/>
                <w:lang w:val="en-US" w:eastAsia="zh-CN"/>
              </w:rPr>
              <w:t>施工</w:t>
            </w:r>
            <w:r>
              <w:rPr>
                <w:rFonts w:hint="eastAsia"/>
                <w:highlight w:val="none"/>
              </w:rPr>
              <w:t>方）提供的履约担保为中标价款的10%。</w:t>
            </w:r>
          </w:p>
        </w:tc>
      </w:tr>
      <w:tr w14:paraId="5142FFFB">
        <w:tblPrEx>
          <w:tblCellMar>
            <w:top w:w="57" w:type="dxa"/>
            <w:left w:w="108" w:type="dxa"/>
            <w:bottom w:w="57" w:type="dxa"/>
            <w:right w:w="108" w:type="dxa"/>
          </w:tblCellMar>
        </w:tblPrEx>
        <w:trPr>
          <w:trHeight w:val="2696" w:hRule="atLeast"/>
        </w:trPr>
        <w:tc>
          <w:tcPr>
            <w:tcW w:w="511" w:type="pct"/>
            <w:tcBorders>
              <w:top w:val="single" w:color="auto" w:sz="4" w:space="0"/>
              <w:left w:val="single" w:color="auto" w:sz="4" w:space="0"/>
              <w:bottom w:val="single" w:color="auto" w:sz="4" w:space="0"/>
              <w:right w:val="single" w:color="auto" w:sz="4" w:space="0"/>
            </w:tcBorders>
            <w:vAlign w:val="center"/>
          </w:tcPr>
          <w:p w14:paraId="10C65A59">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w:t>
            </w:r>
          </w:p>
        </w:tc>
        <w:tc>
          <w:tcPr>
            <w:tcW w:w="1510" w:type="pct"/>
            <w:tcBorders>
              <w:top w:val="single" w:color="auto" w:sz="4" w:space="0"/>
              <w:left w:val="single" w:color="auto" w:sz="4" w:space="0"/>
              <w:bottom w:val="single" w:color="auto" w:sz="4" w:space="0"/>
              <w:right w:val="single" w:color="auto" w:sz="4" w:space="0"/>
            </w:tcBorders>
            <w:vAlign w:val="center"/>
          </w:tcPr>
          <w:p w14:paraId="2364BD12">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承包方式</w:t>
            </w:r>
          </w:p>
        </w:tc>
        <w:tc>
          <w:tcPr>
            <w:tcW w:w="2978" w:type="pct"/>
            <w:tcBorders>
              <w:top w:val="single" w:color="auto" w:sz="4" w:space="0"/>
              <w:left w:val="single" w:color="auto" w:sz="4" w:space="0"/>
              <w:bottom w:val="single" w:color="auto" w:sz="4" w:space="0"/>
              <w:right w:val="single" w:color="auto" w:sz="4" w:space="0"/>
            </w:tcBorders>
            <w:vAlign w:val="center"/>
          </w:tcPr>
          <w:p w14:paraId="531BA1E8">
            <w:pPr>
              <w:rPr>
                <w:rFonts w:ascii="宋体" w:cs="宋体"/>
                <w:highlight w:val="none"/>
              </w:rPr>
            </w:pPr>
            <w:r>
              <w:rPr>
                <w:rFonts w:hint="eastAsia" w:ascii="宋体" w:cs="宋体"/>
                <w:highlight w:val="none"/>
              </w:rPr>
              <w:t>包设计、包工、包料、包设备、包工期、包质量、包施工图预算编制、工程量清单编制、包造价控制、包安全、包文明施工、包项目协调管理、包验收移交、包竣工资料收集整理、包编制竣工图、包保修。综合单价包干，措施费项目包干。</w:t>
            </w:r>
          </w:p>
          <w:p w14:paraId="4F47DCF5">
            <w:pPr>
              <w:rPr>
                <w:rFonts w:ascii="宋体" w:cs="宋体"/>
                <w:highlight w:val="none"/>
              </w:rPr>
            </w:pPr>
            <w:r>
              <w:rPr>
                <w:rFonts w:hint="eastAsia" w:ascii="宋体" w:cs="宋体"/>
                <w:highlight w:val="none"/>
              </w:rPr>
              <w:t>结算方式具体按合同条款规定。</w:t>
            </w:r>
          </w:p>
          <w:p w14:paraId="0A7C29E5">
            <w:pPr>
              <w:rPr>
                <w:rFonts w:ascii="宋体" w:cs="宋体"/>
                <w:highlight w:val="none"/>
              </w:rPr>
            </w:pPr>
            <w:r>
              <w:rPr>
                <w:rFonts w:hint="eastAsia" w:ascii="宋体" w:cs="宋体"/>
                <w:highlight w:val="none"/>
              </w:rPr>
              <w:t>项目在施工阶段，因工程实施环境变化等任何因素引起的设计及施工调整、设计和施工最终造价不得超过招标控制价。</w:t>
            </w:r>
          </w:p>
          <w:p w14:paraId="4AC7C6B9">
            <w:pPr>
              <w:rPr>
                <w:rFonts w:hint="eastAsia" w:ascii="宋体" w:hAnsi="宋体" w:cs="宋体"/>
                <w:highlight w:val="none"/>
              </w:rPr>
            </w:pPr>
            <w:r>
              <w:rPr>
                <w:rFonts w:hint="eastAsia" w:ascii="宋体" w:cs="宋体"/>
                <w:highlight w:val="none"/>
              </w:rPr>
              <w:t>本工程实行全过程限额设计施工，限额投资。工程变更需经过建设单位审定后方可实施。</w:t>
            </w:r>
          </w:p>
        </w:tc>
      </w:tr>
      <w:tr w14:paraId="7E09B222">
        <w:tblPrEx>
          <w:tblCellMar>
            <w:top w:w="57" w:type="dxa"/>
            <w:left w:w="108" w:type="dxa"/>
            <w:bottom w:w="57" w:type="dxa"/>
            <w:right w:w="108" w:type="dxa"/>
          </w:tblCellMar>
        </w:tblPrEx>
        <w:trPr>
          <w:trHeight w:val="454" w:hRule="atLeast"/>
        </w:trPr>
        <w:tc>
          <w:tcPr>
            <w:tcW w:w="511" w:type="pct"/>
            <w:tcBorders>
              <w:top w:val="single" w:color="auto" w:sz="4" w:space="0"/>
              <w:left w:val="single" w:color="auto" w:sz="4" w:space="0"/>
              <w:bottom w:val="single" w:color="auto" w:sz="4" w:space="0"/>
              <w:right w:val="single" w:color="auto" w:sz="4" w:space="0"/>
            </w:tcBorders>
            <w:vAlign w:val="center"/>
          </w:tcPr>
          <w:p w14:paraId="257E2A78">
            <w:pPr>
              <w:snapToGrid w:val="0"/>
              <w:spacing w:line="240" w:lineRule="exact"/>
              <w:ind w:left="-55" w:leftChars="-26" w:right="-59" w:rightChars="-28"/>
              <w:jc w:val="center"/>
              <w:rPr>
                <w:rFonts w:hint="eastAsia" w:ascii="宋体" w:hAnsi="宋体" w:cs="宋体"/>
                <w:b/>
                <w:szCs w:val="21"/>
                <w:highlight w:val="none"/>
              </w:rPr>
            </w:pPr>
            <w:r>
              <w:rPr>
                <w:rFonts w:hint="eastAsia" w:ascii="宋体" w:hAnsi="宋体" w:cs="宋体"/>
                <w:b/>
                <w:szCs w:val="21"/>
                <w:highlight w:val="none"/>
              </w:rPr>
              <w:t>9</w:t>
            </w:r>
          </w:p>
        </w:tc>
        <w:tc>
          <w:tcPr>
            <w:tcW w:w="4488" w:type="pct"/>
            <w:gridSpan w:val="2"/>
            <w:tcBorders>
              <w:top w:val="single" w:color="auto" w:sz="4" w:space="0"/>
              <w:left w:val="single" w:color="auto" w:sz="4" w:space="0"/>
              <w:bottom w:val="single" w:color="auto" w:sz="4" w:space="0"/>
              <w:right w:val="single" w:color="auto" w:sz="4" w:space="0"/>
            </w:tcBorders>
            <w:vAlign w:val="center"/>
          </w:tcPr>
          <w:p w14:paraId="68583857">
            <w:pPr>
              <w:snapToGrid w:val="0"/>
              <w:ind w:left="-55" w:leftChars="-26" w:right="-59" w:rightChars="-28"/>
              <w:jc w:val="center"/>
              <w:rPr>
                <w:rFonts w:hint="eastAsia" w:ascii="宋体" w:hAnsi="宋体" w:cs="宋体"/>
                <w:b/>
                <w:szCs w:val="21"/>
                <w:highlight w:val="none"/>
              </w:rPr>
            </w:pPr>
            <w:r>
              <w:rPr>
                <w:rFonts w:hint="eastAsia" w:ascii="宋体" w:hAnsi="宋体" w:cs="宋体"/>
                <w:b/>
                <w:szCs w:val="21"/>
                <w:highlight w:val="none"/>
              </w:rPr>
              <w:t>需要补充的其他内容</w:t>
            </w:r>
          </w:p>
        </w:tc>
      </w:tr>
      <w:tr w14:paraId="51C55B45">
        <w:tblPrEx>
          <w:tblCellMar>
            <w:top w:w="57" w:type="dxa"/>
            <w:left w:w="108" w:type="dxa"/>
            <w:bottom w:w="57" w:type="dxa"/>
            <w:right w:w="108" w:type="dxa"/>
          </w:tblCellMar>
        </w:tblPrEx>
        <w:trPr>
          <w:trHeight w:val="2629" w:hRule="atLeast"/>
        </w:trPr>
        <w:tc>
          <w:tcPr>
            <w:tcW w:w="511" w:type="pct"/>
            <w:tcBorders>
              <w:top w:val="single" w:color="auto" w:sz="4" w:space="0"/>
              <w:left w:val="single" w:color="auto" w:sz="4" w:space="0"/>
              <w:bottom w:val="single" w:color="auto" w:sz="4" w:space="0"/>
              <w:right w:val="single" w:color="auto" w:sz="4" w:space="0"/>
            </w:tcBorders>
            <w:vAlign w:val="center"/>
          </w:tcPr>
          <w:p w14:paraId="233C4573">
            <w:pPr>
              <w:snapToGrid w:val="0"/>
              <w:spacing w:line="240" w:lineRule="exact"/>
              <w:ind w:left="-55" w:leftChars="-26" w:right="-59" w:rightChars="-28"/>
              <w:jc w:val="center"/>
              <w:rPr>
                <w:rFonts w:hint="eastAsia" w:ascii="宋体" w:hAnsi="宋体" w:cs="宋体"/>
                <w:b/>
                <w:szCs w:val="21"/>
                <w:highlight w:val="none"/>
              </w:rPr>
            </w:pPr>
            <w:r>
              <w:rPr>
                <w:rFonts w:hint="eastAsia" w:ascii="宋体" w:hAnsi="宋体" w:cs="宋体"/>
                <w:bCs/>
                <w:szCs w:val="21"/>
                <w:highlight w:val="none"/>
              </w:rPr>
              <w:t>9.1</w:t>
            </w:r>
          </w:p>
        </w:tc>
        <w:tc>
          <w:tcPr>
            <w:tcW w:w="4488" w:type="pct"/>
            <w:gridSpan w:val="2"/>
            <w:tcBorders>
              <w:top w:val="single" w:color="auto" w:sz="4" w:space="0"/>
              <w:left w:val="single" w:color="auto" w:sz="4" w:space="0"/>
              <w:bottom w:val="single" w:color="auto" w:sz="4" w:space="0"/>
              <w:right w:val="single" w:color="auto" w:sz="4" w:space="0"/>
            </w:tcBorders>
            <w:vAlign w:val="center"/>
          </w:tcPr>
          <w:p w14:paraId="665919C1">
            <w:pPr>
              <w:rPr>
                <w:rFonts w:ascii="宋体" w:cs="宋体"/>
                <w:b/>
                <w:bCs/>
                <w:highlight w:val="none"/>
              </w:rPr>
            </w:pPr>
            <w:r>
              <w:rPr>
                <w:rFonts w:hint="eastAsia" w:ascii="宋体" w:cs="宋体"/>
                <w:b/>
                <w:bCs/>
                <w:highlight w:val="none"/>
              </w:rPr>
              <w:t>建设工程质量检测管理办法:</w:t>
            </w:r>
          </w:p>
          <w:p w14:paraId="1AA06934">
            <w:pPr>
              <w:rPr>
                <w:rFonts w:ascii="宋体" w:cs="宋体"/>
                <w:highlight w:val="none"/>
                <w:u w:val="single"/>
              </w:rPr>
            </w:pPr>
            <w:r>
              <w:rPr>
                <w:rFonts w:hint="eastAsia" w:ascii="宋体" w:cs="宋体"/>
                <w:highlight w:val="none"/>
                <w:u w:val="single"/>
              </w:rPr>
              <w:t>根据《建设工程质量检测管理办法》(建设部令〔2022〕第57号)第二十一条规定，非建设单位委托的检测机构出具的检测报告不得作为工程质量验收资料。招标文件中与此条不一致的，以此条为准。</w:t>
            </w:r>
          </w:p>
          <w:p w14:paraId="6C516CDF">
            <w:pPr>
              <w:rPr>
                <w:rFonts w:ascii="Calibri" w:hAnsi="Calibri"/>
                <w:b/>
                <w:bCs/>
                <w:highlight w:val="none"/>
              </w:rPr>
            </w:pPr>
            <w:r>
              <w:rPr>
                <w:rFonts w:hint="eastAsia" w:ascii="Calibri" w:hAnsi="Calibri"/>
                <w:b/>
                <w:bCs/>
                <w:highlight w:val="none"/>
              </w:rPr>
              <w:t>建设工程质量检测单位：</w:t>
            </w:r>
          </w:p>
          <w:p w14:paraId="54771DF1">
            <w:pPr>
              <w:snapToGrid w:val="0"/>
              <w:ind w:left="-55" w:leftChars="-26" w:right="-59" w:rightChars="-28"/>
              <w:jc w:val="left"/>
              <w:rPr>
                <w:rFonts w:hint="eastAsia" w:ascii="宋体" w:hAnsi="宋体" w:cs="宋体"/>
                <w:b/>
                <w:szCs w:val="21"/>
                <w:highlight w:val="none"/>
              </w:rPr>
            </w:pPr>
            <w:r>
              <w:rPr>
                <w:rFonts w:hint="eastAsia" w:ascii="Calibri" w:hAnsi="Calibri"/>
                <w:highlight w:val="none"/>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1C724D6A">
        <w:tblPrEx>
          <w:tblCellMar>
            <w:top w:w="57" w:type="dxa"/>
            <w:left w:w="108" w:type="dxa"/>
            <w:bottom w:w="57" w:type="dxa"/>
            <w:right w:w="108" w:type="dxa"/>
          </w:tblCellMar>
        </w:tblPrEx>
        <w:trPr>
          <w:trHeight w:val="2658" w:hRule="atLeast"/>
        </w:trPr>
        <w:tc>
          <w:tcPr>
            <w:tcW w:w="511" w:type="pct"/>
            <w:tcBorders>
              <w:top w:val="single" w:color="auto" w:sz="4" w:space="0"/>
              <w:left w:val="single" w:color="auto" w:sz="4" w:space="0"/>
              <w:bottom w:val="single" w:color="auto" w:sz="4" w:space="0"/>
              <w:right w:val="single" w:color="auto" w:sz="4" w:space="0"/>
            </w:tcBorders>
            <w:vAlign w:val="center"/>
          </w:tcPr>
          <w:p w14:paraId="0466BBA9">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9.2</w:t>
            </w:r>
          </w:p>
        </w:tc>
        <w:tc>
          <w:tcPr>
            <w:tcW w:w="4488" w:type="pct"/>
            <w:gridSpan w:val="2"/>
            <w:tcBorders>
              <w:top w:val="single" w:color="auto" w:sz="4" w:space="0"/>
              <w:left w:val="single" w:color="auto" w:sz="4" w:space="0"/>
              <w:bottom w:val="single" w:color="auto" w:sz="4" w:space="0"/>
              <w:right w:val="single" w:color="auto" w:sz="4" w:space="0"/>
            </w:tcBorders>
            <w:vAlign w:val="center"/>
          </w:tcPr>
          <w:p w14:paraId="592865CB">
            <w:pPr>
              <w:rPr>
                <w:rFonts w:ascii="Calibri" w:hAnsi="Calibri"/>
                <w:highlight w:val="none"/>
              </w:rPr>
            </w:pPr>
            <w:r>
              <w:rPr>
                <w:rFonts w:hint="eastAsia" w:ascii="Calibri" w:hAnsi="Calibri"/>
                <w:highlight w:val="none"/>
              </w:rPr>
              <w:t>在招标和合同实施期间，招标人要求投标人和承包人遵守最高的道德标准。</w:t>
            </w:r>
          </w:p>
          <w:p w14:paraId="41958120">
            <w:pPr>
              <w:rPr>
                <w:rFonts w:ascii="Calibri" w:hAnsi="Calibri"/>
                <w:b/>
                <w:bCs/>
                <w:highlight w:val="none"/>
              </w:rPr>
            </w:pPr>
            <w:r>
              <w:rPr>
                <w:rFonts w:hint="eastAsia" w:ascii="Calibri" w:hAnsi="Calibri"/>
                <w:b/>
                <w:bCs/>
                <w:highlight w:val="none"/>
              </w:rPr>
              <w:t>1.对本条款的规定，特定义如下词汇：</w:t>
            </w:r>
          </w:p>
          <w:p w14:paraId="7DF6B2E7">
            <w:pPr>
              <w:ind w:firstLine="210" w:firstLineChars="100"/>
              <w:rPr>
                <w:rFonts w:ascii="Calibri" w:hAnsi="Calibri"/>
                <w:highlight w:val="none"/>
              </w:rPr>
            </w:pPr>
            <w:r>
              <w:rPr>
                <w:rFonts w:hint="eastAsia" w:ascii="Calibri" w:hAnsi="Calibri"/>
                <w:highlight w:val="none"/>
              </w:rPr>
              <w:t>1）“腐败行为”是指在招标或合同执行期间，通过提供、给予、接受或索要任何有价值的东西，从而影响招标人有关人员工作的行为；</w:t>
            </w:r>
          </w:p>
          <w:p w14:paraId="67195922">
            <w:pPr>
              <w:ind w:firstLine="210" w:firstLineChars="100"/>
              <w:rPr>
                <w:rFonts w:ascii="Calibri" w:hAnsi="Calibri"/>
                <w:highlight w:val="none"/>
              </w:rPr>
            </w:pPr>
            <w:r>
              <w:rPr>
                <w:rFonts w:hint="eastAsia" w:ascii="Calibri" w:hAnsi="Calibri"/>
                <w:highlight w:val="none"/>
              </w:rPr>
              <w:t>2）“欺诈行为”是指通过提供伪证影响招标或合同执行，从而损害招标人利益的行为；也包括投标人之间串通（在提交投标书之前或之后），人为地使招标过程失去竞争性，从而使业主无法从公开的自由竞争中获得利益的行为。</w:t>
            </w:r>
          </w:p>
          <w:p w14:paraId="3713BFF5">
            <w:pPr>
              <w:snapToGrid w:val="0"/>
              <w:ind w:left="-55" w:leftChars="-26" w:right="-59" w:rightChars="-28"/>
              <w:rPr>
                <w:rFonts w:hint="eastAsia" w:ascii="宋体" w:hAnsi="宋体" w:cs="宋体"/>
                <w:szCs w:val="21"/>
                <w:highlight w:val="none"/>
              </w:rPr>
            </w:pPr>
            <w:r>
              <w:rPr>
                <w:rFonts w:hint="eastAsia" w:ascii="Calibri" w:hAnsi="Calibri"/>
                <w:b/>
                <w:bCs/>
                <w:highlight w:val="none"/>
              </w:rPr>
              <w:t>2.如果投标人被认定在本次招标的竞争中有腐败或欺诈行为，则会被取消投标资格。</w:t>
            </w:r>
          </w:p>
        </w:tc>
      </w:tr>
      <w:tr w14:paraId="2538F9A2">
        <w:tblPrEx>
          <w:tblCellMar>
            <w:top w:w="57" w:type="dxa"/>
            <w:left w:w="108" w:type="dxa"/>
            <w:bottom w:w="57" w:type="dxa"/>
            <w:right w:w="108" w:type="dxa"/>
          </w:tblCellMar>
        </w:tblPrEx>
        <w:trPr>
          <w:trHeight w:val="701" w:hRule="atLeast"/>
        </w:trPr>
        <w:tc>
          <w:tcPr>
            <w:tcW w:w="511" w:type="pct"/>
            <w:tcBorders>
              <w:top w:val="single" w:color="auto" w:sz="4" w:space="0"/>
              <w:left w:val="single" w:color="auto" w:sz="4" w:space="0"/>
              <w:bottom w:val="single" w:color="auto" w:sz="4" w:space="0"/>
              <w:right w:val="single" w:color="auto" w:sz="4" w:space="0"/>
            </w:tcBorders>
            <w:vAlign w:val="center"/>
          </w:tcPr>
          <w:p w14:paraId="445194A9">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9.3</w:t>
            </w:r>
          </w:p>
        </w:tc>
        <w:tc>
          <w:tcPr>
            <w:tcW w:w="4488" w:type="pct"/>
            <w:gridSpan w:val="2"/>
            <w:tcBorders>
              <w:top w:val="single" w:color="auto" w:sz="4" w:space="0"/>
              <w:left w:val="single" w:color="auto" w:sz="4" w:space="0"/>
              <w:bottom w:val="single" w:color="auto" w:sz="4" w:space="0"/>
              <w:right w:val="single" w:color="auto" w:sz="4" w:space="0"/>
            </w:tcBorders>
            <w:vAlign w:val="center"/>
          </w:tcPr>
          <w:p w14:paraId="4DA43B8D">
            <w:pPr>
              <w:snapToGrid w:val="0"/>
              <w:ind w:left="-55" w:leftChars="-26" w:right="-59" w:rightChars="-28"/>
              <w:rPr>
                <w:rFonts w:ascii="Calibri" w:hAnsi="Calibri"/>
                <w:b/>
                <w:bCs/>
                <w:highlight w:val="none"/>
              </w:rPr>
            </w:pPr>
            <w:r>
              <w:rPr>
                <w:rFonts w:hint="eastAsia" w:ascii="Calibri" w:hAnsi="Calibri"/>
                <w:highlight w:val="none"/>
              </w:rPr>
              <w:t>本项目的监理、施工图审查、第三方检测工作、可行性研究报告的编制工作、节能评估服务、造价咨询工作不列入本次招标范围。</w:t>
            </w:r>
          </w:p>
        </w:tc>
      </w:tr>
      <w:tr w14:paraId="26B47E8D">
        <w:tblPrEx>
          <w:tblCellMar>
            <w:top w:w="57" w:type="dxa"/>
            <w:left w:w="108" w:type="dxa"/>
            <w:bottom w:w="57" w:type="dxa"/>
            <w:right w:w="108" w:type="dxa"/>
          </w:tblCellMar>
        </w:tblPrEx>
        <w:trPr>
          <w:trHeight w:val="494" w:hRule="atLeast"/>
        </w:trPr>
        <w:tc>
          <w:tcPr>
            <w:tcW w:w="511" w:type="pct"/>
            <w:tcBorders>
              <w:top w:val="single" w:color="auto" w:sz="4" w:space="0"/>
              <w:left w:val="single" w:color="auto" w:sz="4" w:space="0"/>
              <w:bottom w:val="single" w:color="auto" w:sz="4" w:space="0"/>
              <w:right w:val="single" w:color="auto" w:sz="4" w:space="0"/>
            </w:tcBorders>
            <w:vAlign w:val="center"/>
          </w:tcPr>
          <w:p w14:paraId="25CF4792">
            <w:pPr>
              <w:jc w:val="center"/>
              <w:rPr>
                <w:rFonts w:hint="eastAsia" w:ascii="宋体" w:hAnsi="宋体" w:cs="宋体"/>
                <w:szCs w:val="21"/>
                <w:highlight w:val="none"/>
              </w:rPr>
            </w:pPr>
            <w:r>
              <w:rPr>
                <w:rFonts w:hint="eastAsia" w:ascii="宋体" w:hAnsi="宋体" w:cs="宋体"/>
                <w:szCs w:val="21"/>
                <w:highlight w:val="none"/>
              </w:rPr>
              <w:t>9.4</w:t>
            </w:r>
          </w:p>
        </w:tc>
        <w:tc>
          <w:tcPr>
            <w:tcW w:w="4488" w:type="pct"/>
            <w:gridSpan w:val="2"/>
            <w:tcBorders>
              <w:top w:val="single" w:color="auto" w:sz="4" w:space="0"/>
              <w:left w:val="single" w:color="auto" w:sz="4" w:space="0"/>
              <w:bottom w:val="single" w:color="auto" w:sz="4" w:space="0"/>
              <w:right w:val="single" w:color="auto" w:sz="4" w:space="0"/>
            </w:tcBorders>
            <w:vAlign w:val="center"/>
          </w:tcPr>
          <w:p w14:paraId="00F5EA69">
            <w:pPr>
              <w:pStyle w:val="171"/>
              <w:ind w:firstLine="0" w:firstLineChars="0"/>
              <w:rPr>
                <w:rFonts w:hint="eastAsia" w:ascii="宋体" w:hAnsi="宋体" w:cs="宋体"/>
                <w:szCs w:val="21"/>
                <w:highlight w:val="none"/>
              </w:rPr>
            </w:pPr>
            <w:r>
              <w:rPr>
                <w:rFonts w:hint="eastAsia" w:ascii="宋体" w:hAnsi="宋体" w:cs="宋体"/>
                <w:szCs w:val="21"/>
                <w:highlight w:val="none"/>
              </w:rPr>
              <w:t>施工保修期限：按照《建设工程质量管理条例》规定及合同要求。</w:t>
            </w:r>
          </w:p>
        </w:tc>
      </w:tr>
      <w:tr w14:paraId="4DAD46EF">
        <w:tblPrEx>
          <w:tblCellMar>
            <w:top w:w="57" w:type="dxa"/>
            <w:left w:w="108" w:type="dxa"/>
            <w:bottom w:w="57" w:type="dxa"/>
            <w:right w:w="108" w:type="dxa"/>
          </w:tblCellMar>
        </w:tblPrEx>
        <w:trPr>
          <w:trHeight w:val="454" w:hRule="atLeast"/>
        </w:trPr>
        <w:tc>
          <w:tcPr>
            <w:tcW w:w="511" w:type="pct"/>
            <w:tcBorders>
              <w:top w:val="single" w:color="auto" w:sz="4" w:space="0"/>
              <w:left w:val="single" w:color="auto" w:sz="4" w:space="0"/>
              <w:bottom w:val="single" w:color="auto" w:sz="4" w:space="0"/>
              <w:right w:val="single" w:color="auto" w:sz="4" w:space="0"/>
            </w:tcBorders>
            <w:vAlign w:val="center"/>
          </w:tcPr>
          <w:p w14:paraId="702E0D35">
            <w:pPr>
              <w:jc w:val="center"/>
              <w:rPr>
                <w:rFonts w:hint="eastAsia" w:ascii="宋体" w:hAnsi="宋体" w:cs="宋体"/>
                <w:szCs w:val="21"/>
                <w:highlight w:val="none"/>
              </w:rPr>
            </w:pPr>
            <w:r>
              <w:rPr>
                <w:rFonts w:hint="eastAsia" w:ascii="宋体" w:hAnsi="宋体" w:cs="宋体"/>
                <w:szCs w:val="21"/>
                <w:highlight w:val="none"/>
              </w:rPr>
              <w:t>9.5</w:t>
            </w:r>
          </w:p>
        </w:tc>
        <w:tc>
          <w:tcPr>
            <w:tcW w:w="4488" w:type="pct"/>
            <w:gridSpan w:val="2"/>
            <w:tcBorders>
              <w:top w:val="single" w:color="auto" w:sz="4" w:space="0"/>
              <w:left w:val="single" w:color="auto" w:sz="4" w:space="0"/>
              <w:bottom w:val="single" w:color="auto" w:sz="4" w:space="0"/>
              <w:right w:val="single" w:color="auto" w:sz="4" w:space="0"/>
            </w:tcBorders>
            <w:vAlign w:val="center"/>
          </w:tcPr>
          <w:p w14:paraId="4D2892AE">
            <w:pPr>
              <w:jc w:val="left"/>
              <w:rPr>
                <w:rFonts w:hint="eastAsia" w:ascii="宋体" w:hAnsi="宋体" w:cs="宋体"/>
                <w:szCs w:val="21"/>
                <w:highlight w:val="none"/>
              </w:rPr>
            </w:pPr>
            <w:r>
              <w:rPr>
                <w:rFonts w:hint="eastAsia" w:ascii="宋体" w:hAnsi="宋体" w:cs="宋体"/>
                <w:szCs w:val="21"/>
                <w:highlight w:val="none"/>
              </w:rPr>
              <w:t>投标文件中需同时填写大写和小写的，大写和小写不一致时以大写为准。</w:t>
            </w:r>
          </w:p>
        </w:tc>
      </w:tr>
      <w:tr w14:paraId="2E4876C9">
        <w:tblPrEx>
          <w:tblCellMar>
            <w:top w:w="57" w:type="dxa"/>
            <w:left w:w="108" w:type="dxa"/>
            <w:bottom w:w="57" w:type="dxa"/>
            <w:right w:w="108" w:type="dxa"/>
          </w:tblCellMar>
        </w:tblPrEx>
        <w:trPr>
          <w:trHeight w:val="676" w:hRule="atLeast"/>
        </w:trPr>
        <w:tc>
          <w:tcPr>
            <w:tcW w:w="511" w:type="pct"/>
            <w:tcBorders>
              <w:top w:val="single" w:color="auto" w:sz="4" w:space="0"/>
              <w:left w:val="single" w:color="auto" w:sz="4" w:space="0"/>
              <w:bottom w:val="single" w:color="auto" w:sz="4" w:space="0"/>
              <w:right w:val="single" w:color="auto" w:sz="4" w:space="0"/>
            </w:tcBorders>
            <w:vAlign w:val="center"/>
          </w:tcPr>
          <w:p w14:paraId="6E2E42BA">
            <w:pPr>
              <w:jc w:val="center"/>
              <w:rPr>
                <w:rFonts w:hint="eastAsia" w:ascii="宋体" w:hAnsi="宋体" w:cs="宋体"/>
                <w:szCs w:val="21"/>
                <w:highlight w:val="none"/>
              </w:rPr>
            </w:pPr>
            <w:r>
              <w:rPr>
                <w:rFonts w:hint="eastAsia" w:ascii="宋体" w:hAnsi="宋体" w:cs="宋体"/>
                <w:szCs w:val="21"/>
                <w:highlight w:val="none"/>
              </w:rPr>
              <w:t>9.6</w:t>
            </w:r>
          </w:p>
        </w:tc>
        <w:tc>
          <w:tcPr>
            <w:tcW w:w="4488" w:type="pct"/>
            <w:gridSpan w:val="2"/>
            <w:tcBorders>
              <w:top w:val="single" w:color="auto" w:sz="4" w:space="0"/>
              <w:left w:val="single" w:color="auto" w:sz="4" w:space="0"/>
              <w:bottom w:val="single" w:color="auto" w:sz="4" w:space="0"/>
              <w:right w:val="single" w:color="auto" w:sz="4" w:space="0"/>
            </w:tcBorders>
            <w:vAlign w:val="center"/>
          </w:tcPr>
          <w:p w14:paraId="2AF9E948">
            <w:pPr>
              <w:jc w:val="left"/>
              <w:rPr>
                <w:rFonts w:hint="eastAsia" w:ascii="宋体" w:hAnsi="宋体" w:cs="宋体"/>
                <w:szCs w:val="21"/>
                <w:highlight w:val="none"/>
              </w:rPr>
            </w:pPr>
            <w:r>
              <w:rPr>
                <w:rFonts w:hint="eastAsia" w:ascii="宋体" w:hAnsi="宋体" w:cs="宋体"/>
                <w:szCs w:val="21"/>
                <w:highlight w:val="none"/>
              </w:rPr>
              <w:t>开工前中标人应当投保安全生产责任保险，且该保险保障场所应包含中标项目。投标人的投标报价视为包含该项费用。</w:t>
            </w:r>
          </w:p>
        </w:tc>
      </w:tr>
      <w:tr w14:paraId="11878B2B">
        <w:tblPrEx>
          <w:tblCellMar>
            <w:top w:w="57" w:type="dxa"/>
            <w:left w:w="108" w:type="dxa"/>
            <w:bottom w:w="57" w:type="dxa"/>
            <w:right w:w="108" w:type="dxa"/>
          </w:tblCellMar>
        </w:tblPrEx>
        <w:trPr>
          <w:trHeight w:val="567" w:hRule="atLeast"/>
        </w:trPr>
        <w:tc>
          <w:tcPr>
            <w:tcW w:w="511" w:type="pct"/>
            <w:tcBorders>
              <w:top w:val="single" w:color="auto" w:sz="4" w:space="0"/>
              <w:left w:val="single" w:color="auto" w:sz="4" w:space="0"/>
              <w:bottom w:val="single" w:color="auto" w:sz="4" w:space="0"/>
              <w:right w:val="single" w:color="auto" w:sz="4" w:space="0"/>
            </w:tcBorders>
            <w:vAlign w:val="center"/>
          </w:tcPr>
          <w:p w14:paraId="0B5BD286">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10</w:t>
            </w:r>
          </w:p>
        </w:tc>
        <w:tc>
          <w:tcPr>
            <w:tcW w:w="1510" w:type="pct"/>
            <w:tcBorders>
              <w:top w:val="single" w:color="auto" w:sz="4" w:space="0"/>
              <w:left w:val="single" w:color="auto" w:sz="4" w:space="0"/>
              <w:bottom w:val="single" w:color="auto" w:sz="4" w:space="0"/>
              <w:right w:val="single" w:color="auto" w:sz="4" w:space="0"/>
            </w:tcBorders>
            <w:vAlign w:val="center"/>
          </w:tcPr>
          <w:p w14:paraId="760336AF">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电子招标投标</w:t>
            </w:r>
          </w:p>
        </w:tc>
        <w:tc>
          <w:tcPr>
            <w:tcW w:w="2978" w:type="pct"/>
            <w:tcBorders>
              <w:top w:val="single" w:color="auto" w:sz="4" w:space="0"/>
              <w:left w:val="single" w:color="auto" w:sz="4" w:space="0"/>
              <w:bottom w:val="single" w:color="auto" w:sz="4" w:space="0"/>
              <w:right w:val="single" w:color="auto" w:sz="4" w:space="0"/>
            </w:tcBorders>
            <w:vAlign w:val="center"/>
          </w:tcPr>
          <w:p w14:paraId="60AE81CA">
            <w:pPr>
              <w:rPr>
                <w:rFonts w:ascii="Calibri" w:hAnsi="Calibri"/>
                <w:highlight w:val="none"/>
                <w:lang w:val="zh-CN"/>
              </w:rPr>
            </w:pPr>
            <w:r>
              <w:rPr>
                <w:rFonts w:hint="eastAsia" w:ascii="Calibri" w:hAnsi="Calibri"/>
                <w:highlight w:val="none"/>
                <w:lang w:val="zh-CN"/>
              </w:rPr>
              <w:t>□否</w:t>
            </w:r>
          </w:p>
          <w:p w14:paraId="1D724EB5">
            <w:pPr>
              <w:rPr>
                <w:rFonts w:ascii="Calibri" w:hAnsi="Calibri"/>
                <w:highlight w:val="none"/>
                <w:lang w:val="zh-CN"/>
              </w:rPr>
            </w:pPr>
            <w:r>
              <w:rPr>
                <w:rFonts w:hint="eastAsia" w:ascii="Calibri" w:hAnsi="Calibri"/>
                <w:highlight w:val="none"/>
                <w:lang w:val="zh-CN"/>
              </w:rPr>
              <w:t>■是</w:t>
            </w:r>
          </w:p>
          <w:p w14:paraId="0A6C669C">
            <w:pPr>
              <w:rPr>
                <w:rFonts w:ascii="Calibri" w:hAnsi="Calibri"/>
                <w:highlight w:val="none"/>
                <w:lang w:val="zh-CN"/>
              </w:rPr>
            </w:pPr>
            <w:r>
              <w:rPr>
                <w:rFonts w:hint="eastAsia" w:ascii="Calibri" w:hAnsi="Calibri"/>
                <w:b/>
                <w:bCs/>
                <w:highlight w:val="none"/>
                <w:lang w:val="zh-CN"/>
              </w:rPr>
              <w:t>1、投标文件形式：</w:t>
            </w:r>
            <w:r>
              <w:rPr>
                <w:rFonts w:hint="eastAsia" w:ascii="Calibri" w:hAnsi="Calibri"/>
                <w:highlight w:val="none"/>
                <w:lang w:val="zh-CN"/>
              </w:rPr>
              <w:t>投标文件全部采用电子文档，投标文件应按广州交易集团有限公司（广州公共资源交易中心）数字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w:t>
            </w:r>
            <w:r>
              <w:rPr>
                <w:rFonts w:hint="eastAsia" w:ascii="Calibri" w:hAnsi="Calibri"/>
                <w:highlight w:val="none"/>
                <w:u w:val="single"/>
                <w:lang w:val="zh-CN"/>
              </w:rPr>
              <w:t>加盖个人电子印章或在线下完成</w:t>
            </w:r>
            <w:r>
              <w:rPr>
                <w:rFonts w:hint="eastAsia" w:ascii="Calibri" w:hAnsi="Calibri"/>
                <w:highlight w:val="none"/>
                <w:lang w:val="zh-CN"/>
              </w:rPr>
              <w:t>后扫描上传。具体操作详见：《房屋建筑和市政基础设施工程全流程电子化项目专章》。</w:t>
            </w:r>
          </w:p>
          <w:p w14:paraId="1B169DAC">
            <w:pPr>
              <w:rPr>
                <w:rFonts w:ascii="宋体" w:eastAsia="Times New Roman" w:cs="宋体"/>
                <w:b/>
                <w:bCs/>
                <w:highlight w:val="none"/>
                <w:u w:val="single"/>
                <w:lang w:val="zh-CN"/>
              </w:rPr>
            </w:pPr>
            <w:r>
              <w:rPr>
                <w:rFonts w:hint="eastAsia" w:ascii="宋体" w:eastAsia="Times New Roman" w:cs="宋体"/>
                <w:b/>
                <w:bCs/>
                <w:highlight w:val="none"/>
                <w:u w:val="single"/>
                <w:lang w:val="zh-CN"/>
              </w:rPr>
              <w:t>注释：投标文件电子文档需要投标人单位盖章的材料，投标人加盖电子印章即可，不得将投标人未对电子文档加盖实物印章作为否决投标的情形。</w:t>
            </w:r>
          </w:p>
          <w:p w14:paraId="57F749F3">
            <w:pPr>
              <w:rPr>
                <w:rFonts w:ascii="Calibri" w:hAnsi="Calibri"/>
                <w:highlight w:val="none"/>
                <w:lang w:val="zh-CN"/>
              </w:rPr>
            </w:pPr>
            <w:r>
              <w:rPr>
                <w:rFonts w:hint="eastAsia" w:ascii="Calibri" w:hAnsi="Calibri"/>
                <w:b/>
                <w:bCs/>
                <w:highlight w:val="none"/>
                <w:lang w:val="zh-CN"/>
              </w:rPr>
              <w:t>2、投标文件的修改与撤回：</w:t>
            </w:r>
            <w:r>
              <w:rPr>
                <w:rFonts w:hint="eastAsia" w:ascii="Calibri" w:hAnsi="Calibri"/>
                <w:highlight w:val="none"/>
                <w:lang w:val="zh-CN"/>
              </w:rPr>
              <w:t>投标人修改或撤回已递交的投标文件，需在广州交易集团有限公司（广州公共资源交易中心）数字交易平台发出撤回通知，并按要求加盖电子印章。电子招标投标交易平台收到通知后，即时向投标人发出确认回执通知。投标人撤回投标文件的，招标人自收到投标人书面撤回通知之日起5日内退还已收取的投标保证金。</w:t>
            </w:r>
          </w:p>
          <w:p w14:paraId="4799A4AF">
            <w:pPr>
              <w:rPr>
                <w:rFonts w:ascii="Calibri" w:hAnsi="Calibri"/>
                <w:highlight w:val="none"/>
                <w:lang w:val="zh-CN"/>
              </w:rPr>
            </w:pPr>
            <w:r>
              <w:rPr>
                <w:rFonts w:hint="eastAsia" w:ascii="Calibri" w:hAnsi="Calibri"/>
                <w:b/>
                <w:bCs/>
                <w:highlight w:val="none"/>
                <w:lang w:val="zh-CN"/>
              </w:rPr>
              <w:t>3、（重要风险提示）备用光盘或</w:t>
            </w:r>
            <w:r>
              <w:rPr>
                <w:rFonts w:hint="eastAsia" w:ascii="Calibri" w:hAnsi="Calibri"/>
                <w:b/>
                <w:bCs/>
                <w:highlight w:val="none"/>
              </w:rPr>
              <w:t>U盘</w:t>
            </w:r>
            <w:r>
              <w:rPr>
                <w:rFonts w:hint="eastAsia" w:ascii="Calibri" w:hAnsi="Calibri"/>
                <w:b/>
                <w:bCs/>
                <w:highlight w:val="none"/>
                <w:lang w:val="zh-CN"/>
              </w:rPr>
              <w:t>。</w:t>
            </w:r>
            <w:r>
              <w:rPr>
                <w:rFonts w:hint="eastAsia" w:ascii="Calibri" w:hAnsi="Calibri"/>
                <w:highlight w:val="none"/>
                <w:lang w:val="zh-CN"/>
              </w:rPr>
              <w:t>投标人可使用投标文件制作工具生成非加密的电子投标文件载入光盘或</w:t>
            </w:r>
            <w:r>
              <w:rPr>
                <w:rFonts w:hint="eastAsia" w:ascii="Calibri" w:hAnsi="Calibri"/>
                <w:highlight w:val="none"/>
              </w:rPr>
              <w:t>U盘</w:t>
            </w:r>
            <w:r>
              <w:rPr>
                <w:rFonts w:hint="eastAsia" w:ascii="Calibri" w:hAnsi="Calibri"/>
                <w:highlight w:val="none"/>
                <w:lang w:val="zh-CN"/>
              </w:rPr>
              <w:t>（1份，载体形式由投标人自选），在规定的时间、地点提交备用。（刻录好的投标文件光盘或U盘密封在密封袋中，并在封口处加盖投标人单位公章。密封袋上应写明项目名称和招标人名称。递交的投标文件光盘或U盘(备用)不得加密。光盘或</w:t>
            </w:r>
            <w:r>
              <w:rPr>
                <w:rFonts w:hint="eastAsia" w:ascii="Calibri" w:hAnsi="Calibri"/>
                <w:highlight w:val="none"/>
              </w:rPr>
              <w:t>U盘</w:t>
            </w:r>
            <w:r>
              <w:rPr>
                <w:rFonts w:hint="eastAsia" w:ascii="Calibri" w:hAnsi="Calibri"/>
                <w:highlight w:val="none"/>
                <w:lang w:val="zh-CN"/>
              </w:rPr>
              <w:t>（备用投标文件）无法读取或导入的，则视为未提交投标文件光盘或</w:t>
            </w:r>
            <w:r>
              <w:rPr>
                <w:rFonts w:hint="eastAsia" w:ascii="Calibri" w:hAnsi="Calibri"/>
                <w:highlight w:val="none"/>
              </w:rPr>
              <w:t>U盘</w:t>
            </w:r>
            <w:r>
              <w:rPr>
                <w:rFonts w:hint="eastAsia" w:ascii="Calibri" w:hAnsi="Calibri"/>
                <w:highlight w:val="none"/>
                <w:lang w:val="zh-CN"/>
              </w:rPr>
              <w:t>(备用)。如果投标人没有按规定通过交易平台网上递交电子投标文件的，不再读取提交的光盘或</w:t>
            </w:r>
            <w:r>
              <w:rPr>
                <w:rFonts w:hint="eastAsia" w:ascii="Calibri" w:hAnsi="Calibri"/>
                <w:highlight w:val="none"/>
              </w:rPr>
              <w:t>U盘</w:t>
            </w:r>
            <w:r>
              <w:rPr>
                <w:rFonts w:hint="eastAsia" w:ascii="Calibri" w:hAnsi="Calibri"/>
                <w:highlight w:val="none"/>
                <w:lang w:val="zh-CN"/>
              </w:rPr>
              <w:t>。投标人也可不提交投标文件光盘或</w:t>
            </w:r>
            <w:r>
              <w:rPr>
                <w:rFonts w:hint="eastAsia" w:ascii="Calibri" w:hAnsi="Calibri"/>
                <w:highlight w:val="none"/>
              </w:rPr>
              <w:t>U盘</w:t>
            </w:r>
            <w:r>
              <w:rPr>
                <w:rFonts w:hint="eastAsia" w:ascii="Calibri" w:hAnsi="Calibri"/>
                <w:highlight w:val="none"/>
                <w:lang w:val="zh-CN"/>
              </w:rPr>
              <w:t>(备用)。</w:t>
            </w:r>
          </w:p>
          <w:p w14:paraId="0374C4FB">
            <w:pPr>
              <w:rPr>
                <w:rFonts w:ascii="Calibri" w:hAnsi="Calibri"/>
                <w:b/>
                <w:bCs/>
                <w:highlight w:val="none"/>
                <w:lang w:val="zh-CN"/>
              </w:rPr>
            </w:pPr>
            <w:r>
              <w:rPr>
                <w:rFonts w:hint="eastAsia" w:ascii="Calibri" w:hAnsi="Calibri"/>
                <w:b/>
                <w:bCs/>
                <w:highlight w:val="none"/>
                <w:lang w:val="zh-CN"/>
              </w:rPr>
              <w:t>4、投标文件的递交：</w:t>
            </w:r>
          </w:p>
          <w:p w14:paraId="30A00336">
            <w:pPr>
              <w:rPr>
                <w:rFonts w:ascii="Calibri" w:hAnsi="Calibri"/>
                <w:highlight w:val="none"/>
                <w:lang w:val="zh-CN"/>
              </w:rPr>
            </w:pPr>
            <w:r>
              <w:rPr>
                <w:rFonts w:hint="eastAsia" w:ascii="Calibri" w:hAnsi="Calibri"/>
                <w:highlight w:val="none"/>
                <w:lang w:val="zh-CN"/>
              </w:rPr>
              <w:t>①投标文件递交的截止时间（投标截止时间，下同）为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r>
              <w:rPr>
                <w:rFonts w:hint="eastAsia" w:ascii="Calibri" w:hAnsi="Calibri"/>
                <w:highlight w:val="none"/>
                <w:lang w:val="zh-CN"/>
              </w:rPr>
              <w:t>，投标人应在截止时间前通过电子招标投标交易平台递交电子投标文件。</w:t>
            </w:r>
          </w:p>
          <w:p w14:paraId="0B201FB2">
            <w:pPr>
              <w:rPr>
                <w:rFonts w:ascii="Calibri" w:hAnsi="Calibri"/>
                <w:highlight w:val="none"/>
                <w:lang w:val="zh-CN"/>
              </w:rPr>
            </w:pPr>
            <w:r>
              <w:rPr>
                <w:rFonts w:hint="eastAsia" w:ascii="Calibri" w:hAnsi="Calibri"/>
                <w:highlight w:val="none"/>
                <w:lang w:val="zh-CN"/>
              </w:rPr>
              <w:t>②提交投标文件备用光盘或U盘。</w:t>
            </w:r>
          </w:p>
          <w:p w14:paraId="39C3C9E3">
            <w:pPr>
              <w:rPr>
                <w:rFonts w:hint="eastAsia" w:ascii="Calibri" w:hAnsi="Calibri" w:cs="Times New Roman"/>
                <w:highlight w:val="none"/>
                <w:lang w:val="zh-CN"/>
              </w:rPr>
            </w:pPr>
            <w:r>
              <w:rPr>
                <w:rFonts w:hint="eastAsia" w:ascii="Calibri" w:hAnsi="Calibri"/>
                <w:highlight w:val="none"/>
                <w:lang w:val="zh-CN"/>
              </w:rPr>
              <w:t>投标文件光盘或U盘(备用)递交时间：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r>
              <w:rPr>
                <w:rFonts w:hint="eastAsia" w:ascii="Calibri" w:hAnsi="Calibri"/>
                <w:highlight w:val="none"/>
                <w:lang w:val="zh-CN"/>
              </w:rPr>
              <w:t>至</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r>
              <w:rPr>
                <w:rFonts w:hint="eastAsia" w:ascii="Calibri" w:hAnsi="Calibri"/>
                <w:highlight w:val="none"/>
                <w:lang w:val="zh-CN"/>
              </w:rPr>
              <w:t>，</w:t>
            </w:r>
            <w:r>
              <w:rPr>
                <w:rFonts w:hint="eastAsia" w:ascii="Calibri" w:hAnsi="Calibri"/>
                <w:b/>
                <w:bCs/>
                <w:highlight w:val="none"/>
                <w:lang w:val="zh-CN"/>
              </w:rPr>
              <w:t>地点：</w:t>
            </w:r>
            <w:r>
              <w:rPr>
                <w:rFonts w:hint="eastAsia" w:ascii="Calibri" w:hAnsi="Calibri" w:cs="Times New Roman"/>
                <w:sz w:val="21"/>
                <w:szCs w:val="22"/>
                <w:highlight w:val="none"/>
                <w:u w:val="single"/>
                <w:lang w:val="zh-CN"/>
              </w:rPr>
              <w:t>广州交易集团有限公司（广州公共资源交易中心）指定开标室</w:t>
            </w:r>
            <w:r>
              <w:rPr>
                <w:rFonts w:hint="eastAsia" w:ascii="Calibri" w:hAnsi="Calibri" w:cs="Times New Roman"/>
                <w:highlight w:val="none"/>
                <w:lang w:val="zh-CN"/>
              </w:rPr>
              <w:t>。</w:t>
            </w:r>
          </w:p>
          <w:p w14:paraId="7B3B0AE0">
            <w:pPr>
              <w:rPr>
                <w:rFonts w:ascii="Calibri" w:hAnsi="Calibri"/>
                <w:highlight w:val="none"/>
                <w:lang w:val="zh-CN"/>
              </w:rPr>
            </w:pPr>
            <w:r>
              <w:rPr>
                <w:rFonts w:hint="eastAsia" w:ascii="Calibri" w:hAnsi="Calibri"/>
                <w:highlight w:val="none"/>
                <w:lang w:val="zh-CN"/>
              </w:rPr>
              <w:t>③投标人完成电子投标上传后，电子招标投标交易平台即时向投标人发出递交回执通知。递交时间以递交回执通知载明的传输时间为准。</w:t>
            </w:r>
          </w:p>
          <w:p w14:paraId="2BA1A2CA">
            <w:pPr>
              <w:rPr>
                <w:rFonts w:ascii="Calibri" w:hAnsi="Calibri"/>
                <w:highlight w:val="none"/>
                <w:lang w:val="zh-CN"/>
              </w:rPr>
            </w:pPr>
            <w:r>
              <w:rPr>
                <w:rFonts w:hint="eastAsia" w:ascii="Calibri" w:hAnsi="Calibri"/>
                <w:highlight w:val="none"/>
                <w:lang w:val="zh-CN"/>
              </w:rPr>
              <w:t>④逾期送达的投标文件，电子招标投标交易平台将予以拒收。</w:t>
            </w:r>
          </w:p>
          <w:p w14:paraId="03E5ADAF">
            <w:pPr>
              <w:rPr>
                <w:rFonts w:ascii="Calibri" w:hAnsi="Calibri"/>
                <w:b/>
                <w:bCs/>
                <w:highlight w:val="none"/>
                <w:lang w:val="zh-CN"/>
              </w:rPr>
            </w:pPr>
            <w:r>
              <w:rPr>
                <w:rFonts w:hint="eastAsia" w:ascii="Calibri" w:hAnsi="Calibri"/>
                <w:b/>
                <w:bCs/>
                <w:highlight w:val="none"/>
                <w:lang w:val="zh-CN"/>
              </w:rPr>
              <w:t>5、投标文件加密要求：</w:t>
            </w:r>
          </w:p>
          <w:p w14:paraId="6926691F">
            <w:pPr>
              <w:rPr>
                <w:rFonts w:ascii="Calibri" w:hAnsi="Calibri"/>
                <w:highlight w:val="none"/>
                <w:lang w:val="zh-CN"/>
              </w:rPr>
            </w:pPr>
            <w:r>
              <w:rPr>
                <w:rFonts w:hint="eastAsia" w:ascii="Calibri" w:hAnsi="Calibri"/>
                <w:highlight w:val="none"/>
                <w:lang w:val="zh-CN"/>
              </w:rPr>
              <w:t>①网上递交的电子投标文件须进行加密。具体操作详见交易平台相关操作指南。</w:t>
            </w:r>
          </w:p>
          <w:p w14:paraId="5962738B">
            <w:pPr>
              <w:rPr>
                <w:rFonts w:ascii="Calibri" w:hAnsi="Calibri"/>
                <w:highlight w:val="none"/>
                <w:lang w:val="zh-CN"/>
              </w:rPr>
            </w:pPr>
            <w:r>
              <w:rPr>
                <w:rFonts w:hint="eastAsia" w:ascii="Calibri" w:hAnsi="Calibri"/>
                <w:highlight w:val="none"/>
                <w:lang w:val="zh-CN"/>
              </w:rPr>
              <w:t>②未按要求加密的投标文件，招标人将予以拒收。</w:t>
            </w:r>
          </w:p>
          <w:p w14:paraId="0CBC2368">
            <w:pPr>
              <w:rPr>
                <w:rFonts w:ascii="Calibri" w:hAnsi="Calibri"/>
                <w:b/>
                <w:bCs/>
                <w:highlight w:val="none"/>
                <w:lang w:val="zh-CN"/>
              </w:rPr>
            </w:pPr>
            <w:r>
              <w:rPr>
                <w:rFonts w:hint="eastAsia" w:ascii="Calibri" w:hAnsi="Calibri"/>
                <w:b/>
                <w:bCs/>
                <w:highlight w:val="none"/>
                <w:lang w:val="zh-CN"/>
              </w:rPr>
              <w:t>6、投标文件解密失败的补救方案：</w:t>
            </w:r>
          </w:p>
          <w:p w14:paraId="28ACA96E">
            <w:pPr>
              <w:rPr>
                <w:rFonts w:ascii="Calibri" w:hAnsi="Calibri"/>
                <w:highlight w:val="none"/>
                <w:lang w:val="zh-CN"/>
              </w:rPr>
            </w:pPr>
            <w:r>
              <w:rPr>
                <w:rFonts w:hint="eastAsia" w:ascii="Calibri" w:hAnsi="Calibri"/>
                <w:highlight w:val="none"/>
                <w:lang w:val="zh-CN"/>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509044F5">
            <w:pPr>
              <w:pStyle w:val="22"/>
              <w:rPr>
                <w:highlight w:val="none"/>
                <w:lang w:val="en-US"/>
              </w:rPr>
            </w:pPr>
            <w:r>
              <w:rPr>
                <w:rFonts w:hint="eastAsia"/>
                <w:highlight w:val="none"/>
              </w:rPr>
              <w:t>除发生上述情况外，开标评标均以投标人通过交易平台网上递交的电子投标文件为准。</w:t>
            </w:r>
          </w:p>
        </w:tc>
      </w:tr>
      <w:tr w14:paraId="454C7677">
        <w:tblPrEx>
          <w:tblCellMar>
            <w:top w:w="57" w:type="dxa"/>
            <w:left w:w="108" w:type="dxa"/>
            <w:bottom w:w="57" w:type="dxa"/>
            <w:right w:w="108" w:type="dxa"/>
          </w:tblCellMar>
        </w:tblPrEx>
        <w:trPr>
          <w:trHeight w:val="567" w:hRule="atLeast"/>
        </w:trPr>
        <w:tc>
          <w:tcPr>
            <w:tcW w:w="511" w:type="pct"/>
            <w:tcBorders>
              <w:top w:val="single" w:color="auto" w:sz="4" w:space="0"/>
              <w:left w:val="single" w:color="auto" w:sz="4" w:space="0"/>
              <w:bottom w:val="single" w:color="auto" w:sz="4" w:space="0"/>
              <w:right w:val="single" w:color="auto" w:sz="4" w:space="0"/>
            </w:tcBorders>
            <w:vAlign w:val="center"/>
          </w:tcPr>
          <w:p w14:paraId="0AF470DC">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11</w:t>
            </w:r>
          </w:p>
        </w:tc>
        <w:tc>
          <w:tcPr>
            <w:tcW w:w="1510" w:type="pct"/>
            <w:tcBorders>
              <w:top w:val="single" w:color="auto" w:sz="4" w:space="0"/>
              <w:left w:val="single" w:color="auto" w:sz="4" w:space="0"/>
              <w:bottom w:val="single" w:color="auto" w:sz="4" w:space="0"/>
              <w:right w:val="single" w:color="auto" w:sz="4" w:space="0"/>
            </w:tcBorders>
            <w:vAlign w:val="center"/>
          </w:tcPr>
          <w:p w14:paraId="1EC9DC8B">
            <w:pPr>
              <w:jc w:val="center"/>
              <w:rPr>
                <w:rFonts w:hint="eastAsia" w:ascii="宋体" w:hAnsi="宋体" w:cs="宋体"/>
                <w:szCs w:val="21"/>
                <w:highlight w:val="none"/>
              </w:rPr>
            </w:pPr>
            <w:r>
              <w:rPr>
                <w:rFonts w:hint="eastAsia" w:ascii="Calibri" w:hAnsi="Calibri"/>
                <w:highlight w:val="none"/>
              </w:rPr>
              <w:t>中标公示后中标单位提交投标文件要求</w:t>
            </w:r>
          </w:p>
        </w:tc>
        <w:tc>
          <w:tcPr>
            <w:tcW w:w="2978" w:type="pct"/>
            <w:tcBorders>
              <w:top w:val="single" w:color="auto" w:sz="4" w:space="0"/>
              <w:left w:val="single" w:color="auto" w:sz="4" w:space="0"/>
              <w:bottom w:val="single" w:color="auto" w:sz="4" w:space="0"/>
              <w:right w:val="single" w:color="auto" w:sz="4" w:space="0"/>
            </w:tcBorders>
            <w:vAlign w:val="center"/>
          </w:tcPr>
          <w:p w14:paraId="181A0380">
            <w:pPr>
              <w:rPr>
                <w:rFonts w:ascii="Calibri" w:hAnsi="Calibri"/>
                <w:highlight w:val="none"/>
                <w:lang w:val="zh-CN"/>
              </w:rPr>
            </w:pPr>
            <w:r>
              <w:rPr>
                <w:rFonts w:hint="eastAsia" w:ascii="Calibri" w:hAnsi="Calibri"/>
                <w:highlight w:val="none"/>
              </w:rPr>
              <w:t>中标单位在中标公示结束后三个工作日内分别提交3套与电子投标文件内容完全一致的纸质版投标文件。</w:t>
            </w:r>
          </w:p>
        </w:tc>
      </w:tr>
      <w:tr w14:paraId="03764D29">
        <w:tblPrEx>
          <w:tblCellMar>
            <w:top w:w="57" w:type="dxa"/>
            <w:left w:w="108" w:type="dxa"/>
            <w:bottom w:w="57" w:type="dxa"/>
            <w:right w:w="108" w:type="dxa"/>
          </w:tblCellMar>
        </w:tblPrEx>
        <w:trPr>
          <w:trHeight w:val="567" w:hRule="atLeast"/>
        </w:trPr>
        <w:tc>
          <w:tcPr>
            <w:tcW w:w="511" w:type="pct"/>
            <w:tcBorders>
              <w:top w:val="single" w:color="auto" w:sz="4" w:space="0"/>
              <w:left w:val="single" w:color="auto" w:sz="4" w:space="0"/>
              <w:bottom w:val="single" w:color="auto" w:sz="4" w:space="0"/>
              <w:right w:val="single" w:color="auto" w:sz="4" w:space="0"/>
            </w:tcBorders>
            <w:vAlign w:val="center"/>
          </w:tcPr>
          <w:p w14:paraId="3DC47D4F">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12</w:t>
            </w:r>
          </w:p>
        </w:tc>
        <w:tc>
          <w:tcPr>
            <w:tcW w:w="1510" w:type="pct"/>
            <w:tcBorders>
              <w:top w:val="single" w:color="auto" w:sz="4" w:space="0"/>
              <w:left w:val="single" w:color="auto" w:sz="4" w:space="0"/>
              <w:bottom w:val="single" w:color="auto" w:sz="4" w:space="0"/>
              <w:right w:val="single" w:color="auto" w:sz="4" w:space="0"/>
            </w:tcBorders>
            <w:vAlign w:val="center"/>
          </w:tcPr>
          <w:p w14:paraId="2EAD37BE">
            <w:pPr>
              <w:jc w:val="center"/>
              <w:rPr>
                <w:rFonts w:ascii="Calibri" w:hAnsi="Calibri"/>
                <w:highlight w:val="none"/>
              </w:rPr>
            </w:pPr>
            <w:r>
              <w:rPr>
                <w:rFonts w:hint="eastAsia" w:ascii="Calibri" w:hAnsi="宋体"/>
                <w:highlight w:val="none"/>
                <w:u w:val="single"/>
              </w:rPr>
              <w:t>其他</w:t>
            </w:r>
          </w:p>
        </w:tc>
        <w:tc>
          <w:tcPr>
            <w:tcW w:w="2978" w:type="pct"/>
            <w:tcBorders>
              <w:top w:val="single" w:color="auto" w:sz="4" w:space="0"/>
              <w:left w:val="single" w:color="auto" w:sz="4" w:space="0"/>
              <w:bottom w:val="single" w:color="auto" w:sz="4" w:space="0"/>
              <w:right w:val="single" w:color="auto" w:sz="4" w:space="0"/>
            </w:tcBorders>
            <w:vAlign w:val="center"/>
          </w:tcPr>
          <w:p w14:paraId="6EF9C0CD">
            <w:pPr>
              <w:rPr>
                <w:rFonts w:ascii="Calibri" w:hAnsi="Calibri"/>
                <w:highlight w:val="none"/>
              </w:rPr>
            </w:pPr>
            <w:r>
              <w:rPr>
                <w:rFonts w:hint="eastAsia" w:ascii="Calibri" w:hAnsi="宋体"/>
                <w:highlight w:val="none"/>
                <w:u w:val="single"/>
              </w:rPr>
              <w:t>招标公告及招标文件中未注明金额均为含税价。</w:t>
            </w:r>
          </w:p>
        </w:tc>
      </w:tr>
      <w:tr w14:paraId="489CF09A">
        <w:tblPrEx>
          <w:tblCellMar>
            <w:top w:w="57" w:type="dxa"/>
            <w:left w:w="108" w:type="dxa"/>
            <w:bottom w:w="57" w:type="dxa"/>
            <w:right w:w="108" w:type="dxa"/>
          </w:tblCellMar>
        </w:tblPrEx>
        <w:trPr>
          <w:trHeight w:val="311" w:hRule="atLeast"/>
        </w:trPr>
        <w:tc>
          <w:tcPr>
            <w:tcW w:w="511" w:type="pct"/>
            <w:tcBorders>
              <w:top w:val="single" w:color="auto" w:sz="4" w:space="0"/>
              <w:left w:val="single" w:color="auto" w:sz="4" w:space="0"/>
              <w:bottom w:val="single" w:color="auto" w:sz="4" w:space="0"/>
              <w:right w:val="single" w:color="auto" w:sz="4" w:space="0"/>
            </w:tcBorders>
            <w:vAlign w:val="center"/>
          </w:tcPr>
          <w:p w14:paraId="7CD5E625">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13</w:t>
            </w:r>
          </w:p>
        </w:tc>
        <w:tc>
          <w:tcPr>
            <w:tcW w:w="1510" w:type="pct"/>
            <w:tcBorders>
              <w:top w:val="single" w:color="auto" w:sz="4" w:space="0"/>
              <w:left w:val="single" w:color="auto" w:sz="4" w:space="0"/>
              <w:bottom w:val="single" w:color="auto" w:sz="4" w:space="0"/>
              <w:right w:val="single" w:color="auto" w:sz="4" w:space="0"/>
            </w:tcBorders>
            <w:vAlign w:val="center"/>
          </w:tcPr>
          <w:p w14:paraId="0B0AE22B">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项目负责人和安全员注意事项</w:t>
            </w:r>
          </w:p>
        </w:tc>
        <w:tc>
          <w:tcPr>
            <w:tcW w:w="2978" w:type="pct"/>
            <w:tcBorders>
              <w:top w:val="single" w:color="auto" w:sz="4" w:space="0"/>
              <w:left w:val="single" w:color="auto" w:sz="4" w:space="0"/>
              <w:bottom w:val="single" w:color="auto" w:sz="4" w:space="0"/>
              <w:right w:val="single" w:color="auto" w:sz="4" w:space="0"/>
            </w:tcBorders>
            <w:vAlign w:val="center"/>
          </w:tcPr>
          <w:p w14:paraId="17E62668">
            <w:pPr>
              <w:numPr>
                <w:ilvl w:val="0"/>
                <w:numId w:val="2"/>
              </w:numPr>
              <w:snapToGrid w:val="0"/>
              <w:ind w:left="-55" w:leftChars="-26" w:right="-59" w:rightChars="-28"/>
              <w:rPr>
                <w:rFonts w:hint="eastAsia" w:ascii="宋体" w:hAnsi="宋体" w:cs="宋体"/>
                <w:szCs w:val="21"/>
                <w:highlight w:val="none"/>
              </w:rPr>
            </w:pPr>
            <w:r>
              <w:rPr>
                <w:rFonts w:hint="eastAsia" w:ascii="宋体" w:hAnsi="宋体" w:cs="宋体"/>
                <w:szCs w:val="21"/>
                <w:highlight w:val="none"/>
              </w:rPr>
              <w:t>投标人如违反《广州市住房和城乡建设局关于加强建筑工程项目负责人管理的通知》（穗建规字〔2020〕32号）有关规定，如经查实取消其本项目中标资格；</w:t>
            </w:r>
          </w:p>
          <w:p w14:paraId="546FED5E">
            <w:pPr>
              <w:snapToGrid w:val="0"/>
              <w:ind w:left="-55" w:leftChars="-26" w:right="-59" w:rightChars="-28"/>
              <w:rPr>
                <w:rFonts w:hint="eastAsia" w:ascii="宋体" w:hAnsi="宋体" w:cs="宋体"/>
                <w:szCs w:val="21"/>
                <w:highlight w:val="none"/>
              </w:rPr>
            </w:pPr>
            <w:r>
              <w:rPr>
                <w:rFonts w:hint="eastAsia" w:ascii="宋体" w:hAnsi="宋体" w:cs="宋体"/>
                <w:szCs w:val="21"/>
                <w:highlight w:val="none"/>
              </w:rPr>
              <w:t>2、本工程项目负责人与专职安全员不得为同一人。</w:t>
            </w:r>
          </w:p>
          <w:p w14:paraId="7DEC0224">
            <w:pPr>
              <w:snapToGrid w:val="0"/>
              <w:ind w:left="-55" w:leftChars="-26" w:right="-59" w:rightChars="-28"/>
              <w:rPr>
                <w:rFonts w:hint="eastAsia" w:ascii="宋体" w:hAnsi="宋体" w:cs="宋体"/>
                <w:szCs w:val="21"/>
                <w:highlight w:val="none"/>
                <w:u w:val="single"/>
              </w:rPr>
            </w:pPr>
            <w:r>
              <w:rPr>
                <w:rFonts w:hint="eastAsia" w:ascii="宋体" w:hAnsi="宋体" w:cs="宋体"/>
                <w:szCs w:val="21"/>
                <w:highlight w:val="none"/>
              </w:rPr>
              <w:t>3、中标人拟任本工程安全员不得同时担任本项目以外的安全员（法律法规规定的有关情形除外），如经查实取消其本项目中标资格。</w:t>
            </w:r>
          </w:p>
        </w:tc>
      </w:tr>
      <w:tr w14:paraId="21B60B44">
        <w:tblPrEx>
          <w:tblCellMar>
            <w:top w:w="57" w:type="dxa"/>
            <w:left w:w="108" w:type="dxa"/>
            <w:bottom w:w="57" w:type="dxa"/>
            <w:right w:w="108" w:type="dxa"/>
          </w:tblCellMar>
        </w:tblPrEx>
        <w:trPr>
          <w:trHeight w:val="870" w:hRule="atLeast"/>
        </w:trPr>
        <w:tc>
          <w:tcPr>
            <w:tcW w:w="511" w:type="pct"/>
            <w:tcBorders>
              <w:top w:val="single" w:color="auto" w:sz="4" w:space="0"/>
              <w:left w:val="single" w:color="auto" w:sz="4" w:space="0"/>
              <w:bottom w:val="single" w:color="auto" w:sz="4" w:space="0"/>
              <w:right w:val="single" w:color="auto" w:sz="4" w:space="0"/>
            </w:tcBorders>
            <w:vAlign w:val="center"/>
          </w:tcPr>
          <w:p w14:paraId="2B314038">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14</w:t>
            </w:r>
          </w:p>
        </w:tc>
        <w:tc>
          <w:tcPr>
            <w:tcW w:w="1510" w:type="pct"/>
            <w:tcBorders>
              <w:top w:val="single" w:color="auto" w:sz="4" w:space="0"/>
              <w:left w:val="single" w:color="auto" w:sz="4" w:space="0"/>
              <w:bottom w:val="single" w:color="auto" w:sz="4" w:space="0"/>
              <w:right w:val="single" w:color="auto" w:sz="4" w:space="0"/>
            </w:tcBorders>
            <w:vAlign w:val="center"/>
          </w:tcPr>
          <w:p w14:paraId="32C17EEB">
            <w:pPr>
              <w:jc w:val="center"/>
              <w:rPr>
                <w:rFonts w:hint="eastAsia" w:ascii="宋体" w:hAnsi="宋体" w:cs="宋体"/>
                <w:szCs w:val="21"/>
                <w:highlight w:val="none"/>
              </w:rPr>
            </w:pPr>
            <w:r>
              <w:rPr>
                <w:rFonts w:hint="eastAsia" w:ascii="宋体" w:hAnsi="宋体" w:cs="宋体"/>
                <w:szCs w:val="21"/>
                <w:highlight w:val="none"/>
              </w:rPr>
              <w:t>施工实名制</w:t>
            </w:r>
          </w:p>
        </w:tc>
        <w:tc>
          <w:tcPr>
            <w:tcW w:w="2978" w:type="pct"/>
            <w:tcBorders>
              <w:top w:val="single" w:color="auto" w:sz="4" w:space="0"/>
              <w:left w:val="single" w:color="auto" w:sz="4" w:space="0"/>
              <w:bottom w:val="single" w:color="auto" w:sz="4" w:space="0"/>
              <w:right w:val="single" w:color="auto" w:sz="4" w:space="0"/>
            </w:tcBorders>
            <w:vAlign w:val="center"/>
          </w:tcPr>
          <w:p w14:paraId="01AFF4E7">
            <w:pPr>
              <w:snapToGrid w:val="0"/>
              <w:ind w:left="-55" w:leftChars="-26" w:right="-59" w:rightChars="-28"/>
              <w:jc w:val="left"/>
              <w:rPr>
                <w:rFonts w:hint="eastAsia" w:ascii="宋体" w:hAnsi="宋体" w:cs="宋体"/>
                <w:szCs w:val="21"/>
                <w:highlight w:val="none"/>
              </w:rPr>
            </w:pPr>
            <w:r>
              <w:rPr>
                <w:rFonts w:hint="eastAsia" w:hAnsi="宋体"/>
                <w:szCs w:val="21"/>
                <w:highlight w:val="none"/>
                <w:lang w:val="zh-CN"/>
              </w:rPr>
              <w:t>本工程按《广州市建筑施工实名制管理办法》（穗建规字〔2020〕18号）规定，实施建筑施工实名制。</w:t>
            </w:r>
          </w:p>
        </w:tc>
      </w:tr>
      <w:tr w14:paraId="7A466E20">
        <w:tblPrEx>
          <w:tblCellMar>
            <w:top w:w="57" w:type="dxa"/>
            <w:left w:w="108" w:type="dxa"/>
            <w:bottom w:w="57" w:type="dxa"/>
            <w:right w:w="108" w:type="dxa"/>
          </w:tblCellMar>
        </w:tblPrEx>
        <w:trPr>
          <w:trHeight w:val="860" w:hRule="atLeast"/>
        </w:trPr>
        <w:tc>
          <w:tcPr>
            <w:tcW w:w="511" w:type="pct"/>
            <w:tcBorders>
              <w:top w:val="single" w:color="auto" w:sz="4" w:space="0"/>
              <w:left w:val="single" w:color="auto" w:sz="4" w:space="0"/>
              <w:bottom w:val="single" w:color="auto" w:sz="4" w:space="0"/>
              <w:right w:val="single" w:color="auto" w:sz="4" w:space="0"/>
            </w:tcBorders>
            <w:vAlign w:val="center"/>
          </w:tcPr>
          <w:p w14:paraId="60568EC0">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15</w:t>
            </w:r>
          </w:p>
        </w:tc>
        <w:tc>
          <w:tcPr>
            <w:tcW w:w="1510" w:type="pct"/>
            <w:tcBorders>
              <w:top w:val="single" w:color="auto" w:sz="4" w:space="0"/>
              <w:left w:val="single" w:color="auto" w:sz="4" w:space="0"/>
              <w:bottom w:val="single" w:color="auto" w:sz="4" w:space="0"/>
              <w:right w:val="single" w:color="auto" w:sz="4" w:space="0"/>
            </w:tcBorders>
            <w:vAlign w:val="center"/>
          </w:tcPr>
          <w:p w14:paraId="2957323C">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工人工资分账管理</w:t>
            </w:r>
          </w:p>
        </w:tc>
        <w:tc>
          <w:tcPr>
            <w:tcW w:w="2978" w:type="pct"/>
            <w:tcBorders>
              <w:top w:val="single" w:color="auto" w:sz="4" w:space="0"/>
              <w:left w:val="single" w:color="auto" w:sz="4" w:space="0"/>
              <w:bottom w:val="single" w:color="auto" w:sz="4" w:space="0"/>
              <w:right w:val="single" w:color="auto" w:sz="4" w:space="0"/>
            </w:tcBorders>
            <w:vAlign w:val="center"/>
          </w:tcPr>
          <w:p w14:paraId="14ED50AE">
            <w:pPr>
              <w:snapToGrid w:val="0"/>
              <w:ind w:left="-55" w:leftChars="-26" w:right="-59" w:rightChars="-28"/>
              <w:jc w:val="left"/>
              <w:rPr>
                <w:rFonts w:hint="eastAsia" w:ascii="宋体" w:hAnsi="宋体" w:cs="宋体"/>
                <w:szCs w:val="21"/>
                <w:highlight w:val="none"/>
              </w:rPr>
            </w:pPr>
            <w:r>
              <w:rPr>
                <w:rFonts w:hint="eastAsia" w:ascii="宋体" w:hAnsi="宋体" w:cs="宋体"/>
                <w:szCs w:val="21"/>
                <w:highlight w:val="none"/>
              </w:rPr>
              <w:t>本项目按照《关于印发广州市建设领域工人工资支付分账管理实施细则的通知》（穗建规字〔2020〕37号）实行工人工资分账管理。</w:t>
            </w:r>
          </w:p>
        </w:tc>
      </w:tr>
      <w:tr w14:paraId="0A85BD61">
        <w:tblPrEx>
          <w:tblCellMar>
            <w:top w:w="57" w:type="dxa"/>
            <w:left w:w="108" w:type="dxa"/>
            <w:bottom w:w="57" w:type="dxa"/>
            <w:right w:w="108" w:type="dxa"/>
          </w:tblCellMar>
        </w:tblPrEx>
        <w:trPr>
          <w:trHeight w:val="937" w:hRule="atLeast"/>
        </w:trPr>
        <w:tc>
          <w:tcPr>
            <w:tcW w:w="511" w:type="pct"/>
            <w:tcBorders>
              <w:top w:val="single" w:color="auto" w:sz="4" w:space="0"/>
              <w:left w:val="single" w:color="auto" w:sz="4" w:space="0"/>
              <w:bottom w:val="single" w:color="auto" w:sz="4" w:space="0"/>
              <w:right w:val="single" w:color="auto" w:sz="4" w:space="0"/>
            </w:tcBorders>
            <w:vAlign w:val="center"/>
          </w:tcPr>
          <w:p w14:paraId="6231966F">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6</w:t>
            </w:r>
          </w:p>
        </w:tc>
        <w:tc>
          <w:tcPr>
            <w:tcW w:w="1510" w:type="pct"/>
            <w:tcBorders>
              <w:top w:val="single" w:color="auto" w:sz="4" w:space="0"/>
              <w:left w:val="single" w:color="auto" w:sz="4" w:space="0"/>
              <w:bottom w:val="single" w:color="auto" w:sz="4" w:space="0"/>
              <w:right w:val="single" w:color="auto" w:sz="4" w:space="0"/>
            </w:tcBorders>
            <w:vAlign w:val="center"/>
          </w:tcPr>
          <w:p w14:paraId="476E6C94">
            <w:pPr>
              <w:rPr>
                <w:rFonts w:hint="eastAsia" w:ascii="宋体" w:hAnsi="宋体" w:cs="宋体"/>
                <w:szCs w:val="21"/>
                <w:highlight w:val="none"/>
              </w:rPr>
            </w:pPr>
            <w:r>
              <w:rPr>
                <w:rFonts w:hint="eastAsia" w:ascii="Calibri" w:hAnsi="Calibri" w:eastAsia="Times New Roman"/>
                <w:highlight w:val="none"/>
                <w:lang w:val="zh-CN"/>
              </w:rPr>
              <w:t>危险性较大的分部分项工程清单及超过一定规模的危险性较大的分部分项清单</w:t>
            </w:r>
          </w:p>
        </w:tc>
        <w:tc>
          <w:tcPr>
            <w:tcW w:w="2978" w:type="pct"/>
            <w:tcBorders>
              <w:top w:val="single" w:color="auto" w:sz="4" w:space="0"/>
              <w:left w:val="single" w:color="auto" w:sz="4" w:space="0"/>
              <w:bottom w:val="single" w:color="auto" w:sz="4" w:space="0"/>
              <w:right w:val="single" w:color="auto" w:sz="4" w:space="0"/>
            </w:tcBorders>
            <w:vAlign w:val="center"/>
          </w:tcPr>
          <w:p w14:paraId="2045BFD0">
            <w:pPr>
              <w:rPr>
                <w:rFonts w:hint="eastAsia" w:ascii="宋体" w:hAnsi="宋体" w:cs="宋体"/>
                <w:szCs w:val="21"/>
                <w:highlight w:val="none"/>
              </w:rPr>
            </w:pPr>
            <w:r>
              <w:rPr>
                <w:rFonts w:hint="eastAsia" w:ascii="Calibri" w:hAnsi="Calibri" w:eastAsia="Times New Roman"/>
                <w:highlight w:val="none"/>
                <w:lang w:val="zh-CN"/>
              </w:rPr>
              <w:t>本项目目前处于设计施工总承包招标阶段，现阶段无法明确危险性较大的分部分项工程清单及超过一定规模的危险性较大的分部分项清单，投标单位中标后，在施工图设计批复后，须根据项目实际情况，对危险性较大的分部分项工程清单及超过一定规模的危险性较大的分部分项清单部分工程内容明确相应的安全管理措施。投标人应充分考虑该部分工作内容及相关措施费。</w:t>
            </w:r>
          </w:p>
        </w:tc>
      </w:tr>
      <w:tr w14:paraId="722575D0">
        <w:tblPrEx>
          <w:tblCellMar>
            <w:top w:w="57" w:type="dxa"/>
            <w:left w:w="108" w:type="dxa"/>
            <w:bottom w:w="57" w:type="dxa"/>
            <w:right w:w="108" w:type="dxa"/>
          </w:tblCellMar>
        </w:tblPrEx>
        <w:trPr>
          <w:trHeight w:val="937" w:hRule="atLeast"/>
        </w:trPr>
        <w:tc>
          <w:tcPr>
            <w:tcW w:w="511" w:type="pct"/>
            <w:tcBorders>
              <w:top w:val="single" w:color="auto" w:sz="4" w:space="0"/>
              <w:left w:val="single" w:color="auto" w:sz="4" w:space="0"/>
              <w:bottom w:val="single" w:color="auto" w:sz="4" w:space="0"/>
              <w:right w:val="single" w:color="auto" w:sz="4" w:space="0"/>
            </w:tcBorders>
            <w:vAlign w:val="center"/>
          </w:tcPr>
          <w:p w14:paraId="4451AC09">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eastAsia="等线"/>
                <w:szCs w:val="21"/>
                <w:highlight w:val="none"/>
              </w:rPr>
              <w:t>1</w:t>
            </w:r>
            <w:r>
              <w:rPr>
                <w:rFonts w:hint="eastAsia" w:ascii="宋体" w:hAnsi="宋体" w:eastAsia="等线"/>
                <w:szCs w:val="21"/>
                <w:highlight w:val="none"/>
                <w:lang w:val="en-US" w:eastAsia="zh-CN"/>
              </w:rPr>
              <w:t>7</w:t>
            </w:r>
          </w:p>
        </w:tc>
        <w:tc>
          <w:tcPr>
            <w:tcW w:w="1510" w:type="pct"/>
            <w:tcBorders>
              <w:top w:val="single" w:color="auto" w:sz="4" w:space="0"/>
              <w:left w:val="single" w:color="auto" w:sz="4" w:space="0"/>
              <w:bottom w:val="single" w:color="auto" w:sz="4" w:space="0"/>
              <w:right w:val="single" w:color="auto" w:sz="4" w:space="0"/>
            </w:tcBorders>
            <w:vAlign w:val="center"/>
          </w:tcPr>
          <w:p w14:paraId="1745AAA4">
            <w:pPr>
              <w:snapToGrid w:val="0"/>
              <w:spacing w:line="240" w:lineRule="exact"/>
              <w:ind w:left="-55" w:leftChars="-26" w:right="-59" w:rightChars="-28"/>
              <w:jc w:val="center"/>
              <w:rPr>
                <w:rFonts w:hint="eastAsia" w:ascii="宋体" w:hAnsi="宋体" w:cs="宋体"/>
                <w:szCs w:val="21"/>
                <w:highlight w:val="none"/>
              </w:rPr>
            </w:pPr>
            <w:r>
              <w:rPr>
                <w:rFonts w:hint="eastAsia" w:ascii="宋体" w:hAnsi="宋体" w:cs="宋体"/>
                <w:szCs w:val="21"/>
                <w:highlight w:val="none"/>
                <w:u w:val="single"/>
              </w:rPr>
              <w:t>否决投标条款（《投标文件有效性审查表》）</w:t>
            </w:r>
          </w:p>
        </w:tc>
        <w:tc>
          <w:tcPr>
            <w:tcW w:w="2978" w:type="pct"/>
            <w:tcBorders>
              <w:top w:val="single" w:color="auto" w:sz="4" w:space="0"/>
              <w:left w:val="single" w:color="auto" w:sz="4" w:space="0"/>
              <w:bottom w:val="single" w:color="auto" w:sz="4" w:space="0"/>
              <w:right w:val="single" w:color="auto" w:sz="4" w:space="0"/>
            </w:tcBorders>
            <w:vAlign w:val="center"/>
          </w:tcPr>
          <w:p w14:paraId="1CD9468B">
            <w:pPr>
              <w:ind w:left="1"/>
              <w:jc w:val="left"/>
              <w:rPr>
                <w:rFonts w:hint="eastAsia" w:ascii="宋体" w:hAnsi="宋体" w:cs="宋体"/>
                <w:kern w:val="0"/>
                <w:szCs w:val="21"/>
                <w:highlight w:val="none"/>
                <w:u w:val="single"/>
              </w:rPr>
            </w:pPr>
            <w:r>
              <w:rPr>
                <w:rFonts w:hint="eastAsia" w:ascii="宋体" w:hAnsi="宋体" w:cs="宋体"/>
                <w:kern w:val="0"/>
                <w:szCs w:val="21"/>
                <w:highlight w:val="none"/>
                <w:u w:val="single"/>
              </w:rPr>
              <w:t>否决投标条款：</w:t>
            </w:r>
          </w:p>
          <w:p w14:paraId="50FED2AF">
            <w:pPr>
              <w:ind w:left="1"/>
              <w:jc w:val="left"/>
              <w:rPr>
                <w:rFonts w:hint="eastAsia" w:ascii="宋体" w:hAnsi="宋体" w:cs="宋体"/>
                <w:kern w:val="0"/>
                <w:szCs w:val="21"/>
                <w:highlight w:val="none"/>
                <w:u w:val="single"/>
              </w:rPr>
            </w:pPr>
            <w:r>
              <w:rPr>
                <w:rFonts w:hint="eastAsia" w:ascii="宋体" w:hAnsi="宋体" w:cs="宋体"/>
                <w:kern w:val="0"/>
                <w:szCs w:val="21"/>
                <w:highlight w:val="none"/>
                <w:u w:val="single"/>
              </w:rPr>
              <w:t>1.在投标截止期后逾期或未在广州交易集团有限公司（广州公共资源交易中心）数字交易平台（http://www.gzggzy.cn）递交电子投标文件的，电子招标投标交易平台将拒绝接收其投标文件。</w:t>
            </w:r>
          </w:p>
          <w:p w14:paraId="1B650C31">
            <w:pPr>
              <w:ind w:left="1"/>
              <w:jc w:val="left"/>
              <w:rPr>
                <w:rFonts w:hint="eastAsia" w:ascii="宋体" w:hAnsi="宋体" w:cs="宋体"/>
                <w:kern w:val="0"/>
                <w:szCs w:val="21"/>
                <w:highlight w:val="none"/>
                <w:u w:val="single"/>
              </w:rPr>
            </w:pPr>
            <w:r>
              <w:rPr>
                <w:rFonts w:hint="eastAsia" w:ascii="宋体" w:hAnsi="宋体" w:cs="宋体"/>
                <w:kern w:val="0"/>
                <w:szCs w:val="21"/>
                <w:highlight w:val="none"/>
                <w:u w:val="single"/>
              </w:rPr>
              <w:t>2.</w:t>
            </w:r>
            <w:r>
              <w:rPr>
                <w:rFonts w:hint="eastAsia" w:ascii="宋体" w:eastAsia="Times New Roman" w:cs="宋体"/>
                <w:highlight w:val="none"/>
                <w:u w:val="single"/>
                <w:lang w:val="zh-CN"/>
              </w:rPr>
              <w:t>投标人未按投标文件要求提供附件或未按要求加盖电子印章及签名的，经评标委员会认定后，其投标文件将被否决</w:t>
            </w:r>
            <w:r>
              <w:rPr>
                <w:rFonts w:hint="eastAsia" w:ascii="宋体" w:hAnsi="宋体" w:cs="宋体"/>
                <w:kern w:val="0"/>
                <w:szCs w:val="21"/>
                <w:highlight w:val="none"/>
                <w:u w:val="single"/>
              </w:rPr>
              <w:t>。</w:t>
            </w:r>
          </w:p>
          <w:p w14:paraId="25A57D24">
            <w:pPr>
              <w:ind w:left="1"/>
              <w:jc w:val="left"/>
              <w:rPr>
                <w:rFonts w:hint="eastAsia" w:ascii="宋体" w:hAnsi="宋体" w:cs="宋体"/>
                <w:kern w:val="0"/>
                <w:szCs w:val="21"/>
                <w:highlight w:val="none"/>
                <w:u w:val="single"/>
              </w:rPr>
            </w:pPr>
            <w:r>
              <w:rPr>
                <w:rFonts w:hint="eastAsia" w:ascii="宋体" w:hAnsi="宋体" w:cs="宋体"/>
                <w:kern w:val="0"/>
                <w:szCs w:val="21"/>
                <w:highlight w:val="none"/>
                <w:u w:val="single"/>
              </w:rPr>
              <w:t>3.投标文件中投标总报价高于最高投标限价总价的，或设计费报价高于设计费的最高投标限价，或建安工程费报价高于建安工程费的最高投标限价，其投标文件将被否决。</w:t>
            </w:r>
          </w:p>
          <w:p w14:paraId="451861FC">
            <w:pPr>
              <w:ind w:left="1"/>
              <w:jc w:val="left"/>
              <w:rPr>
                <w:rFonts w:hint="eastAsia" w:ascii="宋体" w:hAnsi="宋体" w:cs="宋体"/>
                <w:kern w:val="0"/>
                <w:szCs w:val="21"/>
                <w:highlight w:val="none"/>
                <w:u w:val="single"/>
              </w:rPr>
            </w:pPr>
            <w:r>
              <w:rPr>
                <w:rFonts w:hint="eastAsia" w:ascii="宋体" w:hAnsi="宋体" w:cs="宋体"/>
                <w:kern w:val="0"/>
                <w:szCs w:val="21"/>
                <w:highlight w:val="none"/>
                <w:u w:val="single"/>
              </w:rPr>
              <w:t>4.</w:t>
            </w:r>
            <w:r>
              <w:rPr>
                <w:rFonts w:hint="eastAsia" w:ascii="宋体" w:eastAsia="Times New Roman" w:cs="宋体"/>
                <w:highlight w:val="none"/>
                <w:u w:val="single"/>
                <w:lang w:val="zh-CN"/>
              </w:rPr>
              <w:t>按投标报价的算术校核原则及方法调整或修正投标文件的投标报价，调整后的投标报价对投标人起约束作用。如果投标人不接受修正后的报价，则取消其中标资格</w:t>
            </w:r>
            <w:r>
              <w:rPr>
                <w:rFonts w:hint="eastAsia" w:ascii="宋体" w:hAnsi="宋体" w:cs="宋体"/>
                <w:kern w:val="0"/>
                <w:szCs w:val="21"/>
                <w:highlight w:val="none"/>
                <w:u w:val="single"/>
              </w:rPr>
              <w:t>。</w:t>
            </w:r>
          </w:p>
          <w:p w14:paraId="5999785D">
            <w:pPr>
              <w:ind w:left="1"/>
              <w:jc w:val="left"/>
              <w:rPr>
                <w:rFonts w:hint="eastAsia" w:ascii="宋体" w:hAnsi="宋体" w:cs="宋体"/>
                <w:kern w:val="0"/>
                <w:szCs w:val="21"/>
                <w:highlight w:val="none"/>
                <w:u w:val="single"/>
              </w:rPr>
            </w:pPr>
            <w:r>
              <w:rPr>
                <w:rFonts w:hint="eastAsia" w:ascii="宋体" w:hAnsi="宋体" w:cs="宋体"/>
                <w:kern w:val="0"/>
                <w:szCs w:val="21"/>
                <w:highlight w:val="none"/>
                <w:u w:val="single"/>
              </w:rPr>
              <w:t>5.</w:t>
            </w:r>
            <w:r>
              <w:rPr>
                <w:rFonts w:hint="eastAsia" w:ascii="宋体" w:eastAsia="Times New Roman" w:cs="宋体"/>
                <w:highlight w:val="none"/>
                <w:u w:val="single"/>
                <w:lang w:val="zh-CN"/>
              </w:rPr>
              <w:t>投标人如在本项目中存在串通投标、弄虚作假、行贿情形的，中标无效，该投标人将被招标人列入黑名单并限制其投标。行政监督部门将对其违法行为进行行政处罚并通报</w:t>
            </w:r>
            <w:r>
              <w:rPr>
                <w:rFonts w:hint="eastAsia" w:ascii="宋体" w:hAnsi="宋体" w:cs="宋体"/>
                <w:kern w:val="0"/>
                <w:szCs w:val="21"/>
                <w:highlight w:val="none"/>
                <w:u w:val="single"/>
              </w:rPr>
              <w:t>。</w:t>
            </w:r>
          </w:p>
          <w:p w14:paraId="695806C9">
            <w:pPr>
              <w:snapToGrid w:val="0"/>
              <w:ind w:left="-55" w:leftChars="-26" w:right="-59" w:rightChars="-28"/>
              <w:jc w:val="left"/>
              <w:rPr>
                <w:rFonts w:hint="eastAsia" w:ascii="宋体" w:hAnsi="宋体" w:cs="宋体"/>
                <w:kern w:val="0"/>
                <w:szCs w:val="21"/>
                <w:highlight w:val="none"/>
                <w:u w:val="single"/>
              </w:rPr>
            </w:pPr>
            <w:r>
              <w:rPr>
                <w:rFonts w:hint="eastAsia" w:ascii="宋体" w:hAnsi="宋体" w:cs="宋体"/>
                <w:kern w:val="0"/>
                <w:szCs w:val="21"/>
                <w:highlight w:val="none"/>
                <w:u w:val="single"/>
              </w:rPr>
              <w:t>6.投标文件符合列于《评标办法前附表》“资格审查表”中所有情形的，为有效投标文件。否则为无效投标文件，经评标委员会认定后，其投标文件将被否决。</w:t>
            </w:r>
          </w:p>
          <w:p w14:paraId="57FD6E06">
            <w:pPr>
              <w:snapToGrid w:val="0"/>
              <w:ind w:left="-55" w:leftChars="-26" w:right="-59" w:rightChars="-28"/>
              <w:jc w:val="left"/>
              <w:rPr>
                <w:rFonts w:hint="eastAsia" w:ascii="宋体" w:hAnsi="宋体" w:cs="宋体"/>
                <w:kern w:val="0"/>
                <w:szCs w:val="21"/>
                <w:highlight w:val="none"/>
                <w:u w:val="single"/>
              </w:rPr>
            </w:pPr>
            <w:r>
              <w:rPr>
                <w:rFonts w:hint="eastAsia" w:ascii="宋体" w:hAnsi="宋体" w:cs="宋体"/>
                <w:kern w:val="0"/>
                <w:szCs w:val="21"/>
                <w:highlight w:val="none"/>
                <w:u w:val="single"/>
              </w:rPr>
              <w:t>7.投标文件未出现列于《评标办法前附表》“设计方案投标文件有效性审查表”“工程总承包实施方案投标文件有效性审查表”中所列情形的，为有效投标文件。否则为无效投标文件，经评标委员会认定后，其投标文件将被否决。</w:t>
            </w:r>
          </w:p>
          <w:p w14:paraId="77733746">
            <w:pPr>
              <w:snapToGrid w:val="0"/>
              <w:ind w:left="-55" w:leftChars="-26" w:right="-59" w:rightChars="-28"/>
              <w:jc w:val="left"/>
              <w:rPr>
                <w:rFonts w:hint="eastAsia" w:ascii="宋体" w:hAnsi="宋体" w:cs="宋体"/>
                <w:kern w:val="0"/>
                <w:szCs w:val="21"/>
                <w:highlight w:val="none"/>
                <w:u w:val="single"/>
              </w:rPr>
            </w:pPr>
          </w:p>
        </w:tc>
      </w:tr>
      <w:tr w14:paraId="42960803">
        <w:tblPrEx>
          <w:tblCellMar>
            <w:top w:w="57" w:type="dxa"/>
            <w:left w:w="108" w:type="dxa"/>
            <w:bottom w:w="57" w:type="dxa"/>
            <w:right w:w="108" w:type="dxa"/>
          </w:tblCellMar>
        </w:tblPrEx>
        <w:trPr>
          <w:trHeight w:val="937" w:hRule="atLeast"/>
        </w:trPr>
        <w:tc>
          <w:tcPr>
            <w:tcW w:w="511" w:type="pct"/>
            <w:tcBorders>
              <w:top w:val="single" w:color="auto" w:sz="4" w:space="0"/>
              <w:left w:val="single" w:color="auto" w:sz="4" w:space="0"/>
              <w:bottom w:val="single" w:color="auto" w:sz="4" w:space="0"/>
              <w:right w:val="single" w:color="auto" w:sz="4" w:space="0"/>
            </w:tcBorders>
            <w:vAlign w:val="center"/>
          </w:tcPr>
          <w:p w14:paraId="2743B917">
            <w:pPr>
              <w:keepNext w:val="0"/>
              <w:keepLines w:val="0"/>
              <w:suppressLineNumbers w:val="0"/>
              <w:shd w:val="clear"/>
              <w:snapToGrid w:val="0"/>
              <w:spacing w:before="0" w:beforeAutospacing="0" w:after="0" w:afterAutospacing="0" w:line="240" w:lineRule="exact"/>
              <w:ind w:left="-55" w:leftChars="-26" w:right="-59" w:rightChars="-28"/>
              <w:jc w:val="center"/>
              <w:rPr>
                <w:rFonts w:hint="eastAsia" w:ascii="宋体" w:hAnsi="宋体" w:eastAsia="等线"/>
                <w:szCs w:val="21"/>
                <w:highlight w:val="none"/>
              </w:rPr>
            </w:pPr>
            <w:r>
              <w:rPr>
                <w:rFonts w:hint="eastAsia" w:ascii="宋体" w:hAnsi="宋体" w:eastAsia="等线" w:cs="Times New Roman"/>
                <w:color w:val="auto"/>
                <w:szCs w:val="21"/>
                <w:highlight w:val="none"/>
                <w:u w:val="none"/>
              </w:rPr>
              <w:t>1</w:t>
            </w:r>
            <w:r>
              <w:rPr>
                <w:rFonts w:hint="eastAsia" w:ascii="宋体" w:hAnsi="宋体" w:eastAsia="等线" w:cs="Times New Roman"/>
                <w:color w:val="auto"/>
                <w:szCs w:val="21"/>
                <w:highlight w:val="none"/>
                <w:u w:val="none"/>
                <w:lang w:val="en-US" w:eastAsia="zh-CN"/>
              </w:rPr>
              <w:t>8</w:t>
            </w:r>
          </w:p>
        </w:tc>
        <w:tc>
          <w:tcPr>
            <w:tcW w:w="1510" w:type="pct"/>
            <w:tcBorders>
              <w:top w:val="single" w:color="auto" w:sz="4" w:space="0"/>
              <w:left w:val="single" w:color="auto" w:sz="4" w:space="0"/>
              <w:bottom w:val="single" w:color="auto" w:sz="4" w:space="0"/>
              <w:right w:val="single" w:color="auto" w:sz="4" w:space="0"/>
            </w:tcBorders>
            <w:vAlign w:val="center"/>
          </w:tcPr>
          <w:p w14:paraId="15F0E73F">
            <w:pPr>
              <w:keepNext w:val="0"/>
              <w:keepLines w:val="0"/>
              <w:suppressLineNumbers w:val="0"/>
              <w:shd w:val="clear"/>
              <w:spacing w:before="0" w:beforeAutospacing="0" w:after="0" w:afterAutospacing="0"/>
              <w:ind w:left="1" w:leftChars="0" w:right="0" w:rightChars="0"/>
              <w:jc w:val="left"/>
              <w:rPr>
                <w:rFonts w:hint="eastAsia" w:ascii="宋体" w:hAnsi="宋体" w:cs="宋体"/>
                <w:szCs w:val="21"/>
                <w:highlight w:val="none"/>
                <w:u w:val="single"/>
              </w:rPr>
            </w:pPr>
            <w:r>
              <w:rPr>
                <w:rFonts w:hint="eastAsia" w:ascii="宋体" w:hAnsi="宋体" w:cs="宋体"/>
                <w:color w:val="auto"/>
                <w:kern w:val="0"/>
                <w:szCs w:val="21"/>
                <w:highlight w:val="none"/>
                <w:u w:val="single"/>
              </w:rPr>
              <w:t>招标人对中标人参与“百千万工程”的具体要求</w:t>
            </w:r>
          </w:p>
        </w:tc>
        <w:tc>
          <w:tcPr>
            <w:tcW w:w="2978" w:type="pct"/>
            <w:tcBorders>
              <w:top w:val="single" w:color="auto" w:sz="4" w:space="0"/>
              <w:left w:val="single" w:color="auto" w:sz="4" w:space="0"/>
              <w:bottom w:val="single" w:color="auto" w:sz="4" w:space="0"/>
              <w:right w:val="single" w:color="auto" w:sz="4" w:space="0"/>
            </w:tcBorders>
            <w:vAlign w:val="center"/>
          </w:tcPr>
          <w:p w14:paraId="0001077D">
            <w:pPr>
              <w:keepNext w:val="0"/>
              <w:keepLines w:val="0"/>
              <w:suppressLineNumbers w:val="0"/>
              <w:shd w:val="clear"/>
              <w:spacing w:before="0" w:beforeAutospacing="0" w:after="0" w:afterAutospacing="0"/>
              <w:ind w:left="1" w:right="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内容：招标人对中标人参与“百千万工程”的具体要求</w:t>
            </w:r>
          </w:p>
          <w:p w14:paraId="2202B6B0">
            <w:pPr>
              <w:keepNext w:val="0"/>
              <w:keepLines w:val="0"/>
              <w:suppressLineNumbers w:val="0"/>
              <w:shd w:val="clear"/>
              <w:spacing w:before="0" w:beforeAutospacing="0" w:after="0" w:afterAutospacing="0"/>
              <w:ind w:left="1" w:right="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说明与要求：</w:t>
            </w:r>
          </w:p>
          <w:p w14:paraId="78ABA39D">
            <w:pPr>
              <w:keepNext w:val="0"/>
              <w:keepLines w:val="0"/>
              <w:suppressLineNumbers w:val="0"/>
              <w:shd w:val="clear"/>
              <w:spacing w:before="0" w:beforeAutospacing="0" w:after="0" w:afterAutospacing="0"/>
              <w:ind w:left="1" w:right="0"/>
              <w:jc w:val="left"/>
              <w:rPr>
                <w:rFonts w:hint="eastAsia" w:ascii="宋体" w:hAnsi="宋体" w:cs="宋体"/>
                <w:color w:val="auto"/>
                <w:kern w:val="0"/>
                <w:szCs w:val="21"/>
                <w:highlight w:val="none"/>
                <w:u w:val="single"/>
                <w:lang w:val="zh-CN"/>
              </w:rPr>
            </w:pPr>
            <w:r>
              <w:rPr>
                <w:rFonts w:hint="eastAsia" w:ascii="Calibri" w:hAnsi="Calibri" w:cs="Times New Roman"/>
                <w:color w:val="auto"/>
                <w:highlight w:val="none"/>
              </w:rPr>
              <w:t>■</w:t>
            </w:r>
            <w:r>
              <w:rPr>
                <w:rFonts w:hint="eastAsia" w:ascii="宋体" w:hAnsi="宋体" w:cs="宋体"/>
                <w:color w:val="auto"/>
                <w:kern w:val="0"/>
                <w:szCs w:val="21"/>
                <w:highlight w:val="none"/>
                <w:u w:val="single"/>
                <w:lang w:val="zh-CN"/>
              </w:rPr>
              <w:t>具体要求在中标后按照投标承诺和招标人的要求执行。</w:t>
            </w:r>
          </w:p>
          <w:p w14:paraId="7810B29C">
            <w:pPr>
              <w:keepNext w:val="0"/>
              <w:keepLines w:val="0"/>
              <w:suppressLineNumbers w:val="0"/>
              <w:shd w:val="clear"/>
              <w:spacing w:before="0" w:beforeAutospacing="0" w:after="0" w:afterAutospacing="0"/>
              <w:ind w:left="1" w:leftChars="0" w:right="0" w:rightChars="0"/>
              <w:jc w:val="left"/>
              <w:rPr>
                <w:rFonts w:hint="eastAsia" w:ascii="宋体" w:hAnsi="宋体" w:cs="宋体"/>
                <w:kern w:val="0"/>
                <w:szCs w:val="21"/>
                <w:highlight w:val="none"/>
                <w:u w:val="single"/>
              </w:rPr>
            </w:pPr>
            <w:r>
              <w:rPr>
                <w:rFonts w:hint="eastAsia" w:ascii="宋体" w:hAnsi="宋体" w:cs="宋体"/>
                <w:color w:val="auto"/>
                <w:kern w:val="0"/>
                <w:szCs w:val="21"/>
                <w:highlight w:val="none"/>
                <w:u w:val="single"/>
                <w:lang w:val="zh-CN"/>
              </w:rPr>
              <w:t>□具体要求：（由招标人填写）</w:t>
            </w:r>
          </w:p>
        </w:tc>
      </w:tr>
      <w:tr w14:paraId="52EDE8D8">
        <w:tblPrEx>
          <w:tblCellMar>
            <w:top w:w="57" w:type="dxa"/>
            <w:left w:w="108" w:type="dxa"/>
            <w:bottom w:w="57" w:type="dxa"/>
            <w:right w:w="108" w:type="dxa"/>
          </w:tblCellMar>
        </w:tblPrEx>
        <w:trPr>
          <w:trHeight w:val="1824"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A7D1EFA">
            <w:pPr>
              <w:rPr>
                <w:rFonts w:ascii="Calibri" w:hAnsi="Calibri"/>
                <w:b/>
                <w:bCs/>
                <w:highlight w:val="none"/>
              </w:rPr>
            </w:pPr>
            <w:bookmarkStart w:id="12" w:name="_Toc14359"/>
            <w:bookmarkStart w:id="13" w:name="_Toc247527553"/>
            <w:bookmarkStart w:id="14" w:name="_Toc485211038"/>
            <w:bookmarkStart w:id="15" w:name="_Toc247513952"/>
            <w:bookmarkStart w:id="16" w:name="_Toc8989"/>
            <w:bookmarkStart w:id="17" w:name="_Toc1156"/>
            <w:bookmarkStart w:id="18" w:name="_Toc1831"/>
            <w:bookmarkStart w:id="19" w:name="_Toc152042305"/>
            <w:bookmarkStart w:id="20" w:name="_Toc2958"/>
            <w:bookmarkStart w:id="21" w:name="_Toc152045529"/>
            <w:bookmarkStart w:id="22" w:name="_Toc16820"/>
            <w:bookmarkStart w:id="23" w:name="_Toc17566"/>
            <w:bookmarkStart w:id="24" w:name="_Toc144974497"/>
            <w:r>
              <w:rPr>
                <w:rFonts w:hint="eastAsia" w:ascii="Calibri" w:hAnsi="Calibri"/>
                <w:b/>
                <w:bCs/>
                <w:highlight w:val="none"/>
              </w:rPr>
              <w:t>需要补充的其他内容：</w:t>
            </w:r>
          </w:p>
          <w:p w14:paraId="74814C15">
            <w:pPr>
              <w:rPr>
                <w:rFonts w:ascii="Calibri" w:hAnsi="Calibri"/>
                <w:highlight w:val="none"/>
              </w:rPr>
            </w:pPr>
            <w:r>
              <w:rPr>
                <w:rFonts w:hint="eastAsia" w:ascii="Calibri" w:hAnsi="Calibri"/>
                <w:highlight w:val="none"/>
              </w:rPr>
              <w:t>1.本项目招标代理服务费由中标人（联合体主办方）按招标人与招标单位签订的招标代理合同约定执行，并在领取中标通知书前将此费用支付给招标代理单位。</w:t>
            </w:r>
          </w:p>
          <w:p w14:paraId="2B8A27F2">
            <w:pPr>
              <w:ind w:left="1"/>
              <w:jc w:val="left"/>
              <w:rPr>
                <w:rFonts w:hint="eastAsia" w:ascii="宋体" w:hAnsi="宋体" w:cs="宋体"/>
                <w:kern w:val="0"/>
                <w:szCs w:val="21"/>
                <w:highlight w:val="none"/>
                <w:u w:val="single"/>
                <w:lang w:val="zh-CN"/>
              </w:rPr>
            </w:pPr>
            <w:r>
              <w:rPr>
                <w:rFonts w:hint="eastAsia" w:ascii="Calibri" w:hAnsi="Calibri"/>
                <w:highlight w:val="none"/>
              </w:rPr>
              <w:t>2.交易服务费：中标单位根据广州市规定向广州交易集团有限公司（广州公共资源交易中心）缴纳。</w:t>
            </w:r>
          </w:p>
        </w:tc>
      </w:tr>
    </w:tbl>
    <w:p w14:paraId="775B7122">
      <w:pPr>
        <w:keepNext w:val="0"/>
        <w:keepLines w:val="0"/>
        <w:spacing w:before="0" w:after="0" w:line="240" w:lineRule="auto"/>
        <w:outlineLvl w:val="9"/>
        <w:rPr>
          <w:rFonts w:hint="eastAsia" w:ascii="宋体" w:hAnsi="宋体" w:cs="宋体"/>
          <w:b/>
          <w:bCs/>
          <w:sz w:val="32"/>
          <w:szCs w:val="32"/>
          <w:highlight w:val="none"/>
        </w:rPr>
      </w:pPr>
      <w:bookmarkStart w:id="25" w:name="_Toc25841"/>
      <w:bookmarkStart w:id="26" w:name="_Toc3625"/>
      <w:bookmarkStart w:id="27" w:name="_Toc28109"/>
      <w:r>
        <w:rPr>
          <w:rFonts w:hint="eastAsia" w:ascii="宋体" w:hAnsi="宋体" w:cs="宋体"/>
          <w:b/>
          <w:bCs/>
          <w:sz w:val="32"/>
          <w:szCs w:val="32"/>
          <w:highlight w:val="none"/>
        </w:rPr>
        <w:br w:type="page"/>
      </w:r>
    </w:p>
    <w:p w14:paraId="5BB772F5">
      <w:pPr>
        <w:keepNext/>
        <w:keepLines/>
        <w:spacing w:before="260" w:after="260" w:line="415" w:lineRule="auto"/>
        <w:outlineLvl w:val="1"/>
        <w:rPr>
          <w:rFonts w:hint="eastAsia" w:ascii="宋体" w:hAnsi="宋体" w:cs="宋体"/>
          <w:b/>
          <w:bCs/>
          <w:sz w:val="32"/>
          <w:szCs w:val="32"/>
          <w:highlight w:val="none"/>
        </w:rPr>
      </w:pPr>
      <w:r>
        <w:rPr>
          <w:rFonts w:hint="eastAsia" w:ascii="宋体" w:hAnsi="宋体" w:cs="宋体"/>
          <w:b/>
          <w:bCs/>
          <w:sz w:val="32"/>
          <w:szCs w:val="32"/>
          <w:highlight w:val="none"/>
        </w:rPr>
        <w:t>1. 总则</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23DEA34B">
      <w:pPr>
        <w:pStyle w:val="4"/>
        <w:rPr>
          <w:rFonts w:hint="eastAsia" w:ascii="宋体" w:hAnsi="宋体" w:eastAsia="宋体" w:cs="宋体"/>
          <w:b w:val="0"/>
          <w:sz w:val="24"/>
          <w:szCs w:val="24"/>
          <w:highlight w:val="none"/>
        </w:rPr>
      </w:pPr>
      <w:bookmarkStart w:id="28" w:name="_Toc31995"/>
      <w:bookmarkStart w:id="29" w:name="_Toc485211055"/>
      <w:bookmarkStart w:id="30" w:name="_Toc11146"/>
      <w:bookmarkStart w:id="31" w:name="_Toc144974514"/>
      <w:bookmarkStart w:id="32" w:name="_Toc11716"/>
      <w:bookmarkStart w:id="33" w:name="_Toc13105"/>
      <w:bookmarkStart w:id="34" w:name="_Toc20660"/>
      <w:bookmarkStart w:id="35" w:name="_Toc30688"/>
      <w:bookmarkStart w:id="36" w:name="_Toc152045546"/>
      <w:bookmarkStart w:id="37" w:name="_Toc6005"/>
      <w:bookmarkStart w:id="38" w:name="_Toc18287"/>
      <w:bookmarkStart w:id="39" w:name="_Toc27747"/>
      <w:bookmarkStart w:id="40" w:name="_Toc247527571"/>
      <w:bookmarkStart w:id="41" w:name="_Toc152042322"/>
      <w:bookmarkStart w:id="42" w:name="_Toc2293"/>
      <w:bookmarkStart w:id="43" w:name="_Toc22993"/>
      <w:bookmarkStart w:id="44" w:name="_Toc247513970"/>
      <w:r>
        <w:rPr>
          <w:rFonts w:hint="eastAsia" w:ascii="宋体" w:hAnsi="宋体" w:eastAsia="宋体" w:cs="宋体"/>
          <w:b w:val="0"/>
          <w:sz w:val="24"/>
          <w:szCs w:val="24"/>
          <w:highlight w:val="none"/>
        </w:rPr>
        <w:t>1.1 项目概况</w:t>
      </w:r>
      <w:bookmarkEnd w:id="28"/>
    </w:p>
    <w:p w14:paraId="40DEF75A">
      <w:pPr>
        <w:spacing w:line="400" w:lineRule="exact"/>
        <w:ind w:firstLine="420" w:firstLineChars="200"/>
        <w:rPr>
          <w:rFonts w:hint="eastAsia" w:ascii="宋体" w:hAnsi="宋体" w:cs="宋体"/>
          <w:highlight w:val="none"/>
        </w:rPr>
      </w:pPr>
      <w:r>
        <w:rPr>
          <w:rFonts w:hint="eastAsia" w:ascii="宋体" w:hAnsi="宋体" w:cs="宋体"/>
          <w:highlight w:val="none"/>
        </w:rPr>
        <w:t>1.1.1 根据《中华人民共和国招标投标法》等有关法律、法规和规章的规定，本招标项目已具备招标条件，现对本项目</w:t>
      </w:r>
      <w:r>
        <w:rPr>
          <w:rFonts w:hint="eastAsia" w:ascii="宋体" w:hAnsi="宋体" w:cs="宋体"/>
          <w:szCs w:val="24"/>
          <w:highlight w:val="none"/>
          <w:u w:val="single"/>
        </w:rPr>
        <w:t>设计、施工</w:t>
      </w:r>
      <w:r>
        <w:rPr>
          <w:rFonts w:hint="eastAsia" w:ascii="宋体" w:hAnsi="宋体" w:cs="宋体"/>
          <w:highlight w:val="none"/>
        </w:rPr>
        <w:t>进行总承包招标。</w:t>
      </w:r>
    </w:p>
    <w:p w14:paraId="78969811">
      <w:pPr>
        <w:spacing w:line="400" w:lineRule="exact"/>
        <w:ind w:firstLine="420" w:firstLineChars="200"/>
        <w:rPr>
          <w:rFonts w:hint="eastAsia" w:ascii="宋体" w:hAnsi="宋体" w:cs="宋体"/>
          <w:highlight w:val="none"/>
        </w:rPr>
      </w:pPr>
      <w:r>
        <w:rPr>
          <w:rFonts w:hint="eastAsia" w:ascii="宋体" w:hAnsi="宋体" w:cs="宋体"/>
          <w:highlight w:val="none"/>
        </w:rPr>
        <w:t>1.1.2 招标人：见投标人须知前附表。</w:t>
      </w:r>
    </w:p>
    <w:p w14:paraId="1211019C">
      <w:pPr>
        <w:spacing w:line="400" w:lineRule="exact"/>
        <w:ind w:firstLine="420" w:firstLineChars="200"/>
        <w:rPr>
          <w:rFonts w:hint="eastAsia" w:ascii="宋体" w:hAnsi="宋体" w:cs="宋体"/>
          <w:highlight w:val="none"/>
        </w:rPr>
      </w:pPr>
      <w:r>
        <w:rPr>
          <w:rFonts w:hint="eastAsia" w:ascii="宋体" w:hAnsi="宋体" w:cs="宋体"/>
          <w:highlight w:val="none"/>
        </w:rPr>
        <w:t>1.1.3 招标代理机构：见投标人须知前附表。</w:t>
      </w:r>
    </w:p>
    <w:p w14:paraId="7C7899CF">
      <w:pPr>
        <w:spacing w:line="400" w:lineRule="exact"/>
        <w:ind w:firstLine="420" w:firstLineChars="200"/>
        <w:rPr>
          <w:rFonts w:hint="eastAsia" w:ascii="宋体" w:hAnsi="宋体" w:cs="宋体"/>
          <w:highlight w:val="none"/>
        </w:rPr>
      </w:pPr>
      <w:r>
        <w:rPr>
          <w:rFonts w:hint="eastAsia" w:ascii="宋体" w:hAnsi="宋体" w:cs="宋体"/>
          <w:highlight w:val="none"/>
        </w:rPr>
        <w:t>1.1.4 招标项目名称：见投标人须知前附表。</w:t>
      </w:r>
    </w:p>
    <w:p w14:paraId="340BD824">
      <w:pPr>
        <w:spacing w:line="400" w:lineRule="exact"/>
        <w:ind w:firstLine="420" w:firstLineChars="200"/>
        <w:rPr>
          <w:rFonts w:hint="eastAsia" w:ascii="宋体" w:hAnsi="宋体" w:cs="宋体"/>
          <w:highlight w:val="none"/>
        </w:rPr>
      </w:pPr>
      <w:r>
        <w:rPr>
          <w:rFonts w:hint="eastAsia" w:ascii="宋体" w:hAnsi="宋体" w:cs="宋体"/>
          <w:highlight w:val="none"/>
        </w:rPr>
        <w:t>1.1.5 项目建设地点：见投标人须知前附表。</w:t>
      </w:r>
    </w:p>
    <w:p w14:paraId="4A1D938F">
      <w:pPr>
        <w:pStyle w:val="4"/>
        <w:rPr>
          <w:rFonts w:hint="eastAsia" w:ascii="宋体" w:hAnsi="宋体" w:eastAsia="宋体" w:cs="宋体"/>
          <w:b w:val="0"/>
          <w:sz w:val="24"/>
          <w:szCs w:val="24"/>
          <w:highlight w:val="none"/>
        </w:rPr>
      </w:pPr>
      <w:bookmarkStart w:id="45" w:name="_Toc356469179"/>
      <w:bookmarkStart w:id="46" w:name="_Toc247527555"/>
      <w:bookmarkStart w:id="47" w:name="_Toc152045531"/>
      <w:bookmarkStart w:id="48" w:name="_Toc362816482"/>
      <w:bookmarkStart w:id="49" w:name="_Toc152042307"/>
      <w:bookmarkStart w:id="50" w:name="_Toc247513954"/>
      <w:bookmarkStart w:id="51" w:name="_Toc144974499"/>
      <w:bookmarkStart w:id="52" w:name="_Toc300834951"/>
      <w:bookmarkStart w:id="53" w:name="_Toc24499"/>
      <w:bookmarkStart w:id="54" w:name="_Toc357089513"/>
      <w:r>
        <w:rPr>
          <w:rFonts w:hint="eastAsia" w:ascii="宋体" w:hAnsi="宋体" w:eastAsia="宋体" w:cs="宋体"/>
          <w:b w:val="0"/>
          <w:sz w:val="24"/>
          <w:szCs w:val="24"/>
          <w:highlight w:val="none"/>
        </w:rPr>
        <w:t>1.2 项目的资金来源和落实情况</w:t>
      </w:r>
      <w:bookmarkEnd w:id="45"/>
      <w:bookmarkEnd w:id="46"/>
      <w:bookmarkEnd w:id="47"/>
      <w:bookmarkEnd w:id="48"/>
      <w:bookmarkEnd w:id="49"/>
      <w:bookmarkEnd w:id="50"/>
      <w:bookmarkEnd w:id="51"/>
      <w:bookmarkEnd w:id="52"/>
      <w:bookmarkEnd w:id="53"/>
      <w:bookmarkEnd w:id="54"/>
    </w:p>
    <w:p w14:paraId="654FCBD0">
      <w:pPr>
        <w:spacing w:line="400" w:lineRule="exact"/>
        <w:ind w:firstLine="420" w:firstLineChars="200"/>
        <w:rPr>
          <w:rFonts w:hint="eastAsia" w:ascii="宋体" w:hAnsi="宋体" w:cs="宋体"/>
          <w:highlight w:val="none"/>
        </w:rPr>
      </w:pPr>
      <w:r>
        <w:rPr>
          <w:rFonts w:hint="eastAsia" w:ascii="宋体" w:hAnsi="宋体" w:cs="宋体"/>
          <w:highlight w:val="none"/>
        </w:rPr>
        <w:t>1.2.1 资金来源及比例：见投标人须知前附表。</w:t>
      </w:r>
    </w:p>
    <w:p w14:paraId="35C0D42F">
      <w:pPr>
        <w:spacing w:line="400" w:lineRule="exact"/>
        <w:ind w:firstLine="420" w:firstLineChars="200"/>
        <w:rPr>
          <w:rFonts w:hint="eastAsia" w:ascii="宋体" w:hAnsi="宋体" w:cs="宋体"/>
          <w:highlight w:val="none"/>
        </w:rPr>
      </w:pPr>
      <w:r>
        <w:rPr>
          <w:rFonts w:hint="eastAsia" w:ascii="宋体" w:hAnsi="宋体" w:cs="宋体"/>
          <w:highlight w:val="none"/>
        </w:rPr>
        <w:t>1.2.2 资金落实情况：见投标人须知前附表。</w:t>
      </w:r>
    </w:p>
    <w:p w14:paraId="43422EB9">
      <w:pPr>
        <w:pStyle w:val="4"/>
        <w:rPr>
          <w:rFonts w:hint="eastAsia" w:ascii="宋体" w:hAnsi="宋体" w:eastAsia="宋体" w:cs="宋体"/>
          <w:b w:val="0"/>
          <w:sz w:val="24"/>
          <w:szCs w:val="24"/>
          <w:highlight w:val="none"/>
        </w:rPr>
      </w:pPr>
      <w:bookmarkStart w:id="55" w:name="_Toc247513955"/>
      <w:bookmarkStart w:id="56" w:name="_Toc152042308"/>
      <w:bookmarkStart w:id="57" w:name="_Toc144974500"/>
      <w:bookmarkStart w:id="58" w:name="_Toc152045532"/>
      <w:bookmarkStart w:id="59" w:name="_Toc247527556"/>
      <w:bookmarkStart w:id="60" w:name="_Toc300834952"/>
      <w:bookmarkStart w:id="61" w:name="_Toc357089514"/>
      <w:bookmarkStart w:id="62" w:name="_Toc356469180"/>
      <w:bookmarkStart w:id="63" w:name="_Toc362816483"/>
      <w:bookmarkStart w:id="64" w:name="_Toc19000"/>
      <w:r>
        <w:rPr>
          <w:rFonts w:hint="eastAsia" w:ascii="宋体" w:hAnsi="宋体" w:eastAsia="宋体" w:cs="宋体"/>
          <w:b w:val="0"/>
          <w:sz w:val="24"/>
          <w:szCs w:val="24"/>
          <w:highlight w:val="none"/>
        </w:rPr>
        <w:t>1.3 招标范围、计划工期和</w:t>
      </w:r>
      <w:bookmarkEnd w:id="55"/>
      <w:bookmarkEnd w:id="56"/>
      <w:bookmarkEnd w:id="57"/>
      <w:bookmarkEnd w:id="58"/>
      <w:bookmarkEnd w:id="59"/>
      <w:r>
        <w:rPr>
          <w:rFonts w:hint="eastAsia" w:ascii="宋体" w:hAnsi="宋体" w:eastAsia="宋体" w:cs="宋体"/>
          <w:b w:val="0"/>
          <w:sz w:val="24"/>
          <w:szCs w:val="24"/>
          <w:highlight w:val="none"/>
        </w:rPr>
        <w:t>质量标准</w:t>
      </w:r>
      <w:bookmarkEnd w:id="60"/>
      <w:bookmarkEnd w:id="61"/>
      <w:bookmarkEnd w:id="62"/>
      <w:bookmarkEnd w:id="63"/>
      <w:bookmarkEnd w:id="64"/>
    </w:p>
    <w:p w14:paraId="754D6525">
      <w:pPr>
        <w:spacing w:line="400" w:lineRule="exact"/>
        <w:ind w:firstLine="420" w:firstLineChars="200"/>
        <w:rPr>
          <w:rFonts w:hint="eastAsia" w:ascii="宋体" w:hAnsi="宋体" w:cs="宋体"/>
          <w:highlight w:val="none"/>
        </w:rPr>
      </w:pPr>
      <w:r>
        <w:rPr>
          <w:rFonts w:hint="eastAsia" w:ascii="宋体" w:hAnsi="宋体" w:cs="宋体"/>
          <w:highlight w:val="none"/>
        </w:rPr>
        <w:t>1.3.1 招标范围：见投标人须知前附表。</w:t>
      </w:r>
    </w:p>
    <w:p w14:paraId="72351D62">
      <w:pPr>
        <w:spacing w:line="400" w:lineRule="exact"/>
        <w:ind w:firstLine="420" w:firstLineChars="200"/>
        <w:rPr>
          <w:rFonts w:hint="eastAsia" w:ascii="宋体" w:hAnsi="宋体" w:cs="宋体"/>
          <w:highlight w:val="none"/>
        </w:rPr>
      </w:pPr>
      <w:r>
        <w:rPr>
          <w:rFonts w:hint="eastAsia" w:ascii="宋体" w:hAnsi="宋体" w:cs="宋体"/>
          <w:highlight w:val="none"/>
        </w:rPr>
        <w:t>1.3.2 计划工期：见投标人须知前附表。</w:t>
      </w:r>
    </w:p>
    <w:p w14:paraId="2FD63FFE">
      <w:pPr>
        <w:spacing w:line="400" w:lineRule="exact"/>
        <w:ind w:firstLine="420" w:firstLineChars="200"/>
        <w:rPr>
          <w:rFonts w:hint="eastAsia" w:ascii="宋体" w:hAnsi="宋体" w:cs="宋体"/>
          <w:highlight w:val="none"/>
        </w:rPr>
      </w:pPr>
      <w:r>
        <w:rPr>
          <w:rFonts w:hint="eastAsia" w:ascii="宋体" w:hAnsi="宋体" w:cs="宋体"/>
          <w:highlight w:val="none"/>
        </w:rPr>
        <w:t>1.3.3 质量标准：见投标人须知前附表。</w:t>
      </w:r>
    </w:p>
    <w:p w14:paraId="602C96DB">
      <w:pPr>
        <w:pStyle w:val="4"/>
        <w:rPr>
          <w:rFonts w:hint="eastAsia" w:ascii="宋体" w:hAnsi="宋体" w:eastAsia="宋体" w:cs="宋体"/>
          <w:b w:val="0"/>
          <w:sz w:val="24"/>
          <w:szCs w:val="24"/>
          <w:highlight w:val="none"/>
        </w:rPr>
      </w:pPr>
      <w:bookmarkStart w:id="65" w:name="_Toc144974502"/>
      <w:bookmarkStart w:id="66" w:name="_Toc247513957"/>
      <w:bookmarkStart w:id="67" w:name="_Toc152045534"/>
      <w:bookmarkStart w:id="68" w:name="_Toc152042310"/>
      <w:bookmarkStart w:id="69" w:name="_Toc300834954"/>
      <w:bookmarkStart w:id="70" w:name="_Toc247527558"/>
      <w:r>
        <w:rPr>
          <w:rFonts w:hint="eastAsia" w:ascii="宋体" w:hAnsi="宋体" w:eastAsia="宋体" w:cs="宋体"/>
          <w:b w:val="0"/>
          <w:sz w:val="24"/>
          <w:szCs w:val="24"/>
          <w:highlight w:val="none"/>
        </w:rPr>
        <w:t>1.4投标人资格要求（详见招标公告要求）</w:t>
      </w:r>
    </w:p>
    <w:p w14:paraId="38D5C343">
      <w:pPr>
        <w:spacing w:line="400" w:lineRule="exact"/>
        <w:ind w:firstLine="420" w:firstLineChars="200"/>
        <w:rPr>
          <w:rFonts w:hint="eastAsia" w:ascii="宋体" w:hAnsi="宋体" w:cs="宋体"/>
          <w:highlight w:val="none"/>
          <w:u w:val="single"/>
        </w:rPr>
      </w:pPr>
      <w:r>
        <w:rPr>
          <w:rFonts w:hint="eastAsia" w:ascii="宋体" w:hAnsi="宋体" w:cs="宋体"/>
          <w:highlight w:val="none"/>
        </w:rPr>
        <w:t xml:space="preserve">1.4.1 </w:t>
      </w:r>
      <w:r>
        <w:rPr>
          <w:rFonts w:hint="eastAsia" w:ascii="宋体" w:hAnsi="宋体" w:cs="宋体"/>
          <w:highlight w:val="none"/>
          <w:u w:val="single"/>
        </w:rPr>
        <w:t>投标人应是按招标公告要求成功投标登记的单位。</w:t>
      </w:r>
      <w:bookmarkEnd w:id="65"/>
      <w:bookmarkEnd w:id="66"/>
      <w:bookmarkEnd w:id="67"/>
      <w:bookmarkEnd w:id="68"/>
      <w:bookmarkEnd w:id="69"/>
      <w:bookmarkEnd w:id="70"/>
    </w:p>
    <w:p w14:paraId="08688A43">
      <w:pPr>
        <w:spacing w:line="400" w:lineRule="exact"/>
        <w:ind w:firstLine="420" w:firstLineChars="200"/>
        <w:rPr>
          <w:rFonts w:hint="eastAsia" w:ascii="宋体" w:hAnsi="宋体" w:cs="宋体"/>
          <w:highlight w:val="none"/>
        </w:rPr>
      </w:pPr>
      <w:r>
        <w:rPr>
          <w:rFonts w:hint="eastAsia" w:ascii="宋体" w:hAnsi="宋体" w:cs="宋体"/>
          <w:highlight w:val="none"/>
        </w:rPr>
        <w:t>1.4.2 关于联合体投标：</w:t>
      </w:r>
      <w:r>
        <w:rPr>
          <w:rFonts w:hint="eastAsia" w:ascii="宋体" w:hAnsi="宋体" w:cs="宋体"/>
          <w:highlight w:val="none"/>
          <w:u w:val="single"/>
        </w:rPr>
        <w:t>见投标人须知前附表。</w:t>
      </w:r>
    </w:p>
    <w:p w14:paraId="006CF9A0">
      <w:pPr>
        <w:spacing w:line="400" w:lineRule="exact"/>
        <w:ind w:firstLine="420" w:firstLineChars="200"/>
        <w:rPr>
          <w:rFonts w:hint="eastAsia" w:ascii="宋体" w:hAnsi="宋体" w:cs="宋体"/>
          <w:highlight w:val="none"/>
        </w:rPr>
      </w:pPr>
    </w:p>
    <w:p w14:paraId="60FA0D18">
      <w:pPr>
        <w:pStyle w:val="4"/>
        <w:rPr>
          <w:rFonts w:hint="eastAsia" w:ascii="宋体" w:hAnsi="宋体" w:eastAsia="宋体" w:cs="宋体"/>
          <w:b w:val="0"/>
          <w:sz w:val="24"/>
          <w:szCs w:val="24"/>
          <w:highlight w:val="none"/>
        </w:rPr>
      </w:pPr>
      <w:bookmarkStart w:id="71" w:name="_Toc152042311"/>
      <w:bookmarkStart w:id="72" w:name="_Toc247527559"/>
      <w:bookmarkStart w:id="73" w:name="_Toc247513958"/>
      <w:bookmarkStart w:id="74" w:name="_Toc144974503"/>
      <w:bookmarkStart w:id="75" w:name="_Toc152045535"/>
      <w:bookmarkStart w:id="76" w:name="_Toc356469182"/>
      <w:bookmarkStart w:id="77" w:name="_Toc5634"/>
      <w:bookmarkStart w:id="78" w:name="_Toc362816485"/>
      <w:bookmarkStart w:id="79" w:name="_Toc300834955"/>
      <w:bookmarkStart w:id="80" w:name="_Toc357089516"/>
      <w:r>
        <w:rPr>
          <w:rFonts w:hint="eastAsia" w:ascii="宋体" w:hAnsi="宋体" w:eastAsia="宋体" w:cs="宋体"/>
          <w:b w:val="0"/>
          <w:sz w:val="24"/>
          <w:szCs w:val="24"/>
          <w:highlight w:val="none"/>
        </w:rPr>
        <w:t>1.5 费用承担</w:t>
      </w:r>
      <w:bookmarkEnd w:id="71"/>
      <w:bookmarkEnd w:id="72"/>
      <w:bookmarkEnd w:id="73"/>
      <w:bookmarkEnd w:id="74"/>
      <w:bookmarkEnd w:id="75"/>
      <w:r>
        <w:rPr>
          <w:rFonts w:hint="eastAsia" w:ascii="宋体" w:hAnsi="宋体" w:eastAsia="宋体" w:cs="宋体"/>
          <w:b w:val="0"/>
          <w:sz w:val="24"/>
          <w:szCs w:val="24"/>
          <w:highlight w:val="none"/>
        </w:rPr>
        <w:t>和设计成果补偿</w:t>
      </w:r>
      <w:bookmarkEnd w:id="76"/>
      <w:bookmarkEnd w:id="77"/>
      <w:bookmarkEnd w:id="78"/>
      <w:bookmarkEnd w:id="79"/>
      <w:bookmarkEnd w:id="80"/>
    </w:p>
    <w:p w14:paraId="2A9322B9">
      <w:pPr>
        <w:spacing w:line="400" w:lineRule="exact"/>
        <w:ind w:firstLine="420" w:firstLineChars="200"/>
        <w:rPr>
          <w:rFonts w:hint="eastAsia" w:ascii="宋体" w:hAnsi="宋体" w:cs="宋体"/>
          <w:highlight w:val="none"/>
        </w:rPr>
      </w:pPr>
      <w:r>
        <w:rPr>
          <w:rFonts w:hint="eastAsia" w:ascii="宋体" w:hAnsi="宋体" w:cs="宋体"/>
          <w:highlight w:val="none"/>
        </w:rPr>
        <w:t>1.5.1 投标人准备和参加投标活动发生的设计费用成果补偿参考招标文件前附表1.5点设定。</w:t>
      </w:r>
    </w:p>
    <w:p w14:paraId="20CF74DB">
      <w:pPr>
        <w:spacing w:line="400" w:lineRule="exact"/>
        <w:ind w:firstLine="420" w:firstLineChars="200"/>
        <w:rPr>
          <w:rFonts w:hint="eastAsia" w:ascii="宋体" w:hAnsi="宋体" w:cs="宋体"/>
          <w:highlight w:val="none"/>
        </w:rPr>
      </w:pPr>
      <w:r>
        <w:rPr>
          <w:rFonts w:hint="eastAsia" w:ascii="宋体" w:hAnsi="宋体" w:cs="宋体"/>
          <w:highlight w:val="none"/>
        </w:rPr>
        <w:t xml:space="preserve">1.5.2 </w:t>
      </w:r>
      <w:r>
        <w:rPr>
          <w:rFonts w:hint="eastAsia" w:ascii="宋体" w:hAnsi="宋体" w:cs="宋体"/>
          <w:highlight w:val="none"/>
          <w:u w:val="single"/>
        </w:rPr>
        <w:t>招标人在征得未中标人的同意后有权免费使用未中标人设计成果。</w:t>
      </w:r>
    </w:p>
    <w:p w14:paraId="07F50DA6">
      <w:pPr>
        <w:spacing w:line="400" w:lineRule="exact"/>
        <w:ind w:firstLine="420" w:firstLineChars="200"/>
        <w:rPr>
          <w:rFonts w:hint="eastAsia" w:ascii="宋体" w:hAnsi="宋体" w:cs="宋体"/>
          <w:highlight w:val="none"/>
        </w:rPr>
      </w:pPr>
      <w:r>
        <w:rPr>
          <w:rFonts w:hint="eastAsia" w:ascii="宋体" w:hAnsi="宋体" w:cs="宋体"/>
          <w:highlight w:val="none"/>
          <w:u w:val="single"/>
        </w:rPr>
        <w:t>1.5.3 中标人应根据政府有关规定，向广州公共资源交易中心交纳交易服务费。</w:t>
      </w:r>
    </w:p>
    <w:p w14:paraId="167C3206">
      <w:pPr>
        <w:pStyle w:val="4"/>
        <w:rPr>
          <w:rFonts w:hint="eastAsia" w:ascii="宋体" w:hAnsi="宋体" w:eastAsia="宋体" w:cs="宋体"/>
          <w:b w:val="0"/>
          <w:sz w:val="24"/>
          <w:szCs w:val="24"/>
          <w:highlight w:val="none"/>
        </w:rPr>
      </w:pPr>
      <w:bookmarkStart w:id="81" w:name="_Toc24237"/>
      <w:bookmarkStart w:id="82" w:name="_Toc300834956"/>
      <w:bookmarkStart w:id="83" w:name="_Toc152045536"/>
      <w:bookmarkStart w:id="84" w:name="_Toc247527560"/>
      <w:bookmarkStart w:id="85" w:name="_Toc357089517"/>
      <w:bookmarkStart w:id="86" w:name="_Toc144974504"/>
      <w:bookmarkStart w:id="87" w:name="_Toc152042312"/>
      <w:bookmarkStart w:id="88" w:name="_Toc247513959"/>
      <w:bookmarkStart w:id="89" w:name="_Toc356469183"/>
      <w:bookmarkStart w:id="90" w:name="_Toc362816486"/>
      <w:r>
        <w:rPr>
          <w:rFonts w:hint="eastAsia" w:ascii="宋体" w:hAnsi="宋体" w:eastAsia="宋体" w:cs="宋体"/>
          <w:b w:val="0"/>
          <w:sz w:val="24"/>
          <w:szCs w:val="24"/>
          <w:highlight w:val="none"/>
        </w:rPr>
        <w:t>1.6 保密</w:t>
      </w:r>
      <w:bookmarkEnd w:id="81"/>
      <w:bookmarkEnd w:id="82"/>
      <w:bookmarkEnd w:id="83"/>
      <w:bookmarkEnd w:id="84"/>
      <w:bookmarkEnd w:id="85"/>
      <w:bookmarkEnd w:id="86"/>
      <w:bookmarkEnd w:id="87"/>
      <w:bookmarkEnd w:id="88"/>
      <w:bookmarkEnd w:id="89"/>
      <w:bookmarkEnd w:id="90"/>
    </w:p>
    <w:p w14:paraId="64B47D14">
      <w:pPr>
        <w:spacing w:line="400" w:lineRule="exact"/>
        <w:ind w:firstLine="420" w:firstLineChars="200"/>
        <w:rPr>
          <w:rFonts w:hint="eastAsia" w:ascii="宋体" w:hAnsi="宋体" w:cs="宋体"/>
          <w:highlight w:val="none"/>
        </w:rPr>
      </w:pPr>
      <w:r>
        <w:rPr>
          <w:rFonts w:hint="eastAsia" w:ascii="宋体" w:hAnsi="宋体" w:cs="宋体"/>
          <w:highlight w:val="none"/>
        </w:rPr>
        <w:t>1.6.1参与招标投标活动的各方应对招标文件和投标文件中的商业和技术等秘密保密，否则应承担相应的法律责任。</w:t>
      </w:r>
    </w:p>
    <w:p w14:paraId="5DCCE28A">
      <w:pPr>
        <w:pStyle w:val="4"/>
        <w:rPr>
          <w:rFonts w:hint="eastAsia" w:ascii="宋体" w:hAnsi="宋体" w:eastAsia="宋体" w:cs="宋体"/>
          <w:b w:val="0"/>
          <w:sz w:val="24"/>
          <w:szCs w:val="24"/>
          <w:highlight w:val="none"/>
        </w:rPr>
      </w:pPr>
      <w:bookmarkStart w:id="91" w:name="_Toc144974505"/>
      <w:bookmarkStart w:id="92" w:name="_Toc300834957"/>
      <w:bookmarkStart w:id="93" w:name="_Toc4697"/>
      <w:bookmarkStart w:id="94" w:name="_Toc247513960"/>
      <w:bookmarkStart w:id="95" w:name="_Toc152045537"/>
      <w:bookmarkStart w:id="96" w:name="_Toc356469184"/>
      <w:bookmarkStart w:id="97" w:name="_Toc362816487"/>
      <w:bookmarkStart w:id="98" w:name="_Toc357089518"/>
      <w:bookmarkStart w:id="99" w:name="_Toc152042313"/>
      <w:bookmarkStart w:id="100" w:name="_Toc247527561"/>
      <w:r>
        <w:rPr>
          <w:rFonts w:hint="eastAsia" w:ascii="宋体" w:hAnsi="宋体" w:eastAsia="宋体" w:cs="宋体"/>
          <w:b w:val="0"/>
          <w:sz w:val="24"/>
          <w:szCs w:val="24"/>
          <w:highlight w:val="none"/>
        </w:rPr>
        <w:t>1.7 语言</w:t>
      </w:r>
      <w:bookmarkEnd w:id="91"/>
      <w:r>
        <w:rPr>
          <w:rFonts w:hint="eastAsia" w:ascii="宋体" w:hAnsi="宋体" w:eastAsia="宋体" w:cs="宋体"/>
          <w:b w:val="0"/>
          <w:sz w:val="24"/>
          <w:szCs w:val="24"/>
          <w:highlight w:val="none"/>
        </w:rPr>
        <w:t>文字</w:t>
      </w:r>
      <w:bookmarkEnd w:id="92"/>
      <w:bookmarkEnd w:id="93"/>
      <w:bookmarkEnd w:id="94"/>
      <w:bookmarkEnd w:id="95"/>
      <w:bookmarkEnd w:id="96"/>
      <w:bookmarkEnd w:id="97"/>
      <w:bookmarkEnd w:id="98"/>
      <w:bookmarkEnd w:id="99"/>
      <w:bookmarkEnd w:id="100"/>
    </w:p>
    <w:p w14:paraId="3B7260D2">
      <w:pPr>
        <w:spacing w:line="400" w:lineRule="exact"/>
        <w:ind w:firstLine="420" w:firstLineChars="200"/>
        <w:rPr>
          <w:rFonts w:hint="eastAsia" w:ascii="宋体" w:hAnsi="宋体" w:cs="宋体"/>
          <w:highlight w:val="none"/>
        </w:rPr>
      </w:pPr>
      <w:r>
        <w:rPr>
          <w:rFonts w:hint="eastAsia" w:ascii="宋体" w:hAnsi="宋体" w:cs="宋体"/>
          <w:highlight w:val="none"/>
        </w:rPr>
        <w:t>1.7.1招标投标文件使用的语言文字为中文。专用术语使用外文的，应附有中文注释。</w:t>
      </w:r>
    </w:p>
    <w:p w14:paraId="43F7540A">
      <w:pPr>
        <w:pStyle w:val="4"/>
        <w:rPr>
          <w:rFonts w:hint="eastAsia" w:ascii="宋体" w:hAnsi="宋体" w:eastAsia="宋体" w:cs="宋体"/>
          <w:b w:val="0"/>
          <w:sz w:val="24"/>
          <w:szCs w:val="24"/>
          <w:highlight w:val="none"/>
        </w:rPr>
      </w:pPr>
      <w:bookmarkStart w:id="101" w:name="_Toc247513961"/>
      <w:bookmarkStart w:id="102" w:name="_Toc152042314"/>
      <w:bookmarkStart w:id="103" w:name="_Toc356469185"/>
      <w:bookmarkStart w:id="104" w:name="_Toc12986"/>
      <w:bookmarkStart w:id="105" w:name="_Toc152045538"/>
      <w:bookmarkStart w:id="106" w:name="_Toc362816488"/>
      <w:bookmarkStart w:id="107" w:name="_Toc144974506"/>
      <w:bookmarkStart w:id="108" w:name="_Toc357089519"/>
      <w:bookmarkStart w:id="109" w:name="_Toc300834958"/>
      <w:bookmarkStart w:id="110" w:name="_Toc247527562"/>
      <w:r>
        <w:rPr>
          <w:rFonts w:hint="eastAsia" w:ascii="宋体" w:hAnsi="宋体" w:eastAsia="宋体" w:cs="宋体"/>
          <w:b w:val="0"/>
          <w:sz w:val="24"/>
          <w:szCs w:val="24"/>
          <w:highlight w:val="none"/>
        </w:rPr>
        <w:t>1.8 计量单位</w:t>
      </w:r>
      <w:bookmarkEnd w:id="101"/>
      <w:bookmarkEnd w:id="102"/>
      <w:bookmarkEnd w:id="103"/>
      <w:bookmarkEnd w:id="104"/>
      <w:bookmarkEnd w:id="105"/>
      <w:bookmarkEnd w:id="106"/>
      <w:bookmarkEnd w:id="107"/>
      <w:bookmarkEnd w:id="108"/>
      <w:bookmarkEnd w:id="109"/>
      <w:bookmarkEnd w:id="110"/>
    </w:p>
    <w:p w14:paraId="0F94FF71">
      <w:pPr>
        <w:spacing w:line="400" w:lineRule="exact"/>
        <w:ind w:firstLine="420" w:firstLineChars="200"/>
        <w:rPr>
          <w:rFonts w:hint="eastAsia" w:ascii="宋体" w:hAnsi="宋体" w:cs="宋体"/>
          <w:highlight w:val="none"/>
        </w:rPr>
      </w:pPr>
      <w:r>
        <w:rPr>
          <w:rFonts w:hint="eastAsia" w:ascii="宋体" w:hAnsi="宋体" w:cs="宋体"/>
          <w:highlight w:val="none"/>
        </w:rPr>
        <w:t>1.8.1 所有计量均采用中华人民共和国法定计量单位。</w:t>
      </w:r>
    </w:p>
    <w:p w14:paraId="5E5BB680">
      <w:pPr>
        <w:spacing w:line="400" w:lineRule="exact"/>
        <w:ind w:firstLine="420" w:firstLineChars="200"/>
        <w:rPr>
          <w:rFonts w:hint="eastAsia" w:ascii="宋体" w:hAnsi="宋体" w:cs="宋体"/>
          <w:highlight w:val="none"/>
          <w:u w:val="single"/>
        </w:rPr>
      </w:pPr>
      <w:r>
        <w:rPr>
          <w:rFonts w:hint="eastAsia" w:ascii="宋体" w:hAnsi="宋体" w:cs="宋体"/>
          <w:highlight w:val="none"/>
          <w:u w:val="single"/>
        </w:rPr>
        <w:t>1.8.2 本工程投标报价采用的币种为人民币。</w:t>
      </w:r>
    </w:p>
    <w:p w14:paraId="012BF69D">
      <w:pPr>
        <w:pStyle w:val="4"/>
        <w:rPr>
          <w:rFonts w:hint="eastAsia" w:ascii="宋体" w:hAnsi="宋体" w:eastAsia="宋体" w:cs="宋体"/>
          <w:b w:val="0"/>
          <w:sz w:val="24"/>
          <w:szCs w:val="24"/>
          <w:highlight w:val="none"/>
        </w:rPr>
      </w:pPr>
      <w:bookmarkStart w:id="111" w:name="_Toc144974507"/>
      <w:bookmarkStart w:id="112" w:name="_Toc247527563"/>
      <w:bookmarkStart w:id="113" w:name="_Toc357089520"/>
      <w:bookmarkStart w:id="114" w:name="_Toc12824"/>
      <w:bookmarkStart w:id="115" w:name="_Toc362816489"/>
      <w:bookmarkStart w:id="116" w:name="_Toc300834959"/>
      <w:bookmarkStart w:id="117" w:name="_Toc356469186"/>
      <w:bookmarkStart w:id="118" w:name="_Toc152045539"/>
      <w:bookmarkStart w:id="119" w:name="_Toc152042315"/>
      <w:bookmarkStart w:id="120" w:name="_Toc247513962"/>
      <w:r>
        <w:rPr>
          <w:rFonts w:hint="eastAsia" w:ascii="宋体" w:hAnsi="宋体" w:eastAsia="宋体" w:cs="宋体"/>
          <w:b w:val="0"/>
          <w:sz w:val="24"/>
          <w:szCs w:val="24"/>
          <w:highlight w:val="none"/>
        </w:rPr>
        <w:t>1.9 踏勘现场</w:t>
      </w:r>
      <w:bookmarkEnd w:id="111"/>
      <w:bookmarkEnd w:id="112"/>
      <w:bookmarkEnd w:id="113"/>
      <w:bookmarkEnd w:id="114"/>
      <w:bookmarkEnd w:id="115"/>
      <w:bookmarkEnd w:id="116"/>
      <w:bookmarkEnd w:id="117"/>
      <w:bookmarkEnd w:id="118"/>
      <w:bookmarkEnd w:id="119"/>
      <w:bookmarkEnd w:id="120"/>
    </w:p>
    <w:p w14:paraId="0005B28D">
      <w:pPr>
        <w:spacing w:line="400" w:lineRule="exact"/>
        <w:ind w:firstLine="420" w:firstLineChars="200"/>
        <w:rPr>
          <w:rFonts w:hint="eastAsia" w:ascii="宋体" w:hAnsi="宋体" w:cs="宋体"/>
          <w:highlight w:val="none"/>
        </w:rPr>
      </w:pPr>
      <w:r>
        <w:rPr>
          <w:rFonts w:hint="eastAsia" w:ascii="宋体" w:hAnsi="宋体" w:cs="宋体"/>
          <w:highlight w:val="none"/>
        </w:rPr>
        <w:t xml:space="preserve">1.9.1 投标人须知前附表规定组织踏勘现场的，招标人按投标人须知前附表规定的时间、地点组织投标人踏勘项目现场。 </w:t>
      </w:r>
    </w:p>
    <w:p w14:paraId="00EF601B">
      <w:pPr>
        <w:spacing w:line="400" w:lineRule="exact"/>
        <w:ind w:firstLine="420" w:firstLineChars="200"/>
        <w:rPr>
          <w:rFonts w:hint="eastAsia" w:ascii="宋体" w:hAnsi="宋体" w:cs="宋体"/>
          <w:highlight w:val="none"/>
        </w:rPr>
      </w:pPr>
      <w:r>
        <w:rPr>
          <w:rFonts w:hint="eastAsia" w:ascii="宋体" w:hAnsi="宋体" w:cs="宋体"/>
          <w:highlight w:val="none"/>
        </w:rPr>
        <w:t>1.9.2 投标人踏勘现场发生的费用自理。</w:t>
      </w:r>
    </w:p>
    <w:p w14:paraId="29CF9200">
      <w:pPr>
        <w:spacing w:line="400" w:lineRule="exact"/>
        <w:ind w:firstLine="420" w:firstLineChars="200"/>
        <w:rPr>
          <w:rFonts w:hint="eastAsia" w:ascii="宋体" w:hAnsi="宋体" w:cs="宋体"/>
          <w:highlight w:val="none"/>
        </w:rPr>
      </w:pPr>
      <w:r>
        <w:rPr>
          <w:rFonts w:hint="eastAsia" w:ascii="宋体" w:hAnsi="宋体" w:cs="宋体"/>
          <w:highlight w:val="none"/>
        </w:rPr>
        <w:t>1.9.3 除招标人的原因外，投标人自行负责在踏勘现场中所发生的人员伤亡和财产损失。</w:t>
      </w:r>
    </w:p>
    <w:p w14:paraId="4AC3561A">
      <w:pPr>
        <w:spacing w:line="400" w:lineRule="exact"/>
        <w:ind w:firstLine="420" w:firstLineChars="200"/>
        <w:rPr>
          <w:rFonts w:hint="eastAsia" w:ascii="宋体" w:hAnsi="宋体" w:cs="宋体"/>
          <w:highlight w:val="none"/>
        </w:rPr>
      </w:pPr>
      <w:r>
        <w:rPr>
          <w:rFonts w:hint="eastAsia" w:ascii="宋体" w:hAnsi="宋体" w:cs="宋体"/>
          <w:highlight w:val="none"/>
        </w:rPr>
        <w:t>1.9.4</w:t>
      </w:r>
      <w:r>
        <w:rPr>
          <w:rFonts w:hint="eastAsia" w:ascii="宋体" w:hAnsi="宋体" w:cs="宋体"/>
          <w:highlight w:val="none"/>
          <w:u w:val="single"/>
        </w:rPr>
        <w:t>现场由投标人自行踏勘，投标人不进行踏勘的，视为已熟知现场条件，自行承担相关风险。招标人不对投标人自行踏勘现场作出的判断和决策负责。</w:t>
      </w:r>
    </w:p>
    <w:p w14:paraId="0563F4AB">
      <w:pPr>
        <w:pStyle w:val="4"/>
        <w:rPr>
          <w:rFonts w:hint="eastAsia" w:ascii="宋体" w:hAnsi="宋体" w:eastAsia="宋体" w:cs="宋体"/>
          <w:b w:val="0"/>
          <w:sz w:val="24"/>
          <w:szCs w:val="24"/>
          <w:highlight w:val="none"/>
        </w:rPr>
      </w:pPr>
      <w:bookmarkStart w:id="121" w:name="_Toc247513963"/>
      <w:bookmarkStart w:id="122" w:name="_Toc247527564"/>
      <w:bookmarkStart w:id="123" w:name="_Toc152042316"/>
      <w:bookmarkStart w:id="124" w:name="_Toc356469187"/>
      <w:bookmarkStart w:id="125" w:name="_Toc152045540"/>
      <w:bookmarkStart w:id="126" w:name="_Toc362816490"/>
      <w:bookmarkStart w:id="127" w:name="_Toc6764"/>
      <w:bookmarkStart w:id="128" w:name="_Toc357089521"/>
      <w:bookmarkStart w:id="129" w:name="_Toc144974508"/>
      <w:bookmarkStart w:id="130" w:name="_Toc300834960"/>
      <w:r>
        <w:rPr>
          <w:rFonts w:hint="eastAsia" w:ascii="宋体" w:hAnsi="宋体" w:eastAsia="宋体" w:cs="宋体"/>
          <w:b w:val="0"/>
          <w:sz w:val="24"/>
          <w:szCs w:val="24"/>
          <w:highlight w:val="none"/>
        </w:rPr>
        <w:t>1.10 投标预备会</w:t>
      </w:r>
      <w:bookmarkEnd w:id="121"/>
      <w:bookmarkEnd w:id="122"/>
      <w:bookmarkEnd w:id="123"/>
      <w:bookmarkEnd w:id="124"/>
      <w:bookmarkEnd w:id="125"/>
      <w:bookmarkEnd w:id="126"/>
      <w:bookmarkEnd w:id="127"/>
      <w:bookmarkEnd w:id="128"/>
      <w:bookmarkEnd w:id="129"/>
      <w:bookmarkEnd w:id="130"/>
    </w:p>
    <w:p w14:paraId="5F4EAAFF">
      <w:pPr>
        <w:spacing w:line="400" w:lineRule="exact"/>
        <w:ind w:firstLine="420" w:firstLineChars="200"/>
        <w:rPr>
          <w:rFonts w:hint="eastAsia" w:ascii="宋体" w:hAnsi="宋体" w:cs="宋体"/>
          <w:highlight w:val="none"/>
        </w:rPr>
      </w:pPr>
      <w:r>
        <w:rPr>
          <w:rFonts w:hint="eastAsia" w:ascii="宋体" w:hAnsi="宋体" w:cs="宋体"/>
          <w:highlight w:val="none"/>
        </w:rPr>
        <w:t>1.10.1 投标人须知前附表规定召开投标预备会的，招标人按投标人须知前附表规定的时间和地点召开投标预备会，澄清投标人提出的问题。</w:t>
      </w:r>
    </w:p>
    <w:p w14:paraId="3E399859">
      <w:pPr>
        <w:spacing w:line="400" w:lineRule="exact"/>
        <w:ind w:firstLine="420" w:firstLineChars="200"/>
        <w:rPr>
          <w:rFonts w:hint="eastAsia" w:ascii="宋体" w:hAnsi="宋体" w:cs="宋体"/>
          <w:highlight w:val="none"/>
        </w:rPr>
      </w:pPr>
      <w:r>
        <w:rPr>
          <w:rFonts w:hint="eastAsia" w:ascii="宋体" w:hAnsi="宋体" w:cs="宋体"/>
          <w:highlight w:val="none"/>
        </w:rPr>
        <w:t>1.10.2 投标人应在投标人须知前附表规定的时间前，以书面形式将提出的问题送达招标人，以便招标人在会议期间澄清。</w:t>
      </w:r>
    </w:p>
    <w:p w14:paraId="64B2DDD9">
      <w:pPr>
        <w:spacing w:line="400" w:lineRule="exact"/>
        <w:ind w:firstLine="420" w:firstLineChars="200"/>
        <w:rPr>
          <w:rFonts w:hint="eastAsia" w:ascii="宋体" w:hAnsi="宋体" w:cs="宋体"/>
          <w:highlight w:val="none"/>
        </w:rPr>
      </w:pPr>
      <w:r>
        <w:rPr>
          <w:rFonts w:hint="eastAsia" w:ascii="宋体" w:hAnsi="宋体" w:cs="宋体"/>
          <w:highlight w:val="none"/>
        </w:rPr>
        <w:t>1.10.3 投标预备会后，招标人在投标人须知前附表规定的时间内，将对投标人所提问题的澄清，以书面形式通知所有购买招标文件的投标人。该澄清内容为招标文件的组成部分。</w:t>
      </w:r>
    </w:p>
    <w:p w14:paraId="6B9248B7">
      <w:pPr>
        <w:pStyle w:val="4"/>
        <w:rPr>
          <w:rFonts w:hint="eastAsia" w:ascii="宋体" w:hAnsi="宋体" w:eastAsia="宋体" w:cs="宋体"/>
          <w:b w:val="0"/>
          <w:sz w:val="24"/>
          <w:szCs w:val="24"/>
          <w:highlight w:val="none"/>
        </w:rPr>
      </w:pPr>
      <w:bookmarkStart w:id="131" w:name="_Toc356469188"/>
      <w:bookmarkStart w:id="132" w:name="_Toc247513964"/>
      <w:bookmarkStart w:id="133" w:name="_Toc152045541"/>
      <w:bookmarkStart w:id="134" w:name="_Toc247527565"/>
      <w:bookmarkStart w:id="135" w:name="_Toc362816491"/>
      <w:bookmarkStart w:id="136" w:name="_Toc22105"/>
      <w:bookmarkStart w:id="137" w:name="_Toc357089522"/>
      <w:bookmarkStart w:id="138" w:name="_Toc300834961"/>
      <w:bookmarkStart w:id="139" w:name="_Toc152042317"/>
      <w:bookmarkStart w:id="140" w:name="_Toc144974509"/>
      <w:r>
        <w:rPr>
          <w:rFonts w:hint="eastAsia" w:ascii="宋体" w:hAnsi="宋体" w:eastAsia="宋体" w:cs="宋体"/>
          <w:b w:val="0"/>
          <w:sz w:val="24"/>
          <w:szCs w:val="24"/>
          <w:highlight w:val="none"/>
        </w:rPr>
        <w:t>1.11 分包</w:t>
      </w:r>
      <w:bookmarkEnd w:id="131"/>
      <w:bookmarkEnd w:id="132"/>
      <w:bookmarkEnd w:id="133"/>
      <w:bookmarkEnd w:id="134"/>
      <w:bookmarkEnd w:id="135"/>
      <w:bookmarkEnd w:id="136"/>
      <w:bookmarkEnd w:id="137"/>
      <w:bookmarkEnd w:id="138"/>
      <w:bookmarkEnd w:id="139"/>
      <w:bookmarkEnd w:id="140"/>
    </w:p>
    <w:p w14:paraId="0DA55744">
      <w:pPr>
        <w:spacing w:line="400" w:lineRule="exact"/>
        <w:ind w:firstLine="420" w:firstLineChars="200"/>
        <w:rPr>
          <w:rFonts w:hint="eastAsia" w:ascii="宋体" w:hAnsi="宋体" w:cs="宋体"/>
          <w:highlight w:val="none"/>
        </w:rPr>
      </w:pPr>
      <w:r>
        <w:rPr>
          <w:rFonts w:hint="eastAsia" w:ascii="宋体" w:hAnsi="宋体" w:cs="宋体"/>
          <w:highlight w:val="none"/>
        </w:rPr>
        <w:t>1.11.1 投标人须知前附表规定应当由分包人实施的非主体、非关键性工作，投标人应当按照</w:t>
      </w:r>
      <w:r>
        <w:rPr>
          <w:rFonts w:hint="eastAsia" w:ascii="宋体" w:hAnsi="宋体" w:cs="宋体"/>
          <w:highlight w:val="none"/>
          <w:u w:val="single"/>
        </w:rPr>
        <w:t>第五章</w:t>
      </w:r>
      <w:r>
        <w:rPr>
          <w:rFonts w:hint="eastAsia" w:ascii="宋体" w:hAnsi="宋体" w:cs="宋体"/>
          <w:highlight w:val="none"/>
        </w:rPr>
        <w:t>“发包人要求”的规定提供分包人候选名单及其相应资料。</w:t>
      </w:r>
    </w:p>
    <w:p w14:paraId="41E700F5">
      <w:pPr>
        <w:spacing w:line="400" w:lineRule="exact"/>
        <w:ind w:firstLine="420" w:firstLineChars="200"/>
        <w:rPr>
          <w:rFonts w:hint="eastAsia" w:ascii="宋体" w:hAnsi="宋体" w:cs="宋体"/>
          <w:highlight w:val="none"/>
        </w:rPr>
      </w:pPr>
      <w:r>
        <w:rPr>
          <w:rFonts w:hint="eastAsia" w:ascii="宋体" w:hAnsi="宋体" w:cs="宋体"/>
          <w:highlight w:val="none"/>
        </w:rPr>
        <w:t>1.11.2 招标人允许投标人在中标后将中标项目的部分非主体、非关键性工作进行分包的，应符合投标人须知前附表规定的分包内容、资质要求等限制性条件。</w:t>
      </w:r>
    </w:p>
    <w:p w14:paraId="7F6B3471">
      <w:pPr>
        <w:pStyle w:val="4"/>
        <w:rPr>
          <w:rFonts w:hint="eastAsia" w:ascii="宋体" w:hAnsi="宋体" w:eastAsia="宋体" w:cs="宋体"/>
          <w:b w:val="0"/>
          <w:sz w:val="24"/>
          <w:szCs w:val="24"/>
          <w:highlight w:val="none"/>
        </w:rPr>
      </w:pPr>
      <w:bookmarkStart w:id="141" w:name="_Toc300834962"/>
      <w:bookmarkStart w:id="142" w:name="_Toc247527566"/>
      <w:bookmarkStart w:id="143" w:name="_Toc356469189"/>
      <w:bookmarkStart w:id="144" w:name="_Toc362816492"/>
      <w:bookmarkStart w:id="145" w:name="_Toc2881"/>
      <w:bookmarkStart w:id="146" w:name="_Toc247513965"/>
      <w:bookmarkStart w:id="147" w:name="_Toc357089523"/>
      <w:r>
        <w:rPr>
          <w:rFonts w:hint="eastAsia" w:ascii="宋体" w:hAnsi="宋体" w:eastAsia="宋体" w:cs="宋体"/>
          <w:b w:val="0"/>
          <w:sz w:val="24"/>
          <w:szCs w:val="24"/>
          <w:highlight w:val="none"/>
        </w:rPr>
        <w:t>1.12 偏离</w:t>
      </w:r>
      <w:bookmarkEnd w:id="141"/>
      <w:bookmarkEnd w:id="142"/>
      <w:bookmarkEnd w:id="143"/>
      <w:bookmarkEnd w:id="144"/>
      <w:bookmarkEnd w:id="145"/>
      <w:bookmarkEnd w:id="146"/>
      <w:bookmarkEnd w:id="147"/>
    </w:p>
    <w:p w14:paraId="4031CBEA">
      <w:pPr>
        <w:spacing w:line="400" w:lineRule="exact"/>
        <w:ind w:firstLine="359" w:firstLineChars="171"/>
        <w:rPr>
          <w:rFonts w:hint="eastAsia" w:ascii="宋体" w:hAnsi="宋体" w:cs="宋体"/>
          <w:highlight w:val="none"/>
        </w:rPr>
      </w:pPr>
      <w:r>
        <w:rPr>
          <w:rFonts w:hint="eastAsia" w:ascii="宋体" w:hAnsi="宋体" w:cs="宋体"/>
          <w:highlight w:val="none"/>
        </w:rPr>
        <w:t>1.12.1投标人须知前附表允许投标文件偏离招标文件某些要求的，偏离应当符合招标文件规定的偏离范围和幅度。</w:t>
      </w:r>
    </w:p>
    <w:p w14:paraId="1921AFF4">
      <w:pPr>
        <w:pStyle w:val="4"/>
        <w:rPr>
          <w:rFonts w:hint="eastAsia" w:ascii="宋体" w:hAnsi="宋体" w:eastAsia="宋体" w:cs="宋体"/>
          <w:highlight w:val="none"/>
        </w:rPr>
      </w:pPr>
      <w:bookmarkStart w:id="148" w:name="_Toc7215"/>
      <w:bookmarkStart w:id="149" w:name="_Toc357089524"/>
      <w:bookmarkStart w:id="150" w:name="_Toc144974510"/>
      <w:bookmarkStart w:id="151" w:name="_Toc247513966"/>
      <w:bookmarkStart w:id="152" w:name="_Toc152045542"/>
      <w:bookmarkStart w:id="153" w:name="_Toc505152688"/>
      <w:bookmarkStart w:id="154" w:name="_Toc480225649"/>
      <w:bookmarkStart w:id="155" w:name="_Toc300834963"/>
      <w:bookmarkStart w:id="156" w:name="_Toc247527567"/>
      <w:bookmarkStart w:id="157" w:name="_Toc443505823"/>
      <w:bookmarkStart w:id="158" w:name="_Toc362816493"/>
      <w:bookmarkStart w:id="159" w:name="_Toc152042318"/>
      <w:r>
        <w:rPr>
          <w:rFonts w:hint="eastAsia" w:ascii="宋体" w:hAnsi="宋体" w:eastAsia="宋体" w:cs="宋体"/>
          <w:highlight w:val="none"/>
        </w:rPr>
        <w:t>2. 招标文件</w:t>
      </w:r>
      <w:bookmarkEnd w:id="148"/>
      <w:bookmarkEnd w:id="149"/>
      <w:bookmarkEnd w:id="150"/>
      <w:bookmarkEnd w:id="151"/>
      <w:bookmarkEnd w:id="152"/>
      <w:bookmarkEnd w:id="153"/>
      <w:bookmarkEnd w:id="154"/>
      <w:bookmarkEnd w:id="155"/>
      <w:bookmarkEnd w:id="156"/>
      <w:bookmarkEnd w:id="157"/>
      <w:bookmarkEnd w:id="158"/>
      <w:bookmarkEnd w:id="159"/>
    </w:p>
    <w:p w14:paraId="1D4AB2DA">
      <w:pPr>
        <w:pStyle w:val="4"/>
        <w:rPr>
          <w:rFonts w:hint="eastAsia" w:ascii="宋体" w:hAnsi="宋体" w:eastAsia="宋体" w:cs="宋体"/>
          <w:b w:val="0"/>
          <w:sz w:val="24"/>
          <w:szCs w:val="24"/>
          <w:highlight w:val="none"/>
        </w:rPr>
      </w:pPr>
      <w:bookmarkStart w:id="160" w:name="_Toc362816494"/>
      <w:bookmarkStart w:id="161" w:name="_Toc152045543"/>
      <w:bookmarkStart w:id="162" w:name="_Toc357089525"/>
      <w:bookmarkStart w:id="163" w:name="_Toc247527568"/>
      <w:bookmarkStart w:id="164" w:name="_Toc23912"/>
      <w:bookmarkStart w:id="165" w:name="_Toc247513967"/>
      <w:bookmarkStart w:id="166" w:name="_Toc356469191"/>
      <w:bookmarkStart w:id="167" w:name="_Toc300834964"/>
      <w:bookmarkStart w:id="168" w:name="_Toc144974511"/>
      <w:bookmarkStart w:id="169" w:name="_Toc152042319"/>
      <w:r>
        <w:rPr>
          <w:rFonts w:hint="eastAsia" w:ascii="宋体" w:hAnsi="宋体" w:eastAsia="宋体" w:cs="宋体"/>
          <w:b w:val="0"/>
          <w:sz w:val="24"/>
          <w:szCs w:val="24"/>
          <w:highlight w:val="none"/>
        </w:rPr>
        <w:t>2.1 招标文件的组成</w:t>
      </w:r>
      <w:bookmarkEnd w:id="160"/>
      <w:bookmarkEnd w:id="161"/>
      <w:bookmarkEnd w:id="162"/>
      <w:bookmarkEnd w:id="163"/>
      <w:bookmarkEnd w:id="164"/>
      <w:bookmarkEnd w:id="165"/>
      <w:bookmarkEnd w:id="166"/>
      <w:bookmarkEnd w:id="167"/>
      <w:bookmarkEnd w:id="168"/>
      <w:bookmarkEnd w:id="169"/>
    </w:p>
    <w:p w14:paraId="074DE992">
      <w:pPr>
        <w:spacing w:line="400" w:lineRule="exact"/>
        <w:ind w:firstLine="359" w:firstLineChars="171"/>
        <w:rPr>
          <w:rFonts w:hint="eastAsia" w:ascii="宋体" w:hAnsi="宋体" w:cs="宋体"/>
          <w:highlight w:val="none"/>
        </w:rPr>
      </w:pPr>
      <w:r>
        <w:rPr>
          <w:rFonts w:hint="eastAsia" w:ascii="宋体" w:hAnsi="宋体" w:cs="宋体"/>
          <w:highlight w:val="none"/>
        </w:rPr>
        <w:t>2.1.1本招标文件包括：</w:t>
      </w:r>
    </w:p>
    <w:p w14:paraId="3EA7368E">
      <w:pPr>
        <w:spacing w:line="400" w:lineRule="exact"/>
        <w:ind w:firstLine="359" w:firstLineChars="171"/>
        <w:rPr>
          <w:rFonts w:hint="eastAsia" w:ascii="宋体" w:hAnsi="宋体" w:cs="宋体"/>
          <w:szCs w:val="24"/>
          <w:highlight w:val="none"/>
        </w:rPr>
      </w:pPr>
      <w:r>
        <w:rPr>
          <w:rFonts w:hint="eastAsia" w:ascii="宋体" w:hAnsi="宋体" w:cs="宋体"/>
          <w:szCs w:val="24"/>
          <w:highlight w:val="none"/>
        </w:rPr>
        <w:t>（1）招标公告（另册）；</w:t>
      </w:r>
    </w:p>
    <w:p w14:paraId="55DF24DF">
      <w:pPr>
        <w:spacing w:line="400" w:lineRule="exact"/>
        <w:ind w:firstLine="359" w:firstLineChars="171"/>
        <w:rPr>
          <w:rFonts w:hint="eastAsia" w:ascii="宋体" w:hAnsi="宋体" w:cs="宋体"/>
          <w:szCs w:val="24"/>
          <w:highlight w:val="none"/>
        </w:rPr>
      </w:pPr>
      <w:r>
        <w:rPr>
          <w:rFonts w:hint="eastAsia" w:ascii="宋体" w:hAnsi="宋体" w:cs="宋体"/>
          <w:szCs w:val="24"/>
          <w:highlight w:val="none"/>
        </w:rPr>
        <w:t>（2）投标人须知；</w:t>
      </w:r>
    </w:p>
    <w:p w14:paraId="0FBD3A89">
      <w:pPr>
        <w:spacing w:line="400" w:lineRule="exact"/>
        <w:ind w:firstLine="359" w:firstLineChars="171"/>
        <w:rPr>
          <w:rFonts w:hint="eastAsia" w:ascii="宋体" w:hAnsi="宋体" w:cs="宋体"/>
          <w:szCs w:val="24"/>
          <w:highlight w:val="none"/>
        </w:rPr>
      </w:pPr>
      <w:r>
        <w:rPr>
          <w:rFonts w:hint="eastAsia" w:ascii="宋体" w:hAnsi="宋体" w:cs="宋体"/>
          <w:szCs w:val="24"/>
          <w:highlight w:val="none"/>
        </w:rPr>
        <w:t>（3）评标办法；</w:t>
      </w:r>
    </w:p>
    <w:p w14:paraId="0FF483FB">
      <w:pPr>
        <w:spacing w:line="400" w:lineRule="exact"/>
        <w:ind w:firstLine="359" w:firstLineChars="171"/>
        <w:rPr>
          <w:rFonts w:hint="eastAsia" w:ascii="宋体" w:hAnsi="宋体" w:cs="宋体"/>
          <w:szCs w:val="24"/>
          <w:highlight w:val="none"/>
        </w:rPr>
      </w:pPr>
      <w:r>
        <w:rPr>
          <w:rFonts w:hint="eastAsia" w:ascii="宋体" w:hAnsi="宋体" w:cs="宋体"/>
          <w:szCs w:val="24"/>
          <w:highlight w:val="none"/>
        </w:rPr>
        <w:t>（4）合同条款及格式(另册)；</w:t>
      </w:r>
    </w:p>
    <w:p w14:paraId="5AE78DAC">
      <w:pPr>
        <w:spacing w:line="400" w:lineRule="exact"/>
        <w:ind w:firstLine="359" w:firstLineChars="171"/>
        <w:rPr>
          <w:rFonts w:hint="eastAsia" w:ascii="宋体" w:hAnsi="宋体" w:cs="宋体"/>
          <w:szCs w:val="24"/>
          <w:highlight w:val="none"/>
        </w:rPr>
      </w:pPr>
      <w:r>
        <w:rPr>
          <w:rFonts w:hint="eastAsia" w:ascii="宋体" w:hAnsi="宋体" w:cs="宋体"/>
          <w:szCs w:val="24"/>
          <w:highlight w:val="none"/>
        </w:rPr>
        <w:t>（5）发包人要求；</w:t>
      </w:r>
    </w:p>
    <w:p w14:paraId="623BDEB5">
      <w:pPr>
        <w:spacing w:line="400" w:lineRule="exact"/>
        <w:ind w:firstLine="359" w:firstLineChars="171"/>
        <w:rPr>
          <w:rFonts w:hint="eastAsia" w:ascii="宋体" w:hAnsi="宋体" w:cs="宋体"/>
          <w:szCs w:val="24"/>
          <w:highlight w:val="none"/>
        </w:rPr>
      </w:pPr>
      <w:r>
        <w:rPr>
          <w:rFonts w:hint="eastAsia" w:ascii="宋体" w:hAnsi="宋体" w:cs="宋体"/>
          <w:szCs w:val="24"/>
          <w:highlight w:val="none"/>
        </w:rPr>
        <w:t>（6）</w:t>
      </w:r>
      <w:r>
        <w:rPr>
          <w:rFonts w:hint="eastAsia"/>
          <w:highlight w:val="none"/>
        </w:rPr>
        <w:t>发包人提供的资料和条件</w:t>
      </w:r>
      <w:r>
        <w:rPr>
          <w:rFonts w:hint="eastAsia"/>
          <w:highlight w:val="none"/>
          <w:u w:val="single"/>
        </w:rPr>
        <w:t>（另册）</w:t>
      </w:r>
      <w:r>
        <w:rPr>
          <w:rFonts w:hint="eastAsia" w:ascii="宋体" w:hAnsi="宋体" w:cs="宋体"/>
          <w:szCs w:val="24"/>
          <w:highlight w:val="none"/>
        </w:rPr>
        <w:t>；</w:t>
      </w:r>
    </w:p>
    <w:p w14:paraId="0E421127">
      <w:pPr>
        <w:spacing w:line="400" w:lineRule="exact"/>
        <w:ind w:firstLine="359" w:firstLineChars="171"/>
        <w:rPr>
          <w:rFonts w:hint="eastAsia" w:ascii="宋体" w:hAnsi="宋体" w:cs="宋体"/>
          <w:szCs w:val="24"/>
          <w:highlight w:val="none"/>
        </w:rPr>
      </w:pPr>
      <w:r>
        <w:rPr>
          <w:rFonts w:hint="eastAsia" w:ascii="宋体" w:hAnsi="宋体" w:cs="宋体"/>
          <w:szCs w:val="24"/>
          <w:highlight w:val="none"/>
        </w:rPr>
        <w:t>（7）投标文件格式；</w:t>
      </w:r>
    </w:p>
    <w:p w14:paraId="7AEA676F">
      <w:pPr>
        <w:spacing w:line="400" w:lineRule="exact"/>
        <w:ind w:firstLine="359" w:firstLineChars="171"/>
        <w:rPr>
          <w:rFonts w:hint="eastAsia" w:ascii="宋体" w:hAnsi="宋体" w:cs="宋体"/>
          <w:szCs w:val="24"/>
          <w:highlight w:val="none"/>
        </w:rPr>
      </w:pPr>
      <w:r>
        <w:rPr>
          <w:rFonts w:hint="eastAsia" w:ascii="宋体" w:hAnsi="宋体" w:cs="宋体"/>
          <w:szCs w:val="24"/>
          <w:highlight w:val="none"/>
        </w:rPr>
        <w:t>（8）《投标人须知前附表》规定的其他资料。</w:t>
      </w:r>
    </w:p>
    <w:p w14:paraId="7EC0A358">
      <w:pPr>
        <w:spacing w:line="400" w:lineRule="exact"/>
        <w:ind w:firstLine="420" w:firstLineChars="200"/>
        <w:rPr>
          <w:rFonts w:hint="eastAsia" w:ascii="宋体" w:hAnsi="宋体" w:cs="宋体"/>
          <w:highlight w:val="none"/>
        </w:rPr>
      </w:pPr>
      <w:r>
        <w:rPr>
          <w:rFonts w:hint="eastAsia" w:ascii="宋体" w:hAnsi="宋体" w:cs="宋体"/>
          <w:highlight w:val="none"/>
        </w:rPr>
        <w:t>2.1.2根据本章第1.10款、第2.2款和第2.3款对招标文件所作的澄清、修改，发布并构成招标文件的组成部分。当招标文件的澄清、修改等在同一内容的表述不一致时，以最后发出的书面文件为准。</w:t>
      </w:r>
    </w:p>
    <w:p w14:paraId="1862854E">
      <w:pPr>
        <w:spacing w:line="400" w:lineRule="exact"/>
        <w:ind w:firstLine="420" w:firstLineChars="200"/>
        <w:rPr>
          <w:rFonts w:hint="eastAsia" w:ascii="宋体" w:hAnsi="宋体" w:cs="宋体"/>
          <w:highlight w:val="none"/>
          <w:u w:val="single"/>
        </w:rPr>
      </w:pPr>
      <w:r>
        <w:rPr>
          <w:rFonts w:hint="eastAsia" w:ascii="宋体" w:hAnsi="宋体" w:cs="宋体"/>
          <w:highlight w:val="none"/>
          <w:u w:val="single"/>
        </w:rPr>
        <w:t>2.1.3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销其不符合要求的差异或保留使之成为具有响应性的投标文件。</w:t>
      </w:r>
    </w:p>
    <w:p w14:paraId="3A5D9144">
      <w:pPr>
        <w:spacing w:line="400" w:lineRule="exact"/>
        <w:ind w:firstLine="420" w:firstLineChars="200"/>
        <w:rPr>
          <w:rFonts w:hint="eastAsia" w:ascii="宋体" w:hAnsi="宋体" w:cs="宋体"/>
          <w:highlight w:val="none"/>
          <w:u w:val="single"/>
        </w:rPr>
      </w:pPr>
      <w:r>
        <w:rPr>
          <w:rFonts w:hint="eastAsia" w:ascii="宋体" w:hAnsi="宋体" w:cs="宋体"/>
          <w:highlight w:val="none"/>
          <w:u w:val="single"/>
        </w:rPr>
        <w:t>2.1.4投标人一旦中标，招标文件的内容对招标人和中标人双方均有约束力。</w:t>
      </w:r>
    </w:p>
    <w:p w14:paraId="5D5CEA4C">
      <w:pPr>
        <w:spacing w:line="400" w:lineRule="exact"/>
        <w:ind w:firstLine="420" w:firstLineChars="200"/>
        <w:rPr>
          <w:rFonts w:hint="eastAsia" w:ascii="宋体" w:hAnsi="宋体" w:cs="宋体"/>
          <w:highlight w:val="none"/>
          <w:u w:val="single"/>
        </w:rPr>
      </w:pPr>
      <w:r>
        <w:rPr>
          <w:rFonts w:hint="eastAsia" w:ascii="宋体" w:hAnsi="宋体" w:cs="宋体"/>
          <w:highlight w:val="none"/>
          <w:u w:val="single"/>
        </w:rPr>
        <w:t>2.1.5发布招标公告的同时，通过广州交易集团有限公司（广州公共资源交易中心）网站发布电子招标文件、招标控制价。</w:t>
      </w:r>
    </w:p>
    <w:p w14:paraId="58B57507">
      <w:pPr>
        <w:spacing w:line="400" w:lineRule="exact"/>
        <w:ind w:firstLine="420" w:firstLineChars="200"/>
        <w:rPr>
          <w:rFonts w:hint="eastAsia" w:ascii="宋体" w:hAnsi="宋体" w:cs="宋体"/>
          <w:highlight w:val="none"/>
          <w:u w:val="single"/>
        </w:rPr>
      </w:pPr>
      <w:r>
        <w:rPr>
          <w:rFonts w:hint="eastAsia" w:ascii="宋体" w:hAnsi="宋体" w:cs="宋体"/>
          <w:highlight w:val="none"/>
          <w:u w:val="single"/>
        </w:rPr>
        <w:t>2.1.6招标文件一经在广州交易集团有限公司（广州公共资源交易中心）网站发布，视作已发放给所有投标人。</w:t>
      </w:r>
    </w:p>
    <w:p w14:paraId="305FB6BD">
      <w:pPr>
        <w:pStyle w:val="4"/>
        <w:rPr>
          <w:rFonts w:hint="eastAsia" w:ascii="宋体" w:hAnsi="宋体" w:eastAsia="宋体" w:cs="宋体"/>
          <w:b w:val="0"/>
          <w:sz w:val="24"/>
          <w:szCs w:val="24"/>
          <w:highlight w:val="none"/>
        </w:rPr>
      </w:pPr>
      <w:bookmarkStart w:id="170" w:name="_Toc152045544"/>
      <w:bookmarkStart w:id="171" w:name="_Toc362816495"/>
      <w:bookmarkStart w:id="172" w:name="_Toc357089526"/>
      <w:bookmarkStart w:id="173" w:name="_Toc247527569"/>
      <w:bookmarkStart w:id="174" w:name="_Toc300834965"/>
      <w:bookmarkStart w:id="175" w:name="_Toc144974512"/>
      <w:bookmarkStart w:id="176" w:name="_Toc247513968"/>
      <w:bookmarkStart w:id="177" w:name="_Toc29920"/>
      <w:bookmarkStart w:id="178" w:name="_Toc152042320"/>
      <w:bookmarkStart w:id="179" w:name="_Toc356469192"/>
      <w:r>
        <w:rPr>
          <w:rFonts w:hint="eastAsia" w:ascii="宋体" w:hAnsi="宋体" w:eastAsia="宋体" w:cs="宋体"/>
          <w:b w:val="0"/>
          <w:sz w:val="24"/>
          <w:szCs w:val="24"/>
          <w:highlight w:val="none"/>
        </w:rPr>
        <w:t>2.2 招标文件的澄清</w:t>
      </w:r>
      <w:bookmarkEnd w:id="170"/>
      <w:bookmarkEnd w:id="171"/>
      <w:bookmarkEnd w:id="172"/>
      <w:bookmarkEnd w:id="173"/>
      <w:bookmarkEnd w:id="174"/>
      <w:bookmarkEnd w:id="175"/>
      <w:bookmarkEnd w:id="176"/>
      <w:bookmarkEnd w:id="177"/>
      <w:bookmarkEnd w:id="178"/>
      <w:bookmarkEnd w:id="179"/>
    </w:p>
    <w:p w14:paraId="11C58A23">
      <w:pPr>
        <w:spacing w:line="40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2.2.1 投标人应仔细阅读和检查招标文件的全部内容。如发现缺页或附件不全，应及时向招标人提出，以便补齐。如有疑问，</w:t>
      </w:r>
      <w:r>
        <w:rPr>
          <w:rFonts w:hint="eastAsia" w:ascii="宋体" w:hAnsi="宋体" w:cs="宋体"/>
          <w:szCs w:val="21"/>
          <w:highlight w:val="none"/>
          <w:u w:val="single"/>
        </w:rPr>
        <w:t>可在规定的时间内通过广州交易集团有限公司（广州公共资源交易中心）网站进入提问区域将问题提交给招标人或招标代理人，</w:t>
      </w:r>
      <w:r>
        <w:rPr>
          <w:rFonts w:hint="eastAsia" w:ascii="宋体" w:hAnsi="宋体" w:cs="宋体"/>
          <w:highlight w:val="none"/>
          <w:u w:val="single"/>
        </w:rPr>
        <w:t>提交问题时一律不得署名</w:t>
      </w:r>
      <w:r>
        <w:rPr>
          <w:rFonts w:hint="eastAsia" w:ascii="宋体" w:hAnsi="宋体" w:cs="宋体"/>
          <w:szCs w:val="21"/>
          <w:highlight w:val="none"/>
          <w:u w:val="single"/>
        </w:rPr>
        <w:t>。</w:t>
      </w:r>
    </w:p>
    <w:p w14:paraId="54184FE7">
      <w:pPr>
        <w:spacing w:line="420" w:lineRule="exact"/>
        <w:ind w:firstLine="420" w:firstLineChars="200"/>
        <w:rPr>
          <w:rFonts w:hint="eastAsia" w:ascii="宋体" w:hAnsi="宋体" w:cs="宋体"/>
          <w:szCs w:val="21"/>
          <w:highlight w:val="none"/>
          <w:u w:val="single"/>
        </w:rPr>
      </w:pPr>
      <w:r>
        <w:rPr>
          <w:rFonts w:hint="eastAsia" w:ascii="宋体" w:hAnsi="宋体" w:cs="宋体"/>
          <w:szCs w:val="21"/>
          <w:highlight w:val="none"/>
          <w:u w:val="single"/>
        </w:rPr>
        <w:t>2.2.2招标人应在投标截止时间15日前解答投标人对招标文件提出的疑问，形成答疑纪要，在交易中心网站“项目答疑纪要”专区发布。</w:t>
      </w:r>
    </w:p>
    <w:p w14:paraId="23A7D80B">
      <w:pPr>
        <w:pStyle w:val="39"/>
        <w:spacing w:line="420" w:lineRule="exact"/>
        <w:ind w:firstLineChars="200"/>
        <w:rPr>
          <w:rFonts w:hint="eastAsia" w:ascii="宋体" w:hAnsi="宋体" w:cs="宋体"/>
          <w:szCs w:val="21"/>
          <w:highlight w:val="none"/>
          <w:u w:val="single"/>
        </w:rPr>
      </w:pPr>
      <w:r>
        <w:rPr>
          <w:rFonts w:hint="eastAsia" w:ascii="宋体" w:hAnsi="宋体" w:cs="宋体"/>
          <w:szCs w:val="21"/>
          <w:highlight w:val="none"/>
          <w:u w:val="single"/>
        </w:rPr>
        <w:t>2.2.3招标答疑纪要一经在广州交易集团有限公司（广州公共资源交易中心）网站发布，视作已发放给所有投标人。</w:t>
      </w:r>
    </w:p>
    <w:p w14:paraId="0B7A7572">
      <w:pPr>
        <w:pStyle w:val="39"/>
        <w:spacing w:line="420" w:lineRule="exact"/>
        <w:ind w:firstLineChars="200"/>
        <w:rPr>
          <w:rFonts w:hint="eastAsia" w:ascii="宋体" w:hAnsi="宋体" w:cs="宋体"/>
          <w:szCs w:val="21"/>
          <w:highlight w:val="none"/>
          <w:u w:val="single"/>
        </w:rPr>
      </w:pPr>
      <w:r>
        <w:rPr>
          <w:rFonts w:hint="eastAsia" w:ascii="宋体" w:hAnsi="宋体" w:cs="宋体"/>
          <w:szCs w:val="21"/>
          <w:highlight w:val="none"/>
          <w:u w:val="single"/>
        </w:rPr>
        <w:t>2.2.4招标答疑纪要为招标文件的一部分。投标人可在广州交易集团有限公司（广州公共资源交易中心）网站浏览、下载招标答疑纪要。</w:t>
      </w:r>
    </w:p>
    <w:p w14:paraId="15A74FCD">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u w:val="single"/>
        </w:rPr>
        <w:t>2.2.5若招标答疑纪要与招标文件有矛盾时，以广州交易集团有限公司（广州公共资源交易中心）网站最后发布的答疑纪要为准。</w:t>
      </w:r>
    </w:p>
    <w:p w14:paraId="729248FD">
      <w:pPr>
        <w:pStyle w:val="4"/>
        <w:rPr>
          <w:rFonts w:hint="eastAsia" w:ascii="宋体" w:hAnsi="宋体" w:eastAsia="宋体" w:cs="宋体"/>
          <w:b w:val="0"/>
          <w:sz w:val="24"/>
          <w:szCs w:val="24"/>
          <w:highlight w:val="none"/>
        </w:rPr>
      </w:pPr>
      <w:bookmarkStart w:id="180" w:name="_Toc144974513"/>
      <w:bookmarkStart w:id="181" w:name="_Toc152042321"/>
      <w:bookmarkStart w:id="182" w:name="_Toc357089527"/>
      <w:bookmarkStart w:id="183" w:name="_Toc247513969"/>
      <w:bookmarkStart w:id="184" w:name="_Toc152045545"/>
      <w:bookmarkStart w:id="185" w:name="_Toc14205"/>
      <w:bookmarkStart w:id="186" w:name="_Toc356469193"/>
      <w:bookmarkStart w:id="187" w:name="_Toc300834966"/>
      <w:bookmarkStart w:id="188" w:name="_Toc247527570"/>
      <w:bookmarkStart w:id="189" w:name="_Toc362816496"/>
      <w:r>
        <w:rPr>
          <w:rFonts w:hint="eastAsia" w:ascii="宋体" w:hAnsi="宋体" w:eastAsia="宋体" w:cs="宋体"/>
          <w:b w:val="0"/>
          <w:sz w:val="24"/>
          <w:szCs w:val="24"/>
          <w:highlight w:val="none"/>
        </w:rPr>
        <w:t>2.3 招标文件的修改</w:t>
      </w:r>
      <w:bookmarkEnd w:id="180"/>
      <w:bookmarkEnd w:id="181"/>
      <w:bookmarkEnd w:id="182"/>
      <w:bookmarkEnd w:id="183"/>
      <w:bookmarkEnd w:id="184"/>
      <w:bookmarkEnd w:id="185"/>
      <w:bookmarkEnd w:id="186"/>
      <w:bookmarkEnd w:id="187"/>
      <w:bookmarkEnd w:id="188"/>
      <w:bookmarkEnd w:id="189"/>
    </w:p>
    <w:p w14:paraId="15EC8935">
      <w:pPr>
        <w:pStyle w:val="39"/>
        <w:spacing w:line="420" w:lineRule="exact"/>
        <w:ind w:firstLineChars="200"/>
        <w:rPr>
          <w:rFonts w:hint="eastAsia" w:ascii="宋体" w:hAnsi="宋体" w:cs="宋体"/>
          <w:szCs w:val="21"/>
          <w:highlight w:val="none"/>
          <w:u w:val="single"/>
        </w:rPr>
      </w:pPr>
      <w:r>
        <w:rPr>
          <w:rFonts w:hint="eastAsia" w:ascii="宋体" w:hAnsi="宋体" w:cs="宋体"/>
          <w:szCs w:val="21"/>
          <w:highlight w:val="none"/>
          <w:u w:val="single"/>
        </w:rPr>
        <w:t>2.3.1招标文件发出后，在提交投标文件截止时间15日前，招标人可对招标文件进行必要的澄清或修改。</w:t>
      </w:r>
    </w:p>
    <w:p w14:paraId="6C004A4F">
      <w:pPr>
        <w:pStyle w:val="39"/>
        <w:spacing w:line="420" w:lineRule="exact"/>
        <w:ind w:left="-1" w:firstLineChars="200"/>
        <w:rPr>
          <w:rFonts w:hint="eastAsia" w:ascii="宋体" w:hAnsi="宋体" w:cs="宋体"/>
          <w:szCs w:val="21"/>
          <w:highlight w:val="none"/>
          <w:u w:val="single"/>
        </w:rPr>
      </w:pPr>
      <w:r>
        <w:rPr>
          <w:rFonts w:hint="eastAsia" w:ascii="宋体" w:hAnsi="宋体" w:cs="宋体"/>
          <w:szCs w:val="21"/>
          <w:highlight w:val="none"/>
          <w:u w:val="single"/>
        </w:rPr>
        <w:t>2.3.2招标文件的澄清或修改在广州交易集团有限公司（广州公共资源交易中心）网站发布。招标文件的澄清或修改一经在广州交易集团有限公司（广州公共资源交易中心）网站发布，视作已发放给所有投标人，招标文件的修改内容作为招标文件的组成部分，具有约束作用。</w:t>
      </w:r>
    </w:p>
    <w:p w14:paraId="4FB4BCF6">
      <w:pPr>
        <w:pStyle w:val="39"/>
        <w:spacing w:line="420" w:lineRule="exact"/>
        <w:ind w:firstLineChars="200"/>
        <w:rPr>
          <w:rFonts w:hint="eastAsia" w:ascii="宋体" w:hAnsi="宋体" w:cs="宋体"/>
          <w:szCs w:val="21"/>
          <w:highlight w:val="none"/>
          <w:u w:val="single"/>
        </w:rPr>
      </w:pPr>
      <w:r>
        <w:rPr>
          <w:rFonts w:hint="eastAsia" w:ascii="宋体" w:hAnsi="宋体" w:cs="宋体"/>
          <w:szCs w:val="21"/>
          <w:highlight w:val="none"/>
          <w:u w:val="single"/>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14:paraId="53CB0999">
      <w:pPr>
        <w:spacing w:line="400" w:lineRule="exact"/>
        <w:ind w:firstLine="420" w:firstLineChars="200"/>
        <w:rPr>
          <w:rFonts w:hint="eastAsia" w:ascii="宋体" w:hAnsi="宋体" w:cs="宋体"/>
          <w:szCs w:val="21"/>
          <w:highlight w:val="none"/>
          <w:u w:val="single"/>
        </w:rPr>
      </w:pPr>
      <w:r>
        <w:rPr>
          <w:rFonts w:hint="eastAsia" w:ascii="宋体" w:hAnsi="宋体" w:cs="宋体"/>
          <w:szCs w:val="21"/>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73E71211">
      <w:pPr>
        <w:keepNext/>
        <w:keepLines/>
        <w:spacing w:before="260" w:after="260" w:line="415" w:lineRule="auto"/>
        <w:outlineLvl w:val="1"/>
        <w:rPr>
          <w:rFonts w:hint="eastAsia" w:ascii="宋体" w:hAnsi="宋体" w:cs="宋体"/>
          <w:b/>
          <w:bCs/>
          <w:sz w:val="32"/>
          <w:szCs w:val="32"/>
          <w:highlight w:val="none"/>
        </w:rPr>
      </w:pPr>
      <w:r>
        <w:rPr>
          <w:rFonts w:hint="eastAsia" w:ascii="宋体" w:hAnsi="宋体" w:cs="宋体"/>
          <w:b/>
          <w:bCs/>
          <w:sz w:val="32"/>
          <w:szCs w:val="32"/>
          <w:highlight w:val="none"/>
        </w:rPr>
        <w:t xml:space="preserve">3.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宋体" w:hAnsi="宋体" w:cs="宋体"/>
          <w:b/>
          <w:bCs/>
          <w:sz w:val="28"/>
          <w:szCs w:val="28"/>
          <w:highlight w:val="none"/>
        </w:rPr>
        <w:t>投标文件</w:t>
      </w:r>
    </w:p>
    <w:p w14:paraId="14EE957E">
      <w:pPr>
        <w:pStyle w:val="4"/>
        <w:rPr>
          <w:rFonts w:hint="eastAsia" w:ascii="宋体" w:hAnsi="宋体" w:eastAsia="宋体" w:cs="宋体"/>
          <w:b w:val="0"/>
          <w:sz w:val="24"/>
          <w:szCs w:val="24"/>
          <w:highlight w:val="none"/>
        </w:rPr>
      </w:pPr>
      <w:bookmarkStart w:id="190" w:name="_Toc18769"/>
      <w:bookmarkStart w:id="191" w:name="_Toc485211056"/>
      <w:bookmarkStart w:id="192" w:name="_Toc31828"/>
      <w:bookmarkStart w:id="193" w:name="_Toc152042323"/>
      <w:bookmarkStart w:id="194" w:name="_Toc436834742"/>
      <w:bookmarkStart w:id="195" w:name="_Toc24046"/>
      <w:bookmarkStart w:id="196" w:name="_Toc19073"/>
      <w:bookmarkStart w:id="197" w:name="_Toc13959"/>
      <w:bookmarkStart w:id="198" w:name="_Toc10609"/>
      <w:bookmarkStart w:id="199" w:name="_Toc144974515"/>
      <w:bookmarkStart w:id="200" w:name="_Toc18043"/>
      <w:bookmarkStart w:id="201" w:name="_Toc247527572"/>
      <w:bookmarkStart w:id="202" w:name="_Toc152045547"/>
      <w:bookmarkStart w:id="203" w:name="_Toc384759593"/>
      <w:bookmarkStart w:id="204" w:name="_Toc16238"/>
      <w:bookmarkStart w:id="205" w:name="_Toc678"/>
      <w:bookmarkStart w:id="206" w:name="_Toc436834149"/>
      <w:bookmarkStart w:id="207" w:name="_Toc10975"/>
      <w:bookmarkStart w:id="208" w:name="_Toc247513971"/>
      <w:r>
        <w:rPr>
          <w:rFonts w:hint="eastAsia" w:ascii="宋体" w:hAnsi="宋体" w:eastAsia="宋体" w:cs="宋体"/>
          <w:b w:val="0"/>
          <w:sz w:val="24"/>
          <w:szCs w:val="24"/>
          <w:highlight w:val="none"/>
        </w:rPr>
        <w:t xml:space="preserve">3.1 </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Pr>
          <w:rFonts w:hint="eastAsia" w:ascii="宋体" w:hAnsi="宋体" w:eastAsia="宋体" w:cs="宋体"/>
          <w:b w:val="0"/>
          <w:sz w:val="24"/>
          <w:szCs w:val="24"/>
          <w:highlight w:val="none"/>
        </w:rPr>
        <w:t>投标文件的组成</w:t>
      </w:r>
    </w:p>
    <w:p w14:paraId="6018EB5E">
      <w:pPr>
        <w:spacing w:line="360" w:lineRule="auto"/>
        <w:ind w:firstLine="420" w:firstLineChars="200"/>
        <w:rPr>
          <w:rFonts w:hint="eastAsia" w:ascii="宋体" w:hAnsi="宋体" w:cs="宋体"/>
          <w:b/>
          <w:szCs w:val="21"/>
          <w:highlight w:val="none"/>
        </w:rPr>
      </w:pPr>
      <w:bookmarkStart w:id="209" w:name="_Toc13108"/>
      <w:bookmarkStart w:id="210" w:name="_Toc26143"/>
      <w:bookmarkStart w:id="211" w:name="_Toc30511"/>
      <w:bookmarkStart w:id="212" w:name="_Toc17206"/>
      <w:bookmarkStart w:id="213" w:name="_Toc12325"/>
      <w:bookmarkStart w:id="214" w:name="_Toc535"/>
      <w:r>
        <w:rPr>
          <w:rFonts w:hint="eastAsia" w:ascii="宋体" w:hAnsi="宋体" w:cs="宋体"/>
          <w:szCs w:val="21"/>
          <w:highlight w:val="none"/>
        </w:rPr>
        <w:t>3.1.1 投标文件由</w:t>
      </w:r>
      <w:r>
        <w:rPr>
          <w:rFonts w:hint="eastAsia" w:ascii="宋体" w:hAnsi="宋体" w:cs="宋体"/>
          <w:szCs w:val="21"/>
          <w:highlight w:val="none"/>
          <w:u w:val="single"/>
        </w:rPr>
        <w:t>工程总承包实施方案投标文件（含资格审查文件）、设计方案投标文件</w:t>
      </w:r>
      <w:r>
        <w:rPr>
          <w:rFonts w:hint="eastAsia" w:ascii="宋体" w:hAnsi="宋体" w:cs="宋体"/>
          <w:szCs w:val="21"/>
          <w:highlight w:val="none"/>
        </w:rPr>
        <w:t>两部分组成</w:t>
      </w:r>
      <w:r>
        <w:rPr>
          <w:rFonts w:hint="eastAsia" w:ascii="宋体" w:hAnsi="宋体" w:cs="宋体"/>
          <w:b/>
          <w:szCs w:val="21"/>
          <w:highlight w:val="none"/>
        </w:rPr>
        <w:t>，主要包括下列内容：</w:t>
      </w:r>
    </w:p>
    <w:p w14:paraId="73BA47BA">
      <w:pPr>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3.1.1.1工程总承包实施方案投标文件主要包括下列内容：</w:t>
      </w:r>
    </w:p>
    <w:p w14:paraId="5AB54A1E">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rPr>
        <w:t>（1）</w:t>
      </w:r>
      <w:r>
        <w:rPr>
          <w:rFonts w:hint="eastAsia" w:ascii="宋体" w:hAnsi="宋体" w:cs="宋体"/>
          <w:kern w:val="0"/>
          <w:szCs w:val="21"/>
          <w:highlight w:val="none"/>
          <w:u w:val="single"/>
        </w:rPr>
        <w:t>封面：写明项目名称、工程总承包实施方案投标文件、投标人单位及年月日；加盖投标人电子印章（联合体投标的，“投标人”一栏需书写所有联合体成员的单位全称，由主办方签署、盖章）；</w:t>
      </w:r>
    </w:p>
    <w:p w14:paraId="59420ECD">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w:t>
      </w:r>
      <w:r>
        <w:rPr>
          <w:rFonts w:hint="eastAsia" w:ascii="宋体" w:hAnsi="宋体" w:cs="宋体"/>
          <w:kern w:val="0"/>
          <w:szCs w:val="21"/>
          <w:highlight w:val="none"/>
          <w:u w:val="single"/>
        </w:rPr>
        <w:t>投标函（见招标文件第六章）</w:t>
      </w:r>
    </w:p>
    <w:p w14:paraId="58D61E8F">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rPr>
        <w:t>（3）</w:t>
      </w:r>
      <w:r>
        <w:rPr>
          <w:rFonts w:hint="eastAsia" w:ascii="宋体" w:hAnsi="宋体" w:cs="宋体"/>
          <w:kern w:val="0"/>
          <w:szCs w:val="21"/>
          <w:highlight w:val="none"/>
          <w:u w:val="single"/>
        </w:rPr>
        <w:t>投标承诺函（见招标文件第六章）；</w:t>
      </w:r>
    </w:p>
    <w:p w14:paraId="041CD1E4">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w:t>
      </w:r>
      <w:r>
        <w:rPr>
          <w:rFonts w:hint="eastAsia" w:ascii="宋体" w:hAnsi="宋体" w:cs="宋体"/>
          <w:kern w:val="0"/>
          <w:szCs w:val="21"/>
          <w:highlight w:val="none"/>
          <w:u w:val="single"/>
        </w:rPr>
        <w:t>投标书（见招标文件第六章）</w:t>
      </w:r>
      <w:r>
        <w:rPr>
          <w:rFonts w:hint="eastAsia" w:ascii="宋体" w:hAnsi="宋体" w:cs="宋体"/>
          <w:kern w:val="0"/>
          <w:szCs w:val="21"/>
          <w:highlight w:val="none"/>
        </w:rPr>
        <w:t>；</w:t>
      </w:r>
    </w:p>
    <w:p w14:paraId="3F174BA3">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rPr>
        <w:t>（5）</w:t>
      </w:r>
      <w:r>
        <w:rPr>
          <w:rFonts w:hint="eastAsia" w:ascii="宋体" w:hAnsi="宋体" w:cs="宋体"/>
          <w:kern w:val="0"/>
          <w:szCs w:val="21"/>
          <w:highlight w:val="none"/>
          <w:u w:val="single"/>
        </w:rPr>
        <w:t>资格审查文件：</w:t>
      </w:r>
    </w:p>
    <w:p w14:paraId="45B7AE49">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u w:val="single"/>
        </w:rPr>
        <w:t>1）按招标公告附件一盖章签署的《投标人声明》；</w:t>
      </w:r>
    </w:p>
    <w:p w14:paraId="1D0BD062">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u w:val="single"/>
        </w:rPr>
        <w:t>2）法定代表人证明书，如投标文件为委托代理人签署应同时附上法定代表人证明书和法定代表人授权书；（联合体投标的，由联合体主办方出具即可）；</w:t>
      </w:r>
    </w:p>
    <w:p w14:paraId="4848D642">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u w:val="single"/>
        </w:rPr>
        <w:t>3）企业营业执照扫描件或电子证照（联合体投标的，联合体各方均提供）；</w:t>
      </w:r>
    </w:p>
    <w:p w14:paraId="62F9B047">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u w:val="single"/>
        </w:rPr>
        <w:t>4）有效期内的企业资质证书扫描件或电子证照（联合体投标的，联合体各方均提供）；</w:t>
      </w:r>
    </w:p>
    <w:p w14:paraId="278DEFFA">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u w:val="single"/>
        </w:rPr>
        <w:t>5）建筑施工企业安全生产许可证扫描件或电子证照（联合体投标的，由联合体</w:t>
      </w:r>
      <w:r>
        <w:rPr>
          <w:rFonts w:hint="eastAsia" w:ascii="宋体" w:hAnsi="宋体" w:cs="宋体"/>
          <w:kern w:val="0"/>
          <w:szCs w:val="21"/>
          <w:highlight w:val="none"/>
          <w:u w:val="single"/>
          <w:lang w:val="en-US" w:eastAsia="zh-CN"/>
        </w:rPr>
        <w:t>施工</w:t>
      </w:r>
      <w:r>
        <w:rPr>
          <w:rFonts w:hint="eastAsia" w:ascii="宋体" w:hAnsi="宋体" w:cs="宋体"/>
          <w:kern w:val="0"/>
          <w:szCs w:val="21"/>
          <w:highlight w:val="none"/>
          <w:u w:val="single"/>
        </w:rPr>
        <w:t>方出具）；</w:t>
      </w:r>
    </w:p>
    <w:p w14:paraId="0D272F05">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u w:val="single"/>
        </w:rPr>
        <w:t>6）拟派的施工负责人（兼项目负责人）的建造师注册证书扫描件或电子证书（按网上投标登记时选择拟投标的项目负责人）（联合体投标的，由联合体主办方出具）；</w:t>
      </w:r>
    </w:p>
    <w:p w14:paraId="11A53394">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u w:val="single"/>
        </w:rPr>
        <w:t>7）设计负责人的注册执业资格证书扫描件或电子证书（以投标登记时选取的设计负责人为准）（若为联合体投标，由承担设计任务方提供）；</w:t>
      </w:r>
    </w:p>
    <w:p w14:paraId="402390C7">
      <w:pPr>
        <w:spacing w:line="360" w:lineRule="auto"/>
        <w:ind w:firstLine="420" w:firstLineChars="200"/>
        <w:rPr>
          <w:szCs w:val="21"/>
          <w:highlight w:val="none"/>
        </w:rPr>
      </w:pPr>
      <w:r>
        <w:rPr>
          <w:rFonts w:hint="eastAsia" w:ascii="宋体" w:hAnsi="宋体" w:cs="宋体"/>
          <w:kern w:val="0"/>
          <w:szCs w:val="21"/>
          <w:highlight w:val="none"/>
          <w:u w:val="single"/>
        </w:rPr>
        <w:t>8）技术负责人的职称证书扫描件或电子证书（若为联合体投标，由联合体</w:t>
      </w:r>
      <w:r>
        <w:rPr>
          <w:rFonts w:hint="eastAsia" w:ascii="宋体" w:hAnsi="宋体" w:cs="宋体"/>
          <w:kern w:val="0"/>
          <w:szCs w:val="21"/>
          <w:highlight w:val="none"/>
          <w:u w:val="single"/>
          <w:lang w:val="en-US" w:eastAsia="zh-CN"/>
        </w:rPr>
        <w:t>施工</w:t>
      </w:r>
      <w:r>
        <w:rPr>
          <w:rFonts w:hint="eastAsia" w:ascii="宋体" w:hAnsi="宋体" w:cs="宋体"/>
          <w:kern w:val="0"/>
          <w:szCs w:val="21"/>
          <w:highlight w:val="none"/>
          <w:u w:val="single"/>
        </w:rPr>
        <w:t>方出具）；</w:t>
      </w:r>
    </w:p>
    <w:p w14:paraId="34E1805D">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u w:val="single"/>
        </w:rPr>
        <w:t>9）项目负责人持有在有效期内的安全生产考核合格证（B类）或建筑施工企业项目负责人安全生产考核合格证书扫描件或电子证书；（联合体投标的，由联合体主办方出具）；</w:t>
      </w:r>
    </w:p>
    <w:p w14:paraId="4025D585">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u w:val="single"/>
        </w:rPr>
        <w:t>10）专职安全员须具有在有效期内的安全生产考核合格证（C类）或建筑施工企业专职安全生产管理人员安全生产考核合格证书（C3）扫描件或电子证书（按投标登记时选择拟派专职安全员）。项目负责人与安全员不为同一人；（联合体投标的，由联合体</w:t>
      </w:r>
      <w:r>
        <w:rPr>
          <w:rFonts w:hint="eastAsia" w:ascii="宋体" w:hAnsi="宋体" w:cs="宋体"/>
          <w:kern w:val="0"/>
          <w:szCs w:val="21"/>
          <w:highlight w:val="none"/>
          <w:u w:val="single"/>
          <w:lang w:val="en-US" w:eastAsia="zh-CN"/>
        </w:rPr>
        <w:t>施工</w:t>
      </w:r>
      <w:r>
        <w:rPr>
          <w:rFonts w:hint="eastAsia" w:ascii="宋体" w:hAnsi="宋体" w:cs="宋体"/>
          <w:kern w:val="0"/>
          <w:szCs w:val="21"/>
          <w:highlight w:val="none"/>
          <w:u w:val="single"/>
        </w:rPr>
        <w:t>方出具）；</w:t>
      </w:r>
    </w:p>
    <w:p w14:paraId="0197FA28">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u w:val="single"/>
        </w:rPr>
        <w:t>11）列明主办单位的联合体投标协议书（格式见招标公告附件，采用联合体投标时需递交，投标人拟任本工程项目负责人应为联合体主办方信用档案中的在册人员，联合体投标协议书应明确约定各方拟承担的工作和责任）；</w:t>
      </w:r>
    </w:p>
    <w:p w14:paraId="15E0FFE4">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u w:val="single"/>
        </w:rPr>
        <w:t>12）投标人未被列入拖欠农民工工资失信联合惩戒对象名单；（投标人无需提供资料，按投标截止时间交易系统比对的结果进行评审）；</w:t>
      </w:r>
    </w:p>
    <w:p w14:paraId="1CF151AF">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u w:val="single"/>
        </w:rPr>
        <w:t>13）资格审查要求的其他文件（如有）。</w:t>
      </w:r>
    </w:p>
    <w:p w14:paraId="2D5AFDB8">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u w:val="single"/>
        </w:rPr>
        <w:t>注：①相关电子证书按规定需打印后手写本人签名的，应按照规定手写本人签名后再扫描提交。</w:t>
      </w:r>
    </w:p>
    <w:p w14:paraId="3BD20A36">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u w:val="single"/>
        </w:rPr>
        <w:t>②投标人在投标登记时选择了登记企业、拟投入本项目的项目负责人、专职安全员、设计负责人，即已满足“资格审查前，投标人（若为联合体投标，指联合体各方）须在广州市住建行业信用管理平台建立企业信用档案及拟担任本工程项目负责人、专职安全员、设计负责人须是本企业信用档案中的在册人员”的要求，投标人无需提供证明材料。</w:t>
      </w:r>
    </w:p>
    <w:p w14:paraId="730AD354">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rPr>
        <w:t>（6）</w:t>
      </w:r>
      <w:r>
        <w:rPr>
          <w:rFonts w:hint="eastAsia" w:ascii="宋体" w:hAnsi="宋体" w:cs="宋体"/>
          <w:kern w:val="0"/>
          <w:szCs w:val="21"/>
          <w:highlight w:val="none"/>
          <w:u w:val="single"/>
        </w:rPr>
        <w:t>工程总承包实施方案；</w:t>
      </w:r>
    </w:p>
    <w:p w14:paraId="51801BFF">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u w:val="single"/>
        </w:rPr>
        <w:t>投标人在编制工程总承包实施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10622672">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（7）</w:t>
      </w:r>
      <w:r>
        <w:rPr>
          <w:rFonts w:hint="eastAsia" w:ascii="宋体" w:hAnsi="宋体" w:cs="宋体"/>
          <w:szCs w:val="21"/>
          <w:highlight w:val="none"/>
          <w:u w:val="single"/>
        </w:rPr>
        <w:t>投标文件编制人员名单</w:t>
      </w:r>
      <w:r>
        <w:rPr>
          <w:rFonts w:hint="eastAsia" w:ascii="宋体" w:hAnsi="宋体" w:cs="宋体"/>
          <w:kern w:val="0"/>
          <w:szCs w:val="21"/>
          <w:highlight w:val="none"/>
          <w:u w:val="single"/>
        </w:rPr>
        <w:t>（见招标文件第六章）；</w:t>
      </w:r>
    </w:p>
    <w:p w14:paraId="3F9468C7">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u w:val="single"/>
        </w:rPr>
        <w:t>（8）投标人认为需要提交的其他资料。</w:t>
      </w:r>
    </w:p>
    <w:p w14:paraId="5FB5173E">
      <w:pPr>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3.1.1.2 设计方案投标文件主要包括下列内容（采用“暗标”形式）:</w:t>
      </w:r>
    </w:p>
    <w:p w14:paraId="682F81A2">
      <w:pPr>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u w:val="single"/>
        </w:rPr>
        <w:t>设计方案中不得出现可以辨认投标人及专业技术人员身份的名称、印章、商标、图形等记认符号。设计方案投标文件不超过200页。</w:t>
      </w:r>
    </w:p>
    <w:p w14:paraId="4C9A8484">
      <w:pPr>
        <w:spacing w:line="360" w:lineRule="auto"/>
        <w:ind w:firstLine="422" w:firstLineChars="200"/>
        <w:rPr>
          <w:rFonts w:hint="eastAsia" w:ascii="宋体" w:hAnsi="宋体" w:cs="宋体"/>
          <w:b/>
          <w:bCs/>
          <w:kern w:val="0"/>
          <w:szCs w:val="21"/>
          <w:highlight w:val="none"/>
          <w:u w:val="single"/>
        </w:rPr>
      </w:pPr>
      <w:r>
        <w:rPr>
          <w:rFonts w:hint="eastAsia" w:ascii="宋体" w:hAnsi="宋体" w:cs="宋体"/>
          <w:b/>
          <w:bCs/>
          <w:kern w:val="0"/>
          <w:szCs w:val="21"/>
          <w:highlight w:val="none"/>
          <w:u w:val="single"/>
        </w:rPr>
        <w:t>内容包括：</w:t>
      </w:r>
    </w:p>
    <w:p w14:paraId="2A66AF90">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u w:val="single"/>
        </w:rPr>
        <w:t>（1）封面：封面白底黑字，标明项目名称、“设计方案文件”字样、编制时间。</w:t>
      </w:r>
    </w:p>
    <w:p w14:paraId="5A595084">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u w:val="single"/>
        </w:rPr>
        <w:t>（2）目录。</w:t>
      </w:r>
    </w:p>
    <w:p w14:paraId="21DE6E4A">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u w:val="single"/>
        </w:rPr>
        <w:t>（3）总体设计方案：</w:t>
      </w:r>
    </w:p>
    <w:p w14:paraId="3CACFF09">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u w:val="single"/>
        </w:rPr>
        <w:t>A、方案设计说明书；</w:t>
      </w:r>
    </w:p>
    <w:p w14:paraId="68979F9F">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u w:val="single"/>
        </w:rPr>
        <w:t>B、所设计区域的平面布置图；</w:t>
      </w:r>
    </w:p>
    <w:p w14:paraId="5B45BC52">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u w:val="single"/>
        </w:rPr>
        <w:t>C、所设计区域的各部位效果图。</w:t>
      </w:r>
    </w:p>
    <w:p w14:paraId="7D6CEE5A">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u w:val="single"/>
        </w:rPr>
        <w:t>(4）其他与设计有关的材料。</w:t>
      </w:r>
    </w:p>
    <w:p w14:paraId="0A6A9C1E">
      <w:pPr>
        <w:keepNext/>
        <w:keepLines/>
        <w:spacing w:before="260" w:after="260" w:line="415" w:lineRule="auto"/>
        <w:ind w:firstLine="137" w:firstLineChars="49"/>
        <w:outlineLvl w:val="2"/>
        <w:rPr>
          <w:rFonts w:hint="eastAsia" w:ascii="宋体" w:hAnsi="宋体" w:cs="宋体"/>
          <w:bCs/>
          <w:sz w:val="24"/>
          <w:szCs w:val="28"/>
          <w:highlight w:val="none"/>
        </w:rPr>
      </w:pPr>
      <w:r>
        <w:rPr>
          <w:rFonts w:hint="eastAsia" w:ascii="宋体" w:hAnsi="宋体" w:cs="宋体"/>
          <w:bCs/>
          <w:sz w:val="28"/>
          <w:szCs w:val="28"/>
          <w:highlight w:val="none"/>
        </w:rPr>
        <w:t>3.2 投标报价</w:t>
      </w:r>
      <w:bookmarkEnd w:id="209"/>
      <w:bookmarkEnd w:id="210"/>
      <w:bookmarkEnd w:id="211"/>
      <w:bookmarkEnd w:id="212"/>
      <w:bookmarkEnd w:id="213"/>
      <w:bookmarkEnd w:id="214"/>
    </w:p>
    <w:p w14:paraId="30853140">
      <w:pPr>
        <w:spacing w:line="400" w:lineRule="exact"/>
        <w:ind w:firstLine="420" w:firstLineChars="200"/>
        <w:rPr>
          <w:rFonts w:hint="eastAsia" w:ascii="宋体" w:hAnsi="宋体" w:cs="宋体"/>
          <w:szCs w:val="24"/>
          <w:highlight w:val="none"/>
        </w:rPr>
      </w:pPr>
      <w:bookmarkStart w:id="215" w:name="_Toc92"/>
      <w:bookmarkStart w:id="216" w:name="_Toc12966"/>
      <w:bookmarkStart w:id="217" w:name="_Toc8042"/>
      <w:bookmarkStart w:id="218" w:name="_Toc436834743"/>
      <w:bookmarkStart w:id="219" w:name="_Toc152042324"/>
      <w:bookmarkStart w:id="220" w:name="_Toc436834150"/>
      <w:bookmarkStart w:id="221" w:name="_Toc19364"/>
      <w:bookmarkStart w:id="222" w:name="_Toc485211057"/>
      <w:bookmarkStart w:id="223" w:name="_Toc247527573"/>
      <w:bookmarkStart w:id="224" w:name="_Toc32164"/>
      <w:bookmarkStart w:id="225" w:name="_Toc300834969"/>
      <w:bookmarkStart w:id="226" w:name="_Toc152045548"/>
      <w:bookmarkStart w:id="227" w:name="_Toc247513972"/>
      <w:bookmarkStart w:id="228" w:name="_Toc399165392"/>
      <w:bookmarkStart w:id="229" w:name="_Toc6661"/>
      <w:bookmarkStart w:id="230" w:name="_Toc144974516"/>
      <w:bookmarkStart w:id="231" w:name="_Toc8600"/>
      <w:r>
        <w:rPr>
          <w:rFonts w:hint="eastAsia" w:ascii="宋体" w:hAnsi="宋体" w:cs="宋体"/>
          <w:szCs w:val="24"/>
          <w:highlight w:val="none"/>
        </w:rPr>
        <w:t>3.2.1 本工程的投标报价按照3.2.3.2项所规定的方式。</w:t>
      </w:r>
    </w:p>
    <w:p w14:paraId="3E4B2814">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3.2.2 投标人应充分了解施工场地的</w:t>
      </w:r>
      <w:r>
        <w:rPr>
          <w:rFonts w:ascii="宋体" w:hAnsi="宋体" w:cs="宋体"/>
          <w:szCs w:val="24"/>
          <w:highlight w:val="none"/>
        </w:rPr>
        <w:t>位置、周边</w:t>
      </w:r>
      <w:r>
        <w:rPr>
          <w:rFonts w:hint="eastAsia" w:ascii="宋体" w:hAnsi="宋体" w:cs="宋体"/>
          <w:szCs w:val="24"/>
          <w:highlight w:val="none"/>
        </w:rPr>
        <w:t>环境</w:t>
      </w:r>
      <w:r>
        <w:rPr>
          <w:rFonts w:ascii="宋体" w:hAnsi="宋体" w:cs="宋体"/>
          <w:szCs w:val="24"/>
          <w:highlight w:val="none"/>
        </w:rPr>
        <w:t>、道路、装卸、保管、安装限制</w:t>
      </w:r>
      <w:r>
        <w:rPr>
          <w:rFonts w:hint="eastAsia" w:ascii="宋体" w:hAnsi="宋体" w:cs="宋体"/>
          <w:szCs w:val="24"/>
          <w:highlight w:val="none"/>
        </w:rPr>
        <w:t>以</w:t>
      </w:r>
      <w:r>
        <w:rPr>
          <w:rFonts w:ascii="宋体" w:hAnsi="宋体" w:cs="宋体"/>
          <w:szCs w:val="24"/>
          <w:highlight w:val="none"/>
        </w:rPr>
        <w:t>及影响</w:t>
      </w:r>
      <w:r>
        <w:rPr>
          <w:rFonts w:hint="eastAsia" w:ascii="宋体" w:hAnsi="宋体" w:cs="宋体"/>
          <w:szCs w:val="24"/>
          <w:highlight w:val="none"/>
        </w:rPr>
        <w:t>投标报价的其他要素。投标人</w:t>
      </w:r>
      <w:r>
        <w:rPr>
          <w:rFonts w:ascii="宋体" w:hAnsi="宋体" w:cs="宋体"/>
          <w:szCs w:val="24"/>
          <w:highlight w:val="none"/>
        </w:rPr>
        <w:t>根据</w:t>
      </w:r>
      <w:r>
        <w:rPr>
          <w:rFonts w:hint="eastAsia" w:ascii="宋体" w:hAnsi="宋体" w:cs="宋体"/>
          <w:szCs w:val="24"/>
          <w:highlight w:val="none"/>
        </w:rPr>
        <w:t>投标</w:t>
      </w:r>
      <w:r>
        <w:rPr>
          <w:rFonts w:ascii="宋体" w:hAnsi="宋体" w:cs="宋体"/>
          <w:szCs w:val="24"/>
          <w:highlight w:val="none"/>
        </w:rPr>
        <w:t>设计</w:t>
      </w:r>
      <w:r>
        <w:rPr>
          <w:rFonts w:hint="eastAsia" w:ascii="宋体" w:hAnsi="宋体" w:cs="宋体"/>
          <w:szCs w:val="24"/>
          <w:highlight w:val="none"/>
        </w:rPr>
        <w:t>，结合</w:t>
      </w:r>
      <w:r>
        <w:rPr>
          <w:rFonts w:ascii="宋体" w:hAnsi="宋体" w:cs="宋体"/>
          <w:szCs w:val="24"/>
          <w:highlight w:val="none"/>
        </w:rPr>
        <w:t>市场情况进行投标报价。</w:t>
      </w:r>
    </w:p>
    <w:p w14:paraId="2660D8BD">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3.2.3 招标人设有最高投标限价的，投标人的投标报价不得超过招标控制价。详见投标人须知前附表。</w:t>
      </w:r>
    </w:p>
    <w:p w14:paraId="49744ACE">
      <w:pPr>
        <w:spacing w:line="400" w:lineRule="exact"/>
        <w:ind w:firstLine="420" w:firstLineChars="200"/>
        <w:rPr>
          <w:rFonts w:ascii="宋体"/>
          <w:szCs w:val="21"/>
          <w:highlight w:val="none"/>
          <w:u w:val="single"/>
        </w:rPr>
      </w:pPr>
      <w:r>
        <w:rPr>
          <w:rFonts w:hint="eastAsia" w:ascii="宋体"/>
          <w:szCs w:val="21"/>
          <w:highlight w:val="none"/>
          <w:u w:val="single"/>
        </w:rPr>
        <w:t>3.2.3.1招标人按照招标需求制定招标控制价（最高投标限价）。此处的招标控制价（最高投标限价）有两层含义，①</w:t>
      </w:r>
      <w:r>
        <w:rPr>
          <w:rFonts w:hint="eastAsia" w:ascii="宋体"/>
          <w:b/>
          <w:bCs/>
          <w:szCs w:val="21"/>
          <w:highlight w:val="none"/>
          <w:u w:val="single"/>
        </w:rPr>
        <w:t>招标控制（最高投标限价）总价</w:t>
      </w:r>
      <w:r>
        <w:rPr>
          <w:rFonts w:hint="eastAsia" w:ascii="宋体"/>
          <w:szCs w:val="21"/>
          <w:highlight w:val="none"/>
          <w:u w:val="single"/>
        </w:rPr>
        <w:t>，②</w:t>
      </w:r>
      <w:r>
        <w:rPr>
          <w:rFonts w:hint="eastAsia" w:ascii="宋体" w:cs="宋体"/>
          <w:b/>
          <w:bCs/>
          <w:szCs w:val="21"/>
          <w:highlight w:val="none"/>
          <w:u w:val="single"/>
        </w:rPr>
        <w:t>设计费最高投标限价</w:t>
      </w:r>
      <w:r>
        <w:rPr>
          <w:rFonts w:hint="eastAsia" w:ascii="宋体"/>
          <w:b/>
          <w:bCs/>
          <w:szCs w:val="21"/>
          <w:highlight w:val="none"/>
          <w:u w:val="single"/>
        </w:rPr>
        <w:t>、</w:t>
      </w:r>
      <w:r>
        <w:rPr>
          <w:rFonts w:hint="eastAsia" w:ascii="宋体" w:cs="宋体"/>
          <w:b/>
          <w:bCs/>
          <w:szCs w:val="21"/>
          <w:highlight w:val="none"/>
          <w:u w:val="single"/>
        </w:rPr>
        <w:t>建安工程费最高投标限价</w:t>
      </w:r>
      <w:r>
        <w:rPr>
          <w:rFonts w:hint="eastAsia" w:ascii="宋体"/>
          <w:szCs w:val="21"/>
          <w:highlight w:val="none"/>
          <w:u w:val="single"/>
        </w:rPr>
        <w:t>。投标人按照招标文件要求的内容自行报价。</w:t>
      </w:r>
    </w:p>
    <w:p w14:paraId="0838A2F6">
      <w:pPr>
        <w:spacing w:line="400" w:lineRule="exact"/>
        <w:ind w:firstLine="420" w:firstLineChars="200"/>
        <w:rPr>
          <w:rFonts w:ascii="宋体"/>
          <w:szCs w:val="21"/>
          <w:highlight w:val="none"/>
          <w:u w:val="single"/>
        </w:rPr>
      </w:pPr>
      <w:r>
        <w:rPr>
          <w:rFonts w:hint="eastAsia" w:ascii="宋体"/>
          <w:szCs w:val="21"/>
          <w:highlight w:val="none"/>
          <w:u w:val="single"/>
        </w:rPr>
        <w:t>3.2.3.1.1每一项费用只允许有一个报价，任何有选择的报价或未填报单价的投标文件将不予接受。</w:t>
      </w:r>
    </w:p>
    <w:p w14:paraId="1662F803">
      <w:pPr>
        <w:spacing w:line="400" w:lineRule="exact"/>
        <w:ind w:firstLine="420" w:firstLineChars="200"/>
        <w:rPr>
          <w:rFonts w:ascii="宋体"/>
          <w:szCs w:val="21"/>
          <w:highlight w:val="none"/>
        </w:rPr>
      </w:pPr>
      <w:r>
        <w:rPr>
          <w:rFonts w:hint="eastAsia" w:ascii="宋体"/>
          <w:szCs w:val="21"/>
          <w:highlight w:val="none"/>
          <w:u w:val="single"/>
        </w:rPr>
        <w:t>3.2.3.2投标人的投标总报价，包括设计费报价和建安工程费报价。投标人应按照投标人须知前附表第 1.3.2 项的工期要求，在投标人须知前附表第 1.1.5 项的建设地点，完成投标人须知前附表第 1.3.1项的招标范围列明工作的全部费用，包括但不限于完成全部设计、建安工程施工工作的成本、利润、税金、技术措施费、大型机械进出场费、风险费以及政策性文件规定的费用等，不得以任何理由予以重复计算。</w:t>
      </w:r>
    </w:p>
    <w:p w14:paraId="3CDD3C17">
      <w:pPr>
        <w:spacing w:line="360" w:lineRule="auto"/>
        <w:ind w:firstLine="420" w:firstLineChars="200"/>
        <w:rPr>
          <w:szCs w:val="21"/>
          <w:highlight w:val="none"/>
        </w:rPr>
      </w:pPr>
      <w:r>
        <w:rPr>
          <w:rFonts w:hint="eastAsia" w:ascii="宋体"/>
          <w:szCs w:val="21"/>
          <w:highlight w:val="none"/>
        </w:rPr>
        <w:t>3.2.4 投标报价的其他要求见投标人须知前附表。</w:t>
      </w:r>
    </w:p>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14:paraId="611BF484">
      <w:pPr>
        <w:keepNext/>
        <w:keepLines/>
        <w:spacing w:before="260" w:after="260" w:line="415" w:lineRule="auto"/>
        <w:ind w:firstLine="137" w:firstLineChars="49"/>
        <w:outlineLvl w:val="2"/>
        <w:rPr>
          <w:rFonts w:hint="eastAsia" w:ascii="宋体" w:hAnsi="宋体" w:cs="宋体"/>
          <w:bCs/>
          <w:sz w:val="28"/>
          <w:szCs w:val="28"/>
          <w:highlight w:val="none"/>
        </w:rPr>
      </w:pPr>
      <w:bookmarkStart w:id="232" w:name="_Toc15039"/>
      <w:bookmarkStart w:id="233" w:name="_Toc436834151"/>
      <w:bookmarkStart w:id="234" w:name="_Toc4826"/>
      <w:bookmarkStart w:id="235" w:name="_Toc300834970"/>
      <w:bookmarkStart w:id="236" w:name="_Toc485211058"/>
      <w:bookmarkStart w:id="237" w:name="_Toc152045549"/>
      <w:bookmarkStart w:id="238" w:name="_Toc247527574"/>
      <w:bookmarkStart w:id="239" w:name="_Toc152042325"/>
      <w:bookmarkStart w:id="240" w:name="_Toc13869"/>
      <w:bookmarkStart w:id="241" w:name="_Toc247513973"/>
      <w:bookmarkStart w:id="242" w:name="_Toc30468"/>
      <w:bookmarkStart w:id="243" w:name="_Toc13045"/>
      <w:bookmarkStart w:id="244" w:name="_Toc10475"/>
      <w:bookmarkStart w:id="245" w:name="_Toc31054"/>
      <w:bookmarkStart w:id="246" w:name="_Toc436834744"/>
      <w:bookmarkStart w:id="247" w:name="_Toc399165393"/>
      <w:bookmarkStart w:id="248" w:name="_Toc9785"/>
      <w:bookmarkStart w:id="249" w:name="_Toc22871"/>
      <w:bookmarkStart w:id="250" w:name="_Toc144974517"/>
      <w:bookmarkStart w:id="251" w:name="_Toc9600"/>
      <w:r>
        <w:rPr>
          <w:rFonts w:hint="eastAsia" w:ascii="宋体" w:hAnsi="宋体" w:cs="宋体"/>
          <w:bCs/>
          <w:sz w:val="28"/>
          <w:szCs w:val="28"/>
          <w:highlight w:val="none"/>
        </w:rPr>
        <w:t>3.3 投标有效期</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46E918CE">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3.3.1投标有效期按须知前附表的规定。</w:t>
      </w:r>
    </w:p>
    <w:p w14:paraId="4A7351DC">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3.3.2 在投标有效期内，投标人撤销或修改其投标文件的，应承担招标文件和法律规定的责任。</w:t>
      </w:r>
    </w:p>
    <w:p w14:paraId="32BAEB49">
      <w:pPr>
        <w:spacing w:line="400" w:lineRule="exact"/>
        <w:ind w:firstLine="420" w:firstLineChars="200"/>
        <w:rPr>
          <w:rFonts w:hint="eastAsia" w:ascii="宋体" w:hAnsi="宋体" w:cs="宋体"/>
          <w:szCs w:val="24"/>
          <w:highlight w:val="none"/>
          <w:u w:val="single"/>
        </w:rPr>
      </w:pPr>
      <w:r>
        <w:rPr>
          <w:rFonts w:hint="eastAsia" w:ascii="宋体" w:hAnsi="宋体" w:cs="宋体"/>
          <w:szCs w:val="24"/>
          <w:highlight w:val="none"/>
        </w:rPr>
        <w:t xml:space="preserve">3.3.3 </w:t>
      </w:r>
      <w:r>
        <w:rPr>
          <w:rFonts w:hint="eastAsia" w:ascii="宋体" w:hAnsi="宋体" w:cs="宋体"/>
          <w:szCs w:val="24"/>
          <w:highlight w:val="none"/>
          <w:u w:val="single"/>
        </w:rPr>
        <w:t>出现特殊情况需要延长投标有效期的，招标人以书面形式通知所有投标人延长投标有效期。但不得要求或被允许修改或撤销其投标文件；投标人拒绝延长的，其投标失效。</w:t>
      </w:r>
    </w:p>
    <w:p w14:paraId="124DFAE4">
      <w:pPr>
        <w:keepNext/>
        <w:keepLines/>
        <w:spacing w:before="260" w:after="260" w:line="415" w:lineRule="auto"/>
        <w:ind w:firstLine="137" w:firstLineChars="49"/>
        <w:outlineLvl w:val="2"/>
        <w:rPr>
          <w:rFonts w:hint="eastAsia" w:ascii="宋体" w:hAnsi="宋体" w:cs="宋体"/>
          <w:bCs/>
          <w:sz w:val="28"/>
          <w:szCs w:val="28"/>
          <w:highlight w:val="none"/>
        </w:rPr>
      </w:pPr>
      <w:bookmarkStart w:id="252" w:name="_Toc485211059"/>
      <w:bookmarkStart w:id="253" w:name="_Toc680"/>
      <w:bookmarkStart w:id="254" w:name="_Toc247527575"/>
      <w:bookmarkStart w:id="255" w:name="_Toc144974518"/>
      <w:bookmarkStart w:id="256" w:name="_Toc399165394"/>
      <w:bookmarkStart w:id="257" w:name="_Toc13638"/>
      <w:bookmarkStart w:id="258" w:name="_Toc26430"/>
      <w:bookmarkStart w:id="259" w:name="_Toc31634"/>
      <w:bookmarkStart w:id="260" w:name="_Toc436834745"/>
      <w:bookmarkStart w:id="261" w:name="_Toc6160"/>
      <w:bookmarkStart w:id="262" w:name="_Toc152042326"/>
      <w:bookmarkStart w:id="263" w:name="_Toc26267"/>
      <w:bookmarkStart w:id="264" w:name="_Toc5853"/>
      <w:bookmarkStart w:id="265" w:name="_Toc13048"/>
      <w:bookmarkStart w:id="266" w:name="_Toc300834971"/>
      <w:bookmarkStart w:id="267" w:name="_Toc21972"/>
      <w:bookmarkStart w:id="268" w:name="_Toc436834152"/>
      <w:bookmarkStart w:id="269" w:name="_Toc152045550"/>
      <w:bookmarkStart w:id="270" w:name="_Toc11120"/>
      <w:bookmarkStart w:id="271" w:name="_Toc247513974"/>
      <w:r>
        <w:rPr>
          <w:rFonts w:hint="eastAsia" w:ascii="宋体" w:hAnsi="宋体" w:cs="宋体"/>
          <w:bCs/>
          <w:sz w:val="28"/>
          <w:szCs w:val="28"/>
          <w:highlight w:val="none"/>
        </w:rPr>
        <w:t>3.4 投标担保</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34CB34BF">
      <w:pPr>
        <w:spacing w:line="360" w:lineRule="auto"/>
        <w:ind w:firstLine="420" w:firstLineChars="200"/>
        <w:rPr>
          <w:rFonts w:hint="eastAsia" w:ascii="宋体" w:hAnsi="宋体" w:cs="宋体"/>
          <w:szCs w:val="21"/>
          <w:highlight w:val="none"/>
        </w:rPr>
      </w:pPr>
      <w:bookmarkStart w:id="272" w:name="_Toc16018"/>
      <w:bookmarkStart w:id="273" w:name="_Toc3053"/>
      <w:bookmarkStart w:id="274" w:name="_Toc5399"/>
      <w:bookmarkStart w:id="275" w:name="_Toc152042327"/>
      <w:bookmarkStart w:id="276" w:name="_Toc10212"/>
      <w:bookmarkStart w:id="277" w:name="_Toc300834972"/>
      <w:bookmarkStart w:id="278" w:name="_Toc29352"/>
      <w:bookmarkStart w:id="279" w:name="_Toc399165395"/>
      <w:bookmarkStart w:id="280" w:name="_Toc436834746"/>
      <w:bookmarkStart w:id="281" w:name="_Toc20469"/>
      <w:bookmarkStart w:id="282" w:name="_Toc26980"/>
      <w:bookmarkStart w:id="283" w:name="_Toc432"/>
      <w:bookmarkStart w:id="284" w:name="_Toc485211060"/>
      <w:bookmarkStart w:id="285" w:name="_Toc22700"/>
      <w:bookmarkStart w:id="286" w:name="_Toc24641"/>
      <w:bookmarkStart w:id="287" w:name="_Toc247527576"/>
      <w:bookmarkStart w:id="288" w:name="_Toc247513975"/>
      <w:bookmarkStart w:id="289" w:name="_Toc436834153"/>
      <w:bookmarkStart w:id="290" w:name="_Toc152045551"/>
      <w:bookmarkStart w:id="291" w:name="_Toc144974519"/>
      <w:r>
        <w:rPr>
          <w:rFonts w:hint="eastAsia" w:ascii="宋体" w:hAnsi="宋体" w:cs="宋体"/>
          <w:szCs w:val="21"/>
          <w:highlight w:val="none"/>
        </w:rPr>
        <w:t>3.4.1 投标人在递交投标文件的同时，应按投标人须知前附表规定的金额、担保形式递交投标担保，并作为其投标文件的组成部分。联合体投标的，其投标担保由主办方递交，并应符合投标人须知前附表的规定。</w:t>
      </w:r>
    </w:p>
    <w:p w14:paraId="755ACEB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3.4.2 投标人不按本章第3.4.1项要求提交投标担保的，不参与资格审查和评标。</w:t>
      </w:r>
    </w:p>
    <w:p w14:paraId="23970CD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3.4.3未中标的投标担保将尽快退还，最迟不超过招标人与中标人签订合同后的5日。中标人的投标担保，在签署合同并按要求提供了履约担保后5日内予以退还。</w:t>
      </w:r>
    </w:p>
    <w:p w14:paraId="3C931B0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3.4.4有下列情形之一的，投标担保将不予退还： </w:t>
      </w:r>
    </w:p>
    <w:p w14:paraId="6C8185F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（1）投标人在规定的投标有效期内撤销或修改其投标文件；</w:t>
      </w:r>
    </w:p>
    <w:p w14:paraId="3130DC6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（2）投标人提供了虚假的证明材料；</w:t>
      </w:r>
    </w:p>
    <w:p w14:paraId="455FF00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（3）中标候选人放弃中标；</w:t>
      </w:r>
    </w:p>
    <w:p w14:paraId="1A79960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（4）中标人在收到中标通知书后，无正当理由拒签合同或未按招标文件规定提交履约担保。</w:t>
      </w:r>
    </w:p>
    <w:p w14:paraId="26D6EFF0">
      <w:pPr>
        <w:keepNext/>
        <w:keepLines/>
        <w:spacing w:before="260" w:after="260" w:line="415" w:lineRule="auto"/>
        <w:ind w:firstLine="137" w:firstLineChars="49"/>
        <w:outlineLvl w:val="2"/>
        <w:rPr>
          <w:rFonts w:hint="eastAsia" w:ascii="宋体" w:hAnsi="宋体" w:cs="宋体"/>
          <w:bCs/>
          <w:sz w:val="28"/>
          <w:szCs w:val="28"/>
          <w:highlight w:val="none"/>
        </w:rPr>
      </w:pPr>
      <w:r>
        <w:rPr>
          <w:rFonts w:hint="eastAsia" w:ascii="宋体" w:hAnsi="宋体" w:cs="宋体"/>
          <w:bCs/>
          <w:sz w:val="28"/>
          <w:szCs w:val="28"/>
          <w:highlight w:val="none"/>
        </w:rPr>
        <w:t>3.5 资格审查资料</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0984511">
      <w:pPr>
        <w:spacing w:line="400" w:lineRule="exact"/>
        <w:ind w:firstLine="420" w:firstLineChars="200"/>
        <w:rPr>
          <w:rFonts w:hint="eastAsia" w:ascii="宋体" w:hAnsi="宋体" w:cs="宋体"/>
          <w:szCs w:val="24"/>
          <w:highlight w:val="none"/>
          <w:u w:val="single"/>
        </w:rPr>
      </w:pPr>
      <w:r>
        <w:rPr>
          <w:rFonts w:hint="eastAsia" w:ascii="宋体" w:hAnsi="宋体" w:cs="宋体"/>
          <w:szCs w:val="24"/>
          <w:highlight w:val="none"/>
          <w:u w:val="single"/>
        </w:rPr>
        <w:t>采用电子化资格后审</w:t>
      </w:r>
      <w:bookmarkStart w:id="292" w:name="_Toc357089532"/>
      <w:bookmarkStart w:id="293" w:name="_Toc356469198"/>
      <w:bookmarkStart w:id="294" w:name="_Toc439240619"/>
      <w:bookmarkStart w:id="295" w:name="_Toc439246018"/>
      <w:r>
        <w:rPr>
          <w:rFonts w:hint="eastAsia" w:ascii="宋体" w:hAnsi="宋体" w:cs="宋体"/>
          <w:szCs w:val="24"/>
          <w:highlight w:val="none"/>
          <w:u w:val="single"/>
        </w:rPr>
        <w:t>，由评标委员会负</w:t>
      </w:r>
      <w:bookmarkEnd w:id="292"/>
      <w:bookmarkEnd w:id="293"/>
      <w:bookmarkEnd w:id="294"/>
      <w:bookmarkEnd w:id="295"/>
      <w:r>
        <w:rPr>
          <w:rFonts w:hint="eastAsia" w:ascii="宋体" w:hAnsi="宋体" w:cs="宋体"/>
          <w:szCs w:val="24"/>
          <w:highlight w:val="none"/>
          <w:u w:val="single"/>
        </w:rPr>
        <w:t>责对投标人的资格进行审查，评标时只对通过资格审查的投标人进行下一阶段的评审。</w:t>
      </w:r>
    </w:p>
    <w:p w14:paraId="500847D5">
      <w:pPr>
        <w:spacing w:line="400" w:lineRule="exact"/>
        <w:ind w:firstLine="420" w:firstLineChars="200"/>
        <w:rPr>
          <w:rFonts w:hint="eastAsia" w:ascii="宋体" w:hAnsi="宋体" w:cs="宋体"/>
          <w:szCs w:val="24"/>
          <w:highlight w:val="none"/>
          <w:u w:val="single"/>
        </w:rPr>
      </w:pPr>
      <w:r>
        <w:rPr>
          <w:rFonts w:hint="eastAsia" w:ascii="宋体" w:hAnsi="宋体" w:cs="宋体"/>
          <w:szCs w:val="24"/>
          <w:highlight w:val="none"/>
          <w:u w:val="single"/>
        </w:rPr>
        <w:t>资审合格后，投标人的资格发生变化而不满足投标人合格条件，在发出中标通知书前，资格问题仍未解决的，招标人将取消其中标资格。</w:t>
      </w:r>
    </w:p>
    <w:p w14:paraId="161F32CF">
      <w:pPr>
        <w:keepNext/>
        <w:keepLines/>
        <w:spacing w:before="260" w:after="260" w:line="415" w:lineRule="auto"/>
        <w:ind w:firstLine="137" w:firstLineChars="49"/>
        <w:outlineLvl w:val="2"/>
        <w:rPr>
          <w:rFonts w:hint="eastAsia" w:ascii="宋体" w:hAnsi="宋体" w:cs="宋体"/>
          <w:bCs/>
          <w:sz w:val="28"/>
          <w:szCs w:val="28"/>
          <w:highlight w:val="none"/>
        </w:rPr>
      </w:pPr>
      <w:bookmarkStart w:id="296" w:name="_Toc152042329"/>
      <w:bookmarkStart w:id="297" w:name="_Toc247513977"/>
      <w:bookmarkStart w:id="298" w:name="_Toc7912"/>
      <w:bookmarkStart w:id="299" w:name="_Toc436834747"/>
      <w:bookmarkStart w:id="300" w:name="_Toc152045553"/>
      <w:bookmarkStart w:id="301" w:name="_Toc15173"/>
      <w:bookmarkStart w:id="302" w:name="_Toc16473"/>
      <w:bookmarkStart w:id="303" w:name="_Toc247527578"/>
      <w:bookmarkStart w:id="304" w:name="_Toc485211061"/>
      <w:bookmarkStart w:id="305" w:name="_Toc399165396"/>
      <w:bookmarkStart w:id="306" w:name="_Toc30313"/>
      <w:bookmarkStart w:id="307" w:name="_Toc300834974"/>
      <w:bookmarkStart w:id="308" w:name="_Toc436834154"/>
      <w:bookmarkStart w:id="309" w:name="_Toc19287"/>
      <w:bookmarkStart w:id="310" w:name="_Toc20485"/>
      <w:bookmarkStart w:id="311" w:name="_Toc14964"/>
      <w:bookmarkStart w:id="312" w:name="_Toc144974521"/>
      <w:bookmarkStart w:id="313" w:name="_Toc27106"/>
      <w:bookmarkStart w:id="314" w:name="_Toc19123"/>
      <w:bookmarkStart w:id="315" w:name="_Toc21267"/>
      <w:r>
        <w:rPr>
          <w:rFonts w:hint="eastAsia" w:ascii="宋体" w:hAnsi="宋体" w:cs="宋体"/>
          <w:bCs/>
          <w:sz w:val="28"/>
          <w:szCs w:val="28"/>
          <w:highlight w:val="none"/>
        </w:rPr>
        <w:t>3.6 备选投标方案</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653346B3">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除《投标人须知前附表》另有规定外，投标人不得递交备选投标方案。</w:t>
      </w:r>
    </w:p>
    <w:p w14:paraId="2903154D">
      <w:pPr>
        <w:spacing w:line="400" w:lineRule="exact"/>
        <w:ind w:firstLine="420" w:firstLineChars="200"/>
        <w:rPr>
          <w:rFonts w:hint="eastAsia" w:ascii="宋体" w:hAnsi="宋体" w:cs="宋体"/>
          <w:szCs w:val="24"/>
          <w:highlight w:val="none"/>
        </w:rPr>
      </w:pPr>
      <w:bookmarkStart w:id="316" w:name="_Toc19858"/>
      <w:bookmarkStart w:id="317" w:name="_Toc28735"/>
      <w:bookmarkStart w:id="318" w:name="_Toc10840"/>
      <w:bookmarkStart w:id="319" w:name="_Toc300834975"/>
      <w:bookmarkStart w:id="320" w:name="_Toc152042330"/>
      <w:bookmarkStart w:id="321" w:name="_Toc436834748"/>
      <w:bookmarkStart w:id="322" w:name="_Toc144974522"/>
      <w:bookmarkStart w:id="323" w:name="_Toc891"/>
      <w:bookmarkStart w:id="324" w:name="_Toc485211062"/>
      <w:bookmarkStart w:id="325" w:name="_Toc436834155"/>
      <w:bookmarkStart w:id="326" w:name="_Toc247513978"/>
      <w:bookmarkStart w:id="327" w:name="_Toc18853"/>
      <w:bookmarkStart w:id="328" w:name="_Toc247527579"/>
      <w:bookmarkStart w:id="329" w:name="_Toc399165397"/>
      <w:bookmarkStart w:id="330" w:name="_Toc9691"/>
      <w:bookmarkStart w:id="331" w:name="_Toc19573"/>
      <w:bookmarkStart w:id="332" w:name="_Toc12905"/>
      <w:bookmarkStart w:id="333" w:name="_Toc152045554"/>
    </w:p>
    <w:p w14:paraId="169D881E">
      <w:pPr>
        <w:keepNext/>
        <w:keepLines/>
        <w:spacing w:before="260" w:after="260" w:line="415" w:lineRule="auto"/>
        <w:ind w:firstLine="137" w:firstLineChars="49"/>
        <w:outlineLvl w:val="2"/>
        <w:rPr>
          <w:rFonts w:hint="eastAsia" w:ascii="宋体" w:hAnsi="宋体" w:cs="宋体"/>
          <w:bCs/>
          <w:sz w:val="28"/>
          <w:szCs w:val="28"/>
          <w:highlight w:val="none"/>
        </w:rPr>
      </w:pPr>
      <w:bookmarkStart w:id="334" w:name="_Toc21558"/>
      <w:bookmarkStart w:id="335" w:name="_Toc30912"/>
      <w:r>
        <w:rPr>
          <w:rFonts w:hint="eastAsia" w:ascii="宋体" w:hAnsi="宋体" w:cs="宋体"/>
          <w:bCs/>
          <w:sz w:val="28"/>
          <w:szCs w:val="28"/>
          <w:highlight w:val="none"/>
        </w:rPr>
        <w:t>3.7 投标文件的编制</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0E7D38C2">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 xml:space="preserve">3.7.1 </w:t>
      </w:r>
      <w:r>
        <w:rPr>
          <w:rFonts w:hint="eastAsia" w:ascii="宋体" w:hAnsi="宋体" w:cs="宋体"/>
          <w:szCs w:val="24"/>
          <w:highlight w:val="none"/>
          <w:u w:val="single"/>
        </w:rPr>
        <w:t>招标文件第六章“投标文件格式”有提供格式要求的，投标文件应按其进行编写并加盖电子签章</w:t>
      </w:r>
      <w:r>
        <w:rPr>
          <w:rFonts w:hint="eastAsia" w:ascii="宋体" w:hAnsi="宋体" w:cs="宋体"/>
          <w:szCs w:val="24"/>
          <w:highlight w:val="none"/>
        </w:rPr>
        <w:t>，如有必要，可以增加附页，作为投标文件的组成部分。其中，投标书在满足招标文件实质性要求的基础上，可以提出比招标文件要求更有利于招标人的承诺。</w:t>
      </w:r>
    </w:p>
    <w:p w14:paraId="7BA61237">
      <w:pPr>
        <w:spacing w:line="400" w:lineRule="exact"/>
        <w:ind w:firstLine="420" w:firstLineChars="200"/>
        <w:rPr>
          <w:rFonts w:hint="eastAsia" w:ascii="宋体" w:hAnsi="宋体" w:cs="宋体"/>
          <w:szCs w:val="21"/>
          <w:highlight w:val="none"/>
        </w:rPr>
      </w:pPr>
      <w:r>
        <w:rPr>
          <w:rFonts w:hint="eastAsia" w:ascii="宋体" w:hAnsi="宋体" w:cs="宋体"/>
          <w:szCs w:val="24"/>
          <w:highlight w:val="none"/>
        </w:rPr>
        <w:t>3.7.2 投标文件应当对招标文件有关</w:t>
      </w:r>
      <w:r>
        <w:rPr>
          <w:rFonts w:hint="eastAsia" w:ascii="宋体" w:hAnsi="宋体" w:cs="宋体"/>
          <w:szCs w:val="21"/>
          <w:highlight w:val="none"/>
        </w:rPr>
        <w:t>招标范围、投标有效期、工期、质量标准、发包人要求等实质性内容作出响应。</w:t>
      </w:r>
    </w:p>
    <w:p w14:paraId="4CFA2488">
      <w:pPr>
        <w:spacing w:line="336" w:lineRule="auto"/>
        <w:ind w:firstLine="480"/>
        <w:rPr>
          <w:highlight w:val="none"/>
        </w:rPr>
      </w:pPr>
      <w:r>
        <w:rPr>
          <w:rFonts w:hint="eastAsia" w:ascii="宋体" w:hAnsi="宋体" w:cs="宋体"/>
          <w:szCs w:val="24"/>
          <w:highlight w:val="none"/>
        </w:rPr>
        <w:t>3.7.3投标文件编制要求：</w:t>
      </w:r>
      <w:r>
        <w:rPr>
          <w:rFonts w:hint="eastAsia"/>
          <w:b/>
          <w:highlight w:val="none"/>
          <w:u w:val="single"/>
        </w:rPr>
        <w:t>设计方案文件要求按本须知第3.1.1.2款的要求；</w:t>
      </w:r>
      <w:r>
        <w:rPr>
          <w:rFonts w:hint="eastAsia"/>
          <w:bCs/>
          <w:highlight w:val="none"/>
          <w:u w:val="single"/>
        </w:rPr>
        <w:t>其余资料</w:t>
      </w:r>
      <w:r>
        <w:rPr>
          <w:rFonts w:hint="eastAsia"/>
          <w:highlight w:val="none"/>
          <w:u w:val="single"/>
        </w:rPr>
        <w:t>投标人采用单位数字证书，按招标文件要求在相应位置加盖电子印章。取消在招标文件中采用个人数字证书和加盖个人电子印章的要求，投标文件中需个人签字或盖章的，应</w:t>
      </w:r>
      <w:r>
        <w:rPr>
          <w:rFonts w:hint="eastAsia" w:hAnsi="宋体"/>
          <w:bCs/>
          <w:highlight w:val="none"/>
          <w:u w:val="single"/>
        </w:rPr>
        <w:t>加盖个人电子印章或</w:t>
      </w:r>
      <w:r>
        <w:rPr>
          <w:rFonts w:hint="eastAsia"/>
          <w:highlight w:val="none"/>
          <w:u w:val="single"/>
        </w:rPr>
        <w:t>在线下完成后扫描上传。按照广州交易集团有限公司（广州公共资源交易中心）网站最新发布的《房屋建筑和市政基础设施工程全流程电子化项目专章》进行操作；</w:t>
      </w:r>
    </w:p>
    <w:p w14:paraId="3FEBB3C6">
      <w:pPr>
        <w:spacing w:line="400" w:lineRule="exact"/>
        <w:ind w:firstLine="420" w:firstLineChars="200"/>
        <w:rPr>
          <w:rFonts w:hint="eastAsia" w:ascii="宋体" w:hAnsi="宋体" w:cs="宋体"/>
          <w:sz w:val="24"/>
          <w:highlight w:val="none"/>
          <w:u w:val="single"/>
        </w:rPr>
      </w:pPr>
      <w:r>
        <w:rPr>
          <w:rFonts w:hint="eastAsia"/>
          <w:highlight w:val="none"/>
          <w:u w:val="single"/>
        </w:rPr>
        <w:t>联合体投标的，除投标文件中的联合体投标协议书、投标人声明需联合体各方按要求盖章、签字外，法定代表人证明书及授权委托证明书可由联合体主办方出具，投标文件其他内容中的“投标人”等，应填写联合体各方的单位全称[格式表示为：(主)XXXX公司(成)XXXX公司…]，但由主办方盖章、签字即可。</w:t>
      </w:r>
    </w:p>
    <w:p w14:paraId="745203DF">
      <w:pPr>
        <w:spacing w:line="400" w:lineRule="exact"/>
        <w:ind w:firstLine="420" w:firstLineChars="200"/>
        <w:rPr>
          <w:rFonts w:hint="eastAsia" w:ascii="宋体" w:hAnsi="宋体" w:cs="宋体"/>
          <w:szCs w:val="24"/>
          <w:highlight w:val="none"/>
        </w:rPr>
      </w:pPr>
      <w:bookmarkStart w:id="336" w:name="_Toc485211063"/>
      <w:bookmarkStart w:id="337" w:name="_Toc436834749"/>
      <w:bookmarkStart w:id="338" w:name="_Toc247513979"/>
      <w:bookmarkStart w:id="339" w:name="_Toc19642"/>
      <w:bookmarkStart w:id="340" w:name="_Toc22778"/>
      <w:bookmarkStart w:id="341" w:name="_Toc152042331"/>
      <w:bookmarkStart w:id="342" w:name="_Toc436834156"/>
      <w:bookmarkStart w:id="343" w:name="_Toc18915"/>
      <w:bookmarkStart w:id="344" w:name="_Toc247527580"/>
      <w:bookmarkStart w:id="345" w:name="_Toc5356"/>
      <w:bookmarkStart w:id="346" w:name="_Toc18477"/>
      <w:bookmarkStart w:id="347" w:name="_Toc8135"/>
      <w:bookmarkStart w:id="348" w:name="_Toc144974523"/>
      <w:bookmarkStart w:id="349" w:name="_Toc152045555"/>
      <w:bookmarkStart w:id="350" w:name="_Toc384759600"/>
      <w:bookmarkStart w:id="351" w:name="_Toc8014"/>
      <w:bookmarkStart w:id="352" w:name="_Toc19013"/>
      <w:bookmarkStart w:id="353" w:name="_Toc144974525"/>
      <w:bookmarkStart w:id="354" w:name="_Toc399165400"/>
      <w:bookmarkStart w:id="355" w:name="_Toc247527582"/>
      <w:bookmarkStart w:id="356" w:name="_Toc300834978"/>
      <w:bookmarkStart w:id="357" w:name="_Toc247513981"/>
      <w:bookmarkStart w:id="358" w:name="_Toc152042333"/>
      <w:bookmarkStart w:id="359" w:name="_Toc152045557"/>
    </w:p>
    <w:p w14:paraId="472F8433">
      <w:pPr>
        <w:keepNext/>
        <w:keepLines/>
        <w:spacing w:before="260" w:after="260" w:line="415" w:lineRule="auto"/>
        <w:outlineLvl w:val="1"/>
        <w:rPr>
          <w:rFonts w:hint="eastAsia" w:ascii="宋体" w:hAnsi="宋体" w:cs="宋体"/>
          <w:b/>
          <w:bCs/>
          <w:sz w:val="32"/>
          <w:szCs w:val="32"/>
          <w:highlight w:val="none"/>
        </w:rPr>
      </w:pPr>
      <w:bookmarkStart w:id="360" w:name="_Toc14461"/>
      <w:bookmarkStart w:id="361" w:name="_Toc4201"/>
      <w:r>
        <w:rPr>
          <w:rFonts w:hint="eastAsia" w:ascii="宋体" w:hAnsi="宋体" w:cs="宋体"/>
          <w:b/>
          <w:bCs/>
          <w:sz w:val="32"/>
          <w:szCs w:val="32"/>
          <w:highlight w:val="none"/>
        </w:rPr>
        <w:t>4. 投标</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60"/>
      <w:bookmarkEnd w:id="361"/>
    </w:p>
    <w:p w14:paraId="6963B4D2">
      <w:pPr>
        <w:keepNext/>
        <w:keepLines/>
        <w:spacing w:before="260" w:after="260" w:line="415" w:lineRule="auto"/>
        <w:ind w:firstLine="137" w:firstLineChars="49"/>
        <w:outlineLvl w:val="2"/>
        <w:rPr>
          <w:rFonts w:hint="eastAsia" w:ascii="宋体" w:hAnsi="宋体" w:cs="宋体"/>
          <w:bCs/>
          <w:sz w:val="28"/>
          <w:szCs w:val="28"/>
          <w:highlight w:val="none"/>
        </w:rPr>
      </w:pPr>
      <w:bookmarkStart w:id="362" w:name="_Toc152042332"/>
      <w:bookmarkStart w:id="363" w:name="_Toc247527581"/>
      <w:bookmarkStart w:id="364" w:name="_Toc485211064"/>
      <w:bookmarkStart w:id="365" w:name="_Toc28008"/>
      <w:bookmarkStart w:id="366" w:name="_Toc144974524"/>
      <w:bookmarkStart w:id="367" w:name="_Toc25808"/>
      <w:bookmarkStart w:id="368" w:name="_Toc384759601"/>
      <w:bookmarkStart w:id="369" w:name="_Toc28266"/>
      <w:bookmarkStart w:id="370" w:name="_Toc436834750"/>
      <w:bookmarkStart w:id="371" w:name="_Toc247513980"/>
      <w:bookmarkStart w:id="372" w:name="_Toc26252"/>
      <w:bookmarkStart w:id="373" w:name="_Toc32403"/>
      <w:bookmarkStart w:id="374" w:name="_Toc14380"/>
      <w:bookmarkStart w:id="375" w:name="_Toc152045556"/>
      <w:bookmarkStart w:id="376" w:name="_Toc26110"/>
      <w:bookmarkStart w:id="377" w:name="_Toc12356"/>
      <w:bookmarkStart w:id="378" w:name="_Toc8390"/>
      <w:bookmarkStart w:id="379" w:name="_Toc436834157"/>
      <w:bookmarkStart w:id="380" w:name="_Toc21175"/>
      <w:r>
        <w:rPr>
          <w:rFonts w:hint="eastAsia" w:ascii="宋体" w:hAnsi="宋体" w:cs="宋体"/>
          <w:bCs/>
          <w:sz w:val="28"/>
          <w:szCs w:val="28"/>
          <w:highlight w:val="none"/>
        </w:rPr>
        <w:t>4.1 投标文件的密封和标记</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393152CB">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4.1.1投标人应当按照招标文件和电子招标投标交易平台的要求加密投标文件，具体操作详见《房屋建筑和市政基础设施工程全流程电子化项目专章》；</w:t>
      </w:r>
    </w:p>
    <w:p w14:paraId="4885B51D">
      <w:pPr>
        <w:spacing w:line="400" w:lineRule="exact"/>
        <w:ind w:firstLine="420" w:firstLineChars="200"/>
        <w:rPr>
          <w:rFonts w:hint="eastAsia" w:ascii="宋体" w:hAnsi="宋体" w:cs="宋体"/>
          <w:highlight w:val="none"/>
        </w:rPr>
      </w:pPr>
      <w:r>
        <w:rPr>
          <w:rFonts w:hint="eastAsia" w:ascii="宋体" w:hAnsi="宋体" w:cs="宋体"/>
          <w:highlight w:val="none"/>
        </w:rPr>
        <w:t>4.1.2 投标文件电子备用光盘或U盘应进行包装、加贴封条，并在封套的封口处加盖投标人单位公章。</w:t>
      </w:r>
    </w:p>
    <w:p w14:paraId="43E02CAB">
      <w:pPr>
        <w:spacing w:line="400" w:lineRule="exact"/>
        <w:ind w:firstLine="420" w:firstLineChars="200"/>
        <w:rPr>
          <w:rFonts w:hint="eastAsia" w:ascii="宋体" w:hAnsi="宋体" w:cs="宋体"/>
          <w:highlight w:val="none"/>
        </w:rPr>
      </w:pPr>
      <w:r>
        <w:rPr>
          <w:rFonts w:hint="eastAsia" w:ascii="宋体" w:hAnsi="宋体" w:cs="宋体"/>
          <w:highlight w:val="none"/>
        </w:rPr>
        <w:t>4.1.3 未按本章第4.1.1项或第4.1.2项要求密封和加写标记的投标文件、投标文件电子备用光盘或U盘，招标人不予受理。</w:t>
      </w:r>
    </w:p>
    <w:p w14:paraId="374FA885">
      <w:pPr>
        <w:keepNext/>
        <w:keepLines/>
        <w:spacing w:before="260" w:after="260" w:line="415" w:lineRule="auto"/>
        <w:ind w:firstLine="137" w:firstLineChars="49"/>
        <w:outlineLvl w:val="2"/>
        <w:rPr>
          <w:rFonts w:hint="eastAsia" w:ascii="宋体" w:hAnsi="宋体" w:cs="宋体"/>
          <w:bCs/>
          <w:sz w:val="28"/>
          <w:szCs w:val="28"/>
          <w:highlight w:val="none"/>
        </w:rPr>
      </w:pPr>
      <w:bookmarkStart w:id="381" w:name="_Toc26573"/>
      <w:bookmarkStart w:id="382" w:name="_Toc8844"/>
      <w:bookmarkStart w:id="383" w:name="_Toc29781"/>
      <w:bookmarkStart w:id="384" w:name="_Toc436834158"/>
      <w:bookmarkStart w:id="385" w:name="_Toc13525"/>
      <w:bookmarkStart w:id="386" w:name="_Toc10998"/>
      <w:bookmarkStart w:id="387" w:name="_Toc22154"/>
      <w:bookmarkStart w:id="388" w:name="_Toc485211065"/>
      <w:bookmarkStart w:id="389" w:name="_Toc20463"/>
      <w:bookmarkStart w:id="390" w:name="_Toc436834751"/>
      <w:bookmarkStart w:id="391" w:name="_Toc7217"/>
      <w:bookmarkStart w:id="392" w:name="_Toc20862"/>
      <w:bookmarkStart w:id="393" w:name="_Toc18437"/>
      <w:r>
        <w:rPr>
          <w:rFonts w:hint="eastAsia" w:ascii="宋体" w:hAnsi="宋体" w:cs="宋体"/>
          <w:bCs/>
          <w:sz w:val="28"/>
          <w:szCs w:val="28"/>
          <w:highlight w:val="none"/>
        </w:rPr>
        <w:t>4.2 投标文件的递交</w:t>
      </w:r>
      <w:bookmarkEnd w:id="353"/>
      <w:bookmarkEnd w:id="354"/>
      <w:bookmarkEnd w:id="355"/>
      <w:bookmarkEnd w:id="356"/>
      <w:bookmarkEnd w:id="357"/>
      <w:bookmarkEnd w:id="358"/>
      <w:bookmarkEnd w:id="359"/>
      <w:bookmarkEnd w:id="381"/>
      <w:bookmarkEnd w:id="382"/>
      <w:bookmarkEnd w:id="383"/>
      <w:bookmarkEnd w:id="384"/>
      <w:bookmarkEnd w:id="385"/>
      <w:bookmarkEnd w:id="386"/>
      <w:bookmarkEnd w:id="387"/>
      <w:bookmarkEnd w:id="388"/>
      <w:bookmarkEnd w:id="389"/>
      <w:bookmarkEnd w:id="390"/>
      <w:bookmarkEnd w:id="391"/>
      <w:bookmarkEnd w:id="392"/>
      <w:bookmarkEnd w:id="393"/>
    </w:p>
    <w:p w14:paraId="18D4E39D">
      <w:pPr>
        <w:spacing w:line="400" w:lineRule="exact"/>
        <w:ind w:firstLine="482"/>
        <w:rPr>
          <w:highlight w:val="none"/>
          <w:u w:val="single"/>
        </w:rPr>
      </w:pPr>
      <w:bookmarkStart w:id="394" w:name="_Toc247513982"/>
      <w:bookmarkStart w:id="395" w:name="_Toc152045558"/>
      <w:bookmarkStart w:id="396" w:name="_Toc399165401"/>
      <w:bookmarkStart w:id="397" w:name="_Toc152042334"/>
      <w:bookmarkStart w:id="398" w:name="_Toc247527583"/>
      <w:bookmarkStart w:id="399" w:name="_Toc300834979"/>
      <w:bookmarkStart w:id="400" w:name="_Toc144974526"/>
      <w:r>
        <w:rPr>
          <w:highlight w:val="none"/>
          <w:u w:val="single"/>
        </w:rPr>
        <w:t>4.2.1投标人代表按投标须知前附表所规定的时间和地点向招标人提交投标文件电子备用光盘或</w:t>
      </w:r>
      <w:r>
        <w:rPr>
          <w:rFonts w:hint="eastAsia"/>
          <w:highlight w:val="none"/>
          <w:u w:val="single"/>
        </w:rPr>
        <w:t>U盘</w:t>
      </w:r>
      <w:r>
        <w:rPr>
          <w:highlight w:val="none"/>
          <w:u w:val="single"/>
        </w:rPr>
        <w:t>（投标人也可不提交投标文件光盘或</w:t>
      </w:r>
      <w:r>
        <w:rPr>
          <w:rFonts w:hint="eastAsia"/>
          <w:highlight w:val="none"/>
          <w:u w:val="single"/>
        </w:rPr>
        <w:t>U盘</w:t>
      </w:r>
      <w:r>
        <w:rPr>
          <w:highlight w:val="none"/>
          <w:u w:val="single"/>
        </w:rPr>
        <w:t>）。</w:t>
      </w:r>
    </w:p>
    <w:p w14:paraId="4007BB99">
      <w:pPr>
        <w:spacing w:line="400" w:lineRule="exact"/>
        <w:ind w:firstLine="482"/>
        <w:rPr>
          <w:highlight w:val="none"/>
          <w:u w:val="single"/>
        </w:rPr>
      </w:pPr>
      <w:r>
        <w:rPr>
          <w:highlight w:val="none"/>
          <w:u w:val="single"/>
        </w:rPr>
        <w:t>4.2.2 投标人递交投标文件电子备用光盘或</w:t>
      </w:r>
      <w:r>
        <w:rPr>
          <w:rFonts w:hint="eastAsia"/>
          <w:highlight w:val="none"/>
          <w:u w:val="single"/>
        </w:rPr>
        <w:t>U盘</w:t>
      </w:r>
      <w:r>
        <w:rPr>
          <w:highlight w:val="none"/>
          <w:u w:val="single"/>
        </w:rPr>
        <w:t>的地点：见投标人须知前附表。</w:t>
      </w:r>
    </w:p>
    <w:p w14:paraId="19289640">
      <w:pPr>
        <w:spacing w:line="400" w:lineRule="exact"/>
        <w:ind w:firstLine="482"/>
        <w:rPr>
          <w:highlight w:val="none"/>
          <w:u w:val="single"/>
        </w:rPr>
      </w:pPr>
      <w:r>
        <w:rPr>
          <w:highlight w:val="none"/>
          <w:u w:val="single"/>
        </w:rPr>
        <w:t>4.2.3 除投标人须知前附表另有规定外，投标人所递交的投标文件不予退还。</w:t>
      </w:r>
    </w:p>
    <w:p w14:paraId="2210C042">
      <w:pPr>
        <w:spacing w:line="400" w:lineRule="exact"/>
        <w:ind w:firstLine="482"/>
        <w:rPr>
          <w:highlight w:val="none"/>
          <w:u w:val="single"/>
        </w:rPr>
      </w:pPr>
      <w:r>
        <w:rPr>
          <w:highlight w:val="none"/>
          <w:u w:val="single"/>
        </w:rPr>
        <w:t>4.2.4 逾期送达的或者未送达指定地点的投标文件电子备用光盘或</w:t>
      </w:r>
      <w:r>
        <w:rPr>
          <w:rFonts w:hint="eastAsia"/>
          <w:highlight w:val="none"/>
          <w:u w:val="single"/>
        </w:rPr>
        <w:t>U盘</w:t>
      </w:r>
      <w:r>
        <w:rPr>
          <w:highlight w:val="none"/>
          <w:u w:val="single"/>
        </w:rPr>
        <w:t>，招标人不予受理。</w:t>
      </w:r>
    </w:p>
    <w:p w14:paraId="42DBC2B9">
      <w:pPr>
        <w:spacing w:line="400" w:lineRule="exact"/>
        <w:ind w:firstLine="482"/>
        <w:rPr>
          <w:highlight w:val="none"/>
          <w:u w:val="single"/>
        </w:rPr>
      </w:pPr>
      <w:r>
        <w:rPr>
          <w:rFonts w:hint="eastAsia"/>
          <w:highlight w:val="none"/>
          <w:u w:val="single"/>
        </w:rPr>
        <w:t>4.2.5若出现以下情况，招标人将拒绝接收投标文件电子备用光盘或U盘：</w:t>
      </w:r>
    </w:p>
    <w:p w14:paraId="4A95DD55">
      <w:pPr>
        <w:spacing w:line="400" w:lineRule="exact"/>
        <w:ind w:firstLine="482"/>
        <w:rPr>
          <w:highlight w:val="none"/>
          <w:u w:val="single"/>
        </w:rPr>
      </w:pPr>
      <w:r>
        <w:rPr>
          <w:rFonts w:hint="eastAsia"/>
          <w:highlight w:val="none"/>
          <w:u w:val="single"/>
        </w:rPr>
        <w:t>（1）在投标截止期后逾期或未在指定地点递交投标文件电子备用光盘或U盘的；</w:t>
      </w:r>
    </w:p>
    <w:p w14:paraId="3BFC27A6">
      <w:pPr>
        <w:spacing w:line="400" w:lineRule="exact"/>
        <w:ind w:firstLine="482"/>
        <w:rPr>
          <w:highlight w:val="none"/>
          <w:u w:val="single"/>
        </w:rPr>
      </w:pPr>
      <w:r>
        <w:rPr>
          <w:rFonts w:hint="eastAsia"/>
          <w:highlight w:val="none"/>
          <w:u w:val="single"/>
        </w:rPr>
        <w:t>（2）投标文件电子备用光盘或U盘未按招标文件要求密封和标志的；</w:t>
      </w:r>
    </w:p>
    <w:p w14:paraId="72583729">
      <w:pPr>
        <w:spacing w:line="400" w:lineRule="exact"/>
        <w:ind w:firstLine="482"/>
        <w:rPr>
          <w:highlight w:val="none"/>
          <w:u w:val="single"/>
        </w:rPr>
      </w:pPr>
      <w:r>
        <w:rPr>
          <w:rFonts w:hint="eastAsia"/>
          <w:highlight w:val="none"/>
          <w:u w:val="single"/>
        </w:rPr>
        <w:t>（3）在投标截止期前，法定代表人提交投标文件电子备用光盘或U盘，未同时提交本人身份证和法定代表人证明书原件，或委托代理人提交投标文件电子备用光盘或U盘，未同时提交本人身份证、法定代表人证明书原件和法定代表人授权委托证明书原件的。</w:t>
      </w:r>
    </w:p>
    <w:p w14:paraId="3279A237">
      <w:pPr>
        <w:pStyle w:val="22"/>
        <w:spacing w:line="400" w:lineRule="exact"/>
        <w:ind w:firstLine="482"/>
        <w:rPr>
          <w:rFonts w:hint="eastAsia" w:hAnsi="宋体" w:cs="宋体"/>
          <w:szCs w:val="21"/>
          <w:highlight w:val="none"/>
        </w:rPr>
      </w:pPr>
      <w:r>
        <w:rPr>
          <w:rFonts w:hint="eastAsia"/>
          <w:b/>
          <w:bCs/>
          <w:highlight w:val="none"/>
          <w:u w:val="single"/>
        </w:rPr>
        <w:t>注：因投标人自身原因导致的电子投标文件上传有误、解密未及时等情况，投标人自行承担相应后果。</w:t>
      </w:r>
    </w:p>
    <w:p w14:paraId="2F9C9D9D">
      <w:pPr>
        <w:keepNext/>
        <w:keepLines/>
        <w:spacing w:before="260" w:after="260" w:line="415" w:lineRule="auto"/>
        <w:ind w:firstLine="137" w:firstLineChars="49"/>
        <w:outlineLvl w:val="2"/>
        <w:rPr>
          <w:rFonts w:hint="eastAsia" w:ascii="宋体" w:hAnsi="宋体" w:cs="宋体"/>
          <w:bCs/>
          <w:sz w:val="28"/>
          <w:szCs w:val="28"/>
          <w:highlight w:val="none"/>
        </w:rPr>
      </w:pPr>
      <w:bookmarkStart w:id="401" w:name="_Toc2195"/>
      <w:bookmarkStart w:id="402" w:name="_Toc29112"/>
      <w:bookmarkStart w:id="403" w:name="_Toc26983"/>
      <w:bookmarkStart w:id="404" w:name="_Toc436834752"/>
      <w:bookmarkStart w:id="405" w:name="_Toc13787"/>
      <w:bookmarkStart w:id="406" w:name="_Toc12422"/>
      <w:bookmarkStart w:id="407" w:name="_Toc14142"/>
      <w:bookmarkStart w:id="408" w:name="_Toc27403"/>
      <w:bookmarkStart w:id="409" w:name="_Toc8164"/>
      <w:bookmarkStart w:id="410" w:name="_Toc1087"/>
      <w:bookmarkStart w:id="411" w:name="_Toc485211066"/>
      <w:bookmarkStart w:id="412" w:name="_Toc27723"/>
      <w:bookmarkStart w:id="413" w:name="_Toc436834159"/>
      <w:r>
        <w:rPr>
          <w:rFonts w:hint="eastAsia" w:ascii="宋体" w:hAnsi="宋体" w:cs="宋体"/>
          <w:bCs/>
          <w:sz w:val="28"/>
          <w:szCs w:val="28"/>
          <w:highlight w:val="none"/>
        </w:rPr>
        <w:t>4.3 投标文件的修改与撤回</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234AD302">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4.3.1 在本章第4.2.1项规定的投标截止时间前，投标人可以修改或撤回已递交的投标文件，但应以书面形式通知招标人。</w:t>
      </w:r>
    </w:p>
    <w:p w14:paraId="01C32B46">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4.3.2 投标人修改或撤回已递交投标文件的书面通知应按照本章第3.7.3项的要求签字或盖章。招标人收到书面通知后，向投标人出具签收凭证。</w:t>
      </w:r>
    </w:p>
    <w:p w14:paraId="10A37C61">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4.3.3 投标人撤回投标文件的，招标人自收到投标人书面撤回通知之日起5日内退还已收取的投标担保。</w:t>
      </w:r>
    </w:p>
    <w:p w14:paraId="43196EB4">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4.3.4 修改的内容为投标文件的组成部分。修改的投标文件应按照本章第3条、第4条规定进行编制、密封、标记和递交，并标明“修改”字样。</w:t>
      </w:r>
    </w:p>
    <w:p w14:paraId="184DA06B">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4.3.5 在投标截止时间之后，投标人不得补充、修改和更换投标文件。</w:t>
      </w:r>
    </w:p>
    <w:p w14:paraId="18D2F615">
      <w:pPr>
        <w:spacing w:line="400" w:lineRule="exact"/>
        <w:ind w:firstLine="420" w:firstLineChars="200"/>
        <w:rPr>
          <w:rFonts w:hint="eastAsia" w:ascii="宋体" w:hAnsi="宋体" w:cs="宋体"/>
          <w:szCs w:val="24"/>
          <w:highlight w:val="none"/>
          <w:u w:val="single"/>
        </w:rPr>
      </w:pPr>
      <w:r>
        <w:rPr>
          <w:rFonts w:hint="eastAsia" w:ascii="宋体" w:hAnsi="宋体" w:cs="宋体"/>
          <w:szCs w:val="24"/>
          <w:highlight w:val="none"/>
        </w:rPr>
        <w:t xml:space="preserve">4.3.6 </w:t>
      </w:r>
      <w:r>
        <w:rPr>
          <w:rFonts w:hint="eastAsia" w:ascii="宋体" w:hAnsi="宋体" w:cs="宋体"/>
          <w:szCs w:val="24"/>
          <w:highlight w:val="none"/>
          <w:u w:val="single"/>
        </w:rPr>
        <w:t>在投标截止后，投标人在投标文件格式中规定的有效期终止日前，投标人不能撤回投标文件，否则其投标担保将被没收且招标人有权就其撤回行为报告政府主管部门载入不良信用记录。</w:t>
      </w:r>
    </w:p>
    <w:p w14:paraId="2CE5F27C">
      <w:pPr>
        <w:keepNext/>
        <w:keepLines/>
        <w:spacing w:before="260" w:after="260" w:line="415" w:lineRule="auto"/>
        <w:outlineLvl w:val="1"/>
        <w:rPr>
          <w:rFonts w:hint="eastAsia" w:ascii="宋体" w:hAnsi="宋体" w:cs="宋体"/>
          <w:b/>
          <w:bCs/>
          <w:sz w:val="32"/>
          <w:szCs w:val="32"/>
          <w:highlight w:val="none"/>
        </w:rPr>
      </w:pPr>
      <w:bookmarkStart w:id="414" w:name="_Toc30507"/>
      <w:bookmarkStart w:id="415" w:name="_Toc28294"/>
      <w:bookmarkStart w:id="416" w:name="_Toc485211067"/>
      <w:bookmarkStart w:id="417" w:name="_Toc6364"/>
      <w:bookmarkStart w:id="418" w:name="_Toc31450"/>
      <w:bookmarkStart w:id="419" w:name="_Toc247527584"/>
      <w:bookmarkStart w:id="420" w:name="_Toc152045559"/>
      <w:bookmarkStart w:id="421" w:name="_Toc4459"/>
      <w:bookmarkStart w:id="422" w:name="_Toc17608"/>
      <w:bookmarkStart w:id="423" w:name="_Toc152042335"/>
      <w:bookmarkStart w:id="424" w:name="_Toc12170"/>
      <w:bookmarkStart w:id="425" w:name="_Toc399165402"/>
      <w:bookmarkStart w:id="426" w:name="_Toc436834753"/>
      <w:bookmarkStart w:id="427" w:name="_Toc300834980"/>
      <w:bookmarkStart w:id="428" w:name="_Toc16642"/>
      <w:bookmarkStart w:id="429" w:name="_Toc26618"/>
      <w:bookmarkStart w:id="430" w:name="_Toc144974527"/>
      <w:bookmarkStart w:id="431" w:name="_Toc247513983"/>
      <w:bookmarkStart w:id="432" w:name="_Toc436834160"/>
      <w:bookmarkStart w:id="433" w:name="_Toc5421"/>
      <w:r>
        <w:rPr>
          <w:rFonts w:hint="eastAsia" w:ascii="宋体" w:hAnsi="宋体" w:cs="宋体"/>
          <w:b/>
          <w:bCs/>
          <w:sz w:val="32"/>
          <w:szCs w:val="32"/>
          <w:highlight w:val="none"/>
        </w:rPr>
        <w:t>5. 开标</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3EA60916">
      <w:pPr>
        <w:keepNext/>
        <w:keepLines/>
        <w:spacing w:before="260" w:after="260" w:line="415" w:lineRule="auto"/>
        <w:ind w:firstLine="137" w:firstLineChars="49"/>
        <w:outlineLvl w:val="2"/>
        <w:rPr>
          <w:rFonts w:hint="eastAsia" w:ascii="宋体" w:hAnsi="宋体" w:cs="宋体"/>
          <w:bCs/>
          <w:sz w:val="28"/>
          <w:szCs w:val="28"/>
          <w:highlight w:val="none"/>
        </w:rPr>
      </w:pPr>
      <w:bookmarkStart w:id="434" w:name="_Toc10949"/>
      <w:bookmarkStart w:id="435" w:name="_Toc24693"/>
      <w:bookmarkStart w:id="436" w:name="_Toc436834161"/>
      <w:bookmarkStart w:id="437" w:name="_Toc4802"/>
      <w:bookmarkStart w:id="438" w:name="_Toc7901"/>
      <w:bookmarkStart w:id="439" w:name="_Toc6981"/>
      <w:bookmarkStart w:id="440" w:name="_Toc485211068"/>
      <w:bookmarkStart w:id="441" w:name="_Toc29641"/>
      <w:bookmarkStart w:id="442" w:name="_Toc24982"/>
      <w:bookmarkStart w:id="443" w:name="_Toc144974528"/>
      <w:bookmarkStart w:id="444" w:name="_Toc152045560"/>
      <w:bookmarkStart w:id="445" w:name="_Toc247513984"/>
      <w:bookmarkStart w:id="446" w:name="_Toc436834754"/>
      <w:bookmarkStart w:id="447" w:name="_Toc399165403"/>
      <w:bookmarkStart w:id="448" w:name="_Toc22565"/>
      <w:bookmarkStart w:id="449" w:name="_Toc247527585"/>
      <w:bookmarkStart w:id="450" w:name="_Toc300834981"/>
      <w:bookmarkStart w:id="451" w:name="_Toc19541"/>
      <w:bookmarkStart w:id="452" w:name="_Toc152042336"/>
      <w:bookmarkStart w:id="453" w:name="_Toc27797"/>
      <w:r>
        <w:rPr>
          <w:rFonts w:hint="eastAsia" w:ascii="宋体" w:hAnsi="宋体" w:cs="宋体"/>
          <w:bCs/>
          <w:sz w:val="28"/>
          <w:szCs w:val="28"/>
          <w:highlight w:val="none"/>
        </w:rPr>
        <w:t>5.1 开标时间和地点</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0ADB5041">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招标人在本章第4.2.1项规定的投标截止时间（开标时间）和《投标人须知前附表》规定的地点公开开标，并邀请所有投标人的法定代表人或其委托代理人准时参加。</w:t>
      </w:r>
      <w:r>
        <w:rPr>
          <w:rFonts w:hint="eastAsia" w:ascii="宋体" w:hAnsi="宋体" w:cs="宋体"/>
          <w:highlight w:val="none"/>
          <w:u w:val="single"/>
        </w:rPr>
        <w:t>投标人（法定代表人或其委托代理人）可自行决定是否参加开标。投标人不参加的，视为认可开标过程及结果。</w:t>
      </w:r>
    </w:p>
    <w:p w14:paraId="71981A5F">
      <w:pPr>
        <w:keepNext/>
        <w:keepLines/>
        <w:spacing w:before="260" w:after="260" w:line="415" w:lineRule="auto"/>
        <w:ind w:firstLine="137" w:firstLineChars="49"/>
        <w:outlineLvl w:val="2"/>
        <w:rPr>
          <w:rFonts w:hint="eastAsia" w:ascii="宋体" w:hAnsi="宋体" w:cs="宋体"/>
          <w:bCs/>
          <w:sz w:val="28"/>
          <w:szCs w:val="28"/>
          <w:highlight w:val="none"/>
        </w:rPr>
      </w:pPr>
      <w:bookmarkStart w:id="454" w:name="_Toc399165404"/>
      <w:bookmarkStart w:id="455" w:name="_Toc300834982"/>
      <w:bookmarkStart w:id="456" w:name="_Toc247513985"/>
      <w:bookmarkStart w:id="457" w:name="_Toc2356"/>
      <w:bookmarkStart w:id="458" w:name="_Toc1228"/>
      <w:bookmarkStart w:id="459" w:name="_Toc247527586"/>
      <w:bookmarkStart w:id="460" w:name="_Toc149"/>
      <w:bookmarkStart w:id="461" w:name="_Toc3858"/>
      <w:bookmarkStart w:id="462" w:name="_Toc22128"/>
      <w:bookmarkStart w:id="463" w:name="_Toc21731"/>
      <w:bookmarkStart w:id="464" w:name="_Toc29350"/>
      <w:bookmarkStart w:id="465" w:name="_Toc152042337"/>
      <w:bookmarkStart w:id="466" w:name="_Toc1215"/>
      <w:bookmarkStart w:id="467" w:name="_Toc436834755"/>
      <w:bookmarkStart w:id="468" w:name="_Toc11280"/>
      <w:bookmarkStart w:id="469" w:name="_Toc144974529"/>
      <w:bookmarkStart w:id="470" w:name="_Toc152045561"/>
      <w:bookmarkStart w:id="471" w:name="_Toc436834162"/>
      <w:bookmarkStart w:id="472" w:name="_Toc485211069"/>
      <w:bookmarkStart w:id="473" w:name="_Toc32550"/>
      <w:bookmarkStart w:id="474" w:name="_Toc300834983"/>
      <w:bookmarkStart w:id="475" w:name="_Toc399165405"/>
      <w:r>
        <w:rPr>
          <w:rFonts w:hint="eastAsia" w:ascii="宋体" w:hAnsi="宋体" w:cs="宋体"/>
          <w:bCs/>
          <w:sz w:val="28"/>
          <w:szCs w:val="28"/>
          <w:highlight w:val="none"/>
        </w:rPr>
        <w:t>5.2 开标程序</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18D4727D">
      <w:pPr>
        <w:spacing w:line="360" w:lineRule="auto"/>
        <w:ind w:firstLine="457" w:firstLineChars="218"/>
        <w:rPr>
          <w:rFonts w:hint="eastAsia" w:ascii="宋体" w:hAnsi="宋体" w:cs="宋体"/>
          <w:szCs w:val="21"/>
          <w:highlight w:val="none"/>
          <w:u w:val="single"/>
        </w:rPr>
      </w:pPr>
      <w:r>
        <w:rPr>
          <w:rFonts w:hint="eastAsia" w:ascii="宋体" w:hAnsi="宋体" w:cs="宋体"/>
          <w:szCs w:val="21"/>
          <w:highlight w:val="none"/>
          <w:u w:val="single"/>
        </w:rPr>
        <w:t>主持人按下列程序进行开标：</w:t>
      </w:r>
    </w:p>
    <w:p w14:paraId="1A163C84">
      <w:pPr>
        <w:spacing w:line="360" w:lineRule="auto"/>
        <w:ind w:firstLine="457" w:firstLineChars="218"/>
        <w:rPr>
          <w:rFonts w:hint="eastAsia" w:ascii="宋体" w:hAnsi="宋体" w:cs="宋体"/>
          <w:szCs w:val="21"/>
          <w:highlight w:val="none"/>
          <w:u w:val="single"/>
        </w:rPr>
      </w:pPr>
      <w:r>
        <w:rPr>
          <w:rFonts w:hint="eastAsia" w:ascii="宋体" w:hAnsi="宋体" w:cs="宋体"/>
          <w:szCs w:val="21"/>
          <w:highlight w:val="none"/>
          <w:u w:val="single"/>
        </w:rPr>
        <w:t>（1）宣布开标纪律；</w:t>
      </w:r>
    </w:p>
    <w:p w14:paraId="022AD808">
      <w:pPr>
        <w:spacing w:line="360" w:lineRule="auto"/>
        <w:ind w:firstLine="457" w:firstLineChars="218"/>
        <w:rPr>
          <w:rFonts w:hint="eastAsia" w:ascii="宋体" w:hAnsi="宋体" w:cs="宋体"/>
          <w:szCs w:val="21"/>
          <w:highlight w:val="none"/>
          <w:u w:val="single"/>
        </w:rPr>
      </w:pPr>
      <w:r>
        <w:rPr>
          <w:rFonts w:hint="eastAsia" w:ascii="宋体" w:hAnsi="宋体" w:cs="宋体"/>
          <w:szCs w:val="21"/>
          <w:highlight w:val="none"/>
          <w:u w:val="single"/>
        </w:rPr>
        <w:t>（2）公布在投标截止时间前递交投标文件的投标人名称；</w:t>
      </w:r>
    </w:p>
    <w:p w14:paraId="64DE2FFD">
      <w:pPr>
        <w:spacing w:line="360" w:lineRule="auto"/>
        <w:ind w:firstLine="457" w:firstLineChars="218"/>
        <w:rPr>
          <w:rFonts w:hint="eastAsia" w:ascii="宋体" w:hAnsi="宋体" w:cs="宋体"/>
          <w:szCs w:val="21"/>
          <w:highlight w:val="none"/>
          <w:u w:val="single"/>
        </w:rPr>
      </w:pPr>
      <w:r>
        <w:rPr>
          <w:rFonts w:hint="eastAsia" w:ascii="宋体" w:hAnsi="宋体" w:cs="宋体"/>
          <w:szCs w:val="21"/>
          <w:highlight w:val="none"/>
          <w:u w:val="single"/>
        </w:rPr>
        <w:t>（3）在投标截止时间后一个小时内，投标人通过递交投标文件的交易平台对已递交的电子投标文件进行解密。投标人完成解密后，再由招标人进行解密（投标人只用执行一次解密，招标人执行解密次数根据招标文件开标次数确定）。</w:t>
      </w:r>
    </w:p>
    <w:p w14:paraId="757B3147">
      <w:pPr>
        <w:spacing w:line="360" w:lineRule="auto"/>
        <w:ind w:firstLine="457" w:firstLineChars="218"/>
        <w:rPr>
          <w:rFonts w:hint="eastAsia" w:ascii="宋体" w:hAnsi="宋体" w:cs="宋体"/>
          <w:szCs w:val="21"/>
          <w:highlight w:val="none"/>
          <w:u w:val="single"/>
        </w:rPr>
      </w:pPr>
      <w:r>
        <w:rPr>
          <w:rFonts w:hint="eastAsia" w:ascii="宋体" w:hAnsi="宋体" w:cs="宋体"/>
          <w:szCs w:val="21"/>
          <w:highlight w:val="none"/>
          <w:u w:val="single"/>
        </w:rPr>
        <w:t>（4）解密完成后，公布：a投标人名称；b投标文件递交情况；c投标文件解密情况；d投标担保递交情况；e项目负责人、设计负责人、技术负责人、专职安全员；f投标报价（含设计费报价和建安工程费报价）；g工期；h质量标准；i投标人的加密打包投标文件电脑机器特征码等主要内容，并记录在案。未在规定时间内解密的投标文件不参与开标、评标。</w:t>
      </w:r>
    </w:p>
    <w:p w14:paraId="0CD457FB">
      <w:pPr>
        <w:spacing w:line="360" w:lineRule="auto"/>
        <w:ind w:firstLine="457" w:firstLineChars="218"/>
        <w:rPr>
          <w:rFonts w:hint="eastAsia" w:ascii="宋体" w:hAnsi="宋体" w:cs="宋体"/>
          <w:szCs w:val="21"/>
          <w:highlight w:val="none"/>
          <w:u w:val="single"/>
        </w:rPr>
      </w:pPr>
      <w:r>
        <w:rPr>
          <w:rFonts w:hint="eastAsia" w:ascii="宋体" w:hAnsi="宋体" w:cs="宋体"/>
          <w:szCs w:val="21"/>
          <w:highlight w:val="none"/>
          <w:u w:val="single"/>
        </w:rPr>
        <w:t>（5）截标后，开标开始时间因故推迟的，相关评标信息仍以原定的开标开始时间的信息为准。</w:t>
      </w:r>
    </w:p>
    <w:p w14:paraId="302082D1">
      <w:pPr>
        <w:spacing w:line="360" w:lineRule="auto"/>
        <w:ind w:firstLine="457" w:firstLineChars="218"/>
        <w:rPr>
          <w:rFonts w:hint="eastAsia" w:ascii="宋体" w:hAnsi="宋体" w:cs="宋体"/>
          <w:szCs w:val="21"/>
          <w:highlight w:val="none"/>
          <w:u w:val="single"/>
        </w:rPr>
      </w:pPr>
      <w:r>
        <w:rPr>
          <w:rFonts w:hint="eastAsia" w:ascii="宋体" w:hAnsi="宋体" w:cs="宋体"/>
          <w:szCs w:val="21"/>
          <w:highlight w:val="none"/>
          <w:u w:val="single"/>
        </w:rPr>
        <w:t>（6）备用光盘的读取按“10 电子招标投标”第6点的规定执行。</w:t>
      </w:r>
    </w:p>
    <w:p w14:paraId="422EE3BE">
      <w:pPr>
        <w:spacing w:line="360" w:lineRule="auto"/>
        <w:ind w:firstLine="457" w:firstLineChars="218"/>
        <w:rPr>
          <w:rFonts w:hint="eastAsia" w:ascii="宋体" w:hAnsi="宋体" w:cs="宋体"/>
          <w:szCs w:val="21"/>
          <w:highlight w:val="none"/>
          <w:u w:val="single"/>
        </w:rPr>
      </w:pPr>
      <w:r>
        <w:rPr>
          <w:rFonts w:hint="eastAsia" w:ascii="宋体" w:hAnsi="宋体" w:cs="宋体"/>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07EFA3D9">
      <w:pPr>
        <w:spacing w:line="360" w:lineRule="auto"/>
        <w:ind w:firstLine="457" w:firstLineChars="218"/>
        <w:rPr>
          <w:rFonts w:hint="eastAsia" w:ascii="宋体" w:hAnsi="宋体" w:cs="宋体"/>
          <w:szCs w:val="21"/>
          <w:highlight w:val="none"/>
          <w:u w:val="single"/>
        </w:rPr>
      </w:pPr>
      <w:r>
        <w:rPr>
          <w:rFonts w:hint="eastAsia" w:ascii="宋体" w:hAnsi="宋体" w:cs="宋体"/>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73A9DF76">
      <w:pPr>
        <w:spacing w:line="360" w:lineRule="auto"/>
        <w:ind w:firstLine="457" w:firstLineChars="218"/>
        <w:rPr>
          <w:rFonts w:hint="eastAsia" w:ascii="宋体" w:hAnsi="宋体" w:cs="宋体"/>
          <w:szCs w:val="21"/>
          <w:highlight w:val="none"/>
          <w:u w:val="single"/>
        </w:rPr>
      </w:pPr>
      <w:r>
        <w:rPr>
          <w:rFonts w:hint="eastAsia" w:ascii="宋体" w:hAnsi="宋体" w:cs="宋体"/>
          <w:szCs w:val="21"/>
          <w:highlight w:val="none"/>
          <w:u w:val="single"/>
        </w:rPr>
        <w:t>（9）投标人未参加开标或在规定的时间内未提出异议的，视为对开标无异议。</w:t>
      </w:r>
    </w:p>
    <w:p w14:paraId="000FC444">
      <w:pPr>
        <w:spacing w:line="360" w:lineRule="auto"/>
        <w:ind w:firstLine="457" w:firstLineChars="218"/>
        <w:rPr>
          <w:rFonts w:hint="eastAsia" w:ascii="宋体" w:hAnsi="宋体" w:cs="宋体"/>
          <w:szCs w:val="21"/>
          <w:highlight w:val="none"/>
          <w:u w:val="single"/>
        </w:rPr>
      </w:pPr>
      <w:r>
        <w:rPr>
          <w:rFonts w:hint="eastAsia" w:ascii="宋体" w:hAnsi="宋体" w:cs="宋体"/>
          <w:szCs w:val="21"/>
          <w:highlight w:val="none"/>
          <w:u w:val="single"/>
        </w:rPr>
        <w:t>（10）开标时，两个（含两个）以上的投标人加密打包投标文件电脑机器特征码一致的，不参与下一程序，并由评标委员会否决其投标。</w:t>
      </w:r>
    </w:p>
    <w:p w14:paraId="33FE16EF">
      <w:pPr>
        <w:spacing w:line="360" w:lineRule="auto"/>
        <w:ind w:firstLine="457" w:firstLineChars="218"/>
        <w:rPr>
          <w:rFonts w:hint="eastAsia" w:ascii="宋体" w:hAnsi="宋体" w:cs="宋体"/>
          <w:szCs w:val="21"/>
          <w:highlight w:val="none"/>
          <w:u w:val="single"/>
        </w:rPr>
      </w:pPr>
      <w:r>
        <w:rPr>
          <w:rFonts w:hint="eastAsia" w:ascii="宋体" w:hAnsi="宋体" w:cs="宋体"/>
          <w:szCs w:val="21"/>
          <w:highlight w:val="none"/>
          <w:u w:val="single"/>
        </w:rPr>
        <w:t>（11）投标人代表、招标人代表、监标人、记录人等有关人员在开标记录上签字确认；若有关人员不签字的，不影响开标程序；</w:t>
      </w:r>
    </w:p>
    <w:p w14:paraId="5AF95E09">
      <w:pPr>
        <w:spacing w:line="360" w:lineRule="auto"/>
        <w:ind w:firstLine="457" w:firstLineChars="218"/>
        <w:rPr>
          <w:rFonts w:hint="eastAsia" w:ascii="宋体" w:hAnsi="宋体" w:cs="宋体"/>
          <w:szCs w:val="21"/>
          <w:highlight w:val="none"/>
          <w:u w:val="single"/>
        </w:rPr>
      </w:pPr>
      <w:r>
        <w:rPr>
          <w:rFonts w:hint="eastAsia" w:ascii="宋体" w:hAnsi="宋体" w:cs="宋体"/>
          <w:szCs w:val="21"/>
          <w:highlight w:val="none"/>
          <w:u w:val="single"/>
        </w:rPr>
        <w:t>（12）开标结束。</w:t>
      </w:r>
    </w:p>
    <w:p w14:paraId="117156CA">
      <w:pPr>
        <w:keepNext/>
        <w:keepLines/>
        <w:spacing w:before="260" w:after="260" w:line="415" w:lineRule="auto"/>
        <w:ind w:firstLine="137" w:firstLineChars="49"/>
        <w:outlineLvl w:val="2"/>
        <w:rPr>
          <w:rFonts w:hint="eastAsia" w:ascii="宋体" w:hAnsi="宋体" w:cs="宋体"/>
          <w:bCs/>
          <w:sz w:val="28"/>
          <w:szCs w:val="28"/>
          <w:highlight w:val="none"/>
        </w:rPr>
      </w:pPr>
      <w:bookmarkStart w:id="476" w:name="_Toc485211070"/>
      <w:bookmarkStart w:id="477" w:name="_Toc11445"/>
      <w:bookmarkStart w:id="478" w:name="_Toc30018"/>
      <w:bookmarkStart w:id="479" w:name="_Toc19375"/>
      <w:bookmarkStart w:id="480" w:name="_Toc28564"/>
      <w:bookmarkStart w:id="481" w:name="_Toc30580"/>
      <w:bookmarkStart w:id="482" w:name="_Toc20459"/>
      <w:bookmarkStart w:id="483" w:name="_Toc436834756"/>
      <w:bookmarkStart w:id="484" w:name="_Toc3636"/>
      <w:bookmarkStart w:id="485" w:name="_Toc1755"/>
      <w:bookmarkStart w:id="486" w:name="_Toc17100"/>
      <w:bookmarkStart w:id="487" w:name="_Toc436834163"/>
      <w:bookmarkStart w:id="488" w:name="_Toc27243"/>
      <w:r>
        <w:rPr>
          <w:rFonts w:hint="eastAsia" w:ascii="宋体" w:hAnsi="宋体" w:cs="宋体"/>
          <w:bCs/>
          <w:sz w:val="28"/>
          <w:szCs w:val="28"/>
          <w:highlight w:val="none"/>
        </w:rPr>
        <w:t>5.3 开标异议</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3053C0C9">
      <w:pPr>
        <w:spacing w:line="400" w:lineRule="exact"/>
        <w:ind w:firstLine="359" w:firstLineChars="171"/>
        <w:rPr>
          <w:rFonts w:hint="eastAsia" w:ascii="宋体" w:hAnsi="宋体" w:cs="宋体"/>
          <w:szCs w:val="24"/>
          <w:highlight w:val="none"/>
        </w:rPr>
      </w:pPr>
      <w:r>
        <w:rPr>
          <w:rFonts w:hint="eastAsia" w:ascii="宋体" w:hAnsi="宋体" w:cs="宋体"/>
          <w:szCs w:val="24"/>
          <w:highlight w:val="none"/>
        </w:rPr>
        <w:t>投标人对开标有异议的，应当在开标现场提出，同时出示本人身份证原件，招标人当场作出答复，并制作记录。参加在线开标的，投标人应通过广交易建设工程电子交易系统在线提出，招标人应通过广交易建设工程电子交易系统答复，答复后方可结束开标。</w:t>
      </w:r>
    </w:p>
    <w:p w14:paraId="7C4476A2">
      <w:pPr>
        <w:spacing w:line="400" w:lineRule="exact"/>
        <w:ind w:firstLine="359" w:firstLineChars="171"/>
        <w:rPr>
          <w:rFonts w:hint="eastAsia" w:ascii="宋体" w:hAnsi="宋体" w:cs="宋体"/>
          <w:szCs w:val="24"/>
          <w:highlight w:val="none"/>
        </w:rPr>
      </w:pPr>
      <w:r>
        <w:rPr>
          <w:rFonts w:hint="eastAsia" w:ascii="宋体" w:hAnsi="宋体" w:cs="宋体"/>
          <w:szCs w:val="24"/>
          <w:highlight w:val="none"/>
        </w:rPr>
        <w:t>1、具体操作详见“广州交易集团有限公司（广州公共资源交易中心）门户网站首页-&gt;服务指南-&gt;系统帮助-&gt;操作手册-&gt;发起及受理异议操作指引”。</w:t>
      </w:r>
    </w:p>
    <w:p w14:paraId="0D83C6BC">
      <w:pPr>
        <w:spacing w:line="400" w:lineRule="exact"/>
        <w:ind w:firstLine="359" w:firstLineChars="171"/>
        <w:rPr>
          <w:rFonts w:hint="eastAsia" w:ascii="宋体" w:hAnsi="宋体" w:cs="宋体"/>
          <w:szCs w:val="24"/>
          <w:highlight w:val="none"/>
        </w:rPr>
      </w:pPr>
      <w:r>
        <w:rPr>
          <w:rFonts w:hint="eastAsia" w:ascii="宋体" w:hAnsi="宋体" w:cs="宋体"/>
          <w:szCs w:val="24"/>
          <w:highlight w:val="none"/>
        </w:rPr>
        <w:t>2、投标人可登录交易平台网站向招标人提出异议申请，招标人在线处理完异议后，提出异议的投标人可以在线查询处理结果。异议处理结果仅对提出异议的投标人开放查询。投标人登录广交易建设工程电子交易平台进入“我是投标人”-选择“新建设工程交易平台”-“异议管理”-点击“新增异议”-选择要发起异议的项目。</w:t>
      </w:r>
    </w:p>
    <w:p w14:paraId="551E67C7">
      <w:pPr>
        <w:keepNext/>
        <w:keepLines/>
        <w:spacing w:before="260" w:after="260" w:line="415" w:lineRule="auto"/>
        <w:outlineLvl w:val="1"/>
        <w:rPr>
          <w:rFonts w:hint="eastAsia" w:ascii="宋体" w:hAnsi="宋体" w:cs="宋体"/>
          <w:b/>
          <w:bCs/>
          <w:sz w:val="32"/>
          <w:szCs w:val="32"/>
          <w:highlight w:val="none"/>
        </w:rPr>
      </w:pPr>
      <w:bookmarkStart w:id="489" w:name="_Toc29634"/>
      <w:bookmarkStart w:id="490" w:name="_Toc3138"/>
      <w:bookmarkStart w:id="491" w:name="_Toc247527587"/>
      <w:bookmarkStart w:id="492" w:name="_Toc6781"/>
      <w:bookmarkStart w:id="493" w:name="_Toc144974530"/>
      <w:bookmarkStart w:id="494" w:name="_Toc21872"/>
      <w:bookmarkStart w:id="495" w:name="_Toc247513986"/>
      <w:bookmarkStart w:id="496" w:name="_Toc791"/>
      <w:bookmarkStart w:id="497" w:name="_Toc2702"/>
      <w:bookmarkStart w:id="498" w:name="_Toc436834164"/>
      <w:bookmarkStart w:id="499" w:name="_Toc17424"/>
      <w:bookmarkStart w:id="500" w:name="_Toc27065"/>
      <w:bookmarkStart w:id="501" w:name="_Toc485211071"/>
      <w:bookmarkStart w:id="502" w:name="_Toc300834984"/>
      <w:bookmarkStart w:id="503" w:name="_Toc16899"/>
      <w:bookmarkStart w:id="504" w:name="_Toc152042338"/>
      <w:bookmarkStart w:id="505" w:name="_Toc17022"/>
      <w:bookmarkStart w:id="506" w:name="_Toc436834757"/>
      <w:bookmarkStart w:id="507" w:name="_Toc399165406"/>
      <w:bookmarkStart w:id="508" w:name="_Toc152045562"/>
      <w:r>
        <w:rPr>
          <w:rFonts w:hint="eastAsia" w:ascii="宋体" w:hAnsi="宋体" w:cs="宋体"/>
          <w:b/>
          <w:bCs/>
          <w:sz w:val="32"/>
          <w:szCs w:val="32"/>
          <w:highlight w:val="none"/>
        </w:rPr>
        <w:t>6. 评标</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73CB96FE">
      <w:pPr>
        <w:keepNext/>
        <w:keepLines/>
        <w:spacing w:before="260" w:after="260" w:line="415" w:lineRule="auto"/>
        <w:ind w:firstLine="137" w:firstLineChars="49"/>
        <w:outlineLvl w:val="2"/>
        <w:rPr>
          <w:rFonts w:hint="eastAsia" w:ascii="宋体" w:hAnsi="宋体" w:cs="宋体"/>
          <w:bCs/>
          <w:sz w:val="28"/>
          <w:szCs w:val="28"/>
          <w:highlight w:val="none"/>
        </w:rPr>
      </w:pPr>
      <w:bookmarkStart w:id="509" w:name="_Toc436834758"/>
      <w:bookmarkStart w:id="510" w:name="_Toc399165407"/>
      <w:bookmarkStart w:id="511" w:name="_Toc152042339"/>
      <w:bookmarkStart w:id="512" w:name="_Toc16102"/>
      <w:bookmarkStart w:id="513" w:name="_Toc9770"/>
      <w:bookmarkStart w:id="514" w:name="_Toc26166"/>
      <w:bookmarkStart w:id="515" w:name="_Toc1432"/>
      <w:bookmarkStart w:id="516" w:name="_Toc29291"/>
      <w:bookmarkStart w:id="517" w:name="_Toc22048"/>
      <w:bookmarkStart w:id="518" w:name="_Toc247527588"/>
      <w:bookmarkStart w:id="519" w:name="_Toc12762"/>
      <w:bookmarkStart w:id="520" w:name="_Toc28026"/>
      <w:bookmarkStart w:id="521" w:name="_Toc485211072"/>
      <w:bookmarkStart w:id="522" w:name="_Toc247513987"/>
      <w:bookmarkStart w:id="523" w:name="_Toc152045563"/>
      <w:bookmarkStart w:id="524" w:name="_Toc300834985"/>
      <w:bookmarkStart w:id="525" w:name="_Toc16779"/>
      <w:bookmarkStart w:id="526" w:name="_Toc436834165"/>
      <w:bookmarkStart w:id="527" w:name="_Toc25490"/>
      <w:bookmarkStart w:id="528" w:name="_Toc144974531"/>
      <w:r>
        <w:rPr>
          <w:rFonts w:hint="eastAsia" w:ascii="宋体" w:hAnsi="宋体" w:cs="宋体"/>
          <w:bCs/>
          <w:sz w:val="28"/>
          <w:szCs w:val="28"/>
          <w:highlight w:val="none"/>
        </w:rPr>
        <w:t>6.1 评标委员会</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421F1B84">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6.1.1评标由招标人依法组建的评标委员会负责，</w:t>
      </w:r>
      <w:r>
        <w:rPr>
          <w:rFonts w:hint="eastAsia" w:ascii="宋体" w:hAnsi="宋体" w:cs="宋体"/>
          <w:szCs w:val="21"/>
          <w:highlight w:val="none"/>
          <w:u w:val="single"/>
        </w:rPr>
        <w:t>分设计组评标委员会、施工评审组，资格审查由施工评审组负责</w:t>
      </w:r>
      <w:r>
        <w:rPr>
          <w:rFonts w:hint="eastAsia" w:ascii="宋体" w:hAnsi="宋体" w:cs="宋体"/>
          <w:szCs w:val="21"/>
          <w:highlight w:val="none"/>
        </w:rPr>
        <w:t>。</w:t>
      </w:r>
      <w:bookmarkStart w:id="529" w:name="_Toc247527589"/>
      <w:bookmarkStart w:id="530" w:name="_Toc144974532"/>
      <w:bookmarkStart w:id="531" w:name="_Toc399165408"/>
      <w:bookmarkStart w:id="532" w:name="_Toc300834986"/>
      <w:bookmarkStart w:id="533" w:name="_Toc247513988"/>
      <w:bookmarkStart w:id="534" w:name="_Toc152042340"/>
      <w:bookmarkStart w:id="535" w:name="_Toc152045564"/>
    </w:p>
    <w:p w14:paraId="56B87A3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6.1.2 评标委员会成员有下列情形之一的，应当回避：</w:t>
      </w:r>
    </w:p>
    <w:p w14:paraId="631F345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（1）投标人或投标人主要负责人的近亲属；</w:t>
      </w:r>
    </w:p>
    <w:p w14:paraId="07984BF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（2）项目主管部门或者行政监督部门的人员；</w:t>
      </w:r>
    </w:p>
    <w:p w14:paraId="44CB2A3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（3）与投标人有经济利益关系，可能影响对投标公正评审的；</w:t>
      </w:r>
    </w:p>
    <w:p w14:paraId="7B4716B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（4）曾因在招标、评标以及其他与招标投标有关活动中从事违法行为而受过行政处罚或刑事处罚的；</w:t>
      </w:r>
    </w:p>
    <w:p w14:paraId="634BFF5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（5）与投标人有其他利害关系。</w:t>
      </w:r>
    </w:p>
    <w:p w14:paraId="3704817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1869206F">
      <w:pPr>
        <w:keepNext/>
        <w:keepLines/>
        <w:spacing w:before="260" w:after="260" w:line="415" w:lineRule="auto"/>
        <w:ind w:firstLine="137" w:firstLineChars="49"/>
        <w:outlineLvl w:val="2"/>
        <w:rPr>
          <w:rFonts w:hint="eastAsia" w:ascii="宋体" w:hAnsi="宋体" w:cs="宋体"/>
          <w:bCs/>
          <w:sz w:val="28"/>
          <w:szCs w:val="28"/>
          <w:highlight w:val="none"/>
        </w:rPr>
      </w:pPr>
      <w:bookmarkStart w:id="536" w:name="_Toc1675"/>
      <w:bookmarkStart w:id="537" w:name="_Toc12018"/>
      <w:bookmarkStart w:id="538" w:name="_Toc29188"/>
      <w:bookmarkStart w:id="539" w:name="_Toc22045"/>
      <w:bookmarkStart w:id="540" w:name="_Toc436834759"/>
      <w:bookmarkStart w:id="541" w:name="_Toc30304"/>
      <w:bookmarkStart w:id="542" w:name="_Toc436834166"/>
      <w:bookmarkStart w:id="543" w:name="_Toc15933"/>
      <w:bookmarkStart w:id="544" w:name="_Toc23158"/>
      <w:bookmarkStart w:id="545" w:name="_Toc14481"/>
      <w:bookmarkStart w:id="546" w:name="_Toc10755"/>
      <w:bookmarkStart w:id="547" w:name="_Toc485211073"/>
      <w:bookmarkStart w:id="548" w:name="_Toc7385"/>
      <w:r>
        <w:rPr>
          <w:rFonts w:hint="eastAsia" w:ascii="宋体" w:hAnsi="宋体" w:cs="宋体"/>
          <w:bCs/>
          <w:sz w:val="28"/>
          <w:szCs w:val="28"/>
          <w:highlight w:val="none"/>
        </w:rPr>
        <w:t>6.2 评标原则</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18389AAE">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评标活动遵循公平、公正、科学和择优的原则。</w:t>
      </w:r>
    </w:p>
    <w:p w14:paraId="323A16D2">
      <w:pPr>
        <w:keepNext/>
        <w:keepLines/>
        <w:spacing w:before="260" w:after="260" w:line="415" w:lineRule="auto"/>
        <w:ind w:firstLine="137" w:firstLineChars="49"/>
        <w:outlineLvl w:val="2"/>
        <w:rPr>
          <w:rFonts w:hint="eastAsia" w:ascii="宋体" w:hAnsi="宋体" w:cs="宋体"/>
          <w:bCs/>
          <w:sz w:val="28"/>
          <w:szCs w:val="28"/>
          <w:highlight w:val="none"/>
        </w:rPr>
      </w:pPr>
      <w:bookmarkStart w:id="549" w:name="_Toc18962"/>
      <w:bookmarkStart w:id="550" w:name="_Toc24080"/>
      <w:bookmarkStart w:id="551" w:name="_Toc144974533"/>
      <w:bookmarkStart w:id="552" w:name="_Toc23921"/>
      <w:bookmarkStart w:id="553" w:name="_Toc300834987"/>
      <w:bookmarkStart w:id="554" w:name="_Toc19074"/>
      <w:bookmarkStart w:id="555" w:name="_Toc6398"/>
      <w:bookmarkStart w:id="556" w:name="_Toc22884"/>
      <w:bookmarkStart w:id="557" w:name="_Toc152045565"/>
      <w:bookmarkStart w:id="558" w:name="_Toc485211074"/>
      <w:bookmarkStart w:id="559" w:name="_Toc247513989"/>
      <w:bookmarkStart w:id="560" w:name="_Toc436834760"/>
      <w:bookmarkStart w:id="561" w:name="_Toc9983"/>
      <w:bookmarkStart w:id="562" w:name="_Toc436834167"/>
      <w:bookmarkStart w:id="563" w:name="_Toc18940"/>
      <w:bookmarkStart w:id="564" w:name="_Toc21087"/>
      <w:bookmarkStart w:id="565" w:name="_Toc22925"/>
      <w:bookmarkStart w:id="566" w:name="_Toc399165409"/>
      <w:bookmarkStart w:id="567" w:name="_Toc247527590"/>
      <w:bookmarkStart w:id="568" w:name="_Toc152042341"/>
      <w:r>
        <w:rPr>
          <w:rFonts w:hint="eastAsia" w:ascii="宋体" w:hAnsi="宋体" w:cs="宋体"/>
          <w:bCs/>
          <w:sz w:val="28"/>
          <w:szCs w:val="28"/>
          <w:highlight w:val="none"/>
        </w:rPr>
        <w:t>6.3 评标</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135D024B">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6.3.1评标委员会按照第三章“评标办法”规定的方法、评审因素、标准和程序对投标文件进行评审。第三章“评标办法”没有规定的方法、评审因素和标准，不作为评标依据。</w:t>
      </w:r>
    </w:p>
    <w:p w14:paraId="41B701ED">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6.3.2评标完成后，评标委员会应当向招标人提交书面评标报告和中标候选人名单。评标委员会推荐中标候选人的人数见投标人须知前附表。</w:t>
      </w:r>
    </w:p>
    <w:p w14:paraId="44EA5FC4">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6.3.3评标委员会在开始评标前，应了解评标专家的职责及守则，认真阅读附件1《评标委员会成员声明》的内容并签名，签字后方可进行评标。</w:t>
      </w:r>
    </w:p>
    <w:p w14:paraId="276CBD44">
      <w:pPr>
        <w:keepNext/>
        <w:keepLines/>
        <w:spacing w:before="260" w:after="260" w:line="415" w:lineRule="auto"/>
        <w:outlineLvl w:val="1"/>
        <w:rPr>
          <w:rFonts w:hint="eastAsia" w:ascii="宋体" w:hAnsi="宋体" w:cs="宋体"/>
          <w:b/>
          <w:bCs/>
          <w:sz w:val="32"/>
          <w:szCs w:val="32"/>
          <w:highlight w:val="none"/>
        </w:rPr>
      </w:pPr>
      <w:bookmarkStart w:id="569" w:name="_Toc247513990"/>
      <w:bookmarkStart w:id="570" w:name="_Toc152042342"/>
      <w:bookmarkStart w:id="571" w:name="_Toc15814"/>
      <w:bookmarkStart w:id="572" w:name="_Toc1457"/>
      <w:bookmarkStart w:id="573" w:name="_Toc436834168"/>
      <w:bookmarkStart w:id="574" w:name="_Toc152045566"/>
      <w:bookmarkStart w:id="575" w:name="_Toc399165410"/>
      <w:bookmarkStart w:id="576" w:name="_Toc247527591"/>
      <w:bookmarkStart w:id="577" w:name="_Toc485211075"/>
      <w:bookmarkStart w:id="578" w:name="_Toc19417"/>
      <w:bookmarkStart w:id="579" w:name="_Toc436834761"/>
      <w:bookmarkStart w:id="580" w:name="_Toc11011"/>
      <w:bookmarkStart w:id="581" w:name="_Toc9325"/>
      <w:bookmarkStart w:id="582" w:name="_Toc27113"/>
      <w:bookmarkStart w:id="583" w:name="_Toc300834988"/>
      <w:bookmarkStart w:id="584" w:name="_Toc20501"/>
      <w:bookmarkStart w:id="585" w:name="_Toc144974534"/>
      <w:bookmarkStart w:id="586" w:name="_Toc16775"/>
      <w:bookmarkStart w:id="587" w:name="_Toc26489"/>
      <w:bookmarkStart w:id="588" w:name="_Toc30169"/>
      <w:r>
        <w:rPr>
          <w:rFonts w:hint="eastAsia" w:ascii="宋体" w:hAnsi="宋体" w:cs="宋体"/>
          <w:b/>
          <w:bCs/>
          <w:sz w:val="32"/>
          <w:szCs w:val="32"/>
          <w:highlight w:val="none"/>
        </w:rPr>
        <w:t>7. 合同授予</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2AF28B57">
      <w:pPr>
        <w:keepNext/>
        <w:keepLines/>
        <w:spacing w:before="260" w:after="260" w:line="415" w:lineRule="auto"/>
        <w:ind w:firstLine="137" w:firstLineChars="49"/>
        <w:outlineLvl w:val="2"/>
        <w:rPr>
          <w:rFonts w:hint="eastAsia" w:ascii="宋体" w:hAnsi="宋体" w:cs="宋体"/>
          <w:bCs/>
          <w:sz w:val="28"/>
          <w:szCs w:val="28"/>
          <w:highlight w:val="none"/>
        </w:rPr>
      </w:pPr>
      <w:bookmarkStart w:id="589" w:name="_Toc436834762"/>
      <w:bookmarkStart w:id="590" w:name="_Toc485211076"/>
      <w:bookmarkStart w:id="591" w:name="_Toc24540"/>
      <w:bookmarkStart w:id="592" w:name="_Toc247527592"/>
      <w:bookmarkStart w:id="593" w:name="_Toc152042343"/>
      <w:bookmarkStart w:id="594" w:name="_Toc247513991"/>
      <w:bookmarkStart w:id="595" w:name="_Toc26639"/>
      <w:bookmarkStart w:id="596" w:name="_Toc13774"/>
      <w:bookmarkStart w:id="597" w:name="_Toc3151"/>
      <w:bookmarkStart w:id="598" w:name="_Toc436834169"/>
      <w:bookmarkStart w:id="599" w:name="_Toc17516"/>
      <w:bookmarkStart w:id="600" w:name="_Toc32320"/>
      <w:bookmarkStart w:id="601" w:name="_Toc4558"/>
      <w:bookmarkStart w:id="602" w:name="_Toc300834989"/>
      <w:bookmarkStart w:id="603" w:name="_Toc144974535"/>
      <w:bookmarkStart w:id="604" w:name="_Toc126"/>
      <w:bookmarkStart w:id="605" w:name="_Toc23658"/>
      <w:bookmarkStart w:id="606" w:name="_Toc152045567"/>
      <w:bookmarkStart w:id="607" w:name="_Toc399165411"/>
      <w:bookmarkStart w:id="608" w:name="_Toc14648"/>
      <w:r>
        <w:rPr>
          <w:rFonts w:hint="eastAsia" w:ascii="宋体" w:hAnsi="宋体" w:cs="宋体"/>
          <w:bCs/>
          <w:sz w:val="28"/>
          <w:szCs w:val="28"/>
          <w:highlight w:val="none"/>
        </w:rPr>
        <w:t>7.1 定标方式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04D0B74F">
      <w:pPr>
        <w:spacing w:line="400" w:lineRule="exact"/>
        <w:ind w:firstLine="420" w:firstLineChars="200"/>
        <w:rPr>
          <w:rFonts w:hint="eastAsia" w:ascii="宋体" w:hAnsi="宋体" w:cs="宋体"/>
          <w:szCs w:val="24"/>
          <w:highlight w:val="none"/>
        </w:rPr>
      </w:pPr>
      <w:bookmarkStart w:id="609" w:name="_Toc1089"/>
      <w:bookmarkStart w:id="610" w:name="_Toc7129"/>
      <w:bookmarkStart w:id="611" w:name="_Toc300834990"/>
      <w:bookmarkStart w:id="612" w:name="_Toc1391"/>
      <w:bookmarkStart w:id="613" w:name="_Toc485211077"/>
      <w:bookmarkStart w:id="614" w:name="_Toc455"/>
      <w:bookmarkStart w:id="615" w:name="_Toc20879"/>
      <w:bookmarkStart w:id="616" w:name="_Toc436834170"/>
      <w:bookmarkStart w:id="617" w:name="_Toc8769"/>
      <w:bookmarkStart w:id="618" w:name="_Toc11008"/>
      <w:bookmarkStart w:id="619" w:name="_Toc8456"/>
      <w:bookmarkStart w:id="620" w:name="_Toc30794"/>
      <w:bookmarkStart w:id="621" w:name="_Toc399165412"/>
      <w:bookmarkStart w:id="622" w:name="_Toc23065"/>
      <w:bookmarkStart w:id="623" w:name="_Toc436834763"/>
      <w:r>
        <w:rPr>
          <w:rFonts w:hint="eastAsia" w:ascii="宋体" w:hAnsi="宋体" w:cs="宋体"/>
          <w:szCs w:val="24"/>
          <w:highlight w:val="none"/>
        </w:rPr>
        <w:t>除投标人须知前附表规定评标委员会直接确定中标人外，招标人依据评标委员会推荐的合格中标候选人，并经招标人组织定标委员会来确定中标人，评标委员会推荐合格中标候选人的人数见投标人须知前附表。</w:t>
      </w:r>
    </w:p>
    <w:p w14:paraId="7E68DD7A">
      <w:pPr>
        <w:keepNext/>
        <w:keepLines/>
        <w:spacing w:before="260" w:after="260" w:line="415" w:lineRule="auto"/>
        <w:ind w:firstLine="137" w:firstLineChars="49"/>
        <w:outlineLvl w:val="2"/>
        <w:rPr>
          <w:rFonts w:hint="eastAsia" w:ascii="宋体" w:hAnsi="宋体" w:cs="宋体"/>
          <w:bCs/>
          <w:sz w:val="28"/>
          <w:szCs w:val="28"/>
          <w:highlight w:val="none"/>
        </w:rPr>
      </w:pPr>
      <w:r>
        <w:rPr>
          <w:rFonts w:hint="eastAsia" w:ascii="宋体" w:hAnsi="宋体" w:cs="宋体"/>
          <w:bCs/>
          <w:sz w:val="28"/>
          <w:szCs w:val="28"/>
          <w:highlight w:val="none"/>
        </w:rPr>
        <w:t xml:space="preserve">7.2 </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hint="eastAsia" w:ascii="宋体" w:hAnsi="宋体" w:cs="宋体"/>
          <w:bCs/>
          <w:sz w:val="28"/>
          <w:szCs w:val="28"/>
          <w:highlight w:val="none"/>
        </w:rPr>
        <w:t>合格的中标候选人公示及中标结果公开</w:t>
      </w:r>
    </w:p>
    <w:p w14:paraId="688CAC1F">
      <w:pPr>
        <w:spacing w:line="400" w:lineRule="exact"/>
        <w:ind w:firstLine="420" w:firstLineChars="200"/>
        <w:rPr>
          <w:rFonts w:hint="eastAsia" w:ascii="宋体" w:hAnsi="宋体" w:cs="宋体"/>
          <w:szCs w:val="24"/>
          <w:highlight w:val="none"/>
        </w:rPr>
      </w:pPr>
      <w:bookmarkStart w:id="624" w:name="_Toc19952"/>
      <w:bookmarkStart w:id="625" w:name="_Toc436834171"/>
      <w:bookmarkStart w:id="626" w:name="_Toc144974536"/>
      <w:bookmarkStart w:id="627" w:name="_Toc13727"/>
      <w:bookmarkStart w:id="628" w:name="_Toc31317"/>
      <w:bookmarkStart w:id="629" w:name="_Toc247513992"/>
      <w:bookmarkStart w:id="630" w:name="_Toc399165413"/>
      <w:bookmarkStart w:id="631" w:name="_Toc152042344"/>
      <w:bookmarkStart w:id="632" w:name="_Toc27933"/>
      <w:bookmarkStart w:id="633" w:name="_Toc15766"/>
      <w:bookmarkStart w:id="634" w:name="_Toc247527593"/>
      <w:bookmarkStart w:id="635" w:name="_Toc8002"/>
      <w:bookmarkStart w:id="636" w:name="_Toc17946"/>
      <w:bookmarkStart w:id="637" w:name="_Toc5132"/>
      <w:bookmarkStart w:id="638" w:name="_Toc152045568"/>
      <w:bookmarkStart w:id="639" w:name="_Toc436834764"/>
      <w:bookmarkStart w:id="640" w:name="_Toc300834991"/>
      <w:bookmarkStart w:id="641" w:name="_Toc485211078"/>
      <w:bookmarkStart w:id="642" w:name="_Toc28986"/>
      <w:bookmarkStart w:id="643" w:name="_Toc3310"/>
      <w:r>
        <w:rPr>
          <w:rFonts w:hint="eastAsia" w:ascii="宋体" w:hAnsi="宋体" w:cs="宋体"/>
          <w:szCs w:val="24"/>
          <w:highlight w:val="none"/>
        </w:rPr>
        <w:t>7.2.1招标人在投标人须知前附表规定的媒介公示合格的中标候选人，合格的中标候选人不排序。公示时间为三天，公示期的最后1天应当为工作日，否则将公示期的最后1天顺延至下一个工作日。</w:t>
      </w:r>
      <w:r>
        <w:rPr>
          <w:rFonts w:hint="eastAsia" w:ascii="宋体" w:hAnsi="宋体" w:cs="宋体"/>
          <w:szCs w:val="24"/>
          <w:highlight w:val="none"/>
          <w:u w:val="single"/>
        </w:rPr>
        <w:t>投标人或其他利害关系人对评标结果有异议的，应当在中标候选人公示期间提出，可以通过线下或线上的形式提出异议。线上提交的，应通过广州交易集团有限公司（广州公共资源交易中心）交易平台进行，招标人也应通过广州交易集团有限公司（广州公共资源交易中心）交易平台答复线上提交的异议。作出答复前，应当暂停招标投标活动。</w:t>
      </w:r>
    </w:p>
    <w:p w14:paraId="6A7C5FD8">
      <w:pPr>
        <w:spacing w:line="400" w:lineRule="exact"/>
        <w:ind w:firstLine="420" w:firstLineChars="200"/>
        <w:rPr>
          <w:rFonts w:hint="eastAsia" w:ascii="宋体" w:hAnsi="宋体" w:cs="宋体"/>
          <w:szCs w:val="24"/>
          <w:highlight w:val="none"/>
          <w:u w:val="single"/>
        </w:rPr>
      </w:pPr>
      <w:r>
        <w:rPr>
          <w:rFonts w:hint="eastAsia" w:ascii="宋体" w:hAnsi="宋体" w:cs="宋体"/>
          <w:szCs w:val="24"/>
          <w:highlight w:val="none"/>
        </w:rPr>
        <w:t>7.2.2</w:t>
      </w:r>
      <w:r>
        <w:rPr>
          <w:rFonts w:hint="eastAsia" w:ascii="宋体" w:hAnsi="宋体" w:cs="宋体"/>
          <w:szCs w:val="24"/>
          <w:highlight w:val="none"/>
          <w:u w:val="single"/>
        </w:rPr>
        <w:t>因异议或投诉生效导致合格中标候选人不符合中标资格的，将取消其中标候选人资格；因异议或投诉生效导致所有中标候选人均不符合招标文件要求的，应当重新组织招标。</w:t>
      </w:r>
    </w:p>
    <w:p w14:paraId="5CD438CC">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7.2.3</w:t>
      </w:r>
      <w:r>
        <w:rPr>
          <w:rFonts w:hint="eastAsia" w:ascii="宋体" w:hAnsi="宋体" w:cs="宋体"/>
          <w:szCs w:val="24"/>
          <w:highlight w:val="none"/>
          <w:u w:val="single"/>
        </w:rPr>
        <w:t>定标工作完成后，招标人在投标人须知前附表规定的媒介公示中标结果，定标后出现中标人不符合法定情形的，招标人可从其他合格的中标候选人中采用原定标办法，由原定标委员会确定中标人，也可以重新组织招标。</w:t>
      </w:r>
    </w:p>
    <w:p w14:paraId="407FEEA3">
      <w:pPr>
        <w:keepNext/>
        <w:keepLines/>
        <w:spacing w:before="260" w:after="260" w:line="415" w:lineRule="auto"/>
        <w:ind w:firstLine="137" w:firstLineChars="49"/>
        <w:outlineLvl w:val="2"/>
        <w:rPr>
          <w:rFonts w:hint="eastAsia" w:ascii="宋体" w:hAnsi="宋体" w:cs="宋体"/>
          <w:bCs/>
          <w:sz w:val="28"/>
          <w:szCs w:val="28"/>
          <w:highlight w:val="none"/>
        </w:rPr>
      </w:pPr>
      <w:r>
        <w:rPr>
          <w:rFonts w:hint="eastAsia" w:ascii="宋体" w:hAnsi="宋体" w:cs="宋体"/>
          <w:bCs/>
          <w:sz w:val="28"/>
          <w:szCs w:val="28"/>
          <w:highlight w:val="none"/>
        </w:rPr>
        <w:t>7.3 中标通知</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30E8649D">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7.3.1在本章第3.3款规定的投标有效期内，招标人向中标人发出中标通知书，中标通知书发出前须经广州交易集团有限公司（广州公共资源交易中心）盖章确认，同时将中标结果通知未中标的投标人。中标通知书按本章附表格式填写。</w:t>
      </w:r>
    </w:p>
    <w:p w14:paraId="0C721C08">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7.3.2招标人应当自确定中标人后，向招投标监管机构提交招标投标情况的书面报告；经招投标监管机构备案后，方可发出中标通知书。中标通知书由招标人颁发，并经广州交易集团有限公司（广州公共资源交易中心）确认。</w:t>
      </w:r>
    </w:p>
    <w:p w14:paraId="62D02177">
      <w:pPr>
        <w:keepNext/>
        <w:keepLines/>
        <w:spacing w:before="260" w:after="260" w:line="415" w:lineRule="auto"/>
        <w:ind w:firstLine="137" w:firstLineChars="49"/>
        <w:outlineLvl w:val="2"/>
        <w:rPr>
          <w:rFonts w:hint="eastAsia" w:ascii="宋体" w:hAnsi="宋体" w:cs="宋体"/>
          <w:bCs/>
          <w:sz w:val="28"/>
          <w:szCs w:val="28"/>
          <w:highlight w:val="none"/>
        </w:rPr>
      </w:pPr>
      <w:bookmarkStart w:id="644" w:name="_Toc247513993"/>
      <w:bookmarkStart w:id="645" w:name="_Toc29469"/>
      <w:bookmarkStart w:id="646" w:name="_Toc144974537"/>
      <w:bookmarkStart w:id="647" w:name="_Toc436834765"/>
      <w:bookmarkStart w:id="648" w:name="_Toc11792"/>
      <w:bookmarkStart w:id="649" w:name="_Toc436834172"/>
      <w:bookmarkStart w:id="650" w:name="_Toc9996"/>
      <w:bookmarkStart w:id="651" w:name="_Toc247527594"/>
      <w:bookmarkStart w:id="652" w:name="_Toc485211079"/>
      <w:bookmarkStart w:id="653" w:name="_Toc16658"/>
      <w:bookmarkStart w:id="654" w:name="_Toc300834992"/>
      <w:bookmarkStart w:id="655" w:name="_Toc28701"/>
      <w:bookmarkStart w:id="656" w:name="_Toc152042345"/>
      <w:bookmarkStart w:id="657" w:name="_Toc32175"/>
      <w:bookmarkStart w:id="658" w:name="_Toc7052"/>
      <w:bookmarkStart w:id="659" w:name="_Toc399165414"/>
      <w:bookmarkStart w:id="660" w:name="_Toc15332"/>
      <w:bookmarkStart w:id="661" w:name="_Toc14040"/>
      <w:bookmarkStart w:id="662" w:name="_Toc20415"/>
      <w:bookmarkStart w:id="663" w:name="_Toc152045569"/>
      <w:r>
        <w:rPr>
          <w:rFonts w:hint="eastAsia" w:ascii="宋体" w:hAnsi="宋体" w:cs="宋体"/>
          <w:bCs/>
          <w:sz w:val="28"/>
          <w:szCs w:val="28"/>
          <w:highlight w:val="none"/>
        </w:rPr>
        <w:t>7.4 履约担保</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4A031362">
      <w:pPr>
        <w:spacing w:line="360" w:lineRule="auto"/>
        <w:ind w:firstLine="420" w:firstLineChars="200"/>
        <w:rPr>
          <w:rFonts w:hint="eastAsia" w:ascii="宋体" w:hAnsi="宋体" w:cs="宋体"/>
          <w:szCs w:val="21"/>
          <w:highlight w:val="none"/>
        </w:rPr>
      </w:pPr>
      <w:bookmarkStart w:id="664" w:name="_Toc436834766"/>
      <w:bookmarkStart w:id="665" w:name="_Toc399165415"/>
      <w:bookmarkStart w:id="666" w:name="_Toc28474"/>
      <w:bookmarkStart w:id="667" w:name="_Toc152042346"/>
      <w:bookmarkStart w:id="668" w:name="_Toc144974538"/>
      <w:bookmarkStart w:id="669" w:name="_Toc300834993"/>
      <w:bookmarkStart w:id="670" w:name="_Toc247527595"/>
      <w:bookmarkStart w:id="671" w:name="_Toc5465"/>
      <w:bookmarkStart w:id="672" w:name="_Toc1426"/>
      <w:bookmarkStart w:id="673" w:name="_Toc152045570"/>
      <w:bookmarkStart w:id="674" w:name="_Toc247513994"/>
      <w:bookmarkStart w:id="675" w:name="_Toc26297"/>
      <w:bookmarkStart w:id="676" w:name="_Toc16750"/>
      <w:bookmarkStart w:id="677" w:name="_Toc436834173"/>
      <w:bookmarkStart w:id="678" w:name="_Toc485211080"/>
      <w:bookmarkStart w:id="679" w:name="_Toc10427"/>
      <w:bookmarkStart w:id="680" w:name="_Toc29811"/>
      <w:bookmarkStart w:id="681" w:name="_Toc24472"/>
      <w:bookmarkStart w:id="682" w:name="_Toc13654"/>
      <w:bookmarkStart w:id="683" w:name="_Toc30893"/>
      <w:r>
        <w:rPr>
          <w:rFonts w:hint="eastAsia" w:ascii="宋体" w:hAnsi="宋体" w:cs="宋体"/>
          <w:szCs w:val="21"/>
          <w:highlight w:val="none"/>
        </w:rPr>
        <w:t>7.4.1 在签订合同前，中标人应按投标人须知前附表规定的担保形式向招标人提交履约担保。除投标人须知前附表另有规定外，履约担保金额为中标价款的10%。</w:t>
      </w:r>
    </w:p>
    <w:p w14:paraId="38DF3EF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7.4.2 中标人不能按本章第7.4.1项要求提交履约担保的，视为放弃中标，其投标担保不予退还，给招标人造成的损失超过投标担保数额的，中标人还应当对超过部分予以赔偿。</w:t>
      </w:r>
    </w:p>
    <w:p w14:paraId="6F01CFBD">
      <w:pPr>
        <w:keepNext/>
        <w:keepLines/>
        <w:spacing w:before="260" w:after="260" w:line="415" w:lineRule="auto"/>
        <w:ind w:firstLine="137" w:firstLineChars="49"/>
        <w:outlineLvl w:val="2"/>
        <w:rPr>
          <w:rFonts w:hint="eastAsia" w:ascii="宋体" w:hAnsi="宋体" w:cs="宋体"/>
          <w:bCs/>
          <w:sz w:val="28"/>
          <w:szCs w:val="28"/>
          <w:highlight w:val="none"/>
        </w:rPr>
      </w:pPr>
      <w:r>
        <w:rPr>
          <w:rFonts w:hint="eastAsia" w:ascii="宋体" w:hAnsi="宋体" w:cs="宋体"/>
          <w:bCs/>
          <w:sz w:val="28"/>
          <w:szCs w:val="28"/>
          <w:highlight w:val="none"/>
        </w:rPr>
        <w:t>7.5 签订合同</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5B6E86F6">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 xml:space="preserve">7.5.1 </w:t>
      </w:r>
      <w:r>
        <w:rPr>
          <w:rFonts w:hint="eastAsia" w:ascii="宋体" w:hAnsi="宋体" w:cs="宋体"/>
          <w:szCs w:val="24"/>
          <w:highlight w:val="none"/>
          <w:u w:val="single"/>
        </w:rPr>
        <w:t>招标人和中标人应当自中标通知书发出之日起30天内，根据招标文件和中标人的投标文件订立书面合同。中标人无正当理由拒签合同的，招标人取消其中标资格；给招标人造成损失的，中标人还应当予以赔偿。</w:t>
      </w:r>
    </w:p>
    <w:p w14:paraId="226E68DE">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 xml:space="preserve">7.5.2 </w:t>
      </w:r>
      <w:r>
        <w:rPr>
          <w:rFonts w:hint="eastAsia" w:ascii="宋体" w:hAnsi="宋体" w:cs="宋体"/>
          <w:szCs w:val="24"/>
          <w:highlight w:val="none"/>
          <w:u w:val="single"/>
        </w:rPr>
        <w:t>发出中标通知书后，招标人无正当理由拒签合同的，给中标人造成损失的，还应当赔偿损失。</w:t>
      </w:r>
    </w:p>
    <w:p w14:paraId="4DE88E72">
      <w:pPr>
        <w:spacing w:line="400" w:lineRule="exact"/>
        <w:ind w:firstLine="420" w:firstLineChars="200"/>
        <w:rPr>
          <w:rFonts w:hint="eastAsia" w:ascii="宋体" w:hAnsi="宋体" w:cs="宋体"/>
          <w:szCs w:val="24"/>
          <w:highlight w:val="none"/>
          <w:u w:val="single"/>
        </w:rPr>
      </w:pPr>
    </w:p>
    <w:p w14:paraId="6577065E">
      <w:pPr>
        <w:keepNext/>
        <w:keepLines/>
        <w:spacing w:before="260" w:after="260" w:line="415" w:lineRule="auto"/>
        <w:outlineLvl w:val="1"/>
        <w:rPr>
          <w:rFonts w:hint="eastAsia" w:ascii="宋体" w:hAnsi="宋体" w:cs="宋体"/>
          <w:b/>
          <w:bCs/>
          <w:sz w:val="32"/>
          <w:szCs w:val="32"/>
          <w:highlight w:val="none"/>
        </w:rPr>
      </w:pPr>
      <w:bookmarkStart w:id="684" w:name="_Toc144974539"/>
      <w:bookmarkStart w:id="685" w:name="_Toc152042347"/>
      <w:bookmarkStart w:id="686" w:name="_Toc247513995"/>
      <w:bookmarkStart w:id="687" w:name="_Toc152045571"/>
      <w:bookmarkStart w:id="688" w:name="_Toc247527596"/>
      <w:bookmarkStart w:id="689" w:name="_Toc18789"/>
      <w:bookmarkStart w:id="690" w:name="_Toc29250"/>
      <w:bookmarkStart w:id="691" w:name="_Toc5708"/>
      <w:bookmarkStart w:id="692" w:name="_Toc25566"/>
      <w:bookmarkStart w:id="693" w:name="_Toc6337"/>
      <w:bookmarkStart w:id="694" w:name="_Toc28927"/>
      <w:bookmarkStart w:id="695" w:name="_Toc11110"/>
      <w:bookmarkStart w:id="696" w:name="_Toc300834994"/>
      <w:bookmarkStart w:id="697" w:name="_Toc436834174"/>
      <w:bookmarkStart w:id="698" w:name="_Toc485211081"/>
      <w:bookmarkStart w:id="699" w:name="_Toc23073"/>
      <w:bookmarkStart w:id="700" w:name="_Toc399165416"/>
      <w:bookmarkStart w:id="701" w:name="_Toc436834767"/>
      <w:bookmarkStart w:id="702" w:name="_Toc30528"/>
      <w:bookmarkStart w:id="703" w:name="_Toc7834"/>
      <w:r>
        <w:rPr>
          <w:rFonts w:hint="eastAsia" w:ascii="宋体" w:hAnsi="宋体" w:cs="宋体"/>
          <w:b/>
          <w:bCs/>
          <w:sz w:val="32"/>
          <w:szCs w:val="32"/>
          <w:highlight w:val="none"/>
        </w:rPr>
        <w:t>8.</w:t>
      </w:r>
      <w:bookmarkEnd w:id="684"/>
      <w:bookmarkEnd w:id="685"/>
      <w:bookmarkEnd w:id="686"/>
      <w:bookmarkEnd w:id="687"/>
      <w:bookmarkEnd w:id="688"/>
      <w:bookmarkStart w:id="704" w:name="_Toc144974542"/>
      <w:bookmarkStart w:id="705" w:name="_Toc247513998"/>
      <w:bookmarkStart w:id="706" w:name="_Toc152042350"/>
      <w:bookmarkStart w:id="707" w:name="_Toc152045574"/>
      <w:bookmarkStart w:id="708" w:name="_Toc247527599"/>
      <w:r>
        <w:rPr>
          <w:rFonts w:hint="eastAsia" w:ascii="宋体" w:hAnsi="宋体" w:cs="宋体"/>
          <w:b/>
          <w:bCs/>
          <w:sz w:val="32"/>
          <w:szCs w:val="32"/>
          <w:highlight w:val="none"/>
        </w:rPr>
        <w:t xml:space="preserve"> 纪律和监督</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4F28B605">
      <w:pPr>
        <w:keepNext/>
        <w:keepLines/>
        <w:spacing w:before="260" w:after="260" w:line="415" w:lineRule="auto"/>
        <w:ind w:firstLine="137" w:firstLineChars="49"/>
        <w:outlineLvl w:val="2"/>
        <w:rPr>
          <w:rFonts w:hint="eastAsia" w:ascii="宋体" w:hAnsi="宋体" w:cs="宋体"/>
          <w:bCs/>
          <w:sz w:val="28"/>
          <w:szCs w:val="28"/>
          <w:highlight w:val="none"/>
        </w:rPr>
      </w:pPr>
      <w:bookmarkStart w:id="709" w:name="_Toc247527600"/>
      <w:bookmarkStart w:id="710" w:name="_Toc3121"/>
      <w:bookmarkStart w:id="711" w:name="_Toc1452"/>
      <w:bookmarkStart w:id="712" w:name="_Toc152045575"/>
      <w:bookmarkStart w:id="713" w:name="_Toc26815"/>
      <w:bookmarkStart w:id="714" w:name="_Toc25574"/>
      <w:bookmarkStart w:id="715" w:name="_Toc247513999"/>
      <w:bookmarkStart w:id="716" w:name="_Toc1360"/>
      <w:bookmarkStart w:id="717" w:name="_Toc144974543"/>
      <w:bookmarkStart w:id="718" w:name="_Toc485211082"/>
      <w:bookmarkStart w:id="719" w:name="_Toc8648"/>
      <w:bookmarkStart w:id="720" w:name="_Toc25919"/>
      <w:bookmarkStart w:id="721" w:name="_Toc24913"/>
      <w:bookmarkStart w:id="722" w:name="_Toc152042351"/>
      <w:bookmarkStart w:id="723" w:name="_Toc23464"/>
      <w:bookmarkStart w:id="724" w:name="_Toc300834995"/>
      <w:bookmarkStart w:id="725" w:name="_Toc436834175"/>
      <w:bookmarkStart w:id="726" w:name="_Toc399165417"/>
      <w:bookmarkStart w:id="727" w:name="_Toc5172"/>
      <w:bookmarkStart w:id="728" w:name="_Toc436834768"/>
      <w:r>
        <w:rPr>
          <w:rFonts w:hint="eastAsia" w:ascii="宋体" w:hAnsi="宋体" w:cs="宋体"/>
          <w:bCs/>
          <w:sz w:val="28"/>
          <w:szCs w:val="28"/>
          <w:highlight w:val="none"/>
        </w:rPr>
        <w:t>8.1 对招标人的纪律要求</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1797959B">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招标人不得泄露招标投标活动中应当保密的情况和资料，不得与投标人串通损害国家利益、社会公共利益或者他人合法权益。</w:t>
      </w:r>
    </w:p>
    <w:p w14:paraId="77ECDB6F">
      <w:pPr>
        <w:keepNext/>
        <w:keepLines/>
        <w:spacing w:before="260" w:after="260" w:line="415" w:lineRule="auto"/>
        <w:ind w:firstLine="137" w:firstLineChars="49"/>
        <w:outlineLvl w:val="2"/>
        <w:rPr>
          <w:rFonts w:hint="eastAsia" w:ascii="宋体" w:hAnsi="宋体" w:cs="宋体"/>
          <w:bCs/>
          <w:sz w:val="28"/>
          <w:szCs w:val="28"/>
          <w:highlight w:val="none"/>
        </w:rPr>
      </w:pPr>
      <w:bookmarkStart w:id="729" w:name="_Toc3971"/>
      <w:bookmarkStart w:id="730" w:name="_Toc152042352"/>
      <w:bookmarkStart w:id="731" w:name="_Toc300834996"/>
      <w:bookmarkStart w:id="732" w:name="_Toc436834769"/>
      <w:bookmarkStart w:id="733" w:name="_Toc24737"/>
      <w:bookmarkStart w:id="734" w:name="_Toc28773"/>
      <w:bookmarkStart w:id="735" w:name="_Toc144974544"/>
      <w:bookmarkStart w:id="736" w:name="_Toc10085"/>
      <w:bookmarkStart w:id="737" w:name="_Toc11497"/>
      <w:bookmarkStart w:id="738" w:name="_Toc25854"/>
      <w:bookmarkStart w:id="739" w:name="_Toc9604"/>
      <w:bookmarkStart w:id="740" w:name="_Toc399165418"/>
      <w:bookmarkStart w:id="741" w:name="_Toc485211083"/>
      <w:bookmarkStart w:id="742" w:name="_Toc436834176"/>
      <w:bookmarkStart w:id="743" w:name="_Toc7793"/>
      <w:bookmarkStart w:id="744" w:name="_Toc152045576"/>
      <w:bookmarkStart w:id="745" w:name="_Toc7734"/>
      <w:bookmarkStart w:id="746" w:name="_Toc247514000"/>
      <w:bookmarkStart w:id="747" w:name="_Toc21966"/>
      <w:bookmarkStart w:id="748" w:name="_Toc247527601"/>
      <w:r>
        <w:rPr>
          <w:rFonts w:hint="eastAsia" w:ascii="宋体" w:hAnsi="宋体" w:cs="宋体"/>
          <w:bCs/>
          <w:sz w:val="28"/>
          <w:szCs w:val="28"/>
          <w:highlight w:val="none"/>
        </w:rPr>
        <w:t>8.2 对投标人的纪律要求</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286B2A87">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1956025">
      <w:pPr>
        <w:keepNext/>
        <w:keepLines/>
        <w:spacing w:before="260" w:after="260" w:line="415" w:lineRule="auto"/>
        <w:ind w:firstLine="137" w:firstLineChars="49"/>
        <w:outlineLvl w:val="2"/>
        <w:rPr>
          <w:rFonts w:hint="eastAsia" w:ascii="宋体" w:hAnsi="宋体" w:cs="宋体"/>
          <w:bCs/>
          <w:sz w:val="28"/>
          <w:szCs w:val="28"/>
          <w:highlight w:val="none"/>
        </w:rPr>
      </w:pPr>
      <w:bookmarkStart w:id="749" w:name="_Toc7942"/>
      <w:bookmarkStart w:id="750" w:name="_Toc247527602"/>
      <w:bookmarkStart w:id="751" w:name="_Toc14578"/>
      <w:bookmarkStart w:id="752" w:name="_Toc247514001"/>
      <w:bookmarkStart w:id="753" w:name="_Toc5574"/>
      <w:bookmarkStart w:id="754" w:name="_Toc485211084"/>
      <w:bookmarkStart w:id="755" w:name="_Toc144974545"/>
      <w:bookmarkStart w:id="756" w:name="_Toc436834177"/>
      <w:bookmarkStart w:id="757" w:name="_Toc18726"/>
      <w:bookmarkStart w:id="758" w:name="_Toc13115"/>
      <w:bookmarkStart w:id="759" w:name="_Toc16502"/>
      <w:bookmarkStart w:id="760" w:name="_Toc152045577"/>
      <w:bookmarkStart w:id="761" w:name="_Toc300834997"/>
      <w:bookmarkStart w:id="762" w:name="_Toc20671"/>
      <w:bookmarkStart w:id="763" w:name="_Toc399165419"/>
      <w:bookmarkStart w:id="764" w:name="_Toc152042353"/>
      <w:bookmarkStart w:id="765" w:name="_Toc436834770"/>
      <w:bookmarkStart w:id="766" w:name="_Toc9436"/>
      <w:bookmarkStart w:id="767" w:name="_Toc12847"/>
      <w:bookmarkStart w:id="768" w:name="_Toc9452"/>
      <w:r>
        <w:rPr>
          <w:rFonts w:hint="eastAsia" w:ascii="宋体" w:hAnsi="宋体" w:cs="宋体"/>
          <w:bCs/>
          <w:sz w:val="28"/>
          <w:szCs w:val="28"/>
          <w:highlight w:val="none"/>
        </w:rPr>
        <w:t>8.3 对评标委员会成员的纪律要求</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3E51042C">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BA48DFD">
      <w:pPr>
        <w:keepNext/>
        <w:keepLines/>
        <w:spacing w:before="260" w:after="260" w:line="415" w:lineRule="auto"/>
        <w:ind w:firstLine="137" w:firstLineChars="49"/>
        <w:outlineLvl w:val="2"/>
        <w:rPr>
          <w:rFonts w:hint="eastAsia" w:ascii="宋体" w:hAnsi="宋体" w:cs="宋体"/>
          <w:bCs/>
          <w:sz w:val="28"/>
          <w:szCs w:val="28"/>
          <w:highlight w:val="none"/>
        </w:rPr>
      </w:pPr>
      <w:bookmarkStart w:id="769" w:name="_Toc13534"/>
      <w:bookmarkStart w:id="770" w:name="_Toc2073"/>
      <w:bookmarkStart w:id="771" w:name="_Toc485211085"/>
      <w:bookmarkStart w:id="772" w:name="_Toc15426"/>
      <w:bookmarkStart w:id="773" w:name="_Toc9582"/>
      <w:bookmarkStart w:id="774" w:name="_Toc247527603"/>
      <w:bookmarkStart w:id="775" w:name="_Toc152045578"/>
      <w:bookmarkStart w:id="776" w:name="_Toc300834998"/>
      <w:bookmarkStart w:id="777" w:name="_Toc6372"/>
      <w:bookmarkStart w:id="778" w:name="_Toc424"/>
      <w:bookmarkStart w:id="779" w:name="_Toc436834771"/>
      <w:bookmarkStart w:id="780" w:name="_Toc23424"/>
      <w:bookmarkStart w:id="781" w:name="_Toc28465"/>
      <w:bookmarkStart w:id="782" w:name="_Toc436834178"/>
      <w:bookmarkStart w:id="783" w:name="_Toc399165420"/>
      <w:bookmarkStart w:id="784" w:name="_Toc247514002"/>
      <w:bookmarkStart w:id="785" w:name="_Toc24670"/>
      <w:bookmarkStart w:id="786" w:name="_Toc13233"/>
      <w:bookmarkStart w:id="787" w:name="_Toc152042354"/>
      <w:bookmarkStart w:id="788" w:name="_Toc144974546"/>
      <w:r>
        <w:rPr>
          <w:rFonts w:hint="eastAsia" w:ascii="宋体" w:hAnsi="宋体" w:cs="宋体"/>
          <w:bCs/>
          <w:sz w:val="28"/>
          <w:szCs w:val="28"/>
          <w:highlight w:val="none"/>
        </w:rPr>
        <w:t>8.4 对与评标活动有关的工作人员的纪律要求</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7C064CE5">
      <w:pPr>
        <w:spacing w:line="400" w:lineRule="exact"/>
        <w:ind w:firstLine="420" w:firstLineChars="200"/>
        <w:rPr>
          <w:rFonts w:hint="eastAsia" w:ascii="宋体" w:hAnsi="宋体" w:cs="宋体"/>
          <w:szCs w:val="24"/>
          <w:highlight w:val="none"/>
        </w:rPr>
      </w:pPr>
      <w:bookmarkStart w:id="789" w:name="_Toc152042355"/>
      <w:r>
        <w:rPr>
          <w:rFonts w:hint="eastAsia" w:ascii="宋体" w:hAnsi="宋体" w:cs="宋体"/>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bookmarkEnd w:id="789"/>
    </w:p>
    <w:p w14:paraId="265F217D">
      <w:pPr>
        <w:keepNext/>
        <w:keepLines/>
        <w:spacing w:before="260" w:after="260" w:line="415" w:lineRule="auto"/>
        <w:ind w:firstLine="137" w:firstLineChars="49"/>
        <w:outlineLvl w:val="2"/>
        <w:rPr>
          <w:rFonts w:hint="eastAsia" w:ascii="宋体" w:hAnsi="宋体" w:cs="宋体"/>
          <w:bCs/>
          <w:sz w:val="28"/>
          <w:szCs w:val="28"/>
          <w:highlight w:val="none"/>
        </w:rPr>
      </w:pPr>
      <w:bookmarkStart w:id="790" w:name="_Toc485211086"/>
      <w:bookmarkStart w:id="791" w:name="_Toc2374"/>
      <w:bookmarkStart w:id="792" w:name="_Toc738"/>
      <w:bookmarkStart w:id="793" w:name="_Toc247514003"/>
      <w:bookmarkStart w:id="794" w:name="_Toc247527604"/>
      <w:bookmarkStart w:id="795" w:name="_Toc28353"/>
      <w:bookmarkStart w:id="796" w:name="_Toc27663"/>
      <w:bookmarkStart w:id="797" w:name="_Toc15882"/>
      <w:bookmarkStart w:id="798" w:name="_Toc152042356"/>
      <w:bookmarkStart w:id="799" w:name="_Toc8527"/>
      <w:bookmarkStart w:id="800" w:name="_Toc399165421"/>
      <w:bookmarkStart w:id="801" w:name="_Toc5305"/>
      <w:bookmarkStart w:id="802" w:name="_Toc21901"/>
      <w:bookmarkStart w:id="803" w:name="_Toc10059"/>
      <w:bookmarkStart w:id="804" w:name="_Toc300834999"/>
      <w:bookmarkStart w:id="805" w:name="_Toc436834772"/>
      <w:bookmarkStart w:id="806" w:name="_Toc22999"/>
      <w:bookmarkStart w:id="807" w:name="_Toc436834179"/>
      <w:bookmarkStart w:id="808" w:name="_Toc152045579"/>
      <w:r>
        <w:rPr>
          <w:rFonts w:hint="eastAsia" w:ascii="宋体" w:hAnsi="宋体" w:cs="宋体"/>
          <w:bCs/>
          <w:sz w:val="28"/>
          <w:szCs w:val="28"/>
          <w:highlight w:val="none"/>
        </w:rPr>
        <w:t>8.5 投诉</w:t>
      </w:r>
      <w:bookmarkEnd w:id="788"/>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14:paraId="62AB83A8">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投标人和其他利害关系人认为本次招标活动违反法律、法规和规章规定的，有权向有关行政监督部门投诉。</w:t>
      </w:r>
    </w:p>
    <w:p w14:paraId="33210328">
      <w:pPr>
        <w:keepNext/>
        <w:keepLines/>
        <w:spacing w:before="260" w:after="260" w:line="415" w:lineRule="auto"/>
        <w:outlineLvl w:val="1"/>
        <w:rPr>
          <w:rFonts w:hint="eastAsia" w:ascii="宋体" w:hAnsi="宋体" w:cs="宋体"/>
          <w:b/>
          <w:bCs/>
          <w:sz w:val="32"/>
          <w:szCs w:val="32"/>
          <w:highlight w:val="none"/>
        </w:rPr>
      </w:pPr>
      <w:bookmarkStart w:id="809" w:name="_Toc11995"/>
      <w:bookmarkStart w:id="810" w:name="_Toc247514004"/>
      <w:bookmarkStart w:id="811" w:name="_Toc144974547"/>
      <w:bookmarkStart w:id="812" w:name="_Toc9615"/>
      <w:bookmarkStart w:id="813" w:name="_Toc399165422"/>
      <w:bookmarkStart w:id="814" w:name="_Toc152042357"/>
      <w:bookmarkStart w:id="815" w:name="_Toc152045580"/>
      <w:bookmarkStart w:id="816" w:name="_Toc22539"/>
      <w:bookmarkStart w:id="817" w:name="_Toc11182"/>
      <w:bookmarkStart w:id="818" w:name="_Toc22770"/>
      <w:bookmarkStart w:id="819" w:name="_Toc436834773"/>
      <w:bookmarkStart w:id="820" w:name="_Toc436834180"/>
      <w:bookmarkStart w:id="821" w:name="_Toc18590"/>
      <w:bookmarkStart w:id="822" w:name="_Toc6670"/>
      <w:bookmarkStart w:id="823" w:name="_Toc247527605"/>
      <w:bookmarkStart w:id="824" w:name="_Toc1548"/>
      <w:bookmarkStart w:id="825" w:name="_Toc13569"/>
      <w:bookmarkStart w:id="826" w:name="_Toc485211087"/>
      <w:bookmarkStart w:id="827" w:name="_Toc300835000"/>
      <w:bookmarkStart w:id="828" w:name="_Toc5380"/>
      <w:r>
        <w:rPr>
          <w:rFonts w:hint="eastAsia" w:ascii="宋体" w:hAnsi="宋体" w:cs="宋体"/>
          <w:b/>
          <w:bCs/>
          <w:sz w:val="32"/>
          <w:szCs w:val="32"/>
          <w:highlight w:val="none"/>
        </w:rPr>
        <w:t>9. 需要补充的其他内容</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2F3F8E52">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需要补充的其他内容：见《投标人须知前附表》。</w:t>
      </w:r>
    </w:p>
    <w:p w14:paraId="7450A746">
      <w:pPr>
        <w:keepNext/>
        <w:keepLines/>
        <w:spacing w:before="260" w:after="260" w:line="415" w:lineRule="auto"/>
        <w:outlineLvl w:val="1"/>
        <w:rPr>
          <w:rFonts w:hint="eastAsia" w:ascii="宋体" w:hAnsi="宋体" w:cs="宋体"/>
          <w:b/>
          <w:bCs/>
          <w:sz w:val="32"/>
          <w:szCs w:val="32"/>
          <w:highlight w:val="none"/>
        </w:rPr>
      </w:pPr>
      <w:bookmarkStart w:id="829" w:name="_Toc29749"/>
      <w:bookmarkStart w:id="830" w:name="_Toc300835001"/>
      <w:bookmarkStart w:id="831" w:name="_Toc436834181"/>
      <w:bookmarkStart w:id="832" w:name="_Toc10898"/>
      <w:bookmarkStart w:id="833" w:name="_Toc144"/>
      <w:bookmarkStart w:id="834" w:name="_Toc19525"/>
      <w:bookmarkStart w:id="835" w:name="_Toc15755"/>
      <w:bookmarkStart w:id="836" w:name="_Toc399165423"/>
      <w:bookmarkStart w:id="837" w:name="_Toc18743"/>
      <w:bookmarkStart w:id="838" w:name="_Toc5960"/>
      <w:bookmarkStart w:id="839" w:name="_Toc21545"/>
      <w:bookmarkStart w:id="840" w:name="_Toc436834774"/>
      <w:bookmarkStart w:id="841" w:name="_Toc485211088"/>
      <w:bookmarkStart w:id="842" w:name="_Toc29306"/>
      <w:bookmarkStart w:id="843" w:name="_Toc10015"/>
      <w:r>
        <w:rPr>
          <w:rFonts w:hint="eastAsia" w:ascii="宋体" w:hAnsi="宋体" w:cs="宋体"/>
          <w:b/>
          <w:bCs/>
          <w:sz w:val="32"/>
          <w:szCs w:val="32"/>
          <w:highlight w:val="none"/>
        </w:rPr>
        <w:t>10. 电子招标投标</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7D191B77">
      <w:pPr>
        <w:spacing w:line="400" w:lineRule="exact"/>
        <w:ind w:firstLine="420" w:firstLineChars="200"/>
        <w:rPr>
          <w:rFonts w:hint="eastAsia" w:ascii="宋体" w:hAnsi="宋体" w:cs="宋体"/>
          <w:szCs w:val="24"/>
          <w:highlight w:val="none"/>
          <w:u w:val="single"/>
        </w:rPr>
      </w:pPr>
      <w:r>
        <w:rPr>
          <w:rFonts w:hint="eastAsia" w:ascii="宋体" w:hAnsi="宋体" w:cs="宋体"/>
          <w:szCs w:val="24"/>
          <w:highlight w:val="none"/>
          <w:u w:val="single"/>
        </w:rPr>
        <w:t>本项目采用电子招标投标。投标人需按招标文件要求提交电子投标文件。</w:t>
      </w:r>
    </w:p>
    <w:p w14:paraId="013DE865">
      <w:pPr>
        <w:spacing w:line="400" w:lineRule="exact"/>
        <w:ind w:firstLine="420" w:firstLineChars="200"/>
        <w:rPr>
          <w:rFonts w:hint="eastAsia" w:ascii="宋体" w:hAnsi="宋体" w:cs="宋体"/>
          <w:szCs w:val="24"/>
          <w:highlight w:val="none"/>
        </w:rPr>
      </w:pPr>
    </w:p>
    <w:p w14:paraId="13105EA1">
      <w:pPr>
        <w:keepNext/>
        <w:keepLines/>
        <w:spacing w:before="260" w:after="260" w:line="415" w:lineRule="auto"/>
        <w:outlineLvl w:val="1"/>
        <w:rPr>
          <w:rFonts w:hint="eastAsia" w:ascii="宋体" w:hAnsi="宋体" w:cs="宋体"/>
          <w:szCs w:val="24"/>
          <w:highlight w:val="none"/>
        </w:rPr>
      </w:pPr>
    </w:p>
    <w:p w14:paraId="66F0AFB0">
      <w:pPr>
        <w:keepNext/>
        <w:keepLines/>
        <w:spacing w:before="260" w:after="260" w:line="415" w:lineRule="auto"/>
        <w:outlineLvl w:val="1"/>
        <w:rPr>
          <w:rFonts w:hint="eastAsia" w:ascii="宋体" w:hAnsi="宋体" w:cs="宋体"/>
          <w:szCs w:val="24"/>
          <w:highlight w:val="none"/>
        </w:rPr>
        <w:sectPr>
          <w:headerReference r:id="rId6" w:type="default"/>
          <w:footerReference r:id="rId7" w:type="default"/>
          <w:pgSz w:w="11905" w:h="16838"/>
          <w:pgMar w:top="1417" w:right="1417" w:bottom="1417" w:left="1417" w:header="567" w:footer="850" w:gutter="0"/>
          <w:pgNumType w:start="1"/>
          <w:cols w:space="720" w:num="1"/>
          <w:docGrid w:type="lines" w:linePitch="312" w:charSpace="0"/>
        </w:sectPr>
      </w:pPr>
    </w:p>
    <w:p w14:paraId="31B458E2">
      <w:pPr>
        <w:jc w:val="left"/>
        <w:rPr>
          <w:rFonts w:hint="eastAsia" w:ascii="黑体" w:hAnsi="黑体" w:eastAsia="黑体"/>
          <w:sz w:val="32"/>
          <w:szCs w:val="32"/>
          <w:highlight w:val="none"/>
        </w:rPr>
      </w:pPr>
      <w:bookmarkStart w:id="844" w:name="_Toc3477"/>
      <w:bookmarkStart w:id="845" w:name="_Toc485211089"/>
      <w:bookmarkStart w:id="846" w:name="_Toc14581"/>
      <w:bookmarkStart w:id="847" w:name="_Toc152042358"/>
      <w:bookmarkStart w:id="848" w:name="_Toc152045581"/>
      <w:bookmarkStart w:id="849" w:name="_Toc247514005"/>
      <w:bookmarkStart w:id="850" w:name="_Toc144974548"/>
      <w:bookmarkStart w:id="851" w:name="_Toc1292"/>
      <w:bookmarkStart w:id="852" w:name="_Toc32530"/>
      <w:bookmarkStart w:id="853" w:name="_Toc12839"/>
      <w:bookmarkStart w:id="854" w:name="_Toc17173"/>
      <w:bookmarkStart w:id="855" w:name="_Toc3212"/>
      <w:bookmarkStart w:id="856" w:name="_Toc247527606"/>
      <w:bookmarkStart w:id="857" w:name="_Toc16275"/>
      <w:bookmarkStart w:id="858" w:name="_Toc1539"/>
      <w:bookmarkStart w:id="859" w:name="_Toc13480"/>
      <w:r>
        <w:rPr>
          <w:rFonts w:hint="eastAsia" w:ascii="黑体" w:hAnsi="黑体" w:eastAsia="黑体"/>
          <w:sz w:val="32"/>
          <w:szCs w:val="32"/>
          <w:highlight w:val="none"/>
        </w:rPr>
        <w:t>附件</w:t>
      </w:r>
      <w:r>
        <w:rPr>
          <w:rFonts w:ascii="黑体" w:hAnsi="黑体" w:eastAsia="黑体"/>
          <w:sz w:val="32"/>
          <w:szCs w:val="32"/>
          <w:highlight w:val="none"/>
        </w:rPr>
        <w:t>1</w:t>
      </w:r>
    </w:p>
    <w:p w14:paraId="0C9F3BD6">
      <w:pPr>
        <w:ind w:firstLine="640" w:firstLineChars="200"/>
        <w:jc w:val="center"/>
        <w:rPr>
          <w:rFonts w:hint="eastAsia" w:ascii="黑体" w:hAnsi="黑体" w:eastAsia="黑体"/>
          <w:sz w:val="32"/>
          <w:szCs w:val="32"/>
          <w:highlight w:val="none"/>
        </w:rPr>
      </w:pPr>
      <w:r>
        <w:rPr>
          <w:rFonts w:hint="eastAsia" w:ascii="黑体" w:hAnsi="黑体" w:eastAsia="黑体"/>
          <w:sz w:val="32"/>
          <w:szCs w:val="32"/>
          <w:highlight w:val="none"/>
        </w:rPr>
        <w:t>评标委员会成员声明</w:t>
      </w:r>
    </w:p>
    <w:p w14:paraId="6FF31E21">
      <w:pPr>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u w:val="single"/>
        </w:rPr>
        <w:t xml:space="preserve">   本项目招标人  </w:t>
      </w:r>
      <w:r>
        <w:rPr>
          <w:rFonts w:hint="eastAsia" w:asciiTheme="majorEastAsia" w:hAnsiTheme="majorEastAsia" w:eastAsiaTheme="majorEastAsia" w:cstheme="majorEastAsia"/>
          <w:sz w:val="32"/>
          <w:szCs w:val="32"/>
          <w:highlight w:val="none"/>
        </w:rPr>
        <w:t>：</w:t>
      </w:r>
    </w:p>
    <w:p w14:paraId="01A6902E">
      <w:pPr>
        <w:ind w:firstLine="640" w:firstLineChars="200"/>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本人就参与</w:t>
      </w:r>
      <w:r>
        <w:rPr>
          <w:rFonts w:hint="eastAsia" w:asciiTheme="majorEastAsia" w:hAnsiTheme="majorEastAsia" w:eastAsiaTheme="majorEastAsia" w:cstheme="majorEastAsia"/>
          <w:sz w:val="32"/>
          <w:szCs w:val="32"/>
          <w:highlight w:val="none"/>
          <w:u w:val="single"/>
        </w:rPr>
        <w:t>夏港街立体公共停车场建设项目设计施工总承包</w:t>
      </w:r>
      <w:r>
        <w:rPr>
          <w:rFonts w:hint="eastAsia" w:asciiTheme="majorEastAsia" w:hAnsiTheme="majorEastAsia" w:eastAsiaTheme="majorEastAsia" w:cstheme="majorEastAsia"/>
          <w:sz w:val="32"/>
          <w:szCs w:val="32"/>
          <w:highlight w:val="none"/>
        </w:rPr>
        <w:t>项目的评标工作，作出郑重声明：</w:t>
      </w:r>
    </w:p>
    <w:p w14:paraId="530B6613">
      <w:pPr>
        <w:ind w:firstLine="640" w:firstLineChars="200"/>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51D56A9">
      <w:pPr>
        <w:ind w:firstLine="640" w:firstLineChars="200"/>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5828C81C">
      <w:pPr>
        <w:ind w:firstLine="640" w:firstLineChars="200"/>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4D59D2E">
      <w:pPr>
        <w:ind w:firstLine="640" w:firstLineChars="200"/>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6317CEA">
      <w:pPr>
        <w:ind w:firstLine="640" w:firstLineChars="200"/>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5E2B9115">
      <w:pPr>
        <w:ind w:firstLine="640" w:firstLineChars="200"/>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如果本人违反上述声明内容，造成的后果由本人自行承担。</w:t>
      </w:r>
    </w:p>
    <w:p w14:paraId="34ED9CE2">
      <w:pPr>
        <w:ind w:firstLine="640" w:firstLineChars="200"/>
        <w:rPr>
          <w:rFonts w:hint="eastAsia" w:asciiTheme="majorEastAsia" w:hAnsiTheme="majorEastAsia" w:eastAsiaTheme="majorEastAsia" w:cstheme="majorEastAsia"/>
          <w:sz w:val="32"/>
          <w:szCs w:val="32"/>
          <w:highlight w:val="none"/>
        </w:rPr>
      </w:pPr>
    </w:p>
    <w:p w14:paraId="44334CD8">
      <w:pPr>
        <w:ind w:firstLine="640" w:firstLineChars="200"/>
        <w:rPr>
          <w:rFonts w:hint="eastAsia" w:asciiTheme="majorEastAsia" w:hAnsiTheme="majorEastAsia" w:eastAsiaTheme="majorEastAsia" w:cstheme="majorEastAsia"/>
          <w:sz w:val="32"/>
          <w:szCs w:val="32"/>
          <w:highlight w:val="none"/>
          <w:u w:val="single"/>
        </w:rPr>
      </w:pPr>
      <w:r>
        <w:rPr>
          <w:rFonts w:hint="eastAsia" w:asciiTheme="majorEastAsia" w:hAnsiTheme="majorEastAsia" w:eastAsiaTheme="majorEastAsia" w:cstheme="majorEastAsia"/>
          <w:sz w:val="32"/>
          <w:szCs w:val="32"/>
          <w:highlight w:val="none"/>
        </w:rPr>
        <w:t xml:space="preserve">                             声明人：</w:t>
      </w:r>
      <w:r>
        <w:rPr>
          <w:rFonts w:hint="eastAsia" w:asciiTheme="majorEastAsia" w:hAnsiTheme="majorEastAsia" w:eastAsiaTheme="majorEastAsia" w:cstheme="majorEastAsia"/>
          <w:sz w:val="32"/>
          <w:szCs w:val="32"/>
          <w:highlight w:val="none"/>
          <w:u w:val="single"/>
        </w:rPr>
        <w:t xml:space="preserve">（签名）  </w:t>
      </w:r>
    </w:p>
    <w:p w14:paraId="785E9199">
      <w:pPr>
        <w:rPr>
          <w:rFonts w:ascii="仿宋_GB2312" w:eastAsia="仿宋_GB2312"/>
          <w:sz w:val="32"/>
          <w:szCs w:val="32"/>
          <w:highlight w:val="none"/>
        </w:rPr>
      </w:pPr>
    </w:p>
    <w:p w14:paraId="6C8AD497">
      <w:pPr>
        <w:pStyle w:val="22"/>
        <w:rPr>
          <w:highlight w:val="none"/>
        </w:rPr>
      </w:pPr>
    </w:p>
    <w:p w14:paraId="7659285E">
      <w:pPr>
        <w:rPr>
          <w:rFonts w:hint="eastAsia" w:ascii="宋体" w:hAnsi="宋体" w:cs="宋体"/>
          <w:bCs/>
          <w:sz w:val="28"/>
          <w:szCs w:val="28"/>
          <w:highlight w:val="none"/>
        </w:rPr>
      </w:pPr>
      <w:r>
        <w:rPr>
          <w:rFonts w:hint="eastAsia" w:ascii="宋体" w:hAnsi="宋体" w:cs="宋体"/>
          <w:bCs/>
          <w:sz w:val="28"/>
          <w:szCs w:val="28"/>
          <w:highlight w:val="none"/>
        </w:rPr>
        <w:br w:type="page"/>
      </w:r>
    </w:p>
    <w:p w14:paraId="0BBCCA77">
      <w:pPr>
        <w:keepNext/>
        <w:keepLines/>
        <w:spacing w:before="260" w:after="260" w:line="415" w:lineRule="auto"/>
        <w:ind w:firstLine="137" w:firstLineChars="49"/>
        <w:outlineLvl w:val="2"/>
        <w:rPr>
          <w:rFonts w:hint="eastAsia" w:ascii="宋体" w:hAnsi="宋体" w:cs="宋体"/>
          <w:bCs/>
          <w:sz w:val="28"/>
          <w:szCs w:val="28"/>
          <w:highlight w:val="none"/>
        </w:rPr>
      </w:pPr>
      <w:r>
        <w:rPr>
          <w:rFonts w:hint="eastAsia" w:ascii="宋体" w:hAnsi="宋体" w:cs="宋体"/>
          <w:bCs/>
          <w:sz w:val="28"/>
          <w:szCs w:val="28"/>
          <w:highlight w:val="none"/>
        </w:rPr>
        <w:t>附件一：开标记录表</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234D07D">
      <w:pPr>
        <w:rPr>
          <w:rFonts w:hint="eastAsia" w:ascii="宋体" w:hAnsi="宋体" w:cs="宋体"/>
          <w:sz w:val="28"/>
          <w:szCs w:val="28"/>
          <w:highlight w:val="none"/>
        </w:rPr>
      </w:pPr>
      <w:r>
        <w:rPr>
          <w:rFonts w:hint="eastAsia" w:ascii="宋体" w:hAnsi="宋体" w:cs="宋体"/>
          <w:sz w:val="28"/>
          <w:szCs w:val="28"/>
          <w:highlight w:val="none"/>
        </w:rPr>
        <w:t>开标记录表采用广州交易集团有限公司（广州公共资源交易中心）系统生成格式</w:t>
      </w:r>
    </w:p>
    <w:p w14:paraId="2D1B5228">
      <w:pPr>
        <w:spacing w:line="440" w:lineRule="exact"/>
        <w:rPr>
          <w:rFonts w:hint="eastAsia" w:ascii="宋体" w:hAnsi="宋体" w:cs="宋体"/>
          <w:szCs w:val="21"/>
          <w:highlight w:val="none"/>
        </w:rPr>
      </w:pPr>
    </w:p>
    <w:p w14:paraId="3535EBAA">
      <w:pPr>
        <w:spacing w:line="440" w:lineRule="exact"/>
        <w:rPr>
          <w:rFonts w:hint="eastAsia" w:ascii="宋体" w:hAnsi="宋体" w:cs="宋体"/>
          <w:szCs w:val="21"/>
          <w:highlight w:val="none"/>
        </w:rPr>
      </w:pPr>
    </w:p>
    <w:p w14:paraId="0C36F32D">
      <w:pPr>
        <w:spacing w:line="440" w:lineRule="exact"/>
        <w:rPr>
          <w:rFonts w:hint="eastAsia" w:ascii="宋体" w:hAnsi="宋体" w:cs="宋体"/>
          <w:bCs/>
          <w:sz w:val="28"/>
          <w:szCs w:val="28"/>
          <w:highlight w:val="none"/>
        </w:rPr>
      </w:pPr>
      <w:r>
        <w:rPr>
          <w:rFonts w:hint="eastAsia" w:ascii="宋体" w:hAnsi="宋体" w:cs="宋体"/>
          <w:szCs w:val="21"/>
          <w:highlight w:val="none"/>
        </w:rPr>
        <w:br w:type="page"/>
      </w:r>
      <w:bookmarkStart w:id="860" w:name="_Toc22367"/>
      <w:bookmarkStart w:id="861" w:name="_Toc8530"/>
      <w:bookmarkStart w:id="862" w:name="_Toc23946"/>
      <w:bookmarkStart w:id="863" w:name="_Toc144974549"/>
      <w:bookmarkStart w:id="864" w:name="_Toc247514006"/>
      <w:bookmarkStart w:id="865" w:name="_Toc485211090"/>
      <w:bookmarkStart w:id="866" w:name="_Toc152042359"/>
      <w:bookmarkStart w:id="867" w:name="_Toc247527607"/>
      <w:bookmarkStart w:id="868" w:name="_Toc22250"/>
      <w:bookmarkStart w:id="869" w:name="_Toc6023"/>
      <w:bookmarkStart w:id="870" w:name="_Toc7096"/>
      <w:bookmarkStart w:id="871" w:name="_Toc20609"/>
      <w:bookmarkStart w:id="872" w:name="_Toc152045582"/>
      <w:bookmarkStart w:id="873" w:name="_Toc22267"/>
      <w:bookmarkStart w:id="874" w:name="_Toc12992"/>
      <w:bookmarkStart w:id="875" w:name="_Toc26951"/>
      <w:r>
        <w:rPr>
          <w:rFonts w:hint="eastAsia" w:ascii="宋体" w:hAnsi="宋体" w:cs="宋体"/>
          <w:bCs/>
          <w:sz w:val="28"/>
          <w:szCs w:val="28"/>
          <w:highlight w:val="none"/>
        </w:rPr>
        <w:t>附件二：问题澄清通知</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14:paraId="797DCB11">
      <w:pPr>
        <w:spacing w:line="440" w:lineRule="exact"/>
        <w:jc w:val="center"/>
        <w:rPr>
          <w:rFonts w:hint="eastAsia" w:ascii="宋体" w:hAnsi="宋体" w:cs="宋体"/>
          <w:szCs w:val="21"/>
          <w:highlight w:val="none"/>
        </w:rPr>
      </w:pPr>
    </w:p>
    <w:p w14:paraId="26E964EC">
      <w:pPr>
        <w:spacing w:line="440" w:lineRule="exact"/>
        <w:jc w:val="center"/>
        <w:rPr>
          <w:rFonts w:hint="eastAsia" w:ascii="宋体" w:hAnsi="宋体" w:cs="宋体"/>
          <w:sz w:val="28"/>
          <w:szCs w:val="28"/>
          <w:highlight w:val="none"/>
        </w:rPr>
      </w:pPr>
      <w:r>
        <w:rPr>
          <w:rFonts w:hint="eastAsia" w:ascii="宋体" w:hAnsi="宋体" w:cs="宋体"/>
          <w:sz w:val="28"/>
          <w:szCs w:val="28"/>
          <w:highlight w:val="none"/>
        </w:rPr>
        <w:t>问题澄清通知</w:t>
      </w:r>
    </w:p>
    <w:p w14:paraId="0C42D263">
      <w:pPr>
        <w:spacing w:line="440" w:lineRule="exact"/>
        <w:rPr>
          <w:rFonts w:hint="eastAsia" w:ascii="宋体" w:hAnsi="宋体" w:cs="宋体"/>
          <w:szCs w:val="21"/>
          <w:highlight w:val="none"/>
        </w:rPr>
      </w:pPr>
      <w:r>
        <w:rPr>
          <w:rFonts w:hint="eastAsia" w:ascii="宋体" w:hAnsi="宋体" w:cs="宋体"/>
          <w:szCs w:val="21"/>
          <w:highlight w:val="none"/>
        </w:rPr>
        <w:t xml:space="preserve">                               编号：</w:t>
      </w:r>
    </w:p>
    <w:p w14:paraId="3187CD8D">
      <w:pPr>
        <w:spacing w:line="440" w:lineRule="exact"/>
        <w:rPr>
          <w:rFonts w:hint="eastAsia" w:ascii="宋体" w:hAnsi="宋体" w:cs="宋体"/>
          <w:szCs w:val="21"/>
          <w:highlight w:val="none"/>
        </w:rPr>
      </w:pPr>
    </w:p>
    <w:p w14:paraId="689ADB4E">
      <w:pPr>
        <w:spacing w:line="440" w:lineRule="exact"/>
        <w:rPr>
          <w:rFonts w:hint="eastAsia" w:ascii="宋体" w:hAnsi="宋体" w:cs="宋体"/>
          <w:szCs w:val="21"/>
          <w:highlight w:val="none"/>
        </w:rPr>
      </w:pPr>
      <w:r>
        <w:rPr>
          <w:rFonts w:hint="eastAsia" w:ascii="宋体" w:hAnsi="宋体" w:cs="宋体"/>
          <w:szCs w:val="21"/>
          <w:highlight w:val="none"/>
        </w:rPr>
        <w:t>（投标人名称）：</w:t>
      </w:r>
    </w:p>
    <w:p w14:paraId="748B2940">
      <w:pPr>
        <w:spacing w:line="440" w:lineRule="exact"/>
        <w:rPr>
          <w:rFonts w:hint="eastAsia" w:ascii="宋体" w:hAnsi="宋体" w:cs="宋体"/>
          <w:szCs w:val="21"/>
          <w:highlight w:val="none"/>
        </w:rPr>
      </w:pPr>
    </w:p>
    <w:p w14:paraId="54B947BE">
      <w:pPr>
        <w:spacing w:line="440" w:lineRule="exact"/>
        <w:rPr>
          <w:rFonts w:hint="eastAsia" w:ascii="宋体" w:hAnsi="宋体" w:cs="宋体"/>
          <w:szCs w:val="21"/>
          <w:highlight w:val="none"/>
        </w:rPr>
      </w:pPr>
      <w:r>
        <w:rPr>
          <w:rFonts w:hint="eastAsia" w:ascii="宋体" w:hAnsi="宋体" w:cs="宋体"/>
          <w:szCs w:val="21"/>
          <w:highlight w:val="none"/>
        </w:rPr>
        <w:t>　　</w:t>
      </w:r>
      <w:r>
        <w:rPr>
          <w:rFonts w:hint="eastAsia" w:ascii="宋体" w:hAnsi="宋体" w:cs="宋体"/>
          <w:szCs w:val="21"/>
          <w:highlight w:val="none"/>
          <w:u w:val="single"/>
        </w:rPr>
        <w:t xml:space="preserve">    （项目名称）   </w:t>
      </w:r>
      <w:r>
        <w:rPr>
          <w:rFonts w:hint="eastAsia" w:ascii="宋体" w:hAnsi="宋体" w:cs="宋体"/>
          <w:szCs w:val="21"/>
          <w:highlight w:val="none"/>
        </w:rPr>
        <w:t>设计施工总承包招标的评标委员会，对你方的投标文件进行了仔细的审查，现需你方对下列问题以书面形式予以澄清：</w:t>
      </w:r>
    </w:p>
    <w:p w14:paraId="25C3A755">
      <w:pPr>
        <w:spacing w:line="440" w:lineRule="exact"/>
        <w:rPr>
          <w:rFonts w:hint="eastAsia" w:ascii="宋体" w:hAnsi="宋体" w:cs="宋体"/>
          <w:szCs w:val="21"/>
          <w:highlight w:val="none"/>
        </w:rPr>
      </w:pPr>
      <w:r>
        <w:rPr>
          <w:rFonts w:hint="eastAsia" w:ascii="宋体" w:hAnsi="宋体" w:cs="宋体"/>
          <w:szCs w:val="21"/>
          <w:highlight w:val="none"/>
        </w:rPr>
        <w:t>　　</w:t>
      </w:r>
    </w:p>
    <w:p w14:paraId="36A04F84">
      <w:pPr>
        <w:spacing w:line="440" w:lineRule="exact"/>
        <w:rPr>
          <w:rFonts w:hint="eastAsia" w:ascii="宋体" w:hAnsi="宋体" w:cs="宋体"/>
          <w:szCs w:val="21"/>
          <w:highlight w:val="none"/>
        </w:rPr>
      </w:pPr>
      <w:r>
        <w:rPr>
          <w:rFonts w:hint="eastAsia" w:ascii="宋体" w:hAnsi="宋体" w:cs="宋体"/>
          <w:szCs w:val="21"/>
          <w:highlight w:val="none"/>
        </w:rPr>
        <w:t xml:space="preserve">    1.</w:t>
      </w:r>
    </w:p>
    <w:p w14:paraId="5148A5BA">
      <w:pPr>
        <w:spacing w:line="440" w:lineRule="exact"/>
        <w:rPr>
          <w:rFonts w:hint="eastAsia" w:ascii="宋体" w:hAnsi="宋体" w:cs="宋体"/>
          <w:szCs w:val="21"/>
          <w:highlight w:val="none"/>
        </w:rPr>
      </w:pPr>
      <w:r>
        <w:rPr>
          <w:rFonts w:hint="eastAsia" w:ascii="宋体" w:hAnsi="宋体" w:cs="宋体"/>
          <w:szCs w:val="21"/>
          <w:highlight w:val="none"/>
        </w:rPr>
        <w:t xml:space="preserve">    2.</w:t>
      </w:r>
    </w:p>
    <w:p w14:paraId="4BBD31E1">
      <w:pPr>
        <w:spacing w:line="440" w:lineRule="exact"/>
        <w:rPr>
          <w:rFonts w:hint="eastAsia" w:ascii="宋体" w:hAnsi="宋体" w:cs="宋体"/>
          <w:szCs w:val="21"/>
          <w:highlight w:val="none"/>
        </w:rPr>
      </w:pPr>
      <w:r>
        <w:rPr>
          <w:rFonts w:hint="eastAsia" w:ascii="宋体" w:hAnsi="宋体" w:cs="宋体"/>
          <w:szCs w:val="21"/>
          <w:highlight w:val="none"/>
        </w:rPr>
        <w:t xml:space="preserve">     ......   </w:t>
      </w:r>
    </w:p>
    <w:p w14:paraId="12084EF7">
      <w:pPr>
        <w:spacing w:line="440" w:lineRule="exact"/>
        <w:rPr>
          <w:rFonts w:hint="eastAsia" w:ascii="宋体" w:hAnsi="宋体" w:cs="宋体"/>
          <w:szCs w:val="21"/>
          <w:highlight w:val="none"/>
        </w:rPr>
      </w:pPr>
      <w:r>
        <w:rPr>
          <w:rFonts w:hint="eastAsia" w:ascii="宋体" w:hAnsi="宋体" w:cs="宋体"/>
          <w:szCs w:val="21"/>
          <w:highlight w:val="none"/>
        </w:rPr>
        <w:t>　　　</w:t>
      </w:r>
    </w:p>
    <w:p w14:paraId="6C0FBBB0">
      <w:pPr>
        <w:spacing w:line="440" w:lineRule="exact"/>
        <w:rPr>
          <w:rFonts w:hint="eastAsia" w:ascii="宋体" w:hAnsi="宋体" w:cs="宋体"/>
          <w:szCs w:val="21"/>
          <w:highlight w:val="none"/>
        </w:rPr>
      </w:pPr>
      <w:r>
        <w:rPr>
          <w:rFonts w:hint="eastAsia" w:ascii="宋体" w:hAnsi="宋体" w:cs="宋体"/>
          <w:szCs w:val="21"/>
          <w:highlight w:val="none"/>
        </w:rPr>
        <w:t>　　请将上述问题的澄清于年月日时前递交至（详细地址）或传真至（传真号码）。采用传真方式的，应在年月日时前将原件递交至（详细地址）。</w:t>
      </w:r>
    </w:p>
    <w:p w14:paraId="4421C3D6">
      <w:pPr>
        <w:spacing w:line="440" w:lineRule="exact"/>
        <w:rPr>
          <w:rFonts w:hint="eastAsia" w:ascii="宋体" w:hAnsi="宋体" w:cs="宋体"/>
          <w:szCs w:val="21"/>
          <w:highlight w:val="none"/>
        </w:rPr>
      </w:pPr>
    </w:p>
    <w:p w14:paraId="0E7EC4E1">
      <w:pPr>
        <w:spacing w:line="440" w:lineRule="exact"/>
        <w:rPr>
          <w:rFonts w:hint="eastAsia" w:ascii="宋体" w:hAnsi="宋体" w:cs="宋体"/>
          <w:szCs w:val="21"/>
          <w:highlight w:val="none"/>
        </w:rPr>
      </w:pPr>
    </w:p>
    <w:p w14:paraId="3A5E2BFE">
      <w:pPr>
        <w:spacing w:line="440" w:lineRule="exact"/>
        <w:jc w:val="right"/>
        <w:rPr>
          <w:rFonts w:hint="eastAsia" w:ascii="宋体" w:hAnsi="宋体" w:cs="宋体"/>
          <w:szCs w:val="21"/>
          <w:highlight w:val="none"/>
        </w:rPr>
      </w:pPr>
      <w:r>
        <w:rPr>
          <w:rFonts w:hint="eastAsia" w:ascii="宋体" w:hAnsi="宋体" w:cs="宋体"/>
          <w:szCs w:val="21"/>
          <w:highlight w:val="none"/>
        </w:rPr>
        <w:t xml:space="preserve">                评标委员会授权的招标人或招标代理机构：（签字或盖章）</w:t>
      </w:r>
    </w:p>
    <w:p w14:paraId="75FD52D4">
      <w:pPr>
        <w:spacing w:line="440" w:lineRule="exact"/>
        <w:jc w:val="right"/>
        <w:rPr>
          <w:rFonts w:hint="eastAsia" w:ascii="宋体" w:hAnsi="宋体" w:cs="宋体"/>
          <w:szCs w:val="21"/>
          <w:highlight w:val="none"/>
        </w:rPr>
      </w:pPr>
    </w:p>
    <w:p w14:paraId="27D6295C">
      <w:pPr>
        <w:spacing w:line="440" w:lineRule="exact"/>
        <w:ind w:right="840"/>
        <w:jc w:val="center"/>
        <w:rPr>
          <w:rFonts w:hint="eastAsia" w:ascii="宋体" w:hAnsi="宋体" w:cs="宋体"/>
          <w:szCs w:val="21"/>
          <w:highlight w:val="none"/>
        </w:rPr>
      </w:pPr>
      <w:r>
        <w:rPr>
          <w:rFonts w:hint="eastAsia" w:ascii="宋体" w:hAnsi="宋体" w:cs="宋体"/>
          <w:szCs w:val="21"/>
          <w:highlight w:val="none"/>
        </w:rPr>
        <w:t xml:space="preserve"> </w:t>
      </w:r>
      <w:r>
        <w:rPr>
          <w:rFonts w:ascii="宋体" w:hAnsi="宋体" w:cs="宋体"/>
          <w:szCs w:val="21"/>
          <w:highlight w:val="none"/>
        </w:rPr>
        <w:t xml:space="preserve">                                      </w:t>
      </w:r>
      <w:r>
        <w:rPr>
          <w:rFonts w:hint="eastAsia" w:ascii="宋体" w:hAnsi="宋体" w:cs="宋体"/>
          <w:szCs w:val="21"/>
          <w:highlight w:val="none"/>
        </w:rPr>
        <w:t xml:space="preserve">年 </w:t>
      </w:r>
      <w:r>
        <w:rPr>
          <w:rFonts w:ascii="宋体" w:hAnsi="宋体" w:cs="宋体"/>
          <w:szCs w:val="21"/>
          <w:highlight w:val="none"/>
        </w:rPr>
        <w:t xml:space="preserve">  </w:t>
      </w:r>
      <w:r>
        <w:rPr>
          <w:rFonts w:hint="eastAsia" w:ascii="宋体" w:hAnsi="宋体" w:cs="宋体"/>
          <w:szCs w:val="21"/>
          <w:highlight w:val="none"/>
        </w:rPr>
        <w:t xml:space="preserve">月 </w:t>
      </w:r>
      <w:r>
        <w:rPr>
          <w:rFonts w:ascii="宋体" w:hAnsi="宋体" w:cs="宋体"/>
          <w:szCs w:val="21"/>
          <w:highlight w:val="none"/>
        </w:rPr>
        <w:t xml:space="preserve">   </w:t>
      </w:r>
      <w:r>
        <w:rPr>
          <w:rFonts w:hint="eastAsia" w:ascii="宋体" w:hAnsi="宋体" w:cs="宋体"/>
          <w:szCs w:val="21"/>
          <w:highlight w:val="none"/>
        </w:rPr>
        <w:t>日</w:t>
      </w:r>
    </w:p>
    <w:p w14:paraId="4B8CC82C">
      <w:pPr>
        <w:spacing w:line="400" w:lineRule="exact"/>
        <w:jc w:val="right"/>
        <w:rPr>
          <w:rFonts w:hint="eastAsia" w:ascii="宋体" w:hAnsi="宋体" w:cs="宋体"/>
          <w:szCs w:val="24"/>
          <w:highlight w:val="none"/>
        </w:rPr>
      </w:pPr>
    </w:p>
    <w:p w14:paraId="628882CD">
      <w:pPr>
        <w:spacing w:line="400" w:lineRule="exact"/>
        <w:rPr>
          <w:rFonts w:hint="eastAsia" w:ascii="宋体" w:hAnsi="宋体" w:cs="宋体"/>
          <w:bCs/>
          <w:sz w:val="28"/>
          <w:szCs w:val="28"/>
          <w:highlight w:val="none"/>
        </w:rPr>
      </w:pPr>
      <w:r>
        <w:rPr>
          <w:rFonts w:hint="eastAsia" w:ascii="宋体" w:hAnsi="宋体" w:cs="宋体"/>
          <w:szCs w:val="24"/>
          <w:highlight w:val="none"/>
        </w:rPr>
        <w:br w:type="page"/>
      </w:r>
      <w:bookmarkStart w:id="876" w:name="_Toc144974550"/>
      <w:bookmarkStart w:id="877" w:name="_Toc21221"/>
      <w:bookmarkStart w:id="878" w:name="_Toc152042360"/>
      <w:bookmarkStart w:id="879" w:name="_Toc4085"/>
      <w:bookmarkStart w:id="880" w:name="_Toc26015"/>
      <w:bookmarkStart w:id="881" w:name="_Toc247514007"/>
      <w:bookmarkStart w:id="882" w:name="_Toc485211091"/>
      <w:bookmarkStart w:id="883" w:name="_Toc5410"/>
      <w:bookmarkStart w:id="884" w:name="_Toc18642"/>
      <w:bookmarkStart w:id="885" w:name="_Toc247527608"/>
      <w:bookmarkStart w:id="886" w:name="_Toc18238"/>
      <w:bookmarkStart w:id="887" w:name="_Toc13028"/>
      <w:bookmarkStart w:id="888" w:name="_Toc2612"/>
      <w:bookmarkStart w:id="889" w:name="_Toc29892"/>
      <w:bookmarkStart w:id="890" w:name="_Toc20542"/>
      <w:bookmarkStart w:id="891" w:name="_Toc152045583"/>
      <w:r>
        <w:rPr>
          <w:rFonts w:hint="eastAsia" w:ascii="宋体" w:hAnsi="宋体" w:cs="宋体"/>
          <w:bCs/>
          <w:sz w:val="28"/>
          <w:szCs w:val="28"/>
          <w:highlight w:val="none"/>
        </w:rPr>
        <w:t>附件三：问题的澄清</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14:paraId="03DF51E3">
      <w:pPr>
        <w:spacing w:line="400" w:lineRule="exact"/>
        <w:jc w:val="center"/>
        <w:rPr>
          <w:rFonts w:hint="eastAsia" w:ascii="宋体" w:hAnsi="宋体" w:cs="宋体"/>
          <w:sz w:val="28"/>
          <w:szCs w:val="28"/>
          <w:highlight w:val="none"/>
        </w:rPr>
      </w:pPr>
    </w:p>
    <w:p w14:paraId="05884223">
      <w:pPr>
        <w:spacing w:line="400" w:lineRule="exact"/>
        <w:jc w:val="center"/>
        <w:rPr>
          <w:rFonts w:hint="eastAsia" w:ascii="宋体" w:hAnsi="宋体" w:cs="宋体"/>
          <w:sz w:val="28"/>
          <w:szCs w:val="28"/>
          <w:highlight w:val="none"/>
        </w:rPr>
      </w:pPr>
      <w:r>
        <w:rPr>
          <w:rFonts w:hint="eastAsia" w:ascii="宋体" w:hAnsi="宋体" w:cs="宋体"/>
          <w:sz w:val="28"/>
          <w:szCs w:val="28"/>
          <w:highlight w:val="none"/>
        </w:rPr>
        <w:t>问题的澄清</w:t>
      </w:r>
    </w:p>
    <w:p w14:paraId="03F752FB">
      <w:pPr>
        <w:spacing w:line="400" w:lineRule="exact"/>
        <w:ind w:firstLine="3465" w:firstLineChars="1650"/>
        <w:rPr>
          <w:rFonts w:hint="eastAsia" w:ascii="宋体" w:hAnsi="宋体" w:cs="宋体"/>
          <w:szCs w:val="24"/>
          <w:highlight w:val="none"/>
        </w:rPr>
      </w:pPr>
      <w:r>
        <w:rPr>
          <w:rFonts w:hint="eastAsia" w:ascii="宋体" w:hAnsi="宋体" w:cs="宋体"/>
          <w:szCs w:val="24"/>
          <w:highlight w:val="none"/>
        </w:rPr>
        <w:t xml:space="preserve">编号： </w:t>
      </w:r>
    </w:p>
    <w:p w14:paraId="71BDB3C9">
      <w:pPr>
        <w:spacing w:line="400" w:lineRule="exact"/>
        <w:rPr>
          <w:rFonts w:hint="eastAsia" w:ascii="宋体" w:hAnsi="宋体" w:cs="宋体"/>
          <w:szCs w:val="21"/>
          <w:highlight w:val="none"/>
        </w:rPr>
      </w:pPr>
    </w:p>
    <w:p w14:paraId="06931F56">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u w:val="single"/>
        </w:rPr>
        <w:t xml:space="preserve">    （项目名称）    </w:t>
      </w:r>
      <w:r>
        <w:rPr>
          <w:rFonts w:hint="eastAsia" w:ascii="宋体" w:hAnsi="宋体" w:cs="宋体"/>
          <w:szCs w:val="21"/>
          <w:highlight w:val="none"/>
        </w:rPr>
        <w:t>设计施工总承包招标评标委员会：</w:t>
      </w:r>
    </w:p>
    <w:p w14:paraId="75657056">
      <w:pPr>
        <w:spacing w:line="440" w:lineRule="exact"/>
        <w:rPr>
          <w:rFonts w:hint="eastAsia" w:ascii="宋体" w:hAnsi="宋体" w:cs="宋体"/>
          <w:szCs w:val="21"/>
          <w:highlight w:val="none"/>
        </w:rPr>
      </w:pPr>
    </w:p>
    <w:p w14:paraId="1009814C">
      <w:pPr>
        <w:spacing w:line="440" w:lineRule="exact"/>
        <w:rPr>
          <w:rFonts w:hint="eastAsia" w:ascii="宋体" w:hAnsi="宋体" w:cs="宋体"/>
          <w:szCs w:val="21"/>
          <w:highlight w:val="none"/>
        </w:rPr>
      </w:pPr>
      <w:r>
        <w:rPr>
          <w:rFonts w:hint="eastAsia" w:ascii="宋体" w:hAnsi="宋体" w:cs="宋体"/>
          <w:szCs w:val="21"/>
          <w:highlight w:val="none"/>
        </w:rPr>
        <w:t>　　问题澄清通知（编号：           ）已收悉，现澄清如下：</w:t>
      </w:r>
    </w:p>
    <w:p w14:paraId="350F7CA3">
      <w:pPr>
        <w:spacing w:line="440" w:lineRule="exact"/>
        <w:rPr>
          <w:rFonts w:hint="eastAsia" w:ascii="宋体" w:hAnsi="宋体" w:cs="宋体"/>
          <w:szCs w:val="21"/>
          <w:highlight w:val="none"/>
        </w:rPr>
      </w:pPr>
      <w:r>
        <w:rPr>
          <w:rFonts w:hint="eastAsia" w:ascii="宋体" w:hAnsi="宋体" w:cs="宋体"/>
          <w:szCs w:val="21"/>
          <w:highlight w:val="none"/>
        </w:rPr>
        <w:t>　     1.</w:t>
      </w:r>
    </w:p>
    <w:p w14:paraId="33DB4E19">
      <w:pPr>
        <w:spacing w:line="440" w:lineRule="exact"/>
        <w:rPr>
          <w:rFonts w:hint="eastAsia" w:ascii="宋体" w:hAnsi="宋体" w:cs="宋体"/>
          <w:szCs w:val="21"/>
          <w:highlight w:val="none"/>
        </w:rPr>
      </w:pPr>
      <w:r>
        <w:rPr>
          <w:rFonts w:hint="eastAsia" w:ascii="宋体" w:hAnsi="宋体" w:cs="宋体"/>
          <w:szCs w:val="21"/>
          <w:highlight w:val="none"/>
        </w:rPr>
        <w:t>　     2.</w:t>
      </w:r>
    </w:p>
    <w:p w14:paraId="74B808B0">
      <w:pPr>
        <w:spacing w:line="440" w:lineRule="exact"/>
        <w:rPr>
          <w:rFonts w:hint="eastAsia" w:ascii="宋体" w:hAnsi="宋体" w:cs="宋体"/>
          <w:szCs w:val="21"/>
          <w:highlight w:val="none"/>
        </w:rPr>
      </w:pPr>
      <w:r>
        <w:rPr>
          <w:rFonts w:hint="eastAsia" w:ascii="宋体" w:hAnsi="宋体" w:cs="宋体"/>
          <w:szCs w:val="21"/>
          <w:highlight w:val="none"/>
        </w:rPr>
        <w:t>　    .....</w:t>
      </w:r>
    </w:p>
    <w:p w14:paraId="6B7CD3C2">
      <w:pPr>
        <w:spacing w:line="440" w:lineRule="exact"/>
        <w:rPr>
          <w:rFonts w:hint="eastAsia" w:ascii="宋体" w:hAnsi="宋体" w:cs="宋体"/>
          <w:szCs w:val="21"/>
          <w:highlight w:val="none"/>
        </w:rPr>
      </w:pPr>
    </w:p>
    <w:p w14:paraId="5DDEA515">
      <w:pPr>
        <w:spacing w:line="440" w:lineRule="exact"/>
        <w:rPr>
          <w:rFonts w:hint="eastAsia" w:ascii="宋体" w:hAnsi="宋体" w:cs="宋体"/>
          <w:szCs w:val="21"/>
          <w:highlight w:val="none"/>
        </w:rPr>
      </w:pPr>
      <w:r>
        <w:rPr>
          <w:rFonts w:hint="eastAsia" w:ascii="宋体" w:hAnsi="宋体" w:cs="宋体"/>
          <w:szCs w:val="21"/>
          <w:highlight w:val="none"/>
        </w:rPr>
        <w:t xml:space="preserve">　 </w:t>
      </w:r>
    </w:p>
    <w:p w14:paraId="5F3415F6">
      <w:pPr>
        <w:spacing w:line="440" w:lineRule="exact"/>
        <w:rPr>
          <w:rFonts w:hint="eastAsia" w:ascii="宋体" w:hAnsi="宋体" w:cs="宋体"/>
          <w:szCs w:val="21"/>
          <w:highlight w:val="none"/>
        </w:rPr>
      </w:pPr>
    </w:p>
    <w:p w14:paraId="6BD38212">
      <w:pPr>
        <w:spacing w:line="440" w:lineRule="exact"/>
        <w:rPr>
          <w:rFonts w:hint="eastAsia" w:ascii="宋体" w:hAnsi="宋体" w:cs="宋体"/>
          <w:szCs w:val="21"/>
          <w:highlight w:val="none"/>
        </w:rPr>
      </w:pPr>
    </w:p>
    <w:p w14:paraId="3E48944C">
      <w:pPr>
        <w:spacing w:line="440" w:lineRule="exact"/>
        <w:jc w:val="center"/>
        <w:rPr>
          <w:rFonts w:hint="eastAsia" w:ascii="宋体" w:hAnsi="宋体" w:cs="宋体"/>
          <w:szCs w:val="21"/>
          <w:highlight w:val="none"/>
        </w:rPr>
      </w:pPr>
      <w:r>
        <w:rPr>
          <w:rFonts w:hint="eastAsia" w:ascii="宋体" w:hAnsi="宋体" w:cs="宋体"/>
          <w:szCs w:val="21"/>
          <w:highlight w:val="none"/>
        </w:rPr>
        <w:t xml:space="preserve"> </w:t>
      </w:r>
      <w:r>
        <w:rPr>
          <w:rFonts w:ascii="宋体" w:hAnsi="宋体" w:cs="宋体"/>
          <w:szCs w:val="21"/>
          <w:highlight w:val="none"/>
        </w:rPr>
        <w:t xml:space="preserve">                                     </w:t>
      </w:r>
      <w:r>
        <w:rPr>
          <w:rFonts w:hint="eastAsia" w:ascii="宋体" w:hAnsi="宋体" w:cs="宋体"/>
          <w:szCs w:val="21"/>
          <w:highlight w:val="none"/>
        </w:rPr>
        <w:t>投标人：（盖单位章）</w:t>
      </w:r>
    </w:p>
    <w:p w14:paraId="3E98E1F5">
      <w:pPr>
        <w:spacing w:line="440" w:lineRule="exact"/>
        <w:rPr>
          <w:rFonts w:hint="eastAsia" w:ascii="宋体" w:hAnsi="宋体" w:cs="宋体"/>
          <w:szCs w:val="21"/>
          <w:highlight w:val="none"/>
        </w:rPr>
      </w:pPr>
    </w:p>
    <w:p w14:paraId="60AC7718">
      <w:pPr>
        <w:spacing w:line="440" w:lineRule="exact"/>
        <w:jc w:val="center"/>
        <w:rPr>
          <w:rFonts w:hint="eastAsia" w:ascii="宋体" w:hAnsi="宋体" w:cs="宋体"/>
          <w:szCs w:val="21"/>
          <w:highlight w:val="none"/>
        </w:rPr>
      </w:pPr>
      <w:r>
        <w:rPr>
          <w:rFonts w:hint="eastAsia" w:ascii="宋体" w:hAnsi="宋体" w:cs="宋体"/>
          <w:szCs w:val="21"/>
          <w:highlight w:val="none"/>
        </w:rPr>
        <w:t xml:space="preserve"> </w:t>
      </w:r>
      <w:r>
        <w:rPr>
          <w:rFonts w:ascii="宋体" w:hAnsi="宋体" w:cs="宋体"/>
          <w:szCs w:val="21"/>
          <w:highlight w:val="none"/>
        </w:rPr>
        <w:t xml:space="preserve">                               </w:t>
      </w:r>
      <w:r>
        <w:rPr>
          <w:rFonts w:hint="eastAsia" w:ascii="宋体" w:hAnsi="宋体" w:cs="宋体"/>
          <w:szCs w:val="21"/>
          <w:highlight w:val="none"/>
        </w:rPr>
        <w:t>法定代表人或其委托代理人：（签字）</w:t>
      </w:r>
    </w:p>
    <w:p w14:paraId="73431797">
      <w:pPr>
        <w:spacing w:line="440" w:lineRule="exact"/>
        <w:rPr>
          <w:rFonts w:hint="eastAsia" w:ascii="宋体" w:hAnsi="宋体" w:cs="宋体"/>
          <w:szCs w:val="21"/>
          <w:highlight w:val="none"/>
        </w:rPr>
      </w:pPr>
    </w:p>
    <w:p w14:paraId="3B47A07F">
      <w:pPr>
        <w:spacing w:line="440" w:lineRule="exact"/>
        <w:jc w:val="center"/>
        <w:rPr>
          <w:rFonts w:hint="eastAsia" w:ascii="宋体" w:hAnsi="宋体" w:cs="宋体"/>
          <w:szCs w:val="21"/>
          <w:highlight w:val="none"/>
        </w:rPr>
      </w:pPr>
      <w:r>
        <w:rPr>
          <w:rFonts w:ascii="宋体" w:hAnsi="宋体" w:cs="宋体"/>
          <w:szCs w:val="21"/>
          <w:highlight w:val="none"/>
        </w:rPr>
        <w:t xml:space="preserve">                                                   </w:t>
      </w:r>
      <w:r>
        <w:rPr>
          <w:rFonts w:hint="eastAsia" w:ascii="宋体" w:hAnsi="宋体" w:cs="宋体"/>
          <w:szCs w:val="21"/>
          <w:highlight w:val="none"/>
        </w:rPr>
        <w:t xml:space="preserve">年 </w:t>
      </w:r>
      <w:r>
        <w:rPr>
          <w:rFonts w:ascii="宋体" w:hAnsi="宋体" w:cs="宋体"/>
          <w:szCs w:val="21"/>
          <w:highlight w:val="none"/>
        </w:rPr>
        <w:t xml:space="preserve">  </w:t>
      </w:r>
      <w:r>
        <w:rPr>
          <w:rFonts w:hint="eastAsia" w:ascii="宋体" w:hAnsi="宋体" w:cs="宋体"/>
          <w:szCs w:val="21"/>
          <w:highlight w:val="none"/>
        </w:rPr>
        <w:t xml:space="preserve">月 </w:t>
      </w:r>
      <w:r>
        <w:rPr>
          <w:rFonts w:ascii="宋体" w:hAnsi="宋体" w:cs="宋体"/>
          <w:szCs w:val="21"/>
          <w:highlight w:val="none"/>
        </w:rPr>
        <w:t xml:space="preserve">  </w:t>
      </w:r>
      <w:r>
        <w:rPr>
          <w:rFonts w:hint="eastAsia" w:ascii="宋体" w:hAnsi="宋体" w:cs="宋体"/>
          <w:szCs w:val="21"/>
          <w:highlight w:val="none"/>
        </w:rPr>
        <w:t>日</w:t>
      </w:r>
    </w:p>
    <w:p w14:paraId="1BF8689A">
      <w:pPr>
        <w:spacing w:line="400" w:lineRule="exact"/>
        <w:rPr>
          <w:rFonts w:hint="eastAsia" w:ascii="宋体" w:hAnsi="宋体" w:cs="宋体"/>
          <w:szCs w:val="24"/>
          <w:highlight w:val="none"/>
        </w:rPr>
      </w:pPr>
    </w:p>
    <w:p w14:paraId="0096B447">
      <w:pPr>
        <w:spacing w:line="400" w:lineRule="exact"/>
        <w:rPr>
          <w:rFonts w:hint="eastAsia" w:ascii="宋体" w:hAnsi="宋体" w:cs="宋体"/>
          <w:bCs/>
          <w:sz w:val="28"/>
          <w:szCs w:val="28"/>
          <w:highlight w:val="none"/>
        </w:rPr>
      </w:pPr>
      <w:r>
        <w:rPr>
          <w:rFonts w:hint="eastAsia" w:ascii="宋体" w:hAnsi="宋体" w:cs="宋体"/>
          <w:szCs w:val="24"/>
          <w:highlight w:val="none"/>
        </w:rPr>
        <w:br w:type="page"/>
      </w:r>
      <w:bookmarkStart w:id="892" w:name="_Toc947"/>
      <w:bookmarkStart w:id="893" w:name="_Toc15621"/>
      <w:bookmarkStart w:id="894" w:name="_Toc23717"/>
      <w:bookmarkStart w:id="895" w:name="_Toc14178"/>
      <w:bookmarkStart w:id="896" w:name="_Toc152042361"/>
      <w:bookmarkStart w:id="897" w:name="_Toc144974551"/>
      <w:bookmarkStart w:id="898" w:name="_Toc22580"/>
      <w:bookmarkStart w:id="899" w:name="_Toc485211092"/>
      <w:bookmarkStart w:id="900" w:name="_Toc26426"/>
      <w:bookmarkStart w:id="901" w:name="_Toc32454"/>
      <w:bookmarkStart w:id="902" w:name="_Toc152045584"/>
      <w:bookmarkStart w:id="903" w:name="_Toc247527609"/>
      <w:bookmarkStart w:id="904" w:name="_Toc172"/>
      <w:bookmarkStart w:id="905" w:name="_Toc247514008"/>
      <w:bookmarkStart w:id="906" w:name="_Toc30679"/>
      <w:bookmarkStart w:id="907" w:name="_Toc2111"/>
      <w:r>
        <w:rPr>
          <w:rFonts w:hint="eastAsia" w:ascii="宋体" w:hAnsi="宋体" w:cs="宋体"/>
          <w:bCs/>
          <w:sz w:val="28"/>
          <w:szCs w:val="28"/>
          <w:highlight w:val="none"/>
        </w:rPr>
        <w:t>附件四：中标通知书</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 w14:paraId="127A37F6">
      <w:pPr>
        <w:spacing w:line="400" w:lineRule="exact"/>
        <w:rPr>
          <w:rFonts w:hint="eastAsia" w:ascii="宋体" w:hAnsi="宋体" w:cs="宋体"/>
          <w:szCs w:val="24"/>
          <w:highlight w:val="none"/>
        </w:rPr>
      </w:pPr>
    </w:p>
    <w:p w14:paraId="6B59A1A9">
      <w:pPr>
        <w:spacing w:line="400" w:lineRule="exact"/>
        <w:jc w:val="center"/>
        <w:rPr>
          <w:rFonts w:hint="eastAsia" w:ascii="宋体" w:hAnsi="宋体" w:cs="宋体"/>
          <w:sz w:val="28"/>
          <w:szCs w:val="28"/>
          <w:highlight w:val="none"/>
        </w:rPr>
      </w:pPr>
      <w:r>
        <w:rPr>
          <w:rFonts w:hint="eastAsia" w:ascii="宋体" w:hAnsi="宋体" w:cs="宋体"/>
          <w:sz w:val="28"/>
          <w:szCs w:val="28"/>
          <w:highlight w:val="none"/>
        </w:rPr>
        <w:t>中标通知书采用广州交易集团有限公司（广州公共资源交易中心）格式</w:t>
      </w:r>
    </w:p>
    <w:p w14:paraId="64B12E81">
      <w:pPr>
        <w:spacing w:line="400" w:lineRule="exact"/>
        <w:rPr>
          <w:rFonts w:hint="eastAsia" w:ascii="宋体" w:hAnsi="宋体" w:cs="宋体"/>
          <w:szCs w:val="24"/>
          <w:highlight w:val="none"/>
        </w:rPr>
      </w:pPr>
    </w:p>
    <w:p w14:paraId="5D056700">
      <w:pPr>
        <w:spacing w:line="540" w:lineRule="exact"/>
        <w:jc w:val="center"/>
        <w:rPr>
          <w:rFonts w:hint="eastAsia" w:ascii="宋体" w:hAnsi="宋体" w:cs="宋体"/>
          <w:szCs w:val="21"/>
          <w:highlight w:val="none"/>
        </w:rPr>
      </w:pPr>
      <w:r>
        <w:rPr>
          <w:rFonts w:hint="eastAsia" w:ascii="宋体" w:hAnsi="宋体" w:cs="宋体"/>
          <w:szCs w:val="21"/>
          <w:highlight w:val="none"/>
        </w:rPr>
        <w:t>（以广州交易集团有限公司（广州公共资源交易中心）出具格式为准）</w:t>
      </w:r>
    </w:p>
    <w:p w14:paraId="44E7F368">
      <w:pPr>
        <w:spacing w:line="540" w:lineRule="exact"/>
        <w:jc w:val="center"/>
        <w:rPr>
          <w:rFonts w:hint="eastAsia" w:ascii="宋体" w:hAnsi="宋体" w:cs="宋体"/>
          <w:szCs w:val="21"/>
          <w:highlight w:val="none"/>
        </w:rPr>
      </w:pPr>
    </w:p>
    <w:p w14:paraId="4AA593AE">
      <w:pPr>
        <w:spacing w:line="540" w:lineRule="exact"/>
        <w:jc w:val="center"/>
        <w:rPr>
          <w:rFonts w:hint="eastAsia" w:ascii="宋体" w:hAnsi="宋体" w:cs="宋体"/>
          <w:szCs w:val="21"/>
          <w:highlight w:val="none"/>
        </w:rPr>
      </w:pPr>
    </w:p>
    <w:p w14:paraId="5A4D06ED">
      <w:pPr>
        <w:spacing w:line="540" w:lineRule="exact"/>
        <w:jc w:val="center"/>
        <w:rPr>
          <w:rFonts w:hint="eastAsia" w:ascii="宋体" w:hAnsi="宋体" w:cs="宋体"/>
          <w:szCs w:val="21"/>
          <w:highlight w:val="none"/>
        </w:rPr>
      </w:pPr>
    </w:p>
    <w:p w14:paraId="16AA0149">
      <w:pPr>
        <w:spacing w:line="540" w:lineRule="exact"/>
        <w:jc w:val="center"/>
        <w:rPr>
          <w:rFonts w:hint="eastAsia" w:ascii="宋体" w:hAnsi="宋体" w:cs="宋体"/>
          <w:szCs w:val="21"/>
          <w:highlight w:val="none"/>
        </w:rPr>
      </w:pPr>
    </w:p>
    <w:p w14:paraId="41FBBA24">
      <w:pPr>
        <w:spacing w:line="540" w:lineRule="exact"/>
        <w:jc w:val="center"/>
        <w:rPr>
          <w:rFonts w:hint="eastAsia" w:ascii="宋体" w:hAnsi="宋体" w:cs="宋体"/>
          <w:szCs w:val="21"/>
          <w:highlight w:val="none"/>
        </w:rPr>
      </w:pPr>
    </w:p>
    <w:p w14:paraId="3DB07282">
      <w:pPr>
        <w:spacing w:line="540" w:lineRule="exact"/>
        <w:jc w:val="center"/>
        <w:rPr>
          <w:rFonts w:hint="eastAsia" w:ascii="宋体" w:hAnsi="宋体" w:cs="宋体"/>
          <w:szCs w:val="24"/>
          <w:highlight w:val="none"/>
        </w:rPr>
        <w:sectPr>
          <w:pgSz w:w="11905" w:h="16838"/>
          <w:pgMar w:top="1247" w:right="1247" w:bottom="1247" w:left="1247" w:header="567" w:footer="850" w:gutter="0"/>
          <w:cols w:space="720" w:num="1"/>
          <w:docGrid w:type="lines" w:linePitch="312" w:charSpace="0"/>
        </w:sectPr>
      </w:pPr>
    </w:p>
    <w:p w14:paraId="449F69A5">
      <w:pPr>
        <w:keepNext/>
        <w:keepLines/>
        <w:spacing w:before="340" w:after="330" w:line="576" w:lineRule="auto"/>
        <w:jc w:val="center"/>
        <w:outlineLvl w:val="0"/>
        <w:rPr>
          <w:rFonts w:hint="eastAsia" w:ascii="宋体" w:hAnsi="宋体" w:cs="宋体"/>
          <w:b/>
          <w:bCs/>
          <w:kern w:val="44"/>
          <w:sz w:val="44"/>
          <w:szCs w:val="44"/>
          <w:highlight w:val="none"/>
        </w:rPr>
      </w:pPr>
      <w:bookmarkStart w:id="908" w:name="_Toc32048"/>
      <w:bookmarkStart w:id="909" w:name="_Toc247527623"/>
      <w:bookmarkStart w:id="910" w:name="_Toc5053"/>
      <w:bookmarkStart w:id="911" w:name="_Toc13679"/>
      <w:bookmarkStart w:id="912" w:name="_Toc5899"/>
      <w:bookmarkStart w:id="913" w:name="_Toc22564"/>
      <w:bookmarkStart w:id="914" w:name="_Toc24996"/>
      <w:bookmarkStart w:id="915" w:name="_Toc485211093"/>
      <w:bookmarkStart w:id="916" w:name="_Toc14000"/>
      <w:bookmarkStart w:id="917" w:name="_Toc144974565"/>
      <w:bookmarkStart w:id="918" w:name="_Toc247514022"/>
      <w:bookmarkStart w:id="919" w:name="_Toc152042375"/>
      <w:bookmarkStart w:id="920" w:name="_Toc152045598"/>
      <w:bookmarkStart w:id="921" w:name="_Toc354847399"/>
      <w:r>
        <w:rPr>
          <w:rFonts w:hint="eastAsia" w:ascii="宋体" w:hAnsi="宋体" w:cs="宋体"/>
          <w:b/>
          <w:bCs/>
          <w:kern w:val="44"/>
          <w:sz w:val="44"/>
          <w:szCs w:val="44"/>
          <w:highlight w:val="none"/>
        </w:rPr>
        <w:t>第三章 评（定）标办法</w:t>
      </w:r>
      <w:bookmarkEnd w:id="908"/>
      <w:bookmarkEnd w:id="909"/>
      <w:bookmarkEnd w:id="910"/>
      <w:bookmarkEnd w:id="911"/>
      <w:bookmarkEnd w:id="912"/>
      <w:bookmarkEnd w:id="913"/>
      <w:bookmarkEnd w:id="914"/>
      <w:bookmarkEnd w:id="915"/>
      <w:bookmarkEnd w:id="916"/>
      <w:bookmarkEnd w:id="917"/>
      <w:bookmarkEnd w:id="918"/>
      <w:bookmarkEnd w:id="919"/>
      <w:bookmarkEnd w:id="920"/>
      <w:bookmarkStart w:id="922" w:name="_Toc152042376"/>
      <w:bookmarkStart w:id="923" w:name="_Toc152045599"/>
      <w:bookmarkStart w:id="924" w:name="_Toc247527624"/>
      <w:bookmarkStart w:id="925" w:name="_Toc247514023"/>
      <w:bookmarkStart w:id="926" w:name="_Toc144974566"/>
    </w:p>
    <w:bookmarkEnd w:id="922"/>
    <w:bookmarkEnd w:id="923"/>
    <w:bookmarkEnd w:id="924"/>
    <w:bookmarkEnd w:id="925"/>
    <w:bookmarkEnd w:id="926"/>
    <w:p w14:paraId="7EA26C75">
      <w:pPr>
        <w:keepNext/>
        <w:keepLines/>
        <w:spacing w:before="260" w:after="260" w:line="415" w:lineRule="auto"/>
        <w:jc w:val="center"/>
        <w:outlineLvl w:val="1"/>
        <w:rPr>
          <w:rFonts w:hint="eastAsia" w:ascii="宋体" w:hAnsi="宋体" w:cs="宋体"/>
          <w:b/>
          <w:bCs/>
          <w:sz w:val="32"/>
          <w:szCs w:val="32"/>
          <w:highlight w:val="none"/>
        </w:rPr>
      </w:pPr>
      <w:bookmarkStart w:id="927" w:name="_Toc26598"/>
      <w:bookmarkStart w:id="928" w:name="_Toc29441"/>
      <w:bookmarkStart w:id="929" w:name="_Toc24145"/>
      <w:bookmarkStart w:id="930" w:name="_Toc25722"/>
      <w:bookmarkStart w:id="931" w:name="_Toc436834777"/>
      <w:bookmarkStart w:id="932" w:name="_Toc300835009"/>
      <w:bookmarkStart w:id="933" w:name="_Toc4140"/>
      <w:bookmarkStart w:id="934" w:name="_Toc485211094"/>
      <w:bookmarkStart w:id="935" w:name="_Toc17809"/>
      <w:bookmarkStart w:id="936" w:name="_Toc30443"/>
      <w:bookmarkStart w:id="937" w:name="_Toc19639"/>
      <w:bookmarkStart w:id="938" w:name="_Toc26731"/>
      <w:bookmarkStart w:id="939" w:name="_Toc399165430"/>
      <w:bookmarkStart w:id="940" w:name="_Toc28730"/>
      <w:bookmarkStart w:id="941" w:name="_Toc436834184"/>
      <w:r>
        <w:rPr>
          <w:rFonts w:hint="eastAsia" w:ascii="宋体" w:hAnsi="宋体" w:cs="宋体"/>
          <w:b/>
          <w:bCs/>
          <w:sz w:val="32"/>
          <w:szCs w:val="32"/>
          <w:highlight w:val="none"/>
        </w:rPr>
        <w:t>评标办法前附表</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14:paraId="7695C9DB">
      <w:pPr>
        <w:rPr>
          <w:rFonts w:hint="eastAsia" w:ascii="宋体" w:hAnsi="宋体" w:cs="宋体"/>
          <w:szCs w:val="24"/>
          <w:highlight w:val="none"/>
        </w:rPr>
      </w:pPr>
    </w:p>
    <w:tbl>
      <w:tblPr>
        <w:tblStyle w:val="41"/>
        <w:tblW w:w="9566" w:type="dxa"/>
        <w:tblInd w:w="108" w:type="dxa"/>
        <w:tblLayout w:type="fixed"/>
        <w:tblCellMar>
          <w:top w:w="57" w:type="dxa"/>
          <w:left w:w="108" w:type="dxa"/>
          <w:bottom w:w="57" w:type="dxa"/>
          <w:right w:w="108" w:type="dxa"/>
        </w:tblCellMar>
      </w:tblPr>
      <w:tblGrid>
        <w:gridCol w:w="840"/>
        <w:gridCol w:w="2279"/>
        <w:gridCol w:w="1559"/>
        <w:gridCol w:w="4888"/>
      </w:tblGrid>
      <w:tr w14:paraId="6C5144FA">
        <w:tblPrEx>
          <w:tblCellMar>
            <w:top w:w="57" w:type="dxa"/>
            <w:left w:w="108" w:type="dxa"/>
            <w:bottom w:w="57" w:type="dxa"/>
            <w:right w:w="108" w:type="dxa"/>
          </w:tblCellMar>
        </w:tblPrEx>
        <w:trPr>
          <w:trHeight w:val="492" w:hRule="atLeast"/>
          <w:tblHeader/>
        </w:trPr>
        <w:tc>
          <w:tcPr>
            <w:tcW w:w="3119" w:type="dxa"/>
            <w:gridSpan w:val="2"/>
            <w:tcBorders>
              <w:top w:val="single" w:color="000000" w:sz="4" w:space="0"/>
              <w:left w:val="single" w:color="000000" w:sz="4" w:space="0"/>
              <w:bottom w:val="single" w:color="000000" w:sz="6" w:space="0"/>
              <w:right w:val="single" w:color="000000" w:sz="6" w:space="0"/>
            </w:tcBorders>
            <w:vAlign w:val="center"/>
          </w:tcPr>
          <w:p w14:paraId="516D6BC4">
            <w:pPr>
              <w:spacing w:line="360" w:lineRule="auto"/>
              <w:jc w:val="center"/>
              <w:rPr>
                <w:rFonts w:hint="eastAsia" w:ascii="宋体" w:hAnsi="宋体" w:cs="仿宋"/>
                <w:b/>
                <w:kern w:val="1"/>
                <w:sz w:val="24"/>
                <w:szCs w:val="24"/>
                <w:highlight w:val="none"/>
              </w:rPr>
            </w:pPr>
            <w:r>
              <w:rPr>
                <w:rFonts w:hint="eastAsia" w:ascii="宋体" w:hAnsi="宋体" w:cs="仿宋"/>
                <w:b/>
                <w:kern w:val="1"/>
                <w:sz w:val="24"/>
                <w:szCs w:val="24"/>
                <w:highlight w:val="none"/>
              </w:rPr>
              <w:t>条款号</w:t>
            </w:r>
          </w:p>
        </w:tc>
        <w:tc>
          <w:tcPr>
            <w:tcW w:w="1559" w:type="dxa"/>
            <w:tcBorders>
              <w:top w:val="single" w:color="000000" w:sz="4" w:space="0"/>
              <w:left w:val="single" w:color="000000" w:sz="6" w:space="0"/>
              <w:bottom w:val="single" w:color="000000" w:sz="6" w:space="0"/>
              <w:right w:val="single" w:color="000000" w:sz="6" w:space="0"/>
            </w:tcBorders>
            <w:vAlign w:val="center"/>
          </w:tcPr>
          <w:p w14:paraId="66DEC8FE">
            <w:pPr>
              <w:spacing w:line="360" w:lineRule="auto"/>
              <w:jc w:val="center"/>
              <w:rPr>
                <w:rFonts w:hint="eastAsia" w:ascii="宋体" w:hAnsi="宋体" w:cs="仿宋"/>
                <w:b/>
                <w:kern w:val="1"/>
                <w:sz w:val="24"/>
                <w:szCs w:val="24"/>
                <w:highlight w:val="none"/>
              </w:rPr>
            </w:pPr>
            <w:r>
              <w:rPr>
                <w:rFonts w:hint="eastAsia" w:ascii="宋体" w:hAnsi="宋体" w:cs="仿宋"/>
                <w:b/>
                <w:kern w:val="1"/>
                <w:sz w:val="24"/>
                <w:szCs w:val="24"/>
                <w:highlight w:val="none"/>
              </w:rPr>
              <w:t>评审因素</w:t>
            </w:r>
          </w:p>
        </w:tc>
        <w:tc>
          <w:tcPr>
            <w:tcW w:w="4888" w:type="dxa"/>
            <w:tcBorders>
              <w:top w:val="single" w:color="000000" w:sz="4" w:space="0"/>
              <w:left w:val="single" w:color="000000" w:sz="6" w:space="0"/>
              <w:bottom w:val="single" w:color="000000" w:sz="6" w:space="0"/>
              <w:right w:val="single" w:color="000000" w:sz="4" w:space="0"/>
            </w:tcBorders>
            <w:vAlign w:val="center"/>
          </w:tcPr>
          <w:p w14:paraId="00DEC1FE">
            <w:pPr>
              <w:spacing w:line="360" w:lineRule="auto"/>
              <w:jc w:val="center"/>
              <w:rPr>
                <w:rFonts w:hint="eastAsia" w:ascii="宋体" w:hAnsi="宋体" w:cs="仿宋"/>
                <w:b/>
                <w:kern w:val="1"/>
                <w:sz w:val="24"/>
                <w:szCs w:val="24"/>
                <w:highlight w:val="none"/>
              </w:rPr>
            </w:pPr>
            <w:r>
              <w:rPr>
                <w:rFonts w:hint="eastAsia" w:ascii="宋体" w:hAnsi="宋体" w:cs="仿宋"/>
                <w:b/>
                <w:kern w:val="1"/>
                <w:sz w:val="24"/>
                <w:szCs w:val="24"/>
                <w:highlight w:val="none"/>
              </w:rPr>
              <w:t>评审标准</w:t>
            </w:r>
          </w:p>
        </w:tc>
      </w:tr>
      <w:tr w14:paraId="1979A357">
        <w:tblPrEx>
          <w:tblCellMar>
            <w:top w:w="57" w:type="dxa"/>
            <w:left w:w="108" w:type="dxa"/>
            <w:bottom w:w="57" w:type="dxa"/>
            <w:right w:w="108" w:type="dxa"/>
          </w:tblCellMar>
        </w:tblPrEx>
        <w:trPr>
          <w:trHeight w:val="627" w:hRule="atLeast"/>
        </w:trPr>
        <w:tc>
          <w:tcPr>
            <w:tcW w:w="840" w:type="dxa"/>
            <w:tcBorders>
              <w:top w:val="single" w:color="000000" w:sz="6" w:space="0"/>
              <w:left w:val="single" w:color="000000" w:sz="4" w:space="0"/>
              <w:right w:val="single" w:color="000000" w:sz="6" w:space="0"/>
            </w:tcBorders>
            <w:vAlign w:val="center"/>
          </w:tcPr>
          <w:p w14:paraId="02994499">
            <w:pPr>
              <w:jc w:val="center"/>
              <w:rPr>
                <w:highlight w:val="none"/>
              </w:rPr>
            </w:pPr>
            <w:r>
              <w:rPr>
                <w:rFonts w:hint="eastAsia"/>
                <w:highlight w:val="none"/>
              </w:rPr>
              <w:t>2.1.1</w:t>
            </w:r>
          </w:p>
        </w:tc>
        <w:tc>
          <w:tcPr>
            <w:tcW w:w="2279" w:type="dxa"/>
            <w:tcBorders>
              <w:top w:val="single" w:color="000000" w:sz="6" w:space="0"/>
              <w:left w:val="single" w:color="000000" w:sz="6" w:space="0"/>
              <w:right w:val="single" w:color="000000" w:sz="6" w:space="0"/>
            </w:tcBorders>
            <w:vAlign w:val="center"/>
          </w:tcPr>
          <w:p w14:paraId="15CECFB9">
            <w:pPr>
              <w:jc w:val="center"/>
              <w:rPr>
                <w:highlight w:val="none"/>
              </w:rPr>
            </w:pPr>
            <w:r>
              <w:rPr>
                <w:rFonts w:hint="eastAsia"/>
                <w:highlight w:val="none"/>
              </w:rPr>
              <w:t>资格审查</w:t>
            </w:r>
          </w:p>
        </w:tc>
        <w:tc>
          <w:tcPr>
            <w:tcW w:w="6447" w:type="dxa"/>
            <w:gridSpan w:val="2"/>
            <w:tcBorders>
              <w:top w:val="single" w:color="000000" w:sz="6" w:space="0"/>
              <w:left w:val="single" w:color="000000" w:sz="6" w:space="0"/>
              <w:bottom w:val="single" w:color="000000" w:sz="6" w:space="0"/>
              <w:right w:val="single" w:color="000000" w:sz="4" w:space="0"/>
            </w:tcBorders>
            <w:vAlign w:val="center"/>
          </w:tcPr>
          <w:p w14:paraId="4246A8ED">
            <w:pPr>
              <w:spacing w:line="360" w:lineRule="auto"/>
              <w:jc w:val="left"/>
              <w:rPr>
                <w:rFonts w:hint="eastAsia" w:ascii="宋体" w:hAnsi="宋体" w:cs="仿宋"/>
                <w:szCs w:val="21"/>
                <w:highlight w:val="none"/>
              </w:rPr>
            </w:pPr>
            <w:r>
              <w:rPr>
                <w:rFonts w:hint="eastAsia" w:ascii="宋体" w:hAnsi="宋体" w:cs="仿宋"/>
                <w:szCs w:val="21"/>
                <w:highlight w:val="none"/>
              </w:rPr>
              <w:t>见附表1《资格审查表》</w:t>
            </w:r>
          </w:p>
        </w:tc>
      </w:tr>
      <w:tr w14:paraId="1DFD5C9B">
        <w:tblPrEx>
          <w:tblCellMar>
            <w:top w:w="57" w:type="dxa"/>
            <w:left w:w="108" w:type="dxa"/>
            <w:bottom w:w="57" w:type="dxa"/>
            <w:right w:w="108" w:type="dxa"/>
          </w:tblCellMar>
        </w:tblPrEx>
        <w:trPr>
          <w:trHeight w:val="90" w:hRule="atLeast"/>
        </w:trPr>
        <w:tc>
          <w:tcPr>
            <w:tcW w:w="840" w:type="dxa"/>
            <w:tcBorders>
              <w:top w:val="single" w:color="000000" w:sz="6" w:space="0"/>
              <w:left w:val="single" w:color="000000" w:sz="4" w:space="0"/>
              <w:bottom w:val="single" w:color="000000" w:sz="6" w:space="0"/>
              <w:right w:val="single" w:color="000000" w:sz="6" w:space="0"/>
            </w:tcBorders>
            <w:vAlign w:val="center"/>
          </w:tcPr>
          <w:p w14:paraId="1174414C">
            <w:pPr>
              <w:jc w:val="center"/>
              <w:rPr>
                <w:highlight w:val="none"/>
              </w:rPr>
            </w:pPr>
            <w:r>
              <w:rPr>
                <w:rFonts w:hint="eastAsia"/>
                <w:highlight w:val="none"/>
              </w:rPr>
              <w:t>2.1.2</w:t>
            </w:r>
          </w:p>
        </w:tc>
        <w:tc>
          <w:tcPr>
            <w:tcW w:w="2279" w:type="dxa"/>
            <w:tcBorders>
              <w:top w:val="single" w:color="000000" w:sz="6" w:space="0"/>
              <w:left w:val="single" w:color="000000" w:sz="6" w:space="0"/>
              <w:bottom w:val="single" w:color="000000" w:sz="6" w:space="0"/>
              <w:right w:val="single" w:color="000000" w:sz="6" w:space="0"/>
            </w:tcBorders>
            <w:vAlign w:val="center"/>
          </w:tcPr>
          <w:p w14:paraId="6F3B0D52">
            <w:pPr>
              <w:jc w:val="center"/>
              <w:rPr>
                <w:highlight w:val="none"/>
              </w:rPr>
            </w:pPr>
            <w:r>
              <w:rPr>
                <w:rFonts w:hint="eastAsia"/>
                <w:highlight w:val="none"/>
              </w:rPr>
              <w:t>设计方案投标文件有效性审查</w:t>
            </w:r>
          </w:p>
        </w:tc>
        <w:tc>
          <w:tcPr>
            <w:tcW w:w="6447" w:type="dxa"/>
            <w:gridSpan w:val="2"/>
            <w:tcBorders>
              <w:top w:val="single" w:color="000000" w:sz="6" w:space="0"/>
              <w:left w:val="single" w:color="000000" w:sz="6" w:space="0"/>
              <w:bottom w:val="single" w:color="000000" w:sz="6" w:space="0"/>
              <w:right w:val="single" w:color="000000" w:sz="4" w:space="0"/>
            </w:tcBorders>
            <w:vAlign w:val="center"/>
          </w:tcPr>
          <w:p w14:paraId="6548A63F">
            <w:pPr>
              <w:spacing w:line="360" w:lineRule="auto"/>
              <w:rPr>
                <w:rFonts w:hint="eastAsia" w:ascii="宋体" w:hAnsi="宋体" w:cs="仿宋"/>
                <w:szCs w:val="21"/>
                <w:highlight w:val="none"/>
              </w:rPr>
            </w:pPr>
            <w:r>
              <w:rPr>
                <w:rFonts w:hint="eastAsia" w:ascii="宋体" w:hAnsi="宋体" w:cs="仿宋"/>
                <w:szCs w:val="21"/>
                <w:highlight w:val="none"/>
              </w:rPr>
              <w:t>见附表2《设计方案投标文件有效性审查表》</w:t>
            </w:r>
          </w:p>
        </w:tc>
      </w:tr>
      <w:tr w14:paraId="1828541F">
        <w:tblPrEx>
          <w:tblCellMar>
            <w:top w:w="57" w:type="dxa"/>
            <w:left w:w="108" w:type="dxa"/>
            <w:bottom w:w="57" w:type="dxa"/>
            <w:right w:w="108" w:type="dxa"/>
          </w:tblCellMar>
        </w:tblPrEx>
        <w:trPr>
          <w:trHeight w:val="397" w:hRule="atLeast"/>
        </w:trPr>
        <w:tc>
          <w:tcPr>
            <w:tcW w:w="840" w:type="dxa"/>
            <w:tcBorders>
              <w:top w:val="single" w:color="000000" w:sz="6" w:space="0"/>
              <w:left w:val="single" w:color="000000" w:sz="4" w:space="0"/>
              <w:bottom w:val="single" w:color="auto" w:sz="4" w:space="0"/>
              <w:right w:val="single" w:color="000000" w:sz="6" w:space="0"/>
            </w:tcBorders>
            <w:vAlign w:val="center"/>
          </w:tcPr>
          <w:p w14:paraId="1332EB31">
            <w:pPr>
              <w:jc w:val="center"/>
              <w:rPr>
                <w:highlight w:val="none"/>
              </w:rPr>
            </w:pPr>
            <w:r>
              <w:rPr>
                <w:rFonts w:hint="eastAsia"/>
                <w:highlight w:val="none"/>
              </w:rPr>
              <w:t>2.1.3</w:t>
            </w:r>
          </w:p>
        </w:tc>
        <w:tc>
          <w:tcPr>
            <w:tcW w:w="2279" w:type="dxa"/>
            <w:tcBorders>
              <w:top w:val="single" w:color="000000" w:sz="6" w:space="0"/>
              <w:left w:val="single" w:color="000000" w:sz="6" w:space="0"/>
              <w:bottom w:val="single" w:color="auto" w:sz="4" w:space="0"/>
              <w:right w:val="single" w:color="000000" w:sz="6" w:space="0"/>
            </w:tcBorders>
            <w:vAlign w:val="center"/>
          </w:tcPr>
          <w:p w14:paraId="596F364F">
            <w:pPr>
              <w:jc w:val="center"/>
              <w:rPr>
                <w:highlight w:val="none"/>
              </w:rPr>
            </w:pPr>
            <w:r>
              <w:rPr>
                <w:rFonts w:hint="eastAsia"/>
                <w:highlight w:val="none"/>
              </w:rPr>
              <w:t>工程总承包实施方案投标文件有效性审查</w:t>
            </w:r>
          </w:p>
        </w:tc>
        <w:tc>
          <w:tcPr>
            <w:tcW w:w="6447" w:type="dxa"/>
            <w:gridSpan w:val="2"/>
            <w:tcBorders>
              <w:top w:val="single" w:color="000000" w:sz="6" w:space="0"/>
              <w:left w:val="single" w:color="000000" w:sz="6" w:space="0"/>
              <w:bottom w:val="single" w:color="000000" w:sz="6" w:space="0"/>
              <w:right w:val="single" w:color="000000" w:sz="4" w:space="0"/>
            </w:tcBorders>
            <w:vAlign w:val="center"/>
          </w:tcPr>
          <w:p w14:paraId="0020857B">
            <w:pPr>
              <w:spacing w:line="360" w:lineRule="auto"/>
              <w:jc w:val="left"/>
              <w:rPr>
                <w:rFonts w:hint="eastAsia" w:ascii="宋体" w:hAnsi="宋体" w:cs="仿宋"/>
                <w:szCs w:val="21"/>
                <w:highlight w:val="none"/>
              </w:rPr>
            </w:pPr>
            <w:r>
              <w:rPr>
                <w:rFonts w:hint="eastAsia" w:ascii="宋体" w:hAnsi="宋体" w:cs="仿宋"/>
                <w:szCs w:val="21"/>
                <w:highlight w:val="none"/>
              </w:rPr>
              <w:t>见附表4《工程总承包实施方案投标文件有效性审查表》</w:t>
            </w:r>
          </w:p>
        </w:tc>
      </w:tr>
      <w:tr w14:paraId="38D89EAE">
        <w:tblPrEx>
          <w:tblCellMar>
            <w:top w:w="57" w:type="dxa"/>
            <w:left w:w="108" w:type="dxa"/>
            <w:bottom w:w="57" w:type="dxa"/>
            <w:right w:w="108" w:type="dxa"/>
          </w:tblCellMar>
        </w:tblPrEx>
        <w:trPr>
          <w:trHeight w:val="397"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14:paraId="03D646F6">
            <w:pPr>
              <w:spacing w:line="360" w:lineRule="auto"/>
              <w:jc w:val="center"/>
              <w:rPr>
                <w:rFonts w:hint="eastAsia" w:ascii="宋体" w:hAnsi="宋体" w:cs="仿宋"/>
                <w:sz w:val="24"/>
                <w:szCs w:val="24"/>
                <w:highlight w:val="none"/>
              </w:rPr>
            </w:pPr>
            <w:r>
              <w:rPr>
                <w:rFonts w:hint="eastAsia" w:ascii="宋体" w:hAnsi="宋体" w:cs="仿宋"/>
                <w:b/>
                <w:kern w:val="1"/>
                <w:sz w:val="24"/>
                <w:szCs w:val="24"/>
                <w:highlight w:val="none"/>
              </w:rPr>
              <w:t>条款号</w:t>
            </w:r>
          </w:p>
        </w:tc>
        <w:tc>
          <w:tcPr>
            <w:tcW w:w="1559" w:type="dxa"/>
            <w:tcBorders>
              <w:top w:val="single" w:color="000000" w:sz="6" w:space="0"/>
              <w:left w:val="single" w:color="auto" w:sz="4" w:space="0"/>
              <w:bottom w:val="single" w:color="000000" w:sz="6" w:space="0"/>
              <w:right w:val="single" w:color="000000" w:sz="4" w:space="0"/>
            </w:tcBorders>
            <w:vAlign w:val="center"/>
          </w:tcPr>
          <w:p w14:paraId="7B31092F">
            <w:pPr>
              <w:spacing w:line="360" w:lineRule="auto"/>
              <w:jc w:val="center"/>
              <w:rPr>
                <w:rFonts w:hint="eastAsia" w:ascii="宋体" w:hAnsi="宋体" w:cs="仿宋"/>
                <w:sz w:val="24"/>
                <w:szCs w:val="24"/>
                <w:highlight w:val="none"/>
              </w:rPr>
            </w:pPr>
            <w:r>
              <w:rPr>
                <w:rFonts w:hint="eastAsia" w:ascii="宋体" w:hAnsi="宋体" w:cs="仿宋"/>
                <w:b/>
                <w:kern w:val="1"/>
                <w:sz w:val="24"/>
                <w:szCs w:val="24"/>
                <w:highlight w:val="none"/>
              </w:rPr>
              <w:t>条款内容</w:t>
            </w:r>
          </w:p>
        </w:tc>
        <w:tc>
          <w:tcPr>
            <w:tcW w:w="4888" w:type="dxa"/>
            <w:tcBorders>
              <w:top w:val="single" w:color="000000" w:sz="6" w:space="0"/>
              <w:left w:val="single" w:color="auto" w:sz="4" w:space="0"/>
              <w:bottom w:val="single" w:color="000000" w:sz="6" w:space="0"/>
              <w:right w:val="single" w:color="000000" w:sz="4" w:space="0"/>
            </w:tcBorders>
            <w:vAlign w:val="center"/>
          </w:tcPr>
          <w:p w14:paraId="6BB4F0C5">
            <w:pPr>
              <w:spacing w:line="360" w:lineRule="auto"/>
              <w:jc w:val="center"/>
              <w:rPr>
                <w:rFonts w:hint="eastAsia" w:ascii="宋体" w:hAnsi="宋体" w:cs="仿宋"/>
                <w:sz w:val="24"/>
                <w:szCs w:val="24"/>
                <w:highlight w:val="none"/>
              </w:rPr>
            </w:pPr>
            <w:r>
              <w:rPr>
                <w:rFonts w:hint="eastAsia" w:ascii="宋体" w:hAnsi="宋体" w:cs="仿宋"/>
                <w:b/>
                <w:kern w:val="1"/>
                <w:sz w:val="24"/>
                <w:szCs w:val="24"/>
                <w:highlight w:val="none"/>
              </w:rPr>
              <w:t>编列内容</w:t>
            </w:r>
          </w:p>
        </w:tc>
      </w:tr>
      <w:tr w14:paraId="1735350D">
        <w:tblPrEx>
          <w:tblCellMar>
            <w:top w:w="57" w:type="dxa"/>
            <w:left w:w="108" w:type="dxa"/>
            <w:bottom w:w="57" w:type="dxa"/>
            <w:right w:w="108" w:type="dxa"/>
          </w:tblCellMar>
        </w:tblPrEx>
        <w:trPr>
          <w:trHeight w:val="1488"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14:paraId="10A32F62">
            <w:pPr>
              <w:jc w:val="center"/>
              <w:rPr>
                <w:rFonts w:hint="eastAsia" w:ascii="宋体" w:hAnsi="宋体" w:cs="仿宋"/>
                <w:sz w:val="24"/>
                <w:szCs w:val="24"/>
                <w:highlight w:val="none"/>
              </w:rPr>
            </w:pPr>
            <w:r>
              <w:rPr>
                <w:rFonts w:hint="eastAsia" w:ascii="Calibri" w:hAnsi="Calibri"/>
                <w:highlight w:val="none"/>
              </w:rPr>
              <w:t>2.2.1</w:t>
            </w:r>
          </w:p>
        </w:tc>
        <w:tc>
          <w:tcPr>
            <w:tcW w:w="1559" w:type="dxa"/>
            <w:tcBorders>
              <w:top w:val="single" w:color="000000" w:sz="6" w:space="0"/>
              <w:left w:val="single" w:color="auto" w:sz="4" w:space="0"/>
              <w:bottom w:val="single" w:color="000000" w:sz="6" w:space="0"/>
              <w:right w:val="single" w:color="000000" w:sz="4" w:space="0"/>
            </w:tcBorders>
            <w:vAlign w:val="center"/>
          </w:tcPr>
          <w:p w14:paraId="6D1653FE">
            <w:pPr>
              <w:jc w:val="center"/>
              <w:rPr>
                <w:rFonts w:hint="eastAsia" w:ascii="宋体" w:hAnsi="宋体" w:cs="仿宋"/>
                <w:sz w:val="24"/>
                <w:szCs w:val="24"/>
                <w:highlight w:val="none"/>
              </w:rPr>
            </w:pPr>
            <w:r>
              <w:rPr>
                <w:rFonts w:hint="eastAsia" w:ascii="Calibri" w:hAnsi="Calibri"/>
                <w:highlight w:val="none"/>
              </w:rPr>
              <w:t>分值构成及权重</w:t>
            </w:r>
          </w:p>
        </w:tc>
        <w:tc>
          <w:tcPr>
            <w:tcW w:w="4888" w:type="dxa"/>
            <w:tcBorders>
              <w:top w:val="single" w:color="000000" w:sz="6" w:space="0"/>
              <w:left w:val="single" w:color="auto" w:sz="4" w:space="0"/>
              <w:bottom w:val="single" w:color="000000" w:sz="6" w:space="0"/>
              <w:right w:val="single" w:color="000000" w:sz="4" w:space="0"/>
            </w:tcBorders>
            <w:vAlign w:val="center"/>
          </w:tcPr>
          <w:p w14:paraId="689F5477">
            <w:pPr>
              <w:rPr>
                <w:rFonts w:hint="eastAsia" w:ascii="宋体" w:hAnsi="宋体" w:cs="仿宋"/>
                <w:sz w:val="24"/>
                <w:szCs w:val="24"/>
                <w:highlight w:val="none"/>
              </w:rPr>
            </w:pPr>
            <w:r>
              <w:rPr>
                <w:rFonts w:hint="eastAsia" w:ascii="宋体" w:cs="宋体"/>
                <w:highlight w:val="none"/>
              </w:rPr>
              <w:t>总得分=设计方案部分得分×设计方案得分总权重（30%）+[工程总承包实施方案部分得分×工程总承包实施方案权重（50%）+投标报价得分×投标报价权重（50%）]×总权重（70%）。</w:t>
            </w:r>
          </w:p>
        </w:tc>
      </w:tr>
      <w:tr w14:paraId="3CAC28DE">
        <w:tblPrEx>
          <w:tblCellMar>
            <w:top w:w="57" w:type="dxa"/>
            <w:left w:w="108" w:type="dxa"/>
            <w:bottom w:w="57" w:type="dxa"/>
            <w:right w:w="108" w:type="dxa"/>
          </w:tblCellMar>
        </w:tblPrEx>
        <w:trPr>
          <w:trHeight w:val="397"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14:paraId="72AD6399">
            <w:pPr>
              <w:spacing w:line="360" w:lineRule="auto"/>
              <w:jc w:val="center"/>
              <w:rPr>
                <w:rFonts w:hint="eastAsia" w:ascii="宋体" w:hAnsi="宋体" w:cs="仿宋"/>
                <w:sz w:val="24"/>
                <w:szCs w:val="24"/>
                <w:highlight w:val="none"/>
              </w:rPr>
            </w:pPr>
            <w:r>
              <w:rPr>
                <w:rFonts w:hint="eastAsia" w:ascii="宋体" w:hAnsi="宋体" w:cs="仿宋"/>
                <w:b/>
                <w:kern w:val="1"/>
                <w:sz w:val="24"/>
                <w:szCs w:val="24"/>
                <w:highlight w:val="none"/>
              </w:rPr>
              <w:t>条款号</w:t>
            </w:r>
          </w:p>
        </w:tc>
        <w:tc>
          <w:tcPr>
            <w:tcW w:w="1559" w:type="dxa"/>
            <w:tcBorders>
              <w:top w:val="single" w:color="000000" w:sz="6" w:space="0"/>
              <w:left w:val="single" w:color="auto" w:sz="4" w:space="0"/>
              <w:bottom w:val="single" w:color="000000" w:sz="6" w:space="0"/>
              <w:right w:val="single" w:color="000000" w:sz="4" w:space="0"/>
            </w:tcBorders>
            <w:vAlign w:val="center"/>
          </w:tcPr>
          <w:p w14:paraId="402CA8BC">
            <w:pPr>
              <w:spacing w:line="360" w:lineRule="auto"/>
              <w:jc w:val="center"/>
              <w:rPr>
                <w:rFonts w:hint="eastAsia" w:ascii="宋体" w:hAnsi="宋体" w:cs="仿宋"/>
                <w:sz w:val="24"/>
                <w:szCs w:val="24"/>
                <w:highlight w:val="none"/>
              </w:rPr>
            </w:pPr>
            <w:r>
              <w:rPr>
                <w:rFonts w:hint="eastAsia" w:ascii="宋体" w:hAnsi="宋体" w:cs="仿宋"/>
                <w:b/>
                <w:kern w:val="1"/>
                <w:sz w:val="24"/>
                <w:szCs w:val="24"/>
                <w:highlight w:val="none"/>
              </w:rPr>
              <w:t>评审因素</w:t>
            </w:r>
          </w:p>
        </w:tc>
        <w:tc>
          <w:tcPr>
            <w:tcW w:w="4888" w:type="dxa"/>
            <w:tcBorders>
              <w:top w:val="single" w:color="000000" w:sz="6" w:space="0"/>
              <w:left w:val="single" w:color="auto" w:sz="4" w:space="0"/>
              <w:bottom w:val="single" w:color="000000" w:sz="6" w:space="0"/>
              <w:right w:val="single" w:color="000000" w:sz="4" w:space="0"/>
            </w:tcBorders>
            <w:vAlign w:val="center"/>
          </w:tcPr>
          <w:p w14:paraId="75F23A6C">
            <w:pPr>
              <w:spacing w:line="360" w:lineRule="auto"/>
              <w:jc w:val="center"/>
              <w:rPr>
                <w:rFonts w:hint="eastAsia" w:ascii="宋体" w:hAnsi="宋体" w:cs="仿宋"/>
                <w:sz w:val="24"/>
                <w:szCs w:val="24"/>
                <w:highlight w:val="none"/>
              </w:rPr>
            </w:pPr>
            <w:r>
              <w:rPr>
                <w:rFonts w:hint="eastAsia" w:ascii="宋体" w:hAnsi="宋体" w:cs="仿宋"/>
                <w:b/>
                <w:kern w:val="1"/>
                <w:sz w:val="24"/>
                <w:szCs w:val="24"/>
                <w:highlight w:val="none"/>
              </w:rPr>
              <w:t>评审标准</w:t>
            </w:r>
          </w:p>
        </w:tc>
      </w:tr>
      <w:tr w14:paraId="22A8C100">
        <w:tblPrEx>
          <w:tblCellMar>
            <w:top w:w="57" w:type="dxa"/>
            <w:left w:w="108" w:type="dxa"/>
            <w:bottom w:w="57" w:type="dxa"/>
            <w:right w:w="108" w:type="dxa"/>
          </w:tblCellMar>
        </w:tblPrEx>
        <w:trPr>
          <w:trHeight w:val="826" w:hRule="atLeast"/>
        </w:trPr>
        <w:tc>
          <w:tcPr>
            <w:tcW w:w="840" w:type="dxa"/>
            <w:tcBorders>
              <w:top w:val="single" w:color="auto" w:sz="4" w:space="0"/>
              <w:left w:val="single" w:color="auto" w:sz="4" w:space="0"/>
              <w:bottom w:val="single" w:color="auto" w:sz="4" w:space="0"/>
              <w:right w:val="single" w:color="000000" w:sz="6" w:space="0"/>
            </w:tcBorders>
            <w:vAlign w:val="center"/>
          </w:tcPr>
          <w:p w14:paraId="69C362E0">
            <w:pPr>
              <w:jc w:val="center"/>
              <w:rPr>
                <w:rFonts w:hint="eastAsia" w:ascii="宋体" w:hAnsi="宋体" w:cs="仿宋"/>
                <w:kern w:val="1"/>
                <w:sz w:val="24"/>
                <w:szCs w:val="24"/>
                <w:highlight w:val="none"/>
              </w:rPr>
            </w:pPr>
            <w:r>
              <w:rPr>
                <w:rFonts w:hint="eastAsia" w:ascii="Calibri" w:hAnsi="Calibri"/>
                <w:highlight w:val="none"/>
              </w:rPr>
              <w:t>2.2.2（1）</w:t>
            </w:r>
          </w:p>
        </w:tc>
        <w:tc>
          <w:tcPr>
            <w:tcW w:w="2279" w:type="dxa"/>
            <w:tcBorders>
              <w:top w:val="single" w:color="auto" w:sz="4" w:space="0"/>
              <w:left w:val="single" w:color="000000" w:sz="6" w:space="0"/>
              <w:bottom w:val="single" w:color="auto" w:sz="4" w:space="0"/>
              <w:right w:val="single" w:color="auto" w:sz="4" w:space="0"/>
            </w:tcBorders>
            <w:vAlign w:val="center"/>
          </w:tcPr>
          <w:p w14:paraId="25FAFB46">
            <w:pPr>
              <w:jc w:val="center"/>
              <w:rPr>
                <w:rFonts w:hint="eastAsia" w:ascii="宋体" w:hAnsi="宋体" w:cs="仿宋"/>
                <w:sz w:val="24"/>
                <w:szCs w:val="24"/>
                <w:highlight w:val="none"/>
              </w:rPr>
            </w:pPr>
            <w:r>
              <w:rPr>
                <w:rFonts w:hint="eastAsia" w:ascii="Calibri" w:hAnsi="Calibri"/>
                <w:highlight w:val="none"/>
                <w:lang w:val="zh-CN"/>
              </w:rPr>
              <w:t>设计方案评分标准</w:t>
            </w:r>
          </w:p>
        </w:tc>
        <w:tc>
          <w:tcPr>
            <w:tcW w:w="1559" w:type="dxa"/>
            <w:tcBorders>
              <w:top w:val="single" w:color="000000" w:sz="6" w:space="0"/>
              <w:left w:val="single" w:color="auto" w:sz="4" w:space="0"/>
              <w:bottom w:val="single" w:color="000000" w:sz="6" w:space="0"/>
              <w:right w:val="single" w:color="000000" w:sz="4" w:space="0"/>
            </w:tcBorders>
            <w:vAlign w:val="center"/>
          </w:tcPr>
          <w:p w14:paraId="305E7A35">
            <w:pPr>
              <w:jc w:val="center"/>
              <w:rPr>
                <w:rFonts w:hint="eastAsia" w:ascii="宋体" w:hAnsi="宋体" w:cs="仿宋"/>
                <w:sz w:val="24"/>
                <w:szCs w:val="24"/>
                <w:highlight w:val="none"/>
              </w:rPr>
            </w:pPr>
            <w:r>
              <w:rPr>
                <w:rFonts w:hint="eastAsia" w:ascii="Calibri" w:hAnsi="Calibri"/>
                <w:highlight w:val="none"/>
              </w:rPr>
              <w:t>设计方案</w:t>
            </w:r>
          </w:p>
        </w:tc>
        <w:tc>
          <w:tcPr>
            <w:tcW w:w="4888" w:type="dxa"/>
            <w:tcBorders>
              <w:top w:val="single" w:color="000000" w:sz="6" w:space="0"/>
              <w:left w:val="single" w:color="auto" w:sz="4" w:space="0"/>
              <w:bottom w:val="single" w:color="000000" w:sz="6" w:space="0"/>
              <w:right w:val="single" w:color="000000" w:sz="4" w:space="0"/>
            </w:tcBorders>
            <w:vAlign w:val="center"/>
          </w:tcPr>
          <w:p w14:paraId="7509D9F4">
            <w:pPr>
              <w:rPr>
                <w:rFonts w:hint="eastAsia" w:ascii="宋体" w:hAnsi="宋体" w:cs="仿宋"/>
                <w:sz w:val="24"/>
                <w:szCs w:val="24"/>
                <w:highlight w:val="none"/>
              </w:rPr>
            </w:pPr>
            <w:r>
              <w:rPr>
                <w:rFonts w:hint="eastAsia" w:ascii="Calibri" w:hAnsi="Calibri"/>
                <w:highlight w:val="none"/>
              </w:rPr>
              <w:t>见附表3《</w:t>
            </w:r>
            <w:r>
              <w:rPr>
                <w:rFonts w:hint="eastAsia" w:ascii="Calibri" w:hAnsi="Calibri"/>
                <w:highlight w:val="none"/>
                <w:lang w:val="zh-CN"/>
              </w:rPr>
              <w:t>设计方案详细审查</w:t>
            </w:r>
            <w:r>
              <w:rPr>
                <w:rFonts w:hint="eastAsia" w:ascii="Calibri" w:hAnsi="Calibri"/>
                <w:highlight w:val="none"/>
              </w:rPr>
              <w:t>评分表》</w:t>
            </w:r>
          </w:p>
        </w:tc>
      </w:tr>
      <w:tr w14:paraId="03885E32">
        <w:tblPrEx>
          <w:tblCellMar>
            <w:top w:w="57" w:type="dxa"/>
            <w:left w:w="108" w:type="dxa"/>
            <w:bottom w:w="57" w:type="dxa"/>
            <w:right w:w="108" w:type="dxa"/>
          </w:tblCellMar>
        </w:tblPrEx>
        <w:trPr>
          <w:trHeight w:val="902" w:hRule="atLeast"/>
        </w:trPr>
        <w:tc>
          <w:tcPr>
            <w:tcW w:w="840" w:type="dxa"/>
            <w:tcBorders>
              <w:top w:val="single" w:color="auto" w:sz="4" w:space="0"/>
              <w:left w:val="single" w:color="auto" w:sz="4" w:space="0"/>
              <w:bottom w:val="single" w:color="auto" w:sz="4" w:space="0"/>
              <w:right w:val="single" w:color="000000" w:sz="6" w:space="0"/>
            </w:tcBorders>
            <w:vAlign w:val="center"/>
          </w:tcPr>
          <w:p w14:paraId="283D8700">
            <w:pPr>
              <w:jc w:val="center"/>
              <w:rPr>
                <w:rFonts w:hint="eastAsia" w:ascii="宋体" w:hAnsi="宋体" w:cs="仿宋"/>
                <w:kern w:val="1"/>
                <w:sz w:val="24"/>
                <w:szCs w:val="24"/>
                <w:highlight w:val="none"/>
              </w:rPr>
            </w:pPr>
            <w:r>
              <w:rPr>
                <w:rFonts w:hint="eastAsia" w:ascii="Calibri" w:hAnsi="Calibri"/>
                <w:highlight w:val="none"/>
              </w:rPr>
              <w:t>2.2.2（2）</w:t>
            </w:r>
          </w:p>
        </w:tc>
        <w:tc>
          <w:tcPr>
            <w:tcW w:w="2279" w:type="dxa"/>
            <w:tcBorders>
              <w:top w:val="single" w:color="auto" w:sz="4" w:space="0"/>
              <w:left w:val="single" w:color="000000" w:sz="6" w:space="0"/>
              <w:bottom w:val="single" w:color="auto" w:sz="4" w:space="0"/>
              <w:right w:val="single" w:color="auto" w:sz="4" w:space="0"/>
            </w:tcBorders>
            <w:vAlign w:val="center"/>
          </w:tcPr>
          <w:p w14:paraId="2F828EBF">
            <w:pPr>
              <w:jc w:val="center"/>
              <w:rPr>
                <w:rFonts w:hint="eastAsia" w:ascii="宋体" w:hAnsi="宋体" w:cs="仿宋"/>
                <w:sz w:val="24"/>
                <w:szCs w:val="24"/>
                <w:highlight w:val="none"/>
              </w:rPr>
            </w:pPr>
            <w:r>
              <w:rPr>
                <w:rFonts w:hint="eastAsia" w:ascii="Calibri" w:hAnsi="Calibri"/>
                <w:highlight w:val="none"/>
                <w:lang w:val="zh-CN"/>
              </w:rPr>
              <w:t>工程总承包实施方案投标文件评分标准</w:t>
            </w:r>
          </w:p>
        </w:tc>
        <w:tc>
          <w:tcPr>
            <w:tcW w:w="1559" w:type="dxa"/>
            <w:tcBorders>
              <w:top w:val="single" w:color="000000" w:sz="6" w:space="0"/>
              <w:left w:val="single" w:color="auto" w:sz="4" w:space="0"/>
              <w:bottom w:val="single" w:color="000000" w:sz="6" w:space="0"/>
              <w:right w:val="single" w:color="000000" w:sz="4" w:space="0"/>
            </w:tcBorders>
            <w:vAlign w:val="center"/>
          </w:tcPr>
          <w:p w14:paraId="1B80873E">
            <w:pPr>
              <w:jc w:val="center"/>
              <w:rPr>
                <w:rFonts w:hint="eastAsia" w:ascii="宋体" w:hAnsi="宋体" w:cs="仿宋"/>
                <w:sz w:val="24"/>
                <w:szCs w:val="24"/>
                <w:highlight w:val="none"/>
              </w:rPr>
            </w:pPr>
            <w:r>
              <w:rPr>
                <w:rFonts w:hint="eastAsia" w:ascii="Calibri" w:hAnsi="Calibri"/>
                <w:highlight w:val="none"/>
              </w:rPr>
              <w:t>工程总承包实施方案</w:t>
            </w:r>
          </w:p>
        </w:tc>
        <w:tc>
          <w:tcPr>
            <w:tcW w:w="4888" w:type="dxa"/>
            <w:tcBorders>
              <w:top w:val="single" w:color="000000" w:sz="6" w:space="0"/>
              <w:left w:val="single" w:color="auto" w:sz="4" w:space="0"/>
              <w:bottom w:val="single" w:color="000000" w:sz="6" w:space="0"/>
              <w:right w:val="single" w:color="000000" w:sz="4" w:space="0"/>
            </w:tcBorders>
            <w:vAlign w:val="center"/>
          </w:tcPr>
          <w:p w14:paraId="1D274362">
            <w:pPr>
              <w:rPr>
                <w:rFonts w:hint="eastAsia" w:ascii="宋体" w:hAnsi="宋体" w:cs="仿宋"/>
                <w:sz w:val="24"/>
                <w:szCs w:val="24"/>
                <w:highlight w:val="none"/>
              </w:rPr>
            </w:pPr>
            <w:r>
              <w:rPr>
                <w:rFonts w:hint="eastAsia" w:ascii="Calibri" w:hAnsi="Calibri"/>
                <w:highlight w:val="none"/>
              </w:rPr>
              <w:t>见附表5《工程总承包实施方案投标文件详细审查评分表》</w:t>
            </w:r>
          </w:p>
        </w:tc>
      </w:tr>
      <w:tr w14:paraId="27A77057">
        <w:tblPrEx>
          <w:tblCellMar>
            <w:top w:w="57" w:type="dxa"/>
            <w:left w:w="108" w:type="dxa"/>
            <w:bottom w:w="57" w:type="dxa"/>
            <w:right w:w="108" w:type="dxa"/>
          </w:tblCellMar>
        </w:tblPrEx>
        <w:trPr>
          <w:trHeight w:val="860" w:hRule="atLeast"/>
        </w:trPr>
        <w:tc>
          <w:tcPr>
            <w:tcW w:w="840" w:type="dxa"/>
            <w:tcBorders>
              <w:top w:val="single" w:color="auto" w:sz="4" w:space="0"/>
              <w:left w:val="single" w:color="auto" w:sz="4" w:space="0"/>
              <w:bottom w:val="single" w:color="auto" w:sz="4" w:space="0"/>
              <w:right w:val="single" w:color="000000" w:sz="6" w:space="0"/>
            </w:tcBorders>
            <w:vAlign w:val="center"/>
          </w:tcPr>
          <w:p w14:paraId="3EE0877C">
            <w:pPr>
              <w:jc w:val="center"/>
              <w:rPr>
                <w:rFonts w:hint="eastAsia" w:ascii="宋体" w:hAnsi="宋体" w:cs="仿宋"/>
                <w:kern w:val="1"/>
                <w:sz w:val="24"/>
                <w:szCs w:val="24"/>
                <w:highlight w:val="none"/>
              </w:rPr>
            </w:pPr>
            <w:r>
              <w:rPr>
                <w:rFonts w:hint="eastAsia" w:ascii="Calibri" w:hAnsi="Calibri"/>
                <w:highlight w:val="none"/>
              </w:rPr>
              <w:t>2.2.2（3）</w:t>
            </w:r>
          </w:p>
        </w:tc>
        <w:tc>
          <w:tcPr>
            <w:tcW w:w="2279" w:type="dxa"/>
            <w:tcBorders>
              <w:top w:val="single" w:color="auto" w:sz="4" w:space="0"/>
              <w:left w:val="single" w:color="000000" w:sz="6" w:space="0"/>
              <w:bottom w:val="single" w:color="auto" w:sz="4" w:space="0"/>
              <w:right w:val="single" w:color="auto" w:sz="4" w:space="0"/>
            </w:tcBorders>
            <w:vAlign w:val="center"/>
          </w:tcPr>
          <w:p w14:paraId="7B826CF7">
            <w:pPr>
              <w:jc w:val="center"/>
              <w:rPr>
                <w:rFonts w:hint="eastAsia" w:ascii="宋体" w:hAnsi="宋体" w:cs="仿宋"/>
                <w:sz w:val="24"/>
                <w:szCs w:val="24"/>
                <w:highlight w:val="none"/>
              </w:rPr>
            </w:pPr>
            <w:r>
              <w:rPr>
                <w:rFonts w:hint="eastAsia" w:ascii="Calibri" w:hAnsi="Calibri"/>
                <w:highlight w:val="none"/>
              </w:rPr>
              <w:t>投标报价评分标准</w:t>
            </w:r>
          </w:p>
        </w:tc>
        <w:tc>
          <w:tcPr>
            <w:tcW w:w="1559" w:type="dxa"/>
            <w:tcBorders>
              <w:top w:val="single" w:color="000000" w:sz="6" w:space="0"/>
              <w:left w:val="single" w:color="auto" w:sz="4" w:space="0"/>
              <w:bottom w:val="single" w:color="000000" w:sz="6" w:space="0"/>
              <w:right w:val="single" w:color="000000" w:sz="4" w:space="0"/>
            </w:tcBorders>
            <w:vAlign w:val="center"/>
          </w:tcPr>
          <w:p w14:paraId="25188B26">
            <w:pPr>
              <w:jc w:val="center"/>
              <w:rPr>
                <w:rFonts w:ascii="Calibri" w:hAnsi="Calibri"/>
                <w:highlight w:val="none"/>
              </w:rPr>
            </w:pPr>
            <w:r>
              <w:rPr>
                <w:rFonts w:hint="eastAsia" w:ascii="Calibri" w:hAnsi="Calibri"/>
                <w:highlight w:val="none"/>
              </w:rPr>
              <w:t>投标报价</w:t>
            </w:r>
          </w:p>
          <w:p w14:paraId="298E50BC">
            <w:pPr>
              <w:jc w:val="center"/>
              <w:rPr>
                <w:rFonts w:hint="eastAsia" w:ascii="宋体" w:hAnsi="宋体" w:cs="仿宋"/>
                <w:sz w:val="24"/>
                <w:szCs w:val="24"/>
                <w:highlight w:val="none"/>
              </w:rPr>
            </w:pPr>
            <w:r>
              <w:rPr>
                <w:rFonts w:hint="eastAsia" w:ascii="Calibri" w:hAnsi="Calibri"/>
                <w:highlight w:val="none"/>
              </w:rPr>
              <w:t>（100分）</w:t>
            </w:r>
          </w:p>
        </w:tc>
        <w:tc>
          <w:tcPr>
            <w:tcW w:w="4888" w:type="dxa"/>
            <w:tcBorders>
              <w:top w:val="single" w:color="000000" w:sz="6" w:space="0"/>
              <w:left w:val="single" w:color="auto" w:sz="4" w:space="0"/>
              <w:bottom w:val="single" w:color="000000" w:sz="6" w:space="0"/>
              <w:right w:val="single" w:color="000000" w:sz="4" w:space="0"/>
            </w:tcBorders>
            <w:vAlign w:val="center"/>
          </w:tcPr>
          <w:p w14:paraId="71958C00">
            <w:pPr>
              <w:rPr>
                <w:rFonts w:hint="eastAsia" w:ascii="宋体" w:hAnsi="宋体" w:cs="仿宋"/>
                <w:sz w:val="24"/>
                <w:szCs w:val="24"/>
                <w:highlight w:val="none"/>
              </w:rPr>
            </w:pPr>
            <w:r>
              <w:rPr>
                <w:rFonts w:hint="eastAsia" w:ascii="Calibri" w:hAnsi="Calibri"/>
                <w:highlight w:val="none"/>
              </w:rPr>
              <w:t>见附表6《投标报价综合评分表》</w:t>
            </w:r>
          </w:p>
        </w:tc>
      </w:tr>
    </w:tbl>
    <w:p w14:paraId="4C304A7E">
      <w:pPr>
        <w:pStyle w:val="26"/>
        <w:rPr>
          <w:highlight w:val="none"/>
        </w:rPr>
        <w:sectPr>
          <w:pgSz w:w="11905" w:h="16838"/>
          <w:pgMar w:top="1247" w:right="1247" w:bottom="1247" w:left="1247" w:header="567" w:footer="850" w:gutter="0"/>
          <w:cols w:space="720" w:num="1"/>
          <w:docGrid w:type="lines" w:linePitch="312" w:charSpace="0"/>
        </w:sectPr>
      </w:pPr>
    </w:p>
    <w:p w14:paraId="6273AA59">
      <w:pPr>
        <w:keepNext/>
        <w:keepLines/>
        <w:spacing w:before="100" w:after="100" w:line="360" w:lineRule="auto"/>
        <w:outlineLvl w:val="1"/>
        <w:rPr>
          <w:rFonts w:hint="eastAsia" w:ascii="宋体" w:hAnsi="宋体" w:cs="宋体"/>
          <w:b/>
          <w:bCs/>
          <w:kern w:val="0"/>
          <w:sz w:val="32"/>
          <w:szCs w:val="32"/>
          <w:highlight w:val="none"/>
        </w:rPr>
      </w:pPr>
      <w:bookmarkStart w:id="942" w:name="_Toc16531"/>
      <w:bookmarkStart w:id="943" w:name="_Toc375931097"/>
      <w:bookmarkStart w:id="944" w:name="_Toc12763"/>
      <w:bookmarkStart w:id="945" w:name="_Toc28121"/>
      <w:bookmarkStart w:id="946" w:name="_Toc29426"/>
      <w:bookmarkStart w:id="947" w:name="_Toc8954"/>
      <w:bookmarkStart w:id="948" w:name="_Toc14459"/>
      <w:bookmarkStart w:id="949" w:name="_Toc27168"/>
      <w:bookmarkStart w:id="950" w:name="_Toc22237"/>
      <w:bookmarkStart w:id="951" w:name="_Toc3030"/>
      <w:bookmarkStart w:id="952" w:name="_Toc21694"/>
      <w:bookmarkStart w:id="953" w:name="_Toc485211095"/>
      <w:r>
        <w:rPr>
          <w:rFonts w:hint="eastAsia" w:ascii="宋体" w:hAnsi="宋体" w:cs="宋体"/>
          <w:b/>
          <w:bCs/>
          <w:kern w:val="0"/>
          <w:sz w:val="32"/>
          <w:szCs w:val="32"/>
          <w:highlight w:val="none"/>
        </w:rPr>
        <w:t>1. 评（定）标方法</w:t>
      </w:r>
      <w:bookmarkEnd w:id="942"/>
      <w:bookmarkEnd w:id="943"/>
      <w:bookmarkEnd w:id="944"/>
      <w:bookmarkEnd w:id="945"/>
      <w:bookmarkEnd w:id="946"/>
      <w:bookmarkEnd w:id="947"/>
      <w:bookmarkEnd w:id="948"/>
      <w:bookmarkEnd w:id="949"/>
      <w:bookmarkEnd w:id="950"/>
      <w:bookmarkEnd w:id="951"/>
      <w:bookmarkEnd w:id="952"/>
      <w:bookmarkEnd w:id="953"/>
    </w:p>
    <w:p w14:paraId="06756341">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u w:val="single"/>
        </w:rPr>
        <w:t>本次招标采用评定分离，评标采用“综合评估法”的评标办法，定标采用</w:t>
      </w:r>
      <w:r>
        <w:rPr>
          <w:rFonts w:hint="eastAsia" w:ascii="宋体" w:hAnsi="宋体" w:cs="宋体"/>
          <w:szCs w:val="24"/>
          <w:highlight w:val="none"/>
          <w:u w:val="single"/>
          <w:lang w:val="en-US" w:eastAsia="zh-CN"/>
        </w:rPr>
        <w:t>综合</w:t>
      </w:r>
      <w:r>
        <w:rPr>
          <w:rFonts w:hint="eastAsia" w:ascii="宋体" w:hAnsi="宋体" w:cs="宋体"/>
          <w:szCs w:val="24"/>
          <w:highlight w:val="none"/>
          <w:u w:val="single"/>
        </w:rPr>
        <w:t>评分法择优确定中标人。评标委员会按招标文件规定的评标标准和方法对投标文件进行评审比较，并按《投标人须知前附表》规定的方法推荐合格中标候选人进入定标环节[按投标人（如为联合体，以联合体主办方为准）统一社会信用代码后4位（除校验码外）大小排位，如统一社会信用代码后4位出现字母情况的，字母以“0”进行代替大小排位；如出现后4位（除校验码外）大小一致的，则随机排位]。</w:t>
      </w:r>
    </w:p>
    <w:p w14:paraId="7DAD912A">
      <w:pPr>
        <w:keepNext/>
        <w:keepLines/>
        <w:spacing w:before="100" w:after="100" w:line="360" w:lineRule="auto"/>
        <w:outlineLvl w:val="1"/>
        <w:rPr>
          <w:rFonts w:hint="eastAsia" w:ascii="宋体" w:hAnsi="宋体" w:cs="宋体"/>
          <w:b/>
          <w:bCs/>
          <w:kern w:val="0"/>
          <w:sz w:val="32"/>
          <w:szCs w:val="32"/>
          <w:highlight w:val="none"/>
        </w:rPr>
      </w:pPr>
      <w:bookmarkStart w:id="954" w:name="_Toc27392"/>
      <w:bookmarkStart w:id="955" w:name="_Toc10955"/>
      <w:bookmarkStart w:id="956" w:name="_Toc3630"/>
      <w:bookmarkStart w:id="957" w:name="_Toc485211096"/>
      <w:bookmarkStart w:id="958" w:name="_Toc2279"/>
      <w:bookmarkStart w:id="959" w:name="_Toc2505"/>
      <w:bookmarkStart w:id="960" w:name="_Toc15820"/>
      <w:bookmarkStart w:id="961" w:name="_Toc375931098"/>
      <w:bookmarkStart w:id="962" w:name="_Toc10045"/>
      <w:bookmarkStart w:id="963" w:name="_Toc24828"/>
      <w:bookmarkStart w:id="964" w:name="_Toc26325"/>
      <w:bookmarkStart w:id="965" w:name="_Toc17945"/>
      <w:r>
        <w:rPr>
          <w:rFonts w:hint="eastAsia" w:ascii="宋体" w:hAnsi="宋体" w:cs="宋体"/>
          <w:b/>
          <w:bCs/>
          <w:kern w:val="0"/>
          <w:sz w:val="32"/>
          <w:szCs w:val="32"/>
          <w:highlight w:val="none"/>
        </w:rPr>
        <w:t>2. 评审标准</w:t>
      </w:r>
      <w:bookmarkEnd w:id="954"/>
      <w:bookmarkEnd w:id="955"/>
      <w:bookmarkEnd w:id="956"/>
      <w:bookmarkEnd w:id="957"/>
      <w:bookmarkEnd w:id="958"/>
      <w:bookmarkEnd w:id="959"/>
      <w:bookmarkEnd w:id="960"/>
      <w:bookmarkEnd w:id="961"/>
      <w:bookmarkEnd w:id="962"/>
      <w:bookmarkEnd w:id="963"/>
      <w:bookmarkEnd w:id="964"/>
      <w:bookmarkEnd w:id="965"/>
    </w:p>
    <w:p w14:paraId="4784A14E">
      <w:pPr>
        <w:keepNext/>
        <w:keepLines/>
        <w:spacing w:before="100" w:after="100" w:line="360" w:lineRule="auto"/>
        <w:ind w:firstLine="137" w:firstLineChars="49"/>
        <w:outlineLvl w:val="2"/>
        <w:rPr>
          <w:rFonts w:hint="eastAsia" w:ascii="宋体" w:hAnsi="宋体" w:cs="宋体"/>
          <w:bCs/>
          <w:kern w:val="0"/>
          <w:sz w:val="28"/>
          <w:szCs w:val="28"/>
          <w:highlight w:val="none"/>
        </w:rPr>
      </w:pPr>
      <w:bookmarkStart w:id="966" w:name="_Toc300835012"/>
      <w:bookmarkStart w:id="967" w:name="_Toc247514026"/>
      <w:bookmarkStart w:id="968" w:name="_Toc152045602"/>
      <w:bookmarkStart w:id="969" w:name="_Toc144974569"/>
      <w:bookmarkStart w:id="970" w:name="_Toc247527627"/>
      <w:bookmarkStart w:id="971" w:name="_Toc16162"/>
      <w:bookmarkStart w:id="972" w:name="_Toc152042379"/>
      <w:r>
        <w:rPr>
          <w:rFonts w:hint="eastAsia" w:ascii="宋体" w:hAnsi="宋体" w:cs="宋体"/>
          <w:bCs/>
          <w:kern w:val="0"/>
          <w:sz w:val="28"/>
          <w:szCs w:val="28"/>
          <w:highlight w:val="none"/>
        </w:rPr>
        <w:t>2.1 初步评审标准</w:t>
      </w:r>
      <w:bookmarkEnd w:id="966"/>
      <w:bookmarkEnd w:id="967"/>
      <w:bookmarkEnd w:id="968"/>
      <w:bookmarkEnd w:id="969"/>
      <w:bookmarkEnd w:id="970"/>
      <w:bookmarkEnd w:id="971"/>
      <w:bookmarkEnd w:id="972"/>
    </w:p>
    <w:p w14:paraId="3F6A1EAF">
      <w:pPr>
        <w:tabs>
          <w:tab w:val="left" w:pos="7380"/>
        </w:tabs>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2.1.1 投标人资格审查标准：见评标和定标办法前附表</w:t>
      </w:r>
    </w:p>
    <w:p w14:paraId="3A9E4278">
      <w:pPr>
        <w:tabs>
          <w:tab w:val="left" w:pos="7380"/>
        </w:tabs>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2.1.2 设计方案投标文件有效性审查标准：见评标和定标办法前附表。</w:t>
      </w:r>
    </w:p>
    <w:p w14:paraId="74029E61">
      <w:pPr>
        <w:tabs>
          <w:tab w:val="left" w:pos="7380"/>
        </w:tabs>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2.1.3 工程总承包实施方案投标文件有效性审查标准：见评标和定标办法前附表。</w:t>
      </w:r>
    </w:p>
    <w:p w14:paraId="7F190AB1">
      <w:pPr>
        <w:keepNext/>
        <w:keepLines/>
        <w:spacing w:before="100" w:after="100" w:line="360" w:lineRule="auto"/>
        <w:ind w:firstLine="137" w:firstLineChars="49"/>
        <w:outlineLvl w:val="2"/>
        <w:rPr>
          <w:rFonts w:hint="eastAsia" w:ascii="宋体" w:hAnsi="宋体" w:cs="宋体"/>
          <w:bCs/>
          <w:kern w:val="0"/>
          <w:sz w:val="28"/>
          <w:szCs w:val="28"/>
          <w:highlight w:val="none"/>
        </w:rPr>
      </w:pPr>
      <w:r>
        <w:rPr>
          <w:rFonts w:hint="eastAsia" w:ascii="宋体" w:hAnsi="宋体" w:cs="宋体"/>
          <w:bCs/>
          <w:kern w:val="0"/>
          <w:sz w:val="28"/>
          <w:szCs w:val="28"/>
          <w:highlight w:val="none"/>
        </w:rPr>
        <w:t>2.2 分值构成与评分标准</w:t>
      </w:r>
    </w:p>
    <w:p w14:paraId="0156F66C">
      <w:pPr>
        <w:tabs>
          <w:tab w:val="left" w:pos="7380"/>
        </w:tabs>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2.2.1分值构成及权重：见评标办法前附表。</w:t>
      </w:r>
    </w:p>
    <w:p w14:paraId="76E02B3B">
      <w:pPr>
        <w:tabs>
          <w:tab w:val="left" w:pos="7380"/>
        </w:tabs>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2.2.2评分标准</w:t>
      </w:r>
    </w:p>
    <w:p w14:paraId="50E8E2EC">
      <w:pPr>
        <w:tabs>
          <w:tab w:val="left" w:pos="7380"/>
        </w:tabs>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（1）设计方案评分标准：见评标办法前附表。</w:t>
      </w:r>
    </w:p>
    <w:p w14:paraId="7089754D">
      <w:pPr>
        <w:tabs>
          <w:tab w:val="left" w:pos="7380"/>
        </w:tabs>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（2）工程总承包实施方案投标文件评分标准：见评标办法前附表。</w:t>
      </w:r>
    </w:p>
    <w:p w14:paraId="1918DEDF">
      <w:pPr>
        <w:tabs>
          <w:tab w:val="left" w:pos="7380"/>
        </w:tabs>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（3）投标报价评分标准：见评标办法前附表。</w:t>
      </w:r>
    </w:p>
    <w:p w14:paraId="222F647C">
      <w:pPr>
        <w:keepNext/>
        <w:keepLines/>
        <w:spacing w:before="100" w:after="100" w:line="360" w:lineRule="auto"/>
        <w:outlineLvl w:val="1"/>
        <w:rPr>
          <w:rFonts w:hint="eastAsia" w:ascii="宋体" w:hAnsi="宋体" w:cs="宋体"/>
          <w:b/>
          <w:bCs/>
          <w:kern w:val="0"/>
          <w:sz w:val="32"/>
          <w:szCs w:val="32"/>
          <w:highlight w:val="none"/>
        </w:rPr>
      </w:pPr>
      <w:bookmarkStart w:id="973" w:name="_Toc30826"/>
      <w:bookmarkStart w:id="974" w:name="_Toc485211099"/>
      <w:bookmarkStart w:id="975" w:name="_Toc375931099"/>
      <w:bookmarkStart w:id="976" w:name="_Toc19115"/>
      <w:bookmarkStart w:id="977" w:name="_Toc6828"/>
      <w:bookmarkStart w:id="978" w:name="_Toc6743"/>
      <w:bookmarkStart w:id="979" w:name="_Toc9293"/>
      <w:bookmarkStart w:id="980" w:name="_Toc19008"/>
      <w:bookmarkStart w:id="981" w:name="_Toc28694"/>
      <w:bookmarkStart w:id="982" w:name="_Toc31043"/>
      <w:bookmarkStart w:id="983" w:name="_Toc12185"/>
      <w:bookmarkStart w:id="984" w:name="_Toc4535"/>
      <w:r>
        <w:rPr>
          <w:rFonts w:hint="eastAsia" w:ascii="宋体" w:hAnsi="宋体" w:cs="宋体"/>
          <w:b/>
          <w:bCs/>
          <w:kern w:val="0"/>
          <w:sz w:val="32"/>
          <w:szCs w:val="32"/>
          <w:highlight w:val="none"/>
        </w:rPr>
        <w:t xml:space="preserve">3. </w:t>
      </w:r>
      <w:r>
        <w:rPr>
          <w:rFonts w:hint="eastAsia" w:ascii="宋体" w:hAnsi="宋体" w:cs="宋体"/>
          <w:b/>
          <w:bCs/>
          <w:kern w:val="0"/>
          <w:sz w:val="32"/>
          <w:szCs w:val="32"/>
          <w:highlight w:val="none"/>
          <w:u w:val="single"/>
        </w:rPr>
        <w:t>评标、定标程序</w:t>
      </w:r>
      <w:bookmarkEnd w:id="973"/>
      <w:bookmarkEnd w:id="974"/>
      <w:bookmarkEnd w:id="975"/>
      <w:bookmarkEnd w:id="976"/>
      <w:bookmarkEnd w:id="977"/>
      <w:bookmarkEnd w:id="978"/>
      <w:bookmarkEnd w:id="979"/>
      <w:bookmarkEnd w:id="980"/>
      <w:bookmarkEnd w:id="981"/>
      <w:bookmarkEnd w:id="982"/>
      <w:bookmarkEnd w:id="983"/>
      <w:bookmarkEnd w:id="984"/>
    </w:p>
    <w:p w14:paraId="26F3A4A9">
      <w:pPr>
        <w:keepNext/>
        <w:keepLines/>
        <w:spacing w:before="100" w:after="100" w:line="360" w:lineRule="auto"/>
        <w:ind w:firstLine="137" w:firstLineChars="49"/>
        <w:outlineLvl w:val="2"/>
        <w:rPr>
          <w:rFonts w:hint="eastAsia" w:ascii="宋体" w:hAnsi="宋体" w:cs="宋体"/>
          <w:bCs/>
          <w:kern w:val="0"/>
          <w:sz w:val="28"/>
          <w:szCs w:val="28"/>
          <w:highlight w:val="none"/>
        </w:rPr>
      </w:pPr>
      <w:bookmarkStart w:id="985" w:name="_Toc14048"/>
      <w:bookmarkStart w:id="986" w:name="_Toc16960"/>
      <w:bookmarkStart w:id="987" w:name="_Toc20824"/>
      <w:bookmarkStart w:id="988" w:name="_Toc485211100"/>
      <w:r>
        <w:rPr>
          <w:rFonts w:hint="eastAsia" w:ascii="宋体" w:hAnsi="宋体" w:cs="宋体"/>
          <w:bCs/>
          <w:kern w:val="0"/>
          <w:sz w:val="28"/>
          <w:szCs w:val="28"/>
          <w:highlight w:val="none"/>
        </w:rPr>
        <w:t xml:space="preserve">3.1 </w:t>
      </w:r>
      <w:bookmarkEnd w:id="985"/>
      <w:r>
        <w:rPr>
          <w:rFonts w:hint="eastAsia" w:ascii="宋体" w:hAnsi="宋体" w:cs="宋体"/>
          <w:bCs/>
          <w:kern w:val="0"/>
          <w:sz w:val="28"/>
          <w:szCs w:val="28"/>
          <w:highlight w:val="none"/>
        </w:rPr>
        <w:t>资格审查（由评标委员会施工评审组负责）</w:t>
      </w:r>
    </w:p>
    <w:bookmarkEnd w:id="986"/>
    <w:bookmarkEnd w:id="987"/>
    <w:bookmarkEnd w:id="988"/>
    <w:p w14:paraId="15EBB3E1">
      <w:pPr>
        <w:tabs>
          <w:tab w:val="left" w:pos="7380"/>
        </w:tabs>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3.1.1资格审查及评标均由招标人依法组建的评标委员会负责。</w:t>
      </w:r>
    </w:p>
    <w:p w14:paraId="3165B44E">
      <w:pPr>
        <w:tabs>
          <w:tab w:val="left" w:pos="7380"/>
        </w:tabs>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3.1.2评标委员会的组成：详见《投标人须知前附表》6.1.1。</w:t>
      </w:r>
    </w:p>
    <w:p w14:paraId="2AB26E4F">
      <w:pPr>
        <w:tabs>
          <w:tab w:val="left" w:pos="7380"/>
        </w:tabs>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3.1.3资格审查流程</w:t>
      </w:r>
    </w:p>
    <w:p w14:paraId="5E06B397">
      <w:pPr>
        <w:tabs>
          <w:tab w:val="left" w:pos="7380"/>
        </w:tabs>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评标委员会按资格审查的标准对所有递交投标文件的投标人进行审查，如资格审查合格的投标人不足3名时，应重新招标。</w:t>
      </w:r>
    </w:p>
    <w:p w14:paraId="5686C32B">
      <w:pPr>
        <w:tabs>
          <w:tab w:val="left" w:pos="7380"/>
        </w:tabs>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3.1.4投标人资格审查</w:t>
      </w:r>
    </w:p>
    <w:p w14:paraId="56345BF0">
      <w:pPr>
        <w:tabs>
          <w:tab w:val="left" w:pos="7380"/>
        </w:tabs>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3.1.4.1资格审查文件中全部符合附表1《资格审查表》中情形的，为资格审查合格。否则为资格审查不合格，经评标委员会认定后，其资格审查文件将被拒绝。如评标委员会成员的评审意见不一致时，以评标委员会过半数成员的意见作为评标委员会对该情形的认定结论。只有通过资格审查的投标人方可进入下一阶段的评审。评委发现资格审查文件中含义不明确、对同类问题表述不一致、有明显文字和计算错误的，应当要求投标人作必要的澄清、说明后再判定投标人是否通过资格审查，不得直接认定其不通过资格审查。</w:t>
      </w:r>
    </w:p>
    <w:p w14:paraId="34F98096">
      <w:pPr>
        <w:tabs>
          <w:tab w:val="left" w:pos="7380"/>
        </w:tabs>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3.1.4.2汇总资格审查情况，编写资格审查报告。</w:t>
      </w:r>
    </w:p>
    <w:p w14:paraId="45AC197E">
      <w:pPr>
        <w:tabs>
          <w:tab w:val="left" w:pos="7380"/>
        </w:tabs>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3.1.5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241168B0">
      <w:pPr>
        <w:tabs>
          <w:tab w:val="left" w:pos="7380"/>
        </w:tabs>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特别声明：资审合格后，投标人的资格发生变化而不满足投标人合格条件，在发出中标通知书前，资格问题仍未解决的，招标人将取消其中标资格。</w:t>
      </w:r>
    </w:p>
    <w:p w14:paraId="2A279594">
      <w:pPr>
        <w:keepNext/>
        <w:keepLines/>
        <w:spacing w:before="100" w:after="100" w:line="360" w:lineRule="auto"/>
        <w:ind w:firstLine="137" w:firstLineChars="49"/>
        <w:outlineLvl w:val="2"/>
        <w:rPr>
          <w:rFonts w:hint="eastAsia" w:ascii="宋体" w:hAnsi="宋体" w:cs="宋体"/>
          <w:bCs/>
          <w:kern w:val="0"/>
          <w:sz w:val="28"/>
          <w:szCs w:val="28"/>
          <w:highlight w:val="none"/>
        </w:rPr>
      </w:pPr>
      <w:bookmarkStart w:id="989" w:name="_Toc11316"/>
      <w:bookmarkStart w:id="990" w:name="_Toc7763"/>
      <w:bookmarkStart w:id="991" w:name="_Toc623"/>
      <w:bookmarkStart w:id="992" w:name="_Toc32165"/>
      <w:bookmarkStart w:id="993" w:name="_Toc24321"/>
      <w:bookmarkStart w:id="994" w:name="_Toc31339"/>
      <w:bookmarkStart w:id="995" w:name="_Toc485211104"/>
      <w:bookmarkStart w:id="996" w:name="_Toc14447"/>
      <w:bookmarkStart w:id="997" w:name="_Toc19366"/>
      <w:bookmarkStart w:id="998" w:name="_Toc12458"/>
      <w:bookmarkStart w:id="999" w:name="_Toc22114"/>
      <w:r>
        <w:rPr>
          <w:rFonts w:hint="eastAsia" w:ascii="宋体" w:hAnsi="宋体" w:cs="宋体"/>
          <w:bCs/>
          <w:kern w:val="0"/>
          <w:sz w:val="28"/>
          <w:szCs w:val="28"/>
          <w:highlight w:val="none"/>
        </w:rPr>
        <w:t>3.2设计方案评审（由设计组评标委员会负责）</w:t>
      </w:r>
      <w:bookmarkEnd w:id="989"/>
      <w:bookmarkEnd w:id="990"/>
      <w:bookmarkEnd w:id="991"/>
      <w:bookmarkEnd w:id="992"/>
      <w:bookmarkEnd w:id="993"/>
      <w:bookmarkEnd w:id="994"/>
      <w:bookmarkEnd w:id="995"/>
      <w:bookmarkEnd w:id="996"/>
      <w:bookmarkEnd w:id="997"/>
      <w:bookmarkEnd w:id="998"/>
      <w:bookmarkEnd w:id="999"/>
    </w:p>
    <w:p w14:paraId="4D18E491">
      <w:pPr>
        <w:spacing w:line="440" w:lineRule="exact"/>
        <w:ind w:firstLine="420" w:firstLineChars="200"/>
        <w:rPr>
          <w:rFonts w:hint="eastAsia" w:ascii="宋体" w:hAnsi="宋体"/>
          <w:highlight w:val="none"/>
        </w:rPr>
      </w:pPr>
      <w:r>
        <w:rPr>
          <w:rFonts w:hint="eastAsia" w:ascii="宋体" w:hAnsi="宋体"/>
          <w:highlight w:val="none"/>
        </w:rPr>
        <w:t>3.2.1设计组评标委员会评委按附表2《设计方案投标文件有效性审查表》标准对所有成功解密的设计方案投标文件进行评审，只有通过设计方案投标文件有效性审查的设计方案投标文件方可进入下一阶段的评审。如果有否决投标提议，则设计组评标委员会成员共同表决，按照少数服从多数的原则决定是否否决其投标。评委发现投标文件中含义不明确、对同类问题表述不一致、有明显文字和计算错误的，应当要求投标人作必要的澄清、说明后再判定投标人是否通过有效性审查，不得直接否决投标。</w:t>
      </w:r>
    </w:p>
    <w:p w14:paraId="4B1558D6">
      <w:pPr>
        <w:spacing w:line="440" w:lineRule="exact"/>
        <w:ind w:firstLine="420" w:firstLineChars="200"/>
        <w:rPr>
          <w:rFonts w:hint="eastAsia" w:ascii="宋体" w:hAnsi="宋体"/>
          <w:highlight w:val="none"/>
        </w:rPr>
      </w:pPr>
      <w:r>
        <w:rPr>
          <w:rFonts w:hint="eastAsia" w:ascii="宋体" w:hAnsi="宋体"/>
          <w:highlight w:val="none"/>
        </w:rPr>
        <w:t>3.2.2设计方案详细审查评分：评标委员会按照本办法附表3《设计方案详细审查评分表》的标准，对通过有效性审查的投标文件进行详细审查评分，评出</w:t>
      </w:r>
      <w:r>
        <w:rPr>
          <w:rFonts w:hint="eastAsia" w:ascii="宋体" w:cs="宋体"/>
          <w:highlight w:val="none"/>
        </w:rPr>
        <w:t>设计方案部分得分</w:t>
      </w:r>
      <w:r>
        <w:rPr>
          <w:rFonts w:hint="eastAsia" w:ascii="宋体" w:hAnsi="宋体"/>
          <w:highlight w:val="none"/>
        </w:rPr>
        <w:t>，投标人的设计方案部分得分为各评委评分的算术平均值（若分数出现小数点时，保留小数点后二位，第三位小数四舍五入）。</w:t>
      </w:r>
    </w:p>
    <w:p w14:paraId="09CF4A1D">
      <w:pPr>
        <w:spacing w:line="440" w:lineRule="exact"/>
        <w:ind w:firstLine="420" w:firstLineChars="200"/>
        <w:rPr>
          <w:rFonts w:hint="eastAsia" w:ascii="宋体" w:hAnsi="宋体"/>
          <w:highlight w:val="none"/>
        </w:rPr>
      </w:pPr>
      <w:r>
        <w:rPr>
          <w:rFonts w:hint="eastAsia" w:ascii="宋体" w:hAnsi="宋体"/>
          <w:highlight w:val="none"/>
        </w:rPr>
        <w:t>3.2.3设计组评标委员会通过交易中心系统揭晓投标人身份，找出各编号投标文件所对应的投标人，未通过有效性审查的，不得进入下一阶段评审及得分汇总。</w:t>
      </w:r>
    </w:p>
    <w:p w14:paraId="1709753D">
      <w:pPr>
        <w:spacing w:line="440" w:lineRule="exact"/>
        <w:ind w:firstLine="420" w:firstLineChars="200"/>
        <w:rPr>
          <w:rFonts w:hint="eastAsia" w:ascii="宋体" w:hAnsi="宋体"/>
          <w:highlight w:val="none"/>
        </w:rPr>
      </w:pPr>
      <w:r>
        <w:rPr>
          <w:rFonts w:hint="eastAsia" w:ascii="宋体" w:hAnsi="宋体"/>
          <w:highlight w:val="none"/>
        </w:rPr>
        <w:t>3.2.4设计方案文件评分汇总：将各专家的评分汇总，计算各有效设计方案文件的总得分，精确到小数点后两位。设计组评标委员会编写、签署评标报告。设计方案评标报告由设计组评标委员会全体成员签字，对评标结论持有异议的评标委员会成员可以书面方式阐述其不同意见和理由</w:t>
      </w:r>
    </w:p>
    <w:p w14:paraId="1E462DE2">
      <w:pPr>
        <w:spacing w:line="440" w:lineRule="exact"/>
        <w:ind w:firstLine="420" w:firstLineChars="200"/>
        <w:rPr>
          <w:rFonts w:hint="eastAsia" w:ascii="宋体" w:hAnsi="宋体"/>
          <w:highlight w:val="none"/>
        </w:rPr>
      </w:pPr>
      <w:r>
        <w:rPr>
          <w:rFonts w:hint="eastAsia" w:ascii="宋体" w:hAnsi="宋体"/>
          <w:highlight w:val="none"/>
        </w:rPr>
        <w:t>3.2.5设计组评标委员会评委向招标人提交书面设计方案评标报告后即告解散。</w:t>
      </w:r>
    </w:p>
    <w:p w14:paraId="40468620">
      <w:pPr>
        <w:keepNext/>
        <w:keepLines/>
        <w:spacing w:before="100" w:after="100" w:line="360" w:lineRule="auto"/>
        <w:ind w:firstLine="137" w:firstLineChars="49"/>
        <w:outlineLvl w:val="2"/>
        <w:rPr>
          <w:rFonts w:hint="eastAsia" w:ascii="宋体" w:hAnsi="宋体" w:cs="宋体"/>
          <w:bCs/>
          <w:kern w:val="0"/>
          <w:sz w:val="28"/>
          <w:szCs w:val="28"/>
          <w:highlight w:val="none"/>
        </w:rPr>
      </w:pPr>
      <w:r>
        <w:rPr>
          <w:rFonts w:hint="eastAsia" w:ascii="宋体" w:hAnsi="宋体" w:cs="宋体"/>
          <w:bCs/>
          <w:kern w:val="0"/>
          <w:sz w:val="28"/>
          <w:szCs w:val="28"/>
          <w:highlight w:val="none"/>
        </w:rPr>
        <w:t>3.3工程总承包实施方案评审（由评标委员会施工评审组负责）</w:t>
      </w:r>
    </w:p>
    <w:p w14:paraId="3817B4E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3.3.1工程总承包实施方案投标文件有效性审查：通过资格审查的投标文件中没有任一种列于附表4《工程总承包实施方案投标文件有效性审查表》中情形的，为有效标书。否则为无效标书，经评标委员会施工评审组评委共同认定后，其投标文件将被拒绝。如评标委员会施工评审组评委的评审意见不一致时，以评标委员会施工评审组评委过半数成员的意见作为评标委员会对该情形的认定结论。评委发现投标文件中含义不明确、对同类问题表述不一致、有明显文字和计算错误的，应当要求投标人作必要的澄清、说明后再判定投标人是否通过有效性审查，不得直接否决投标。</w:t>
      </w:r>
    </w:p>
    <w:p w14:paraId="3E7E1FA2">
      <w:pPr>
        <w:keepNext/>
        <w:keepLines/>
        <w:spacing w:before="100" w:after="100" w:line="360" w:lineRule="auto"/>
        <w:ind w:firstLine="102" w:firstLineChars="49"/>
        <w:outlineLvl w:val="2"/>
        <w:rPr>
          <w:rFonts w:hint="eastAsia" w:ascii="宋体" w:hAnsi="宋体" w:cs="宋体"/>
          <w:bCs/>
          <w:kern w:val="0"/>
          <w:sz w:val="28"/>
          <w:szCs w:val="28"/>
          <w:highlight w:val="none"/>
        </w:rPr>
      </w:pPr>
      <w:r>
        <w:rPr>
          <w:rFonts w:hint="eastAsia" w:ascii="宋体" w:hAnsi="宋体" w:cs="宋体"/>
          <w:szCs w:val="21"/>
          <w:highlight w:val="none"/>
        </w:rPr>
        <w:t>3.3.2评标委员会施工评审组按照本办法附表5《工程总承包实施方案投标文件详细审查评分表》的标准，对通过有效性审查的实施方案进行详细审查。</w:t>
      </w:r>
    </w:p>
    <w:p w14:paraId="7A9000FF">
      <w:pPr>
        <w:keepNext/>
        <w:keepLines/>
        <w:spacing w:before="100" w:after="100" w:line="360" w:lineRule="auto"/>
        <w:ind w:firstLine="137" w:firstLineChars="49"/>
        <w:outlineLvl w:val="2"/>
        <w:rPr>
          <w:rFonts w:hint="eastAsia" w:ascii="宋体" w:hAnsi="宋体" w:cs="宋体"/>
          <w:bCs/>
          <w:kern w:val="0"/>
          <w:sz w:val="28"/>
          <w:szCs w:val="28"/>
          <w:highlight w:val="none"/>
        </w:rPr>
      </w:pPr>
      <w:r>
        <w:rPr>
          <w:rFonts w:hint="eastAsia" w:ascii="宋体" w:hAnsi="宋体" w:cs="宋体"/>
          <w:bCs/>
          <w:kern w:val="0"/>
          <w:sz w:val="28"/>
          <w:szCs w:val="28"/>
          <w:highlight w:val="none"/>
        </w:rPr>
        <w:t>3.4投标报价评审（由评标委员会施工评审组负责）</w:t>
      </w:r>
    </w:p>
    <w:p w14:paraId="6539D25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3.4.1投标报价的算术复核。评标委员会施工评审组对通过初步评审的投标文件的投标报价进行算术校核，具体标准如下：</w:t>
      </w:r>
    </w:p>
    <w:p w14:paraId="08846BF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（1）如果数字表示的金额和用文字表示的金额不一致时，应以文字表示的金额为准（有以下算术性错误需要修正的除外）；</w:t>
      </w:r>
    </w:p>
    <w:p w14:paraId="48F00D7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（2）如果费率与限价乘积不等于合价时，以费率为准修正合价（费率有明显的数量级错误的除外，此时应修正费率）；</w:t>
      </w:r>
    </w:p>
    <w:p w14:paraId="15881B9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（3）如果分项报价累加不等总价的，以分项报价累加为准，修正总价；</w:t>
      </w:r>
    </w:p>
    <w:p w14:paraId="19A563C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（4）投标文件存在其他计算性错误的，按正确的方法计算并修正；</w:t>
      </w:r>
    </w:p>
    <w:p w14:paraId="7F0F19A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（5）按上述修正错误的原则及方法调整或修正投标文件的投标报价，调整后的投标报价对投标人起约束作用。如果投标人不接受修正后的报价，则取消其投标资格，并且其投标保证金也将被没收。</w:t>
      </w:r>
    </w:p>
    <w:p w14:paraId="040AA09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3.4.2投标报价评分</w:t>
      </w:r>
    </w:p>
    <w:p w14:paraId="20551E4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（1）经评审的建安工程费投标报价低于成本警戒价的投标文件，不参加投标报价评分。</w:t>
      </w:r>
    </w:p>
    <w:p w14:paraId="72384FB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w:t>
      </w:r>
      <w:bookmarkStart w:id="1000" w:name="OLE_LINK2"/>
      <w:r>
        <w:rPr>
          <w:rFonts w:hint="eastAsia" w:ascii="宋体" w:hAnsi="宋体" w:cs="宋体"/>
          <w:szCs w:val="21"/>
          <w:highlight w:val="none"/>
        </w:rPr>
        <w:t>确定评标参考价：以通过初步评审并经算术校核的投标人的建安工程费投标报价中，设在[成本警戒价，建安工程费最高投标限价×95%]区间的投标报价数量为G，上述G个投标人的工程总承包实施方案部分得分由高至低排序，将工程总承包实施方案部分得分前H名的建安工程费投标报价的算术平均值作为评标参考价(如G≥10，则H=10；如1≤G&lt;10，则H=G)；若G=0的，则采用成本警戒价与“建安工程费最高投标限价×95%”的算术平均值为评标参考价。</w:t>
      </w:r>
    </w:p>
    <w:bookmarkEnd w:id="1000"/>
    <w:p w14:paraId="68C0633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（3）计算建安工程费投标报价得分：当建安工程费投标报价等于评标参考价时得100分，建安工程费投标报价每高于评标参考价1%，扣</w:t>
      </w:r>
      <w:r>
        <w:rPr>
          <w:rFonts w:ascii="宋体" w:hAnsi="宋体" w:cs="宋体"/>
          <w:szCs w:val="21"/>
          <w:highlight w:val="none"/>
        </w:rPr>
        <w:t>1.5</w:t>
      </w:r>
      <w:r>
        <w:rPr>
          <w:rFonts w:hint="eastAsia" w:ascii="宋体" w:hAnsi="宋体" w:cs="宋体"/>
          <w:szCs w:val="21"/>
          <w:highlight w:val="none"/>
        </w:rPr>
        <w:t>分，每低于评标参考价1%，扣</w:t>
      </w:r>
      <w:r>
        <w:rPr>
          <w:rFonts w:ascii="宋体" w:hAnsi="宋体" w:cs="宋体"/>
          <w:szCs w:val="21"/>
          <w:highlight w:val="none"/>
        </w:rPr>
        <w:t>1</w:t>
      </w:r>
      <w:r>
        <w:rPr>
          <w:rFonts w:hint="eastAsia" w:ascii="宋体" w:hAnsi="宋体" w:cs="宋体"/>
          <w:szCs w:val="21"/>
          <w:highlight w:val="none"/>
        </w:rPr>
        <w:t>分，最多扣100分，得出的建安工程费投标报价得分作为投标报价得分，精确到小数点后两位。</w:t>
      </w:r>
    </w:p>
    <w:p w14:paraId="49ABB775">
      <w:pPr>
        <w:keepNext/>
        <w:keepLines/>
        <w:spacing w:before="100" w:after="100" w:line="360" w:lineRule="auto"/>
        <w:ind w:firstLine="137" w:firstLineChars="49"/>
        <w:outlineLvl w:val="2"/>
        <w:rPr>
          <w:rFonts w:hint="eastAsia" w:ascii="宋体" w:hAnsi="宋体" w:cs="宋体"/>
          <w:bCs/>
          <w:kern w:val="0"/>
          <w:sz w:val="28"/>
          <w:szCs w:val="28"/>
          <w:highlight w:val="none"/>
        </w:rPr>
      </w:pPr>
      <w:r>
        <w:rPr>
          <w:rFonts w:hint="eastAsia" w:ascii="宋体" w:hAnsi="宋体" w:cs="宋体"/>
          <w:bCs/>
          <w:kern w:val="0"/>
          <w:sz w:val="28"/>
          <w:szCs w:val="28"/>
          <w:highlight w:val="none"/>
        </w:rPr>
        <w:t>3.5评审汇总（由评标委员会施工评审组负责）</w:t>
      </w:r>
    </w:p>
    <w:p w14:paraId="2311E83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3.5.1投标人总得分满分为100分，总得分权重分配见：评标办法前附表。</w:t>
      </w:r>
    </w:p>
    <w:p w14:paraId="1073F7E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3.5.2施工组评标委员会按照“投标人总得分满分为100分，总得分权重分配：“总得分=设计方案部分得分×设计方案得分总权重（30%）+[工程总承包实施方案部分得分×工程总承包实施方案权重（50%）+投标报价得分×投标报价权重（50%）]×总权重（70%）。”的公式，计算各有效投标文件的总得分。</w:t>
      </w:r>
    </w:p>
    <w:p w14:paraId="7838E01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3.5.3设S（S=M+N）为通过初步评审的投标人数，其中M为建安工程费投标报价低于成本警戒价的投标人数，N为建安工程费投标报价不低于成本警示价的投标人数。</w:t>
      </w:r>
    </w:p>
    <w:p w14:paraId="016CE8D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对于建安工程费投标报价低于成本警戒价的M个投标人的投标文件，不参加投标报价详细评审，但需参加设计方案评审、工程总承包实施方案评审的详细评审。施工组评标委员会根据设计方案评审、工程总承包实施方案评审的得分由高到低排序，推荐第1名为中标候选人进入定标阶段。总分相同的，以设计方案部分得分较高的排前；如仍存在相同情况，则对具有相同情况的投标人，由施工组评标委员会采用记名投票方式确定排序。</w:t>
      </w:r>
    </w:p>
    <w:p w14:paraId="00E3CD7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（2）对于建安工程费投标报价不低于成本警戒价的N个投标人的投标文件，需要参加投标报价评审、设计方案评审、工程总承包实施方案评审的详细评审并排序。</w:t>
      </w:r>
    </w:p>
    <w:p w14:paraId="75B814C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当N&lt;3时，全部推荐为合格中标候选人。</w:t>
      </w:r>
    </w:p>
    <w:p w14:paraId="74D294C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当N≥3时，施工组评标委员会根据总分排序，推荐前7名为中标候选人（不足7名的，则全部推荐为中标候选人）进入定标阶段。如总分相同的，以设计方案部分得分较高的排前；总分与设计方案部分得分均相同的投标文件，以工程总承包实施方案得分较高的排前；总分、设计方案部分得分和工程总承包实施方案得分均相同的投标文件，以投标总报价较低的排前；如仍存在相同情况，则对具有相同情况的投标人，由施工组评标委员会采用记名投票方式确定排序。</w:t>
      </w:r>
    </w:p>
    <w:p w14:paraId="60B9F8E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3.5.4施工组评标委员会应按照招标文件规定，推荐[3，8]不排序的中标候选人进入定标阶段[不排序，按统一社会信用代码后4位（除校验码外）大小排位。如统一社会信用代码后4位出现字母情况的，字母以“0”进行代替；如出现后4位（除校验码外）大小一致的，则随机排位。若为联合体投标，按联合体主办方的统一社会信用代码排序]，并出具评标报告。评标报告由施工组评标委员会全体成员签字，对评标结论持有异议的施工组评标委员会成员可以书面方式阐述其不同意见和理由。</w:t>
      </w:r>
    </w:p>
    <w:p w14:paraId="033A613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3.5.5当S&lt;3时，招标人应重新招标。</w:t>
      </w:r>
    </w:p>
    <w:p w14:paraId="3A85DEC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注：记名投票方式确定排序的具体操作步骤为：由评标委员会对出现该情况的投标人采取记名投票的方式，根据得票数从高到低的次序确定排序。</w:t>
      </w:r>
    </w:p>
    <w:p w14:paraId="74201C94">
      <w:pPr>
        <w:keepNext/>
        <w:keepLines/>
        <w:spacing w:before="100" w:after="100" w:line="360" w:lineRule="auto"/>
        <w:ind w:firstLine="137" w:firstLineChars="49"/>
        <w:outlineLvl w:val="2"/>
        <w:rPr>
          <w:rFonts w:hint="eastAsia" w:ascii="宋体" w:hAnsi="宋体" w:cs="宋体"/>
          <w:bCs/>
          <w:kern w:val="0"/>
          <w:sz w:val="28"/>
          <w:szCs w:val="28"/>
          <w:highlight w:val="none"/>
        </w:rPr>
      </w:pPr>
      <w:r>
        <w:rPr>
          <w:rFonts w:hint="eastAsia" w:ascii="宋体" w:hAnsi="宋体" w:cs="宋体"/>
          <w:bCs/>
          <w:kern w:val="0"/>
          <w:sz w:val="28"/>
          <w:szCs w:val="28"/>
          <w:highlight w:val="none"/>
        </w:rPr>
        <w:t>3.6 投标文件的澄清和补正</w:t>
      </w:r>
    </w:p>
    <w:p w14:paraId="610C77E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3.6.1 为有助于投标文件的审查、评价和比较，评标期间，经评标委员会中超过2人（含2人）的成员以书面形式提出动议，评标委员会应当书面发出澄清通知，要求投标人对投标文件含义不明确的内容作出澄清。</w:t>
      </w:r>
    </w:p>
    <w:p w14:paraId="0524571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3.6.2 投标人应以书面形式进行澄清，澄清中的承诺性意思表示在投标文件有效期内均对投标人有约束力。除评标委员会对评标中发现的算术错误进行修正后要求投标人以澄清形式进行的核实和确认外，澄清不得超出投标文件的范围或改变投标文件的实质性内容，超出部分不作为评标委员会相应评审的依据。</w:t>
      </w:r>
    </w:p>
    <w:p w14:paraId="5589899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3.6.3 评标委员会成员均应当阅读投标人的澄清，但应独立参考澄清对投标文件进行评审。</w:t>
      </w:r>
    </w:p>
    <w:p w14:paraId="6FC0133E">
      <w:pPr>
        <w:spacing w:line="360" w:lineRule="auto"/>
        <w:ind w:firstLine="420" w:firstLineChars="200"/>
        <w:rPr>
          <w:rFonts w:hint="eastAsia" w:ascii="宋体" w:hAnsi="宋体" w:cs="宋体"/>
          <w:szCs w:val="24"/>
          <w:highlight w:val="none"/>
        </w:rPr>
      </w:pPr>
      <w:r>
        <w:rPr>
          <w:rFonts w:hint="eastAsia" w:ascii="宋体" w:hAnsi="宋体" w:cs="宋体"/>
          <w:szCs w:val="21"/>
          <w:highlight w:val="none"/>
        </w:rPr>
        <w:t>3.6.4 如果投标文件实质上不响应招标文件的各项要求，评标委员会相应评审将按照响应性审查标准予以拒绝，不接受投标人通过修改或撤销其不符合要求的差异或保留，使之成为具有响应性的投标。</w:t>
      </w:r>
    </w:p>
    <w:p w14:paraId="450527AE">
      <w:pPr>
        <w:keepNext/>
        <w:keepLines/>
        <w:spacing w:before="100" w:after="100" w:line="360" w:lineRule="auto"/>
        <w:ind w:firstLine="137" w:firstLineChars="49"/>
        <w:outlineLvl w:val="2"/>
        <w:rPr>
          <w:rFonts w:hint="eastAsia" w:ascii="宋体" w:hAnsi="宋体" w:cs="宋体"/>
          <w:bCs/>
          <w:kern w:val="0"/>
          <w:sz w:val="28"/>
          <w:szCs w:val="28"/>
          <w:highlight w:val="none"/>
        </w:rPr>
      </w:pPr>
      <w:bookmarkStart w:id="1001" w:name="_Toc436834195"/>
      <w:bookmarkStart w:id="1002" w:name="_Toc436834788"/>
      <w:bookmarkStart w:id="1003" w:name="_Toc29583"/>
      <w:bookmarkStart w:id="1004" w:name="_Toc26472"/>
      <w:bookmarkStart w:id="1005" w:name="_Toc29079"/>
      <w:bookmarkStart w:id="1006" w:name="_Toc23075"/>
      <w:bookmarkStart w:id="1007" w:name="_Toc32271"/>
      <w:bookmarkStart w:id="1008" w:name="_Toc18654"/>
      <w:bookmarkStart w:id="1009" w:name="_Toc485211105"/>
      <w:bookmarkStart w:id="1010" w:name="_Toc13871"/>
      <w:bookmarkStart w:id="1011" w:name="_Toc10967"/>
      <w:bookmarkStart w:id="1012" w:name="_Toc10695"/>
      <w:bookmarkStart w:id="1013" w:name="_Toc19376"/>
      <w:r>
        <w:rPr>
          <w:rFonts w:hint="eastAsia" w:ascii="宋体" w:hAnsi="宋体" w:cs="宋体"/>
          <w:bCs/>
          <w:kern w:val="0"/>
          <w:sz w:val="28"/>
          <w:szCs w:val="28"/>
          <w:highlight w:val="none"/>
        </w:rPr>
        <w:t>3.7评标结果</w:t>
      </w:r>
      <w:bookmarkEnd w:id="1001"/>
      <w:bookmarkEnd w:id="1002"/>
    </w:p>
    <w:p w14:paraId="79D97BC6">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3.7.1除第一章“投标人须知”前附表授权直接确定中标人外，</w:t>
      </w:r>
      <w:r>
        <w:rPr>
          <w:rFonts w:hint="eastAsia" w:ascii="宋体" w:hAnsi="宋体" w:cs="宋体"/>
          <w:szCs w:val="21"/>
          <w:highlight w:val="none"/>
          <w:u w:val="single"/>
        </w:rPr>
        <w:t>评标委员会将《投标人须知前附表》规定的方法推荐合格中标候选人，进入定标阶段。</w:t>
      </w:r>
    </w:p>
    <w:p w14:paraId="406E38F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3.7.2 评标委员会完成评标后，应当向招标人提交书面评标报告。</w:t>
      </w:r>
    </w:p>
    <w:p w14:paraId="3295BBB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3.7.3 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288083FF">
      <w:pPr>
        <w:keepNext/>
        <w:keepLines/>
        <w:spacing w:before="100" w:after="100" w:line="360" w:lineRule="auto"/>
        <w:ind w:firstLine="137" w:firstLineChars="49"/>
        <w:outlineLvl w:val="2"/>
        <w:rPr>
          <w:rFonts w:hint="eastAsia" w:ascii="宋体" w:hAnsi="宋体" w:cs="宋体"/>
          <w:bCs/>
          <w:kern w:val="0"/>
          <w:sz w:val="28"/>
          <w:szCs w:val="28"/>
          <w:highlight w:val="none"/>
        </w:rPr>
      </w:pPr>
      <w:r>
        <w:rPr>
          <w:rFonts w:hint="eastAsia" w:ascii="宋体" w:hAnsi="宋体" w:cs="宋体"/>
          <w:bCs/>
          <w:kern w:val="0"/>
          <w:sz w:val="28"/>
          <w:szCs w:val="28"/>
          <w:highlight w:val="none"/>
        </w:rPr>
        <w:t>3.</w:t>
      </w:r>
      <w:bookmarkEnd w:id="1003"/>
      <w:bookmarkEnd w:id="1004"/>
      <w:bookmarkEnd w:id="1005"/>
      <w:bookmarkEnd w:id="1006"/>
      <w:bookmarkEnd w:id="1007"/>
      <w:bookmarkEnd w:id="1008"/>
      <w:bookmarkEnd w:id="1009"/>
      <w:bookmarkEnd w:id="1010"/>
      <w:r>
        <w:rPr>
          <w:rFonts w:hint="eastAsia" w:ascii="宋体" w:hAnsi="宋体" w:cs="宋体"/>
          <w:bCs/>
          <w:kern w:val="0"/>
          <w:sz w:val="28"/>
          <w:szCs w:val="28"/>
          <w:highlight w:val="none"/>
        </w:rPr>
        <w:t>8定标</w:t>
      </w:r>
      <w:bookmarkEnd w:id="1011"/>
      <w:bookmarkEnd w:id="1012"/>
      <w:bookmarkEnd w:id="1013"/>
    </w:p>
    <w:p w14:paraId="719AB53D">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rPr>
        <w:t>3.8.1中标候选人公示结束后，招标人按以下规定组建定标委员会，在评标委员会推荐的合格中标候选人中确定中标人：</w:t>
      </w:r>
    </w:p>
    <w:p w14:paraId="34E686E6">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rPr>
        <w:t>（1）定标由招标人依法组建的定标委员会负责，成员数量为5人或以上单数，定标委员会成员不得参与定标前期准备工作。</w:t>
      </w:r>
    </w:p>
    <w:p w14:paraId="1B62064C">
      <w:pPr>
        <w:spacing w:line="360" w:lineRule="auto"/>
        <w:ind w:firstLine="420" w:firstLineChars="200"/>
        <w:rPr>
          <w:rFonts w:hint="eastAsia" w:ascii="宋体" w:hAnsi="宋体"/>
          <w:szCs w:val="21"/>
          <w:highlight w:val="none"/>
          <w:u w:val="single"/>
        </w:rPr>
      </w:pPr>
      <w:r>
        <w:rPr>
          <w:rFonts w:hint="eastAsia" w:ascii="宋体" w:hAnsi="宋体" w:cs="宋体"/>
          <w:szCs w:val="21"/>
          <w:highlight w:val="none"/>
          <w:u w:val="single"/>
        </w:rPr>
        <w:t>（2）招标人组建定标监督小组对定标过程进行见证监督，成员数量为2人或以上。</w:t>
      </w:r>
    </w:p>
    <w:p w14:paraId="496BE344">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rPr>
        <w:t>3.8.2 定标时间和地点：</w:t>
      </w:r>
    </w:p>
    <w:p w14:paraId="2159A68E">
      <w:pPr>
        <w:spacing w:line="360" w:lineRule="auto"/>
        <w:ind w:firstLine="420" w:firstLineChars="200"/>
        <w:rPr>
          <w:rFonts w:hint="eastAsia" w:ascii="宋体" w:hAnsi="宋体"/>
          <w:szCs w:val="21"/>
          <w:highlight w:val="none"/>
          <w:u w:val="single"/>
        </w:rPr>
      </w:pPr>
      <w:r>
        <w:rPr>
          <w:rFonts w:hint="eastAsia" w:ascii="宋体" w:hAnsi="宋体"/>
          <w:szCs w:val="21"/>
          <w:highlight w:val="none"/>
          <w:u w:val="single"/>
        </w:rPr>
        <w:t>招标人在合格的中标候选人公示结束后5个工作日内在广州交易集团有限公司（广州公共资源交易中心）黄埔交易部举行定标会议，招标人按规定程序完成定标工作。</w:t>
      </w:r>
    </w:p>
    <w:p w14:paraId="0FEADB6E">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rPr>
        <w:t>3.8.3定标方法</w:t>
      </w:r>
    </w:p>
    <w:p w14:paraId="189A6BE1">
      <w:pPr>
        <w:spacing w:line="360" w:lineRule="auto"/>
        <w:ind w:firstLine="420" w:firstLineChars="200"/>
        <w:rPr>
          <w:rFonts w:hint="eastAsia" w:ascii="宋体" w:hAnsi="宋体"/>
          <w:szCs w:val="21"/>
          <w:highlight w:val="none"/>
          <w:u w:val="single"/>
        </w:rPr>
      </w:pPr>
      <w:r>
        <w:rPr>
          <w:rFonts w:hint="eastAsia" w:ascii="宋体" w:hAnsi="宋体"/>
          <w:szCs w:val="21"/>
          <w:highlight w:val="none"/>
          <w:u w:val="single"/>
        </w:rPr>
        <w:t>本项目采用“技术优势</w:t>
      </w:r>
      <w:r>
        <w:rPr>
          <w:rFonts w:hint="eastAsia" w:ascii="宋体" w:hAnsi="宋体"/>
          <w:szCs w:val="21"/>
          <w:highlight w:val="none"/>
          <w:u w:val="single"/>
          <w:lang w:val="en-US" w:eastAsia="zh-CN"/>
        </w:rPr>
        <w:t>+</w:t>
      </w:r>
      <w:r>
        <w:rPr>
          <w:rFonts w:hint="eastAsia" w:ascii="宋体" w:hAnsi="宋体"/>
          <w:szCs w:val="21"/>
          <w:highlight w:val="none"/>
          <w:u w:val="single"/>
        </w:rPr>
        <w:t>设计方案+施工方案+价格”因素评定法，定标委员会对进入定标阶段的所有合格中标候选人进行综合评审，推荐得分最高的为中标人。如评标委员会推荐的合格中标候选人不足3家，招标人应当依法重新招标，不再进行定标工作。定标程序如下：</w:t>
      </w:r>
    </w:p>
    <w:p w14:paraId="68BB0519">
      <w:pPr>
        <w:spacing w:line="360" w:lineRule="auto"/>
        <w:ind w:firstLine="420" w:firstLineChars="200"/>
        <w:jc w:val="left"/>
        <w:rPr>
          <w:rFonts w:hint="eastAsia" w:ascii="宋体" w:hAnsi="宋体" w:cs="宋体"/>
          <w:szCs w:val="21"/>
          <w:highlight w:val="none"/>
          <w:u w:val="single"/>
        </w:rPr>
      </w:pPr>
      <w:r>
        <w:rPr>
          <w:rFonts w:hint="eastAsia" w:ascii="宋体" w:hAnsi="宋体" w:cs="宋体"/>
          <w:szCs w:val="21"/>
          <w:highlight w:val="none"/>
          <w:u w:val="single"/>
        </w:rPr>
        <w:t>招标人或其委托的招标代理机构应安排1名熟悉情况的工作人员在定标会场担任招标项目负责人，按程序组织定标工作：</w:t>
      </w:r>
    </w:p>
    <w:p w14:paraId="09994FF0">
      <w:pPr>
        <w:spacing w:line="360" w:lineRule="auto"/>
        <w:ind w:firstLine="420" w:firstLineChars="200"/>
        <w:jc w:val="left"/>
        <w:rPr>
          <w:rFonts w:hint="eastAsia" w:ascii="宋体" w:hAnsi="宋体" w:cs="宋体"/>
          <w:szCs w:val="21"/>
          <w:highlight w:val="none"/>
          <w:u w:val="single"/>
        </w:rPr>
      </w:pPr>
      <w:r>
        <w:rPr>
          <w:rFonts w:hint="eastAsia" w:ascii="宋体" w:hAnsi="宋体" w:cs="宋体"/>
          <w:szCs w:val="21"/>
          <w:highlight w:val="none"/>
          <w:u w:val="single"/>
        </w:rPr>
        <w:t>3.8.3.1招标项目负责人宣读定标委员会组建情况及成员名单，宣读定标纪律，签订廉政责任书。</w:t>
      </w:r>
    </w:p>
    <w:p w14:paraId="529BFE53">
      <w:pPr>
        <w:spacing w:line="360" w:lineRule="auto"/>
        <w:ind w:firstLine="420" w:firstLineChars="200"/>
        <w:jc w:val="left"/>
        <w:rPr>
          <w:rFonts w:hint="eastAsia" w:ascii="宋体" w:hAnsi="宋体" w:cs="宋体"/>
          <w:szCs w:val="21"/>
          <w:highlight w:val="none"/>
          <w:u w:val="single"/>
        </w:rPr>
      </w:pPr>
      <w:r>
        <w:rPr>
          <w:rFonts w:hint="eastAsia" w:ascii="宋体" w:hAnsi="宋体" w:cs="宋体"/>
          <w:szCs w:val="21"/>
          <w:highlight w:val="none"/>
          <w:u w:val="single"/>
        </w:rPr>
        <w:t>3.8.3.2定标工作开始后，定标委员会应推荐一人为定标委员会组长。</w:t>
      </w:r>
    </w:p>
    <w:p w14:paraId="2D046CEF">
      <w:pPr>
        <w:spacing w:line="360" w:lineRule="auto"/>
        <w:ind w:firstLine="420" w:firstLineChars="200"/>
        <w:jc w:val="left"/>
        <w:rPr>
          <w:rFonts w:hint="eastAsia" w:ascii="宋体" w:hAnsi="宋体" w:cs="宋体"/>
          <w:szCs w:val="21"/>
          <w:highlight w:val="none"/>
          <w:u w:val="single"/>
        </w:rPr>
      </w:pPr>
      <w:r>
        <w:rPr>
          <w:rFonts w:hint="eastAsia" w:ascii="宋体" w:hAnsi="宋体" w:cs="宋体"/>
          <w:szCs w:val="21"/>
          <w:highlight w:val="none"/>
          <w:u w:val="single"/>
        </w:rPr>
        <w:t>3.8.3.3发放定标辅助资料：招标文件、评标阶段的评标报告、合格的中标候选人提交的投标文件及定标文件。</w:t>
      </w:r>
    </w:p>
    <w:p w14:paraId="1993C082">
      <w:pPr>
        <w:spacing w:line="360" w:lineRule="auto"/>
        <w:ind w:firstLine="420" w:firstLineChars="200"/>
        <w:jc w:val="left"/>
        <w:rPr>
          <w:rFonts w:hint="eastAsia" w:ascii="宋体" w:hAnsi="宋体" w:cs="宋体"/>
          <w:szCs w:val="21"/>
          <w:highlight w:val="none"/>
          <w:u w:val="single"/>
        </w:rPr>
      </w:pPr>
      <w:r>
        <w:rPr>
          <w:rFonts w:hint="eastAsia" w:ascii="宋体" w:hAnsi="宋体" w:cs="宋体"/>
          <w:szCs w:val="21"/>
          <w:highlight w:val="none"/>
          <w:u w:val="single"/>
        </w:rPr>
        <w:t>3.8.3.4定标委员会在评标委员会评审的基础上，根据评标阶段的评标报告、合格中标候选人提交的投标文件、定标文件及定标因素对进入定标阶段的合格中标候选人进行综合评审。</w:t>
      </w:r>
    </w:p>
    <w:p w14:paraId="2FCE1E43">
      <w:pPr>
        <w:spacing w:line="360" w:lineRule="auto"/>
        <w:ind w:firstLine="420" w:firstLineChars="200"/>
        <w:jc w:val="left"/>
        <w:rPr>
          <w:rFonts w:hint="eastAsia" w:ascii="宋体" w:hAnsi="宋体" w:cs="宋体"/>
          <w:szCs w:val="21"/>
          <w:highlight w:val="none"/>
          <w:u w:val="single"/>
        </w:rPr>
      </w:pPr>
      <w:r>
        <w:rPr>
          <w:rFonts w:hint="eastAsia" w:ascii="宋体" w:hAnsi="宋体" w:cs="宋体"/>
          <w:szCs w:val="21"/>
          <w:highlight w:val="none"/>
          <w:u w:val="single"/>
        </w:rPr>
        <w:t>3.8.3.6将所有定标委员会成员对同一投标人的评分汇总进行算术平均[其中，总得分（100分）=技术优势</w:t>
      </w:r>
      <w:r>
        <w:rPr>
          <w:rFonts w:hint="eastAsia" w:ascii="宋体" w:hAnsi="宋体" w:cs="宋体"/>
          <w:szCs w:val="21"/>
          <w:highlight w:val="none"/>
          <w:u w:val="single"/>
          <w:lang w:eastAsia="zh-CN"/>
        </w:rPr>
        <w:t>（</w:t>
      </w:r>
      <w:r>
        <w:rPr>
          <w:rFonts w:hint="eastAsia" w:ascii="宋体" w:hAnsi="宋体" w:cs="宋体"/>
          <w:szCs w:val="21"/>
          <w:highlight w:val="none"/>
          <w:u w:val="single"/>
          <w:lang w:val="en-US" w:eastAsia="zh-CN"/>
        </w:rPr>
        <w:t>10分</w:t>
      </w:r>
      <w:r>
        <w:rPr>
          <w:rFonts w:hint="eastAsia" w:ascii="宋体" w:hAnsi="宋体" w:cs="宋体"/>
          <w:szCs w:val="21"/>
          <w:highlight w:val="none"/>
          <w:u w:val="single"/>
          <w:lang w:eastAsia="zh-CN"/>
        </w:rPr>
        <w:t>）</w:t>
      </w:r>
      <w:r>
        <w:rPr>
          <w:rFonts w:hint="eastAsia" w:ascii="宋体" w:hAnsi="宋体" w:cs="宋体"/>
          <w:szCs w:val="21"/>
          <w:highlight w:val="none"/>
          <w:u w:val="single"/>
          <w:lang w:val="en-US" w:eastAsia="zh-CN"/>
        </w:rPr>
        <w:t>+</w:t>
      </w:r>
      <w:r>
        <w:rPr>
          <w:rFonts w:hint="eastAsia" w:ascii="宋体" w:hAnsi="宋体" w:cs="宋体"/>
          <w:szCs w:val="21"/>
          <w:highlight w:val="none"/>
          <w:u w:val="single"/>
        </w:rPr>
        <w:t>设计方案（</w:t>
      </w:r>
      <w:r>
        <w:rPr>
          <w:rFonts w:hint="eastAsia" w:ascii="宋体" w:hAnsi="宋体" w:cs="宋体"/>
          <w:szCs w:val="21"/>
          <w:highlight w:val="none"/>
          <w:u w:val="single"/>
          <w:lang w:val="en-US" w:eastAsia="zh-CN"/>
        </w:rPr>
        <w:t>35</w:t>
      </w:r>
      <w:r>
        <w:rPr>
          <w:rFonts w:hint="eastAsia" w:ascii="宋体" w:hAnsi="宋体" w:cs="宋体"/>
          <w:szCs w:val="21"/>
          <w:highlight w:val="none"/>
          <w:u w:val="single"/>
        </w:rPr>
        <w:t>分）+施工方案（</w:t>
      </w:r>
      <w:r>
        <w:rPr>
          <w:rFonts w:hint="eastAsia" w:ascii="宋体" w:hAnsi="宋体" w:cs="宋体"/>
          <w:szCs w:val="21"/>
          <w:highlight w:val="none"/>
          <w:u w:val="single"/>
          <w:lang w:val="en-US" w:eastAsia="zh-CN"/>
        </w:rPr>
        <w:t>35</w:t>
      </w:r>
      <w:r>
        <w:rPr>
          <w:rFonts w:hint="eastAsia" w:ascii="宋体" w:hAnsi="宋体" w:cs="宋体"/>
          <w:szCs w:val="21"/>
          <w:highlight w:val="none"/>
          <w:u w:val="single"/>
        </w:rPr>
        <w:t>分）+价格（</w:t>
      </w:r>
      <w:r>
        <w:rPr>
          <w:rFonts w:ascii="宋体" w:hAnsi="宋体" w:cs="宋体"/>
          <w:szCs w:val="21"/>
          <w:highlight w:val="none"/>
          <w:u w:val="single"/>
        </w:rPr>
        <w:t>2</w:t>
      </w:r>
      <w:r>
        <w:rPr>
          <w:rFonts w:hint="eastAsia" w:ascii="宋体" w:hAnsi="宋体" w:cs="宋体"/>
          <w:szCs w:val="21"/>
          <w:highlight w:val="none"/>
          <w:u w:val="single"/>
        </w:rPr>
        <w:t>0分]，总分由高至低排序，总分最高的为中标人。</w:t>
      </w:r>
    </w:p>
    <w:p w14:paraId="23A5184D">
      <w:pPr>
        <w:spacing w:line="360" w:lineRule="auto"/>
        <w:ind w:firstLine="420" w:firstLineChars="200"/>
        <w:jc w:val="left"/>
        <w:rPr>
          <w:rFonts w:hint="eastAsia" w:ascii="宋体" w:hAnsi="宋体" w:cs="宋体"/>
          <w:szCs w:val="21"/>
          <w:highlight w:val="none"/>
          <w:u w:val="single"/>
        </w:rPr>
      </w:pPr>
      <w:r>
        <w:rPr>
          <w:rFonts w:hint="eastAsia" w:ascii="宋体" w:hAnsi="宋体" w:cs="宋体"/>
          <w:szCs w:val="21"/>
          <w:highlight w:val="none"/>
          <w:u w:val="single"/>
        </w:rPr>
        <w:t>注：若合格中标候选人总得分相同且影响定标排序的，</w:t>
      </w:r>
      <w:r>
        <w:rPr>
          <w:rFonts w:hint="eastAsia" w:ascii="宋体" w:hAnsi="宋体" w:cs="宋体"/>
          <w:szCs w:val="21"/>
          <w:highlight w:val="none"/>
          <w:u w:val="single"/>
          <w:lang w:val="en-US" w:eastAsia="zh-CN"/>
        </w:rPr>
        <w:t>以技术优势得分高的排前，若技术优势得分相同的，</w:t>
      </w:r>
      <w:r>
        <w:rPr>
          <w:rFonts w:hint="eastAsia" w:ascii="宋体" w:hAnsi="宋体" w:cs="宋体"/>
          <w:szCs w:val="21"/>
          <w:highlight w:val="none"/>
          <w:u w:val="single"/>
        </w:rPr>
        <w:t>以设计方案得分高的排前；若设计方案得分仍相同的，以施工方案得分高的排前；若施工方案得分仍相同的，由定标委员会采用记名投票方式确定排序。</w:t>
      </w:r>
    </w:p>
    <w:p w14:paraId="6594F2B8">
      <w:pPr>
        <w:spacing w:line="360" w:lineRule="auto"/>
        <w:ind w:firstLine="420" w:firstLineChars="200"/>
        <w:jc w:val="left"/>
        <w:rPr>
          <w:rFonts w:hint="eastAsia" w:ascii="宋体" w:hAnsi="宋体" w:cs="宋体"/>
          <w:szCs w:val="21"/>
          <w:highlight w:val="none"/>
          <w:u w:val="single"/>
        </w:rPr>
      </w:pPr>
      <w:r>
        <w:rPr>
          <w:rFonts w:hint="eastAsia" w:ascii="宋体" w:hAnsi="宋体" w:cs="宋体"/>
          <w:szCs w:val="21"/>
          <w:highlight w:val="none"/>
          <w:u w:val="single"/>
        </w:rPr>
        <w:t>注：记名投票方式确定排序的具体操作步骤为：由评标委员会对出现该情况的合格中标候选人采取记名投票的方式，根据得票数从高到低的次序确定排序。</w:t>
      </w:r>
    </w:p>
    <w:p w14:paraId="5B127A3B">
      <w:pPr>
        <w:spacing w:line="360" w:lineRule="auto"/>
        <w:ind w:firstLine="420" w:firstLineChars="200"/>
        <w:jc w:val="left"/>
        <w:rPr>
          <w:rFonts w:hint="eastAsia" w:ascii="宋体" w:hAnsi="宋体" w:cs="宋体"/>
          <w:szCs w:val="21"/>
          <w:highlight w:val="none"/>
          <w:u w:val="single"/>
        </w:rPr>
      </w:pPr>
      <w:r>
        <w:rPr>
          <w:rFonts w:hint="eastAsia" w:ascii="宋体" w:hAnsi="宋体" w:cs="宋体"/>
          <w:szCs w:val="21"/>
          <w:highlight w:val="none"/>
          <w:u w:val="single"/>
        </w:rPr>
        <w:t>3.8.3.7定标委员会组长根据评分情况向招标人推荐中标人。</w:t>
      </w:r>
    </w:p>
    <w:p w14:paraId="6CC99EB5">
      <w:pPr>
        <w:spacing w:line="360" w:lineRule="auto"/>
        <w:ind w:firstLine="420" w:firstLineChars="200"/>
        <w:jc w:val="left"/>
        <w:rPr>
          <w:rFonts w:hint="eastAsia" w:ascii="宋体" w:hAnsi="宋体" w:cs="宋体"/>
          <w:szCs w:val="21"/>
          <w:highlight w:val="none"/>
          <w:u w:val="single"/>
        </w:rPr>
      </w:pPr>
      <w:r>
        <w:rPr>
          <w:rFonts w:hint="eastAsia" w:ascii="宋体" w:hAnsi="宋体" w:cs="宋体"/>
          <w:szCs w:val="21"/>
          <w:highlight w:val="none"/>
          <w:u w:val="single"/>
        </w:rPr>
        <w:t>3.8.3.8编写定标报告，定标委员会全体确认后签署定标报告。定标报告由定标委员会全体成员签字，对定标结论持有异议的成员应以书面方式阐述其不同意见和理由。</w:t>
      </w:r>
    </w:p>
    <w:p w14:paraId="1F8C4DB6">
      <w:pPr>
        <w:spacing w:line="360" w:lineRule="auto"/>
        <w:ind w:firstLine="420" w:firstLineChars="200"/>
        <w:jc w:val="left"/>
        <w:rPr>
          <w:rFonts w:hint="eastAsia" w:ascii="宋体" w:hAnsi="宋体" w:cs="宋体"/>
          <w:szCs w:val="21"/>
          <w:highlight w:val="none"/>
          <w:u w:val="single"/>
        </w:rPr>
      </w:pPr>
      <w:r>
        <w:rPr>
          <w:rFonts w:hint="eastAsia" w:ascii="宋体" w:hAnsi="宋体" w:cs="宋体"/>
          <w:szCs w:val="21"/>
          <w:highlight w:val="none"/>
          <w:u w:val="single"/>
        </w:rPr>
        <w:t>3.8.4招标人应当在定标工作完成后3日内公示中标结果。</w:t>
      </w:r>
    </w:p>
    <w:p w14:paraId="78D922BF">
      <w:pPr>
        <w:spacing w:line="360" w:lineRule="auto"/>
        <w:ind w:firstLine="420" w:firstLineChars="200"/>
        <w:jc w:val="left"/>
        <w:rPr>
          <w:rFonts w:hint="eastAsia" w:ascii="宋体" w:hAnsi="宋体" w:cs="宋体"/>
          <w:szCs w:val="21"/>
          <w:highlight w:val="none"/>
          <w:u w:val="single"/>
        </w:rPr>
      </w:pPr>
      <w:r>
        <w:rPr>
          <w:rFonts w:hint="eastAsia" w:ascii="宋体" w:hAnsi="宋体" w:cs="宋体"/>
          <w:szCs w:val="21"/>
          <w:highlight w:val="none"/>
          <w:u w:val="single"/>
        </w:rPr>
        <w:t>3.8.5重新评标或定标的，评标信息（含业绩、奖项等）、定标信息仍以投标截止时投标人的信息为准。因特殊原因需要延长投标有效期，投标人拒绝延长投标有效期的，仍参与评标、定标，但不被推荐为合格中标候选人或中标人。</w:t>
      </w:r>
    </w:p>
    <w:p w14:paraId="0EA353DA">
      <w:pPr>
        <w:spacing w:line="360" w:lineRule="auto"/>
        <w:ind w:firstLine="420" w:firstLineChars="200"/>
        <w:jc w:val="left"/>
        <w:rPr>
          <w:rFonts w:hint="eastAsia" w:ascii="宋体" w:hAnsi="宋体" w:cs="宋体"/>
          <w:szCs w:val="21"/>
          <w:highlight w:val="none"/>
          <w:u w:val="single"/>
        </w:rPr>
      </w:pPr>
      <w:r>
        <w:rPr>
          <w:rFonts w:hint="eastAsia" w:ascii="宋体" w:hAnsi="宋体" w:cs="宋体"/>
          <w:szCs w:val="21"/>
          <w:highlight w:val="none"/>
          <w:u w:val="single"/>
        </w:rPr>
        <w:t>3.8.6在合格中标候选人公示期间或在定标前，如有合格中标候选人放弃中标候选人资格或者被查实存在影响中标候选人资格的违法行为等情形，且合格中标候选人至少有1名的，招标人不再递补其他合格中标候选人，可以继续定标或依法重新招标；如没有合格中标候选人的，则依法重新招标。</w:t>
      </w:r>
    </w:p>
    <w:p w14:paraId="0C800E32">
      <w:pPr>
        <w:spacing w:line="360" w:lineRule="auto"/>
        <w:ind w:firstLine="420" w:firstLineChars="200"/>
        <w:jc w:val="left"/>
        <w:rPr>
          <w:rFonts w:hint="eastAsia" w:ascii="宋体" w:hAnsi="宋体" w:cs="宋体"/>
          <w:szCs w:val="21"/>
          <w:highlight w:val="none"/>
          <w:u w:val="single"/>
        </w:rPr>
      </w:pPr>
      <w:r>
        <w:rPr>
          <w:rFonts w:hint="eastAsia" w:ascii="宋体" w:hAnsi="宋体" w:cs="宋体"/>
          <w:szCs w:val="21"/>
          <w:highlight w:val="none"/>
          <w:u w:val="single"/>
        </w:rPr>
        <w:t>3.8.7在定标后，如中标人放弃中标或因不可抗力提出不能履行合同，或者不按照招标文件要求提交履约担保的，或经核查发现委派的项目负责人已在其他在建项目中担任本职务的，或者被查实存在影响中标结果的违法行为等情形，招标人有权取消其中标人资格或解除合同，可由原定标委员会根据原定标办法从其他合格中标候选人中重新票决确定中标人，招标人也可以依法重新招标。</w:t>
      </w:r>
    </w:p>
    <w:p w14:paraId="3469F508">
      <w:pPr>
        <w:rPr>
          <w:rFonts w:hint="eastAsia" w:ascii="宋体" w:hAnsi="宋体" w:cs="宋体"/>
          <w:szCs w:val="24"/>
          <w:highlight w:val="none"/>
        </w:rPr>
      </w:pPr>
    </w:p>
    <w:p w14:paraId="3C1D708C">
      <w:pPr>
        <w:keepNext/>
        <w:keepLines/>
        <w:spacing w:before="100" w:after="100" w:line="360" w:lineRule="auto"/>
        <w:outlineLvl w:val="1"/>
        <w:rPr>
          <w:rFonts w:hint="eastAsia" w:ascii="宋体" w:hAnsi="宋体" w:cs="宋体"/>
          <w:b/>
          <w:bCs/>
          <w:kern w:val="0"/>
          <w:sz w:val="32"/>
          <w:szCs w:val="32"/>
          <w:highlight w:val="none"/>
        </w:rPr>
      </w:pPr>
      <w:bookmarkStart w:id="1014" w:name="_Toc30003"/>
      <w:bookmarkStart w:id="1015" w:name="_Toc14911"/>
      <w:bookmarkStart w:id="1016" w:name="_Toc26712"/>
      <w:bookmarkStart w:id="1017" w:name="_Toc12943"/>
      <w:bookmarkStart w:id="1018" w:name="_Toc375931100"/>
      <w:bookmarkStart w:id="1019" w:name="_Toc485211106"/>
      <w:bookmarkStart w:id="1020" w:name="_Toc26117"/>
      <w:bookmarkStart w:id="1021" w:name="_Toc930"/>
      <w:bookmarkStart w:id="1022" w:name="_Toc29753"/>
      <w:bookmarkStart w:id="1023" w:name="_Toc20085"/>
      <w:bookmarkStart w:id="1024" w:name="_Toc1235"/>
      <w:bookmarkStart w:id="1025" w:name="_Toc7183"/>
      <w:r>
        <w:rPr>
          <w:rFonts w:hint="eastAsia" w:ascii="宋体" w:hAnsi="宋体" w:cs="宋体"/>
          <w:b/>
          <w:bCs/>
          <w:kern w:val="0"/>
          <w:sz w:val="32"/>
          <w:szCs w:val="32"/>
          <w:highlight w:val="none"/>
        </w:rPr>
        <w:t>4. 评标、定标表格</w:t>
      </w:r>
      <w:bookmarkEnd w:id="1014"/>
      <w:bookmarkEnd w:id="1015"/>
      <w:bookmarkEnd w:id="1016"/>
      <w:bookmarkEnd w:id="1017"/>
      <w:bookmarkEnd w:id="1018"/>
      <w:bookmarkEnd w:id="1019"/>
      <w:bookmarkEnd w:id="1020"/>
      <w:bookmarkEnd w:id="1021"/>
      <w:bookmarkEnd w:id="1022"/>
      <w:bookmarkEnd w:id="1023"/>
      <w:bookmarkEnd w:id="1024"/>
      <w:bookmarkEnd w:id="1025"/>
    </w:p>
    <w:p w14:paraId="0B6B0AE5">
      <w:pPr>
        <w:spacing w:line="400" w:lineRule="exact"/>
        <w:ind w:firstLine="420" w:firstLineChars="200"/>
        <w:rPr>
          <w:rFonts w:hint="eastAsia" w:ascii="宋体" w:hAnsi="宋体" w:cs="宋体"/>
          <w:szCs w:val="24"/>
          <w:highlight w:val="none"/>
        </w:rPr>
      </w:pPr>
      <w:r>
        <w:rPr>
          <w:rFonts w:hint="eastAsia" w:ascii="宋体" w:hAnsi="宋体" w:cs="宋体"/>
          <w:szCs w:val="24"/>
          <w:highlight w:val="none"/>
        </w:rPr>
        <w:t>见后附。</w:t>
      </w:r>
    </w:p>
    <w:p w14:paraId="5406D1AC">
      <w:pPr>
        <w:spacing w:line="400" w:lineRule="exact"/>
        <w:rPr>
          <w:rFonts w:hint="eastAsia" w:ascii="宋体" w:hAnsi="宋体" w:cs="宋体"/>
          <w:szCs w:val="24"/>
          <w:highlight w:val="none"/>
        </w:rPr>
        <w:sectPr>
          <w:pgSz w:w="11905" w:h="16838"/>
          <w:pgMar w:top="1247" w:right="1247" w:bottom="1247" w:left="1247" w:header="567" w:footer="850" w:gutter="0"/>
          <w:cols w:space="720" w:num="1"/>
          <w:docGrid w:type="lines" w:linePitch="312" w:charSpace="0"/>
        </w:sectPr>
      </w:pPr>
    </w:p>
    <w:p w14:paraId="133A16B2">
      <w:pPr>
        <w:jc w:val="left"/>
        <w:rPr>
          <w:rFonts w:hint="eastAsia" w:ascii="宋体" w:hAnsi="宋体" w:cs="宋体"/>
          <w:b/>
          <w:sz w:val="28"/>
          <w:szCs w:val="28"/>
          <w:highlight w:val="none"/>
        </w:rPr>
      </w:pPr>
      <w:bookmarkStart w:id="1026" w:name="_Hlk127782846"/>
      <w:r>
        <w:rPr>
          <w:rFonts w:hint="eastAsia" w:ascii="宋体" w:hAnsi="宋体" w:cs="宋体"/>
          <w:b/>
          <w:sz w:val="28"/>
          <w:szCs w:val="28"/>
          <w:highlight w:val="none"/>
        </w:rPr>
        <w:t xml:space="preserve">附表1 </w:t>
      </w:r>
    </w:p>
    <w:p w14:paraId="243D2E2A">
      <w:pPr>
        <w:jc w:val="center"/>
        <w:rPr>
          <w:b/>
          <w:sz w:val="32"/>
          <w:szCs w:val="32"/>
          <w:highlight w:val="none"/>
        </w:rPr>
      </w:pPr>
      <w:r>
        <w:rPr>
          <w:rFonts w:hint="eastAsia"/>
          <w:b/>
          <w:sz w:val="32"/>
          <w:szCs w:val="32"/>
          <w:highlight w:val="none"/>
        </w:rPr>
        <w:t>资格审查表</w:t>
      </w:r>
    </w:p>
    <w:tbl>
      <w:tblPr>
        <w:tblStyle w:val="41"/>
        <w:tblW w:w="48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5478"/>
        <w:gridCol w:w="7424"/>
      </w:tblGrid>
      <w:tr w14:paraId="3F6A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031112E5">
            <w:pPr>
              <w:widowControl/>
              <w:tabs>
                <w:tab w:val="left" w:pos="704"/>
              </w:tabs>
              <w:adjustRightInd w:val="0"/>
              <w:snapToGrid w:val="0"/>
              <w:jc w:val="center"/>
              <w:rPr>
                <w:rFonts w:ascii="Calibri" w:hAnsi="Calibri"/>
                <w:szCs w:val="24"/>
                <w:highlight w:val="none"/>
              </w:rPr>
            </w:pPr>
            <w:r>
              <w:rPr>
                <w:rFonts w:hint="eastAsia" w:ascii="Calibri" w:hAnsi="Calibri"/>
                <w:szCs w:val="24"/>
                <w:highlight w:val="none"/>
              </w:rPr>
              <w:t>序号</w:t>
            </w:r>
          </w:p>
        </w:tc>
        <w:tc>
          <w:tcPr>
            <w:tcW w:w="1992" w:type="pct"/>
            <w:tcBorders>
              <w:top w:val="single" w:color="auto" w:sz="4" w:space="0"/>
              <w:left w:val="single" w:color="auto" w:sz="4" w:space="0"/>
              <w:bottom w:val="single" w:color="auto" w:sz="4" w:space="0"/>
              <w:right w:val="single" w:color="auto" w:sz="4" w:space="0"/>
            </w:tcBorders>
            <w:vAlign w:val="center"/>
          </w:tcPr>
          <w:p w14:paraId="688063B2">
            <w:pPr>
              <w:widowControl/>
              <w:adjustRightInd w:val="0"/>
              <w:snapToGrid w:val="0"/>
              <w:jc w:val="center"/>
              <w:rPr>
                <w:rFonts w:ascii="Calibri" w:hAnsi="Calibri"/>
                <w:szCs w:val="24"/>
                <w:highlight w:val="none"/>
              </w:rPr>
            </w:pPr>
            <w:r>
              <w:rPr>
                <w:rFonts w:hint="eastAsia" w:ascii="Calibri" w:hAnsi="Calibri"/>
                <w:szCs w:val="24"/>
                <w:highlight w:val="none"/>
              </w:rPr>
              <w:t>审查项目</w:t>
            </w:r>
          </w:p>
        </w:tc>
        <w:tc>
          <w:tcPr>
            <w:tcW w:w="2699" w:type="pct"/>
            <w:tcBorders>
              <w:top w:val="single" w:color="auto" w:sz="4" w:space="0"/>
              <w:left w:val="single" w:color="auto" w:sz="4" w:space="0"/>
              <w:bottom w:val="single" w:color="auto" w:sz="4" w:space="0"/>
              <w:right w:val="single" w:color="auto" w:sz="4" w:space="0"/>
            </w:tcBorders>
            <w:vAlign w:val="center"/>
          </w:tcPr>
          <w:p w14:paraId="20CA3D9C">
            <w:pPr>
              <w:widowControl/>
              <w:adjustRightInd w:val="0"/>
              <w:snapToGrid w:val="0"/>
              <w:jc w:val="center"/>
              <w:rPr>
                <w:rFonts w:ascii="Calibri" w:hAnsi="Calibri"/>
                <w:szCs w:val="24"/>
                <w:highlight w:val="none"/>
              </w:rPr>
            </w:pPr>
            <w:r>
              <w:rPr>
                <w:rFonts w:hint="eastAsia" w:ascii="Calibri" w:hAnsi="Calibri"/>
                <w:szCs w:val="24"/>
                <w:highlight w:val="none"/>
              </w:rPr>
              <w:t>须审查的资料</w:t>
            </w:r>
          </w:p>
        </w:tc>
      </w:tr>
      <w:tr w14:paraId="09D7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649049B8">
            <w:pPr>
              <w:widowControl/>
              <w:adjustRightInd w:val="0"/>
              <w:snapToGrid w:val="0"/>
              <w:jc w:val="center"/>
              <w:rPr>
                <w:rFonts w:ascii="Calibri" w:hAnsi="Calibri"/>
                <w:szCs w:val="24"/>
                <w:highlight w:val="none"/>
              </w:rPr>
            </w:pPr>
            <w:r>
              <w:rPr>
                <w:rFonts w:hint="eastAsia" w:ascii="Calibri" w:hAnsi="Calibri"/>
                <w:szCs w:val="24"/>
                <w:highlight w:val="none"/>
              </w:rPr>
              <w:t>1</w:t>
            </w:r>
          </w:p>
        </w:tc>
        <w:tc>
          <w:tcPr>
            <w:tcW w:w="1992" w:type="pct"/>
            <w:tcBorders>
              <w:top w:val="single" w:color="auto" w:sz="4" w:space="0"/>
              <w:left w:val="single" w:color="auto" w:sz="4" w:space="0"/>
              <w:bottom w:val="single" w:color="auto" w:sz="4" w:space="0"/>
              <w:right w:val="single" w:color="auto" w:sz="4" w:space="0"/>
            </w:tcBorders>
            <w:vAlign w:val="center"/>
          </w:tcPr>
          <w:p w14:paraId="143B55A8">
            <w:pPr>
              <w:widowControl/>
              <w:adjustRightInd w:val="0"/>
              <w:snapToGrid w:val="0"/>
              <w:rPr>
                <w:rFonts w:ascii="Calibri" w:hAnsi="Calibri"/>
                <w:szCs w:val="24"/>
                <w:highlight w:val="none"/>
              </w:rPr>
            </w:pPr>
            <w:r>
              <w:rPr>
                <w:rFonts w:hint="eastAsia" w:ascii="Calibri" w:hAnsi="Calibri"/>
                <w:szCs w:val="24"/>
                <w:highlight w:val="none"/>
              </w:rPr>
              <w:t>投标人参加投标的意思表达清楚，投标人代表被授权有效。</w:t>
            </w:r>
          </w:p>
        </w:tc>
        <w:tc>
          <w:tcPr>
            <w:tcW w:w="2699" w:type="pct"/>
            <w:tcBorders>
              <w:top w:val="single" w:color="auto" w:sz="4" w:space="0"/>
              <w:left w:val="single" w:color="auto" w:sz="4" w:space="0"/>
              <w:bottom w:val="single" w:color="auto" w:sz="4" w:space="0"/>
              <w:right w:val="single" w:color="auto" w:sz="4" w:space="0"/>
            </w:tcBorders>
            <w:vAlign w:val="center"/>
          </w:tcPr>
          <w:p w14:paraId="05FE8A2F">
            <w:pPr>
              <w:widowControl/>
              <w:adjustRightInd w:val="0"/>
              <w:snapToGrid w:val="0"/>
              <w:rPr>
                <w:rFonts w:ascii="Calibri" w:hAnsi="Calibri"/>
                <w:szCs w:val="24"/>
                <w:highlight w:val="none"/>
              </w:rPr>
            </w:pPr>
            <w:r>
              <w:rPr>
                <w:rFonts w:hint="eastAsia" w:ascii="Calibri" w:hAnsi="Calibri"/>
                <w:szCs w:val="24"/>
                <w:highlight w:val="none"/>
              </w:rPr>
              <w:t>法定代表人证明书；委托投标的还应提供法人授权委托证明书。</w:t>
            </w:r>
          </w:p>
        </w:tc>
      </w:tr>
      <w:tr w14:paraId="775F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79F745DB">
            <w:pPr>
              <w:widowControl/>
              <w:adjustRightInd w:val="0"/>
              <w:snapToGrid w:val="0"/>
              <w:jc w:val="center"/>
              <w:rPr>
                <w:rFonts w:ascii="Calibri" w:hAnsi="Calibri"/>
                <w:szCs w:val="24"/>
                <w:highlight w:val="none"/>
              </w:rPr>
            </w:pPr>
            <w:r>
              <w:rPr>
                <w:rFonts w:hint="eastAsia" w:ascii="Calibri" w:hAnsi="Calibri"/>
                <w:szCs w:val="24"/>
                <w:highlight w:val="none"/>
              </w:rPr>
              <w:t>2</w:t>
            </w:r>
          </w:p>
        </w:tc>
        <w:tc>
          <w:tcPr>
            <w:tcW w:w="1992" w:type="pct"/>
            <w:tcBorders>
              <w:top w:val="single" w:color="auto" w:sz="4" w:space="0"/>
              <w:left w:val="single" w:color="auto" w:sz="4" w:space="0"/>
              <w:bottom w:val="single" w:color="auto" w:sz="4" w:space="0"/>
              <w:right w:val="single" w:color="auto" w:sz="4" w:space="0"/>
            </w:tcBorders>
            <w:vAlign w:val="center"/>
          </w:tcPr>
          <w:p w14:paraId="5CAD0C89">
            <w:pPr>
              <w:widowControl/>
              <w:adjustRightInd w:val="0"/>
              <w:snapToGrid w:val="0"/>
              <w:rPr>
                <w:rFonts w:ascii="Calibri" w:hAnsi="Calibri"/>
                <w:szCs w:val="24"/>
                <w:highlight w:val="none"/>
              </w:rPr>
            </w:pPr>
            <w:r>
              <w:rPr>
                <w:rFonts w:hint="eastAsia" w:ascii="Calibri" w:hAnsi="Calibri"/>
                <w:szCs w:val="24"/>
                <w:highlight w:val="none"/>
              </w:rPr>
              <w:t>投标人（若为联合体投标，指联合体各方）均具有独立法人资格，按国家法律经营。</w:t>
            </w:r>
          </w:p>
        </w:tc>
        <w:tc>
          <w:tcPr>
            <w:tcW w:w="2699" w:type="pct"/>
            <w:tcBorders>
              <w:top w:val="single" w:color="auto" w:sz="4" w:space="0"/>
              <w:left w:val="single" w:color="auto" w:sz="4" w:space="0"/>
              <w:bottom w:val="single" w:color="auto" w:sz="4" w:space="0"/>
              <w:right w:val="single" w:color="auto" w:sz="4" w:space="0"/>
            </w:tcBorders>
            <w:vAlign w:val="center"/>
          </w:tcPr>
          <w:p w14:paraId="398B8557">
            <w:pPr>
              <w:widowControl/>
              <w:adjustRightInd w:val="0"/>
              <w:snapToGrid w:val="0"/>
              <w:rPr>
                <w:rFonts w:ascii="Calibri" w:hAnsi="Calibri"/>
                <w:szCs w:val="24"/>
                <w:highlight w:val="none"/>
              </w:rPr>
            </w:pPr>
            <w:r>
              <w:rPr>
                <w:rFonts w:hint="eastAsia" w:ascii="Calibri" w:hAnsi="Calibri"/>
                <w:szCs w:val="24"/>
                <w:highlight w:val="none"/>
                <w:u w:val="single"/>
              </w:rPr>
              <w:t>投标人（联合体投标的，联合体所有成员均出具）持有市场监督管理部门核发的企业营业执照扫描件或电子证照</w:t>
            </w:r>
            <w:r>
              <w:rPr>
                <w:rFonts w:hint="eastAsia" w:ascii="Calibri" w:hAnsi="Calibri"/>
                <w:szCs w:val="24"/>
                <w:highlight w:val="none"/>
              </w:rPr>
              <w:t>。</w:t>
            </w:r>
          </w:p>
        </w:tc>
      </w:tr>
      <w:tr w14:paraId="7F5B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tcBorders>
              <w:top w:val="single" w:color="auto" w:sz="4" w:space="0"/>
              <w:left w:val="single" w:color="auto" w:sz="4" w:space="0"/>
              <w:bottom w:val="single" w:color="auto" w:sz="4" w:space="0"/>
              <w:right w:val="single" w:color="auto" w:sz="4" w:space="0"/>
            </w:tcBorders>
            <w:vAlign w:val="center"/>
          </w:tcPr>
          <w:p w14:paraId="1AE20516">
            <w:pPr>
              <w:widowControl/>
              <w:adjustRightInd w:val="0"/>
              <w:snapToGrid w:val="0"/>
              <w:jc w:val="center"/>
              <w:rPr>
                <w:rFonts w:ascii="Calibri" w:hAnsi="Calibri"/>
                <w:szCs w:val="24"/>
                <w:highlight w:val="none"/>
              </w:rPr>
            </w:pPr>
            <w:r>
              <w:rPr>
                <w:rFonts w:hint="eastAsia" w:ascii="Calibri" w:hAnsi="Calibri"/>
                <w:szCs w:val="24"/>
                <w:highlight w:val="none"/>
              </w:rPr>
              <w:t>3</w:t>
            </w:r>
          </w:p>
        </w:tc>
        <w:tc>
          <w:tcPr>
            <w:tcW w:w="1992" w:type="pct"/>
            <w:tcBorders>
              <w:top w:val="single" w:color="auto" w:sz="4" w:space="0"/>
              <w:left w:val="single" w:color="auto" w:sz="4" w:space="0"/>
              <w:bottom w:val="single" w:color="auto" w:sz="4" w:space="0"/>
              <w:right w:val="single" w:color="auto" w:sz="4" w:space="0"/>
            </w:tcBorders>
            <w:vAlign w:val="center"/>
          </w:tcPr>
          <w:p w14:paraId="25BF157C">
            <w:pPr>
              <w:widowControl/>
              <w:adjustRightInd w:val="0"/>
              <w:snapToGrid w:val="0"/>
              <w:rPr>
                <w:rFonts w:ascii="Calibri" w:hAnsi="Calibri"/>
                <w:szCs w:val="24"/>
                <w:highlight w:val="none"/>
              </w:rPr>
            </w:pPr>
            <w:r>
              <w:rPr>
                <w:rFonts w:hint="eastAsia" w:ascii="Calibri" w:hAnsi="Calibri"/>
                <w:szCs w:val="24"/>
                <w:highlight w:val="none"/>
              </w:rPr>
              <w:t>投标人（联合体各成员）持有建设行政主管部门颁发的企业资质证书；投标人（若为联合体投标，由联合体</w:t>
            </w:r>
            <w:r>
              <w:rPr>
                <w:rFonts w:hint="eastAsia" w:ascii="Calibri" w:hAnsi="Calibri"/>
                <w:szCs w:val="24"/>
                <w:highlight w:val="none"/>
                <w:lang w:val="en-US" w:eastAsia="zh-CN"/>
              </w:rPr>
              <w:t>施工</w:t>
            </w:r>
            <w:r>
              <w:rPr>
                <w:rFonts w:hint="eastAsia" w:ascii="Calibri" w:hAnsi="Calibri"/>
                <w:szCs w:val="24"/>
                <w:highlight w:val="none"/>
              </w:rPr>
              <w:t>方提供）持有建设行政主管部门颁发的安全生产许可证；投标人资质符合公告要求。</w:t>
            </w:r>
          </w:p>
        </w:tc>
        <w:tc>
          <w:tcPr>
            <w:tcW w:w="2699" w:type="pct"/>
            <w:tcBorders>
              <w:top w:val="single" w:color="auto" w:sz="4" w:space="0"/>
              <w:left w:val="single" w:color="auto" w:sz="4" w:space="0"/>
              <w:bottom w:val="single" w:color="auto" w:sz="4" w:space="0"/>
              <w:right w:val="single" w:color="auto" w:sz="4" w:space="0"/>
            </w:tcBorders>
            <w:vAlign w:val="center"/>
          </w:tcPr>
          <w:p w14:paraId="26EE5B64">
            <w:pPr>
              <w:widowControl/>
              <w:adjustRightInd w:val="0"/>
              <w:snapToGrid w:val="0"/>
              <w:rPr>
                <w:rFonts w:ascii="Calibri" w:hAnsi="Calibri"/>
                <w:szCs w:val="24"/>
                <w:highlight w:val="none"/>
              </w:rPr>
            </w:pPr>
            <w:r>
              <w:rPr>
                <w:rFonts w:hint="eastAsia" w:ascii="Calibri" w:hAnsi="Calibri"/>
                <w:szCs w:val="24"/>
                <w:highlight w:val="none"/>
                <w:u w:val="single"/>
              </w:rPr>
              <w:t>资质证书扫描件或电子证照、安全生产许可证扫描件或电子证照</w:t>
            </w:r>
          </w:p>
        </w:tc>
      </w:tr>
      <w:tr w14:paraId="6B96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796540A1">
            <w:pPr>
              <w:widowControl/>
              <w:adjustRightInd w:val="0"/>
              <w:snapToGrid w:val="0"/>
              <w:jc w:val="center"/>
              <w:rPr>
                <w:rFonts w:ascii="Calibri" w:hAnsi="Calibri"/>
                <w:szCs w:val="24"/>
                <w:highlight w:val="none"/>
              </w:rPr>
            </w:pPr>
            <w:r>
              <w:rPr>
                <w:rFonts w:hint="eastAsia" w:ascii="Calibri" w:hAnsi="Calibri"/>
                <w:szCs w:val="24"/>
                <w:highlight w:val="none"/>
              </w:rPr>
              <w:t>4</w:t>
            </w:r>
          </w:p>
        </w:tc>
        <w:tc>
          <w:tcPr>
            <w:tcW w:w="1992" w:type="pct"/>
            <w:tcBorders>
              <w:top w:val="single" w:color="auto" w:sz="4" w:space="0"/>
              <w:left w:val="single" w:color="auto" w:sz="4" w:space="0"/>
              <w:bottom w:val="single" w:color="auto" w:sz="4" w:space="0"/>
              <w:right w:val="single" w:color="auto" w:sz="4" w:space="0"/>
            </w:tcBorders>
            <w:vAlign w:val="center"/>
          </w:tcPr>
          <w:p w14:paraId="49CC5E17">
            <w:pPr>
              <w:widowControl/>
              <w:adjustRightInd w:val="0"/>
              <w:snapToGrid w:val="0"/>
              <w:rPr>
                <w:rFonts w:ascii="Calibri" w:hAnsi="Calibri"/>
                <w:szCs w:val="24"/>
                <w:highlight w:val="none"/>
              </w:rPr>
            </w:pPr>
            <w:r>
              <w:rPr>
                <w:rFonts w:hint="eastAsia" w:ascii="Calibri" w:hAnsi="Calibri"/>
                <w:szCs w:val="24"/>
                <w:highlight w:val="none"/>
              </w:rPr>
              <w:t>项目负责人符合公告要求。</w:t>
            </w:r>
          </w:p>
        </w:tc>
        <w:tc>
          <w:tcPr>
            <w:tcW w:w="2699" w:type="pct"/>
            <w:tcBorders>
              <w:top w:val="single" w:color="auto" w:sz="4" w:space="0"/>
              <w:left w:val="single" w:color="auto" w:sz="4" w:space="0"/>
              <w:bottom w:val="single" w:color="auto" w:sz="4" w:space="0"/>
              <w:right w:val="single" w:color="auto" w:sz="4" w:space="0"/>
            </w:tcBorders>
            <w:vAlign w:val="center"/>
          </w:tcPr>
          <w:p w14:paraId="55CF9FEF">
            <w:pPr>
              <w:widowControl/>
              <w:adjustRightInd w:val="0"/>
              <w:snapToGrid w:val="0"/>
              <w:rPr>
                <w:rFonts w:ascii="Calibri" w:hAnsi="Calibri"/>
                <w:szCs w:val="24"/>
                <w:highlight w:val="none"/>
              </w:rPr>
            </w:pPr>
            <w:r>
              <w:rPr>
                <w:rFonts w:hint="eastAsia" w:ascii="Calibri" w:hAnsi="Calibri"/>
                <w:szCs w:val="24"/>
                <w:highlight w:val="none"/>
              </w:rPr>
              <w:t>投标人拟担任本项目项目负责人（兼施工负责人，若为联合体投标，由联合体主办方提供）资格符合招标公告要求，提供项目负责人有效期内的建造师注册证书扫描件或电子证书。</w:t>
            </w:r>
          </w:p>
        </w:tc>
      </w:tr>
      <w:tr w14:paraId="7736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1B1D7AE3">
            <w:pPr>
              <w:widowControl/>
              <w:adjustRightInd w:val="0"/>
              <w:snapToGrid w:val="0"/>
              <w:jc w:val="center"/>
              <w:rPr>
                <w:rFonts w:ascii="Calibri" w:hAnsi="Calibri"/>
                <w:szCs w:val="24"/>
                <w:highlight w:val="none"/>
              </w:rPr>
            </w:pPr>
            <w:r>
              <w:rPr>
                <w:rFonts w:hint="eastAsia" w:ascii="Calibri" w:hAnsi="Calibri"/>
                <w:szCs w:val="24"/>
                <w:highlight w:val="none"/>
              </w:rPr>
              <w:t>5</w:t>
            </w:r>
          </w:p>
        </w:tc>
        <w:tc>
          <w:tcPr>
            <w:tcW w:w="1992" w:type="pct"/>
            <w:tcBorders>
              <w:top w:val="single" w:color="auto" w:sz="4" w:space="0"/>
              <w:left w:val="single" w:color="auto" w:sz="4" w:space="0"/>
              <w:bottom w:val="single" w:color="auto" w:sz="4" w:space="0"/>
              <w:right w:val="single" w:color="auto" w:sz="4" w:space="0"/>
            </w:tcBorders>
            <w:vAlign w:val="center"/>
          </w:tcPr>
          <w:p w14:paraId="387EE934">
            <w:pPr>
              <w:widowControl/>
              <w:adjustRightInd w:val="0"/>
              <w:snapToGrid w:val="0"/>
              <w:rPr>
                <w:rFonts w:ascii="Calibri" w:hAnsi="Calibri"/>
                <w:szCs w:val="24"/>
                <w:highlight w:val="none"/>
              </w:rPr>
            </w:pPr>
            <w:r>
              <w:rPr>
                <w:rFonts w:hint="eastAsia" w:ascii="Calibri" w:hAnsi="Calibri"/>
                <w:szCs w:val="24"/>
                <w:highlight w:val="none"/>
              </w:rPr>
              <w:t>设计负责人符合公告要求。</w:t>
            </w:r>
          </w:p>
        </w:tc>
        <w:tc>
          <w:tcPr>
            <w:tcW w:w="2699" w:type="pct"/>
            <w:tcBorders>
              <w:top w:val="single" w:color="auto" w:sz="4" w:space="0"/>
              <w:left w:val="single" w:color="auto" w:sz="4" w:space="0"/>
              <w:bottom w:val="single" w:color="auto" w:sz="4" w:space="0"/>
              <w:right w:val="single" w:color="auto" w:sz="4" w:space="0"/>
            </w:tcBorders>
            <w:vAlign w:val="center"/>
          </w:tcPr>
          <w:p w14:paraId="0695260F">
            <w:pPr>
              <w:widowControl/>
              <w:adjustRightInd w:val="0"/>
              <w:snapToGrid w:val="0"/>
              <w:rPr>
                <w:rFonts w:ascii="Calibri" w:hAnsi="Calibri"/>
                <w:szCs w:val="24"/>
                <w:highlight w:val="none"/>
              </w:rPr>
            </w:pPr>
            <w:r>
              <w:rPr>
                <w:rFonts w:hint="eastAsia" w:ascii="Calibri" w:hAnsi="Calibri"/>
                <w:szCs w:val="24"/>
                <w:highlight w:val="none"/>
              </w:rPr>
              <w:t>投标人拟担任本项目设计负责人（若联合体投标的，由联合体中承接设计任务的单位提供）资格符合招标公告要求，提供设计负责人相关证书或电子证书。</w:t>
            </w:r>
          </w:p>
        </w:tc>
      </w:tr>
      <w:tr w14:paraId="0F03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279D1626">
            <w:pPr>
              <w:widowControl/>
              <w:adjustRightInd w:val="0"/>
              <w:snapToGrid w:val="0"/>
              <w:jc w:val="center"/>
              <w:rPr>
                <w:rFonts w:ascii="Calibri" w:hAnsi="Calibri"/>
                <w:szCs w:val="24"/>
                <w:highlight w:val="none"/>
              </w:rPr>
            </w:pPr>
            <w:r>
              <w:rPr>
                <w:rFonts w:hint="eastAsia" w:ascii="Calibri" w:hAnsi="Calibri"/>
                <w:szCs w:val="24"/>
                <w:highlight w:val="none"/>
              </w:rPr>
              <w:t>6</w:t>
            </w:r>
          </w:p>
        </w:tc>
        <w:tc>
          <w:tcPr>
            <w:tcW w:w="1992" w:type="pct"/>
            <w:tcBorders>
              <w:top w:val="single" w:color="auto" w:sz="4" w:space="0"/>
              <w:left w:val="single" w:color="auto" w:sz="4" w:space="0"/>
              <w:bottom w:val="single" w:color="auto" w:sz="4" w:space="0"/>
              <w:right w:val="single" w:color="auto" w:sz="4" w:space="0"/>
            </w:tcBorders>
            <w:vAlign w:val="center"/>
          </w:tcPr>
          <w:p w14:paraId="21EFBF06">
            <w:pPr>
              <w:widowControl/>
              <w:adjustRightInd w:val="0"/>
              <w:snapToGrid w:val="0"/>
              <w:rPr>
                <w:rFonts w:ascii="Calibri" w:hAnsi="Calibri"/>
                <w:szCs w:val="24"/>
                <w:highlight w:val="none"/>
              </w:rPr>
            </w:pPr>
            <w:r>
              <w:rPr>
                <w:rFonts w:hint="eastAsia" w:ascii="Calibri" w:hAnsi="Calibri"/>
                <w:szCs w:val="24"/>
                <w:highlight w:val="none"/>
              </w:rPr>
              <w:t>技术负责人符合公告要求。</w:t>
            </w:r>
          </w:p>
        </w:tc>
        <w:tc>
          <w:tcPr>
            <w:tcW w:w="2699" w:type="pct"/>
            <w:tcBorders>
              <w:top w:val="single" w:color="auto" w:sz="4" w:space="0"/>
              <w:left w:val="single" w:color="auto" w:sz="4" w:space="0"/>
              <w:bottom w:val="single" w:color="auto" w:sz="4" w:space="0"/>
              <w:right w:val="single" w:color="auto" w:sz="4" w:space="0"/>
            </w:tcBorders>
            <w:vAlign w:val="center"/>
          </w:tcPr>
          <w:p w14:paraId="5B120631">
            <w:pPr>
              <w:widowControl/>
              <w:adjustRightInd w:val="0"/>
              <w:snapToGrid w:val="0"/>
              <w:rPr>
                <w:rFonts w:ascii="Calibri" w:hAnsi="Calibri"/>
                <w:szCs w:val="24"/>
                <w:highlight w:val="none"/>
              </w:rPr>
            </w:pPr>
            <w:r>
              <w:rPr>
                <w:rFonts w:hint="eastAsia" w:ascii="Calibri" w:hAnsi="Calibri"/>
                <w:szCs w:val="24"/>
                <w:highlight w:val="none"/>
              </w:rPr>
              <w:t>投标人拟担任本工程项目技术负责人（若联合体投标，由联合体</w:t>
            </w:r>
            <w:r>
              <w:rPr>
                <w:rFonts w:hint="eastAsia" w:ascii="Calibri" w:hAnsi="Calibri"/>
                <w:szCs w:val="24"/>
                <w:highlight w:val="none"/>
                <w:lang w:val="en-US" w:eastAsia="zh-CN"/>
              </w:rPr>
              <w:t>施工</w:t>
            </w:r>
            <w:r>
              <w:rPr>
                <w:rFonts w:hint="eastAsia" w:ascii="Calibri" w:hAnsi="Calibri"/>
                <w:szCs w:val="24"/>
                <w:highlight w:val="none"/>
              </w:rPr>
              <w:t>方提供）资格符合招标公告要求，提供技术负责人相关证书扫描件或电子证书。</w:t>
            </w:r>
          </w:p>
        </w:tc>
      </w:tr>
      <w:tr w14:paraId="2025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462742D8">
            <w:pPr>
              <w:widowControl/>
              <w:adjustRightInd w:val="0"/>
              <w:snapToGrid w:val="0"/>
              <w:jc w:val="center"/>
              <w:rPr>
                <w:rFonts w:ascii="Calibri" w:hAnsi="Calibri"/>
                <w:szCs w:val="24"/>
                <w:highlight w:val="none"/>
              </w:rPr>
            </w:pPr>
            <w:r>
              <w:rPr>
                <w:rFonts w:hint="eastAsia" w:ascii="Calibri" w:hAnsi="Calibri"/>
                <w:szCs w:val="24"/>
                <w:highlight w:val="none"/>
              </w:rPr>
              <w:t>7</w:t>
            </w:r>
          </w:p>
        </w:tc>
        <w:tc>
          <w:tcPr>
            <w:tcW w:w="1992" w:type="pct"/>
            <w:tcBorders>
              <w:top w:val="single" w:color="auto" w:sz="4" w:space="0"/>
              <w:left w:val="single" w:color="auto" w:sz="4" w:space="0"/>
              <w:bottom w:val="single" w:color="auto" w:sz="4" w:space="0"/>
              <w:right w:val="single" w:color="auto" w:sz="4" w:space="0"/>
            </w:tcBorders>
            <w:vAlign w:val="center"/>
          </w:tcPr>
          <w:p w14:paraId="521BB4AF">
            <w:pPr>
              <w:widowControl/>
              <w:adjustRightInd w:val="0"/>
              <w:snapToGrid w:val="0"/>
              <w:rPr>
                <w:rFonts w:ascii="Calibri" w:hAnsi="Calibri"/>
                <w:szCs w:val="24"/>
                <w:highlight w:val="none"/>
              </w:rPr>
            </w:pPr>
            <w:r>
              <w:rPr>
                <w:rFonts w:hint="eastAsia" w:ascii="Calibri" w:hAnsi="Calibri"/>
                <w:szCs w:val="24"/>
                <w:highlight w:val="none"/>
              </w:rPr>
              <w:t>项目负责人安全生产考核合格证书符合公告要求。</w:t>
            </w:r>
          </w:p>
        </w:tc>
        <w:tc>
          <w:tcPr>
            <w:tcW w:w="2699" w:type="pct"/>
            <w:tcBorders>
              <w:top w:val="single" w:color="auto" w:sz="4" w:space="0"/>
              <w:left w:val="single" w:color="auto" w:sz="4" w:space="0"/>
              <w:bottom w:val="single" w:color="auto" w:sz="4" w:space="0"/>
              <w:right w:val="single" w:color="auto" w:sz="4" w:space="0"/>
            </w:tcBorders>
            <w:vAlign w:val="center"/>
          </w:tcPr>
          <w:p w14:paraId="2E4AD036">
            <w:pPr>
              <w:widowControl/>
              <w:adjustRightInd w:val="0"/>
              <w:snapToGrid w:val="0"/>
              <w:rPr>
                <w:rFonts w:ascii="Calibri" w:hAnsi="Calibri"/>
                <w:szCs w:val="24"/>
                <w:highlight w:val="none"/>
              </w:rPr>
            </w:pPr>
            <w:r>
              <w:rPr>
                <w:rFonts w:hint="eastAsia" w:ascii="Calibri" w:hAnsi="Calibri"/>
                <w:szCs w:val="24"/>
                <w:highlight w:val="none"/>
              </w:rPr>
              <w:t>项目负责人应持有在有效期内的安全生产合格证书（B类）或建筑施工企业项目负责人安全生产考核合格证书扫描件或电子证书。</w:t>
            </w:r>
          </w:p>
        </w:tc>
      </w:tr>
      <w:tr w14:paraId="158D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474BF94D">
            <w:pPr>
              <w:widowControl/>
              <w:adjustRightInd w:val="0"/>
              <w:snapToGrid w:val="0"/>
              <w:jc w:val="center"/>
              <w:rPr>
                <w:rFonts w:ascii="Calibri" w:hAnsi="Calibri"/>
                <w:szCs w:val="24"/>
                <w:highlight w:val="none"/>
              </w:rPr>
            </w:pPr>
            <w:r>
              <w:rPr>
                <w:rFonts w:hint="eastAsia" w:ascii="Calibri" w:hAnsi="Calibri"/>
                <w:szCs w:val="24"/>
                <w:highlight w:val="none"/>
              </w:rPr>
              <w:t>8</w:t>
            </w:r>
          </w:p>
        </w:tc>
        <w:tc>
          <w:tcPr>
            <w:tcW w:w="1992" w:type="pct"/>
            <w:tcBorders>
              <w:top w:val="single" w:color="auto" w:sz="4" w:space="0"/>
              <w:left w:val="single" w:color="auto" w:sz="4" w:space="0"/>
              <w:bottom w:val="single" w:color="auto" w:sz="4" w:space="0"/>
              <w:right w:val="single" w:color="auto" w:sz="4" w:space="0"/>
            </w:tcBorders>
            <w:vAlign w:val="center"/>
          </w:tcPr>
          <w:p w14:paraId="31650F27">
            <w:pPr>
              <w:widowControl/>
              <w:adjustRightInd w:val="0"/>
              <w:snapToGrid w:val="0"/>
              <w:rPr>
                <w:rFonts w:ascii="Calibri" w:hAnsi="Calibri"/>
                <w:szCs w:val="24"/>
                <w:highlight w:val="none"/>
              </w:rPr>
            </w:pPr>
            <w:r>
              <w:rPr>
                <w:rFonts w:hint="eastAsia" w:ascii="Calibri" w:hAnsi="Calibri"/>
                <w:szCs w:val="24"/>
                <w:highlight w:val="none"/>
              </w:rPr>
              <w:t>专职安全人员符合公告要求。</w:t>
            </w:r>
          </w:p>
        </w:tc>
        <w:tc>
          <w:tcPr>
            <w:tcW w:w="2699" w:type="pct"/>
            <w:tcBorders>
              <w:top w:val="single" w:color="auto" w:sz="4" w:space="0"/>
              <w:left w:val="single" w:color="auto" w:sz="4" w:space="0"/>
              <w:bottom w:val="single" w:color="auto" w:sz="4" w:space="0"/>
              <w:right w:val="single" w:color="auto" w:sz="4" w:space="0"/>
            </w:tcBorders>
            <w:vAlign w:val="center"/>
          </w:tcPr>
          <w:p w14:paraId="02AF6CA5">
            <w:pPr>
              <w:widowControl/>
              <w:adjustRightInd w:val="0"/>
              <w:snapToGrid w:val="0"/>
              <w:rPr>
                <w:rFonts w:ascii="Calibri" w:hAnsi="Calibri"/>
                <w:szCs w:val="24"/>
                <w:highlight w:val="none"/>
              </w:rPr>
            </w:pPr>
            <w:r>
              <w:rPr>
                <w:rFonts w:hint="eastAsia" w:ascii="Calibri" w:hAnsi="Calibri"/>
                <w:szCs w:val="24"/>
                <w:highlight w:val="none"/>
              </w:rPr>
              <w:t>投标人拟担任本工程专职安全人员（若联合体投标，由联合体</w:t>
            </w:r>
            <w:r>
              <w:rPr>
                <w:rFonts w:hint="eastAsia" w:ascii="Calibri" w:hAnsi="Calibri"/>
                <w:szCs w:val="24"/>
                <w:highlight w:val="none"/>
                <w:lang w:val="en-US" w:eastAsia="zh-CN"/>
              </w:rPr>
              <w:t>施工</w:t>
            </w:r>
            <w:r>
              <w:rPr>
                <w:rFonts w:hint="eastAsia" w:ascii="Calibri" w:hAnsi="Calibri"/>
                <w:szCs w:val="24"/>
                <w:highlight w:val="none"/>
              </w:rPr>
              <w:t>方提供）具有在有效期内的安全生产考核合格证（C类）或建筑施工企业专职安全生产管理人员安全生产考核合格证书（C3）扫描件或电子证书</w:t>
            </w:r>
            <w:r>
              <w:rPr>
                <w:rFonts w:ascii="Calibri" w:hAnsi="Calibri"/>
                <w:szCs w:val="24"/>
                <w:highlight w:val="none"/>
              </w:rPr>
              <w:t>。</w:t>
            </w:r>
          </w:p>
        </w:tc>
      </w:tr>
      <w:tr w14:paraId="1A7E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45AFDD80">
            <w:pPr>
              <w:widowControl/>
              <w:adjustRightInd w:val="0"/>
              <w:snapToGrid w:val="0"/>
              <w:jc w:val="center"/>
              <w:rPr>
                <w:rFonts w:ascii="Calibri" w:hAnsi="Calibri"/>
                <w:szCs w:val="24"/>
                <w:highlight w:val="none"/>
              </w:rPr>
            </w:pPr>
            <w:r>
              <w:rPr>
                <w:rFonts w:hint="eastAsia" w:ascii="Calibri" w:hAnsi="Calibri"/>
                <w:szCs w:val="24"/>
                <w:highlight w:val="none"/>
              </w:rPr>
              <w:t>9</w:t>
            </w:r>
          </w:p>
        </w:tc>
        <w:tc>
          <w:tcPr>
            <w:tcW w:w="1992" w:type="pct"/>
            <w:tcBorders>
              <w:top w:val="single" w:color="auto" w:sz="4" w:space="0"/>
              <w:left w:val="single" w:color="auto" w:sz="4" w:space="0"/>
              <w:bottom w:val="single" w:color="auto" w:sz="4" w:space="0"/>
              <w:right w:val="single" w:color="auto" w:sz="4" w:space="0"/>
            </w:tcBorders>
            <w:vAlign w:val="center"/>
          </w:tcPr>
          <w:p w14:paraId="6E9D8379">
            <w:pPr>
              <w:widowControl/>
              <w:adjustRightInd w:val="0"/>
              <w:snapToGrid w:val="0"/>
              <w:rPr>
                <w:rFonts w:ascii="Calibri" w:hAnsi="Calibri"/>
                <w:szCs w:val="24"/>
                <w:highlight w:val="none"/>
              </w:rPr>
            </w:pPr>
            <w:r>
              <w:rPr>
                <w:rFonts w:hint="eastAsia" w:ascii="Calibri" w:hAnsi="Calibri"/>
                <w:szCs w:val="24"/>
                <w:highlight w:val="none"/>
              </w:rPr>
              <w:t>投标人（联合体各方）提供的投标申请人声明符合招标公告要求。</w:t>
            </w:r>
          </w:p>
        </w:tc>
        <w:tc>
          <w:tcPr>
            <w:tcW w:w="2699" w:type="pct"/>
            <w:tcBorders>
              <w:top w:val="single" w:color="auto" w:sz="4" w:space="0"/>
              <w:left w:val="single" w:color="auto" w:sz="4" w:space="0"/>
              <w:bottom w:val="single" w:color="auto" w:sz="4" w:space="0"/>
              <w:right w:val="single" w:color="auto" w:sz="4" w:space="0"/>
            </w:tcBorders>
            <w:vAlign w:val="center"/>
          </w:tcPr>
          <w:p w14:paraId="2EF7FBDC">
            <w:pPr>
              <w:widowControl/>
              <w:adjustRightInd w:val="0"/>
              <w:snapToGrid w:val="0"/>
              <w:rPr>
                <w:rFonts w:ascii="Calibri" w:hAnsi="Calibri"/>
                <w:szCs w:val="24"/>
                <w:highlight w:val="none"/>
              </w:rPr>
            </w:pPr>
            <w:r>
              <w:rPr>
                <w:rFonts w:hint="eastAsia" w:ascii="Calibri" w:hAnsi="Calibri"/>
                <w:szCs w:val="24"/>
                <w:highlight w:val="none"/>
              </w:rPr>
              <w:t>投标人按规定的格式及内容要求签署《投标人声明》（格式见招标公告附件一）。</w:t>
            </w:r>
          </w:p>
        </w:tc>
      </w:tr>
      <w:tr w14:paraId="550D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6A36C661">
            <w:pPr>
              <w:widowControl/>
              <w:adjustRightInd w:val="0"/>
              <w:snapToGrid w:val="0"/>
              <w:jc w:val="center"/>
              <w:rPr>
                <w:rFonts w:ascii="Calibri" w:hAnsi="Calibri"/>
                <w:szCs w:val="24"/>
                <w:highlight w:val="none"/>
              </w:rPr>
            </w:pPr>
            <w:r>
              <w:rPr>
                <w:rFonts w:hint="eastAsia" w:ascii="Calibri" w:hAnsi="Calibri"/>
                <w:szCs w:val="24"/>
                <w:highlight w:val="none"/>
              </w:rPr>
              <w:t>10</w:t>
            </w:r>
          </w:p>
        </w:tc>
        <w:tc>
          <w:tcPr>
            <w:tcW w:w="1992" w:type="pct"/>
            <w:tcBorders>
              <w:top w:val="single" w:color="auto" w:sz="4" w:space="0"/>
              <w:left w:val="single" w:color="auto" w:sz="4" w:space="0"/>
              <w:bottom w:val="single" w:color="auto" w:sz="4" w:space="0"/>
              <w:right w:val="single" w:color="auto" w:sz="4" w:space="0"/>
            </w:tcBorders>
            <w:vAlign w:val="center"/>
          </w:tcPr>
          <w:p w14:paraId="35F52F8A">
            <w:pPr>
              <w:widowControl/>
              <w:adjustRightInd w:val="0"/>
              <w:snapToGrid w:val="0"/>
              <w:rPr>
                <w:rFonts w:ascii="Calibri" w:hAnsi="Calibri"/>
                <w:szCs w:val="24"/>
                <w:highlight w:val="none"/>
              </w:rPr>
            </w:pPr>
            <w:r>
              <w:rPr>
                <w:rFonts w:hint="eastAsia" w:ascii="Calibri" w:hAnsi="Calibri"/>
                <w:szCs w:val="24"/>
                <w:highlight w:val="none"/>
              </w:rPr>
              <w:t>关于联合体投标。</w:t>
            </w:r>
          </w:p>
        </w:tc>
        <w:tc>
          <w:tcPr>
            <w:tcW w:w="2699" w:type="pct"/>
            <w:tcBorders>
              <w:top w:val="single" w:color="auto" w:sz="4" w:space="0"/>
              <w:left w:val="single" w:color="auto" w:sz="4" w:space="0"/>
              <w:bottom w:val="single" w:color="auto" w:sz="4" w:space="0"/>
              <w:right w:val="single" w:color="auto" w:sz="4" w:space="0"/>
            </w:tcBorders>
            <w:vAlign w:val="center"/>
          </w:tcPr>
          <w:p w14:paraId="7640BA27">
            <w:pPr>
              <w:widowControl/>
              <w:adjustRightInd w:val="0"/>
              <w:snapToGrid w:val="0"/>
              <w:rPr>
                <w:rFonts w:ascii="Calibri" w:hAnsi="Calibri"/>
                <w:szCs w:val="24"/>
                <w:highlight w:val="none"/>
              </w:rPr>
            </w:pPr>
            <w:r>
              <w:rPr>
                <w:rFonts w:hint="eastAsia" w:ascii="Calibri" w:hAnsi="Calibri"/>
                <w:szCs w:val="24"/>
                <w:highlight w:val="none"/>
              </w:rPr>
              <w:t>提供《联合体投标协议书》。联合体投标协议书应明确约定各方拟承担的工作和责任（适用于以联合体投标的需递交，</w:t>
            </w:r>
            <w:r>
              <w:rPr>
                <w:rFonts w:hint="eastAsia" w:ascii="宋体" w:hAnsi="宋体" w:cs="宋体"/>
                <w:szCs w:val="21"/>
                <w:highlight w:val="none"/>
              </w:rPr>
              <w:t>且符合招标公告要求</w:t>
            </w:r>
            <w:r>
              <w:rPr>
                <w:rFonts w:hint="eastAsia" w:ascii="Calibri" w:hAnsi="Calibri"/>
                <w:szCs w:val="24"/>
                <w:highlight w:val="none"/>
              </w:rPr>
              <w:t>）</w:t>
            </w:r>
          </w:p>
        </w:tc>
      </w:tr>
      <w:tr w14:paraId="2940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0487CAE3">
            <w:pPr>
              <w:widowControl/>
              <w:adjustRightInd w:val="0"/>
              <w:snapToGrid w:val="0"/>
              <w:jc w:val="center"/>
              <w:rPr>
                <w:rFonts w:ascii="Calibri" w:hAnsi="Calibri"/>
                <w:szCs w:val="24"/>
                <w:highlight w:val="none"/>
              </w:rPr>
            </w:pPr>
            <w:r>
              <w:rPr>
                <w:rFonts w:hint="eastAsia" w:ascii="Calibri" w:hAnsi="Calibri"/>
                <w:szCs w:val="24"/>
                <w:highlight w:val="none"/>
              </w:rPr>
              <w:t>11</w:t>
            </w:r>
          </w:p>
        </w:tc>
        <w:tc>
          <w:tcPr>
            <w:tcW w:w="1992" w:type="pct"/>
            <w:tcBorders>
              <w:top w:val="single" w:color="auto" w:sz="4" w:space="0"/>
              <w:left w:val="single" w:color="auto" w:sz="4" w:space="0"/>
              <w:bottom w:val="single" w:color="auto" w:sz="4" w:space="0"/>
              <w:right w:val="single" w:color="auto" w:sz="4" w:space="0"/>
            </w:tcBorders>
            <w:vAlign w:val="center"/>
          </w:tcPr>
          <w:p w14:paraId="45F90401">
            <w:pPr>
              <w:widowControl/>
              <w:adjustRightInd w:val="0"/>
              <w:snapToGrid w:val="0"/>
              <w:rPr>
                <w:rFonts w:ascii="Calibri" w:hAnsi="Calibri"/>
                <w:bCs/>
                <w:kern w:val="0"/>
                <w:szCs w:val="24"/>
                <w:highlight w:val="none"/>
              </w:rPr>
            </w:pPr>
            <w:r>
              <w:rPr>
                <w:rFonts w:ascii="Calibri" w:hAnsi="Calibri"/>
                <w:bCs/>
                <w:kern w:val="0"/>
                <w:szCs w:val="24"/>
                <w:highlight w:val="none"/>
              </w:rPr>
              <w:t>资格审查前，投标人（含联合体各方）</w:t>
            </w:r>
            <w:r>
              <w:rPr>
                <w:rFonts w:hint="eastAsia" w:ascii="Calibri" w:hAnsi="Calibri"/>
                <w:bCs/>
                <w:kern w:val="0"/>
                <w:szCs w:val="24"/>
                <w:highlight w:val="none"/>
              </w:rPr>
              <w:t>须在广州市住房和城乡建设局建立企业信用档案及拟担任本工程项目负责人、专职安全员、设计负责人须是本企业信用档案中的在册人员。</w:t>
            </w:r>
          </w:p>
        </w:tc>
        <w:tc>
          <w:tcPr>
            <w:tcW w:w="2699" w:type="pct"/>
            <w:tcBorders>
              <w:top w:val="single" w:color="auto" w:sz="4" w:space="0"/>
              <w:left w:val="single" w:color="auto" w:sz="4" w:space="0"/>
              <w:bottom w:val="single" w:color="auto" w:sz="4" w:space="0"/>
              <w:right w:val="single" w:color="auto" w:sz="4" w:space="0"/>
            </w:tcBorders>
            <w:vAlign w:val="center"/>
          </w:tcPr>
          <w:p w14:paraId="6A3195E3">
            <w:pPr>
              <w:widowControl/>
              <w:adjustRightInd w:val="0"/>
              <w:snapToGrid w:val="0"/>
              <w:rPr>
                <w:rFonts w:ascii="Calibri" w:hAnsi="Calibri"/>
                <w:bCs/>
                <w:kern w:val="0"/>
                <w:szCs w:val="24"/>
                <w:highlight w:val="none"/>
              </w:rPr>
            </w:pPr>
            <w:r>
              <w:rPr>
                <w:rFonts w:hint="eastAsia" w:ascii="Calibri" w:hAnsi="Calibri"/>
                <w:bCs/>
                <w:kern w:val="0"/>
                <w:szCs w:val="24"/>
                <w:highlight w:val="none"/>
              </w:rPr>
              <w:t>投标人在投标登记时选择了登记企业、拟投入本项目的项目负责人、专职安全员、设计负责人即可，投标人无需提供证明材料。</w:t>
            </w:r>
          </w:p>
        </w:tc>
      </w:tr>
      <w:tr w14:paraId="21B9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tcBorders>
              <w:top w:val="single" w:color="auto" w:sz="4" w:space="0"/>
              <w:left w:val="single" w:color="auto" w:sz="4" w:space="0"/>
              <w:bottom w:val="single" w:color="auto" w:sz="4" w:space="0"/>
              <w:right w:val="single" w:color="auto" w:sz="4" w:space="0"/>
            </w:tcBorders>
            <w:vAlign w:val="center"/>
          </w:tcPr>
          <w:p w14:paraId="6A4C47F4">
            <w:pPr>
              <w:widowControl/>
              <w:adjustRightInd w:val="0"/>
              <w:snapToGrid w:val="0"/>
              <w:jc w:val="center"/>
              <w:rPr>
                <w:rFonts w:ascii="Calibri" w:hAnsi="Calibri"/>
                <w:szCs w:val="24"/>
                <w:highlight w:val="none"/>
              </w:rPr>
            </w:pPr>
            <w:r>
              <w:rPr>
                <w:rFonts w:hint="eastAsia" w:ascii="Calibri" w:hAnsi="Calibri"/>
                <w:szCs w:val="24"/>
                <w:highlight w:val="none"/>
              </w:rPr>
              <w:t>12</w:t>
            </w:r>
          </w:p>
        </w:tc>
        <w:tc>
          <w:tcPr>
            <w:tcW w:w="1992" w:type="pct"/>
            <w:tcBorders>
              <w:top w:val="single" w:color="auto" w:sz="4" w:space="0"/>
              <w:left w:val="single" w:color="auto" w:sz="4" w:space="0"/>
              <w:bottom w:val="single" w:color="auto" w:sz="4" w:space="0"/>
              <w:right w:val="single" w:color="auto" w:sz="4" w:space="0"/>
            </w:tcBorders>
            <w:vAlign w:val="center"/>
          </w:tcPr>
          <w:p w14:paraId="5D3A59C4">
            <w:pPr>
              <w:widowControl/>
              <w:adjustRightInd w:val="0"/>
              <w:snapToGrid w:val="0"/>
              <w:rPr>
                <w:rFonts w:ascii="Calibri" w:hAnsi="Calibri"/>
                <w:bCs/>
                <w:kern w:val="0"/>
                <w:szCs w:val="24"/>
                <w:highlight w:val="none"/>
              </w:rPr>
            </w:pPr>
            <w:r>
              <w:rPr>
                <w:rFonts w:hint="eastAsia" w:ascii="Calibri" w:hAnsi="Calibri"/>
                <w:bCs/>
                <w:kern w:val="0"/>
                <w:szCs w:val="24"/>
                <w:highlight w:val="none"/>
              </w:rPr>
              <w:t>投标人（若为联合体投标，指联合体各方）未出现以下情形：与其它投标人的单位负责人为同一人或者存在控股、管理关系的（按投标人提供的《投标人声明》相应的内容进行评审）。如不同投标申请人出现单位负责人为同一人或者存在控股、管理关系的情形，则均按不符合投标人合格条件处理</w:t>
            </w:r>
            <w:r>
              <w:rPr>
                <w:rFonts w:ascii="Calibri" w:hAnsi="Calibri"/>
                <w:bCs/>
                <w:kern w:val="0"/>
                <w:szCs w:val="24"/>
                <w:highlight w:val="none"/>
              </w:rPr>
              <w:t>。</w:t>
            </w:r>
          </w:p>
        </w:tc>
        <w:tc>
          <w:tcPr>
            <w:tcW w:w="2699" w:type="pct"/>
            <w:tcBorders>
              <w:top w:val="single" w:color="auto" w:sz="4" w:space="0"/>
              <w:left w:val="single" w:color="auto" w:sz="4" w:space="0"/>
              <w:bottom w:val="single" w:color="auto" w:sz="4" w:space="0"/>
              <w:right w:val="single" w:color="auto" w:sz="4" w:space="0"/>
            </w:tcBorders>
            <w:vAlign w:val="center"/>
          </w:tcPr>
          <w:p w14:paraId="2F469BF5">
            <w:pPr>
              <w:widowControl/>
              <w:adjustRightInd w:val="0"/>
              <w:snapToGrid w:val="0"/>
              <w:rPr>
                <w:rFonts w:ascii="Calibri" w:hAnsi="Calibri"/>
                <w:bCs/>
                <w:kern w:val="0"/>
                <w:szCs w:val="24"/>
                <w:highlight w:val="none"/>
              </w:rPr>
            </w:pPr>
            <w:r>
              <w:rPr>
                <w:rFonts w:hint="eastAsia" w:ascii="Calibri" w:hAnsi="Calibri"/>
                <w:bCs/>
                <w:kern w:val="0"/>
                <w:szCs w:val="24"/>
                <w:highlight w:val="none"/>
              </w:rPr>
              <w:t>按《投标人声明》。</w:t>
            </w:r>
          </w:p>
        </w:tc>
      </w:tr>
      <w:tr w14:paraId="38EC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10C6C0B3">
            <w:pPr>
              <w:widowControl/>
              <w:adjustRightInd w:val="0"/>
              <w:snapToGrid w:val="0"/>
              <w:jc w:val="center"/>
              <w:rPr>
                <w:rFonts w:ascii="Calibri" w:hAnsi="Calibri"/>
                <w:szCs w:val="24"/>
                <w:highlight w:val="none"/>
              </w:rPr>
            </w:pPr>
            <w:r>
              <w:rPr>
                <w:rFonts w:hint="eastAsia" w:ascii="Calibri" w:hAnsi="Calibri"/>
                <w:szCs w:val="24"/>
                <w:highlight w:val="none"/>
              </w:rPr>
              <w:t>13</w:t>
            </w:r>
          </w:p>
        </w:tc>
        <w:tc>
          <w:tcPr>
            <w:tcW w:w="1992" w:type="pct"/>
            <w:tcBorders>
              <w:top w:val="single" w:color="auto" w:sz="4" w:space="0"/>
              <w:left w:val="single" w:color="auto" w:sz="4" w:space="0"/>
              <w:bottom w:val="single" w:color="auto" w:sz="4" w:space="0"/>
              <w:right w:val="single" w:color="auto" w:sz="4" w:space="0"/>
            </w:tcBorders>
            <w:vAlign w:val="center"/>
          </w:tcPr>
          <w:p w14:paraId="35C08FA4">
            <w:pPr>
              <w:widowControl/>
              <w:adjustRightInd w:val="0"/>
              <w:snapToGrid w:val="0"/>
              <w:rPr>
                <w:rFonts w:ascii="Calibri" w:hAnsi="Calibri"/>
                <w:bCs/>
                <w:kern w:val="0"/>
                <w:szCs w:val="24"/>
                <w:highlight w:val="none"/>
              </w:rPr>
            </w:pPr>
            <w:r>
              <w:rPr>
                <w:rFonts w:hint="eastAsia" w:ascii="Calibri" w:hAnsi="Calibri"/>
                <w:bCs/>
                <w:kern w:val="0"/>
                <w:szCs w:val="24"/>
                <w:highlight w:val="none"/>
              </w:rPr>
              <w:t>投标人（含联合体成员）未被列入拖欠农民工工资失信联合惩戒对象名单</w:t>
            </w:r>
          </w:p>
        </w:tc>
        <w:tc>
          <w:tcPr>
            <w:tcW w:w="2699" w:type="pct"/>
            <w:tcBorders>
              <w:top w:val="single" w:color="auto" w:sz="4" w:space="0"/>
              <w:left w:val="single" w:color="auto" w:sz="4" w:space="0"/>
              <w:bottom w:val="single" w:color="auto" w:sz="4" w:space="0"/>
              <w:right w:val="single" w:color="auto" w:sz="4" w:space="0"/>
            </w:tcBorders>
            <w:vAlign w:val="center"/>
          </w:tcPr>
          <w:p w14:paraId="2E04C322">
            <w:pPr>
              <w:widowControl/>
              <w:adjustRightInd w:val="0"/>
              <w:snapToGrid w:val="0"/>
              <w:rPr>
                <w:rFonts w:ascii="Calibri" w:hAnsi="Calibri"/>
                <w:bCs/>
                <w:kern w:val="0"/>
                <w:szCs w:val="24"/>
                <w:highlight w:val="none"/>
              </w:rPr>
            </w:pPr>
            <w:r>
              <w:rPr>
                <w:rFonts w:hint="eastAsia" w:ascii="宋体" w:eastAsia="Times New Roman" w:cs="宋体"/>
                <w:szCs w:val="24"/>
                <w:highlight w:val="none"/>
              </w:rPr>
              <w:t>投标人无需提供资料，按投标截止时间交易系统比对的结果进行评审</w:t>
            </w:r>
            <w:r>
              <w:rPr>
                <w:rFonts w:hint="eastAsia" w:ascii="Calibri" w:hAnsi="宋体"/>
                <w:highlight w:val="none"/>
              </w:rPr>
              <w:t>。</w:t>
            </w:r>
          </w:p>
        </w:tc>
      </w:tr>
      <w:tr w14:paraId="186D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4C4EE32B">
            <w:pPr>
              <w:widowControl/>
              <w:adjustRightInd w:val="0"/>
              <w:snapToGrid w:val="0"/>
              <w:jc w:val="center"/>
              <w:rPr>
                <w:rFonts w:ascii="Calibri" w:hAnsi="Calibri"/>
                <w:szCs w:val="24"/>
                <w:highlight w:val="none"/>
              </w:rPr>
            </w:pPr>
            <w:r>
              <w:rPr>
                <w:rFonts w:hint="eastAsia" w:ascii="Calibri" w:hAnsi="Calibri"/>
                <w:b/>
                <w:bCs/>
                <w:szCs w:val="24"/>
                <w:highlight w:val="none"/>
              </w:rPr>
              <w:t>结论</w:t>
            </w:r>
          </w:p>
        </w:tc>
      </w:tr>
    </w:tbl>
    <w:p w14:paraId="106F1817">
      <w:pPr>
        <w:spacing w:line="200" w:lineRule="exact"/>
        <w:rPr>
          <w:rFonts w:hint="eastAsia" w:ascii="宋体" w:hAnsi="宋体" w:cs="宋体"/>
          <w:sz w:val="18"/>
          <w:szCs w:val="18"/>
          <w:highlight w:val="none"/>
        </w:rPr>
      </w:pPr>
    </w:p>
    <w:p w14:paraId="370BA565">
      <w:pPr>
        <w:rPr>
          <w:rFonts w:hint="eastAsia" w:ascii="宋体" w:hAnsi="宋体" w:cs="宋体"/>
          <w:szCs w:val="21"/>
          <w:highlight w:val="none"/>
        </w:rPr>
      </w:pPr>
      <w:r>
        <w:rPr>
          <w:rFonts w:hint="eastAsia" w:ascii="宋体" w:hAnsi="宋体" w:cs="宋体"/>
          <w:szCs w:val="21"/>
          <w:highlight w:val="none"/>
        </w:rPr>
        <w:t>注：</w:t>
      </w:r>
      <w:r>
        <w:rPr>
          <w:rFonts w:ascii="宋体" w:hAnsi="宋体" w:cs="宋体"/>
          <w:szCs w:val="21"/>
          <w:highlight w:val="none"/>
        </w:rPr>
        <w:t>1</w:t>
      </w:r>
      <w:r>
        <w:rPr>
          <w:rFonts w:hint="eastAsia" w:ascii="宋体" w:hAnsi="宋体" w:cs="宋体"/>
          <w:szCs w:val="21"/>
          <w:highlight w:val="none"/>
        </w:rPr>
        <w:t>.凡不满足以上任何一项情形，结论均为无效，否则视为有效。有效的记“○”无效的记“×”，全部审查项目均为有效的，结论为“通过”，否则为“不通过”。</w:t>
      </w:r>
    </w:p>
    <w:p w14:paraId="4D272F92">
      <w:pPr>
        <w:ind w:firstLine="420" w:firstLineChars="200"/>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.如对本表中某种情形的评审意见不一致时，以评审组过半数成员的意见作为评审组对该情形的认定结论。</w:t>
      </w:r>
    </w:p>
    <w:p w14:paraId="7B354B77">
      <w:pPr>
        <w:ind w:firstLine="422" w:firstLineChars="200"/>
        <w:rPr>
          <w:rFonts w:hint="eastAsia" w:ascii="宋体" w:hAnsi="宋体" w:cs="宋体"/>
          <w:szCs w:val="21"/>
          <w:highlight w:val="none"/>
        </w:rPr>
      </w:pPr>
      <w:r>
        <w:rPr>
          <w:rFonts w:ascii="宋体" w:hAnsi="宋体"/>
          <w:b/>
          <w:szCs w:val="21"/>
          <w:highlight w:val="none"/>
        </w:rPr>
        <w:t>3</w:t>
      </w:r>
      <w:r>
        <w:rPr>
          <w:rFonts w:hint="eastAsia" w:ascii="宋体" w:hAnsi="宋体"/>
          <w:b/>
          <w:szCs w:val="21"/>
          <w:highlight w:val="none"/>
        </w:rPr>
        <w:t>.</w:t>
      </w:r>
      <w:r>
        <w:rPr>
          <w:rFonts w:ascii="宋体" w:hAnsi="宋体" w:cs="宋体"/>
          <w:b/>
          <w:bCs/>
          <w:szCs w:val="21"/>
          <w:highlight w:val="none"/>
        </w:rPr>
        <w:t>不得将</w:t>
      </w:r>
      <w:r>
        <w:rPr>
          <w:rFonts w:hint="eastAsia" w:ascii="宋体" w:hAnsi="宋体" w:cs="宋体"/>
          <w:b/>
          <w:bCs/>
          <w:szCs w:val="21"/>
          <w:highlight w:val="none"/>
        </w:rPr>
        <w:t>文件顺序、</w:t>
      </w:r>
      <w:r>
        <w:rPr>
          <w:rFonts w:ascii="宋体" w:hAnsi="宋体" w:cs="宋体"/>
          <w:b/>
          <w:bCs/>
          <w:szCs w:val="21"/>
          <w:highlight w:val="none"/>
        </w:rPr>
        <w:t>明显的文字错误等列为否</w:t>
      </w:r>
      <w:r>
        <w:rPr>
          <w:rFonts w:hint="eastAsia" w:ascii="宋体" w:hAnsi="宋体" w:cs="宋体"/>
          <w:b/>
          <w:bCs/>
          <w:szCs w:val="21"/>
          <w:highlight w:val="none"/>
        </w:rPr>
        <w:t>决</w:t>
      </w:r>
      <w:r>
        <w:rPr>
          <w:rFonts w:ascii="宋体" w:hAnsi="宋体" w:cs="宋体"/>
          <w:b/>
          <w:bCs/>
          <w:szCs w:val="21"/>
          <w:highlight w:val="none"/>
        </w:rPr>
        <w:t>投标的</w:t>
      </w:r>
      <w:r>
        <w:rPr>
          <w:rFonts w:hint="eastAsia" w:ascii="宋体" w:hAnsi="宋体" w:cs="宋体"/>
          <w:b/>
          <w:bCs/>
          <w:szCs w:val="21"/>
          <w:highlight w:val="none"/>
        </w:rPr>
        <w:t>情形。评委</w:t>
      </w:r>
      <w:r>
        <w:rPr>
          <w:rFonts w:ascii="宋体" w:hAnsi="宋体" w:cs="宋体"/>
          <w:b/>
          <w:bCs/>
          <w:szCs w:val="21"/>
          <w:highlight w:val="none"/>
        </w:rPr>
        <w:t>发现投标</w:t>
      </w:r>
      <w:r>
        <w:rPr>
          <w:rFonts w:hint="eastAsia" w:ascii="宋体" w:hAnsi="宋体" w:cs="宋体"/>
          <w:b/>
          <w:bCs/>
          <w:szCs w:val="21"/>
          <w:highlight w:val="none"/>
        </w:rPr>
        <w:t>文件</w:t>
      </w:r>
      <w:r>
        <w:rPr>
          <w:rFonts w:ascii="宋体" w:hAnsi="宋体" w:cs="宋体"/>
          <w:b/>
          <w:bCs/>
          <w:szCs w:val="21"/>
          <w:highlight w:val="none"/>
        </w:rPr>
        <w:t>中</w:t>
      </w:r>
      <w:r>
        <w:rPr>
          <w:rFonts w:hint="eastAsia" w:ascii="宋体" w:hAnsi="宋体" w:cs="宋体"/>
          <w:b/>
          <w:bCs/>
          <w:szCs w:val="21"/>
          <w:highlight w:val="none"/>
        </w:rPr>
        <w:t>含义不明确</w:t>
      </w:r>
      <w:r>
        <w:rPr>
          <w:rFonts w:ascii="宋体" w:hAnsi="宋体" w:cs="宋体"/>
          <w:b/>
          <w:bCs/>
          <w:szCs w:val="21"/>
          <w:highlight w:val="none"/>
        </w:rPr>
        <w:t>、对同类问题表述不一致、有明显</w:t>
      </w:r>
      <w:r>
        <w:rPr>
          <w:rFonts w:hint="eastAsia" w:ascii="宋体" w:hAnsi="宋体" w:cs="宋体"/>
          <w:b/>
          <w:bCs/>
          <w:szCs w:val="21"/>
          <w:highlight w:val="none"/>
        </w:rPr>
        <w:t>文字</w:t>
      </w:r>
      <w:r>
        <w:rPr>
          <w:rFonts w:ascii="宋体" w:hAnsi="宋体" w:cs="宋体"/>
          <w:b/>
          <w:bCs/>
          <w:szCs w:val="21"/>
          <w:highlight w:val="none"/>
        </w:rPr>
        <w:t>和计算错误</w:t>
      </w:r>
      <w:r>
        <w:rPr>
          <w:rFonts w:hint="eastAsia" w:ascii="宋体" w:hAnsi="宋体" w:cs="宋体"/>
          <w:b/>
          <w:bCs/>
          <w:szCs w:val="21"/>
          <w:highlight w:val="none"/>
        </w:rPr>
        <w:t>、</w:t>
      </w:r>
      <w:r>
        <w:rPr>
          <w:rFonts w:ascii="宋体" w:hAnsi="宋体" w:cs="宋体"/>
          <w:b/>
          <w:bCs/>
          <w:szCs w:val="21"/>
          <w:highlight w:val="none"/>
        </w:rPr>
        <w:t>投标报价可能低于成本影响履约的，应当</w:t>
      </w:r>
      <w:r>
        <w:rPr>
          <w:rFonts w:hint="eastAsia" w:ascii="宋体" w:hAnsi="宋体" w:cs="宋体"/>
          <w:b/>
          <w:bCs/>
          <w:szCs w:val="21"/>
          <w:highlight w:val="none"/>
        </w:rPr>
        <w:t>要求</w:t>
      </w:r>
      <w:r>
        <w:rPr>
          <w:rFonts w:ascii="宋体" w:hAnsi="宋体" w:cs="宋体"/>
          <w:b/>
          <w:bCs/>
          <w:szCs w:val="21"/>
          <w:highlight w:val="none"/>
        </w:rPr>
        <w:t>投标人作必要的澄清、</w:t>
      </w:r>
      <w:r>
        <w:rPr>
          <w:rFonts w:ascii="宋体" w:hAnsi="宋体" w:cs="宋体"/>
          <w:b/>
          <w:bCs/>
          <w:kern w:val="0"/>
          <w:szCs w:val="21"/>
          <w:highlight w:val="none"/>
        </w:rPr>
        <w:t>说明</w:t>
      </w:r>
      <w:r>
        <w:rPr>
          <w:rFonts w:hint="eastAsia" w:ascii="宋体" w:hAnsi="宋体" w:cs="宋体"/>
          <w:b/>
          <w:bCs/>
          <w:kern w:val="0"/>
          <w:szCs w:val="21"/>
          <w:highlight w:val="none"/>
        </w:rPr>
        <w:t>后再判定投标人是否通过资格审查</w:t>
      </w:r>
      <w:r>
        <w:rPr>
          <w:rFonts w:ascii="宋体" w:hAnsi="宋体" w:cs="宋体"/>
          <w:b/>
          <w:bCs/>
          <w:kern w:val="0"/>
          <w:szCs w:val="21"/>
          <w:highlight w:val="none"/>
        </w:rPr>
        <w:t>，不得直接</w:t>
      </w:r>
      <w:r>
        <w:rPr>
          <w:rFonts w:hint="eastAsia" w:ascii="宋体" w:hAnsi="宋体" w:cs="宋体"/>
          <w:b/>
          <w:bCs/>
          <w:kern w:val="0"/>
          <w:szCs w:val="21"/>
          <w:highlight w:val="none"/>
        </w:rPr>
        <w:t>认定其不通过资格审查</w:t>
      </w:r>
      <w:r>
        <w:rPr>
          <w:rFonts w:hint="eastAsia" w:ascii="宋体" w:hAnsi="宋体" w:cs="宋体"/>
          <w:b/>
          <w:bCs/>
          <w:szCs w:val="21"/>
          <w:highlight w:val="none"/>
        </w:rPr>
        <w:t>。</w:t>
      </w:r>
    </w:p>
    <w:p w14:paraId="430A4045">
      <w:pPr>
        <w:pStyle w:val="161"/>
        <w:rPr>
          <w:rFonts w:hint="eastAsia" w:cs="宋体"/>
          <w:highlight w:val="none"/>
        </w:rPr>
      </w:pPr>
    </w:p>
    <w:p w14:paraId="6E933FA2">
      <w:pPr>
        <w:jc w:val="left"/>
        <w:rPr>
          <w:rFonts w:hint="eastAsia" w:ascii="宋体" w:hAnsi="宋体" w:cs="宋体"/>
          <w:b/>
          <w:sz w:val="28"/>
          <w:szCs w:val="28"/>
          <w:highlight w:val="none"/>
        </w:rPr>
      </w:pPr>
      <w:r>
        <w:rPr>
          <w:rFonts w:hint="eastAsia" w:cs="宋体"/>
          <w:highlight w:val="none"/>
        </w:rPr>
        <w:t>评委签名：                                                                                                     日期：</w:t>
      </w:r>
      <w:r>
        <w:rPr>
          <w:rFonts w:hint="eastAsia" w:ascii="宋体" w:hAnsi="宋体" w:cs="宋体"/>
          <w:b/>
          <w:szCs w:val="21"/>
          <w:highlight w:val="none"/>
        </w:rPr>
        <w:br w:type="page"/>
      </w:r>
      <w:bookmarkEnd w:id="1026"/>
      <w:bookmarkStart w:id="1027" w:name="OLE_LINK1"/>
      <w:bookmarkEnd w:id="1027"/>
      <w:r>
        <w:rPr>
          <w:rFonts w:hint="eastAsia" w:ascii="宋体" w:hAnsi="宋体" w:cs="宋体"/>
          <w:b/>
          <w:sz w:val="28"/>
          <w:szCs w:val="28"/>
          <w:highlight w:val="none"/>
        </w:rPr>
        <w:t>附表2：</w:t>
      </w:r>
    </w:p>
    <w:p w14:paraId="16CF3B3E">
      <w:pPr>
        <w:jc w:val="center"/>
        <w:rPr>
          <w:b/>
          <w:sz w:val="32"/>
          <w:szCs w:val="32"/>
          <w:highlight w:val="none"/>
        </w:rPr>
      </w:pPr>
      <w:r>
        <w:rPr>
          <w:rFonts w:hint="eastAsia"/>
          <w:b/>
          <w:sz w:val="32"/>
          <w:szCs w:val="32"/>
          <w:highlight w:val="none"/>
        </w:rPr>
        <w:t>设计方案投标文件有效性审查表</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6201"/>
        <w:gridCol w:w="1421"/>
        <w:gridCol w:w="1583"/>
        <w:gridCol w:w="1421"/>
        <w:gridCol w:w="1424"/>
        <w:gridCol w:w="1393"/>
      </w:tblGrid>
      <w:tr w14:paraId="4824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58" w:type="pct"/>
            <w:vAlign w:val="center"/>
          </w:tcPr>
          <w:p w14:paraId="443CBAD0">
            <w:pPr>
              <w:jc w:val="center"/>
              <w:rPr>
                <w:rFonts w:hint="eastAsia" w:ascii="宋体" w:hAnsi="宋体" w:cs="宋体"/>
                <w:b/>
                <w:szCs w:val="21"/>
                <w:highlight w:val="none"/>
              </w:rPr>
            </w:pPr>
            <w:r>
              <w:rPr>
                <w:rFonts w:hint="eastAsia" w:ascii="宋体" w:hAnsi="宋体" w:cs="宋体"/>
                <w:b/>
                <w:szCs w:val="21"/>
                <w:highlight w:val="none"/>
              </w:rPr>
              <mc:AlternateContent>
                <mc:Choice Requires="wps">
                  <w:drawing>
                    <wp:anchor distT="0" distB="0" distL="114300" distR="114300" simplePos="0" relativeHeight="251659264" behindDoc="0" locked="0" layoutInCell="1" allowOverlap="1">
                      <wp:simplePos x="0" y="0"/>
                      <wp:positionH relativeFrom="column">
                        <wp:posOffset>396875</wp:posOffset>
                      </wp:positionH>
                      <wp:positionV relativeFrom="paragraph">
                        <wp:posOffset>-5080</wp:posOffset>
                      </wp:positionV>
                      <wp:extent cx="3962400" cy="474980"/>
                      <wp:effectExtent l="635" t="4445" r="18415" b="15875"/>
                      <wp:wrapNone/>
                      <wp:docPr id="1" name="AutoShape 3"/>
                      <wp:cNvGraphicFramePr/>
                      <a:graphic xmlns:a="http://schemas.openxmlformats.org/drawingml/2006/main">
                        <a:graphicData uri="http://schemas.microsoft.com/office/word/2010/wordprocessingShape">
                          <wps:wsp>
                            <wps:cNvCnPr/>
                            <wps:spPr>
                              <a:xfrm>
                                <a:off x="0" y="0"/>
                                <a:ext cx="3962400" cy="4749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3" o:spid="_x0000_s1026" o:spt="32" type="#_x0000_t32" style="position:absolute;left:0pt;margin-left:31.25pt;margin-top:-0.4pt;height:37.4pt;width:312pt;z-index:251659264;mso-width-relative:page;mso-height-relative:page;" filled="f" stroked="t" coordsize="21600,21600" o:gfxdata="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lLHn51QAAAAcB&#10;AAAPAAAAAAAAAAEAIAAAACIAAABkcnMvZG93bnJldi54bWxQSwECFAAUAAAACACHTuJA2Acz6uUB&#10;AADlAwAADgAAAAAAAAABACAAAAAkAQAAZHJzL2Uyb0RvYy54bWxQSwUGAAAAAAYABgBZAQAAewUA&#10;AAAA&#10;">
                      <v:fill on="f" focussize="0,0"/>
                      <v:stroke color="#000000" joinstyle="round"/>
                      <v:imagedata o:title=""/>
                      <o:lock v:ext="edit" aspectratio="f"/>
                    </v:shape>
                  </w:pict>
                </mc:Fallback>
              </mc:AlternateContent>
            </w:r>
            <w:r>
              <w:rPr>
                <w:rFonts w:hint="eastAsia" w:ascii="宋体" w:hAnsi="宋体" w:cs="宋体"/>
                <w:b/>
                <w:szCs w:val="21"/>
                <w:highlight w:val="none"/>
              </w:rPr>
              <w:t>序号</w:t>
            </w:r>
          </w:p>
        </w:tc>
        <w:tc>
          <w:tcPr>
            <w:tcW w:w="2185" w:type="pct"/>
            <w:vAlign w:val="center"/>
          </w:tcPr>
          <w:p w14:paraId="77A4CF53">
            <w:pPr>
              <w:jc w:val="center"/>
              <w:rPr>
                <w:rFonts w:hint="eastAsia" w:ascii="宋体" w:hAnsi="宋体" w:cs="宋体"/>
                <w:b/>
                <w:szCs w:val="21"/>
                <w:highlight w:val="none"/>
              </w:rPr>
            </w:pPr>
            <w:r>
              <w:rPr>
                <w:rFonts w:hint="eastAsia" w:ascii="宋体" w:hAnsi="宋体" w:cs="宋体"/>
                <w:b/>
                <w:szCs w:val="21"/>
                <w:highlight w:val="none"/>
              </w:rPr>
              <w:t xml:space="preserve"> </w:t>
            </w:r>
            <w:r>
              <w:rPr>
                <w:rFonts w:ascii="宋体" w:hAnsi="宋体" w:cs="宋体"/>
                <w:b/>
                <w:szCs w:val="21"/>
                <w:highlight w:val="none"/>
              </w:rPr>
              <w:t xml:space="preserve">                                       </w:t>
            </w:r>
            <w:r>
              <w:rPr>
                <w:rFonts w:hint="eastAsia"/>
                <w:highlight w:val="none"/>
              </w:rPr>
              <w:t>设计方案编号</w:t>
            </w:r>
          </w:p>
          <w:p w14:paraId="61008148">
            <w:pPr>
              <w:pStyle w:val="17"/>
              <w:rPr>
                <w:b/>
                <w:bCs/>
                <w:highlight w:val="none"/>
                <w:lang w:val="en-US"/>
              </w:rPr>
            </w:pPr>
            <w:r>
              <w:rPr>
                <w:rFonts w:hint="eastAsia"/>
                <w:highlight w:val="none"/>
                <w:lang w:val="en-US"/>
              </w:rPr>
              <w:t>评审因素</w:t>
            </w:r>
          </w:p>
        </w:tc>
        <w:tc>
          <w:tcPr>
            <w:tcW w:w="501" w:type="pct"/>
            <w:vAlign w:val="center"/>
          </w:tcPr>
          <w:p w14:paraId="1C69844D">
            <w:pPr>
              <w:jc w:val="center"/>
              <w:rPr>
                <w:rFonts w:hint="eastAsia" w:ascii="宋体" w:hAnsi="宋体" w:cs="宋体"/>
                <w:b/>
                <w:szCs w:val="21"/>
                <w:highlight w:val="none"/>
              </w:rPr>
            </w:pPr>
          </w:p>
        </w:tc>
        <w:tc>
          <w:tcPr>
            <w:tcW w:w="558" w:type="pct"/>
            <w:vAlign w:val="center"/>
          </w:tcPr>
          <w:p w14:paraId="44F43A46">
            <w:pPr>
              <w:jc w:val="center"/>
              <w:rPr>
                <w:rFonts w:hint="eastAsia" w:ascii="宋体" w:hAnsi="宋体" w:cs="宋体"/>
                <w:b/>
                <w:szCs w:val="21"/>
                <w:highlight w:val="none"/>
              </w:rPr>
            </w:pPr>
          </w:p>
        </w:tc>
        <w:tc>
          <w:tcPr>
            <w:tcW w:w="501" w:type="pct"/>
            <w:vAlign w:val="center"/>
          </w:tcPr>
          <w:p w14:paraId="49C84278">
            <w:pPr>
              <w:jc w:val="center"/>
              <w:rPr>
                <w:rFonts w:hint="eastAsia" w:ascii="宋体" w:hAnsi="宋体" w:cs="宋体"/>
                <w:b/>
                <w:szCs w:val="21"/>
                <w:highlight w:val="none"/>
              </w:rPr>
            </w:pPr>
          </w:p>
        </w:tc>
        <w:tc>
          <w:tcPr>
            <w:tcW w:w="502" w:type="pct"/>
          </w:tcPr>
          <w:p w14:paraId="41A096B7">
            <w:pPr>
              <w:jc w:val="center"/>
              <w:rPr>
                <w:rFonts w:hint="eastAsia" w:ascii="宋体" w:hAnsi="宋体" w:cs="宋体"/>
                <w:b/>
                <w:szCs w:val="21"/>
                <w:highlight w:val="none"/>
              </w:rPr>
            </w:pPr>
          </w:p>
        </w:tc>
        <w:tc>
          <w:tcPr>
            <w:tcW w:w="491" w:type="pct"/>
          </w:tcPr>
          <w:p w14:paraId="6A827411">
            <w:pPr>
              <w:jc w:val="center"/>
              <w:rPr>
                <w:rFonts w:hint="eastAsia" w:ascii="宋体" w:hAnsi="宋体" w:cs="宋体"/>
                <w:b/>
                <w:szCs w:val="21"/>
                <w:highlight w:val="none"/>
              </w:rPr>
            </w:pPr>
          </w:p>
        </w:tc>
      </w:tr>
      <w:tr w14:paraId="6C99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8" w:type="pct"/>
            <w:vAlign w:val="center"/>
          </w:tcPr>
          <w:p w14:paraId="59990B14">
            <w:pPr>
              <w:jc w:val="center"/>
              <w:rPr>
                <w:rFonts w:hint="eastAsia" w:ascii="宋体" w:hAnsi="宋体" w:cs="宋体"/>
                <w:szCs w:val="21"/>
                <w:highlight w:val="none"/>
              </w:rPr>
            </w:pPr>
            <w:r>
              <w:rPr>
                <w:rFonts w:hint="eastAsia" w:ascii="宋体" w:hAnsi="宋体" w:cs="宋体"/>
                <w:szCs w:val="21"/>
                <w:highlight w:val="none"/>
              </w:rPr>
              <w:t>1</w:t>
            </w:r>
          </w:p>
        </w:tc>
        <w:tc>
          <w:tcPr>
            <w:tcW w:w="2185" w:type="pct"/>
            <w:vAlign w:val="center"/>
          </w:tcPr>
          <w:p w14:paraId="01C45734">
            <w:pPr>
              <w:jc w:val="left"/>
              <w:rPr>
                <w:rFonts w:hint="eastAsia" w:ascii="宋体" w:hAnsi="宋体" w:cs="宋体"/>
                <w:szCs w:val="21"/>
                <w:highlight w:val="none"/>
              </w:rPr>
            </w:pPr>
            <w:r>
              <w:rPr>
                <w:rFonts w:hint="eastAsia" w:ascii="宋体" w:hAnsi="宋体" w:cs="宋体"/>
                <w:szCs w:val="21"/>
                <w:highlight w:val="none"/>
              </w:rPr>
              <w:t>发现投标人在投标文件（暗标部分）内出现可以辨认投标人及专业技术人员身份的名称、印章、商标、图形等记认符号；</w:t>
            </w:r>
          </w:p>
        </w:tc>
        <w:tc>
          <w:tcPr>
            <w:tcW w:w="501" w:type="pct"/>
            <w:vAlign w:val="center"/>
          </w:tcPr>
          <w:p w14:paraId="7B102CE5">
            <w:pPr>
              <w:jc w:val="center"/>
              <w:rPr>
                <w:rFonts w:hint="eastAsia" w:ascii="宋体" w:hAnsi="宋体" w:cs="宋体"/>
                <w:szCs w:val="21"/>
                <w:highlight w:val="none"/>
              </w:rPr>
            </w:pPr>
          </w:p>
        </w:tc>
        <w:tc>
          <w:tcPr>
            <w:tcW w:w="558" w:type="pct"/>
            <w:vAlign w:val="center"/>
          </w:tcPr>
          <w:p w14:paraId="3D791CCC">
            <w:pPr>
              <w:jc w:val="center"/>
              <w:rPr>
                <w:rFonts w:hint="eastAsia" w:ascii="宋体" w:hAnsi="宋体" w:cs="宋体"/>
                <w:szCs w:val="21"/>
                <w:highlight w:val="none"/>
              </w:rPr>
            </w:pPr>
          </w:p>
        </w:tc>
        <w:tc>
          <w:tcPr>
            <w:tcW w:w="501" w:type="pct"/>
            <w:vAlign w:val="center"/>
          </w:tcPr>
          <w:p w14:paraId="1DCB31AC">
            <w:pPr>
              <w:jc w:val="center"/>
              <w:rPr>
                <w:rFonts w:hint="eastAsia" w:ascii="宋体" w:hAnsi="宋体" w:cs="宋体"/>
                <w:szCs w:val="21"/>
                <w:highlight w:val="none"/>
              </w:rPr>
            </w:pPr>
          </w:p>
        </w:tc>
        <w:tc>
          <w:tcPr>
            <w:tcW w:w="502" w:type="pct"/>
          </w:tcPr>
          <w:p w14:paraId="1E8109C2">
            <w:pPr>
              <w:jc w:val="center"/>
              <w:rPr>
                <w:rFonts w:hint="eastAsia" w:ascii="宋体" w:hAnsi="宋体" w:cs="宋体"/>
                <w:szCs w:val="21"/>
                <w:highlight w:val="none"/>
              </w:rPr>
            </w:pPr>
          </w:p>
        </w:tc>
        <w:tc>
          <w:tcPr>
            <w:tcW w:w="491" w:type="pct"/>
          </w:tcPr>
          <w:p w14:paraId="019F44CD">
            <w:pPr>
              <w:jc w:val="center"/>
              <w:rPr>
                <w:rFonts w:hint="eastAsia" w:ascii="宋体" w:hAnsi="宋体" w:cs="宋体"/>
                <w:szCs w:val="21"/>
                <w:highlight w:val="none"/>
              </w:rPr>
            </w:pPr>
          </w:p>
        </w:tc>
      </w:tr>
      <w:tr w14:paraId="2DF0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8" w:type="pct"/>
            <w:vAlign w:val="center"/>
          </w:tcPr>
          <w:p w14:paraId="70030EB8">
            <w:pPr>
              <w:jc w:val="center"/>
              <w:rPr>
                <w:rFonts w:hint="eastAsia" w:ascii="宋体" w:hAnsi="宋体" w:cs="宋体"/>
                <w:szCs w:val="21"/>
                <w:highlight w:val="none"/>
              </w:rPr>
            </w:pPr>
            <w:r>
              <w:rPr>
                <w:rFonts w:hint="eastAsia" w:ascii="宋体" w:hAnsi="宋体" w:cs="宋体"/>
                <w:szCs w:val="21"/>
                <w:highlight w:val="none"/>
              </w:rPr>
              <w:t>2</w:t>
            </w:r>
          </w:p>
        </w:tc>
        <w:tc>
          <w:tcPr>
            <w:tcW w:w="2185" w:type="pct"/>
            <w:vAlign w:val="center"/>
          </w:tcPr>
          <w:p w14:paraId="3CA7380F">
            <w:pPr>
              <w:jc w:val="left"/>
              <w:rPr>
                <w:rFonts w:hint="eastAsia" w:ascii="宋体" w:hAnsi="宋体" w:cs="宋体"/>
                <w:szCs w:val="21"/>
                <w:highlight w:val="none"/>
              </w:rPr>
            </w:pPr>
            <w:r>
              <w:rPr>
                <w:rFonts w:hint="eastAsia" w:ascii="宋体" w:hAnsi="宋体" w:cs="宋体"/>
                <w:szCs w:val="21"/>
                <w:highlight w:val="none"/>
              </w:rPr>
              <w:t>发现明显抄袭行为；</w:t>
            </w:r>
          </w:p>
        </w:tc>
        <w:tc>
          <w:tcPr>
            <w:tcW w:w="501" w:type="pct"/>
            <w:vAlign w:val="center"/>
          </w:tcPr>
          <w:p w14:paraId="59AB0CE2">
            <w:pPr>
              <w:jc w:val="center"/>
              <w:rPr>
                <w:rFonts w:hint="eastAsia" w:ascii="宋体" w:hAnsi="宋体" w:cs="宋体"/>
                <w:szCs w:val="21"/>
                <w:highlight w:val="none"/>
              </w:rPr>
            </w:pPr>
          </w:p>
        </w:tc>
        <w:tc>
          <w:tcPr>
            <w:tcW w:w="558" w:type="pct"/>
            <w:vAlign w:val="center"/>
          </w:tcPr>
          <w:p w14:paraId="665DD9C9">
            <w:pPr>
              <w:jc w:val="center"/>
              <w:rPr>
                <w:rFonts w:hint="eastAsia" w:ascii="宋体" w:hAnsi="宋体" w:cs="宋体"/>
                <w:szCs w:val="21"/>
                <w:highlight w:val="none"/>
              </w:rPr>
            </w:pPr>
          </w:p>
        </w:tc>
        <w:tc>
          <w:tcPr>
            <w:tcW w:w="501" w:type="pct"/>
            <w:vAlign w:val="center"/>
          </w:tcPr>
          <w:p w14:paraId="6D05EFCD">
            <w:pPr>
              <w:jc w:val="center"/>
              <w:rPr>
                <w:rFonts w:hint="eastAsia" w:ascii="宋体" w:hAnsi="宋体" w:cs="宋体"/>
                <w:szCs w:val="21"/>
                <w:highlight w:val="none"/>
              </w:rPr>
            </w:pPr>
          </w:p>
        </w:tc>
        <w:tc>
          <w:tcPr>
            <w:tcW w:w="502" w:type="pct"/>
          </w:tcPr>
          <w:p w14:paraId="249BAE8C">
            <w:pPr>
              <w:jc w:val="center"/>
              <w:rPr>
                <w:rFonts w:hint="eastAsia" w:ascii="宋体" w:hAnsi="宋体" w:cs="宋体"/>
                <w:szCs w:val="21"/>
                <w:highlight w:val="none"/>
              </w:rPr>
            </w:pPr>
          </w:p>
        </w:tc>
        <w:tc>
          <w:tcPr>
            <w:tcW w:w="491" w:type="pct"/>
          </w:tcPr>
          <w:p w14:paraId="71D38C64">
            <w:pPr>
              <w:jc w:val="center"/>
              <w:rPr>
                <w:rFonts w:hint="eastAsia" w:ascii="宋体" w:hAnsi="宋体" w:cs="宋体"/>
                <w:szCs w:val="21"/>
                <w:highlight w:val="none"/>
              </w:rPr>
            </w:pPr>
          </w:p>
        </w:tc>
      </w:tr>
      <w:tr w14:paraId="716B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8" w:type="pct"/>
            <w:vAlign w:val="center"/>
          </w:tcPr>
          <w:p w14:paraId="03A92A91">
            <w:pPr>
              <w:jc w:val="center"/>
              <w:rPr>
                <w:rFonts w:hint="eastAsia" w:ascii="宋体" w:hAnsi="宋体" w:cs="宋体"/>
                <w:szCs w:val="21"/>
                <w:highlight w:val="none"/>
              </w:rPr>
            </w:pPr>
            <w:r>
              <w:rPr>
                <w:rFonts w:hint="eastAsia" w:ascii="宋体" w:hAnsi="宋体" w:cs="宋体"/>
                <w:szCs w:val="21"/>
                <w:highlight w:val="none"/>
              </w:rPr>
              <w:t>3</w:t>
            </w:r>
          </w:p>
        </w:tc>
        <w:tc>
          <w:tcPr>
            <w:tcW w:w="2185" w:type="pct"/>
            <w:vAlign w:val="center"/>
          </w:tcPr>
          <w:p w14:paraId="10BBCC13">
            <w:pPr>
              <w:jc w:val="left"/>
              <w:rPr>
                <w:rFonts w:hint="eastAsia" w:ascii="宋体" w:hAnsi="宋体" w:cs="宋体"/>
                <w:szCs w:val="21"/>
                <w:highlight w:val="none"/>
              </w:rPr>
            </w:pPr>
            <w:r>
              <w:rPr>
                <w:rFonts w:hint="eastAsia" w:ascii="宋体" w:hAnsi="宋体" w:cs="宋体"/>
                <w:szCs w:val="21"/>
                <w:highlight w:val="none"/>
              </w:rPr>
              <w:t>发现侵犯他人著作权和特许权；</w:t>
            </w:r>
          </w:p>
        </w:tc>
        <w:tc>
          <w:tcPr>
            <w:tcW w:w="501" w:type="pct"/>
            <w:vAlign w:val="center"/>
          </w:tcPr>
          <w:p w14:paraId="4835CEFC">
            <w:pPr>
              <w:jc w:val="center"/>
              <w:rPr>
                <w:rFonts w:hint="eastAsia" w:ascii="宋体" w:hAnsi="宋体" w:cs="宋体"/>
                <w:szCs w:val="21"/>
                <w:highlight w:val="none"/>
              </w:rPr>
            </w:pPr>
          </w:p>
        </w:tc>
        <w:tc>
          <w:tcPr>
            <w:tcW w:w="558" w:type="pct"/>
            <w:vAlign w:val="center"/>
          </w:tcPr>
          <w:p w14:paraId="35757A94">
            <w:pPr>
              <w:jc w:val="center"/>
              <w:rPr>
                <w:rFonts w:hint="eastAsia" w:ascii="宋体" w:hAnsi="宋体" w:cs="宋体"/>
                <w:szCs w:val="21"/>
                <w:highlight w:val="none"/>
              </w:rPr>
            </w:pPr>
          </w:p>
        </w:tc>
        <w:tc>
          <w:tcPr>
            <w:tcW w:w="501" w:type="pct"/>
            <w:vAlign w:val="center"/>
          </w:tcPr>
          <w:p w14:paraId="704FCED8">
            <w:pPr>
              <w:jc w:val="center"/>
              <w:rPr>
                <w:rFonts w:hint="eastAsia" w:ascii="宋体" w:hAnsi="宋体" w:cs="宋体"/>
                <w:szCs w:val="21"/>
                <w:highlight w:val="none"/>
              </w:rPr>
            </w:pPr>
          </w:p>
        </w:tc>
        <w:tc>
          <w:tcPr>
            <w:tcW w:w="502" w:type="pct"/>
          </w:tcPr>
          <w:p w14:paraId="45EFC74A">
            <w:pPr>
              <w:jc w:val="center"/>
              <w:rPr>
                <w:rFonts w:hint="eastAsia" w:ascii="宋体" w:hAnsi="宋体" w:cs="宋体"/>
                <w:szCs w:val="21"/>
                <w:highlight w:val="none"/>
              </w:rPr>
            </w:pPr>
          </w:p>
        </w:tc>
        <w:tc>
          <w:tcPr>
            <w:tcW w:w="491" w:type="pct"/>
          </w:tcPr>
          <w:p w14:paraId="3CD567C0">
            <w:pPr>
              <w:jc w:val="center"/>
              <w:rPr>
                <w:rFonts w:hint="eastAsia" w:ascii="宋体" w:hAnsi="宋体" w:cs="宋体"/>
                <w:szCs w:val="21"/>
                <w:highlight w:val="none"/>
              </w:rPr>
            </w:pPr>
          </w:p>
        </w:tc>
      </w:tr>
      <w:tr w14:paraId="49FA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8" w:type="pct"/>
            <w:vAlign w:val="center"/>
          </w:tcPr>
          <w:p w14:paraId="07F9C065">
            <w:pPr>
              <w:jc w:val="center"/>
              <w:rPr>
                <w:rFonts w:hint="eastAsia" w:ascii="宋体" w:hAnsi="宋体" w:cs="宋体"/>
                <w:szCs w:val="21"/>
                <w:highlight w:val="none"/>
              </w:rPr>
            </w:pPr>
            <w:r>
              <w:rPr>
                <w:rFonts w:hint="eastAsia" w:ascii="宋体" w:hAnsi="宋体" w:cs="宋体"/>
                <w:szCs w:val="21"/>
                <w:highlight w:val="none"/>
              </w:rPr>
              <w:t>4</w:t>
            </w:r>
          </w:p>
        </w:tc>
        <w:tc>
          <w:tcPr>
            <w:tcW w:w="2185" w:type="pct"/>
            <w:vAlign w:val="center"/>
          </w:tcPr>
          <w:p w14:paraId="36B7BF74">
            <w:pPr>
              <w:jc w:val="left"/>
              <w:rPr>
                <w:rFonts w:hint="eastAsia" w:ascii="宋体" w:hAnsi="宋体" w:cs="宋体"/>
                <w:szCs w:val="21"/>
                <w:highlight w:val="none"/>
              </w:rPr>
            </w:pPr>
            <w:r>
              <w:rPr>
                <w:rFonts w:hint="eastAsia" w:ascii="宋体" w:hAnsi="宋体" w:cs="宋体"/>
                <w:szCs w:val="21"/>
                <w:highlight w:val="none"/>
              </w:rPr>
              <w:t>存在串通投标情形（串通投标情形以《中华人民共和国招标投标法实施条例》的规定为准）。</w:t>
            </w:r>
          </w:p>
        </w:tc>
        <w:tc>
          <w:tcPr>
            <w:tcW w:w="501" w:type="pct"/>
            <w:vAlign w:val="center"/>
          </w:tcPr>
          <w:p w14:paraId="3C488464">
            <w:pPr>
              <w:jc w:val="center"/>
              <w:rPr>
                <w:rFonts w:hint="eastAsia" w:ascii="宋体" w:hAnsi="宋体" w:cs="宋体"/>
                <w:szCs w:val="21"/>
                <w:highlight w:val="none"/>
              </w:rPr>
            </w:pPr>
          </w:p>
        </w:tc>
        <w:tc>
          <w:tcPr>
            <w:tcW w:w="558" w:type="pct"/>
            <w:vAlign w:val="center"/>
          </w:tcPr>
          <w:p w14:paraId="386D8765">
            <w:pPr>
              <w:jc w:val="center"/>
              <w:rPr>
                <w:rFonts w:hint="eastAsia" w:ascii="宋体" w:hAnsi="宋体" w:cs="宋体"/>
                <w:szCs w:val="21"/>
                <w:highlight w:val="none"/>
              </w:rPr>
            </w:pPr>
          </w:p>
        </w:tc>
        <w:tc>
          <w:tcPr>
            <w:tcW w:w="501" w:type="pct"/>
            <w:vAlign w:val="center"/>
          </w:tcPr>
          <w:p w14:paraId="138D332F">
            <w:pPr>
              <w:jc w:val="center"/>
              <w:rPr>
                <w:rFonts w:hint="eastAsia" w:ascii="宋体" w:hAnsi="宋体" w:cs="宋体"/>
                <w:szCs w:val="21"/>
                <w:highlight w:val="none"/>
              </w:rPr>
            </w:pPr>
          </w:p>
        </w:tc>
        <w:tc>
          <w:tcPr>
            <w:tcW w:w="502" w:type="pct"/>
          </w:tcPr>
          <w:p w14:paraId="66948E20">
            <w:pPr>
              <w:jc w:val="center"/>
              <w:rPr>
                <w:rFonts w:hint="eastAsia" w:ascii="宋体" w:hAnsi="宋体" w:cs="宋体"/>
                <w:szCs w:val="21"/>
                <w:highlight w:val="none"/>
              </w:rPr>
            </w:pPr>
          </w:p>
        </w:tc>
        <w:tc>
          <w:tcPr>
            <w:tcW w:w="491" w:type="pct"/>
          </w:tcPr>
          <w:p w14:paraId="08DDB8B8">
            <w:pPr>
              <w:jc w:val="center"/>
              <w:rPr>
                <w:rFonts w:hint="eastAsia" w:ascii="宋体" w:hAnsi="宋体" w:cs="宋体"/>
                <w:szCs w:val="21"/>
                <w:highlight w:val="none"/>
              </w:rPr>
            </w:pPr>
          </w:p>
        </w:tc>
      </w:tr>
      <w:tr w14:paraId="0339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4" w:type="pct"/>
            <w:gridSpan w:val="2"/>
            <w:tcBorders>
              <w:top w:val="single" w:color="auto" w:sz="4" w:space="0"/>
              <w:left w:val="single" w:color="auto" w:sz="4" w:space="0"/>
              <w:bottom w:val="single" w:color="auto" w:sz="4" w:space="0"/>
              <w:right w:val="single" w:color="auto" w:sz="4" w:space="0"/>
            </w:tcBorders>
            <w:vAlign w:val="center"/>
          </w:tcPr>
          <w:p w14:paraId="016BB48A">
            <w:pPr>
              <w:jc w:val="center"/>
              <w:rPr>
                <w:rFonts w:hint="eastAsia" w:ascii="宋体" w:hAnsi="宋体" w:cs="宋体"/>
                <w:szCs w:val="21"/>
                <w:highlight w:val="none"/>
              </w:rPr>
            </w:pPr>
            <w:r>
              <w:rPr>
                <w:rFonts w:hint="eastAsia" w:ascii="宋体" w:hAnsi="宋体" w:cs="宋体"/>
                <w:szCs w:val="21"/>
                <w:highlight w:val="none"/>
              </w:rPr>
              <w:t>结论（通过/不通过）</w:t>
            </w:r>
          </w:p>
        </w:tc>
        <w:tc>
          <w:tcPr>
            <w:tcW w:w="501" w:type="pct"/>
            <w:tcBorders>
              <w:top w:val="single" w:color="auto" w:sz="4" w:space="0"/>
              <w:left w:val="single" w:color="auto" w:sz="4" w:space="0"/>
              <w:bottom w:val="single" w:color="auto" w:sz="4" w:space="0"/>
              <w:right w:val="single" w:color="auto" w:sz="4" w:space="0"/>
            </w:tcBorders>
            <w:vAlign w:val="center"/>
          </w:tcPr>
          <w:p w14:paraId="3CC3C287">
            <w:pPr>
              <w:jc w:val="center"/>
              <w:rPr>
                <w:rFonts w:hint="eastAsia" w:ascii="宋体" w:hAnsi="宋体" w:cs="宋体"/>
                <w:szCs w:val="21"/>
                <w:highlight w:val="none"/>
              </w:rPr>
            </w:pPr>
          </w:p>
        </w:tc>
        <w:tc>
          <w:tcPr>
            <w:tcW w:w="558" w:type="pct"/>
            <w:tcBorders>
              <w:top w:val="single" w:color="auto" w:sz="4" w:space="0"/>
              <w:left w:val="single" w:color="auto" w:sz="4" w:space="0"/>
              <w:bottom w:val="single" w:color="auto" w:sz="4" w:space="0"/>
              <w:right w:val="single" w:color="auto" w:sz="4" w:space="0"/>
            </w:tcBorders>
            <w:vAlign w:val="center"/>
          </w:tcPr>
          <w:p w14:paraId="0B632435">
            <w:pPr>
              <w:jc w:val="center"/>
              <w:rPr>
                <w:rFonts w:hint="eastAsia" w:ascii="宋体" w:hAnsi="宋体" w:cs="宋体"/>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2CF12F43">
            <w:pPr>
              <w:jc w:val="center"/>
              <w:rPr>
                <w:rFonts w:hint="eastAsia" w:ascii="宋体" w:hAnsi="宋体" w:cs="宋体"/>
                <w:szCs w:val="21"/>
                <w:highlight w:val="none"/>
              </w:rPr>
            </w:pPr>
          </w:p>
        </w:tc>
        <w:tc>
          <w:tcPr>
            <w:tcW w:w="502" w:type="pct"/>
            <w:tcBorders>
              <w:top w:val="single" w:color="auto" w:sz="4" w:space="0"/>
              <w:left w:val="single" w:color="auto" w:sz="4" w:space="0"/>
              <w:bottom w:val="single" w:color="auto" w:sz="4" w:space="0"/>
              <w:right w:val="single" w:color="auto" w:sz="4" w:space="0"/>
            </w:tcBorders>
          </w:tcPr>
          <w:p w14:paraId="1C5FEF72">
            <w:pPr>
              <w:jc w:val="center"/>
              <w:rPr>
                <w:rFonts w:hint="eastAsia" w:ascii="宋体" w:hAnsi="宋体" w:cs="宋体"/>
                <w:szCs w:val="21"/>
                <w:highlight w:val="none"/>
              </w:rPr>
            </w:pPr>
          </w:p>
        </w:tc>
        <w:tc>
          <w:tcPr>
            <w:tcW w:w="491" w:type="pct"/>
            <w:tcBorders>
              <w:top w:val="single" w:color="auto" w:sz="4" w:space="0"/>
              <w:left w:val="single" w:color="auto" w:sz="4" w:space="0"/>
              <w:bottom w:val="single" w:color="auto" w:sz="4" w:space="0"/>
              <w:right w:val="single" w:color="auto" w:sz="4" w:space="0"/>
            </w:tcBorders>
          </w:tcPr>
          <w:p w14:paraId="78B8053C">
            <w:pPr>
              <w:jc w:val="center"/>
              <w:rPr>
                <w:rFonts w:hint="eastAsia" w:ascii="宋体" w:hAnsi="宋体" w:cs="宋体"/>
                <w:szCs w:val="21"/>
                <w:highlight w:val="none"/>
              </w:rPr>
            </w:pPr>
          </w:p>
        </w:tc>
      </w:tr>
    </w:tbl>
    <w:p w14:paraId="11E88568">
      <w:pPr>
        <w:spacing w:line="240" w:lineRule="exact"/>
        <w:rPr>
          <w:rFonts w:hint="eastAsia" w:ascii="宋体" w:hAnsi="宋体" w:cs="宋体"/>
          <w:szCs w:val="21"/>
          <w:highlight w:val="none"/>
        </w:rPr>
      </w:pPr>
    </w:p>
    <w:p w14:paraId="698241F7">
      <w:pPr>
        <w:spacing w:line="240" w:lineRule="exact"/>
        <w:rPr>
          <w:rFonts w:hint="eastAsia" w:ascii="宋体" w:hAnsi="宋体" w:cs="宋体"/>
          <w:szCs w:val="21"/>
          <w:highlight w:val="none"/>
        </w:rPr>
      </w:pPr>
      <w:r>
        <w:rPr>
          <w:rFonts w:hint="eastAsia" w:ascii="宋体" w:hAnsi="宋体" w:cs="宋体"/>
          <w:szCs w:val="21"/>
          <w:highlight w:val="none"/>
        </w:rPr>
        <w:t>注：1.凡出现以上任何一项情形，均为无效，否则视为有效。</w:t>
      </w:r>
    </w:p>
    <w:p w14:paraId="5FC48A99">
      <w:pPr>
        <w:spacing w:line="240" w:lineRule="exact"/>
        <w:ind w:firstLine="420" w:firstLineChars="200"/>
        <w:rPr>
          <w:rFonts w:hint="eastAsia" w:ascii="宋体" w:hAnsi="宋体" w:cs="宋体"/>
          <w:szCs w:val="21"/>
          <w:highlight w:val="none"/>
        </w:rPr>
      </w:pPr>
      <w:r>
        <w:rPr>
          <w:rFonts w:hint="eastAsia" w:ascii="宋体" w:hAnsi="宋体" w:cs="宋体"/>
          <w:szCs w:val="21"/>
          <w:highlight w:val="none"/>
        </w:rPr>
        <w:t>2.本表中评审项目全部为 “○”，投标人的评审结论为“通过”，即该投标人进入下一阶段评审。</w:t>
      </w:r>
    </w:p>
    <w:p w14:paraId="712E5A05">
      <w:pPr>
        <w:spacing w:line="240" w:lineRule="exact"/>
        <w:ind w:firstLine="420" w:firstLineChars="200"/>
        <w:rPr>
          <w:rFonts w:hint="eastAsia" w:ascii="宋体" w:hAnsi="宋体" w:cs="宋体"/>
          <w:szCs w:val="21"/>
          <w:highlight w:val="none"/>
        </w:rPr>
      </w:pPr>
      <w:r>
        <w:rPr>
          <w:rFonts w:hint="eastAsia" w:ascii="宋体" w:hAnsi="宋体" w:cs="宋体"/>
          <w:szCs w:val="21"/>
          <w:highlight w:val="none"/>
        </w:rPr>
        <w:t>3.如对本表中某种情形的评审意见不一致时，以评审组过半数成员的意见作为评审组对该情形的认定结论。</w:t>
      </w:r>
    </w:p>
    <w:p w14:paraId="26D81C2C">
      <w:pPr>
        <w:pStyle w:val="161"/>
        <w:rPr>
          <w:rFonts w:hint="eastAsia" w:cs="宋体"/>
          <w:highlight w:val="none"/>
        </w:rPr>
      </w:pPr>
    </w:p>
    <w:p w14:paraId="4E1692F7">
      <w:pPr>
        <w:pStyle w:val="161"/>
        <w:rPr>
          <w:rFonts w:hint="eastAsia" w:cs="宋体"/>
          <w:b/>
          <w:sz w:val="28"/>
          <w:szCs w:val="28"/>
          <w:highlight w:val="none"/>
        </w:rPr>
      </w:pPr>
      <w:r>
        <w:rPr>
          <w:rFonts w:hint="eastAsia" w:cs="宋体"/>
          <w:highlight w:val="none"/>
        </w:rPr>
        <w:t>评委签名：                                                                                                     日期：</w:t>
      </w:r>
      <w:r>
        <w:rPr>
          <w:rFonts w:hint="eastAsia" w:cs="宋体"/>
          <w:sz w:val="24"/>
          <w:szCs w:val="24"/>
          <w:highlight w:val="none"/>
        </w:rPr>
        <w:br w:type="page"/>
      </w:r>
      <w:r>
        <w:rPr>
          <w:rFonts w:hint="eastAsia" w:cs="宋体"/>
          <w:b/>
          <w:sz w:val="28"/>
          <w:szCs w:val="28"/>
          <w:highlight w:val="none"/>
        </w:rPr>
        <w:t>附表3：</w:t>
      </w:r>
    </w:p>
    <w:p w14:paraId="536758B3">
      <w:pPr>
        <w:jc w:val="center"/>
        <w:rPr>
          <w:b/>
          <w:sz w:val="32"/>
          <w:szCs w:val="32"/>
          <w:highlight w:val="none"/>
        </w:rPr>
      </w:pPr>
      <w:r>
        <w:rPr>
          <w:rFonts w:hint="eastAsia"/>
          <w:b/>
          <w:sz w:val="32"/>
          <w:szCs w:val="32"/>
          <w:highlight w:val="none"/>
        </w:rPr>
        <w:t>设计方案评分表</w:t>
      </w:r>
    </w:p>
    <w:tbl>
      <w:tblPr>
        <w:tblStyle w:val="41"/>
        <w:tblW w:w="1402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9"/>
        <w:gridCol w:w="1894"/>
        <w:gridCol w:w="995"/>
        <w:gridCol w:w="10377"/>
      </w:tblGrid>
      <w:tr w14:paraId="4D31E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1" w:hRule="atLeast"/>
        </w:trPr>
        <w:tc>
          <w:tcPr>
            <w:tcW w:w="759" w:type="dxa"/>
            <w:vAlign w:val="center"/>
          </w:tcPr>
          <w:p w14:paraId="2051B1E6">
            <w:pPr>
              <w:pStyle w:val="22"/>
              <w:spacing w:line="380" w:lineRule="exact"/>
              <w:rPr>
                <w:rFonts w:hint="eastAsia" w:hAnsi="宋体"/>
                <w:b/>
                <w:bCs/>
                <w:szCs w:val="21"/>
                <w:highlight w:val="none"/>
              </w:rPr>
            </w:pPr>
            <w:r>
              <w:rPr>
                <w:rFonts w:hint="eastAsia" w:hAnsi="宋体"/>
                <w:b/>
                <w:bCs/>
                <w:szCs w:val="21"/>
                <w:highlight w:val="none"/>
              </w:rPr>
              <w:t>序号</w:t>
            </w:r>
          </w:p>
        </w:tc>
        <w:tc>
          <w:tcPr>
            <w:tcW w:w="1894" w:type="dxa"/>
            <w:vAlign w:val="center"/>
          </w:tcPr>
          <w:p w14:paraId="7C198817">
            <w:pPr>
              <w:pStyle w:val="22"/>
              <w:spacing w:line="380" w:lineRule="exact"/>
              <w:jc w:val="center"/>
              <w:rPr>
                <w:rFonts w:hint="eastAsia" w:hAnsi="宋体"/>
                <w:b/>
                <w:bCs/>
                <w:szCs w:val="21"/>
                <w:highlight w:val="none"/>
              </w:rPr>
            </w:pPr>
            <w:r>
              <w:rPr>
                <w:rFonts w:hint="eastAsia" w:hAnsi="宋体"/>
                <w:b/>
                <w:bCs/>
                <w:szCs w:val="21"/>
                <w:highlight w:val="none"/>
              </w:rPr>
              <w:t>评分内容</w:t>
            </w:r>
          </w:p>
        </w:tc>
        <w:tc>
          <w:tcPr>
            <w:tcW w:w="995" w:type="dxa"/>
            <w:vAlign w:val="center"/>
          </w:tcPr>
          <w:p w14:paraId="5564F47F">
            <w:pPr>
              <w:pStyle w:val="22"/>
              <w:spacing w:line="380" w:lineRule="exact"/>
              <w:jc w:val="center"/>
              <w:rPr>
                <w:rFonts w:hint="eastAsia" w:hAnsi="宋体"/>
                <w:b/>
                <w:bCs/>
                <w:szCs w:val="21"/>
                <w:highlight w:val="none"/>
              </w:rPr>
            </w:pPr>
            <w:r>
              <w:rPr>
                <w:rFonts w:hint="eastAsia" w:hAnsi="宋体"/>
                <w:b/>
                <w:bCs/>
                <w:szCs w:val="21"/>
                <w:highlight w:val="none"/>
              </w:rPr>
              <w:t>分值</w:t>
            </w:r>
          </w:p>
        </w:tc>
        <w:tc>
          <w:tcPr>
            <w:tcW w:w="10377" w:type="dxa"/>
            <w:vAlign w:val="center"/>
          </w:tcPr>
          <w:p w14:paraId="149AE1A1">
            <w:pPr>
              <w:pStyle w:val="22"/>
              <w:spacing w:line="380" w:lineRule="exact"/>
              <w:ind w:firstLine="480"/>
              <w:jc w:val="center"/>
              <w:rPr>
                <w:rFonts w:hint="eastAsia" w:hAnsi="宋体"/>
                <w:b/>
                <w:bCs/>
                <w:szCs w:val="21"/>
                <w:highlight w:val="none"/>
              </w:rPr>
            </w:pPr>
            <w:r>
              <w:rPr>
                <w:rFonts w:hint="eastAsia" w:hAnsi="宋体"/>
                <w:b/>
                <w:bCs/>
                <w:szCs w:val="21"/>
                <w:highlight w:val="none"/>
              </w:rPr>
              <w:t>评审标准</w:t>
            </w:r>
          </w:p>
        </w:tc>
      </w:tr>
      <w:tr w14:paraId="363E1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9" w:hRule="atLeast"/>
        </w:trPr>
        <w:tc>
          <w:tcPr>
            <w:tcW w:w="759" w:type="dxa"/>
            <w:vAlign w:val="center"/>
          </w:tcPr>
          <w:p w14:paraId="0F2DFFC7">
            <w:pPr>
              <w:pStyle w:val="22"/>
              <w:spacing w:line="380" w:lineRule="exact"/>
              <w:ind w:firstLine="210" w:firstLineChars="100"/>
              <w:rPr>
                <w:rFonts w:hint="eastAsia" w:hAnsi="宋体" w:cs="宋体"/>
                <w:szCs w:val="21"/>
                <w:highlight w:val="none"/>
              </w:rPr>
            </w:pPr>
            <w:r>
              <w:rPr>
                <w:rFonts w:hint="eastAsia" w:hAnsi="宋体" w:cs="宋体"/>
                <w:szCs w:val="21"/>
                <w:highlight w:val="none"/>
              </w:rPr>
              <w:t>1</w:t>
            </w:r>
          </w:p>
        </w:tc>
        <w:tc>
          <w:tcPr>
            <w:tcW w:w="1894" w:type="dxa"/>
            <w:vAlign w:val="center"/>
          </w:tcPr>
          <w:p w14:paraId="0F452924">
            <w:pPr>
              <w:snapToGrid w:val="0"/>
              <w:jc w:val="center"/>
              <w:rPr>
                <w:rFonts w:hint="eastAsia" w:ascii="宋体" w:hAnsi="宋体" w:cs="宋体"/>
                <w:szCs w:val="21"/>
                <w:highlight w:val="none"/>
              </w:rPr>
            </w:pPr>
            <w:r>
              <w:rPr>
                <w:rFonts w:hint="eastAsia" w:ascii="宋体" w:hAnsi="宋体" w:cs="宋体"/>
                <w:szCs w:val="21"/>
                <w:highlight w:val="none"/>
              </w:rPr>
              <w:t>项目理解与分析</w:t>
            </w:r>
          </w:p>
        </w:tc>
        <w:tc>
          <w:tcPr>
            <w:tcW w:w="995" w:type="dxa"/>
            <w:vAlign w:val="center"/>
          </w:tcPr>
          <w:p w14:paraId="065A4B0B">
            <w:pPr>
              <w:snapToGrid w:val="0"/>
              <w:jc w:val="center"/>
              <w:rPr>
                <w:rFonts w:hint="eastAsia" w:ascii="宋体" w:hAnsi="宋体" w:cs="宋体"/>
                <w:szCs w:val="21"/>
                <w:highlight w:val="none"/>
              </w:rPr>
            </w:pPr>
            <w:r>
              <w:rPr>
                <w:rFonts w:hint="eastAsia" w:ascii="Calibri" w:hAnsi="宋体" w:cs="宋体"/>
                <w:szCs w:val="21"/>
                <w:highlight w:val="none"/>
              </w:rPr>
              <w:t>20</w:t>
            </w:r>
            <w:r>
              <w:rPr>
                <w:rFonts w:hint="eastAsia" w:ascii="宋体" w:hAnsi="宋体" w:cs="宋体"/>
                <w:szCs w:val="21"/>
                <w:highlight w:val="none"/>
              </w:rPr>
              <w:t>分</w:t>
            </w:r>
          </w:p>
        </w:tc>
        <w:tc>
          <w:tcPr>
            <w:tcW w:w="10377" w:type="dxa"/>
            <w:vAlign w:val="center"/>
          </w:tcPr>
          <w:p w14:paraId="1EEFC89E">
            <w:pPr>
              <w:widowControl/>
              <w:jc w:val="left"/>
              <w:rPr>
                <w:rFonts w:hint="eastAsia" w:ascii="宋体" w:hAnsi="宋体" w:cs="宋体"/>
                <w:szCs w:val="21"/>
                <w:highlight w:val="none"/>
              </w:rPr>
            </w:pPr>
            <w:r>
              <w:rPr>
                <w:rFonts w:hint="eastAsia" w:ascii="宋体" w:hAnsi="宋体" w:cs="宋体"/>
                <w:szCs w:val="21"/>
                <w:highlight w:val="none"/>
              </w:rPr>
              <w:t>对本次招标区域及场地条件理解深入、调研详细，对本项目设计重点、难点分析全面充分，整体设计思路清晰。</w:t>
            </w:r>
          </w:p>
          <w:p w14:paraId="39644089">
            <w:pPr>
              <w:snapToGrid w:val="0"/>
              <w:rPr>
                <w:rFonts w:hint="eastAsia" w:ascii="宋体" w:hAnsi="宋体" w:cs="宋体"/>
                <w:szCs w:val="21"/>
                <w:highlight w:val="none"/>
              </w:rPr>
            </w:pPr>
            <w:r>
              <w:rPr>
                <w:rFonts w:hint="eastAsia" w:ascii="宋体" w:hAnsi="宋体" w:cs="宋体"/>
                <w:szCs w:val="21"/>
                <w:highlight w:val="none"/>
              </w:rPr>
              <w:t>[优]得(15，20]分；[良]得(10，15]分；[中]得(5，10]分；[差]得[1，5]分；不提供不得分。</w:t>
            </w:r>
          </w:p>
        </w:tc>
      </w:tr>
      <w:tr w14:paraId="35179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9" w:hRule="atLeast"/>
        </w:trPr>
        <w:tc>
          <w:tcPr>
            <w:tcW w:w="759" w:type="dxa"/>
            <w:vAlign w:val="center"/>
          </w:tcPr>
          <w:p w14:paraId="68609245">
            <w:pPr>
              <w:pStyle w:val="22"/>
              <w:spacing w:line="380" w:lineRule="exact"/>
              <w:ind w:firstLine="210" w:firstLineChars="100"/>
              <w:rPr>
                <w:rFonts w:hint="eastAsia" w:hAnsi="宋体" w:cs="宋体"/>
                <w:szCs w:val="21"/>
                <w:highlight w:val="none"/>
              </w:rPr>
            </w:pPr>
            <w:r>
              <w:rPr>
                <w:rFonts w:hint="eastAsia" w:hAnsi="宋体" w:cs="宋体"/>
                <w:szCs w:val="21"/>
                <w:highlight w:val="none"/>
              </w:rPr>
              <w:t>2</w:t>
            </w:r>
          </w:p>
        </w:tc>
        <w:tc>
          <w:tcPr>
            <w:tcW w:w="1894" w:type="dxa"/>
            <w:vAlign w:val="center"/>
          </w:tcPr>
          <w:p w14:paraId="31C97872">
            <w:pPr>
              <w:snapToGrid w:val="0"/>
              <w:jc w:val="center"/>
              <w:rPr>
                <w:rFonts w:hint="eastAsia" w:ascii="宋体" w:hAnsi="宋体" w:cs="宋体"/>
                <w:szCs w:val="21"/>
                <w:highlight w:val="none"/>
              </w:rPr>
            </w:pPr>
            <w:r>
              <w:rPr>
                <w:rFonts w:hint="eastAsia" w:ascii="宋体" w:hAnsi="宋体" w:cs="宋体"/>
                <w:szCs w:val="21"/>
                <w:highlight w:val="none"/>
              </w:rPr>
              <w:t>设计总体方案</w:t>
            </w:r>
          </w:p>
        </w:tc>
        <w:tc>
          <w:tcPr>
            <w:tcW w:w="995" w:type="dxa"/>
            <w:vAlign w:val="center"/>
          </w:tcPr>
          <w:p w14:paraId="442ED1B4">
            <w:pPr>
              <w:snapToGrid w:val="0"/>
              <w:jc w:val="center"/>
              <w:rPr>
                <w:rFonts w:hint="eastAsia" w:ascii="宋体" w:hAnsi="宋体" w:cs="宋体"/>
                <w:szCs w:val="21"/>
                <w:highlight w:val="none"/>
              </w:rPr>
            </w:pPr>
            <w:r>
              <w:rPr>
                <w:rFonts w:hint="eastAsia" w:ascii="Calibri" w:hAnsi="宋体" w:cs="宋体"/>
                <w:szCs w:val="21"/>
                <w:highlight w:val="none"/>
              </w:rPr>
              <w:t>30</w:t>
            </w:r>
            <w:r>
              <w:rPr>
                <w:rFonts w:hint="eastAsia" w:ascii="宋体" w:hAnsi="宋体" w:cs="宋体"/>
                <w:szCs w:val="21"/>
                <w:highlight w:val="none"/>
              </w:rPr>
              <w:t>分</w:t>
            </w:r>
          </w:p>
        </w:tc>
        <w:tc>
          <w:tcPr>
            <w:tcW w:w="10377" w:type="dxa"/>
            <w:vAlign w:val="center"/>
          </w:tcPr>
          <w:p w14:paraId="6BDF79BC">
            <w:pPr>
              <w:snapToGrid w:val="0"/>
              <w:rPr>
                <w:rFonts w:hint="eastAsia" w:ascii="宋体" w:hAnsi="宋体" w:cs="宋体"/>
                <w:szCs w:val="21"/>
                <w:highlight w:val="none"/>
              </w:rPr>
            </w:pPr>
            <w:r>
              <w:rPr>
                <w:rFonts w:hint="eastAsia" w:ascii="宋体" w:hAnsi="宋体" w:cs="宋体"/>
                <w:szCs w:val="21"/>
                <w:highlight w:val="none"/>
              </w:rPr>
              <w:t>满足招标文件的各项要求，规划设计充分考虑地域环境条件，因地制宜，布局结构清晰，功能布置合理，建筑环境与空间造型效果和谐统一，总体设计方案契合项目产业特征。</w:t>
            </w:r>
          </w:p>
          <w:p w14:paraId="6EF34C1B">
            <w:pPr>
              <w:pStyle w:val="2"/>
              <w:ind w:firstLine="0"/>
              <w:jc w:val="left"/>
              <w:rPr>
                <w:rFonts w:hint="eastAsia" w:ascii="宋体" w:hAnsi="宋体" w:cs="宋体"/>
                <w:szCs w:val="21"/>
                <w:highlight w:val="none"/>
              </w:rPr>
            </w:pPr>
            <w:r>
              <w:rPr>
                <w:rFonts w:hint="eastAsia" w:ascii="宋体" w:hAnsi="宋体" w:cs="宋体"/>
                <w:szCs w:val="21"/>
                <w:highlight w:val="none"/>
              </w:rPr>
              <w:t>[优]得(24，30]分；[良]得(16，24]分；[中]得(8，16]分；[差]得[1，8]分；不提供不得分。</w:t>
            </w:r>
          </w:p>
        </w:tc>
      </w:tr>
      <w:tr w14:paraId="6D6BD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759" w:type="dxa"/>
            <w:vAlign w:val="center"/>
          </w:tcPr>
          <w:p w14:paraId="673C5133">
            <w:pPr>
              <w:pStyle w:val="22"/>
              <w:spacing w:line="380" w:lineRule="exact"/>
              <w:ind w:firstLine="210" w:firstLineChars="100"/>
              <w:rPr>
                <w:rFonts w:hint="eastAsia" w:hAnsi="宋体" w:eastAsia="宋体" w:cs="宋体"/>
                <w:szCs w:val="21"/>
                <w:highlight w:val="none"/>
                <w:lang w:val="en-US" w:eastAsia="zh-CN"/>
              </w:rPr>
            </w:pPr>
            <w:r>
              <w:rPr>
                <w:rFonts w:hint="eastAsia" w:hAnsi="宋体" w:cs="宋体"/>
                <w:szCs w:val="21"/>
                <w:highlight w:val="none"/>
                <w:lang w:val="en-US" w:eastAsia="zh-CN"/>
              </w:rPr>
              <w:t>3</w:t>
            </w:r>
          </w:p>
        </w:tc>
        <w:tc>
          <w:tcPr>
            <w:tcW w:w="1894" w:type="dxa"/>
            <w:vAlign w:val="center"/>
          </w:tcPr>
          <w:p w14:paraId="7AFC996F">
            <w:pPr>
              <w:snapToGrid w:val="0"/>
              <w:jc w:val="center"/>
              <w:rPr>
                <w:rFonts w:hint="eastAsia" w:ascii="宋体" w:hAnsi="宋体" w:cs="宋体"/>
                <w:szCs w:val="21"/>
                <w:highlight w:val="none"/>
              </w:rPr>
            </w:pPr>
            <w:r>
              <w:rPr>
                <w:rFonts w:hint="eastAsia" w:ascii="宋体" w:hAnsi="宋体" w:cs="Calibri"/>
                <w:kern w:val="0"/>
                <w:szCs w:val="21"/>
                <w:highlight w:val="none"/>
              </w:rPr>
              <w:t>总体规划及场地设计</w:t>
            </w:r>
          </w:p>
        </w:tc>
        <w:tc>
          <w:tcPr>
            <w:tcW w:w="995" w:type="dxa"/>
            <w:vAlign w:val="center"/>
          </w:tcPr>
          <w:p w14:paraId="4EEDB6A2">
            <w:pPr>
              <w:snapToGrid w:val="0"/>
              <w:jc w:val="center"/>
              <w:rPr>
                <w:rFonts w:hint="default" w:ascii="Calibri" w:hAnsi="宋体" w:eastAsia="宋体" w:cs="宋体"/>
                <w:szCs w:val="21"/>
                <w:highlight w:val="none"/>
                <w:lang w:val="en-US" w:eastAsia="zh-CN"/>
              </w:rPr>
            </w:pPr>
            <w:r>
              <w:rPr>
                <w:rFonts w:hint="eastAsia" w:ascii="Calibri" w:hAnsi="宋体" w:cs="宋体"/>
                <w:szCs w:val="21"/>
                <w:highlight w:val="none"/>
                <w:lang w:val="en-US" w:eastAsia="zh-CN"/>
              </w:rPr>
              <w:t>20分</w:t>
            </w:r>
          </w:p>
        </w:tc>
        <w:tc>
          <w:tcPr>
            <w:tcW w:w="10377" w:type="dxa"/>
            <w:vAlign w:val="center"/>
          </w:tcPr>
          <w:p w14:paraId="24FA9ED9">
            <w:pPr>
              <w:widowControl/>
              <w:snapToGrid w:val="0"/>
              <w:jc w:val="left"/>
              <w:rPr>
                <w:rFonts w:ascii="宋体" w:hAnsi="宋体" w:cs="宋体"/>
                <w:kern w:val="0"/>
                <w:szCs w:val="21"/>
                <w:highlight w:val="none"/>
                <w:lang w:val="zh-CN"/>
              </w:rPr>
            </w:pPr>
            <w:r>
              <w:rPr>
                <w:rFonts w:hint="eastAsia" w:ascii="宋体" w:hAnsi="宋体" w:cs="宋体"/>
                <w:kern w:val="0"/>
                <w:szCs w:val="22"/>
                <w:highlight w:val="none"/>
                <w:lang w:val="zh-CN" w:bidi="ar"/>
              </w:rPr>
              <w:t>总平面设计符合规划条件，可实施性强：</w:t>
            </w:r>
            <w:r>
              <w:rPr>
                <w:rFonts w:hint="eastAsia" w:ascii="宋体" w:hAnsi="宋体" w:cs="宋体"/>
                <w:kern w:val="0"/>
                <w:szCs w:val="21"/>
                <w:highlight w:val="none"/>
                <w:lang w:val="zh-CN" w:bidi="ar"/>
              </w:rPr>
              <w:t>设计</w:t>
            </w:r>
            <w:r>
              <w:rPr>
                <w:rFonts w:hint="eastAsia" w:ascii="宋体" w:hAnsi="宋体" w:cs="宋体"/>
                <w:kern w:val="0"/>
                <w:szCs w:val="21"/>
                <w:highlight w:val="none"/>
                <w:lang w:val="en-US" w:eastAsia="zh-CN" w:bidi="ar"/>
              </w:rPr>
              <w:t>思路</w:t>
            </w:r>
            <w:r>
              <w:rPr>
                <w:rFonts w:hint="eastAsia" w:ascii="宋体" w:hAnsi="宋体" w:cs="宋体"/>
                <w:kern w:val="0"/>
                <w:szCs w:val="21"/>
                <w:highlight w:val="none"/>
                <w:lang w:val="zh-CN" w:bidi="ar"/>
              </w:rPr>
              <w:t>清晰、合理可行，符合国家现行建筑设计</w:t>
            </w:r>
            <w:r>
              <w:rPr>
                <w:rFonts w:hint="eastAsia" w:ascii="宋体" w:hAnsi="宋体" w:cs="宋体"/>
                <w:kern w:val="0"/>
                <w:szCs w:val="21"/>
                <w:highlight w:val="none"/>
                <w:lang w:bidi="ar"/>
              </w:rPr>
              <w:t>相关</w:t>
            </w:r>
            <w:r>
              <w:rPr>
                <w:rFonts w:hint="eastAsia" w:ascii="宋体" w:hAnsi="宋体" w:cs="宋体"/>
                <w:kern w:val="0"/>
                <w:szCs w:val="21"/>
                <w:highlight w:val="none"/>
                <w:lang w:val="zh-CN" w:bidi="ar"/>
              </w:rPr>
              <w:t>规范，</w:t>
            </w:r>
            <w:r>
              <w:rPr>
                <w:rFonts w:hint="eastAsia" w:ascii="宋体" w:hAnsi="宋体" w:cs="宋体"/>
                <w:szCs w:val="21"/>
                <w:highlight w:val="none"/>
              </w:rPr>
              <w:t>规划设计满足</w:t>
            </w:r>
            <w:r>
              <w:rPr>
                <w:rFonts w:ascii="宋体" w:hAnsi="宋体" w:cs="宋体"/>
                <w:szCs w:val="21"/>
                <w:highlight w:val="none"/>
              </w:rPr>
              <w:t>消防、救护、抗灾、避灾等要求</w:t>
            </w:r>
            <w:r>
              <w:rPr>
                <w:rFonts w:hint="eastAsia" w:ascii="宋体" w:hAnsi="宋体" w:cs="宋体"/>
                <w:kern w:val="0"/>
                <w:szCs w:val="21"/>
                <w:highlight w:val="none"/>
                <w:lang w:val="zh-CN" w:bidi="ar"/>
              </w:rPr>
              <w:t>；</w:t>
            </w:r>
            <w:r>
              <w:rPr>
                <w:rFonts w:hint="eastAsia" w:ascii="宋体" w:hAnsi="宋体" w:cs="宋体"/>
                <w:kern w:val="0"/>
                <w:szCs w:val="21"/>
                <w:highlight w:val="none"/>
                <w:lang w:bidi="ar"/>
              </w:rPr>
              <w:t>总平面</w:t>
            </w:r>
            <w:r>
              <w:rPr>
                <w:rFonts w:hint="eastAsia" w:ascii="宋体" w:hAnsi="宋体" w:cs="宋体"/>
                <w:kern w:val="0"/>
                <w:szCs w:val="21"/>
                <w:highlight w:val="none"/>
                <w:lang w:val="zh-CN" w:bidi="ar"/>
              </w:rPr>
              <w:t>交通动线清晰，使用方便简捷，不影响</w:t>
            </w:r>
            <w:r>
              <w:rPr>
                <w:rFonts w:hint="eastAsia" w:ascii="宋体" w:hAnsi="宋体" w:cs="宋体"/>
                <w:kern w:val="0"/>
                <w:szCs w:val="21"/>
                <w:highlight w:val="none"/>
                <w:lang w:val="en-US" w:eastAsia="zh-CN" w:bidi="ar"/>
              </w:rPr>
              <w:t>现场</w:t>
            </w:r>
            <w:r>
              <w:rPr>
                <w:rFonts w:hint="eastAsia" w:ascii="宋体" w:hAnsi="宋体" w:cs="宋体"/>
                <w:kern w:val="0"/>
                <w:szCs w:val="21"/>
                <w:highlight w:val="none"/>
                <w:lang w:val="zh-CN" w:bidi="ar"/>
              </w:rPr>
              <w:t>总体道路规划体系；车辆可使用的空间宽裕，车</w:t>
            </w:r>
            <w:r>
              <w:rPr>
                <w:rFonts w:hint="eastAsia" w:ascii="宋体" w:hAnsi="宋体" w:cs="宋体"/>
                <w:kern w:val="0"/>
                <w:szCs w:val="21"/>
                <w:highlight w:val="none"/>
                <w:lang w:bidi="ar"/>
              </w:rPr>
              <w:t>流线</w:t>
            </w:r>
            <w:r>
              <w:rPr>
                <w:rFonts w:hint="eastAsia" w:ascii="宋体" w:hAnsi="宋体" w:cs="宋体"/>
                <w:kern w:val="0"/>
                <w:szCs w:val="21"/>
                <w:highlight w:val="none"/>
                <w:lang w:val="zh-CN" w:bidi="ar"/>
              </w:rPr>
              <w:t>出入口设置合理，效率高。场地竖向合理，方案可实施性强，建造时不影响周边建构筑物安全；满足近期业主现状使用和远期市政规划要求。</w:t>
            </w:r>
          </w:p>
          <w:p w14:paraId="1CD40E48">
            <w:pPr>
              <w:snapToGrid w:val="0"/>
              <w:rPr>
                <w:rFonts w:hint="eastAsia" w:ascii="宋体" w:hAnsi="宋体" w:cs="宋体"/>
                <w:szCs w:val="21"/>
                <w:highlight w:val="none"/>
              </w:rPr>
            </w:pPr>
            <w:r>
              <w:rPr>
                <w:rFonts w:hint="eastAsia" w:ascii="宋体" w:hAnsi="宋体" w:cs="宋体"/>
                <w:szCs w:val="21"/>
                <w:highlight w:val="none"/>
              </w:rPr>
              <w:t>[优]得(15，20]分；[良]得(10，15]分；[中]得(5，10]分；[差]得[1，5]分；不提供不得分</w:t>
            </w:r>
          </w:p>
        </w:tc>
      </w:tr>
      <w:tr w14:paraId="341B4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3" w:hRule="atLeast"/>
        </w:trPr>
        <w:tc>
          <w:tcPr>
            <w:tcW w:w="759" w:type="dxa"/>
            <w:vAlign w:val="center"/>
          </w:tcPr>
          <w:p w14:paraId="6C4D43A6">
            <w:pPr>
              <w:pStyle w:val="22"/>
              <w:spacing w:line="380" w:lineRule="exact"/>
              <w:ind w:firstLine="210" w:firstLineChars="100"/>
              <w:rPr>
                <w:rFonts w:hint="eastAsia" w:hAnsi="宋体" w:cs="宋体"/>
                <w:szCs w:val="21"/>
                <w:highlight w:val="none"/>
              </w:rPr>
            </w:pPr>
            <w:r>
              <w:rPr>
                <w:rFonts w:hint="eastAsia" w:hAnsi="宋体" w:cs="宋体"/>
                <w:szCs w:val="21"/>
                <w:highlight w:val="none"/>
              </w:rPr>
              <w:t>4</w:t>
            </w:r>
          </w:p>
        </w:tc>
        <w:tc>
          <w:tcPr>
            <w:tcW w:w="1894" w:type="dxa"/>
            <w:vAlign w:val="center"/>
          </w:tcPr>
          <w:p w14:paraId="51B9F6F2">
            <w:pPr>
              <w:snapToGrid w:val="0"/>
              <w:jc w:val="center"/>
              <w:rPr>
                <w:rFonts w:hint="eastAsia" w:ascii="宋体" w:hAnsi="宋体" w:cs="宋体"/>
                <w:szCs w:val="21"/>
                <w:highlight w:val="none"/>
              </w:rPr>
            </w:pPr>
            <w:r>
              <w:rPr>
                <w:rFonts w:hint="eastAsia" w:ascii="宋体" w:hAnsi="宋体" w:cs="宋体"/>
                <w:szCs w:val="21"/>
                <w:highlight w:val="none"/>
              </w:rPr>
              <w:t>绿色节能设计和应用</w:t>
            </w:r>
          </w:p>
        </w:tc>
        <w:tc>
          <w:tcPr>
            <w:tcW w:w="995" w:type="dxa"/>
            <w:vAlign w:val="center"/>
          </w:tcPr>
          <w:p w14:paraId="56D5EA6D">
            <w:pPr>
              <w:snapToGrid w:val="0"/>
              <w:jc w:val="center"/>
              <w:rPr>
                <w:rFonts w:hint="eastAsia" w:ascii="宋体" w:hAnsi="宋体" w:cs="宋体"/>
                <w:szCs w:val="21"/>
                <w:highlight w:val="none"/>
              </w:rPr>
            </w:pPr>
            <w:r>
              <w:rPr>
                <w:rFonts w:hint="eastAsia" w:ascii="Calibri" w:hAnsi="宋体" w:cs="宋体"/>
                <w:szCs w:val="21"/>
                <w:highlight w:val="none"/>
              </w:rPr>
              <w:t>15分</w:t>
            </w:r>
          </w:p>
        </w:tc>
        <w:tc>
          <w:tcPr>
            <w:tcW w:w="10377" w:type="dxa"/>
            <w:vAlign w:val="center"/>
          </w:tcPr>
          <w:p w14:paraId="6666DFD7">
            <w:pPr>
              <w:snapToGrid w:val="0"/>
              <w:rPr>
                <w:rFonts w:hint="eastAsia" w:ascii="宋体" w:hAnsi="宋体" w:cs="宋体"/>
                <w:szCs w:val="21"/>
                <w:highlight w:val="none"/>
              </w:rPr>
            </w:pPr>
            <w:r>
              <w:rPr>
                <w:rFonts w:hint="eastAsia" w:ascii="宋体" w:hAnsi="宋体" w:cs="宋体"/>
                <w:szCs w:val="21"/>
                <w:highlight w:val="none"/>
              </w:rPr>
              <w:t>结合项目情况和投资状况，设计采用切实有效的节能、生态、绿色技术。</w:t>
            </w:r>
          </w:p>
          <w:p w14:paraId="39183F45">
            <w:pPr>
              <w:snapToGrid w:val="0"/>
              <w:rPr>
                <w:rFonts w:hint="eastAsia" w:ascii="宋体" w:hAnsi="宋体" w:cs="宋体"/>
                <w:szCs w:val="21"/>
                <w:highlight w:val="none"/>
              </w:rPr>
            </w:pPr>
            <w:r>
              <w:rPr>
                <w:rFonts w:hint="eastAsia" w:ascii="宋体" w:hAnsi="宋体" w:cs="宋体"/>
                <w:szCs w:val="21"/>
                <w:highlight w:val="none"/>
              </w:rPr>
              <w:t>[优]得(12，15]分；[良]得(8，12]分；[中]得(4，8]分；[差]得[1，4]分；不提供不得分。</w:t>
            </w:r>
          </w:p>
        </w:tc>
      </w:tr>
      <w:tr w14:paraId="23EC5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7" w:hRule="atLeast"/>
        </w:trPr>
        <w:tc>
          <w:tcPr>
            <w:tcW w:w="759" w:type="dxa"/>
            <w:vAlign w:val="center"/>
          </w:tcPr>
          <w:p w14:paraId="7F4341A2">
            <w:pPr>
              <w:pStyle w:val="22"/>
              <w:spacing w:line="380" w:lineRule="exact"/>
              <w:ind w:firstLine="210" w:firstLineChars="100"/>
              <w:rPr>
                <w:rFonts w:hint="eastAsia" w:hAnsi="宋体" w:cs="宋体"/>
                <w:szCs w:val="21"/>
                <w:highlight w:val="none"/>
              </w:rPr>
            </w:pPr>
            <w:r>
              <w:rPr>
                <w:rFonts w:hint="eastAsia" w:hAnsi="宋体" w:cs="宋体"/>
                <w:szCs w:val="21"/>
                <w:highlight w:val="none"/>
                <w:lang w:val="en-US"/>
              </w:rPr>
              <w:t>5</w:t>
            </w:r>
          </w:p>
        </w:tc>
        <w:tc>
          <w:tcPr>
            <w:tcW w:w="1894" w:type="dxa"/>
            <w:vAlign w:val="center"/>
          </w:tcPr>
          <w:p w14:paraId="32536D15">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投资控制措施</w:t>
            </w:r>
          </w:p>
        </w:tc>
        <w:tc>
          <w:tcPr>
            <w:tcW w:w="995" w:type="dxa"/>
            <w:vAlign w:val="center"/>
          </w:tcPr>
          <w:p w14:paraId="20F09C59">
            <w:pPr>
              <w:snapToGrid w:val="0"/>
              <w:jc w:val="center"/>
              <w:rPr>
                <w:rFonts w:hint="eastAsia" w:ascii="宋体" w:hAnsi="宋体" w:cs="宋体"/>
                <w:szCs w:val="21"/>
                <w:highlight w:val="none"/>
              </w:rPr>
            </w:pPr>
            <w:r>
              <w:rPr>
                <w:rFonts w:hint="eastAsia" w:ascii="Calibri" w:hAnsi="宋体" w:cs="宋体"/>
                <w:szCs w:val="21"/>
                <w:highlight w:val="none"/>
              </w:rPr>
              <w:t>15分</w:t>
            </w:r>
          </w:p>
        </w:tc>
        <w:tc>
          <w:tcPr>
            <w:tcW w:w="10377" w:type="dxa"/>
            <w:vAlign w:val="center"/>
          </w:tcPr>
          <w:p w14:paraId="0F1FFF0E">
            <w:pPr>
              <w:snapToGrid w:val="0"/>
              <w:rPr>
                <w:rFonts w:hint="eastAsia" w:ascii="宋体" w:hAnsi="宋体" w:cs="宋体"/>
                <w:szCs w:val="21"/>
                <w:highlight w:val="none"/>
              </w:rPr>
            </w:pPr>
            <w:r>
              <w:rPr>
                <w:rFonts w:hint="eastAsia" w:ascii="宋体" w:hAnsi="宋体" w:cs="宋体"/>
                <w:szCs w:val="21"/>
                <w:highlight w:val="none"/>
              </w:rPr>
              <w:t>符合设计标准、规范，造价可控、指标准确，工程投资估算不突破规定的控制要求，选用材料与构造方式合理，建成后节省管理和维护费用。</w:t>
            </w:r>
          </w:p>
          <w:p w14:paraId="17EB07A9">
            <w:pPr>
              <w:snapToGrid w:val="0"/>
              <w:rPr>
                <w:rFonts w:hint="eastAsia" w:ascii="宋体" w:hAnsi="宋体" w:cs="宋体"/>
                <w:szCs w:val="21"/>
                <w:highlight w:val="none"/>
              </w:rPr>
            </w:pPr>
            <w:r>
              <w:rPr>
                <w:rFonts w:hint="eastAsia" w:ascii="宋体" w:hAnsi="宋体" w:cs="宋体"/>
                <w:szCs w:val="21"/>
                <w:highlight w:val="none"/>
              </w:rPr>
              <w:t>[优]得(12，15]分；[良]得(8，12]分；[中]得(4，8]分；[差]得[1，4]分；不提供不得分。</w:t>
            </w:r>
          </w:p>
        </w:tc>
      </w:tr>
      <w:tr w14:paraId="38846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4" w:hRule="atLeast"/>
        </w:trPr>
        <w:tc>
          <w:tcPr>
            <w:tcW w:w="2653" w:type="dxa"/>
            <w:gridSpan w:val="2"/>
            <w:vAlign w:val="center"/>
          </w:tcPr>
          <w:p w14:paraId="5270322D">
            <w:pPr>
              <w:snapToGrid w:val="0"/>
              <w:ind w:firstLine="400"/>
              <w:jc w:val="center"/>
              <w:rPr>
                <w:rFonts w:hint="eastAsia" w:ascii="宋体" w:hAnsi="宋体" w:cs="宋体"/>
                <w:szCs w:val="21"/>
                <w:highlight w:val="none"/>
              </w:rPr>
            </w:pPr>
            <w:r>
              <w:rPr>
                <w:rFonts w:hint="eastAsia" w:ascii="宋体" w:hAnsi="宋体" w:cs="宋体"/>
                <w:szCs w:val="21"/>
                <w:highlight w:val="none"/>
              </w:rPr>
              <w:t>合计</w:t>
            </w:r>
          </w:p>
        </w:tc>
        <w:tc>
          <w:tcPr>
            <w:tcW w:w="995" w:type="dxa"/>
            <w:vAlign w:val="center"/>
          </w:tcPr>
          <w:p w14:paraId="68DD677B">
            <w:pPr>
              <w:snapToGrid w:val="0"/>
              <w:jc w:val="center"/>
              <w:rPr>
                <w:rFonts w:hint="eastAsia" w:ascii="宋体" w:hAnsi="宋体" w:cs="宋体"/>
                <w:szCs w:val="21"/>
                <w:highlight w:val="none"/>
              </w:rPr>
            </w:pPr>
            <w:r>
              <w:rPr>
                <w:rFonts w:hint="eastAsia" w:ascii="宋体" w:hAnsi="宋体" w:cs="宋体"/>
                <w:szCs w:val="21"/>
                <w:highlight w:val="none"/>
              </w:rPr>
              <w:t>100分</w:t>
            </w:r>
          </w:p>
        </w:tc>
        <w:tc>
          <w:tcPr>
            <w:tcW w:w="10377" w:type="dxa"/>
            <w:vAlign w:val="center"/>
          </w:tcPr>
          <w:p w14:paraId="388F08B3">
            <w:pPr>
              <w:snapToGrid w:val="0"/>
              <w:ind w:firstLine="400"/>
              <w:rPr>
                <w:rFonts w:hint="eastAsia" w:ascii="宋体" w:hAnsi="宋体" w:cs="宋体"/>
                <w:szCs w:val="21"/>
                <w:highlight w:val="none"/>
              </w:rPr>
            </w:pPr>
          </w:p>
        </w:tc>
      </w:tr>
    </w:tbl>
    <w:p w14:paraId="46D27ED9">
      <w:pPr>
        <w:pStyle w:val="22"/>
        <w:rPr>
          <w:rFonts w:ascii="Times New Roman" w:hAnsi="Times New Roman"/>
          <w:szCs w:val="21"/>
          <w:highlight w:val="none"/>
        </w:rPr>
      </w:pPr>
      <w:r>
        <w:rPr>
          <w:rFonts w:hint="eastAsia" w:ascii="Times New Roman" w:hAnsi="Times New Roman"/>
          <w:szCs w:val="21"/>
          <w:highlight w:val="none"/>
        </w:rPr>
        <w:t>注：</w:t>
      </w:r>
    </w:p>
    <w:p w14:paraId="27E33B81">
      <w:pPr>
        <w:pStyle w:val="22"/>
        <w:rPr>
          <w:rFonts w:ascii="Times New Roman" w:hAnsi="Times New Roman"/>
          <w:szCs w:val="21"/>
          <w:highlight w:val="none"/>
        </w:rPr>
      </w:pPr>
      <w:r>
        <w:rPr>
          <w:rFonts w:hint="eastAsia" w:ascii="Times New Roman" w:hAnsi="Times New Roman"/>
          <w:szCs w:val="21"/>
          <w:highlight w:val="none"/>
        </w:rPr>
        <w:t>（</w:t>
      </w:r>
      <w:r>
        <w:rPr>
          <w:rFonts w:hint="eastAsia" w:ascii="Times New Roman" w:hAnsi="Times New Roman"/>
          <w:szCs w:val="21"/>
          <w:highlight w:val="none"/>
          <w:lang w:val="en-US"/>
        </w:rPr>
        <w:t>1</w:t>
      </w:r>
      <w:r>
        <w:rPr>
          <w:rFonts w:hint="eastAsia" w:ascii="Times New Roman" w:hAnsi="Times New Roman"/>
          <w:szCs w:val="21"/>
          <w:highlight w:val="none"/>
        </w:rPr>
        <w:t>）本表按百分制评分，所有评委的评分汇总后的算术平均值为投标人设计方案的最终得分。分数出现小数点，保留小数点后两位小数，第三位小数四舍五入。</w:t>
      </w:r>
    </w:p>
    <w:p w14:paraId="0A9101BC">
      <w:pPr>
        <w:rPr>
          <w:szCs w:val="21"/>
          <w:highlight w:val="none"/>
        </w:rPr>
      </w:pPr>
      <w:r>
        <w:rPr>
          <w:rFonts w:hint="eastAsia"/>
          <w:szCs w:val="21"/>
          <w:highlight w:val="none"/>
        </w:rPr>
        <w:t>（2）上表分值中“[”“]”表示包含本数，“（”“）”表示不包含本数。</w:t>
      </w:r>
    </w:p>
    <w:p w14:paraId="4BC29757">
      <w:pPr>
        <w:pStyle w:val="22"/>
        <w:ind w:firstLine="480"/>
        <w:rPr>
          <w:rFonts w:ascii="Times New Roman" w:hAnsi="Times New Roman"/>
          <w:szCs w:val="21"/>
          <w:highlight w:val="none"/>
        </w:rPr>
      </w:pPr>
    </w:p>
    <w:p w14:paraId="17D1263D">
      <w:pPr>
        <w:rPr>
          <w:szCs w:val="21"/>
          <w:highlight w:val="none"/>
        </w:rPr>
      </w:pPr>
      <w:r>
        <w:rPr>
          <w:rFonts w:hint="eastAsia"/>
          <w:szCs w:val="21"/>
          <w:highlight w:val="none"/>
        </w:rPr>
        <w:t>评委签名：                              日期：</w:t>
      </w:r>
    </w:p>
    <w:p w14:paraId="40108B6A">
      <w:pPr>
        <w:jc w:val="left"/>
        <w:rPr>
          <w:rFonts w:hint="eastAsia"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附表4：</w:t>
      </w:r>
    </w:p>
    <w:p w14:paraId="17C28B03">
      <w:pPr>
        <w:jc w:val="center"/>
        <w:rPr>
          <w:b/>
          <w:sz w:val="32"/>
          <w:szCs w:val="32"/>
          <w:highlight w:val="none"/>
        </w:rPr>
      </w:pPr>
      <w:r>
        <w:rPr>
          <w:rFonts w:hint="eastAsia"/>
          <w:b/>
          <w:sz w:val="32"/>
          <w:szCs w:val="32"/>
          <w:highlight w:val="none"/>
        </w:rPr>
        <w:t>工程总承包实施方案投标文件有效性审查表</w:t>
      </w:r>
    </w:p>
    <w:tbl>
      <w:tblPr>
        <w:tblStyle w:val="41"/>
        <w:tblW w:w="14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8702"/>
        <w:gridCol w:w="858"/>
        <w:gridCol w:w="858"/>
        <w:gridCol w:w="859"/>
        <w:gridCol w:w="858"/>
        <w:gridCol w:w="858"/>
        <w:gridCol w:w="859"/>
      </w:tblGrid>
      <w:tr w14:paraId="5B72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2" w:type="dxa"/>
            <w:vAlign w:val="center"/>
          </w:tcPr>
          <w:p w14:paraId="6C754F1A">
            <w:pPr>
              <w:jc w:val="center"/>
              <w:rPr>
                <w:rFonts w:hint="eastAsia" w:ascii="宋体" w:hAnsi="宋体" w:cs="宋体"/>
                <w:b/>
                <w:szCs w:val="21"/>
                <w:highlight w:val="none"/>
              </w:rPr>
            </w:pPr>
            <w:r>
              <w:rPr>
                <w:rFonts w:hint="eastAsia" w:ascii="宋体" w:hAnsi="宋体" w:cs="宋体"/>
                <w:b/>
                <w:szCs w:val="21"/>
                <w:highlight w:val="none"/>
              </w:rPr>
              <w:t>序号</w:t>
            </w:r>
          </w:p>
        </w:tc>
        <w:tc>
          <w:tcPr>
            <w:tcW w:w="8702" w:type="dxa"/>
            <w:tcBorders>
              <w:tl2br w:val="single" w:color="auto" w:sz="4" w:space="0"/>
            </w:tcBorders>
          </w:tcPr>
          <w:p w14:paraId="619BA765">
            <w:pPr>
              <w:jc w:val="right"/>
              <w:rPr>
                <w:rFonts w:hint="eastAsia" w:ascii="宋体" w:hAnsi="宋体" w:cs="宋体"/>
                <w:b/>
                <w:szCs w:val="21"/>
                <w:highlight w:val="none"/>
              </w:rPr>
            </w:pPr>
            <w:r>
              <w:rPr>
                <w:rFonts w:hint="eastAsia" w:ascii="宋体" w:hAnsi="宋体" w:cs="宋体"/>
                <w:b/>
                <w:szCs w:val="21"/>
                <w:highlight w:val="none"/>
              </w:rPr>
              <w:t>投标单位</w:t>
            </w:r>
          </w:p>
          <w:p w14:paraId="1FE15996">
            <w:pPr>
              <w:rPr>
                <w:rFonts w:hint="eastAsia" w:ascii="宋体" w:hAnsi="宋体" w:cs="宋体"/>
                <w:b/>
                <w:szCs w:val="21"/>
                <w:highlight w:val="none"/>
              </w:rPr>
            </w:pPr>
            <w:r>
              <w:rPr>
                <w:rFonts w:hint="eastAsia" w:ascii="宋体" w:hAnsi="宋体" w:cs="宋体"/>
                <w:b/>
                <w:szCs w:val="21"/>
                <w:highlight w:val="none"/>
              </w:rPr>
              <w:t>评审内容</w:t>
            </w:r>
          </w:p>
        </w:tc>
        <w:tc>
          <w:tcPr>
            <w:tcW w:w="858" w:type="dxa"/>
            <w:vAlign w:val="center"/>
          </w:tcPr>
          <w:p w14:paraId="2EFF7569">
            <w:pPr>
              <w:jc w:val="center"/>
              <w:rPr>
                <w:rFonts w:hint="eastAsia" w:ascii="宋体" w:hAnsi="宋体" w:cs="宋体"/>
                <w:b/>
                <w:szCs w:val="21"/>
                <w:highlight w:val="none"/>
              </w:rPr>
            </w:pPr>
          </w:p>
        </w:tc>
        <w:tc>
          <w:tcPr>
            <w:tcW w:w="858" w:type="dxa"/>
            <w:vAlign w:val="center"/>
          </w:tcPr>
          <w:p w14:paraId="2A1A2F01">
            <w:pPr>
              <w:jc w:val="center"/>
              <w:rPr>
                <w:rFonts w:hint="eastAsia" w:ascii="宋体" w:hAnsi="宋体" w:cs="宋体"/>
                <w:b/>
                <w:szCs w:val="21"/>
                <w:highlight w:val="none"/>
              </w:rPr>
            </w:pPr>
          </w:p>
        </w:tc>
        <w:tc>
          <w:tcPr>
            <w:tcW w:w="859" w:type="dxa"/>
            <w:vAlign w:val="center"/>
          </w:tcPr>
          <w:p w14:paraId="4FFFEFDE">
            <w:pPr>
              <w:jc w:val="center"/>
              <w:rPr>
                <w:rFonts w:hint="eastAsia" w:ascii="宋体" w:hAnsi="宋体" w:cs="宋体"/>
                <w:b/>
                <w:szCs w:val="21"/>
                <w:highlight w:val="none"/>
              </w:rPr>
            </w:pPr>
          </w:p>
        </w:tc>
        <w:tc>
          <w:tcPr>
            <w:tcW w:w="858" w:type="dxa"/>
            <w:vAlign w:val="center"/>
          </w:tcPr>
          <w:p w14:paraId="3B700C69">
            <w:pPr>
              <w:jc w:val="center"/>
              <w:rPr>
                <w:rFonts w:hint="eastAsia" w:ascii="宋体" w:hAnsi="宋体" w:cs="宋体"/>
                <w:b/>
                <w:szCs w:val="21"/>
                <w:highlight w:val="none"/>
              </w:rPr>
            </w:pPr>
          </w:p>
        </w:tc>
        <w:tc>
          <w:tcPr>
            <w:tcW w:w="858" w:type="dxa"/>
            <w:vAlign w:val="center"/>
          </w:tcPr>
          <w:p w14:paraId="14C5D789">
            <w:pPr>
              <w:jc w:val="center"/>
              <w:rPr>
                <w:rFonts w:hint="eastAsia" w:ascii="宋体" w:hAnsi="宋体" w:cs="宋体"/>
                <w:b/>
                <w:szCs w:val="21"/>
                <w:highlight w:val="none"/>
              </w:rPr>
            </w:pPr>
          </w:p>
        </w:tc>
        <w:tc>
          <w:tcPr>
            <w:tcW w:w="859" w:type="dxa"/>
            <w:vAlign w:val="center"/>
          </w:tcPr>
          <w:p w14:paraId="0F536D47">
            <w:pPr>
              <w:jc w:val="center"/>
              <w:rPr>
                <w:rFonts w:hint="eastAsia" w:ascii="宋体" w:hAnsi="宋体" w:cs="宋体"/>
                <w:b/>
                <w:szCs w:val="21"/>
                <w:highlight w:val="none"/>
              </w:rPr>
            </w:pPr>
          </w:p>
        </w:tc>
      </w:tr>
      <w:tr w14:paraId="7FC4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2" w:type="dxa"/>
            <w:vAlign w:val="center"/>
          </w:tcPr>
          <w:p w14:paraId="0404AA99">
            <w:pPr>
              <w:jc w:val="center"/>
              <w:rPr>
                <w:rFonts w:hint="eastAsia" w:ascii="宋体" w:hAnsi="宋体" w:cs="宋体"/>
                <w:szCs w:val="21"/>
                <w:highlight w:val="none"/>
              </w:rPr>
            </w:pPr>
            <w:r>
              <w:rPr>
                <w:rFonts w:hint="eastAsia" w:ascii="宋体" w:hAnsi="宋体" w:cs="宋体"/>
                <w:szCs w:val="21"/>
                <w:highlight w:val="none"/>
              </w:rPr>
              <w:t>1</w:t>
            </w:r>
          </w:p>
        </w:tc>
        <w:tc>
          <w:tcPr>
            <w:tcW w:w="8702" w:type="dxa"/>
            <w:vAlign w:val="center"/>
          </w:tcPr>
          <w:p w14:paraId="222B0B6B">
            <w:pPr>
              <w:jc w:val="left"/>
              <w:rPr>
                <w:rFonts w:hint="eastAsia" w:ascii="宋体" w:hAnsi="宋体" w:cs="宋体"/>
                <w:szCs w:val="21"/>
                <w:highlight w:val="none"/>
              </w:rPr>
            </w:pPr>
            <w:r>
              <w:rPr>
                <w:rFonts w:hint="eastAsia" w:ascii="宋体" w:hAnsi="宋体" w:cs="宋体"/>
                <w:szCs w:val="21"/>
                <w:highlight w:val="none"/>
              </w:rPr>
              <w:t>投标文件所列投标人名称、项目负责人、设计负责人、专职安全员与投标登记时不一致；</w:t>
            </w:r>
          </w:p>
        </w:tc>
        <w:tc>
          <w:tcPr>
            <w:tcW w:w="858" w:type="dxa"/>
            <w:vAlign w:val="center"/>
          </w:tcPr>
          <w:p w14:paraId="1E5F282B">
            <w:pPr>
              <w:jc w:val="center"/>
              <w:rPr>
                <w:rFonts w:hint="eastAsia" w:ascii="宋体" w:hAnsi="宋体" w:cs="宋体"/>
                <w:szCs w:val="21"/>
                <w:highlight w:val="none"/>
              </w:rPr>
            </w:pPr>
          </w:p>
        </w:tc>
        <w:tc>
          <w:tcPr>
            <w:tcW w:w="858" w:type="dxa"/>
            <w:vAlign w:val="center"/>
          </w:tcPr>
          <w:p w14:paraId="7598809E">
            <w:pPr>
              <w:jc w:val="center"/>
              <w:rPr>
                <w:rFonts w:hint="eastAsia" w:ascii="宋体" w:hAnsi="宋体" w:cs="宋体"/>
                <w:szCs w:val="21"/>
                <w:highlight w:val="none"/>
              </w:rPr>
            </w:pPr>
          </w:p>
        </w:tc>
        <w:tc>
          <w:tcPr>
            <w:tcW w:w="859" w:type="dxa"/>
            <w:vAlign w:val="center"/>
          </w:tcPr>
          <w:p w14:paraId="7EB37268">
            <w:pPr>
              <w:jc w:val="center"/>
              <w:rPr>
                <w:rFonts w:hint="eastAsia" w:ascii="宋体" w:hAnsi="宋体" w:cs="宋体"/>
                <w:szCs w:val="21"/>
                <w:highlight w:val="none"/>
              </w:rPr>
            </w:pPr>
          </w:p>
        </w:tc>
        <w:tc>
          <w:tcPr>
            <w:tcW w:w="858" w:type="dxa"/>
            <w:vAlign w:val="center"/>
          </w:tcPr>
          <w:p w14:paraId="45A5C95F">
            <w:pPr>
              <w:jc w:val="center"/>
              <w:rPr>
                <w:rFonts w:hint="eastAsia" w:ascii="宋体" w:hAnsi="宋体" w:cs="宋体"/>
                <w:szCs w:val="21"/>
                <w:highlight w:val="none"/>
              </w:rPr>
            </w:pPr>
          </w:p>
        </w:tc>
        <w:tc>
          <w:tcPr>
            <w:tcW w:w="858" w:type="dxa"/>
            <w:vAlign w:val="center"/>
          </w:tcPr>
          <w:p w14:paraId="6B9CC77A">
            <w:pPr>
              <w:jc w:val="center"/>
              <w:rPr>
                <w:rFonts w:hint="eastAsia" w:ascii="宋体" w:hAnsi="宋体" w:cs="宋体"/>
                <w:szCs w:val="21"/>
                <w:highlight w:val="none"/>
              </w:rPr>
            </w:pPr>
          </w:p>
        </w:tc>
        <w:tc>
          <w:tcPr>
            <w:tcW w:w="859" w:type="dxa"/>
            <w:vAlign w:val="center"/>
          </w:tcPr>
          <w:p w14:paraId="478EDBBA">
            <w:pPr>
              <w:jc w:val="center"/>
              <w:rPr>
                <w:rFonts w:hint="eastAsia" w:ascii="宋体" w:hAnsi="宋体" w:cs="宋体"/>
                <w:szCs w:val="21"/>
                <w:highlight w:val="none"/>
              </w:rPr>
            </w:pPr>
          </w:p>
        </w:tc>
      </w:tr>
      <w:tr w14:paraId="13DE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82" w:type="dxa"/>
            <w:vAlign w:val="center"/>
          </w:tcPr>
          <w:p w14:paraId="5C78E136">
            <w:pPr>
              <w:jc w:val="center"/>
              <w:rPr>
                <w:rFonts w:hint="eastAsia" w:ascii="宋体" w:hAnsi="宋体" w:cs="宋体"/>
                <w:szCs w:val="21"/>
                <w:highlight w:val="none"/>
              </w:rPr>
            </w:pPr>
            <w:r>
              <w:rPr>
                <w:rFonts w:hint="eastAsia" w:ascii="宋体" w:hAnsi="宋体" w:cs="宋体"/>
                <w:szCs w:val="21"/>
                <w:highlight w:val="none"/>
              </w:rPr>
              <w:t>2</w:t>
            </w:r>
          </w:p>
        </w:tc>
        <w:tc>
          <w:tcPr>
            <w:tcW w:w="8702" w:type="dxa"/>
            <w:vAlign w:val="center"/>
          </w:tcPr>
          <w:p w14:paraId="33FB5C8F">
            <w:pPr>
              <w:jc w:val="left"/>
              <w:rPr>
                <w:rFonts w:hint="eastAsia" w:ascii="宋体" w:hAnsi="宋体" w:cs="宋体"/>
                <w:szCs w:val="21"/>
                <w:highlight w:val="none"/>
              </w:rPr>
            </w:pPr>
            <w:r>
              <w:rPr>
                <w:rFonts w:hint="eastAsia" w:ascii="宋体" w:hAnsi="宋体" w:cs="宋体"/>
                <w:szCs w:val="21"/>
                <w:highlight w:val="none"/>
              </w:rPr>
              <w:t>《投标书》中的投标总工期不符合招标文件要求的；</w:t>
            </w:r>
          </w:p>
        </w:tc>
        <w:tc>
          <w:tcPr>
            <w:tcW w:w="858" w:type="dxa"/>
            <w:vAlign w:val="center"/>
          </w:tcPr>
          <w:p w14:paraId="39AABBC4">
            <w:pPr>
              <w:jc w:val="center"/>
              <w:rPr>
                <w:rFonts w:hint="eastAsia" w:ascii="宋体" w:hAnsi="宋体" w:cs="宋体"/>
                <w:szCs w:val="21"/>
                <w:highlight w:val="none"/>
              </w:rPr>
            </w:pPr>
          </w:p>
        </w:tc>
        <w:tc>
          <w:tcPr>
            <w:tcW w:w="858" w:type="dxa"/>
            <w:vAlign w:val="center"/>
          </w:tcPr>
          <w:p w14:paraId="5832C6B8">
            <w:pPr>
              <w:jc w:val="center"/>
              <w:rPr>
                <w:rFonts w:hint="eastAsia" w:ascii="宋体" w:hAnsi="宋体" w:cs="宋体"/>
                <w:szCs w:val="21"/>
                <w:highlight w:val="none"/>
              </w:rPr>
            </w:pPr>
          </w:p>
        </w:tc>
        <w:tc>
          <w:tcPr>
            <w:tcW w:w="859" w:type="dxa"/>
            <w:vAlign w:val="center"/>
          </w:tcPr>
          <w:p w14:paraId="3A539814">
            <w:pPr>
              <w:jc w:val="center"/>
              <w:rPr>
                <w:rFonts w:hint="eastAsia" w:ascii="宋体" w:hAnsi="宋体" w:cs="宋体"/>
                <w:szCs w:val="21"/>
                <w:highlight w:val="none"/>
              </w:rPr>
            </w:pPr>
          </w:p>
        </w:tc>
        <w:tc>
          <w:tcPr>
            <w:tcW w:w="858" w:type="dxa"/>
            <w:vAlign w:val="center"/>
          </w:tcPr>
          <w:p w14:paraId="6F2A8D68">
            <w:pPr>
              <w:jc w:val="center"/>
              <w:rPr>
                <w:rFonts w:hint="eastAsia" w:ascii="宋体" w:hAnsi="宋体" w:cs="宋体"/>
                <w:szCs w:val="21"/>
                <w:highlight w:val="none"/>
              </w:rPr>
            </w:pPr>
          </w:p>
        </w:tc>
        <w:tc>
          <w:tcPr>
            <w:tcW w:w="858" w:type="dxa"/>
            <w:vAlign w:val="center"/>
          </w:tcPr>
          <w:p w14:paraId="41BF86DE">
            <w:pPr>
              <w:jc w:val="center"/>
              <w:rPr>
                <w:rFonts w:hint="eastAsia" w:ascii="宋体" w:hAnsi="宋体" w:cs="宋体"/>
                <w:szCs w:val="21"/>
                <w:highlight w:val="none"/>
              </w:rPr>
            </w:pPr>
          </w:p>
        </w:tc>
        <w:tc>
          <w:tcPr>
            <w:tcW w:w="859" w:type="dxa"/>
            <w:vAlign w:val="center"/>
          </w:tcPr>
          <w:p w14:paraId="36729206">
            <w:pPr>
              <w:jc w:val="center"/>
              <w:rPr>
                <w:rFonts w:hint="eastAsia" w:ascii="宋体" w:hAnsi="宋体" w:cs="宋体"/>
                <w:szCs w:val="21"/>
                <w:highlight w:val="none"/>
              </w:rPr>
            </w:pPr>
          </w:p>
        </w:tc>
      </w:tr>
      <w:tr w14:paraId="4710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82" w:type="dxa"/>
            <w:vAlign w:val="center"/>
          </w:tcPr>
          <w:p w14:paraId="4609A4F1">
            <w:pPr>
              <w:jc w:val="center"/>
              <w:rPr>
                <w:rFonts w:hint="eastAsia" w:ascii="宋体" w:hAnsi="宋体" w:cs="宋体"/>
                <w:szCs w:val="21"/>
                <w:highlight w:val="none"/>
              </w:rPr>
            </w:pPr>
            <w:r>
              <w:rPr>
                <w:rFonts w:hint="eastAsia" w:ascii="宋体" w:hAnsi="宋体" w:cs="宋体"/>
                <w:szCs w:val="21"/>
                <w:highlight w:val="none"/>
              </w:rPr>
              <w:t>3</w:t>
            </w:r>
          </w:p>
        </w:tc>
        <w:tc>
          <w:tcPr>
            <w:tcW w:w="8702" w:type="dxa"/>
            <w:vAlign w:val="center"/>
          </w:tcPr>
          <w:p w14:paraId="0FC4D95B">
            <w:pPr>
              <w:jc w:val="left"/>
              <w:rPr>
                <w:rFonts w:hint="eastAsia" w:ascii="宋体" w:hAnsi="宋体" w:cs="宋体"/>
                <w:szCs w:val="21"/>
                <w:highlight w:val="none"/>
              </w:rPr>
            </w:pPr>
            <w:r>
              <w:rPr>
                <w:rFonts w:hint="eastAsia" w:ascii="宋体" w:hAnsi="宋体" w:cs="宋体"/>
                <w:szCs w:val="21"/>
                <w:highlight w:val="none"/>
              </w:rPr>
              <w:t>《投标书》中的工程质量标准不符合招标文件要求的；</w:t>
            </w:r>
          </w:p>
        </w:tc>
        <w:tc>
          <w:tcPr>
            <w:tcW w:w="858" w:type="dxa"/>
            <w:vAlign w:val="center"/>
          </w:tcPr>
          <w:p w14:paraId="668471AA">
            <w:pPr>
              <w:jc w:val="center"/>
              <w:rPr>
                <w:rFonts w:hint="eastAsia" w:ascii="宋体" w:hAnsi="宋体" w:cs="宋体"/>
                <w:szCs w:val="21"/>
                <w:highlight w:val="none"/>
              </w:rPr>
            </w:pPr>
          </w:p>
        </w:tc>
        <w:tc>
          <w:tcPr>
            <w:tcW w:w="858" w:type="dxa"/>
            <w:vAlign w:val="center"/>
          </w:tcPr>
          <w:p w14:paraId="5B412124">
            <w:pPr>
              <w:jc w:val="center"/>
              <w:rPr>
                <w:rFonts w:hint="eastAsia" w:ascii="宋体" w:hAnsi="宋体" w:cs="宋体"/>
                <w:szCs w:val="21"/>
                <w:highlight w:val="none"/>
              </w:rPr>
            </w:pPr>
          </w:p>
        </w:tc>
        <w:tc>
          <w:tcPr>
            <w:tcW w:w="859" w:type="dxa"/>
            <w:vAlign w:val="center"/>
          </w:tcPr>
          <w:p w14:paraId="6CB5F7A4">
            <w:pPr>
              <w:jc w:val="center"/>
              <w:rPr>
                <w:rFonts w:hint="eastAsia" w:ascii="宋体" w:hAnsi="宋体" w:cs="宋体"/>
                <w:szCs w:val="21"/>
                <w:highlight w:val="none"/>
              </w:rPr>
            </w:pPr>
          </w:p>
        </w:tc>
        <w:tc>
          <w:tcPr>
            <w:tcW w:w="858" w:type="dxa"/>
            <w:vAlign w:val="center"/>
          </w:tcPr>
          <w:p w14:paraId="30842E11">
            <w:pPr>
              <w:jc w:val="center"/>
              <w:rPr>
                <w:rFonts w:hint="eastAsia" w:ascii="宋体" w:hAnsi="宋体" w:cs="宋体"/>
                <w:szCs w:val="21"/>
                <w:highlight w:val="none"/>
              </w:rPr>
            </w:pPr>
          </w:p>
        </w:tc>
        <w:tc>
          <w:tcPr>
            <w:tcW w:w="858" w:type="dxa"/>
            <w:vAlign w:val="center"/>
          </w:tcPr>
          <w:p w14:paraId="427FD844">
            <w:pPr>
              <w:jc w:val="center"/>
              <w:rPr>
                <w:rFonts w:hint="eastAsia" w:ascii="宋体" w:hAnsi="宋体" w:cs="宋体"/>
                <w:szCs w:val="21"/>
                <w:highlight w:val="none"/>
              </w:rPr>
            </w:pPr>
          </w:p>
        </w:tc>
        <w:tc>
          <w:tcPr>
            <w:tcW w:w="859" w:type="dxa"/>
            <w:vAlign w:val="center"/>
          </w:tcPr>
          <w:p w14:paraId="6A84A611">
            <w:pPr>
              <w:jc w:val="center"/>
              <w:rPr>
                <w:rFonts w:hint="eastAsia" w:ascii="宋体" w:hAnsi="宋体" w:cs="宋体"/>
                <w:szCs w:val="21"/>
                <w:highlight w:val="none"/>
              </w:rPr>
            </w:pPr>
          </w:p>
        </w:tc>
      </w:tr>
      <w:tr w14:paraId="51B1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82" w:type="dxa"/>
            <w:vAlign w:val="center"/>
          </w:tcPr>
          <w:p w14:paraId="73D962A1">
            <w:pPr>
              <w:jc w:val="center"/>
              <w:rPr>
                <w:rFonts w:hint="eastAsia" w:ascii="宋体" w:hAnsi="宋体" w:cs="宋体"/>
                <w:szCs w:val="21"/>
                <w:highlight w:val="none"/>
              </w:rPr>
            </w:pPr>
            <w:r>
              <w:rPr>
                <w:rFonts w:hint="eastAsia" w:ascii="宋体" w:hAnsi="宋体" w:cs="宋体"/>
                <w:szCs w:val="21"/>
                <w:highlight w:val="none"/>
              </w:rPr>
              <w:t>4</w:t>
            </w:r>
          </w:p>
        </w:tc>
        <w:tc>
          <w:tcPr>
            <w:tcW w:w="8702" w:type="dxa"/>
            <w:vAlign w:val="center"/>
          </w:tcPr>
          <w:p w14:paraId="3A63ED97">
            <w:pPr>
              <w:jc w:val="left"/>
              <w:rPr>
                <w:rFonts w:hint="eastAsia" w:ascii="宋体" w:hAnsi="宋体" w:cs="宋体"/>
                <w:szCs w:val="21"/>
                <w:highlight w:val="none"/>
              </w:rPr>
            </w:pPr>
            <w:r>
              <w:rPr>
                <w:rFonts w:hint="eastAsia" w:ascii="宋体" w:hAnsi="宋体" w:cs="宋体"/>
                <w:szCs w:val="21"/>
                <w:highlight w:val="none"/>
              </w:rPr>
              <w:t>投标文件未按第六章规定填写（格式2、格式3、格式4、格式8），或主要内容不全，或关键字迹模糊、无法辨认的；</w:t>
            </w:r>
          </w:p>
        </w:tc>
        <w:tc>
          <w:tcPr>
            <w:tcW w:w="858" w:type="dxa"/>
            <w:vAlign w:val="center"/>
          </w:tcPr>
          <w:p w14:paraId="08ED9FBF">
            <w:pPr>
              <w:jc w:val="center"/>
              <w:rPr>
                <w:rFonts w:hint="eastAsia" w:ascii="宋体" w:hAnsi="宋体" w:cs="宋体"/>
                <w:szCs w:val="21"/>
                <w:highlight w:val="none"/>
              </w:rPr>
            </w:pPr>
          </w:p>
        </w:tc>
        <w:tc>
          <w:tcPr>
            <w:tcW w:w="858" w:type="dxa"/>
            <w:vAlign w:val="center"/>
          </w:tcPr>
          <w:p w14:paraId="7F84A1A3">
            <w:pPr>
              <w:jc w:val="center"/>
              <w:rPr>
                <w:rFonts w:hint="eastAsia" w:ascii="宋体" w:hAnsi="宋体" w:cs="宋体"/>
                <w:szCs w:val="21"/>
                <w:highlight w:val="none"/>
              </w:rPr>
            </w:pPr>
          </w:p>
        </w:tc>
        <w:tc>
          <w:tcPr>
            <w:tcW w:w="859" w:type="dxa"/>
            <w:vAlign w:val="center"/>
          </w:tcPr>
          <w:p w14:paraId="465FDFCD">
            <w:pPr>
              <w:jc w:val="center"/>
              <w:rPr>
                <w:rFonts w:hint="eastAsia" w:ascii="宋体" w:hAnsi="宋体" w:cs="宋体"/>
                <w:szCs w:val="21"/>
                <w:highlight w:val="none"/>
              </w:rPr>
            </w:pPr>
          </w:p>
        </w:tc>
        <w:tc>
          <w:tcPr>
            <w:tcW w:w="858" w:type="dxa"/>
            <w:vAlign w:val="center"/>
          </w:tcPr>
          <w:p w14:paraId="62B98DD3">
            <w:pPr>
              <w:jc w:val="center"/>
              <w:rPr>
                <w:rFonts w:hint="eastAsia" w:ascii="宋体" w:hAnsi="宋体" w:cs="宋体"/>
                <w:szCs w:val="21"/>
                <w:highlight w:val="none"/>
              </w:rPr>
            </w:pPr>
          </w:p>
        </w:tc>
        <w:tc>
          <w:tcPr>
            <w:tcW w:w="858" w:type="dxa"/>
            <w:vAlign w:val="center"/>
          </w:tcPr>
          <w:p w14:paraId="1581158B">
            <w:pPr>
              <w:jc w:val="center"/>
              <w:rPr>
                <w:rFonts w:hint="eastAsia" w:ascii="宋体" w:hAnsi="宋体" w:cs="宋体"/>
                <w:szCs w:val="21"/>
                <w:highlight w:val="none"/>
              </w:rPr>
            </w:pPr>
          </w:p>
        </w:tc>
        <w:tc>
          <w:tcPr>
            <w:tcW w:w="859" w:type="dxa"/>
            <w:vAlign w:val="center"/>
          </w:tcPr>
          <w:p w14:paraId="40713EAA">
            <w:pPr>
              <w:jc w:val="center"/>
              <w:rPr>
                <w:rFonts w:hint="eastAsia" w:ascii="宋体" w:hAnsi="宋体" w:cs="宋体"/>
                <w:szCs w:val="21"/>
                <w:highlight w:val="none"/>
              </w:rPr>
            </w:pPr>
          </w:p>
        </w:tc>
      </w:tr>
      <w:tr w14:paraId="1A53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82" w:type="dxa"/>
            <w:vAlign w:val="center"/>
          </w:tcPr>
          <w:p w14:paraId="37DE0B2B">
            <w:pPr>
              <w:jc w:val="center"/>
              <w:rPr>
                <w:rFonts w:hint="eastAsia" w:ascii="宋体" w:hAnsi="宋体" w:cs="宋体"/>
                <w:szCs w:val="21"/>
                <w:highlight w:val="none"/>
              </w:rPr>
            </w:pPr>
            <w:r>
              <w:rPr>
                <w:rFonts w:hint="eastAsia" w:ascii="宋体" w:hAnsi="宋体" w:cs="宋体"/>
                <w:szCs w:val="21"/>
                <w:highlight w:val="none"/>
              </w:rPr>
              <w:t>5</w:t>
            </w:r>
          </w:p>
        </w:tc>
        <w:tc>
          <w:tcPr>
            <w:tcW w:w="8702" w:type="dxa"/>
            <w:vAlign w:val="center"/>
          </w:tcPr>
          <w:p w14:paraId="4EA67DD7">
            <w:pPr>
              <w:jc w:val="left"/>
              <w:rPr>
                <w:rFonts w:hint="eastAsia" w:ascii="宋体" w:hAnsi="宋体" w:cs="宋体"/>
                <w:szCs w:val="21"/>
                <w:highlight w:val="none"/>
              </w:rPr>
            </w:pPr>
            <w:r>
              <w:rPr>
                <w:rFonts w:hint="eastAsia" w:ascii="宋体" w:hAnsi="宋体" w:cs="宋体"/>
                <w:szCs w:val="21"/>
                <w:highlight w:val="none"/>
              </w:rPr>
              <w:t>对同一招标项目出现两个或以上的投标报价，且没有声明哪个有效；</w:t>
            </w:r>
          </w:p>
        </w:tc>
        <w:tc>
          <w:tcPr>
            <w:tcW w:w="858" w:type="dxa"/>
            <w:vAlign w:val="center"/>
          </w:tcPr>
          <w:p w14:paraId="57885EA3">
            <w:pPr>
              <w:jc w:val="center"/>
              <w:rPr>
                <w:rFonts w:hint="eastAsia" w:ascii="宋体" w:hAnsi="宋体" w:cs="宋体"/>
                <w:szCs w:val="21"/>
                <w:highlight w:val="none"/>
              </w:rPr>
            </w:pPr>
          </w:p>
        </w:tc>
        <w:tc>
          <w:tcPr>
            <w:tcW w:w="858" w:type="dxa"/>
            <w:vAlign w:val="center"/>
          </w:tcPr>
          <w:p w14:paraId="57B6A27E">
            <w:pPr>
              <w:jc w:val="center"/>
              <w:rPr>
                <w:rFonts w:hint="eastAsia" w:ascii="宋体" w:hAnsi="宋体" w:cs="宋体"/>
                <w:szCs w:val="21"/>
                <w:highlight w:val="none"/>
              </w:rPr>
            </w:pPr>
          </w:p>
        </w:tc>
        <w:tc>
          <w:tcPr>
            <w:tcW w:w="859" w:type="dxa"/>
            <w:vAlign w:val="center"/>
          </w:tcPr>
          <w:p w14:paraId="754FF7D9">
            <w:pPr>
              <w:jc w:val="center"/>
              <w:rPr>
                <w:rFonts w:hint="eastAsia" w:ascii="宋体" w:hAnsi="宋体" w:cs="宋体"/>
                <w:szCs w:val="21"/>
                <w:highlight w:val="none"/>
              </w:rPr>
            </w:pPr>
          </w:p>
        </w:tc>
        <w:tc>
          <w:tcPr>
            <w:tcW w:w="858" w:type="dxa"/>
            <w:vAlign w:val="center"/>
          </w:tcPr>
          <w:p w14:paraId="1ACD9BCE">
            <w:pPr>
              <w:jc w:val="center"/>
              <w:rPr>
                <w:rFonts w:hint="eastAsia" w:ascii="宋体" w:hAnsi="宋体" w:cs="宋体"/>
                <w:szCs w:val="21"/>
                <w:highlight w:val="none"/>
              </w:rPr>
            </w:pPr>
          </w:p>
        </w:tc>
        <w:tc>
          <w:tcPr>
            <w:tcW w:w="858" w:type="dxa"/>
            <w:vAlign w:val="center"/>
          </w:tcPr>
          <w:p w14:paraId="1F826DBC">
            <w:pPr>
              <w:jc w:val="center"/>
              <w:rPr>
                <w:rFonts w:hint="eastAsia" w:ascii="宋体" w:hAnsi="宋体" w:cs="宋体"/>
                <w:szCs w:val="21"/>
                <w:highlight w:val="none"/>
              </w:rPr>
            </w:pPr>
          </w:p>
        </w:tc>
        <w:tc>
          <w:tcPr>
            <w:tcW w:w="859" w:type="dxa"/>
            <w:vAlign w:val="center"/>
          </w:tcPr>
          <w:p w14:paraId="54269A33">
            <w:pPr>
              <w:jc w:val="center"/>
              <w:rPr>
                <w:rFonts w:hint="eastAsia" w:ascii="宋体" w:hAnsi="宋体" w:cs="宋体"/>
                <w:szCs w:val="21"/>
                <w:highlight w:val="none"/>
              </w:rPr>
            </w:pPr>
          </w:p>
        </w:tc>
      </w:tr>
      <w:tr w14:paraId="328B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82" w:type="dxa"/>
            <w:vAlign w:val="center"/>
          </w:tcPr>
          <w:p w14:paraId="3A715F4E">
            <w:pPr>
              <w:jc w:val="center"/>
              <w:rPr>
                <w:rFonts w:hint="eastAsia" w:ascii="宋体" w:hAnsi="宋体" w:cs="宋体"/>
                <w:szCs w:val="21"/>
                <w:highlight w:val="none"/>
              </w:rPr>
            </w:pPr>
            <w:r>
              <w:rPr>
                <w:rFonts w:hint="eastAsia" w:ascii="宋体" w:hAnsi="宋体" w:cs="宋体"/>
                <w:szCs w:val="21"/>
                <w:highlight w:val="none"/>
              </w:rPr>
              <w:t>6</w:t>
            </w:r>
          </w:p>
        </w:tc>
        <w:tc>
          <w:tcPr>
            <w:tcW w:w="8702" w:type="dxa"/>
            <w:vAlign w:val="center"/>
          </w:tcPr>
          <w:p w14:paraId="4F428B24">
            <w:pPr>
              <w:rPr>
                <w:rFonts w:hint="eastAsia" w:ascii="宋体" w:hAnsi="宋体" w:cs="宋体"/>
                <w:szCs w:val="21"/>
                <w:highlight w:val="none"/>
              </w:rPr>
            </w:pPr>
            <w:r>
              <w:rPr>
                <w:rFonts w:hint="eastAsia" w:ascii="宋体" w:hAnsi="宋体" w:cs="宋体"/>
                <w:szCs w:val="21"/>
                <w:highlight w:val="none"/>
              </w:rPr>
              <w:t>投标总报价高于投标最高限价或任一分项报价高于相应的最高投标限价的；</w:t>
            </w:r>
          </w:p>
        </w:tc>
        <w:tc>
          <w:tcPr>
            <w:tcW w:w="858" w:type="dxa"/>
            <w:vAlign w:val="center"/>
          </w:tcPr>
          <w:p w14:paraId="3B8AF5CF">
            <w:pPr>
              <w:jc w:val="center"/>
              <w:rPr>
                <w:rFonts w:hint="eastAsia" w:ascii="宋体" w:hAnsi="宋体" w:cs="宋体"/>
                <w:szCs w:val="21"/>
                <w:highlight w:val="none"/>
              </w:rPr>
            </w:pPr>
          </w:p>
        </w:tc>
        <w:tc>
          <w:tcPr>
            <w:tcW w:w="858" w:type="dxa"/>
            <w:vAlign w:val="center"/>
          </w:tcPr>
          <w:p w14:paraId="6A6FEE08">
            <w:pPr>
              <w:jc w:val="center"/>
              <w:rPr>
                <w:rFonts w:hint="eastAsia" w:ascii="宋体" w:hAnsi="宋体" w:cs="宋体"/>
                <w:szCs w:val="21"/>
                <w:highlight w:val="none"/>
              </w:rPr>
            </w:pPr>
          </w:p>
        </w:tc>
        <w:tc>
          <w:tcPr>
            <w:tcW w:w="859" w:type="dxa"/>
            <w:vAlign w:val="center"/>
          </w:tcPr>
          <w:p w14:paraId="0DAAD908">
            <w:pPr>
              <w:jc w:val="center"/>
              <w:rPr>
                <w:rFonts w:hint="eastAsia" w:ascii="宋体" w:hAnsi="宋体" w:cs="宋体"/>
                <w:szCs w:val="21"/>
                <w:highlight w:val="none"/>
              </w:rPr>
            </w:pPr>
          </w:p>
        </w:tc>
        <w:tc>
          <w:tcPr>
            <w:tcW w:w="858" w:type="dxa"/>
            <w:vAlign w:val="center"/>
          </w:tcPr>
          <w:p w14:paraId="0782A50B">
            <w:pPr>
              <w:jc w:val="center"/>
              <w:rPr>
                <w:rFonts w:hint="eastAsia" w:ascii="宋体" w:hAnsi="宋体" w:cs="宋体"/>
                <w:szCs w:val="21"/>
                <w:highlight w:val="none"/>
              </w:rPr>
            </w:pPr>
          </w:p>
        </w:tc>
        <w:tc>
          <w:tcPr>
            <w:tcW w:w="858" w:type="dxa"/>
            <w:vAlign w:val="center"/>
          </w:tcPr>
          <w:p w14:paraId="59161759">
            <w:pPr>
              <w:jc w:val="center"/>
              <w:rPr>
                <w:rFonts w:hint="eastAsia" w:ascii="宋体" w:hAnsi="宋体" w:cs="宋体"/>
                <w:szCs w:val="21"/>
                <w:highlight w:val="none"/>
              </w:rPr>
            </w:pPr>
          </w:p>
        </w:tc>
        <w:tc>
          <w:tcPr>
            <w:tcW w:w="859" w:type="dxa"/>
            <w:vAlign w:val="center"/>
          </w:tcPr>
          <w:p w14:paraId="2264A969">
            <w:pPr>
              <w:jc w:val="center"/>
              <w:rPr>
                <w:rFonts w:hint="eastAsia" w:ascii="宋体" w:hAnsi="宋体" w:cs="宋体"/>
                <w:szCs w:val="21"/>
                <w:highlight w:val="none"/>
              </w:rPr>
            </w:pPr>
          </w:p>
        </w:tc>
      </w:tr>
      <w:tr w14:paraId="4E92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82" w:type="dxa"/>
            <w:vAlign w:val="center"/>
          </w:tcPr>
          <w:p w14:paraId="7AF01686">
            <w:pPr>
              <w:jc w:val="center"/>
              <w:rPr>
                <w:rFonts w:hint="eastAsia" w:ascii="宋体" w:hAnsi="宋体" w:cs="宋体"/>
                <w:szCs w:val="21"/>
                <w:highlight w:val="none"/>
              </w:rPr>
            </w:pPr>
            <w:r>
              <w:rPr>
                <w:rFonts w:hint="eastAsia" w:ascii="宋体" w:hAnsi="宋体" w:cs="宋体"/>
                <w:szCs w:val="21"/>
                <w:highlight w:val="none"/>
              </w:rPr>
              <w:t>7</w:t>
            </w:r>
          </w:p>
        </w:tc>
        <w:tc>
          <w:tcPr>
            <w:tcW w:w="8702" w:type="dxa"/>
            <w:vAlign w:val="center"/>
          </w:tcPr>
          <w:p w14:paraId="0F3FC239">
            <w:pPr>
              <w:jc w:val="left"/>
              <w:rPr>
                <w:rFonts w:hint="eastAsia" w:ascii="宋体" w:hAnsi="宋体" w:cs="宋体"/>
                <w:szCs w:val="21"/>
                <w:highlight w:val="none"/>
              </w:rPr>
            </w:pPr>
            <w:r>
              <w:rPr>
                <w:rFonts w:hint="eastAsia" w:ascii="Calibri" w:hAnsi="Calibri"/>
                <w:szCs w:val="24"/>
                <w:highlight w:val="none"/>
              </w:rPr>
              <w:t>投标报价低于企业成本的（投标人的建安工程费报价低于成本警戒价，或明显低于其他投标报价，使得其投标报价可能低于其个别成本，又不能合理说明或者不能提供相关证明材料，评标委员会认定该投标人低于成本报价的）；</w:t>
            </w:r>
          </w:p>
        </w:tc>
        <w:tc>
          <w:tcPr>
            <w:tcW w:w="858" w:type="dxa"/>
            <w:vAlign w:val="center"/>
          </w:tcPr>
          <w:p w14:paraId="161980D9">
            <w:pPr>
              <w:jc w:val="center"/>
              <w:rPr>
                <w:rFonts w:hint="eastAsia" w:ascii="宋体" w:hAnsi="宋体" w:cs="宋体"/>
                <w:szCs w:val="21"/>
                <w:highlight w:val="none"/>
              </w:rPr>
            </w:pPr>
          </w:p>
        </w:tc>
        <w:tc>
          <w:tcPr>
            <w:tcW w:w="858" w:type="dxa"/>
            <w:vAlign w:val="center"/>
          </w:tcPr>
          <w:p w14:paraId="3F54E981">
            <w:pPr>
              <w:jc w:val="center"/>
              <w:rPr>
                <w:rFonts w:hint="eastAsia" w:ascii="宋体" w:hAnsi="宋体" w:cs="宋体"/>
                <w:szCs w:val="21"/>
                <w:highlight w:val="none"/>
              </w:rPr>
            </w:pPr>
          </w:p>
        </w:tc>
        <w:tc>
          <w:tcPr>
            <w:tcW w:w="859" w:type="dxa"/>
            <w:vAlign w:val="center"/>
          </w:tcPr>
          <w:p w14:paraId="53709A15">
            <w:pPr>
              <w:jc w:val="center"/>
              <w:rPr>
                <w:rFonts w:hint="eastAsia" w:ascii="宋体" w:hAnsi="宋体" w:cs="宋体"/>
                <w:szCs w:val="21"/>
                <w:highlight w:val="none"/>
              </w:rPr>
            </w:pPr>
          </w:p>
        </w:tc>
        <w:tc>
          <w:tcPr>
            <w:tcW w:w="858" w:type="dxa"/>
            <w:vAlign w:val="center"/>
          </w:tcPr>
          <w:p w14:paraId="6078E247">
            <w:pPr>
              <w:jc w:val="center"/>
              <w:rPr>
                <w:rFonts w:hint="eastAsia" w:ascii="宋体" w:hAnsi="宋体" w:cs="宋体"/>
                <w:szCs w:val="21"/>
                <w:highlight w:val="none"/>
              </w:rPr>
            </w:pPr>
          </w:p>
        </w:tc>
        <w:tc>
          <w:tcPr>
            <w:tcW w:w="858" w:type="dxa"/>
            <w:vAlign w:val="center"/>
          </w:tcPr>
          <w:p w14:paraId="0DECD3A6">
            <w:pPr>
              <w:jc w:val="center"/>
              <w:rPr>
                <w:rFonts w:hint="eastAsia" w:ascii="宋体" w:hAnsi="宋体" w:cs="宋体"/>
                <w:szCs w:val="21"/>
                <w:highlight w:val="none"/>
              </w:rPr>
            </w:pPr>
          </w:p>
        </w:tc>
        <w:tc>
          <w:tcPr>
            <w:tcW w:w="859" w:type="dxa"/>
            <w:vAlign w:val="center"/>
          </w:tcPr>
          <w:p w14:paraId="28C54EA0">
            <w:pPr>
              <w:jc w:val="center"/>
              <w:rPr>
                <w:rFonts w:hint="eastAsia" w:ascii="宋体" w:hAnsi="宋体" w:cs="宋体"/>
                <w:szCs w:val="21"/>
                <w:highlight w:val="none"/>
              </w:rPr>
            </w:pPr>
          </w:p>
        </w:tc>
      </w:tr>
      <w:tr w14:paraId="3687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82" w:type="dxa"/>
            <w:vAlign w:val="center"/>
          </w:tcPr>
          <w:p w14:paraId="0D068319">
            <w:pPr>
              <w:jc w:val="center"/>
              <w:rPr>
                <w:rFonts w:hint="eastAsia" w:ascii="宋体" w:hAnsi="宋体" w:cs="宋体"/>
                <w:szCs w:val="21"/>
                <w:highlight w:val="none"/>
              </w:rPr>
            </w:pPr>
            <w:r>
              <w:rPr>
                <w:rFonts w:hint="eastAsia" w:ascii="宋体" w:hAnsi="宋体" w:cs="宋体"/>
                <w:szCs w:val="21"/>
                <w:highlight w:val="none"/>
              </w:rPr>
              <w:t>8</w:t>
            </w:r>
          </w:p>
        </w:tc>
        <w:tc>
          <w:tcPr>
            <w:tcW w:w="8702" w:type="dxa"/>
            <w:vAlign w:val="center"/>
          </w:tcPr>
          <w:p w14:paraId="1F3A393A">
            <w:pPr>
              <w:jc w:val="left"/>
              <w:rPr>
                <w:rFonts w:hint="eastAsia" w:ascii="宋体" w:hAnsi="宋体" w:cs="宋体"/>
                <w:szCs w:val="21"/>
                <w:highlight w:val="none"/>
              </w:rPr>
            </w:pPr>
            <w:r>
              <w:rPr>
                <w:rFonts w:hint="eastAsia" w:ascii="宋体" w:hAnsi="宋体" w:cs="宋体"/>
                <w:szCs w:val="21"/>
                <w:highlight w:val="none"/>
              </w:rPr>
              <w:t>未按招标文件要求递交投标保证金；</w:t>
            </w:r>
          </w:p>
        </w:tc>
        <w:tc>
          <w:tcPr>
            <w:tcW w:w="858" w:type="dxa"/>
            <w:vAlign w:val="center"/>
          </w:tcPr>
          <w:p w14:paraId="30EC09C8">
            <w:pPr>
              <w:jc w:val="center"/>
              <w:rPr>
                <w:rFonts w:hint="eastAsia" w:ascii="宋体" w:hAnsi="宋体" w:cs="宋体"/>
                <w:szCs w:val="21"/>
                <w:highlight w:val="none"/>
              </w:rPr>
            </w:pPr>
          </w:p>
        </w:tc>
        <w:tc>
          <w:tcPr>
            <w:tcW w:w="858" w:type="dxa"/>
            <w:vAlign w:val="center"/>
          </w:tcPr>
          <w:p w14:paraId="4B1D0BCA">
            <w:pPr>
              <w:jc w:val="center"/>
              <w:rPr>
                <w:rFonts w:hint="eastAsia" w:ascii="宋体" w:hAnsi="宋体" w:cs="宋体"/>
                <w:szCs w:val="21"/>
                <w:highlight w:val="none"/>
              </w:rPr>
            </w:pPr>
          </w:p>
        </w:tc>
        <w:tc>
          <w:tcPr>
            <w:tcW w:w="859" w:type="dxa"/>
            <w:vAlign w:val="center"/>
          </w:tcPr>
          <w:p w14:paraId="49B5D292">
            <w:pPr>
              <w:jc w:val="center"/>
              <w:rPr>
                <w:rFonts w:hint="eastAsia" w:ascii="宋体" w:hAnsi="宋体" w:cs="宋体"/>
                <w:szCs w:val="21"/>
                <w:highlight w:val="none"/>
              </w:rPr>
            </w:pPr>
          </w:p>
        </w:tc>
        <w:tc>
          <w:tcPr>
            <w:tcW w:w="858" w:type="dxa"/>
            <w:vAlign w:val="center"/>
          </w:tcPr>
          <w:p w14:paraId="0B8D3EF5">
            <w:pPr>
              <w:jc w:val="center"/>
              <w:rPr>
                <w:rFonts w:hint="eastAsia" w:ascii="宋体" w:hAnsi="宋体" w:cs="宋体"/>
                <w:szCs w:val="21"/>
                <w:highlight w:val="none"/>
              </w:rPr>
            </w:pPr>
          </w:p>
        </w:tc>
        <w:tc>
          <w:tcPr>
            <w:tcW w:w="858" w:type="dxa"/>
            <w:vAlign w:val="center"/>
          </w:tcPr>
          <w:p w14:paraId="125E9566">
            <w:pPr>
              <w:jc w:val="center"/>
              <w:rPr>
                <w:rFonts w:hint="eastAsia" w:ascii="宋体" w:hAnsi="宋体" w:cs="宋体"/>
                <w:szCs w:val="21"/>
                <w:highlight w:val="none"/>
              </w:rPr>
            </w:pPr>
          </w:p>
        </w:tc>
        <w:tc>
          <w:tcPr>
            <w:tcW w:w="859" w:type="dxa"/>
            <w:vAlign w:val="center"/>
          </w:tcPr>
          <w:p w14:paraId="4E951935">
            <w:pPr>
              <w:jc w:val="center"/>
              <w:rPr>
                <w:rFonts w:hint="eastAsia" w:ascii="宋体" w:hAnsi="宋体" w:cs="宋体"/>
                <w:szCs w:val="21"/>
                <w:highlight w:val="none"/>
              </w:rPr>
            </w:pPr>
          </w:p>
        </w:tc>
      </w:tr>
      <w:tr w14:paraId="36C4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682" w:type="dxa"/>
            <w:vAlign w:val="center"/>
          </w:tcPr>
          <w:p w14:paraId="0BE75B0E">
            <w:pPr>
              <w:jc w:val="center"/>
              <w:rPr>
                <w:rFonts w:hint="eastAsia" w:ascii="宋体" w:hAnsi="宋体" w:cs="宋体"/>
                <w:szCs w:val="21"/>
                <w:highlight w:val="none"/>
              </w:rPr>
            </w:pPr>
            <w:r>
              <w:rPr>
                <w:rFonts w:hint="eastAsia" w:ascii="宋体" w:hAnsi="宋体" w:cs="宋体"/>
                <w:szCs w:val="21"/>
                <w:highlight w:val="none"/>
              </w:rPr>
              <w:t>9</w:t>
            </w:r>
          </w:p>
        </w:tc>
        <w:tc>
          <w:tcPr>
            <w:tcW w:w="8702" w:type="dxa"/>
            <w:vAlign w:val="center"/>
          </w:tcPr>
          <w:p w14:paraId="3A03A0DB">
            <w:pPr>
              <w:jc w:val="left"/>
              <w:rPr>
                <w:rFonts w:hint="eastAsia" w:ascii="宋体" w:hAnsi="宋体" w:cs="宋体"/>
                <w:szCs w:val="21"/>
                <w:highlight w:val="none"/>
              </w:rPr>
            </w:pPr>
            <w:r>
              <w:rPr>
                <w:rFonts w:hint="eastAsia" w:ascii="宋体" w:hAnsi="宋体" w:cs="宋体"/>
                <w:szCs w:val="21"/>
                <w:highlight w:val="none"/>
              </w:rPr>
              <w:t>投标人与其他投标人加密打包投标文件电脑机器特征码一致的(以广州交易集团有限公司（广州公共资源交易中心）交易平台评标系统的检索信息为准)；</w:t>
            </w:r>
          </w:p>
        </w:tc>
        <w:tc>
          <w:tcPr>
            <w:tcW w:w="858" w:type="dxa"/>
            <w:vAlign w:val="center"/>
          </w:tcPr>
          <w:p w14:paraId="52CC947D">
            <w:pPr>
              <w:jc w:val="center"/>
              <w:rPr>
                <w:rFonts w:hint="eastAsia" w:ascii="宋体" w:hAnsi="宋体" w:cs="宋体"/>
                <w:szCs w:val="21"/>
                <w:highlight w:val="none"/>
              </w:rPr>
            </w:pPr>
          </w:p>
        </w:tc>
        <w:tc>
          <w:tcPr>
            <w:tcW w:w="858" w:type="dxa"/>
            <w:vAlign w:val="center"/>
          </w:tcPr>
          <w:p w14:paraId="38266FC6">
            <w:pPr>
              <w:jc w:val="center"/>
              <w:rPr>
                <w:rFonts w:hint="eastAsia" w:ascii="宋体" w:hAnsi="宋体" w:cs="宋体"/>
                <w:szCs w:val="21"/>
                <w:highlight w:val="none"/>
              </w:rPr>
            </w:pPr>
          </w:p>
        </w:tc>
        <w:tc>
          <w:tcPr>
            <w:tcW w:w="859" w:type="dxa"/>
            <w:vAlign w:val="center"/>
          </w:tcPr>
          <w:p w14:paraId="3F45B669">
            <w:pPr>
              <w:jc w:val="center"/>
              <w:rPr>
                <w:rFonts w:hint="eastAsia" w:ascii="宋体" w:hAnsi="宋体" w:cs="宋体"/>
                <w:szCs w:val="21"/>
                <w:highlight w:val="none"/>
              </w:rPr>
            </w:pPr>
          </w:p>
        </w:tc>
        <w:tc>
          <w:tcPr>
            <w:tcW w:w="858" w:type="dxa"/>
            <w:vAlign w:val="center"/>
          </w:tcPr>
          <w:p w14:paraId="57E4E290">
            <w:pPr>
              <w:jc w:val="center"/>
              <w:rPr>
                <w:rFonts w:hint="eastAsia" w:ascii="宋体" w:hAnsi="宋体" w:cs="宋体"/>
                <w:szCs w:val="21"/>
                <w:highlight w:val="none"/>
              </w:rPr>
            </w:pPr>
          </w:p>
        </w:tc>
        <w:tc>
          <w:tcPr>
            <w:tcW w:w="858" w:type="dxa"/>
            <w:vAlign w:val="center"/>
          </w:tcPr>
          <w:p w14:paraId="554A180B">
            <w:pPr>
              <w:jc w:val="center"/>
              <w:rPr>
                <w:rFonts w:hint="eastAsia" w:ascii="宋体" w:hAnsi="宋体" w:cs="宋体"/>
                <w:szCs w:val="21"/>
                <w:highlight w:val="none"/>
              </w:rPr>
            </w:pPr>
          </w:p>
        </w:tc>
        <w:tc>
          <w:tcPr>
            <w:tcW w:w="859" w:type="dxa"/>
            <w:vAlign w:val="center"/>
          </w:tcPr>
          <w:p w14:paraId="6E9E0345">
            <w:pPr>
              <w:jc w:val="center"/>
              <w:rPr>
                <w:rFonts w:hint="eastAsia" w:ascii="宋体" w:hAnsi="宋体" w:cs="宋体"/>
                <w:szCs w:val="21"/>
                <w:highlight w:val="none"/>
              </w:rPr>
            </w:pPr>
          </w:p>
        </w:tc>
      </w:tr>
      <w:tr w14:paraId="7D9D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82" w:type="dxa"/>
            <w:vAlign w:val="center"/>
          </w:tcPr>
          <w:p w14:paraId="6B387AA9">
            <w:pPr>
              <w:jc w:val="center"/>
              <w:rPr>
                <w:rFonts w:hint="eastAsia" w:ascii="宋体" w:hAnsi="宋体" w:cs="宋体"/>
                <w:szCs w:val="21"/>
                <w:highlight w:val="none"/>
              </w:rPr>
            </w:pPr>
            <w:r>
              <w:rPr>
                <w:rFonts w:hint="eastAsia" w:ascii="宋体" w:hAnsi="宋体" w:cs="宋体"/>
                <w:szCs w:val="21"/>
                <w:highlight w:val="none"/>
              </w:rPr>
              <w:t>10</w:t>
            </w:r>
          </w:p>
        </w:tc>
        <w:tc>
          <w:tcPr>
            <w:tcW w:w="8702" w:type="dxa"/>
            <w:vAlign w:val="center"/>
          </w:tcPr>
          <w:p w14:paraId="51CECF9C">
            <w:pPr>
              <w:jc w:val="left"/>
              <w:rPr>
                <w:rFonts w:hint="eastAsia" w:ascii="宋体" w:hAnsi="宋体" w:cs="宋体"/>
                <w:szCs w:val="21"/>
                <w:highlight w:val="none"/>
              </w:rPr>
            </w:pPr>
            <w:r>
              <w:rPr>
                <w:rFonts w:hint="eastAsia" w:ascii="宋体" w:hAnsi="宋体" w:cs="宋体"/>
                <w:szCs w:val="21"/>
                <w:highlight w:val="none"/>
              </w:rPr>
              <w:t>存在串通投标情形（串通投标情形以《中华人民共和国招标投标法实施条例》的规定为准）；</w:t>
            </w:r>
          </w:p>
        </w:tc>
        <w:tc>
          <w:tcPr>
            <w:tcW w:w="858" w:type="dxa"/>
            <w:vAlign w:val="center"/>
          </w:tcPr>
          <w:p w14:paraId="41DE536A">
            <w:pPr>
              <w:jc w:val="center"/>
              <w:rPr>
                <w:rFonts w:hint="eastAsia" w:ascii="宋体" w:hAnsi="宋体" w:cs="宋体"/>
                <w:szCs w:val="21"/>
                <w:highlight w:val="none"/>
              </w:rPr>
            </w:pPr>
          </w:p>
        </w:tc>
        <w:tc>
          <w:tcPr>
            <w:tcW w:w="858" w:type="dxa"/>
            <w:vAlign w:val="center"/>
          </w:tcPr>
          <w:p w14:paraId="21831EBE">
            <w:pPr>
              <w:jc w:val="center"/>
              <w:rPr>
                <w:rFonts w:hint="eastAsia" w:ascii="宋体" w:hAnsi="宋体" w:cs="宋体"/>
                <w:szCs w:val="21"/>
                <w:highlight w:val="none"/>
              </w:rPr>
            </w:pPr>
          </w:p>
        </w:tc>
        <w:tc>
          <w:tcPr>
            <w:tcW w:w="859" w:type="dxa"/>
            <w:vAlign w:val="center"/>
          </w:tcPr>
          <w:p w14:paraId="2F9B9B01">
            <w:pPr>
              <w:jc w:val="center"/>
              <w:rPr>
                <w:rFonts w:hint="eastAsia" w:ascii="宋体" w:hAnsi="宋体" w:cs="宋体"/>
                <w:szCs w:val="21"/>
                <w:highlight w:val="none"/>
              </w:rPr>
            </w:pPr>
          </w:p>
        </w:tc>
        <w:tc>
          <w:tcPr>
            <w:tcW w:w="858" w:type="dxa"/>
            <w:vAlign w:val="center"/>
          </w:tcPr>
          <w:p w14:paraId="57F0F26D">
            <w:pPr>
              <w:jc w:val="center"/>
              <w:rPr>
                <w:rFonts w:hint="eastAsia" w:ascii="宋体" w:hAnsi="宋体" w:cs="宋体"/>
                <w:szCs w:val="21"/>
                <w:highlight w:val="none"/>
              </w:rPr>
            </w:pPr>
          </w:p>
        </w:tc>
        <w:tc>
          <w:tcPr>
            <w:tcW w:w="858" w:type="dxa"/>
            <w:vAlign w:val="center"/>
          </w:tcPr>
          <w:p w14:paraId="3C8DDEC8">
            <w:pPr>
              <w:jc w:val="center"/>
              <w:rPr>
                <w:rFonts w:hint="eastAsia" w:ascii="宋体" w:hAnsi="宋体" w:cs="宋体"/>
                <w:szCs w:val="21"/>
                <w:highlight w:val="none"/>
              </w:rPr>
            </w:pPr>
          </w:p>
        </w:tc>
        <w:tc>
          <w:tcPr>
            <w:tcW w:w="859" w:type="dxa"/>
            <w:vAlign w:val="center"/>
          </w:tcPr>
          <w:p w14:paraId="21A0629A">
            <w:pPr>
              <w:jc w:val="center"/>
              <w:rPr>
                <w:rFonts w:hint="eastAsia" w:ascii="宋体" w:hAnsi="宋体" w:cs="宋体"/>
                <w:szCs w:val="21"/>
                <w:highlight w:val="none"/>
              </w:rPr>
            </w:pPr>
          </w:p>
        </w:tc>
      </w:tr>
      <w:tr w14:paraId="151B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384" w:type="dxa"/>
            <w:gridSpan w:val="2"/>
            <w:tcBorders>
              <w:top w:val="single" w:color="auto" w:sz="4" w:space="0"/>
              <w:left w:val="single" w:color="auto" w:sz="4" w:space="0"/>
              <w:bottom w:val="single" w:color="auto" w:sz="4" w:space="0"/>
              <w:right w:val="single" w:color="auto" w:sz="4" w:space="0"/>
            </w:tcBorders>
            <w:vAlign w:val="center"/>
          </w:tcPr>
          <w:p w14:paraId="4717B4F1">
            <w:pPr>
              <w:jc w:val="center"/>
              <w:rPr>
                <w:rFonts w:hint="eastAsia" w:ascii="宋体" w:hAnsi="宋体" w:cs="宋体"/>
                <w:szCs w:val="21"/>
                <w:highlight w:val="none"/>
              </w:rPr>
            </w:pPr>
            <w:r>
              <w:rPr>
                <w:rFonts w:hint="eastAsia" w:ascii="宋体" w:hAnsi="宋体" w:cs="宋体"/>
                <w:szCs w:val="21"/>
                <w:highlight w:val="none"/>
              </w:rPr>
              <w:t>结论（通过/不通过）</w:t>
            </w:r>
          </w:p>
        </w:tc>
        <w:tc>
          <w:tcPr>
            <w:tcW w:w="858" w:type="dxa"/>
            <w:tcBorders>
              <w:top w:val="single" w:color="auto" w:sz="4" w:space="0"/>
              <w:left w:val="single" w:color="auto" w:sz="4" w:space="0"/>
              <w:bottom w:val="single" w:color="auto" w:sz="4" w:space="0"/>
              <w:right w:val="single" w:color="auto" w:sz="4" w:space="0"/>
            </w:tcBorders>
            <w:vAlign w:val="center"/>
          </w:tcPr>
          <w:p w14:paraId="710F04DD">
            <w:pPr>
              <w:jc w:val="center"/>
              <w:rPr>
                <w:rFonts w:hint="eastAsia" w:ascii="宋体" w:hAnsi="宋体" w:cs="宋体"/>
                <w:szCs w:val="21"/>
                <w:highlight w:val="none"/>
              </w:rPr>
            </w:pPr>
          </w:p>
        </w:tc>
        <w:tc>
          <w:tcPr>
            <w:tcW w:w="858" w:type="dxa"/>
            <w:tcBorders>
              <w:top w:val="single" w:color="auto" w:sz="4" w:space="0"/>
              <w:left w:val="single" w:color="auto" w:sz="4" w:space="0"/>
              <w:bottom w:val="single" w:color="auto" w:sz="4" w:space="0"/>
              <w:right w:val="single" w:color="auto" w:sz="4" w:space="0"/>
            </w:tcBorders>
            <w:vAlign w:val="center"/>
          </w:tcPr>
          <w:p w14:paraId="2C0CD449">
            <w:pPr>
              <w:jc w:val="center"/>
              <w:rPr>
                <w:rFonts w:hint="eastAsia" w:ascii="宋体" w:hAnsi="宋体" w:cs="宋体"/>
                <w:szCs w:val="21"/>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2ACAC627">
            <w:pPr>
              <w:jc w:val="center"/>
              <w:rPr>
                <w:rFonts w:hint="eastAsia" w:ascii="宋体" w:hAnsi="宋体" w:cs="宋体"/>
                <w:szCs w:val="21"/>
                <w:highlight w:val="none"/>
              </w:rPr>
            </w:pPr>
          </w:p>
        </w:tc>
        <w:tc>
          <w:tcPr>
            <w:tcW w:w="858" w:type="dxa"/>
            <w:tcBorders>
              <w:top w:val="single" w:color="auto" w:sz="4" w:space="0"/>
              <w:left w:val="single" w:color="auto" w:sz="4" w:space="0"/>
              <w:bottom w:val="single" w:color="auto" w:sz="4" w:space="0"/>
              <w:right w:val="single" w:color="auto" w:sz="4" w:space="0"/>
            </w:tcBorders>
            <w:vAlign w:val="center"/>
          </w:tcPr>
          <w:p w14:paraId="12027623">
            <w:pPr>
              <w:jc w:val="center"/>
              <w:rPr>
                <w:rFonts w:hint="eastAsia" w:ascii="宋体" w:hAnsi="宋体" w:cs="宋体"/>
                <w:szCs w:val="21"/>
                <w:highlight w:val="none"/>
              </w:rPr>
            </w:pPr>
          </w:p>
        </w:tc>
        <w:tc>
          <w:tcPr>
            <w:tcW w:w="858" w:type="dxa"/>
            <w:tcBorders>
              <w:top w:val="single" w:color="auto" w:sz="4" w:space="0"/>
              <w:left w:val="single" w:color="auto" w:sz="4" w:space="0"/>
              <w:bottom w:val="single" w:color="auto" w:sz="4" w:space="0"/>
              <w:right w:val="single" w:color="auto" w:sz="4" w:space="0"/>
            </w:tcBorders>
            <w:vAlign w:val="center"/>
          </w:tcPr>
          <w:p w14:paraId="2A9D8910">
            <w:pPr>
              <w:jc w:val="center"/>
              <w:rPr>
                <w:rFonts w:hint="eastAsia" w:ascii="宋体" w:hAnsi="宋体" w:cs="宋体"/>
                <w:szCs w:val="21"/>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4B1C7970">
            <w:pPr>
              <w:jc w:val="center"/>
              <w:rPr>
                <w:rFonts w:hint="eastAsia" w:ascii="宋体" w:hAnsi="宋体" w:cs="宋体"/>
                <w:szCs w:val="21"/>
                <w:highlight w:val="none"/>
              </w:rPr>
            </w:pPr>
          </w:p>
        </w:tc>
      </w:tr>
    </w:tbl>
    <w:p w14:paraId="771A9FEA">
      <w:pPr>
        <w:spacing w:line="240" w:lineRule="exact"/>
        <w:rPr>
          <w:rFonts w:hint="eastAsia" w:ascii="宋体" w:hAnsi="宋体" w:cs="宋体"/>
          <w:szCs w:val="21"/>
          <w:highlight w:val="none"/>
        </w:rPr>
      </w:pPr>
      <w:r>
        <w:rPr>
          <w:rFonts w:hint="eastAsia" w:ascii="宋体" w:hAnsi="宋体" w:cs="宋体"/>
          <w:szCs w:val="21"/>
          <w:highlight w:val="none"/>
        </w:rPr>
        <w:t>注：1.凡出现以上任何一项情形，均为无效，否则视为有效。</w:t>
      </w:r>
    </w:p>
    <w:p w14:paraId="76E122D3">
      <w:pPr>
        <w:spacing w:line="240" w:lineRule="exact"/>
        <w:ind w:firstLine="420" w:firstLineChars="200"/>
        <w:rPr>
          <w:rFonts w:hint="eastAsia" w:ascii="宋体" w:hAnsi="宋体" w:cs="宋体"/>
          <w:szCs w:val="21"/>
          <w:highlight w:val="none"/>
        </w:rPr>
      </w:pPr>
      <w:r>
        <w:rPr>
          <w:rFonts w:hint="eastAsia" w:ascii="宋体" w:hAnsi="宋体" w:cs="宋体"/>
          <w:szCs w:val="21"/>
          <w:highlight w:val="none"/>
        </w:rPr>
        <w:t>2.如对本表中某种情形的评审意见不一致时，以评审组过半数成员的意见作为评审组对该情形的认定结论。</w:t>
      </w:r>
    </w:p>
    <w:p w14:paraId="796597E6">
      <w:pPr>
        <w:ind w:firstLine="422" w:firstLineChars="200"/>
        <w:rPr>
          <w:rFonts w:hint="eastAsia" w:ascii="宋体" w:hAnsi="宋体" w:cs="宋体"/>
          <w:b/>
          <w:bCs/>
          <w:szCs w:val="21"/>
          <w:highlight w:val="none"/>
        </w:rPr>
      </w:pPr>
      <w:r>
        <w:rPr>
          <w:rFonts w:hint="eastAsia" w:ascii="宋体" w:hAnsi="宋体"/>
          <w:b/>
          <w:szCs w:val="21"/>
          <w:highlight w:val="none"/>
        </w:rPr>
        <w:t>3.</w:t>
      </w:r>
      <w:r>
        <w:rPr>
          <w:rFonts w:ascii="宋体" w:hAnsi="宋体" w:cs="宋体"/>
          <w:b/>
          <w:bCs/>
          <w:szCs w:val="21"/>
          <w:highlight w:val="none"/>
        </w:rPr>
        <w:t>不得将</w:t>
      </w:r>
      <w:r>
        <w:rPr>
          <w:rFonts w:hint="eastAsia" w:ascii="宋体" w:hAnsi="宋体" w:cs="宋体"/>
          <w:b/>
          <w:bCs/>
          <w:szCs w:val="21"/>
          <w:highlight w:val="none"/>
        </w:rPr>
        <w:t>文件顺序、</w:t>
      </w:r>
      <w:r>
        <w:rPr>
          <w:rFonts w:ascii="宋体" w:hAnsi="宋体" w:cs="宋体"/>
          <w:b/>
          <w:bCs/>
          <w:szCs w:val="21"/>
          <w:highlight w:val="none"/>
        </w:rPr>
        <w:t>明显的文字错误等列为否</w:t>
      </w:r>
      <w:r>
        <w:rPr>
          <w:rFonts w:hint="eastAsia" w:ascii="宋体" w:hAnsi="宋体" w:cs="宋体"/>
          <w:b/>
          <w:bCs/>
          <w:szCs w:val="21"/>
          <w:highlight w:val="none"/>
        </w:rPr>
        <w:t>决</w:t>
      </w:r>
      <w:r>
        <w:rPr>
          <w:rFonts w:ascii="宋体" w:hAnsi="宋体" w:cs="宋体"/>
          <w:b/>
          <w:bCs/>
          <w:szCs w:val="21"/>
          <w:highlight w:val="none"/>
        </w:rPr>
        <w:t>投标的</w:t>
      </w:r>
      <w:r>
        <w:rPr>
          <w:rFonts w:hint="eastAsia" w:ascii="宋体" w:hAnsi="宋体" w:cs="宋体"/>
          <w:b/>
          <w:bCs/>
          <w:szCs w:val="21"/>
          <w:highlight w:val="none"/>
        </w:rPr>
        <w:t>情形。评委</w:t>
      </w:r>
      <w:r>
        <w:rPr>
          <w:rFonts w:ascii="宋体" w:hAnsi="宋体" w:cs="宋体"/>
          <w:b/>
          <w:bCs/>
          <w:szCs w:val="21"/>
          <w:highlight w:val="none"/>
        </w:rPr>
        <w:t>发现投标</w:t>
      </w:r>
      <w:r>
        <w:rPr>
          <w:rFonts w:hint="eastAsia" w:ascii="宋体" w:hAnsi="宋体" w:cs="宋体"/>
          <w:b/>
          <w:bCs/>
          <w:szCs w:val="21"/>
          <w:highlight w:val="none"/>
        </w:rPr>
        <w:t>文件</w:t>
      </w:r>
      <w:r>
        <w:rPr>
          <w:rFonts w:ascii="宋体" w:hAnsi="宋体" w:cs="宋体"/>
          <w:b/>
          <w:bCs/>
          <w:szCs w:val="21"/>
          <w:highlight w:val="none"/>
        </w:rPr>
        <w:t>中</w:t>
      </w:r>
      <w:r>
        <w:rPr>
          <w:rFonts w:hint="eastAsia" w:ascii="宋体" w:hAnsi="宋体" w:cs="宋体"/>
          <w:b/>
          <w:bCs/>
          <w:szCs w:val="21"/>
          <w:highlight w:val="none"/>
        </w:rPr>
        <w:t>含义不明确</w:t>
      </w:r>
      <w:r>
        <w:rPr>
          <w:rFonts w:ascii="宋体" w:hAnsi="宋体" w:cs="宋体"/>
          <w:b/>
          <w:bCs/>
          <w:szCs w:val="21"/>
          <w:highlight w:val="none"/>
        </w:rPr>
        <w:t>、对同类问题表述不一致、有明显</w:t>
      </w:r>
      <w:r>
        <w:rPr>
          <w:rFonts w:hint="eastAsia" w:ascii="宋体" w:hAnsi="宋体" w:cs="宋体"/>
          <w:b/>
          <w:bCs/>
          <w:szCs w:val="21"/>
          <w:highlight w:val="none"/>
        </w:rPr>
        <w:t>文字</w:t>
      </w:r>
      <w:r>
        <w:rPr>
          <w:rFonts w:ascii="宋体" w:hAnsi="宋体" w:cs="宋体"/>
          <w:b/>
          <w:bCs/>
          <w:szCs w:val="21"/>
          <w:highlight w:val="none"/>
        </w:rPr>
        <w:t>和计算错误</w:t>
      </w:r>
      <w:r>
        <w:rPr>
          <w:rFonts w:hint="eastAsia" w:ascii="宋体" w:hAnsi="宋体" w:cs="宋体"/>
          <w:b/>
          <w:bCs/>
          <w:szCs w:val="21"/>
          <w:highlight w:val="none"/>
        </w:rPr>
        <w:t>、</w:t>
      </w:r>
      <w:r>
        <w:rPr>
          <w:rFonts w:ascii="宋体" w:hAnsi="宋体" w:cs="宋体"/>
          <w:b/>
          <w:bCs/>
          <w:szCs w:val="21"/>
          <w:highlight w:val="none"/>
        </w:rPr>
        <w:t>投标报价可能低于成本影响履约的，应当</w:t>
      </w:r>
      <w:r>
        <w:rPr>
          <w:rFonts w:hint="eastAsia" w:ascii="宋体" w:hAnsi="宋体" w:cs="宋体"/>
          <w:b/>
          <w:bCs/>
          <w:szCs w:val="21"/>
          <w:highlight w:val="none"/>
        </w:rPr>
        <w:t>要求</w:t>
      </w:r>
      <w:r>
        <w:rPr>
          <w:rFonts w:ascii="宋体" w:hAnsi="宋体" w:cs="宋体"/>
          <w:b/>
          <w:bCs/>
          <w:szCs w:val="21"/>
          <w:highlight w:val="none"/>
        </w:rPr>
        <w:t>投标人作必要的澄清、说明</w:t>
      </w:r>
      <w:r>
        <w:rPr>
          <w:rFonts w:hint="eastAsia" w:ascii="宋体" w:hAnsi="宋体" w:cs="宋体"/>
          <w:b/>
          <w:bCs/>
          <w:szCs w:val="21"/>
          <w:highlight w:val="none"/>
        </w:rPr>
        <w:t>后再判定投标人是否通过有效性审查</w:t>
      </w:r>
      <w:r>
        <w:rPr>
          <w:rFonts w:ascii="宋体" w:hAnsi="宋体" w:cs="宋体"/>
          <w:b/>
          <w:bCs/>
          <w:szCs w:val="21"/>
          <w:highlight w:val="none"/>
        </w:rPr>
        <w:t>，不得直接否决投标</w:t>
      </w:r>
      <w:r>
        <w:rPr>
          <w:rFonts w:hint="eastAsia" w:ascii="宋体" w:hAnsi="宋体" w:cs="宋体"/>
          <w:b/>
          <w:bCs/>
          <w:szCs w:val="21"/>
          <w:highlight w:val="none"/>
        </w:rPr>
        <w:t>。</w:t>
      </w:r>
    </w:p>
    <w:p w14:paraId="136249DE">
      <w:pPr>
        <w:ind w:firstLine="420" w:firstLineChars="200"/>
        <w:rPr>
          <w:rFonts w:hint="eastAsia" w:ascii="宋体" w:hAnsi="宋体" w:cs="宋体"/>
          <w:szCs w:val="21"/>
          <w:highlight w:val="none"/>
        </w:rPr>
      </w:pPr>
      <w:r>
        <w:rPr>
          <w:rFonts w:hint="eastAsia" w:ascii="宋体" w:hAnsi="宋体" w:cs="宋体"/>
          <w:szCs w:val="21"/>
          <w:highlight w:val="none"/>
        </w:rPr>
        <w:t>评委签名：                                                                                                     日期：</w:t>
      </w:r>
    </w:p>
    <w:p w14:paraId="1D2EE624">
      <w:pPr>
        <w:jc w:val="left"/>
        <w:rPr>
          <w:rFonts w:hint="eastAsia" w:ascii="宋体" w:hAnsi="宋体" w:cs="宋体"/>
          <w:b/>
          <w:sz w:val="28"/>
          <w:szCs w:val="28"/>
          <w:highlight w:val="none"/>
        </w:rPr>
      </w:pPr>
      <w:r>
        <w:rPr>
          <w:rFonts w:hint="eastAsia" w:ascii="宋体" w:hAnsi="宋体" w:cs="宋体"/>
          <w:sz w:val="24"/>
          <w:szCs w:val="24"/>
          <w:highlight w:val="none"/>
        </w:rPr>
        <w:br w:type="page"/>
      </w:r>
      <w:r>
        <w:rPr>
          <w:rFonts w:hint="eastAsia" w:ascii="宋体" w:hAnsi="宋体" w:cs="宋体"/>
          <w:b/>
          <w:sz w:val="28"/>
          <w:szCs w:val="28"/>
          <w:highlight w:val="none"/>
        </w:rPr>
        <w:t>附表5：</w:t>
      </w:r>
    </w:p>
    <w:p w14:paraId="224E12A6">
      <w:pPr>
        <w:jc w:val="center"/>
        <w:rPr>
          <w:b/>
          <w:sz w:val="32"/>
          <w:szCs w:val="32"/>
          <w:highlight w:val="none"/>
        </w:rPr>
      </w:pPr>
      <w:r>
        <w:rPr>
          <w:rFonts w:hint="eastAsia"/>
          <w:b/>
          <w:sz w:val="32"/>
          <w:szCs w:val="32"/>
          <w:highlight w:val="none"/>
          <w:lang w:val="zh-TW"/>
        </w:rPr>
        <w:t>工程总承包实施方案投标文件详细审查评分表</w:t>
      </w:r>
    </w:p>
    <w:tbl>
      <w:tblPr>
        <w:tblStyle w:val="41"/>
        <w:tblW w:w="13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881"/>
        <w:gridCol w:w="1053"/>
        <w:gridCol w:w="9493"/>
        <w:gridCol w:w="1673"/>
      </w:tblGrid>
      <w:tr w14:paraId="1AB9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blHeader/>
        </w:trPr>
        <w:tc>
          <w:tcPr>
            <w:tcW w:w="727" w:type="dxa"/>
            <w:vAlign w:val="center"/>
          </w:tcPr>
          <w:p w14:paraId="36FFD01F">
            <w:pPr>
              <w:spacing w:line="360" w:lineRule="auto"/>
              <w:rPr>
                <w:rFonts w:hint="eastAsia" w:ascii="宋体" w:hAnsi="宋体" w:cs="宋体"/>
                <w:b/>
                <w:kern w:val="0"/>
                <w:szCs w:val="21"/>
                <w:highlight w:val="none"/>
              </w:rPr>
            </w:pPr>
            <w:r>
              <w:rPr>
                <w:rFonts w:hint="eastAsia" w:ascii="宋体" w:hAnsi="宋体" w:cs="宋体"/>
                <w:b/>
                <w:kern w:val="0"/>
                <w:szCs w:val="21"/>
                <w:highlight w:val="none"/>
              </w:rPr>
              <w:t>序号</w:t>
            </w:r>
          </w:p>
        </w:tc>
        <w:tc>
          <w:tcPr>
            <w:tcW w:w="1934" w:type="dxa"/>
            <w:gridSpan w:val="2"/>
            <w:vAlign w:val="center"/>
          </w:tcPr>
          <w:p w14:paraId="3B074B0B">
            <w:pPr>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评审项目</w:t>
            </w:r>
          </w:p>
        </w:tc>
        <w:tc>
          <w:tcPr>
            <w:tcW w:w="9493" w:type="dxa"/>
            <w:vAlign w:val="center"/>
          </w:tcPr>
          <w:p w14:paraId="795DF586">
            <w:pPr>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评分标准</w:t>
            </w:r>
          </w:p>
        </w:tc>
        <w:tc>
          <w:tcPr>
            <w:tcW w:w="1673" w:type="dxa"/>
            <w:vAlign w:val="center"/>
          </w:tcPr>
          <w:p w14:paraId="6E109A7C">
            <w:pPr>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备注</w:t>
            </w:r>
          </w:p>
        </w:tc>
      </w:tr>
      <w:tr w14:paraId="68F8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vMerge w:val="restart"/>
            <w:vAlign w:val="center"/>
          </w:tcPr>
          <w:p w14:paraId="47747804">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一</w:t>
            </w:r>
          </w:p>
        </w:tc>
        <w:tc>
          <w:tcPr>
            <w:tcW w:w="881" w:type="dxa"/>
            <w:vMerge w:val="restart"/>
            <w:vAlign w:val="center"/>
          </w:tcPr>
          <w:p w14:paraId="7784BFE4">
            <w:pPr>
              <w:jc w:val="center"/>
              <w:rPr>
                <w:rFonts w:hint="eastAsia" w:ascii="宋体" w:hAnsi="宋体" w:cs="宋体"/>
                <w:kern w:val="0"/>
                <w:szCs w:val="21"/>
                <w:highlight w:val="none"/>
              </w:rPr>
            </w:pPr>
            <w:r>
              <w:rPr>
                <w:rFonts w:hint="eastAsia" w:ascii="宋体" w:hAnsi="宋体" w:cs="宋体"/>
                <w:kern w:val="0"/>
                <w:szCs w:val="21"/>
                <w:highlight w:val="none"/>
              </w:rPr>
              <w:t>资信部分（</w:t>
            </w:r>
            <w:r>
              <w:rPr>
                <w:rFonts w:hint="eastAsia" w:ascii="宋体" w:hAnsi="宋体" w:cs="宋体"/>
                <w:kern w:val="0"/>
                <w:szCs w:val="21"/>
                <w:highlight w:val="none"/>
                <w:lang w:val="en-US" w:eastAsia="zh-CN"/>
              </w:rPr>
              <w:t>20</w:t>
            </w:r>
            <w:r>
              <w:rPr>
                <w:rFonts w:hint="eastAsia" w:ascii="宋体" w:hAnsi="宋体" w:cs="宋体"/>
                <w:kern w:val="0"/>
                <w:szCs w:val="21"/>
                <w:highlight w:val="none"/>
              </w:rPr>
              <w:t>分）</w:t>
            </w:r>
          </w:p>
        </w:tc>
        <w:tc>
          <w:tcPr>
            <w:tcW w:w="1053" w:type="dxa"/>
            <w:vAlign w:val="center"/>
          </w:tcPr>
          <w:p w14:paraId="23B78AD2">
            <w:pPr>
              <w:jc w:val="center"/>
              <w:rPr>
                <w:rFonts w:hint="eastAsia" w:ascii="宋体" w:hAnsi="宋体" w:cs="宋体"/>
                <w:kern w:val="0"/>
                <w:szCs w:val="21"/>
                <w:highlight w:val="none"/>
              </w:rPr>
            </w:pPr>
            <w:r>
              <w:rPr>
                <w:rFonts w:hint="eastAsia" w:ascii="宋体" w:hAnsi="宋体" w:cs="宋体"/>
                <w:kern w:val="0"/>
                <w:szCs w:val="21"/>
                <w:highlight w:val="none"/>
              </w:rPr>
              <w:t>企业类似业绩（6分）</w:t>
            </w:r>
          </w:p>
        </w:tc>
        <w:tc>
          <w:tcPr>
            <w:tcW w:w="9493" w:type="dxa"/>
            <w:vAlign w:val="center"/>
          </w:tcPr>
          <w:p w14:paraId="5BAD92DA">
            <w:pPr>
              <w:jc w:val="left"/>
              <w:rPr>
                <w:highlight w:val="none"/>
              </w:rPr>
            </w:pPr>
            <w:r>
              <w:rPr>
                <w:rFonts w:hint="eastAsia"/>
                <w:highlight w:val="none"/>
              </w:rPr>
              <w:t>（</w:t>
            </w:r>
            <w:r>
              <w:rPr>
                <w:rFonts w:hint="eastAsia"/>
                <w:highlight w:val="none"/>
                <w:lang w:val="en-US" w:eastAsia="zh-CN"/>
              </w:rPr>
              <w:t>1</w:t>
            </w:r>
            <w:r>
              <w:rPr>
                <w:rFonts w:hint="eastAsia"/>
                <w:highlight w:val="none"/>
              </w:rPr>
              <w:t>）设计业绩：</w:t>
            </w:r>
          </w:p>
          <w:p w14:paraId="44509B95">
            <w:pPr>
              <w:jc w:val="left"/>
              <w:rPr>
                <w:highlight w:val="none"/>
              </w:rPr>
            </w:pPr>
            <w:r>
              <w:rPr>
                <w:rFonts w:hint="eastAsia"/>
                <w:highlight w:val="none"/>
              </w:rPr>
              <w:t>投标人（联合体投标的，由联合体设计方提供）自2021年1月1日至今承接的总投资额大于或等于</w:t>
            </w:r>
            <w:r>
              <w:rPr>
                <w:rFonts w:hint="eastAsia"/>
                <w:highlight w:val="none"/>
                <w:lang w:val="en-US" w:eastAsia="zh-CN"/>
              </w:rPr>
              <w:t>1000</w:t>
            </w:r>
            <w:r>
              <w:rPr>
                <w:rFonts w:hint="eastAsia"/>
                <w:highlight w:val="none"/>
              </w:rPr>
              <w:t>万元的建筑工程设计项目，每项得</w:t>
            </w:r>
            <w:r>
              <w:rPr>
                <w:rFonts w:hint="eastAsia"/>
                <w:highlight w:val="none"/>
                <w:lang w:val="en-US" w:eastAsia="zh-CN"/>
              </w:rPr>
              <w:t>1.5</w:t>
            </w:r>
            <w:r>
              <w:rPr>
                <w:rFonts w:hint="eastAsia"/>
                <w:highlight w:val="none"/>
              </w:rPr>
              <w:t>分，最高</w:t>
            </w:r>
            <w:r>
              <w:rPr>
                <w:rFonts w:hint="eastAsia"/>
                <w:highlight w:val="none"/>
                <w:lang w:val="en-US" w:eastAsia="zh-CN"/>
              </w:rPr>
              <w:t>6</w:t>
            </w:r>
            <w:r>
              <w:rPr>
                <w:rFonts w:hint="eastAsia"/>
                <w:highlight w:val="none"/>
              </w:rPr>
              <w:t>分。</w:t>
            </w:r>
          </w:p>
          <w:p w14:paraId="73B8EF6F">
            <w:pPr>
              <w:rPr>
                <w:highlight w:val="none"/>
              </w:rPr>
            </w:pPr>
            <w:r>
              <w:rPr>
                <w:rFonts w:hint="eastAsia"/>
                <w:highlight w:val="none"/>
              </w:rPr>
              <w:t>注：需同时提供合同关键页、施工图审查合格书。时间以合同签订时间为准，规模以施工图审查合格书为准。</w:t>
            </w:r>
          </w:p>
        </w:tc>
        <w:tc>
          <w:tcPr>
            <w:tcW w:w="1673" w:type="dxa"/>
            <w:vAlign w:val="center"/>
          </w:tcPr>
          <w:p w14:paraId="36B7AB99">
            <w:pPr>
              <w:pStyle w:val="2"/>
              <w:ind w:firstLine="0"/>
              <w:rPr>
                <w:highlight w:val="none"/>
              </w:rPr>
            </w:pPr>
          </w:p>
        </w:tc>
      </w:tr>
      <w:tr w14:paraId="04EF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27" w:type="dxa"/>
            <w:vMerge w:val="continue"/>
            <w:vAlign w:val="center"/>
          </w:tcPr>
          <w:p w14:paraId="46A3C488">
            <w:pPr>
              <w:spacing w:line="360" w:lineRule="auto"/>
              <w:jc w:val="center"/>
              <w:rPr>
                <w:rFonts w:hint="eastAsia" w:ascii="宋体" w:hAnsi="宋体" w:cs="宋体"/>
                <w:kern w:val="0"/>
                <w:szCs w:val="21"/>
                <w:highlight w:val="none"/>
              </w:rPr>
            </w:pPr>
          </w:p>
        </w:tc>
        <w:tc>
          <w:tcPr>
            <w:tcW w:w="881" w:type="dxa"/>
            <w:vMerge w:val="continue"/>
            <w:vAlign w:val="center"/>
          </w:tcPr>
          <w:p w14:paraId="3AE96883">
            <w:pPr>
              <w:jc w:val="center"/>
              <w:rPr>
                <w:rFonts w:hint="eastAsia" w:ascii="宋体" w:hAnsi="宋体" w:cs="宋体"/>
                <w:kern w:val="0"/>
                <w:szCs w:val="21"/>
                <w:highlight w:val="none"/>
              </w:rPr>
            </w:pPr>
          </w:p>
        </w:tc>
        <w:tc>
          <w:tcPr>
            <w:tcW w:w="1053" w:type="dxa"/>
            <w:vAlign w:val="center"/>
          </w:tcPr>
          <w:p w14:paraId="3A2F6DEA">
            <w:pPr>
              <w:jc w:val="center"/>
              <w:rPr>
                <w:rFonts w:hint="eastAsia" w:ascii="宋体" w:hAnsi="宋体" w:cs="宋体"/>
                <w:szCs w:val="21"/>
                <w:highlight w:val="none"/>
              </w:rPr>
            </w:pPr>
            <w:r>
              <w:rPr>
                <w:rFonts w:hint="eastAsia" w:ascii="宋体" w:hAnsi="宋体" w:cs="宋体"/>
                <w:szCs w:val="21"/>
                <w:highlight w:val="none"/>
              </w:rPr>
              <w:t>企业获奖</w:t>
            </w:r>
          </w:p>
          <w:p w14:paraId="15013292">
            <w:pPr>
              <w:jc w:val="center"/>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0</w:t>
            </w:r>
            <w:r>
              <w:rPr>
                <w:rFonts w:hint="eastAsia" w:ascii="宋体" w:hAnsi="宋体" w:cs="宋体"/>
                <w:kern w:val="0"/>
                <w:szCs w:val="21"/>
                <w:highlight w:val="none"/>
              </w:rPr>
              <w:t>分）</w:t>
            </w:r>
          </w:p>
        </w:tc>
        <w:tc>
          <w:tcPr>
            <w:tcW w:w="9493" w:type="dxa"/>
            <w:vAlign w:val="center"/>
          </w:tcPr>
          <w:p w14:paraId="58797A52">
            <w:pPr>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）设计获奖：</w:t>
            </w:r>
          </w:p>
          <w:p w14:paraId="2EDDD9C3">
            <w:pPr>
              <w:rPr>
                <w:rFonts w:ascii="Calibri" w:hAnsi="Calibri"/>
                <w:szCs w:val="21"/>
                <w:highlight w:val="none"/>
              </w:rPr>
            </w:pPr>
            <w:r>
              <w:rPr>
                <w:rFonts w:hint="eastAsia" w:ascii="宋体" w:hAnsi="宋体" w:cs="宋体"/>
                <w:szCs w:val="21"/>
                <w:highlight w:val="none"/>
              </w:rPr>
              <w:t>投标人（如联合体投标的，由联合体设计方提供）自</w:t>
            </w:r>
            <w:r>
              <w:rPr>
                <w:rFonts w:hint="eastAsia" w:ascii="宋体" w:hAnsi="宋体" w:cs="宋体"/>
                <w:szCs w:val="21"/>
                <w:highlight w:val="none"/>
                <w:lang w:val="zh-CN"/>
              </w:rPr>
              <w:t>20</w:t>
            </w:r>
            <w:r>
              <w:rPr>
                <w:rFonts w:hint="eastAsia" w:ascii="宋体" w:hAnsi="宋体" w:cs="宋体"/>
                <w:szCs w:val="21"/>
                <w:highlight w:val="none"/>
              </w:rPr>
              <w:t>21</w:t>
            </w:r>
            <w:r>
              <w:rPr>
                <w:rFonts w:hint="eastAsia" w:ascii="宋体" w:hAnsi="宋体" w:cs="宋体"/>
                <w:szCs w:val="21"/>
                <w:highlight w:val="none"/>
                <w:lang w:val="zh-CN"/>
              </w:rPr>
              <w:t>年1月1日至投标截止时间止，</w:t>
            </w:r>
            <w:r>
              <w:rPr>
                <w:rFonts w:ascii="Calibri" w:hAnsi="Calibri"/>
                <w:szCs w:val="21"/>
                <w:highlight w:val="none"/>
              </w:rPr>
              <w:t>投标人</w:t>
            </w:r>
            <w:r>
              <w:rPr>
                <w:rFonts w:hint="eastAsia" w:ascii="宋体" w:hAnsi="宋体" w:cs="宋体"/>
                <w:szCs w:val="21"/>
                <w:highlight w:val="none"/>
              </w:rPr>
              <w:t>承接的</w:t>
            </w:r>
            <w:r>
              <w:rPr>
                <w:rFonts w:hint="eastAsia" w:ascii="宋体" w:hAnsi="宋体" w:cs="宋体"/>
                <w:szCs w:val="21"/>
                <w:highlight w:val="none"/>
                <w:lang w:val="zh-CN"/>
              </w:rPr>
              <w:t>房建设计项目</w:t>
            </w:r>
            <w:r>
              <w:rPr>
                <w:rFonts w:ascii="Calibri" w:hAnsi="Calibri"/>
                <w:szCs w:val="21"/>
                <w:highlight w:val="none"/>
              </w:rPr>
              <w:t>获得过</w:t>
            </w:r>
            <w:r>
              <w:rPr>
                <w:rFonts w:hint="eastAsia" w:ascii="Calibri" w:hAnsi="Calibri"/>
                <w:szCs w:val="21"/>
                <w:highlight w:val="none"/>
              </w:rPr>
              <w:t>省</w:t>
            </w:r>
            <w:r>
              <w:rPr>
                <w:rFonts w:ascii="Calibri" w:hAnsi="Calibri"/>
                <w:szCs w:val="21"/>
                <w:highlight w:val="none"/>
              </w:rPr>
              <w:t>级</w:t>
            </w:r>
            <w:r>
              <w:rPr>
                <w:rFonts w:hint="eastAsia" w:ascii="Calibri" w:hAnsi="Calibri"/>
                <w:szCs w:val="21"/>
                <w:highlight w:val="none"/>
              </w:rPr>
              <w:t>或以上设计奖项</w:t>
            </w:r>
            <w:r>
              <w:rPr>
                <w:rFonts w:hint="eastAsia" w:asciiTheme="minorEastAsia" w:hAnsiTheme="minorEastAsia" w:eastAsiaTheme="minorEastAsia" w:cstheme="minorEastAsia"/>
                <w:szCs w:val="21"/>
                <w:highlight w:val="none"/>
              </w:rPr>
              <w:t>的每项得</w:t>
            </w:r>
            <w:r>
              <w:rPr>
                <w:rFonts w:hint="eastAsia" w:asciiTheme="minorEastAsia" w:hAnsiTheme="minorEastAsia" w:eastAsiaTheme="minorEastAsia" w:cstheme="minorEastAsia"/>
                <w:szCs w:val="21"/>
                <w:highlight w:val="none"/>
                <w:lang w:val="en-US" w:eastAsia="zh-CN"/>
              </w:rPr>
              <w:t>2.5</w:t>
            </w:r>
            <w:r>
              <w:rPr>
                <w:rFonts w:hint="eastAsia" w:asciiTheme="minorEastAsia" w:hAnsiTheme="minorEastAsia" w:eastAsiaTheme="minorEastAsia" w:cstheme="minorEastAsia"/>
                <w:szCs w:val="21"/>
                <w:highlight w:val="none"/>
              </w:rPr>
              <w:t>分；</w:t>
            </w:r>
            <w:r>
              <w:rPr>
                <w:rFonts w:ascii="Calibri" w:hAnsi="Calibri"/>
                <w:szCs w:val="21"/>
                <w:highlight w:val="none"/>
              </w:rPr>
              <w:t>获得过</w:t>
            </w:r>
            <w:r>
              <w:rPr>
                <w:rFonts w:hint="eastAsia" w:ascii="Calibri" w:hAnsi="Calibri"/>
                <w:szCs w:val="21"/>
                <w:highlight w:val="none"/>
              </w:rPr>
              <w:t>市</w:t>
            </w:r>
            <w:r>
              <w:rPr>
                <w:rFonts w:ascii="Calibri" w:hAnsi="Calibri"/>
                <w:szCs w:val="21"/>
                <w:highlight w:val="none"/>
              </w:rPr>
              <w:t>级</w:t>
            </w:r>
            <w:r>
              <w:rPr>
                <w:rFonts w:hint="eastAsia" w:ascii="Calibri" w:hAnsi="Calibri"/>
                <w:szCs w:val="21"/>
                <w:highlight w:val="none"/>
              </w:rPr>
              <w:t>或以上设计奖项</w:t>
            </w:r>
            <w:r>
              <w:rPr>
                <w:rFonts w:hint="eastAsia" w:asciiTheme="minorEastAsia" w:hAnsiTheme="minorEastAsia" w:eastAsiaTheme="minorEastAsia" w:cstheme="minorEastAsia"/>
                <w:szCs w:val="21"/>
                <w:highlight w:val="none"/>
              </w:rPr>
              <w:t>的每项得</w:t>
            </w: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分</w:t>
            </w:r>
            <w:r>
              <w:rPr>
                <w:rFonts w:hint="eastAsia" w:ascii="Calibri" w:hAnsi="Calibri"/>
                <w:szCs w:val="21"/>
                <w:highlight w:val="none"/>
              </w:rPr>
              <w:t>。本项最多计</w:t>
            </w:r>
            <w:r>
              <w:rPr>
                <w:rFonts w:hint="eastAsia" w:ascii="Calibri" w:hAnsi="Calibri"/>
                <w:szCs w:val="21"/>
                <w:highlight w:val="none"/>
                <w:lang w:val="en-US" w:eastAsia="zh-CN"/>
              </w:rPr>
              <w:t>四</w:t>
            </w:r>
            <w:r>
              <w:rPr>
                <w:rFonts w:hint="eastAsia" w:ascii="Calibri" w:hAnsi="Calibri"/>
                <w:szCs w:val="21"/>
                <w:highlight w:val="none"/>
              </w:rPr>
              <w:t>项，</w:t>
            </w:r>
            <w:r>
              <w:rPr>
                <w:rFonts w:ascii="Calibri" w:hAnsi="Calibri"/>
                <w:szCs w:val="21"/>
                <w:highlight w:val="none"/>
              </w:rPr>
              <w:t>最高得</w:t>
            </w:r>
            <w:r>
              <w:rPr>
                <w:rFonts w:hint="eastAsia" w:ascii="Calibri" w:hAnsi="Calibri"/>
                <w:szCs w:val="21"/>
                <w:highlight w:val="none"/>
                <w:lang w:val="en-US" w:eastAsia="zh-CN"/>
              </w:rPr>
              <w:t>10</w:t>
            </w:r>
            <w:r>
              <w:rPr>
                <w:rFonts w:ascii="Calibri" w:hAnsi="Calibri"/>
                <w:szCs w:val="21"/>
                <w:highlight w:val="none"/>
              </w:rPr>
              <w:t>分。</w:t>
            </w:r>
          </w:p>
          <w:p w14:paraId="6BCA2F12">
            <w:pPr>
              <w:numPr>
                <w:ilvl w:val="255"/>
                <w:numId w:val="0"/>
              </w:numPr>
              <w:jc w:val="left"/>
              <w:rPr>
                <w:rFonts w:hint="eastAsia" w:ascii="宋体" w:hAnsi="宋体" w:cs="宋体"/>
                <w:szCs w:val="21"/>
                <w:highlight w:val="none"/>
              </w:rPr>
            </w:pPr>
            <w:r>
              <w:rPr>
                <w:rFonts w:hint="eastAsia" w:ascii="Calibri" w:hAnsi="Calibri"/>
                <w:b/>
                <w:bCs/>
                <w:szCs w:val="21"/>
                <w:highlight w:val="none"/>
              </w:rPr>
              <w:t>注：</w:t>
            </w:r>
            <w:r>
              <w:rPr>
                <w:rFonts w:hint="eastAsia" w:ascii="宋体" w:hAnsi="宋体" w:cs="宋体"/>
                <w:szCs w:val="21"/>
                <w:highlight w:val="none"/>
              </w:rPr>
              <w:t>①提供获奖证书和项目合同关键页扫描件。若颁发机构为建设行业协会（学会），还需要提供组织在中国社会组织政务服务平台（网址：https://chinanpo.mca.gov.cn/）“全国社会组织信用信息公示平台”栏查询结果截图，证明其登记备案。时间以获奖证书颁发时间为准。</w:t>
            </w:r>
          </w:p>
          <w:p w14:paraId="706D7683">
            <w:pPr>
              <w:jc w:val="left"/>
              <w:rPr>
                <w:rFonts w:hint="eastAsia" w:ascii="宋体" w:hAnsi="宋体" w:cs="宋体"/>
                <w:szCs w:val="21"/>
                <w:highlight w:val="none"/>
              </w:rPr>
            </w:pPr>
            <w:r>
              <w:rPr>
                <w:rFonts w:hint="eastAsia" w:ascii="宋体" w:hAnsi="宋体" w:cs="宋体"/>
                <w:szCs w:val="21"/>
                <w:highlight w:val="none"/>
              </w:rPr>
              <w:t>②国家级设计奖项是指由住建部颁发的全国优秀工程勘察设计奖、中国勘察设计协会颁发的全国优秀工程勘察设计行业奖或行业优秀勘察设计奖。省级奖项指由省级建设行政主管部门或民政部门备案的省级工程勘察设计行业协会颁发的省级优秀勘察设计奖。市级（含副省级）奖项指由市级（含副省级）建设行政主管部门或民政部门备案的市级（含副省级）工程勘察设计行业协会颁发的市级优秀勘察设计奖。其他非房建类项目（如：路桥、铁路、水利、装修、电力、化工、港航、冶金、QC、市政等项目）奖项不参与计分。对同一项目获得多个奖项的，按最高级别奖项计取一次得分，不重复计算。</w:t>
            </w:r>
          </w:p>
        </w:tc>
        <w:tc>
          <w:tcPr>
            <w:tcW w:w="1673" w:type="dxa"/>
            <w:vAlign w:val="center"/>
          </w:tcPr>
          <w:p w14:paraId="7DCE739A">
            <w:pPr>
              <w:rPr>
                <w:rFonts w:hint="eastAsia" w:ascii="宋体" w:hAnsi="宋体" w:cs="宋体"/>
                <w:szCs w:val="21"/>
                <w:highlight w:val="none"/>
              </w:rPr>
            </w:pPr>
            <w:r>
              <w:rPr>
                <w:rFonts w:hint="eastAsia" w:ascii="宋体" w:hAnsi="宋体" w:cs="宋体"/>
                <w:szCs w:val="21"/>
                <w:highlight w:val="none"/>
              </w:rPr>
              <w:t>获奖单位须与投标人单位一致，不含子公司和分公司。</w:t>
            </w:r>
          </w:p>
        </w:tc>
      </w:tr>
      <w:tr w14:paraId="449C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727" w:type="dxa"/>
            <w:vMerge w:val="continue"/>
            <w:vAlign w:val="center"/>
          </w:tcPr>
          <w:p w14:paraId="58797F36">
            <w:pPr>
              <w:spacing w:line="360" w:lineRule="auto"/>
              <w:jc w:val="center"/>
              <w:rPr>
                <w:rFonts w:hint="eastAsia" w:ascii="宋体" w:hAnsi="宋体" w:cs="宋体"/>
                <w:kern w:val="0"/>
                <w:szCs w:val="21"/>
                <w:highlight w:val="none"/>
              </w:rPr>
            </w:pPr>
          </w:p>
        </w:tc>
        <w:tc>
          <w:tcPr>
            <w:tcW w:w="881" w:type="dxa"/>
            <w:vMerge w:val="continue"/>
            <w:vAlign w:val="center"/>
          </w:tcPr>
          <w:p w14:paraId="57A12A3E">
            <w:pPr>
              <w:jc w:val="center"/>
              <w:rPr>
                <w:rFonts w:hint="eastAsia" w:ascii="宋体" w:hAnsi="宋体" w:cs="宋体"/>
                <w:kern w:val="0"/>
                <w:szCs w:val="21"/>
                <w:highlight w:val="none"/>
              </w:rPr>
            </w:pPr>
          </w:p>
        </w:tc>
        <w:tc>
          <w:tcPr>
            <w:tcW w:w="1053" w:type="dxa"/>
            <w:vMerge w:val="restart"/>
            <w:vAlign w:val="center"/>
          </w:tcPr>
          <w:p w14:paraId="0E142E4E">
            <w:pPr>
              <w:adjustRightInd w:val="0"/>
              <w:snapToGrid w:val="0"/>
              <w:jc w:val="center"/>
              <w:rPr>
                <w:rFonts w:hint="eastAsia" w:ascii="宋体" w:hAnsi="宋体" w:cs="宋体"/>
                <w:szCs w:val="21"/>
                <w:highlight w:val="none"/>
              </w:rPr>
            </w:pPr>
            <w:r>
              <w:rPr>
                <w:rFonts w:hint="eastAsia" w:ascii="宋体" w:hAnsi="宋体" w:cs="宋体"/>
                <w:szCs w:val="21"/>
                <w:highlight w:val="none"/>
              </w:rPr>
              <w:t>第三方评价</w:t>
            </w:r>
          </w:p>
          <w:p w14:paraId="2975B7A3">
            <w:pPr>
              <w:adjustRightInd w:val="0"/>
              <w:snapToGrid w:val="0"/>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分）</w:t>
            </w:r>
          </w:p>
          <w:p w14:paraId="0B769A3F">
            <w:pPr>
              <w:adjustRightInd w:val="0"/>
              <w:snapToGrid w:val="0"/>
              <w:jc w:val="center"/>
              <w:rPr>
                <w:rFonts w:hint="eastAsia" w:ascii="宋体" w:hAnsi="宋体" w:eastAsia="宋体" w:cs="宋体"/>
                <w:sz w:val="21"/>
                <w:szCs w:val="21"/>
                <w:highlight w:val="none"/>
                <w:lang w:eastAsia="zh-CN"/>
              </w:rPr>
            </w:pPr>
          </w:p>
        </w:tc>
        <w:tc>
          <w:tcPr>
            <w:tcW w:w="9493" w:type="dxa"/>
            <w:vMerge w:val="restart"/>
            <w:vAlign w:val="center"/>
          </w:tcPr>
          <w:p w14:paraId="54DE7E7C">
            <w:pPr>
              <w:numPr>
                <w:ilvl w:val="255"/>
                <w:numId w:val="0"/>
              </w:numPr>
              <w:spacing w:line="240" w:lineRule="auto"/>
              <w:contextualSpacing w:val="0"/>
              <w:rPr>
                <w:rFonts w:hint="eastAsia" w:ascii="宋体" w:hAnsi="宋体" w:cs="宋体"/>
                <w:szCs w:val="21"/>
                <w:highlight w:val="none"/>
              </w:rPr>
            </w:pPr>
            <w:r>
              <w:rPr>
                <w:rFonts w:hint="eastAsia"/>
                <w:highlight w:val="none"/>
                <w:lang w:val="zh-CN"/>
              </w:rPr>
              <w:t>（</w:t>
            </w:r>
            <w:r>
              <w:rPr>
                <w:rFonts w:hint="eastAsia"/>
                <w:highlight w:val="none"/>
              </w:rPr>
              <w:t>1</w:t>
            </w:r>
            <w:r>
              <w:rPr>
                <w:rFonts w:hint="eastAsia"/>
                <w:highlight w:val="none"/>
                <w:lang w:val="zh-CN"/>
              </w:rPr>
              <w:t>）</w:t>
            </w:r>
            <w:r>
              <w:rPr>
                <w:rFonts w:hint="eastAsia" w:ascii="宋体" w:hAnsi="宋体" w:cs="宋体"/>
                <w:szCs w:val="21"/>
                <w:highlight w:val="none"/>
              </w:rPr>
              <w:t>投标人（若为联合体投标，指联合体设计方）至投标截止时间止，具有以下认证:环境管理体系认证证书、职业健康安全管理体系认证证书、质量管理体系认证证书</w:t>
            </w:r>
            <w:r>
              <w:rPr>
                <w:rFonts w:hint="eastAsia"/>
                <w:highlight w:val="none"/>
                <w:lang w:eastAsia="zh-CN"/>
              </w:rPr>
              <w:t>，</w:t>
            </w:r>
            <w:r>
              <w:rPr>
                <w:rFonts w:hint="eastAsia"/>
                <w:highlight w:val="none"/>
                <w:lang w:val="en-US" w:eastAsia="zh-CN"/>
              </w:rPr>
              <w:t>每项得0.5分</w:t>
            </w:r>
            <w:r>
              <w:rPr>
                <w:rFonts w:hint="eastAsia"/>
                <w:highlight w:val="none"/>
                <w:lang w:eastAsia="zh-CN"/>
              </w:rPr>
              <w:t>，</w:t>
            </w:r>
            <w:r>
              <w:rPr>
                <w:rFonts w:hint="eastAsia" w:ascii="宋体" w:hAnsi="宋体" w:cs="宋体"/>
                <w:szCs w:val="21"/>
                <w:highlight w:val="none"/>
              </w:rPr>
              <w:t>最高得</w:t>
            </w:r>
            <w:r>
              <w:rPr>
                <w:rFonts w:hint="eastAsia" w:ascii="宋体" w:hAnsi="宋体" w:cs="宋体"/>
                <w:szCs w:val="21"/>
                <w:highlight w:val="none"/>
                <w:lang w:val="en-US" w:eastAsia="zh-CN"/>
              </w:rPr>
              <w:t>1.5</w:t>
            </w:r>
            <w:r>
              <w:rPr>
                <w:rFonts w:hint="eastAsia" w:ascii="宋体" w:hAnsi="宋体" w:cs="宋体"/>
                <w:szCs w:val="21"/>
                <w:highlight w:val="none"/>
              </w:rPr>
              <w:t>分。</w:t>
            </w:r>
          </w:p>
          <w:p w14:paraId="7EA41A9D">
            <w:pPr>
              <w:numPr>
                <w:ilvl w:val="255"/>
                <w:numId w:val="0"/>
              </w:numPr>
              <w:spacing w:line="240" w:lineRule="auto"/>
              <w:contextualSpacing w:val="0"/>
              <w:rPr>
                <w:rFonts w:hint="eastAsia" w:ascii="宋体" w:hAnsi="宋体" w:cs="宋体"/>
                <w:szCs w:val="21"/>
                <w:highlight w:val="none"/>
              </w:rPr>
            </w:pPr>
            <w:r>
              <w:rPr>
                <w:rFonts w:hint="eastAsia" w:ascii="宋体" w:hAnsi="宋体" w:cs="宋体"/>
                <w:szCs w:val="21"/>
                <w:highlight w:val="none"/>
              </w:rPr>
              <w:t>注：投标人认证证书须提供有效期内证书扫描件（不含子公司和分公司）。</w:t>
            </w:r>
          </w:p>
          <w:p w14:paraId="101851B0">
            <w:pPr>
              <w:numPr>
                <w:ilvl w:val="255"/>
                <w:numId w:val="0"/>
              </w:numPr>
              <w:rPr>
                <w:highlight w:val="none"/>
                <w:lang w:val="zh-CN"/>
              </w:rPr>
            </w:pPr>
            <w:r>
              <w:rPr>
                <w:rFonts w:hint="eastAsia" w:ascii="宋体" w:hAnsi="宋体" w:cs="宋体"/>
                <w:szCs w:val="21"/>
                <w:highlight w:val="none"/>
              </w:rPr>
              <w:t>不符合上述条件或未提供相关证明材料的不得分。</w:t>
            </w:r>
          </w:p>
          <w:p w14:paraId="2635960F">
            <w:pPr>
              <w:numPr>
                <w:ilvl w:val="255"/>
                <w:numId w:val="0"/>
              </w:numPr>
              <w:rPr>
                <w:highlight w:val="none"/>
              </w:rPr>
            </w:pPr>
            <w:r>
              <w:rPr>
                <w:rFonts w:hint="eastAsia"/>
                <w:highlight w:val="none"/>
              </w:rPr>
              <w:t>（</w:t>
            </w:r>
            <w:r>
              <w:rPr>
                <w:rFonts w:hint="eastAsia"/>
                <w:highlight w:val="none"/>
                <w:lang w:eastAsia="zh-CN"/>
              </w:rPr>
              <w:t>2</w:t>
            </w:r>
            <w:r>
              <w:rPr>
                <w:rFonts w:hint="eastAsia"/>
                <w:highlight w:val="none"/>
              </w:rPr>
              <w:t>）2022年至今，</w:t>
            </w:r>
            <w:r>
              <w:rPr>
                <w:rFonts w:hint="eastAsia"/>
                <w:highlight w:val="none"/>
                <w:lang w:val="zh-CN"/>
              </w:rPr>
              <w:t>投标人（如联合体投标的，由联合体</w:t>
            </w:r>
            <w:r>
              <w:rPr>
                <w:rFonts w:hint="eastAsia"/>
                <w:highlight w:val="none"/>
                <w:lang w:val="en-US" w:eastAsia="zh-CN"/>
              </w:rPr>
              <w:t>任意</w:t>
            </w:r>
            <w:r>
              <w:rPr>
                <w:rFonts w:hint="eastAsia"/>
                <w:highlight w:val="none"/>
              </w:rPr>
              <w:t>施工</w:t>
            </w:r>
            <w:r>
              <w:rPr>
                <w:rFonts w:hint="eastAsia"/>
                <w:highlight w:val="none"/>
                <w:lang w:val="zh-CN"/>
              </w:rPr>
              <w:t>方提供）</w:t>
            </w:r>
            <w:r>
              <w:rPr>
                <w:rFonts w:hint="eastAsia"/>
                <w:highlight w:val="none"/>
              </w:rPr>
              <w:t>获得过税务机关评定的“A级纳税人”称号得</w:t>
            </w:r>
            <w:r>
              <w:rPr>
                <w:rFonts w:hint="eastAsia"/>
                <w:highlight w:val="none"/>
                <w:lang w:val="en-US" w:eastAsia="zh-CN"/>
              </w:rPr>
              <w:t>1.5</w:t>
            </w:r>
            <w:r>
              <w:rPr>
                <w:rFonts w:hint="eastAsia"/>
                <w:highlight w:val="none"/>
              </w:rPr>
              <w:t>分；获得过税务机关评定的“B级纳税人”称号得</w:t>
            </w:r>
            <w:r>
              <w:rPr>
                <w:rFonts w:hint="eastAsia"/>
                <w:highlight w:val="none"/>
                <w:lang w:val="en-US" w:eastAsia="zh-CN"/>
              </w:rPr>
              <w:t>1</w:t>
            </w:r>
            <w:r>
              <w:rPr>
                <w:rFonts w:hint="eastAsia"/>
                <w:highlight w:val="none"/>
              </w:rPr>
              <w:t>分；获得过税务机关评定的“M级纳税人”称号得</w:t>
            </w:r>
            <w:r>
              <w:rPr>
                <w:rFonts w:hint="eastAsia"/>
                <w:highlight w:val="none"/>
                <w:lang w:val="en-US" w:eastAsia="zh-CN"/>
              </w:rPr>
              <w:t>0.5</w:t>
            </w:r>
            <w:r>
              <w:rPr>
                <w:rFonts w:hint="eastAsia"/>
                <w:highlight w:val="none"/>
              </w:rPr>
              <w:t>分</w:t>
            </w:r>
            <w:r>
              <w:rPr>
                <w:rFonts w:hint="eastAsia"/>
                <w:highlight w:val="none"/>
                <w:lang w:eastAsia="zh-CN"/>
              </w:rPr>
              <w:t>，</w:t>
            </w:r>
            <w:r>
              <w:rPr>
                <w:rFonts w:hint="eastAsia"/>
                <w:highlight w:val="none"/>
              </w:rPr>
              <w:t>最</w:t>
            </w:r>
            <w:r>
              <w:rPr>
                <w:rFonts w:hint="eastAsia"/>
                <w:highlight w:val="none"/>
                <w:lang w:val="en-US" w:eastAsia="zh-CN"/>
              </w:rPr>
              <w:t>高</w:t>
            </w:r>
            <w:r>
              <w:rPr>
                <w:rFonts w:hint="eastAsia"/>
                <w:highlight w:val="none"/>
              </w:rPr>
              <w:t>得</w:t>
            </w:r>
            <w:r>
              <w:rPr>
                <w:rFonts w:hint="eastAsia"/>
                <w:highlight w:val="none"/>
                <w:lang w:val="en-US" w:eastAsia="zh-CN"/>
              </w:rPr>
              <w:t>1.5</w:t>
            </w:r>
            <w:r>
              <w:rPr>
                <w:rFonts w:hint="eastAsia"/>
                <w:highlight w:val="none"/>
              </w:rPr>
              <w:t>分</w:t>
            </w:r>
            <w:r>
              <w:rPr>
                <w:rFonts w:hint="eastAsia"/>
                <w:highlight w:val="none"/>
                <w:lang w:val="zh-CN"/>
              </w:rPr>
              <w:t>。</w:t>
            </w:r>
          </w:p>
          <w:p w14:paraId="1495896E">
            <w:pPr>
              <w:numPr>
                <w:ilvl w:val="255"/>
                <w:numId w:val="0"/>
              </w:numPr>
              <w:rPr>
                <w:rFonts w:hint="eastAsia"/>
                <w:highlight w:val="none"/>
              </w:rPr>
            </w:pPr>
            <w:r>
              <w:rPr>
                <w:rFonts w:hint="eastAsia"/>
                <w:highlight w:val="none"/>
              </w:rPr>
              <w:t>注：提供在国家税务总局官方网站（http://www.chinatax.gov.cn）或所属省份税务局官网查询结果的截图，不符合或不提供不得分。</w:t>
            </w:r>
          </w:p>
          <w:p w14:paraId="4AA148C8">
            <w:pPr>
              <w:numPr>
                <w:ilvl w:val="255"/>
                <w:numId w:val="0"/>
              </w:numPr>
              <w:rPr>
                <w:rFonts w:hint="eastAsia" w:ascii="宋体" w:hAnsi="宋体" w:eastAsia="宋体" w:cs="宋体"/>
                <w:kern w:val="2"/>
                <w:sz w:val="21"/>
                <w:szCs w:val="21"/>
                <w:highlight w:val="none"/>
                <w:lang w:val="en-US" w:eastAsia="zh-CN"/>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lang w:val="zh-CN"/>
              </w:rPr>
              <w:t>投标人（如联合体投标的，由联合体</w:t>
            </w:r>
            <w:r>
              <w:rPr>
                <w:rFonts w:hint="eastAsia"/>
                <w:highlight w:val="none"/>
                <w:lang w:val="en-US" w:eastAsia="zh-CN"/>
              </w:rPr>
              <w:t>任意</w:t>
            </w:r>
            <w:r>
              <w:rPr>
                <w:rFonts w:hint="eastAsia"/>
                <w:highlight w:val="none"/>
              </w:rPr>
              <w:t>施工</w:t>
            </w:r>
            <w:r>
              <w:rPr>
                <w:rFonts w:hint="eastAsia"/>
                <w:highlight w:val="none"/>
                <w:lang w:val="zh-CN"/>
              </w:rPr>
              <w:t>方提供）</w:t>
            </w:r>
            <w:r>
              <w:rPr>
                <w:rFonts w:hint="eastAsia" w:ascii="宋体" w:hAnsi="宋体" w:eastAsia="宋体" w:cs="宋体"/>
                <w:kern w:val="0"/>
                <w:sz w:val="21"/>
                <w:szCs w:val="21"/>
                <w:highlight w:val="none"/>
                <w:lang w:val="en-US" w:eastAsia="zh-CN" w:bidi="ar-SA"/>
              </w:rPr>
              <w:t>具有有效期内的高新技术企业证书</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得1分</w:t>
            </w:r>
            <w:r>
              <w:rPr>
                <w:rFonts w:hint="eastAsia" w:ascii="宋体" w:hAnsi="宋体" w:cs="宋体"/>
                <w:kern w:val="0"/>
                <w:sz w:val="21"/>
                <w:szCs w:val="21"/>
                <w:highlight w:val="none"/>
                <w:lang w:val="en-US" w:eastAsia="zh-CN" w:bidi="ar-SA"/>
              </w:rPr>
              <w:t>，</w:t>
            </w:r>
            <w:r>
              <w:rPr>
                <w:rFonts w:hint="eastAsia"/>
                <w:highlight w:val="none"/>
              </w:rPr>
              <w:t>最</w:t>
            </w:r>
            <w:r>
              <w:rPr>
                <w:rFonts w:hint="eastAsia"/>
                <w:highlight w:val="none"/>
                <w:lang w:val="en-US" w:eastAsia="zh-CN"/>
              </w:rPr>
              <w:t>高</w:t>
            </w:r>
            <w:r>
              <w:rPr>
                <w:rFonts w:hint="eastAsia"/>
                <w:highlight w:val="none"/>
              </w:rPr>
              <w:t>得</w:t>
            </w:r>
            <w:r>
              <w:rPr>
                <w:rFonts w:hint="eastAsia"/>
                <w:highlight w:val="none"/>
                <w:lang w:val="en-US" w:eastAsia="zh-CN"/>
              </w:rPr>
              <w:t>1</w:t>
            </w:r>
            <w:r>
              <w:rPr>
                <w:rFonts w:hint="eastAsia"/>
                <w:highlight w:val="none"/>
              </w:rPr>
              <w:t>分</w:t>
            </w:r>
            <w:r>
              <w:rPr>
                <w:rFonts w:hint="eastAsia" w:ascii="宋体" w:hAnsi="宋体" w:eastAsia="宋体" w:cs="宋体"/>
                <w:kern w:val="0"/>
                <w:sz w:val="21"/>
                <w:szCs w:val="21"/>
                <w:highlight w:val="none"/>
                <w:lang w:val="en-US" w:eastAsia="zh-CN" w:bidi="ar-SA"/>
              </w:rPr>
              <w:t>。</w:t>
            </w:r>
          </w:p>
          <w:p w14:paraId="5DA438D7">
            <w:pPr>
              <w:numPr>
                <w:ilvl w:val="255"/>
                <w:numId w:val="0"/>
              </w:numPr>
              <w:spacing w:line="240" w:lineRule="auto"/>
              <w:contextualSpacing w:val="0"/>
              <w:rPr>
                <w:rFonts w:hint="eastAsia" w:ascii="宋体" w:hAnsi="宋体" w:cs="宋体"/>
                <w:szCs w:val="21"/>
                <w:highlight w:val="none"/>
              </w:rPr>
            </w:pPr>
            <w:r>
              <w:rPr>
                <w:rFonts w:hint="eastAsia" w:ascii="宋体" w:hAnsi="宋体" w:cs="宋体"/>
                <w:szCs w:val="21"/>
                <w:highlight w:val="none"/>
              </w:rPr>
              <w:t>注：投标人认证证书须提供有效期内证书扫描件（不含子公司和分公司）。</w:t>
            </w:r>
          </w:p>
          <w:p w14:paraId="70F28B6A">
            <w:pPr>
              <w:numPr>
                <w:ilvl w:val="255"/>
                <w:numId w:val="0"/>
              </w:numPr>
              <w:rPr>
                <w:rFonts w:hint="eastAsia" w:ascii="宋体" w:hAnsi="宋体" w:eastAsia="宋体" w:cs="宋体"/>
                <w:kern w:val="0"/>
                <w:sz w:val="21"/>
                <w:szCs w:val="21"/>
                <w:highlight w:val="none"/>
                <w:lang w:val="en-US" w:eastAsia="zh-CN" w:bidi="ar-SA"/>
              </w:rPr>
            </w:pPr>
            <w:r>
              <w:rPr>
                <w:rFonts w:hint="eastAsia" w:ascii="宋体" w:hAnsi="宋体" w:cs="宋体"/>
                <w:szCs w:val="21"/>
                <w:highlight w:val="none"/>
              </w:rPr>
              <w:t>不符合上述条件或未提供相关证明材料的不得分。</w:t>
            </w:r>
          </w:p>
        </w:tc>
        <w:tc>
          <w:tcPr>
            <w:tcW w:w="1673" w:type="dxa"/>
            <w:vAlign w:val="center"/>
          </w:tcPr>
          <w:p w14:paraId="5B3FAB43">
            <w:pPr>
              <w:pStyle w:val="2"/>
              <w:ind w:firstLine="0"/>
              <w:rPr>
                <w:highlight w:val="none"/>
              </w:rPr>
            </w:pPr>
            <w:r>
              <w:rPr>
                <w:rFonts w:hint="eastAsia"/>
                <w:highlight w:val="none"/>
              </w:rPr>
              <w:t>若投标人同时承担多项任务的，可重复计分。</w:t>
            </w:r>
          </w:p>
        </w:tc>
      </w:tr>
      <w:tr w14:paraId="65F1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727" w:type="dxa"/>
            <w:vMerge w:val="continue"/>
            <w:vAlign w:val="center"/>
          </w:tcPr>
          <w:p w14:paraId="5C1856CF">
            <w:pPr>
              <w:spacing w:line="360" w:lineRule="auto"/>
              <w:jc w:val="center"/>
              <w:rPr>
                <w:rFonts w:hint="eastAsia" w:ascii="宋体" w:hAnsi="宋体" w:cs="宋体"/>
                <w:kern w:val="0"/>
                <w:szCs w:val="21"/>
                <w:highlight w:val="none"/>
              </w:rPr>
            </w:pPr>
          </w:p>
        </w:tc>
        <w:tc>
          <w:tcPr>
            <w:tcW w:w="881" w:type="dxa"/>
            <w:vMerge w:val="continue"/>
            <w:vAlign w:val="center"/>
          </w:tcPr>
          <w:p w14:paraId="7E5F1E7A">
            <w:pPr>
              <w:jc w:val="center"/>
              <w:rPr>
                <w:rFonts w:hint="eastAsia" w:ascii="宋体" w:hAnsi="宋体" w:cs="宋体"/>
                <w:kern w:val="0"/>
                <w:szCs w:val="21"/>
                <w:highlight w:val="none"/>
              </w:rPr>
            </w:pPr>
          </w:p>
        </w:tc>
        <w:tc>
          <w:tcPr>
            <w:tcW w:w="1053" w:type="dxa"/>
            <w:vMerge w:val="continue"/>
            <w:vAlign w:val="center"/>
          </w:tcPr>
          <w:p w14:paraId="0BF53C70">
            <w:pPr>
              <w:adjustRightInd w:val="0"/>
              <w:snapToGrid w:val="0"/>
              <w:jc w:val="center"/>
              <w:rPr>
                <w:rFonts w:hint="eastAsia" w:ascii="宋体" w:hAnsi="宋体" w:eastAsia="宋体" w:cs="宋体"/>
                <w:sz w:val="21"/>
                <w:szCs w:val="21"/>
                <w:highlight w:val="none"/>
                <w:lang w:eastAsia="zh-CN"/>
              </w:rPr>
            </w:pPr>
          </w:p>
        </w:tc>
        <w:tc>
          <w:tcPr>
            <w:tcW w:w="9493" w:type="dxa"/>
            <w:vMerge w:val="continue"/>
            <w:vAlign w:val="center"/>
          </w:tcPr>
          <w:p w14:paraId="39636CC1">
            <w:pPr>
              <w:rPr>
                <w:rFonts w:hint="eastAsia" w:ascii="宋体" w:hAnsi="宋体" w:eastAsia="宋体" w:cs="宋体"/>
                <w:kern w:val="0"/>
                <w:sz w:val="21"/>
                <w:szCs w:val="21"/>
                <w:highlight w:val="none"/>
                <w:lang w:val="en-US" w:eastAsia="zh-CN" w:bidi="ar-SA"/>
              </w:rPr>
            </w:pPr>
          </w:p>
        </w:tc>
        <w:tc>
          <w:tcPr>
            <w:tcW w:w="1673" w:type="dxa"/>
            <w:vAlign w:val="center"/>
          </w:tcPr>
          <w:p w14:paraId="41B76E62">
            <w:pPr>
              <w:pStyle w:val="2"/>
              <w:ind w:firstLine="0"/>
              <w:rPr>
                <w:rFonts w:hint="eastAsia"/>
                <w:highlight w:val="none"/>
              </w:rPr>
            </w:pPr>
          </w:p>
        </w:tc>
      </w:tr>
      <w:tr w14:paraId="0EDA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27" w:type="dxa"/>
            <w:vMerge w:val="restart"/>
            <w:vAlign w:val="center"/>
          </w:tcPr>
          <w:p w14:paraId="0C20F337">
            <w:pPr>
              <w:widowControl/>
              <w:spacing w:line="360" w:lineRule="auto"/>
              <w:jc w:val="center"/>
              <w:rPr>
                <w:rFonts w:hint="eastAsia" w:ascii="宋体" w:hAnsi="宋体" w:cs="宋体"/>
                <w:szCs w:val="21"/>
                <w:highlight w:val="none"/>
              </w:rPr>
            </w:pPr>
            <w:r>
              <w:rPr>
                <w:rFonts w:hint="eastAsia" w:ascii="宋体" w:hAnsi="宋体" w:cs="宋体"/>
                <w:szCs w:val="21"/>
                <w:highlight w:val="none"/>
              </w:rPr>
              <w:t>二</w:t>
            </w:r>
          </w:p>
        </w:tc>
        <w:tc>
          <w:tcPr>
            <w:tcW w:w="881" w:type="dxa"/>
            <w:vMerge w:val="restart"/>
            <w:vAlign w:val="center"/>
          </w:tcPr>
          <w:p w14:paraId="16239576">
            <w:pPr>
              <w:widowControl/>
              <w:jc w:val="center"/>
              <w:rPr>
                <w:rFonts w:hint="eastAsia" w:ascii="宋体" w:hAnsi="宋体" w:cs="宋体"/>
                <w:szCs w:val="21"/>
                <w:highlight w:val="none"/>
              </w:rPr>
            </w:pPr>
            <w:r>
              <w:rPr>
                <w:rFonts w:hint="eastAsia" w:ascii="宋体" w:hAnsi="宋体" w:cs="宋体"/>
                <w:szCs w:val="21"/>
                <w:highlight w:val="none"/>
              </w:rPr>
              <w:t>实施方案技术部分（</w:t>
            </w:r>
            <w:r>
              <w:rPr>
                <w:rFonts w:hint="eastAsia" w:ascii="宋体" w:hAnsi="宋体" w:cs="宋体"/>
                <w:szCs w:val="21"/>
                <w:highlight w:val="none"/>
                <w:lang w:val="en-US" w:eastAsia="zh-CN"/>
              </w:rPr>
              <w:t>80</w:t>
            </w:r>
            <w:r>
              <w:rPr>
                <w:rFonts w:hint="eastAsia" w:ascii="宋体" w:hAnsi="宋体" w:cs="宋体"/>
                <w:szCs w:val="21"/>
                <w:highlight w:val="none"/>
              </w:rPr>
              <w:t>分）</w:t>
            </w:r>
          </w:p>
        </w:tc>
        <w:tc>
          <w:tcPr>
            <w:tcW w:w="1053" w:type="dxa"/>
            <w:vAlign w:val="center"/>
          </w:tcPr>
          <w:p w14:paraId="247164A0">
            <w:pPr>
              <w:jc w:val="center"/>
              <w:rPr>
                <w:rFonts w:hint="eastAsia" w:ascii="宋体" w:hAnsi="宋体" w:cs="宋体"/>
                <w:szCs w:val="21"/>
                <w:highlight w:val="none"/>
              </w:rPr>
            </w:pPr>
            <w:r>
              <w:rPr>
                <w:rFonts w:hint="eastAsia" w:ascii="宋体" w:hAnsi="宋体" w:cs="宋体"/>
                <w:szCs w:val="21"/>
                <w:highlight w:val="none"/>
              </w:rPr>
              <w:t>设计和施工的融合措施</w:t>
            </w:r>
          </w:p>
          <w:p w14:paraId="2EA12B11">
            <w:pPr>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30分</w:t>
            </w:r>
            <w:r>
              <w:rPr>
                <w:rFonts w:hint="eastAsia" w:ascii="宋体" w:hAnsi="宋体" w:cs="宋体"/>
                <w:szCs w:val="21"/>
                <w:highlight w:val="none"/>
              </w:rPr>
              <w:t>）</w:t>
            </w:r>
          </w:p>
        </w:tc>
        <w:tc>
          <w:tcPr>
            <w:tcW w:w="9493" w:type="dxa"/>
            <w:vAlign w:val="center"/>
          </w:tcPr>
          <w:p w14:paraId="5C6CA81A">
            <w:pPr>
              <w:spacing w:line="300" w:lineRule="exact"/>
              <w:contextualSpacing/>
              <w:jc w:val="left"/>
              <w:rPr>
                <w:rFonts w:hint="eastAsia" w:ascii="宋体" w:hAnsi="宋体" w:eastAsia="宋体" w:cs="宋体"/>
                <w:b/>
                <w:bCs/>
                <w:szCs w:val="21"/>
                <w:highlight w:val="none"/>
                <w:lang w:eastAsia="zh-CN"/>
              </w:rPr>
            </w:pPr>
            <w:r>
              <w:rPr>
                <w:rFonts w:hint="eastAsia" w:ascii="宋体" w:hAnsi="宋体" w:cs="宋体"/>
                <w:b/>
                <w:bCs/>
                <w:szCs w:val="21"/>
                <w:highlight w:val="none"/>
              </w:rPr>
              <w:t>一、施工团队人员（若为联合体，指联合体施工方）：</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10分</w:t>
            </w:r>
            <w:r>
              <w:rPr>
                <w:rFonts w:hint="eastAsia" w:ascii="宋体" w:hAnsi="宋体" w:cs="宋体"/>
                <w:b/>
                <w:bCs/>
                <w:szCs w:val="21"/>
                <w:highlight w:val="none"/>
                <w:lang w:eastAsia="zh-CN"/>
              </w:rPr>
              <w:t>）</w:t>
            </w:r>
          </w:p>
          <w:p w14:paraId="6FD70750">
            <w:pPr>
              <w:pStyle w:val="2"/>
              <w:ind w:firstLine="0"/>
              <w:rPr>
                <w:rFonts w:hint="eastAsia" w:ascii="宋体" w:hAnsi="宋体" w:cs="宋体"/>
                <w:szCs w:val="21"/>
                <w:highlight w:val="none"/>
              </w:rPr>
            </w:pPr>
            <w:r>
              <w:rPr>
                <w:rFonts w:hint="eastAsia" w:ascii="宋体" w:hAnsi="宋体" w:cs="宋体"/>
                <w:b/>
                <w:bCs/>
                <w:szCs w:val="21"/>
                <w:highlight w:val="none"/>
              </w:rPr>
              <w:t>1.质量负责人：</w:t>
            </w:r>
            <w:r>
              <w:rPr>
                <w:rFonts w:hint="eastAsia" w:ascii="宋体" w:hAnsi="宋体" w:cs="宋体"/>
                <w:szCs w:val="21"/>
                <w:highlight w:val="none"/>
              </w:rPr>
              <w:t>具有建筑工程</w:t>
            </w:r>
            <w:r>
              <w:rPr>
                <w:rFonts w:hint="eastAsia" w:ascii="宋体" w:hAnsi="宋体" w:cs="宋体"/>
                <w:szCs w:val="21"/>
                <w:highlight w:val="none"/>
                <w:lang w:val="en-US" w:eastAsia="zh-CN"/>
              </w:rPr>
              <w:t>类</w:t>
            </w:r>
            <w:r>
              <w:rPr>
                <w:rFonts w:hint="eastAsia" w:ascii="宋体" w:hAnsi="宋体" w:cs="宋体"/>
                <w:szCs w:val="21"/>
                <w:highlight w:val="none"/>
              </w:rPr>
              <w:t>相关专业高级工程师或以上职称得</w:t>
            </w:r>
            <w:r>
              <w:rPr>
                <w:rFonts w:hint="eastAsia" w:ascii="宋体" w:hAnsi="宋体" w:cs="宋体"/>
                <w:szCs w:val="21"/>
                <w:highlight w:val="none"/>
                <w:lang w:val="en-US" w:eastAsia="zh-CN"/>
              </w:rPr>
              <w:t>2.5</w:t>
            </w:r>
            <w:r>
              <w:rPr>
                <w:rFonts w:hint="eastAsia" w:ascii="宋体" w:hAnsi="宋体" w:cs="宋体"/>
                <w:szCs w:val="21"/>
                <w:highlight w:val="none"/>
              </w:rPr>
              <w:t>分</w:t>
            </w:r>
            <w:r>
              <w:rPr>
                <w:rFonts w:hint="eastAsia" w:ascii="宋体" w:hAnsi="宋体" w:cs="宋体"/>
                <w:szCs w:val="21"/>
                <w:highlight w:val="none"/>
                <w:lang w:eastAsia="zh-CN"/>
              </w:rPr>
              <w:t>，</w:t>
            </w:r>
            <w:r>
              <w:rPr>
                <w:rFonts w:hint="eastAsia" w:ascii="宋体" w:hAnsi="宋体" w:cs="宋体"/>
                <w:szCs w:val="21"/>
                <w:highlight w:val="none"/>
              </w:rPr>
              <w:t>建筑工程</w:t>
            </w:r>
            <w:r>
              <w:rPr>
                <w:rFonts w:hint="eastAsia" w:ascii="宋体" w:hAnsi="宋体" w:cs="宋体"/>
                <w:szCs w:val="21"/>
                <w:highlight w:val="none"/>
                <w:lang w:val="en-US" w:eastAsia="zh-CN"/>
              </w:rPr>
              <w:t>类</w:t>
            </w:r>
            <w:r>
              <w:rPr>
                <w:rFonts w:hint="eastAsia" w:ascii="宋体" w:hAnsi="宋体" w:cs="宋体"/>
                <w:szCs w:val="21"/>
                <w:highlight w:val="none"/>
              </w:rPr>
              <w:t>相关专业工程师职称得</w:t>
            </w:r>
            <w:r>
              <w:rPr>
                <w:rFonts w:hint="eastAsia" w:ascii="宋体" w:hAnsi="宋体" w:cs="宋体"/>
                <w:szCs w:val="21"/>
                <w:highlight w:val="none"/>
                <w:lang w:val="en-US" w:eastAsia="zh-CN"/>
              </w:rPr>
              <w:t>1</w:t>
            </w:r>
            <w:r>
              <w:rPr>
                <w:rFonts w:hint="eastAsia" w:ascii="宋体" w:hAnsi="宋体" w:cs="宋体"/>
                <w:szCs w:val="21"/>
                <w:highlight w:val="none"/>
              </w:rPr>
              <w:t>分</w:t>
            </w:r>
            <w:r>
              <w:rPr>
                <w:rFonts w:hint="eastAsia" w:ascii="宋体" w:hAnsi="宋体" w:cs="宋体"/>
                <w:szCs w:val="21"/>
                <w:highlight w:val="none"/>
                <w:lang w:eastAsia="zh-CN"/>
              </w:rPr>
              <w:t>；</w:t>
            </w:r>
            <w:r>
              <w:rPr>
                <w:rFonts w:hint="eastAsia" w:ascii="宋体" w:hAnsi="宋体" w:cs="宋体"/>
                <w:szCs w:val="21"/>
                <w:highlight w:val="none"/>
              </w:rPr>
              <w:t>最高得</w:t>
            </w:r>
            <w:r>
              <w:rPr>
                <w:rFonts w:hint="eastAsia" w:ascii="宋体" w:hAnsi="宋体" w:cs="宋体"/>
                <w:szCs w:val="21"/>
                <w:highlight w:val="none"/>
                <w:lang w:val="en-US" w:eastAsia="zh-CN"/>
              </w:rPr>
              <w:t>2.5</w:t>
            </w:r>
            <w:r>
              <w:rPr>
                <w:rFonts w:hint="eastAsia" w:ascii="宋体" w:hAnsi="宋体" w:cs="宋体"/>
                <w:szCs w:val="21"/>
                <w:highlight w:val="none"/>
              </w:rPr>
              <w:t>分。</w:t>
            </w:r>
          </w:p>
          <w:p w14:paraId="4161F715">
            <w:pPr>
              <w:pStyle w:val="2"/>
              <w:ind w:firstLine="0"/>
              <w:rPr>
                <w:rFonts w:hint="eastAsia" w:ascii="宋体" w:hAnsi="宋体" w:cs="宋体"/>
                <w:szCs w:val="21"/>
                <w:highlight w:val="none"/>
              </w:rPr>
            </w:pPr>
            <w:r>
              <w:rPr>
                <w:rFonts w:hint="eastAsia" w:ascii="宋体" w:hAnsi="宋体" w:cs="宋体"/>
                <w:b/>
                <w:bCs/>
                <w:szCs w:val="21"/>
                <w:highlight w:val="none"/>
              </w:rPr>
              <w:t>2.安全负责人：</w:t>
            </w:r>
            <w:r>
              <w:rPr>
                <w:rFonts w:hint="eastAsia" w:ascii="宋体" w:hAnsi="宋体" w:cs="宋体"/>
                <w:szCs w:val="21"/>
                <w:highlight w:val="none"/>
              </w:rPr>
              <w:t>具有建筑施工安全专业的注册安全工程师证书得</w:t>
            </w:r>
            <w:r>
              <w:rPr>
                <w:rFonts w:hint="eastAsia" w:ascii="宋体" w:hAnsi="宋体" w:cs="宋体"/>
                <w:szCs w:val="21"/>
                <w:highlight w:val="none"/>
                <w:lang w:val="en-US" w:eastAsia="zh-CN"/>
              </w:rPr>
              <w:t>3</w:t>
            </w:r>
            <w:r>
              <w:rPr>
                <w:rFonts w:hint="eastAsia" w:ascii="宋体" w:hAnsi="宋体" w:cs="宋体"/>
                <w:szCs w:val="21"/>
                <w:highlight w:val="none"/>
              </w:rPr>
              <w:t xml:space="preserve">分，持有在有效期内的安全生产考核合格证书(C类)，或建筑施工企业专职安全生产管理人员安全生产考核合格证书(C3 类)得 </w:t>
            </w:r>
            <w:r>
              <w:rPr>
                <w:rFonts w:hint="eastAsia" w:ascii="宋体" w:hAnsi="宋体" w:cs="宋体"/>
                <w:szCs w:val="21"/>
                <w:highlight w:val="none"/>
                <w:lang w:eastAsia="zh-CN"/>
              </w:rPr>
              <w:t>1</w:t>
            </w:r>
            <w:r>
              <w:rPr>
                <w:rFonts w:hint="eastAsia" w:ascii="宋体" w:hAnsi="宋体" w:cs="宋体"/>
                <w:szCs w:val="21"/>
                <w:highlight w:val="none"/>
                <w:lang w:val="en-US" w:eastAsia="zh-CN"/>
              </w:rPr>
              <w:t>.5</w:t>
            </w:r>
            <w:r>
              <w:rPr>
                <w:rFonts w:hint="eastAsia" w:ascii="宋体" w:hAnsi="宋体" w:cs="宋体"/>
                <w:szCs w:val="21"/>
                <w:highlight w:val="none"/>
              </w:rPr>
              <w:t>分</w:t>
            </w:r>
            <w:r>
              <w:rPr>
                <w:rFonts w:hint="eastAsia" w:ascii="宋体" w:hAnsi="宋体" w:cs="宋体"/>
                <w:szCs w:val="21"/>
                <w:highlight w:val="none"/>
                <w:lang w:eastAsia="zh-CN"/>
              </w:rPr>
              <w:t>；</w:t>
            </w:r>
            <w:r>
              <w:rPr>
                <w:rFonts w:hint="eastAsia" w:ascii="宋体" w:hAnsi="宋体" w:cs="宋体"/>
                <w:szCs w:val="21"/>
                <w:highlight w:val="none"/>
              </w:rPr>
              <w:t>最高得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0C7672DC">
            <w:pPr>
              <w:pStyle w:val="2"/>
              <w:ind w:firstLine="0"/>
              <w:rPr>
                <w:rFonts w:hint="eastAsia" w:ascii="宋体" w:hAnsi="宋体" w:cs="宋体"/>
                <w:szCs w:val="21"/>
                <w:highlight w:val="none"/>
              </w:rPr>
            </w:pPr>
            <w:r>
              <w:rPr>
                <w:rFonts w:hint="eastAsia" w:ascii="宋体" w:hAnsi="宋体" w:cs="宋体"/>
                <w:b/>
                <w:bCs/>
                <w:szCs w:val="21"/>
                <w:highlight w:val="none"/>
                <w:lang w:val="en-US" w:eastAsia="zh-CN"/>
              </w:rPr>
              <w:t>3</w:t>
            </w:r>
            <w:r>
              <w:rPr>
                <w:rFonts w:hint="eastAsia" w:ascii="宋体" w:hAnsi="宋体" w:cs="宋体"/>
                <w:b/>
                <w:bCs/>
                <w:szCs w:val="21"/>
                <w:highlight w:val="none"/>
              </w:rPr>
              <w:t>.机电负责人：</w:t>
            </w:r>
            <w:r>
              <w:rPr>
                <w:rFonts w:hint="eastAsia" w:ascii="宋体" w:hAnsi="宋体" w:cs="宋体"/>
                <w:szCs w:val="21"/>
                <w:highlight w:val="none"/>
              </w:rPr>
              <w:t>具有机电</w:t>
            </w:r>
            <w:r>
              <w:rPr>
                <w:rFonts w:hint="eastAsia" w:ascii="宋体" w:hAnsi="宋体" w:cs="宋体"/>
                <w:szCs w:val="21"/>
                <w:highlight w:val="none"/>
                <w:lang w:val="en-US" w:eastAsia="zh-CN"/>
              </w:rPr>
              <w:t>工程类</w:t>
            </w:r>
            <w:r>
              <w:rPr>
                <w:rFonts w:hint="eastAsia" w:ascii="宋体" w:hAnsi="宋体" w:cs="宋体"/>
                <w:szCs w:val="21"/>
                <w:highlight w:val="none"/>
              </w:rPr>
              <w:t>相关专业高级工程师或以上职称得</w:t>
            </w:r>
            <w:r>
              <w:rPr>
                <w:rFonts w:hint="eastAsia" w:ascii="宋体" w:hAnsi="宋体" w:cs="宋体"/>
                <w:szCs w:val="21"/>
                <w:highlight w:val="none"/>
                <w:lang w:val="en-US" w:eastAsia="zh-CN"/>
              </w:rPr>
              <w:t>2.5</w:t>
            </w:r>
            <w:r>
              <w:rPr>
                <w:rFonts w:hint="eastAsia" w:ascii="宋体" w:hAnsi="宋体" w:cs="宋体"/>
                <w:szCs w:val="21"/>
                <w:highlight w:val="none"/>
              </w:rPr>
              <w:t>分，具有机电</w:t>
            </w:r>
            <w:r>
              <w:rPr>
                <w:rFonts w:hint="eastAsia" w:ascii="宋体" w:hAnsi="宋体" w:cs="宋体"/>
                <w:szCs w:val="21"/>
                <w:highlight w:val="none"/>
                <w:lang w:val="en-US" w:eastAsia="zh-CN"/>
              </w:rPr>
              <w:t>工程类</w:t>
            </w:r>
            <w:r>
              <w:rPr>
                <w:rFonts w:hint="eastAsia" w:ascii="宋体" w:hAnsi="宋体" w:cs="宋体"/>
                <w:szCs w:val="21"/>
                <w:highlight w:val="none"/>
              </w:rPr>
              <w:t>相关专业工程师职称得</w:t>
            </w:r>
            <w:r>
              <w:rPr>
                <w:rFonts w:hint="eastAsia" w:ascii="宋体" w:hAnsi="宋体" w:cs="宋体"/>
                <w:szCs w:val="21"/>
                <w:highlight w:val="none"/>
                <w:lang w:val="en-US" w:eastAsia="zh-CN"/>
              </w:rPr>
              <w:t>1</w:t>
            </w:r>
            <w:r>
              <w:rPr>
                <w:rFonts w:hint="eastAsia" w:ascii="宋体" w:hAnsi="宋体" w:cs="宋体"/>
                <w:szCs w:val="21"/>
                <w:highlight w:val="none"/>
              </w:rPr>
              <w:t>分；最高得</w:t>
            </w:r>
            <w:r>
              <w:rPr>
                <w:rFonts w:hint="eastAsia" w:ascii="宋体" w:hAnsi="宋体" w:cs="宋体"/>
                <w:szCs w:val="21"/>
                <w:highlight w:val="none"/>
                <w:lang w:val="en-US" w:eastAsia="zh-CN"/>
              </w:rPr>
              <w:t>2.5</w:t>
            </w:r>
            <w:r>
              <w:rPr>
                <w:rFonts w:hint="eastAsia" w:ascii="宋体" w:hAnsi="宋体" w:cs="宋体"/>
                <w:szCs w:val="21"/>
                <w:highlight w:val="none"/>
              </w:rPr>
              <w:t>分。</w:t>
            </w:r>
          </w:p>
          <w:p w14:paraId="3A71E697">
            <w:pPr>
              <w:pStyle w:val="2"/>
              <w:ind w:firstLine="0"/>
              <w:rPr>
                <w:rFonts w:hint="eastAsia" w:ascii="宋体" w:hAnsi="宋体" w:cs="宋体"/>
                <w:szCs w:val="21"/>
                <w:highlight w:val="none"/>
              </w:rPr>
            </w:pPr>
            <w:r>
              <w:rPr>
                <w:rFonts w:hint="eastAsia" w:ascii="宋体" w:hAnsi="宋体" w:cs="宋体"/>
                <w:b/>
                <w:bCs/>
                <w:szCs w:val="21"/>
                <w:highlight w:val="none"/>
                <w:lang w:val="en-US" w:eastAsia="zh-CN"/>
              </w:rPr>
              <w:t>4</w:t>
            </w:r>
            <w:r>
              <w:rPr>
                <w:rFonts w:hint="eastAsia" w:ascii="宋体" w:hAnsi="宋体" w:cs="宋体"/>
                <w:b/>
                <w:bCs/>
                <w:szCs w:val="21"/>
                <w:highlight w:val="none"/>
              </w:rPr>
              <w:t>.电气负责人：</w:t>
            </w:r>
            <w:r>
              <w:rPr>
                <w:rFonts w:hint="eastAsia" w:ascii="宋体" w:hAnsi="宋体" w:cs="宋体"/>
                <w:szCs w:val="21"/>
                <w:highlight w:val="none"/>
              </w:rPr>
              <w:t>具有电</w:t>
            </w:r>
            <w:r>
              <w:rPr>
                <w:rFonts w:hint="eastAsia" w:ascii="宋体" w:hAnsi="宋体" w:cs="宋体"/>
                <w:szCs w:val="21"/>
                <w:highlight w:val="none"/>
                <w:lang w:val="en-US" w:eastAsia="zh-CN"/>
              </w:rPr>
              <w:t>气工程类</w:t>
            </w:r>
            <w:r>
              <w:rPr>
                <w:rFonts w:hint="eastAsia" w:ascii="宋体" w:hAnsi="宋体" w:cs="宋体"/>
                <w:szCs w:val="21"/>
                <w:highlight w:val="none"/>
              </w:rPr>
              <w:t>相关专业工程师得</w:t>
            </w:r>
            <w:r>
              <w:rPr>
                <w:rFonts w:hint="eastAsia" w:ascii="宋体" w:hAnsi="宋体" w:cs="宋体"/>
                <w:szCs w:val="21"/>
                <w:highlight w:val="none"/>
                <w:lang w:val="en-US" w:eastAsia="zh-CN"/>
              </w:rPr>
              <w:t>2</w:t>
            </w:r>
            <w:r>
              <w:rPr>
                <w:rFonts w:hint="eastAsia" w:ascii="宋体" w:hAnsi="宋体" w:cs="宋体"/>
                <w:szCs w:val="21"/>
                <w:highlight w:val="none"/>
              </w:rPr>
              <w:t>分；最高得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503EC06B">
            <w:pPr>
              <w:pStyle w:val="2"/>
              <w:ind w:firstLine="0"/>
              <w:rPr>
                <w:rFonts w:hint="eastAsia" w:ascii="宋体" w:hAnsi="宋体" w:cs="宋体"/>
                <w:szCs w:val="21"/>
                <w:highlight w:val="none"/>
              </w:rPr>
            </w:pPr>
            <w:r>
              <w:rPr>
                <w:rFonts w:hint="eastAsia" w:ascii="宋体" w:hAnsi="宋体" w:cs="宋体"/>
                <w:szCs w:val="21"/>
                <w:highlight w:val="none"/>
              </w:rPr>
              <w:t>本小项合计最高得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4B61CCA7">
            <w:pPr>
              <w:rPr>
                <w:highlight w:val="none"/>
              </w:rPr>
            </w:pPr>
            <w:r>
              <w:rPr>
                <w:rFonts w:hint="eastAsia" w:ascii="宋体" w:hAnsi="宋体" w:cs="宋体"/>
                <w:szCs w:val="21"/>
                <w:highlight w:val="none"/>
              </w:rPr>
              <w:t>注：各专业负责人均为投标人单位的正式职工，提供本招标公告发布之日前三个月由投标人单位缴纳的社保证明文件。专业负责人须提供相关注册执业证书、职称证书扫描件，不提供不得分。</w:t>
            </w:r>
          </w:p>
          <w:p w14:paraId="3DA97D29">
            <w:pPr>
              <w:rPr>
                <w:rFonts w:hint="eastAsia" w:ascii="宋体" w:hAnsi="宋体" w:cs="宋体"/>
                <w:b/>
                <w:bCs/>
                <w:szCs w:val="21"/>
                <w:highlight w:val="none"/>
                <w:lang w:val="zh-CN"/>
              </w:rPr>
            </w:pPr>
            <w:r>
              <w:rPr>
                <w:rFonts w:hint="eastAsia" w:ascii="宋体" w:hAnsi="宋体" w:cs="宋体"/>
                <w:b/>
                <w:bCs/>
                <w:szCs w:val="21"/>
                <w:highlight w:val="none"/>
              </w:rPr>
              <w:t>二、设计团队人员（若为联合体，指联合体设计方）：</w:t>
            </w:r>
          </w:p>
          <w:p w14:paraId="5353986F">
            <w:pPr>
              <w:pStyle w:val="2"/>
              <w:ind w:firstLine="0"/>
              <w:rPr>
                <w:rFonts w:hint="eastAsia" w:ascii="宋体" w:hAnsi="宋体" w:cs="宋体"/>
                <w:b/>
                <w:bCs/>
                <w:szCs w:val="21"/>
                <w:highlight w:val="none"/>
                <w:lang w:val="zh-CN"/>
              </w:rPr>
            </w:pPr>
            <w:r>
              <w:rPr>
                <w:rFonts w:hint="eastAsia" w:ascii="宋体" w:hAnsi="宋体" w:cs="宋体"/>
                <w:b/>
                <w:bCs/>
                <w:szCs w:val="21"/>
                <w:highlight w:val="none"/>
              </w:rPr>
              <w:t>（一）</w:t>
            </w:r>
            <w:r>
              <w:rPr>
                <w:rFonts w:hint="eastAsia" w:ascii="宋体" w:hAnsi="宋体" w:cs="宋体"/>
                <w:b/>
                <w:bCs/>
                <w:szCs w:val="21"/>
                <w:highlight w:val="none"/>
                <w:lang w:val="zh-CN"/>
              </w:rPr>
              <w:t>设计负责人设计经历及业务能力：（</w:t>
            </w:r>
            <w:r>
              <w:rPr>
                <w:rFonts w:hint="eastAsia" w:ascii="宋体" w:hAnsi="宋体" w:cs="宋体"/>
                <w:b/>
                <w:bCs/>
                <w:szCs w:val="21"/>
                <w:highlight w:val="none"/>
                <w:lang w:val="en-US" w:eastAsia="zh-CN"/>
              </w:rPr>
              <w:t>10分</w:t>
            </w:r>
            <w:r>
              <w:rPr>
                <w:rFonts w:hint="eastAsia" w:ascii="宋体" w:hAnsi="宋体" w:cs="宋体"/>
                <w:b/>
                <w:bCs/>
                <w:szCs w:val="21"/>
                <w:highlight w:val="none"/>
                <w:lang w:val="zh-CN"/>
              </w:rPr>
              <w:t>）</w:t>
            </w:r>
          </w:p>
          <w:p w14:paraId="4D9A2E5E">
            <w:pPr>
              <w:pStyle w:val="2"/>
              <w:ind w:firstLine="0"/>
              <w:rPr>
                <w:rFonts w:hint="eastAsia" w:ascii="宋体" w:hAnsi="宋体" w:cs="宋体"/>
                <w:szCs w:val="21"/>
                <w:highlight w:val="none"/>
              </w:rPr>
            </w:pPr>
            <w:r>
              <w:rPr>
                <w:rFonts w:hint="eastAsia" w:ascii="宋体" w:hAnsi="宋体" w:cs="宋体"/>
                <w:szCs w:val="21"/>
                <w:highlight w:val="none"/>
              </w:rPr>
              <w:t>①设计经历在25年以上的得</w:t>
            </w:r>
            <w:r>
              <w:rPr>
                <w:rFonts w:hint="eastAsia" w:ascii="宋体" w:hAnsi="宋体" w:cs="宋体"/>
                <w:szCs w:val="21"/>
                <w:highlight w:val="none"/>
                <w:lang w:val="en-US" w:eastAsia="zh-CN"/>
              </w:rPr>
              <w:t>3</w:t>
            </w:r>
            <w:r>
              <w:rPr>
                <w:rFonts w:hint="eastAsia" w:ascii="宋体" w:hAnsi="宋体" w:cs="宋体"/>
                <w:szCs w:val="21"/>
                <w:highlight w:val="none"/>
              </w:rPr>
              <w:t>分，</w:t>
            </w:r>
            <w:r>
              <w:rPr>
                <w:rFonts w:hint="eastAsia" w:ascii="宋体" w:hAnsi="宋体" w:cs="宋体"/>
                <w:szCs w:val="21"/>
                <w:highlight w:val="none"/>
                <w:lang w:val="en-US" w:eastAsia="zh-CN"/>
              </w:rPr>
              <w:t>10</w:t>
            </w:r>
            <w:r>
              <w:rPr>
                <w:rFonts w:hint="eastAsia" w:ascii="宋体" w:hAnsi="宋体" w:cs="宋体"/>
                <w:szCs w:val="21"/>
                <w:highlight w:val="none"/>
              </w:rPr>
              <w:t>-24年的得</w:t>
            </w:r>
            <w:r>
              <w:rPr>
                <w:rFonts w:hint="eastAsia" w:ascii="宋体" w:hAnsi="宋体" w:cs="宋体"/>
                <w:szCs w:val="21"/>
                <w:highlight w:val="none"/>
                <w:lang w:val="en-US" w:eastAsia="zh-CN"/>
              </w:rPr>
              <w:t>2</w:t>
            </w:r>
            <w:r>
              <w:rPr>
                <w:rFonts w:hint="eastAsia" w:ascii="宋体" w:hAnsi="宋体" w:cs="宋体"/>
                <w:szCs w:val="21"/>
                <w:highlight w:val="none"/>
              </w:rPr>
              <w:t>分，10</w:t>
            </w:r>
            <w:r>
              <w:rPr>
                <w:rFonts w:hint="eastAsia" w:ascii="宋体" w:hAnsi="宋体" w:cs="宋体"/>
                <w:szCs w:val="21"/>
                <w:highlight w:val="none"/>
                <w:lang w:val="en-US" w:eastAsia="zh-CN"/>
              </w:rPr>
              <w:t>以下</w:t>
            </w:r>
            <w:r>
              <w:rPr>
                <w:rFonts w:hint="eastAsia" w:ascii="宋体" w:hAnsi="宋体" w:cs="宋体"/>
                <w:szCs w:val="21"/>
                <w:highlight w:val="none"/>
              </w:rPr>
              <w:t>年的得</w:t>
            </w:r>
            <w:r>
              <w:rPr>
                <w:rFonts w:hint="eastAsia" w:ascii="宋体" w:hAnsi="宋体" w:cs="宋体"/>
                <w:szCs w:val="21"/>
                <w:highlight w:val="none"/>
                <w:lang w:val="en-US" w:eastAsia="zh-CN"/>
              </w:rPr>
              <w:t>1</w:t>
            </w:r>
            <w:r>
              <w:rPr>
                <w:rFonts w:hint="eastAsia" w:ascii="宋体" w:hAnsi="宋体" w:cs="宋体"/>
                <w:szCs w:val="21"/>
                <w:highlight w:val="none"/>
              </w:rPr>
              <w:t>分；最高得</w:t>
            </w:r>
            <w:r>
              <w:rPr>
                <w:rFonts w:hint="eastAsia" w:ascii="宋体" w:hAnsi="宋体" w:cs="宋体"/>
                <w:szCs w:val="21"/>
                <w:highlight w:val="none"/>
                <w:lang w:val="en-US" w:eastAsia="zh-CN"/>
              </w:rPr>
              <w:t>3</w:t>
            </w:r>
            <w:r>
              <w:rPr>
                <w:rFonts w:hint="eastAsia" w:ascii="宋体" w:hAnsi="宋体" w:cs="宋体"/>
                <w:szCs w:val="21"/>
                <w:highlight w:val="none"/>
              </w:rPr>
              <w:t>分</w:t>
            </w:r>
            <w:r>
              <w:rPr>
                <w:rFonts w:hint="eastAsia" w:ascii="宋体" w:hAnsi="宋体" w:cs="宋体"/>
                <w:szCs w:val="21"/>
                <w:highlight w:val="none"/>
                <w:lang w:val="zh-CN"/>
              </w:rPr>
              <w:t>。</w:t>
            </w:r>
          </w:p>
          <w:p w14:paraId="5B083E48">
            <w:pPr>
              <w:pStyle w:val="2"/>
              <w:ind w:firstLine="0"/>
              <w:rPr>
                <w:rFonts w:hint="eastAsia" w:ascii="宋体" w:hAnsi="宋体" w:cs="宋体"/>
                <w:szCs w:val="21"/>
                <w:highlight w:val="none"/>
                <w:lang w:val="zh-CN"/>
              </w:rPr>
            </w:pPr>
            <w:r>
              <w:rPr>
                <w:rFonts w:hint="eastAsia" w:ascii="宋体" w:hAnsi="宋体" w:cs="宋体"/>
                <w:szCs w:val="21"/>
                <w:highlight w:val="none"/>
              </w:rPr>
              <w:t>②</w:t>
            </w:r>
            <w:r>
              <w:rPr>
                <w:rFonts w:hint="eastAsia" w:ascii="宋体" w:hAnsi="宋体" w:cs="宋体"/>
                <w:szCs w:val="21"/>
                <w:highlight w:val="none"/>
                <w:lang w:val="zh-CN"/>
              </w:rPr>
              <w:t>具备高级工程师或以上职称得</w:t>
            </w:r>
            <w:r>
              <w:rPr>
                <w:rFonts w:hint="eastAsia" w:ascii="宋体" w:hAnsi="宋体" w:cs="宋体"/>
                <w:szCs w:val="21"/>
                <w:highlight w:val="none"/>
                <w:lang w:val="en-US" w:eastAsia="zh-CN"/>
              </w:rPr>
              <w:t>2</w:t>
            </w:r>
            <w:r>
              <w:rPr>
                <w:rFonts w:hint="eastAsia" w:ascii="宋体" w:hAnsi="宋体" w:cs="宋体"/>
                <w:szCs w:val="21"/>
                <w:highlight w:val="none"/>
                <w:lang w:val="zh-CN"/>
              </w:rPr>
              <w:t>分；具备工程师职称得</w:t>
            </w:r>
            <w:r>
              <w:rPr>
                <w:rFonts w:hint="eastAsia" w:ascii="宋体" w:hAnsi="宋体" w:cs="宋体"/>
                <w:szCs w:val="21"/>
                <w:highlight w:val="none"/>
                <w:lang w:val="en-US" w:eastAsia="zh-CN"/>
              </w:rPr>
              <w:t>1</w:t>
            </w:r>
            <w:r>
              <w:rPr>
                <w:rFonts w:hint="eastAsia" w:ascii="宋体" w:hAnsi="宋体" w:cs="宋体"/>
                <w:szCs w:val="21"/>
                <w:highlight w:val="none"/>
                <w:lang w:val="zh-CN"/>
              </w:rPr>
              <w:t>分</w:t>
            </w:r>
            <w:r>
              <w:rPr>
                <w:rFonts w:hint="eastAsia" w:ascii="宋体" w:hAnsi="宋体" w:cs="宋体"/>
                <w:szCs w:val="21"/>
                <w:highlight w:val="none"/>
              </w:rPr>
              <w:t>；本小项最高得</w:t>
            </w:r>
            <w:r>
              <w:rPr>
                <w:rFonts w:hint="eastAsia" w:ascii="宋体" w:hAnsi="宋体" w:cs="宋体"/>
                <w:szCs w:val="21"/>
                <w:highlight w:val="none"/>
                <w:lang w:val="en-US" w:eastAsia="zh-CN"/>
              </w:rPr>
              <w:t>2</w:t>
            </w:r>
            <w:r>
              <w:rPr>
                <w:rFonts w:hint="eastAsia" w:ascii="宋体" w:hAnsi="宋体" w:cs="宋体"/>
                <w:szCs w:val="21"/>
                <w:highlight w:val="none"/>
              </w:rPr>
              <w:t>分</w:t>
            </w:r>
            <w:r>
              <w:rPr>
                <w:rFonts w:hint="eastAsia" w:ascii="宋体" w:hAnsi="宋体" w:cs="宋体"/>
                <w:szCs w:val="21"/>
                <w:highlight w:val="none"/>
                <w:lang w:val="zh-CN"/>
              </w:rPr>
              <w:t>。</w:t>
            </w:r>
          </w:p>
          <w:p w14:paraId="69D9874A">
            <w:pPr>
              <w:pStyle w:val="2"/>
              <w:ind w:firstLine="0"/>
              <w:rPr>
                <w:rFonts w:hint="eastAsia" w:ascii="宋体" w:hAnsi="宋体" w:cs="宋体"/>
                <w:szCs w:val="21"/>
                <w:highlight w:val="none"/>
              </w:rPr>
            </w:pPr>
            <w:r>
              <w:rPr>
                <w:rFonts w:hint="eastAsia" w:ascii="宋体" w:hAnsi="宋体" w:cs="宋体"/>
                <w:szCs w:val="21"/>
                <w:highlight w:val="none"/>
              </w:rPr>
              <w:t>③自</w:t>
            </w:r>
            <w:r>
              <w:rPr>
                <w:rFonts w:hint="eastAsia" w:ascii="宋体" w:hAnsi="宋体" w:cs="宋体"/>
                <w:szCs w:val="21"/>
                <w:highlight w:val="none"/>
                <w:lang w:val="zh-CN"/>
              </w:rPr>
              <w:t>20</w:t>
            </w:r>
            <w:r>
              <w:rPr>
                <w:rFonts w:hint="eastAsia" w:ascii="宋体" w:hAnsi="宋体" w:cs="宋体"/>
                <w:szCs w:val="21"/>
                <w:highlight w:val="none"/>
              </w:rPr>
              <w:t>22</w:t>
            </w:r>
            <w:r>
              <w:rPr>
                <w:rFonts w:hint="eastAsia" w:ascii="宋体" w:hAnsi="宋体" w:cs="宋体"/>
                <w:szCs w:val="21"/>
                <w:highlight w:val="none"/>
                <w:lang w:val="zh-CN"/>
              </w:rPr>
              <w:t>年1月1日至</w:t>
            </w:r>
            <w:r>
              <w:rPr>
                <w:rFonts w:hint="eastAsia" w:ascii="宋体" w:hAnsi="宋体" w:cs="宋体"/>
                <w:szCs w:val="21"/>
                <w:highlight w:val="none"/>
              </w:rPr>
              <w:t>今，承接的房建设计项目获得过行政部门或建设行业协会（或学会）颁发的优秀工程勘察设计奖，省级或以上奖项得5分；市级奖项得</w:t>
            </w:r>
            <w:r>
              <w:rPr>
                <w:rFonts w:hint="eastAsia" w:ascii="宋体" w:hAnsi="宋体" w:cs="宋体"/>
                <w:szCs w:val="21"/>
                <w:highlight w:val="none"/>
                <w:lang w:val="en-US" w:eastAsia="zh-CN"/>
              </w:rPr>
              <w:t>3</w:t>
            </w:r>
            <w:r>
              <w:rPr>
                <w:rFonts w:hint="eastAsia" w:ascii="宋体" w:hAnsi="宋体" w:cs="宋体"/>
                <w:szCs w:val="21"/>
                <w:highlight w:val="none"/>
              </w:rPr>
              <w:t>分。本项最多计一项，最高得5分。</w:t>
            </w:r>
          </w:p>
          <w:p w14:paraId="637A6604">
            <w:pPr>
              <w:pStyle w:val="2"/>
              <w:ind w:firstLine="0"/>
              <w:rPr>
                <w:rFonts w:hint="eastAsia" w:ascii="宋体" w:hAnsi="宋体" w:cs="宋体"/>
                <w:szCs w:val="21"/>
                <w:highlight w:val="none"/>
                <w:lang w:val="zh-CN"/>
              </w:rPr>
            </w:pPr>
            <w:r>
              <w:rPr>
                <w:rFonts w:hint="eastAsia" w:ascii="宋体" w:hAnsi="宋体" w:cs="宋体"/>
                <w:szCs w:val="21"/>
                <w:highlight w:val="none"/>
                <w:lang w:val="zh-CN"/>
              </w:rPr>
              <w:t>注：设计负责人均为</w:t>
            </w:r>
            <w:r>
              <w:rPr>
                <w:rFonts w:hint="eastAsia" w:ascii="宋体" w:hAnsi="宋体" w:cs="宋体"/>
                <w:szCs w:val="21"/>
                <w:highlight w:val="none"/>
              </w:rPr>
              <w:t>投标人单位</w:t>
            </w:r>
            <w:r>
              <w:rPr>
                <w:rFonts w:hint="eastAsia" w:ascii="宋体" w:hAnsi="宋体" w:cs="宋体"/>
                <w:szCs w:val="21"/>
                <w:highlight w:val="none"/>
                <w:lang w:val="zh-CN"/>
              </w:rPr>
              <w:t>的正式职工，必须具有自本招标公告发布之日</w:t>
            </w:r>
            <w:r>
              <w:rPr>
                <w:rFonts w:hint="eastAsia" w:ascii="宋体" w:hAnsi="宋体" w:cs="宋体"/>
                <w:szCs w:val="21"/>
                <w:highlight w:val="none"/>
              </w:rPr>
              <w:t>前三</w:t>
            </w:r>
            <w:r>
              <w:rPr>
                <w:rFonts w:hint="eastAsia" w:ascii="宋体" w:hAnsi="宋体" w:cs="宋体"/>
                <w:szCs w:val="21"/>
                <w:highlight w:val="none"/>
                <w:lang w:val="zh-CN"/>
              </w:rPr>
              <w:t>个月在</w:t>
            </w:r>
            <w:r>
              <w:rPr>
                <w:rFonts w:hint="eastAsia" w:ascii="宋体" w:hAnsi="宋体" w:cs="宋体"/>
                <w:szCs w:val="21"/>
                <w:highlight w:val="none"/>
              </w:rPr>
              <w:t>投标人</w:t>
            </w:r>
            <w:r>
              <w:rPr>
                <w:rFonts w:hint="eastAsia" w:ascii="宋体" w:hAnsi="宋体" w:cs="宋体"/>
                <w:szCs w:val="21"/>
                <w:highlight w:val="none"/>
                <w:lang w:val="zh-CN"/>
              </w:rPr>
              <w:t>单位缴纳的社保证明文件。项目（设计）负责人须提供职称资格证书、</w:t>
            </w:r>
            <w:r>
              <w:rPr>
                <w:rFonts w:hint="eastAsia" w:ascii="宋体" w:hAnsi="宋体" w:cs="宋体"/>
                <w:szCs w:val="21"/>
                <w:highlight w:val="none"/>
              </w:rPr>
              <w:t>获奖证书</w:t>
            </w:r>
            <w:r>
              <w:rPr>
                <w:rFonts w:hint="eastAsia" w:ascii="宋体" w:hAnsi="宋体" w:cs="宋体"/>
                <w:szCs w:val="21"/>
                <w:highlight w:val="none"/>
                <w:lang w:val="zh-CN"/>
              </w:rPr>
              <w:t>扫描件</w:t>
            </w:r>
            <w:r>
              <w:rPr>
                <w:rFonts w:hint="eastAsia" w:ascii="宋体" w:hAnsi="宋体" w:cs="宋体"/>
                <w:szCs w:val="21"/>
                <w:highlight w:val="none"/>
              </w:rPr>
              <w:t>[须包含项目（设计）负责人姓名]</w:t>
            </w:r>
            <w:r>
              <w:rPr>
                <w:rFonts w:hint="eastAsia" w:ascii="宋体" w:hAnsi="宋体" w:cs="宋体"/>
                <w:szCs w:val="21"/>
                <w:highlight w:val="none"/>
                <w:lang w:val="zh-CN"/>
              </w:rPr>
              <w:t>。</w:t>
            </w:r>
          </w:p>
          <w:p w14:paraId="752D0C00">
            <w:pPr>
              <w:autoSpaceDE w:val="0"/>
              <w:autoSpaceDN w:val="0"/>
              <w:adjustRightInd w:val="0"/>
              <w:rPr>
                <w:rFonts w:ascii="宋体" w:hAnsi="Calibri" w:cs="宋体"/>
                <w:b/>
                <w:bCs/>
                <w:szCs w:val="21"/>
                <w:highlight w:val="none"/>
                <w:lang w:val="zh-CN"/>
              </w:rPr>
            </w:pPr>
            <w:r>
              <w:rPr>
                <w:rFonts w:hint="eastAsia" w:ascii="宋体" w:hAnsi="Calibri" w:cs="宋体"/>
                <w:b/>
                <w:bCs/>
                <w:szCs w:val="21"/>
                <w:highlight w:val="none"/>
              </w:rPr>
              <w:t>（二）</w:t>
            </w:r>
            <w:r>
              <w:rPr>
                <w:rFonts w:hint="eastAsia" w:ascii="宋体" w:hAnsi="Calibri" w:cs="宋体"/>
                <w:b/>
                <w:bCs/>
                <w:szCs w:val="21"/>
                <w:highlight w:val="none"/>
                <w:lang w:val="zh-CN"/>
              </w:rPr>
              <w:t>专业负责人及专业设计人：（</w:t>
            </w:r>
            <w:r>
              <w:rPr>
                <w:rFonts w:hint="eastAsia" w:ascii="宋体" w:hAnsi="Calibri" w:cs="宋体"/>
                <w:b/>
                <w:bCs/>
                <w:szCs w:val="21"/>
                <w:highlight w:val="none"/>
                <w:lang w:val="en-US" w:eastAsia="zh-CN"/>
              </w:rPr>
              <w:t>10分</w:t>
            </w:r>
            <w:r>
              <w:rPr>
                <w:rFonts w:hint="eastAsia" w:ascii="宋体" w:hAnsi="Calibri" w:cs="宋体"/>
                <w:b/>
                <w:bCs/>
                <w:szCs w:val="21"/>
                <w:highlight w:val="none"/>
                <w:lang w:val="zh-CN"/>
              </w:rPr>
              <w:t>）</w:t>
            </w:r>
          </w:p>
          <w:p w14:paraId="25DDF5D8">
            <w:pPr>
              <w:pStyle w:val="2"/>
              <w:ind w:left="0" w:leftChars="0" w:firstLine="0"/>
              <w:rPr>
                <w:rFonts w:hint="eastAsia" w:ascii="宋体" w:hAnsi="宋体" w:cs="宋体"/>
                <w:szCs w:val="21"/>
                <w:highlight w:val="none"/>
              </w:rPr>
            </w:pPr>
            <w:r>
              <w:rPr>
                <w:rFonts w:hint="eastAsia" w:ascii="宋体" w:hAnsi="宋体" w:cs="宋体"/>
                <w:szCs w:val="21"/>
                <w:highlight w:val="none"/>
              </w:rPr>
              <w:t>①</w:t>
            </w:r>
            <w:r>
              <w:rPr>
                <w:rFonts w:hint="eastAsia" w:ascii="宋体" w:hAnsi="宋体" w:cs="宋体"/>
                <w:szCs w:val="21"/>
                <w:highlight w:val="none"/>
                <w:lang w:val="zh-CN"/>
              </w:rPr>
              <w:t>建筑专业负责人具备</w:t>
            </w:r>
            <w:r>
              <w:rPr>
                <w:rFonts w:hint="eastAsia" w:ascii="宋体" w:hAnsi="宋体" w:cs="宋体"/>
                <w:szCs w:val="21"/>
                <w:highlight w:val="none"/>
              </w:rPr>
              <w:t>一级注册建筑师得</w:t>
            </w:r>
            <w:r>
              <w:rPr>
                <w:rFonts w:hint="eastAsia" w:ascii="宋体" w:hAnsi="宋体" w:cs="宋体"/>
                <w:szCs w:val="21"/>
                <w:highlight w:val="none"/>
                <w:lang w:val="en-US" w:eastAsia="zh-CN"/>
              </w:rPr>
              <w:t>1</w:t>
            </w:r>
            <w:r>
              <w:rPr>
                <w:rFonts w:hint="eastAsia" w:ascii="宋体" w:hAnsi="宋体" w:cs="宋体"/>
                <w:szCs w:val="21"/>
                <w:highlight w:val="none"/>
              </w:rPr>
              <w:t>分，具有</w:t>
            </w:r>
            <w:r>
              <w:rPr>
                <w:rFonts w:hint="eastAsia" w:ascii="宋体" w:hAnsi="宋体" w:cs="宋体"/>
                <w:szCs w:val="21"/>
                <w:highlight w:val="none"/>
                <w:lang w:val="zh-CN"/>
              </w:rPr>
              <w:t>高级工程师</w:t>
            </w:r>
            <w:r>
              <w:rPr>
                <w:rFonts w:hint="eastAsia" w:ascii="宋体" w:hAnsi="宋体" w:cs="宋体"/>
                <w:szCs w:val="21"/>
                <w:highlight w:val="none"/>
              </w:rPr>
              <w:t>或以上</w:t>
            </w:r>
            <w:r>
              <w:rPr>
                <w:rFonts w:hint="eastAsia" w:ascii="宋体" w:hAnsi="宋体" w:cs="宋体"/>
                <w:szCs w:val="21"/>
                <w:highlight w:val="none"/>
                <w:lang w:val="zh-CN"/>
              </w:rPr>
              <w:t>职称</w:t>
            </w:r>
            <w:r>
              <w:rPr>
                <w:rFonts w:hint="eastAsia" w:ascii="宋体" w:hAnsi="宋体" w:cs="宋体"/>
                <w:szCs w:val="21"/>
                <w:highlight w:val="none"/>
              </w:rPr>
              <w:t>的</w:t>
            </w:r>
            <w:r>
              <w:rPr>
                <w:rFonts w:hint="eastAsia" w:ascii="宋体" w:hAnsi="宋体" w:cs="宋体"/>
                <w:szCs w:val="21"/>
                <w:highlight w:val="none"/>
                <w:lang w:val="zh-CN"/>
              </w:rPr>
              <w:t>得</w:t>
            </w:r>
            <w:r>
              <w:rPr>
                <w:rFonts w:hint="eastAsia" w:ascii="宋体" w:hAnsi="宋体" w:cs="宋体"/>
                <w:szCs w:val="21"/>
                <w:highlight w:val="none"/>
                <w:lang w:val="en-US" w:eastAsia="zh-CN"/>
              </w:rPr>
              <w:t>1</w:t>
            </w:r>
            <w:r>
              <w:rPr>
                <w:rFonts w:hint="eastAsia" w:ascii="宋体" w:hAnsi="宋体" w:cs="宋体"/>
                <w:szCs w:val="21"/>
                <w:highlight w:val="none"/>
                <w:lang w:val="zh-CN"/>
              </w:rPr>
              <w:t>分，</w:t>
            </w:r>
            <w:r>
              <w:rPr>
                <w:rFonts w:hint="eastAsia" w:ascii="宋体" w:hAnsi="宋体" w:cs="宋体"/>
                <w:szCs w:val="21"/>
                <w:highlight w:val="none"/>
              </w:rPr>
              <w:t>具有</w:t>
            </w:r>
            <w:r>
              <w:rPr>
                <w:rFonts w:hint="eastAsia" w:ascii="宋体" w:hAnsi="宋体" w:cs="宋体"/>
                <w:szCs w:val="21"/>
                <w:highlight w:val="none"/>
                <w:lang w:val="zh-CN"/>
              </w:rPr>
              <w:t>工程师职称</w:t>
            </w:r>
            <w:r>
              <w:rPr>
                <w:rFonts w:hint="eastAsia" w:ascii="宋体" w:hAnsi="宋体" w:cs="宋体"/>
                <w:szCs w:val="21"/>
                <w:highlight w:val="none"/>
              </w:rPr>
              <w:t>的</w:t>
            </w:r>
            <w:r>
              <w:rPr>
                <w:rFonts w:hint="eastAsia" w:ascii="宋体" w:hAnsi="宋体" w:cs="宋体"/>
                <w:szCs w:val="21"/>
                <w:highlight w:val="none"/>
                <w:lang w:val="zh-CN"/>
              </w:rPr>
              <w:t>得</w:t>
            </w:r>
            <w:r>
              <w:rPr>
                <w:rFonts w:hint="eastAsia" w:ascii="宋体" w:hAnsi="宋体" w:cs="宋体"/>
                <w:szCs w:val="21"/>
                <w:highlight w:val="none"/>
                <w:lang w:val="en-US" w:eastAsia="zh-CN"/>
              </w:rPr>
              <w:t>0.5</w:t>
            </w:r>
            <w:r>
              <w:rPr>
                <w:rFonts w:hint="eastAsia" w:ascii="宋体" w:hAnsi="宋体" w:cs="宋体"/>
                <w:szCs w:val="21"/>
                <w:highlight w:val="none"/>
                <w:lang w:val="zh-CN"/>
              </w:rPr>
              <w:t>分；</w:t>
            </w:r>
            <w:r>
              <w:rPr>
                <w:rFonts w:hint="eastAsia" w:ascii="宋体" w:hAnsi="宋体" w:cs="宋体"/>
                <w:szCs w:val="21"/>
                <w:highlight w:val="none"/>
              </w:rPr>
              <w:t>最高得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7D1D4ECA">
            <w:pPr>
              <w:pStyle w:val="2"/>
              <w:ind w:left="0" w:leftChars="0" w:firstLine="0"/>
              <w:rPr>
                <w:rFonts w:hint="eastAsia" w:ascii="宋体" w:hAnsi="宋体" w:cs="宋体"/>
                <w:szCs w:val="21"/>
                <w:highlight w:val="none"/>
                <w:lang w:val="zh-CN"/>
              </w:rPr>
            </w:pPr>
            <w:r>
              <w:rPr>
                <w:rFonts w:hint="eastAsia" w:ascii="宋体" w:hAnsi="宋体" w:cs="宋体"/>
                <w:szCs w:val="21"/>
                <w:highlight w:val="none"/>
              </w:rPr>
              <w:t>②</w:t>
            </w:r>
            <w:r>
              <w:rPr>
                <w:rFonts w:hint="eastAsia" w:ascii="宋体" w:hAnsi="宋体" w:cs="宋体"/>
                <w:szCs w:val="21"/>
                <w:highlight w:val="none"/>
                <w:lang w:val="zh-CN"/>
              </w:rPr>
              <w:t>结构专业负责人具备</w:t>
            </w:r>
            <w:r>
              <w:rPr>
                <w:rFonts w:hint="eastAsia" w:ascii="宋体" w:hAnsi="宋体" w:cs="宋体"/>
                <w:szCs w:val="21"/>
                <w:highlight w:val="none"/>
              </w:rPr>
              <w:t>一级注册结构工程师得</w:t>
            </w:r>
            <w:r>
              <w:rPr>
                <w:rFonts w:hint="eastAsia" w:ascii="宋体" w:hAnsi="宋体" w:cs="宋体"/>
                <w:szCs w:val="21"/>
                <w:highlight w:val="none"/>
                <w:lang w:val="en-US" w:eastAsia="zh-CN"/>
              </w:rPr>
              <w:t>1</w:t>
            </w:r>
            <w:r>
              <w:rPr>
                <w:rFonts w:hint="eastAsia" w:ascii="宋体" w:hAnsi="宋体" w:cs="宋体"/>
                <w:szCs w:val="21"/>
                <w:highlight w:val="none"/>
              </w:rPr>
              <w:t>分，具有</w:t>
            </w:r>
            <w:r>
              <w:rPr>
                <w:rFonts w:hint="eastAsia" w:ascii="宋体" w:hAnsi="宋体" w:cs="宋体"/>
                <w:szCs w:val="21"/>
                <w:highlight w:val="none"/>
                <w:lang w:val="zh-CN"/>
              </w:rPr>
              <w:t>高级工程师</w:t>
            </w:r>
            <w:r>
              <w:rPr>
                <w:rFonts w:hint="eastAsia" w:ascii="宋体" w:hAnsi="宋体" w:cs="宋体"/>
                <w:szCs w:val="21"/>
                <w:highlight w:val="none"/>
              </w:rPr>
              <w:t>或以上</w:t>
            </w:r>
            <w:r>
              <w:rPr>
                <w:rFonts w:hint="eastAsia" w:ascii="宋体" w:hAnsi="宋体" w:cs="宋体"/>
                <w:szCs w:val="21"/>
                <w:highlight w:val="none"/>
                <w:lang w:val="zh-CN"/>
              </w:rPr>
              <w:t>职称</w:t>
            </w:r>
            <w:r>
              <w:rPr>
                <w:rFonts w:hint="eastAsia" w:ascii="宋体" w:hAnsi="宋体" w:cs="宋体"/>
                <w:szCs w:val="21"/>
                <w:highlight w:val="none"/>
              </w:rPr>
              <w:t>的</w:t>
            </w:r>
            <w:r>
              <w:rPr>
                <w:rFonts w:hint="eastAsia" w:ascii="宋体" w:hAnsi="宋体" w:cs="宋体"/>
                <w:szCs w:val="21"/>
                <w:highlight w:val="none"/>
                <w:lang w:val="zh-CN"/>
              </w:rPr>
              <w:t>得</w:t>
            </w:r>
            <w:r>
              <w:rPr>
                <w:rFonts w:hint="eastAsia" w:ascii="宋体" w:hAnsi="宋体" w:cs="宋体"/>
                <w:szCs w:val="21"/>
                <w:highlight w:val="none"/>
                <w:lang w:val="en-US" w:eastAsia="zh-CN"/>
              </w:rPr>
              <w:t>1</w:t>
            </w:r>
            <w:r>
              <w:rPr>
                <w:rFonts w:hint="eastAsia" w:ascii="宋体" w:hAnsi="宋体" w:cs="宋体"/>
                <w:szCs w:val="21"/>
                <w:highlight w:val="none"/>
                <w:lang w:val="zh-CN"/>
              </w:rPr>
              <w:t>分，</w:t>
            </w:r>
            <w:r>
              <w:rPr>
                <w:rFonts w:hint="eastAsia" w:ascii="宋体" w:hAnsi="宋体" w:cs="宋体"/>
                <w:szCs w:val="21"/>
                <w:highlight w:val="none"/>
              </w:rPr>
              <w:t>具有</w:t>
            </w:r>
            <w:r>
              <w:rPr>
                <w:rFonts w:hint="eastAsia" w:ascii="宋体" w:hAnsi="宋体" w:cs="宋体"/>
                <w:szCs w:val="21"/>
                <w:highlight w:val="none"/>
                <w:lang w:val="zh-CN"/>
              </w:rPr>
              <w:t>工程师职称</w:t>
            </w:r>
            <w:r>
              <w:rPr>
                <w:rFonts w:hint="eastAsia" w:ascii="宋体" w:hAnsi="宋体" w:cs="宋体"/>
                <w:szCs w:val="21"/>
                <w:highlight w:val="none"/>
              </w:rPr>
              <w:t>的</w:t>
            </w:r>
            <w:r>
              <w:rPr>
                <w:rFonts w:hint="eastAsia" w:ascii="宋体" w:hAnsi="宋体" w:cs="宋体"/>
                <w:szCs w:val="21"/>
                <w:highlight w:val="none"/>
                <w:lang w:val="zh-CN"/>
              </w:rPr>
              <w:t>得</w:t>
            </w:r>
            <w:r>
              <w:rPr>
                <w:rFonts w:hint="eastAsia" w:ascii="宋体" w:hAnsi="宋体" w:cs="宋体"/>
                <w:szCs w:val="21"/>
                <w:highlight w:val="none"/>
              </w:rPr>
              <w:t>0.5</w:t>
            </w:r>
            <w:r>
              <w:rPr>
                <w:rFonts w:hint="eastAsia" w:ascii="宋体" w:hAnsi="宋体" w:cs="宋体"/>
                <w:szCs w:val="21"/>
                <w:highlight w:val="none"/>
                <w:lang w:val="zh-CN"/>
              </w:rPr>
              <w:t>分；</w:t>
            </w:r>
            <w:r>
              <w:rPr>
                <w:rFonts w:hint="eastAsia" w:ascii="宋体" w:hAnsi="宋体" w:cs="宋体"/>
                <w:szCs w:val="21"/>
                <w:highlight w:val="none"/>
              </w:rPr>
              <w:t>最高得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70C4D32B">
            <w:pPr>
              <w:pStyle w:val="2"/>
              <w:ind w:left="0" w:leftChars="0" w:firstLine="0"/>
              <w:rPr>
                <w:rFonts w:hint="eastAsia" w:ascii="宋体" w:hAnsi="宋体" w:cs="宋体"/>
                <w:szCs w:val="21"/>
                <w:highlight w:val="none"/>
                <w:lang w:val="zh-CN"/>
              </w:rPr>
            </w:pPr>
            <w:r>
              <w:rPr>
                <w:rFonts w:hint="eastAsia" w:ascii="宋体" w:hAnsi="宋体" w:cs="宋体"/>
                <w:szCs w:val="21"/>
                <w:highlight w:val="none"/>
              </w:rPr>
              <w:t>③</w:t>
            </w:r>
            <w:r>
              <w:rPr>
                <w:rFonts w:hint="eastAsia" w:ascii="宋体" w:hAnsi="宋体" w:cs="宋体"/>
                <w:szCs w:val="21"/>
                <w:highlight w:val="none"/>
                <w:lang w:val="zh-CN"/>
              </w:rPr>
              <w:t>给排水专业负责人具备国家注册公用设备工程师（给排水）资格</w:t>
            </w:r>
            <w:r>
              <w:rPr>
                <w:rFonts w:hint="eastAsia" w:ascii="宋体" w:hAnsi="宋体" w:cs="宋体"/>
                <w:szCs w:val="21"/>
                <w:highlight w:val="none"/>
              </w:rPr>
              <w:t>得</w:t>
            </w:r>
            <w:r>
              <w:rPr>
                <w:rFonts w:hint="eastAsia" w:ascii="宋体" w:hAnsi="宋体" w:cs="宋体"/>
                <w:szCs w:val="21"/>
                <w:highlight w:val="none"/>
                <w:lang w:val="en-US" w:eastAsia="zh-CN"/>
              </w:rPr>
              <w:t>1</w:t>
            </w:r>
            <w:r>
              <w:rPr>
                <w:rFonts w:hint="eastAsia" w:ascii="宋体" w:hAnsi="宋体" w:cs="宋体"/>
                <w:szCs w:val="21"/>
                <w:highlight w:val="none"/>
              </w:rPr>
              <w:t>分，具有</w:t>
            </w:r>
            <w:r>
              <w:rPr>
                <w:rFonts w:hint="eastAsia" w:ascii="宋体" w:hAnsi="宋体" w:cs="宋体"/>
                <w:szCs w:val="21"/>
                <w:highlight w:val="none"/>
                <w:lang w:val="zh-CN"/>
              </w:rPr>
              <w:t>高级工程师</w:t>
            </w:r>
            <w:r>
              <w:rPr>
                <w:rFonts w:hint="eastAsia" w:ascii="宋体" w:hAnsi="宋体" w:cs="宋体"/>
                <w:szCs w:val="21"/>
                <w:highlight w:val="none"/>
              </w:rPr>
              <w:t>或以上</w:t>
            </w:r>
            <w:r>
              <w:rPr>
                <w:rFonts w:hint="eastAsia" w:ascii="宋体" w:hAnsi="宋体" w:cs="宋体"/>
                <w:szCs w:val="21"/>
                <w:highlight w:val="none"/>
                <w:lang w:val="zh-CN"/>
              </w:rPr>
              <w:t>职称</w:t>
            </w:r>
            <w:r>
              <w:rPr>
                <w:rFonts w:hint="eastAsia" w:ascii="宋体" w:hAnsi="宋体" w:cs="宋体"/>
                <w:szCs w:val="21"/>
                <w:highlight w:val="none"/>
              </w:rPr>
              <w:t>的</w:t>
            </w:r>
            <w:r>
              <w:rPr>
                <w:rFonts w:hint="eastAsia" w:ascii="宋体" w:hAnsi="宋体" w:cs="宋体"/>
                <w:szCs w:val="21"/>
                <w:highlight w:val="none"/>
                <w:lang w:val="zh-CN"/>
              </w:rPr>
              <w:t>得</w:t>
            </w:r>
            <w:r>
              <w:rPr>
                <w:rFonts w:hint="eastAsia" w:ascii="宋体" w:hAnsi="宋体" w:cs="宋体"/>
                <w:szCs w:val="21"/>
                <w:highlight w:val="none"/>
                <w:lang w:val="en-US" w:eastAsia="zh-CN"/>
              </w:rPr>
              <w:t>1</w:t>
            </w:r>
            <w:r>
              <w:rPr>
                <w:rFonts w:hint="eastAsia" w:ascii="宋体" w:hAnsi="宋体" w:cs="宋体"/>
                <w:szCs w:val="21"/>
                <w:highlight w:val="none"/>
                <w:lang w:val="zh-CN"/>
              </w:rPr>
              <w:t>分，</w:t>
            </w:r>
            <w:r>
              <w:rPr>
                <w:rFonts w:hint="eastAsia" w:ascii="宋体" w:hAnsi="宋体" w:cs="宋体"/>
                <w:szCs w:val="21"/>
                <w:highlight w:val="none"/>
              </w:rPr>
              <w:t>具有</w:t>
            </w:r>
            <w:r>
              <w:rPr>
                <w:rFonts w:hint="eastAsia" w:ascii="宋体" w:hAnsi="宋体" w:cs="宋体"/>
                <w:szCs w:val="21"/>
                <w:highlight w:val="none"/>
                <w:lang w:val="zh-CN"/>
              </w:rPr>
              <w:t>工程师职称</w:t>
            </w:r>
            <w:r>
              <w:rPr>
                <w:rFonts w:hint="eastAsia" w:ascii="宋体" w:hAnsi="宋体" w:cs="宋体"/>
                <w:szCs w:val="21"/>
                <w:highlight w:val="none"/>
              </w:rPr>
              <w:t>的</w:t>
            </w:r>
            <w:r>
              <w:rPr>
                <w:rFonts w:hint="eastAsia" w:ascii="宋体" w:hAnsi="宋体" w:cs="宋体"/>
                <w:szCs w:val="21"/>
                <w:highlight w:val="none"/>
                <w:lang w:val="zh-CN"/>
              </w:rPr>
              <w:t>得</w:t>
            </w:r>
            <w:r>
              <w:rPr>
                <w:rFonts w:hint="eastAsia" w:ascii="宋体" w:hAnsi="宋体" w:cs="宋体"/>
                <w:szCs w:val="21"/>
                <w:highlight w:val="none"/>
              </w:rPr>
              <w:t>0.5</w:t>
            </w:r>
            <w:r>
              <w:rPr>
                <w:rFonts w:hint="eastAsia" w:ascii="宋体" w:hAnsi="宋体" w:cs="宋体"/>
                <w:szCs w:val="21"/>
                <w:highlight w:val="none"/>
                <w:lang w:val="zh-CN"/>
              </w:rPr>
              <w:t>分；</w:t>
            </w:r>
            <w:r>
              <w:rPr>
                <w:rFonts w:hint="eastAsia" w:ascii="宋体" w:hAnsi="宋体" w:cs="宋体"/>
                <w:szCs w:val="21"/>
                <w:highlight w:val="none"/>
              </w:rPr>
              <w:t>最高得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4B002824">
            <w:pPr>
              <w:pStyle w:val="2"/>
              <w:ind w:left="0" w:leftChars="0" w:firstLine="0"/>
              <w:rPr>
                <w:rFonts w:hint="eastAsia" w:ascii="宋体" w:hAnsi="宋体" w:cs="宋体"/>
                <w:szCs w:val="21"/>
                <w:highlight w:val="none"/>
                <w:lang w:val="zh-CN"/>
              </w:rPr>
            </w:pPr>
            <w:r>
              <w:rPr>
                <w:rFonts w:hint="eastAsia" w:ascii="宋体" w:hAnsi="宋体" w:cs="宋体"/>
                <w:szCs w:val="21"/>
                <w:highlight w:val="none"/>
              </w:rPr>
              <w:t>④</w:t>
            </w:r>
            <w:r>
              <w:rPr>
                <w:rFonts w:hint="eastAsia" w:ascii="宋体" w:hAnsi="宋体" w:cs="宋体"/>
                <w:szCs w:val="21"/>
                <w:highlight w:val="none"/>
                <w:lang w:val="zh-CN"/>
              </w:rPr>
              <w:t>电气专业负责人具备国家注册电气工程师（供配电）资格</w:t>
            </w:r>
            <w:r>
              <w:rPr>
                <w:rFonts w:hint="eastAsia" w:ascii="宋体" w:hAnsi="宋体" w:cs="宋体"/>
                <w:szCs w:val="21"/>
                <w:highlight w:val="none"/>
              </w:rPr>
              <w:t>得</w:t>
            </w:r>
            <w:r>
              <w:rPr>
                <w:rFonts w:hint="eastAsia" w:ascii="宋体" w:hAnsi="宋体" w:cs="宋体"/>
                <w:szCs w:val="21"/>
                <w:highlight w:val="none"/>
                <w:lang w:val="en-US" w:eastAsia="zh-CN"/>
              </w:rPr>
              <w:t>1</w:t>
            </w:r>
            <w:r>
              <w:rPr>
                <w:rFonts w:hint="eastAsia" w:ascii="宋体" w:hAnsi="宋体" w:cs="宋体"/>
                <w:szCs w:val="21"/>
                <w:highlight w:val="none"/>
              </w:rPr>
              <w:t>分，具有</w:t>
            </w:r>
            <w:r>
              <w:rPr>
                <w:rFonts w:hint="eastAsia" w:ascii="宋体" w:hAnsi="宋体" w:cs="宋体"/>
                <w:szCs w:val="21"/>
                <w:highlight w:val="none"/>
                <w:lang w:val="zh-CN"/>
              </w:rPr>
              <w:t>高级工程师</w:t>
            </w:r>
            <w:r>
              <w:rPr>
                <w:rFonts w:hint="eastAsia" w:ascii="宋体" w:hAnsi="宋体" w:cs="宋体"/>
                <w:szCs w:val="21"/>
                <w:highlight w:val="none"/>
              </w:rPr>
              <w:t>或以上</w:t>
            </w:r>
            <w:r>
              <w:rPr>
                <w:rFonts w:hint="eastAsia" w:ascii="宋体" w:hAnsi="宋体" w:cs="宋体"/>
                <w:szCs w:val="21"/>
                <w:highlight w:val="none"/>
                <w:lang w:val="zh-CN"/>
              </w:rPr>
              <w:t>职称</w:t>
            </w:r>
            <w:r>
              <w:rPr>
                <w:rFonts w:hint="eastAsia" w:ascii="宋体" w:hAnsi="宋体" w:cs="宋体"/>
                <w:szCs w:val="21"/>
                <w:highlight w:val="none"/>
              </w:rPr>
              <w:t>的</w:t>
            </w:r>
            <w:r>
              <w:rPr>
                <w:rFonts w:hint="eastAsia" w:ascii="宋体" w:hAnsi="宋体" w:cs="宋体"/>
                <w:szCs w:val="21"/>
                <w:highlight w:val="none"/>
                <w:lang w:val="zh-CN"/>
              </w:rPr>
              <w:t>得</w:t>
            </w:r>
            <w:r>
              <w:rPr>
                <w:rFonts w:hint="eastAsia" w:ascii="宋体" w:hAnsi="宋体" w:cs="宋体"/>
                <w:szCs w:val="21"/>
                <w:highlight w:val="none"/>
                <w:lang w:val="en-US" w:eastAsia="zh-CN"/>
              </w:rPr>
              <w:t>1</w:t>
            </w:r>
            <w:r>
              <w:rPr>
                <w:rFonts w:hint="eastAsia" w:ascii="宋体" w:hAnsi="宋体" w:cs="宋体"/>
                <w:szCs w:val="21"/>
                <w:highlight w:val="none"/>
                <w:lang w:val="zh-CN"/>
              </w:rPr>
              <w:t>分，</w:t>
            </w:r>
            <w:r>
              <w:rPr>
                <w:rFonts w:hint="eastAsia" w:ascii="宋体" w:hAnsi="宋体" w:cs="宋体"/>
                <w:szCs w:val="21"/>
                <w:highlight w:val="none"/>
              </w:rPr>
              <w:t>具有</w:t>
            </w:r>
            <w:r>
              <w:rPr>
                <w:rFonts w:hint="eastAsia" w:ascii="宋体" w:hAnsi="宋体" w:cs="宋体"/>
                <w:szCs w:val="21"/>
                <w:highlight w:val="none"/>
                <w:lang w:val="zh-CN"/>
              </w:rPr>
              <w:t>工程师职称</w:t>
            </w:r>
            <w:r>
              <w:rPr>
                <w:rFonts w:hint="eastAsia" w:ascii="宋体" w:hAnsi="宋体" w:cs="宋体"/>
                <w:szCs w:val="21"/>
                <w:highlight w:val="none"/>
              </w:rPr>
              <w:t>的</w:t>
            </w:r>
            <w:r>
              <w:rPr>
                <w:rFonts w:hint="eastAsia" w:ascii="宋体" w:hAnsi="宋体" w:cs="宋体"/>
                <w:szCs w:val="21"/>
                <w:highlight w:val="none"/>
                <w:lang w:val="zh-CN"/>
              </w:rPr>
              <w:t>得</w:t>
            </w:r>
            <w:r>
              <w:rPr>
                <w:rFonts w:hint="eastAsia" w:ascii="宋体" w:hAnsi="宋体" w:cs="宋体"/>
                <w:szCs w:val="21"/>
                <w:highlight w:val="none"/>
              </w:rPr>
              <w:t>0.5</w:t>
            </w:r>
            <w:r>
              <w:rPr>
                <w:rFonts w:hint="eastAsia" w:ascii="宋体" w:hAnsi="宋体" w:cs="宋体"/>
                <w:szCs w:val="21"/>
                <w:highlight w:val="none"/>
                <w:lang w:val="zh-CN"/>
              </w:rPr>
              <w:t>分；</w:t>
            </w:r>
            <w:r>
              <w:rPr>
                <w:rFonts w:hint="eastAsia" w:ascii="宋体" w:hAnsi="宋体" w:cs="宋体"/>
                <w:szCs w:val="21"/>
                <w:highlight w:val="none"/>
              </w:rPr>
              <w:t>最高得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53E5F5CE">
            <w:pPr>
              <w:pStyle w:val="2"/>
              <w:ind w:left="0" w:leftChars="0" w:firstLine="0"/>
              <w:rPr>
                <w:rFonts w:hint="eastAsia" w:ascii="宋体" w:hAnsi="宋体" w:cs="宋体"/>
                <w:szCs w:val="21"/>
                <w:highlight w:val="none"/>
                <w:lang w:val="zh-CN"/>
              </w:rPr>
            </w:pPr>
            <w:r>
              <w:rPr>
                <w:rFonts w:hint="eastAsia" w:ascii="宋体" w:hAnsi="宋体" w:cs="宋体"/>
                <w:szCs w:val="21"/>
                <w:highlight w:val="none"/>
              </w:rPr>
              <w:t>⑤</w:t>
            </w:r>
            <w:r>
              <w:rPr>
                <w:rFonts w:hint="eastAsia" w:ascii="宋体" w:hAnsi="宋体" w:cs="宋体"/>
                <w:szCs w:val="21"/>
                <w:highlight w:val="none"/>
                <w:lang w:val="zh-CN"/>
              </w:rPr>
              <w:t>造价专业负责人具备国家</w:t>
            </w:r>
            <w:r>
              <w:rPr>
                <w:rFonts w:hint="eastAsia" w:ascii="宋体" w:hAnsi="宋体" w:cs="宋体"/>
                <w:szCs w:val="21"/>
                <w:highlight w:val="none"/>
              </w:rPr>
              <w:t>一级</w:t>
            </w:r>
            <w:r>
              <w:rPr>
                <w:rFonts w:hint="eastAsia" w:ascii="宋体" w:hAnsi="宋体" w:cs="宋体"/>
                <w:szCs w:val="21"/>
                <w:highlight w:val="none"/>
                <w:lang w:val="zh-CN"/>
              </w:rPr>
              <w:t>注册造价工程师资格</w:t>
            </w:r>
            <w:r>
              <w:rPr>
                <w:rFonts w:hint="eastAsia" w:ascii="宋体" w:hAnsi="宋体" w:cs="宋体"/>
                <w:szCs w:val="21"/>
                <w:highlight w:val="none"/>
              </w:rPr>
              <w:t>得</w:t>
            </w:r>
            <w:r>
              <w:rPr>
                <w:rFonts w:hint="eastAsia" w:ascii="宋体" w:hAnsi="宋体" w:cs="宋体"/>
                <w:szCs w:val="21"/>
                <w:highlight w:val="none"/>
                <w:lang w:val="en-US" w:eastAsia="zh-CN"/>
              </w:rPr>
              <w:t>1</w:t>
            </w:r>
            <w:r>
              <w:rPr>
                <w:rFonts w:hint="eastAsia" w:ascii="宋体" w:hAnsi="宋体" w:cs="宋体"/>
                <w:szCs w:val="21"/>
                <w:highlight w:val="none"/>
              </w:rPr>
              <w:t>分，具有</w:t>
            </w:r>
            <w:r>
              <w:rPr>
                <w:rFonts w:hint="eastAsia" w:ascii="宋体" w:hAnsi="宋体" w:cs="宋体"/>
                <w:szCs w:val="21"/>
                <w:highlight w:val="none"/>
                <w:lang w:val="zh-CN"/>
              </w:rPr>
              <w:t>高级工程师</w:t>
            </w:r>
            <w:r>
              <w:rPr>
                <w:rFonts w:hint="eastAsia" w:ascii="宋体" w:hAnsi="宋体" w:cs="宋体"/>
                <w:szCs w:val="21"/>
                <w:highlight w:val="none"/>
              </w:rPr>
              <w:t>或以上</w:t>
            </w:r>
            <w:r>
              <w:rPr>
                <w:rFonts w:hint="eastAsia" w:ascii="宋体" w:hAnsi="宋体" w:cs="宋体"/>
                <w:szCs w:val="21"/>
                <w:highlight w:val="none"/>
                <w:lang w:val="zh-CN"/>
              </w:rPr>
              <w:t>职称</w:t>
            </w:r>
            <w:r>
              <w:rPr>
                <w:rFonts w:hint="eastAsia" w:ascii="宋体" w:hAnsi="宋体" w:cs="宋体"/>
                <w:szCs w:val="21"/>
                <w:highlight w:val="none"/>
              </w:rPr>
              <w:t>的</w:t>
            </w:r>
            <w:r>
              <w:rPr>
                <w:rFonts w:hint="eastAsia" w:ascii="宋体" w:hAnsi="宋体" w:cs="宋体"/>
                <w:szCs w:val="21"/>
                <w:highlight w:val="none"/>
                <w:lang w:val="zh-CN"/>
              </w:rPr>
              <w:t>得</w:t>
            </w:r>
            <w:r>
              <w:rPr>
                <w:rFonts w:hint="eastAsia" w:ascii="宋体" w:hAnsi="宋体" w:cs="宋体"/>
                <w:szCs w:val="21"/>
                <w:highlight w:val="none"/>
                <w:lang w:val="en-US" w:eastAsia="zh-CN"/>
              </w:rPr>
              <w:t>1</w:t>
            </w:r>
            <w:r>
              <w:rPr>
                <w:rFonts w:hint="eastAsia" w:ascii="宋体" w:hAnsi="宋体" w:cs="宋体"/>
                <w:szCs w:val="21"/>
                <w:highlight w:val="none"/>
                <w:lang w:val="zh-CN"/>
              </w:rPr>
              <w:t>分，</w:t>
            </w:r>
            <w:r>
              <w:rPr>
                <w:rFonts w:hint="eastAsia" w:ascii="宋体" w:hAnsi="宋体" w:cs="宋体"/>
                <w:szCs w:val="21"/>
                <w:highlight w:val="none"/>
              </w:rPr>
              <w:t>具有</w:t>
            </w:r>
            <w:r>
              <w:rPr>
                <w:rFonts w:hint="eastAsia" w:ascii="宋体" w:hAnsi="宋体" w:cs="宋体"/>
                <w:szCs w:val="21"/>
                <w:highlight w:val="none"/>
                <w:lang w:val="zh-CN"/>
              </w:rPr>
              <w:t>工程师职称</w:t>
            </w:r>
            <w:r>
              <w:rPr>
                <w:rFonts w:hint="eastAsia" w:ascii="宋体" w:hAnsi="宋体" w:cs="宋体"/>
                <w:szCs w:val="21"/>
                <w:highlight w:val="none"/>
              </w:rPr>
              <w:t>的</w:t>
            </w:r>
            <w:r>
              <w:rPr>
                <w:rFonts w:hint="eastAsia" w:ascii="宋体" w:hAnsi="宋体" w:cs="宋体"/>
                <w:szCs w:val="21"/>
                <w:highlight w:val="none"/>
                <w:lang w:val="zh-CN"/>
              </w:rPr>
              <w:t>得</w:t>
            </w:r>
            <w:r>
              <w:rPr>
                <w:rFonts w:hint="eastAsia" w:ascii="宋体" w:hAnsi="宋体" w:cs="宋体"/>
                <w:szCs w:val="21"/>
                <w:highlight w:val="none"/>
              </w:rPr>
              <w:t>0.5</w:t>
            </w:r>
            <w:r>
              <w:rPr>
                <w:rFonts w:hint="eastAsia" w:ascii="宋体" w:hAnsi="宋体" w:cs="宋体"/>
                <w:szCs w:val="21"/>
                <w:highlight w:val="none"/>
                <w:lang w:val="zh-CN"/>
              </w:rPr>
              <w:t>分；</w:t>
            </w:r>
            <w:r>
              <w:rPr>
                <w:rFonts w:hint="eastAsia" w:ascii="宋体" w:hAnsi="宋体" w:cs="宋体"/>
                <w:szCs w:val="21"/>
                <w:highlight w:val="none"/>
              </w:rPr>
              <w:t>最高得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2C3D04F8">
            <w:pPr>
              <w:pStyle w:val="2"/>
              <w:ind w:firstLine="0" w:firstLineChars="0"/>
              <w:rPr>
                <w:rFonts w:hint="eastAsia" w:ascii="宋体" w:hAnsi="宋体" w:cs="宋体"/>
                <w:szCs w:val="21"/>
                <w:highlight w:val="none"/>
              </w:rPr>
            </w:pPr>
            <w:r>
              <w:rPr>
                <w:rFonts w:hint="eastAsia" w:ascii="宋体" w:hAnsi="宋体" w:cs="宋体"/>
                <w:szCs w:val="21"/>
                <w:highlight w:val="none"/>
              </w:rPr>
              <w:t>本小项合计最高得</w:t>
            </w:r>
            <w:r>
              <w:rPr>
                <w:rFonts w:hint="eastAsia" w:ascii="宋体" w:hAnsi="宋体" w:cs="宋体"/>
                <w:szCs w:val="21"/>
                <w:highlight w:val="none"/>
                <w:lang w:val="en-US" w:eastAsia="zh-CN"/>
              </w:rPr>
              <w:t>20</w:t>
            </w:r>
            <w:r>
              <w:rPr>
                <w:rFonts w:hint="eastAsia" w:ascii="宋体" w:hAnsi="宋体" w:cs="宋体"/>
                <w:szCs w:val="21"/>
                <w:highlight w:val="none"/>
              </w:rPr>
              <w:t>分。</w:t>
            </w:r>
          </w:p>
          <w:p w14:paraId="46EC0B74">
            <w:pPr>
              <w:pStyle w:val="2"/>
              <w:ind w:firstLine="0"/>
              <w:rPr>
                <w:rFonts w:hint="eastAsia" w:ascii="宋体" w:hAnsi="宋体" w:cs="宋体"/>
                <w:szCs w:val="21"/>
                <w:highlight w:val="none"/>
              </w:rPr>
            </w:pPr>
            <w:r>
              <w:rPr>
                <w:rFonts w:hint="eastAsia" w:ascii="宋体" w:hAnsi="Calibri" w:cs="宋体"/>
                <w:szCs w:val="21"/>
                <w:highlight w:val="none"/>
                <w:lang w:val="zh-CN"/>
              </w:rPr>
              <w:t>注：各专业负责人均为</w:t>
            </w:r>
            <w:r>
              <w:rPr>
                <w:rFonts w:hint="eastAsia" w:ascii="宋体" w:hAnsi="Calibri" w:cs="宋体"/>
                <w:szCs w:val="21"/>
                <w:highlight w:val="none"/>
              </w:rPr>
              <w:t>投标人</w:t>
            </w:r>
            <w:r>
              <w:rPr>
                <w:rFonts w:hint="eastAsia" w:ascii="宋体" w:hAnsi="Calibri" w:cs="宋体"/>
                <w:szCs w:val="21"/>
                <w:highlight w:val="none"/>
                <w:lang w:val="zh-CN"/>
              </w:rPr>
              <w:t>单位的正式职工，</w:t>
            </w:r>
            <w:r>
              <w:rPr>
                <w:rFonts w:hint="eastAsia" w:ascii="宋体" w:hAnsi="Calibri" w:cs="宋体"/>
                <w:szCs w:val="21"/>
                <w:highlight w:val="none"/>
              </w:rPr>
              <w:t>提供</w:t>
            </w:r>
            <w:r>
              <w:rPr>
                <w:rFonts w:hint="eastAsia" w:ascii="宋体" w:hAnsi="Calibri" w:cs="宋体"/>
                <w:szCs w:val="21"/>
                <w:highlight w:val="none"/>
                <w:lang w:val="zh-CN"/>
              </w:rPr>
              <w:t>本招标公告发布之日</w:t>
            </w:r>
            <w:r>
              <w:rPr>
                <w:rFonts w:hint="eastAsia" w:ascii="宋体" w:hAnsi="Calibri" w:cs="宋体"/>
                <w:szCs w:val="21"/>
                <w:highlight w:val="none"/>
              </w:rPr>
              <w:t>前</w:t>
            </w:r>
            <w:r>
              <w:rPr>
                <w:rFonts w:hint="eastAsia" w:ascii="宋体" w:hAnsi="Calibri" w:cs="宋体"/>
                <w:szCs w:val="21"/>
                <w:highlight w:val="none"/>
                <w:lang w:val="zh-CN"/>
              </w:rPr>
              <w:t>三个月在</w:t>
            </w:r>
            <w:r>
              <w:rPr>
                <w:rFonts w:hint="eastAsia" w:ascii="宋体" w:hAnsi="Calibri" w:cs="宋体"/>
                <w:szCs w:val="21"/>
                <w:highlight w:val="none"/>
              </w:rPr>
              <w:t>投标人</w:t>
            </w:r>
            <w:r>
              <w:rPr>
                <w:rFonts w:hint="eastAsia" w:ascii="宋体" w:hAnsi="Calibri" w:cs="宋体"/>
                <w:szCs w:val="21"/>
                <w:highlight w:val="none"/>
                <w:lang w:val="zh-CN"/>
              </w:rPr>
              <w:t>单位缴纳的社保证明文件。专业负责人须提供相关注册执业证书、职称资格证书扫描件，不提供不得分。</w:t>
            </w:r>
          </w:p>
        </w:tc>
        <w:tc>
          <w:tcPr>
            <w:tcW w:w="1673" w:type="dxa"/>
            <w:vAlign w:val="center"/>
          </w:tcPr>
          <w:p w14:paraId="6A57D67B">
            <w:pPr>
              <w:pStyle w:val="2"/>
              <w:ind w:firstLine="0"/>
              <w:rPr>
                <w:rFonts w:ascii="宋体" w:hAnsi="Calibri" w:cs="宋体"/>
                <w:szCs w:val="21"/>
                <w:highlight w:val="none"/>
                <w:lang w:val="zh-CN"/>
              </w:rPr>
            </w:pPr>
            <w:r>
              <w:rPr>
                <w:rFonts w:hint="eastAsia" w:ascii="宋体" w:hAnsi="Calibri" w:cs="宋体"/>
                <w:szCs w:val="21"/>
                <w:highlight w:val="none"/>
                <w:lang w:val="zh-CN"/>
              </w:rPr>
              <w:t>因改制或重组的企业或事业单位人员社保由上级主管部门缴纳的，除提供上级主管部门缴纳社保证明扫描件外，需由上级主管部门出具证明说明。</w:t>
            </w:r>
          </w:p>
        </w:tc>
      </w:tr>
      <w:tr w14:paraId="0756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27" w:type="dxa"/>
            <w:vMerge w:val="continue"/>
            <w:vAlign w:val="center"/>
          </w:tcPr>
          <w:p w14:paraId="0AA9C188">
            <w:pPr>
              <w:widowControl/>
              <w:spacing w:line="360" w:lineRule="auto"/>
              <w:jc w:val="center"/>
              <w:rPr>
                <w:rFonts w:hint="eastAsia" w:ascii="宋体" w:hAnsi="宋体" w:cs="宋体"/>
                <w:szCs w:val="21"/>
                <w:highlight w:val="none"/>
              </w:rPr>
            </w:pPr>
          </w:p>
        </w:tc>
        <w:tc>
          <w:tcPr>
            <w:tcW w:w="881" w:type="dxa"/>
            <w:vMerge w:val="continue"/>
            <w:vAlign w:val="center"/>
          </w:tcPr>
          <w:p w14:paraId="2A20CE2B">
            <w:pPr>
              <w:widowControl/>
              <w:jc w:val="center"/>
              <w:rPr>
                <w:rFonts w:hint="eastAsia" w:ascii="宋体" w:hAnsi="宋体" w:cs="宋体"/>
                <w:szCs w:val="21"/>
                <w:highlight w:val="none"/>
              </w:rPr>
            </w:pPr>
          </w:p>
        </w:tc>
        <w:tc>
          <w:tcPr>
            <w:tcW w:w="1053" w:type="dxa"/>
            <w:shd w:val="clear" w:color="auto" w:fill="auto"/>
            <w:vAlign w:val="center"/>
          </w:tcPr>
          <w:p w14:paraId="32F3FC4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对工程重点、难点的分析及对策</w:t>
            </w:r>
          </w:p>
          <w:p w14:paraId="29109AE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8</w:t>
            </w:r>
            <w:r>
              <w:rPr>
                <w:rFonts w:hint="eastAsia" w:ascii="宋体" w:hAnsi="宋体" w:cs="宋体"/>
                <w:kern w:val="0"/>
                <w:szCs w:val="21"/>
                <w:highlight w:val="none"/>
              </w:rPr>
              <w:t>分）</w:t>
            </w:r>
          </w:p>
        </w:tc>
        <w:tc>
          <w:tcPr>
            <w:tcW w:w="9493" w:type="dxa"/>
            <w:vAlign w:val="center"/>
          </w:tcPr>
          <w:p w14:paraId="7639EFFA">
            <w:pPr>
              <w:spacing w:line="300" w:lineRule="exact"/>
              <w:contextualSpacing/>
              <w:jc w:val="left"/>
              <w:rPr>
                <w:rFonts w:ascii="宋体" w:hAnsi="宋体" w:eastAsia="Times New Roman" w:cs="宋体"/>
                <w:szCs w:val="21"/>
                <w:highlight w:val="none"/>
              </w:rPr>
            </w:pPr>
            <w:r>
              <w:rPr>
                <w:rFonts w:hint="eastAsia" w:ascii="宋体" w:hAnsi="宋体" w:eastAsia="Times New Roman" w:cs="宋体"/>
                <w:szCs w:val="21"/>
                <w:highlight w:val="none"/>
              </w:rPr>
              <w:t>优：需具备全面且详实的工程概况描述。对于本项目工程重点、难点的分析，应基于深入的实地勘察、对</w:t>
            </w:r>
            <w:r>
              <w:rPr>
                <w:rFonts w:hint="eastAsia" w:ascii="宋体" w:hAnsi="宋体" w:cs="宋体"/>
                <w:szCs w:val="21"/>
                <w:highlight w:val="none"/>
              </w:rPr>
              <w:t>项目</w:t>
            </w:r>
            <w:r>
              <w:rPr>
                <w:rFonts w:hint="eastAsia" w:ascii="宋体" w:hAnsi="宋体" w:eastAsia="Times New Roman" w:cs="宋体"/>
                <w:szCs w:val="21"/>
                <w:highlight w:val="none"/>
              </w:rPr>
              <w:t>的精准解读以及丰富的工程经验。所提出的相应对策，从技术方案的选择、施工流程的优化到资源调配的规划等各个环节，都必须具备高度的合理性与切实的可行性，能够充分预见并有效解决工程推进过程中可能遭遇的关键问题，体现出工程把控能力与问题解决能力</w:t>
            </w:r>
            <w:r>
              <w:rPr>
                <w:rFonts w:hint="eastAsia" w:ascii="宋体" w:hAnsi="宋体" w:cs="宋体"/>
                <w:szCs w:val="21"/>
                <w:highlight w:val="none"/>
              </w:rPr>
              <w:t>，</w:t>
            </w:r>
            <w:r>
              <w:rPr>
                <w:rFonts w:hint="eastAsia" w:ascii="宋体" w:hAnsi="宋体" w:eastAsia="Times New Roman" w:cs="宋体"/>
                <w:szCs w:val="21"/>
                <w:highlight w:val="none"/>
              </w:rPr>
              <w:t>得</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w:t>
            </w:r>
            <w:r>
              <w:rPr>
                <w:rFonts w:hint="eastAsia" w:ascii="宋体" w:hAnsi="宋体" w:eastAsia="Times New Roman" w:cs="宋体"/>
                <w:szCs w:val="21"/>
                <w:highlight w:val="none"/>
              </w:rPr>
              <w:t>分。</w:t>
            </w:r>
          </w:p>
          <w:p w14:paraId="12531849">
            <w:pPr>
              <w:spacing w:line="300" w:lineRule="exact"/>
              <w:contextualSpacing/>
              <w:jc w:val="left"/>
              <w:rPr>
                <w:rFonts w:ascii="宋体" w:hAnsi="宋体" w:eastAsia="Times New Roman" w:cs="宋体"/>
                <w:szCs w:val="21"/>
                <w:highlight w:val="none"/>
              </w:rPr>
            </w:pPr>
            <w:r>
              <w:rPr>
                <w:rFonts w:hint="eastAsia" w:ascii="宋体" w:hAnsi="宋体" w:eastAsia="Times New Roman" w:cs="宋体"/>
                <w:szCs w:val="21"/>
                <w:highlight w:val="none"/>
              </w:rPr>
              <w:t>良：工程概况描述应涵盖主要方面，且工程的关键信息需准确呈现。在工程重点、难点分析方面，能抓住主要问题，不过分析的深度和广度可能稍显不足。相应对策具备一定的合理性与可行性，在常规情况下能够应对工程中的重点、难点，但在面对复杂多变的特殊状况时，可能缺乏足够的灵活性与应变能力，整体表现出较为良好的工程应对水平</w:t>
            </w:r>
            <w:r>
              <w:rPr>
                <w:rFonts w:hint="eastAsia" w:ascii="宋体" w:hAnsi="宋体" w:cs="宋体"/>
                <w:szCs w:val="21"/>
                <w:highlight w:val="none"/>
              </w:rPr>
              <w:t>，</w:t>
            </w:r>
            <w:r>
              <w:rPr>
                <w:rFonts w:hint="eastAsia" w:ascii="宋体" w:hAnsi="宋体" w:eastAsia="Times New Roman" w:cs="宋体"/>
                <w:szCs w:val="21"/>
                <w:highlight w:val="none"/>
              </w:rPr>
              <w:t>得</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eastAsia="Times New Roman" w:cs="宋体"/>
                <w:szCs w:val="21"/>
                <w:highlight w:val="none"/>
              </w:rPr>
              <w:t>分。</w:t>
            </w:r>
          </w:p>
          <w:p w14:paraId="661C7423">
            <w:pPr>
              <w:spacing w:line="300" w:lineRule="exact"/>
              <w:contextualSpacing/>
              <w:jc w:val="left"/>
              <w:rPr>
                <w:rFonts w:ascii="宋体" w:hAnsi="宋体" w:eastAsia="Times New Roman" w:cs="宋体"/>
                <w:szCs w:val="21"/>
                <w:highlight w:val="none"/>
              </w:rPr>
            </w:pPr>
            <w:r>
              <w:rPr>
                <w:rFonts w:hint="eastAsia" w:ascii="宋体" w:hAnsi="宋体" w:eastAsia="Times New Roman" w:cs="宋体"/>
                <w:szCs w:val="21"/>
                <w:highlight w:val="none"/>
              </w:rPr>
              <w:t>中：有工程概况描述，虽内容可能相对简略，但能明确工程的基本性质和大致轮廓。对本项目工程重点、难点的分析基本能识别出关键问题，但可能存在分析不够精准、全面的情况。相应对策在原理上基本合理，在一般条件下具备一定的可操作性，然而在实际工程应用中，可能因考虑因素不够周全，在执行过程中面临一些挑战，仅能勉强满足工程重点、难点应对的基本要求</w:t>
            </w:r>
            <w:r>
              <w:rPr>
                <w:rFonts w:hint="eastAsia" w:ascii="宋体" w:hAnsi="宋体" w:cs="宋体"/>
                <w:szCs w:val="21"/>
                <w:highlight w:val="none"/>
              </w:rPr>
              <w:t>，</w:t>
            </w:r>
            <w:r>
              <w:rPr>
                <w:rFonts w:hint="eastAsia" w:ascii="宋体" w:hAnsi="宋体" w:eastAsia="Times New Roman" w:cs="宋体"/>
                <w:szCs w:val="21"/>
                <w:highlight w:val="none"/>
              </w:rPr>
              <w:t>得</w:t>
            </w: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eastAsia="Times New Roman" w:cs="宋体"/>
                <w:szCs w:val="21"/>
                <w:highlight w:val="none"/>
              </w:rPr>
              <w:t>分。</w:t>
            </w:r>
          </w:p>
          <w:p w14:paraId="26E356AB">
            <w:pPr>
              <w:spacing w:line="300" w:lineRule="exact"/>
              <w:contextualSpacing/>
              <w:jc w:val="left"/>
              <w:rPr>
                <w:rFonts w:ascii="宋体" w:hAnsi="宋体" w:eastAsia="Times New Roman" w:cs="宋体"/>
                <w:szCs w:val="21"/>
                <w:highlight w:val="none"/>
              </w:rPr>
            </w:pPr>
            <w:r>
              <w:rPr>
                <w:rFonts w:hint="eastAsia" w:ascii="宋体" w:hAnsi="宋体" w:eastAsia="Times New Roman" w:cs="宋体"/>
                <w:szCs w:val="21"/>
                <w:highlight w:val="none"/>
              </w:rPr>
              <w:t>差：工程概况模糊不清，重点难点分析错误或缺失，对策空洞无物、不具可行性，无法保障工程顺利实施，严重偏离项目要求</w:t>
            </w:r>
            <w:r>
              <w:rPr>
                <w:rFonts w:hint="eastAsia" w:ascii="宋体" w:hAnsi="宋体" w:cs="宋体"/>
                <w:szCs w:val="21"/>
                <w:highlight w:val="none"/>
              </w:rPr>
              <w:t>；或未提供相关内容，</w:t>
            </w:r>
            <w:r>
              <w:rPr>
                <w:rFonts w:hint="eastAsia" w:ascii="宋体" w:hAnsi="宋体" w:eastAsia="Times New Roman" w:cs="宋体"/>
                <w:szCs w:val="21"/>
                <w:highlight w:val="none"/>
              </w:rPr>
              <w:t>得</w:t>
            </w: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eastAsia="Times New Roman" w:cs="宋体"/>
                <w:szCs w:val="21"/>
                <w:highlight w:val="none"/>
              </w:rPr>
              <w:t>分。</w:t>
            </w:r>
          </w:p>
        </w:tc>
        <w:tc>
          <w:tcPr>
            <w:tcW w:w="1673" w:type="dxa"/>
            <w:vAlign w:val="center"/>
          </w:tcPr>
          <w:p w14:paraId="723B6C53">
            <w:pPr>
              <w:spacing w:line="300" w:lineRule="exact"/>
              <w:contextualSpacing/>
              <w:jc w:val="left"/>
              <w:rPr>
                <w:rFonts w:hint="eastAsia" w:ascii="宋体" w:hAnsi="宋体" w:cs="宋体"/>
                <w:szCs w:val="21"/>
                <w:highlight w:val="none"/>
              </w:rPr>
            </w:pPr>
          </w:p>
        </w:tc>
      </w:tr>
      <w:tr w14:paraId="282F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27" w:type="dxa"/>
            <w:vMerge w:val="continue"/>
            <w:vAlign w:val="center"/>
          </w:tcPr>
          <w:p w14:paraId="2B4C175D">
            <w:pPr>
              <w:widowControl/>
              <w:spacing w:line="360" w:lineRule="auto"/>
              <w:jc w:val="center"/>
              <w:rPr>
                <w:rFonts w:hint="eastAsia" w:ascii="宋体" w:hAnsi="宋体" w:cs="宋体"/>
                <w:szCs w:val="21"/>
                <w:highlight w:val="none"/>
              </w:rPr>
            </w:pPr>
          </w:p>
        </w:tc>
        <w:tc>
          <w:tcPr>
            <w:tcW w:w="881" w:type="dxa"/>
            <w:vMerge w:val="continue"/>
            <w:vAlign w:val="center"/>
          </w:tcPr>
          <w:p w14:paraId="0405D8A3">
            <w:pPr>
              <w:widowControl/>
              <w:jc w:val="center"/>
              <w:rPr>
                <w:rFonts w:hint="eastAsia" w:ascii="宋体" w:hAnsi="宋体" w:cs="宋体"/>
                <w:szCs w:val="21"/>
                <w:highlight w:val="none"/>
              </w:rPr>
            </w:pPr>
          </w:p>
        </w:tc>
        <w:tc>
          <w:tcPr>
            <w:tcW w:w="1053" w:type="dxa"/>
            <w:shd w:val="clear" w:color="auto" w:fill="auto"/>
            <w:vAlign w:val="center"/>
          </w:tcPr>
          <w:p w14:paraId="0C3C4211">
            <w:pPr>
              <w:widowControl/>
              <w:spacing w:line="360" w:lineRule="auto"/>
              <w:jc w:val="center"/>
              <w:rPr>
                <w:rFonts w:hint="eastAsia" w:ascii="宋体" w:hAnsi="宋体" w:cs="宋体"/>
                <w:szCs w:val="21"/>
                <w:highlight w:val="none"/>
              </w:rPr>
            </w:pPr>
            <w:r>
              <w:rPr>
                <w:rFonts w:hint="eastAsia" w:ascii="宋体" w:hAnsi="宋体" w:cs="宋体"/>
                <w:szCs w:val="21"/>
                <w:highlight w:val="none"/>
              </w:rPr>
              <w:t>施工组织方案与技术措施</w:t>
            </w:r>
          </w:p>
          <w:p w14:paraId="38E19426">
            <w:pPr>
              <w:widowControl/>
              <w:spacing w:line="360" w:lineRule="auto"/>
              <w:jc w:val="center"/>
              <w:rPr>
                <w:rFonts w:hint="eastAsia" w:ascii="宋体" w:hAnsi="宋体" w:cs="宋体"/>
                <w:kern w:val="0"/>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9493" w:type="dxa"/>
            <w:vAlign w:val="center"/>
          </w:tcPr>
          <w:p w14:paraId="48C7D244">
            <w:pPr>
              <w:spacing w:line="300" w:lineRule="exact"/>
              <w:contextualSpacing/>
              <w:jc w:val="left"/>
              <w:rPr>
                <w:rFonts w:ascii="宋体" w:hAnsi="宋体" w:eastAsia="Times New Roman" w:cs="宋体"/>
                <w:szCs w:val="21"/>
                <w:highlight w:val="none"/>
              </w:rPr>
            </w:pPr>
            <w:r>
              <w:rPr>
                <w:rFonts w:hint="eastAsia" w:ascii="宋体" w:hAnsi="宋体" w:eastAsia="Times New Roman" w:cs="宋体"/>
                <w:szCs w:val="21"/>
                <w:highlight w:val="none"/>
              </w:rPr>
              <w:t>优：施工总体部署精细合理，从项目开启至竣工各阶段规划详尽，精准把控施工顺序、资源调配等关键环节。施工总平面布置充分考量场地、流程、安全环保等，功能区划分清晰，材料堆放、机械停放有序。施工组织方案与方法详细先进，针对各分部分项工程有切实可行策略，施工步骤明晰，高效保障质量进度。关键技术工艺经充分论证，契合工程，技术措施合理可行，能解决各类技术难题，</w:t>
            </w:r>
            <w:r>
              <w:rPr>
                <w:rFonts w:hint="eastAsia" w:ascii="宋体" w:hAnsi="宋体" w:cs="宋体"/>
                <w:szCs w:val="21"/>
                <w:highlight w:val="none"/>
              </w:rPr>
              <w:t>保证</w:t>
            </w:r>
            <w:r>
              <w:rPr>
                <w:rFonts w:hint="eastAsia" w:ascii="宋体" w:hAnsi="宋体" w:eastAsia="Times New Roman" w:cs="宋体"/>
                <w:szCs w:val="21"/>
                <w:highlight w:val="none"/>
              </w:rPr>
              <w:t>工程品质，得（</w:t>
            </w:r>
            <w:r>
              <w:rPr>
                <w:rFonts w:hint="eastAsia" w:ascii="宋体" w:hAnsi="宋体" w:cs="宋体"/>
                <w:szCs w:val="21"/>
                <w:highlight w:val="none"/>
                <w:lang w:val="en-US" w:eastAsia="zh-CN"/>
              </w:rPr>
              <w:t>6</w:t>
            </w:r>
            <w:r>
              <w:rPr>
                <w:rFonts w:hint="eastAsia" w:ascii="宋体" w:hAnsi="宋体" w:eastAsia="Times New Roman"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w:t>
            </w:r>
            <w:r>
              <w:rPr>
                <w:rFonts w:hint="eastAsia" w:ascii="宋体" w:hAnsi="宋体" w:eastAsia="Times New Roman" w:cs="宋体"/>
                <w:szCs w:val="21"/>
                <w:highlight w:val="none"/>
              </w:rPr>
              <w:t>分。</w:t>
            </w:r>
          </w:p>
          <w:p w14:paraId="673CA3B1">
            <w:pPr>
              <w:spacing w:line="300" w:lineRule="exact"/>
              <w:contextualSpacing/>
              <w:jc w:val="left"/>
              <w:rPr>
                <w:rFonts w:ascii="宋体" w:hAnsi="宋体" w:eastAsia="Times New Roman" w:cs="宋体"/>
                <w:szCs w:val="21"/>
                <w:highlight w:val="none"/>
              </w:rPr>
            </w:pPr>
            <w:r>
              <w:rPr>
                <w:rFonts w:hint="eastAsia" w:ascii="宋体" w:hAnsi="宋体" w:eastAsia="Times New Roman" w:cs="宋体"/>
                <w:szCs w:val="21"/>
                <w:highlight w:val="none"/>
              </w:rPr>
              <w:t>良：施工总体部署较全面，主要阶段和重要环节规划清晰，资源分配能满足基本施工需求。总平面布置合理，能依场地划分功能区，只是细节有小问题。施工组织方案与方法针对常见分部分项工程制定了可行方案，流程顺畅。关键技术工艺符合工程特点，技术措施可解决一般性技术问题，能较好支撑工程建设，得（</w:t>
            </w:r>
            <w:r>
              <w:rPr>
                <w:rFonts w:hint="eastAsia" w:ascii="宋体" w:hAnsi="宋体" w:eastAsia="宋体" w:cs="宋体"/>
                <w:szCs w:val="21"/>
                <w:highlight w:val="none"/>
                <w:lang w:val="en-US" w:eastAsia="zh-CN"/>
              </w:rPr>
              <w:t>4</w:t>
            </w:r>
            <w:r>
              <w:rPr>
                <w:rFonts w:hint="eastAsia" w:ascii="宋体" w:hAnsi="宋体" w:eastAsia="Times New Roman"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eastAsia="Times New Roman" w:cs="宋体"/>
                <w:szCs w:val="21"/>
                <w:highlight w:val="none"/>
              </w:rPr>
              <w:t>分。</w:t>
            </w:r>
          </w:p>
          <w:p w14:paraId="38C9B253">
            <w:pPr>
              <w:spacing w:line="300" w:lineRule="exact"/>
              <w:contextualSpacing/>
              <w:jc w:val="left"/>
              <w:rPr>
                <w:rFonts w:ascii="宋体" w:hAnsi="宋体" w:eastAsia="Times New Roman" w:cs="宋体"/>
                <w:szCs w:val="21"/>
                <w:highlight w:val="none"/>
              </w:rPr>
            </w:pPr>
            <w:r>
              <w:rPr>
                <w:rFonts w:hint="eastAsia" w:ascii="宋体" w:hAnsi="宋体" w:eastAsia="Times New Roman" w:cs="宋体"/>
                <w:szCs w:val="21"/>
                <w:highlight w:val="none"/>
              </w:rPr>
              <w:t>中：有基本的施工总体部署，对施工大致流程和主要任务有规划，但细节和复杂情况考虑不足。总平面布置能满足施工基本需求，功能区初步划分，不过布局不紧凑。施工组织方案与方法涵盖主要分部分项工程，方法常规但具操作性。关键技术工艺合理，能运用常见技术施工，技术措施可保障施工正常开展，但应对突发技术状况能力弱，得（</w:t>
            </w:r>
            <w:r>
              <w:rPr>
                <w:rFonts w:hint="eastAsia" w:ascii="宋体" w:hAnsi="宋体" w:eastAsia="宋体" w:cs="宋体"/>
                <w:szCs w:val="21"/>
                <w:highlight w:val="none"/>
                <w:lang w:val="en-US" w:eastAsia="zh-CN"/>
              </w:rPr>
              <w:t>2</w:t>
            </w:r>
            <w:r>
              <w:rPr>
                <w:rFonts w:hint="eastAsia" w:ascii="宋体" w:hAnsi="宋体" w:eastAsia="Times New Roman" w:cs="宋体"/>
                <w:szCs w:val="21"/>
                <w:highlight w:val="none"/>
              </w:rPr>
              <w:t>，</w:t>
            </w:r>
            <w:r>
              <w:rPr>
                <w:rFonts w:hint="eastAsia" w:ascii="宋体" w:hAnsi="宋体" w:eastAsia="宋体" w:cs="宋体"/>
                <w:szCs w:val="21"/>
                <w:highlight w:val="none"/>
                <w:lang w:val="en-US" w:eastAsia="zh-CN"/>
              </w:rPr>
              <w:t>4</w:t>
            </w:r>
            <w:r>
              <w:rPr>
                <w:rFonts w:hint="eastAsia" w:ascii="宋体" w:hAnsi="宋体" w:cs="宋体"/>
                <w:szCs w:val="21"/>
                <w:highlight w:val="none"/>
              </w:rPr>
              <w:t>]</w:t>
            </w:r>
            <w:r>
              <w:rPr>
                <w:rFonts w:hint="eastAsia" w:ascii="宋体" w:hAnsi="宋体" w:eastAsia="Times New Roman" w:cs="宋体"/>
                <w:szCs w:val="21"/>
                <w:highlight w:val="none"/>
              </w:rPr>
              <w:t>分。</w:t>
            </w:r>
          </w:p>
          <w:p w14:paraId="4209EEE8">
            <w:pPr>
              <w:spacing w:line="300" w:lineRule="exact"/>
              <w:contextualSpacing/>
              <w:jc w:val="left"/>
              <w:rPr>
                <w:rFonts w:ascii="宋体" w:hAnsi="宋体" w:eastAsia="Times New Roman" w:cs="宋体"/>
                <w:szCs w:val="21"/>
                <w:highlight w:val="none"/>
              </w:rPr>
            </w:pPr>
            <w:r>
              <w:rPr>
                <w:rFonts w:hint="eastAsia" w:ascii="宋体" w:hAnsi="宋体" w:eastAsia="Times New Roman" w:cs="宋体"/>
                <w:szCs w:val="21"/>
                <w:highlight w:val="none"/>
              </w:rPr>
              <w:t>差：施工总体部署混乱无序，或规划严重缺失，无法有效指导施工。总平面布置不合理，功能区划分混乱。施工组织方案与方法不完整、不可行，难以保障工程质量和进度。技术措施无效</w:t>
            </w:r>
            <w:r>
              <w:rPr>
                <w:rFonts w:hint="eastAsia" w:ascii="宋体" w:hAnsi="宋体" w:cs="宋体"/>
                <w:szCs w:val="21"/>
                <w:highlight w:val="none"/>
              </w:rPr>
              <w:t>或</w:t>
            </w:r>
            <w:r>
              <w:rPr>
                <w:rFonts w:hint="eastAsia" w:ascii="宋体" w:hAnsi="宋体" w:eastAsia="Times New Roman" w:cs="宋体"/>
                <w:szCs w:val="21"/>
                <w:highlight w:val="none"/>
              </w:rPr>
              <w:t>无法满足工程基本建设需求，严重影响项目实施</w:t>
            </w:r>
            <w:r>
              <w:rPr>
                <w:rFonts w:hint="eastAsia" w:ascii="宋体" w:hAnsi="宋体" w:cs="宋体"/>
                <w:szCs w:val="21"/>
                <w:highlight w:val="none"/>
              </w:rPr>
              <w:t>；</w:t>
            </w:r>
            <w:r>
              <w:rPr>
                <w:rFonts w:hint="eastAsia" w:ascii="宋体" w:hAnsi="宋体" w:eastAsia="Times New Roman" w:cs="宋体"/>
                <w:szCs w:val="21"/>
                <w:highlight w:val="none"/>
              </w:rPr>
              <w:t>或未提供相关内容，得</w:t>
            </w:r>
            <w:r>
              <w:rPr>
                <w:rFonts w:hint="eastAsia" w:ascii="宋体" w:hAnsi="宋体" w:cs="宋体"/>
                <w:szCs w:val="21"/>
                <w:highlight w:val="none"/>
              </w:rPr>
              <w:t>[</w:t>
            </w:r>
            <w:r>
              <w:rPr>
                <w:rFonts w:hint="eastAsia" w:ascii="宋体" w:hAnsi="宋体" w:eastAsia="Times New Roman" w:cs="宋体"/>
                <w:szCs w:val="21"/>
                <w:highlight w:val="none"/>
              </w:rPr>
              <w:t>0，</w:t>
            </w:r>
            <w:r>
              <w:rPr>
                <w:rFonts w:hint="eastAsia" w:ascii="宋体" w:hAnsi="宋体" w:eastAsia="宋体" w:cs="宋体"/>
                <w:szCs w:val="21"/>
                <w:highlight w:val="none"/>
                <w:lang w:val="en-US" w:eastAsia="zh-CN"/>
              </w:rPr>
              <w:t>2</w:t>
            </w:r>
            <w:r>
              <w:rPr>
                <w:rFonts w:hint="eastAsia" w:ascii="宋体" w:hAnsi="宋体" w:cs="宋体"/>
                <w:szCs w:val="21"/>
                <w:highlight w:val="none"/>
              </w:rPr>
              <w:t>]</w:t>
            </w:r>
            <w:r>
              <w:rPr>
                <w:rFonts w:hint="eastAsia" w:ascii="宋体" w:hAnsi="宋体" w:eastAsia="Times New Roman" w:cs="宋体"/>
                <w:szCs w:val="21"/>
                <w:highlight w:val="none"/>
              </w:rPr>
              <w:t>分。</w:t>
            </w:r>
          </w:p>
        </w:tc>
        <w:tc>
          <w:tcPr>
            <w:tcW w:w="1673" w:type="dxa"/>
            <w:vAlign w:val="center"/>
          </w:tcPr>
          <w:p w14:paraId="2EEBD1F6">
            <w:pPr>
              <w:spacing w:line="300" w:lineRule="exact"/>
              <w:contextualSpacing/>
              <w:jc w:val="left"/>
              <w:rPr>
                <w:rFonts w:hint="eastAsia" w:ascii="宋体" w:hAnsi="宋体" w:cs="宋体"/>
                <w:szCs w:val="21"/>
                <w:highlight w:val="none"/>
              </w:rPr>
            </w:pPr>
          </w:p>
        </w:tc>
      </w:tr>
      <w:tr w14:paraId="6A0C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27" w:type="dxa"/>
            <w:vMerge w:val="continue"/>
            <w:vAlign w:val="center"/>
          </w:tcPr>
          <w:p w14:paraId="1027B508">
            <w:pPr>
              <w:widowControl/>
              <w:spacing w:line="360" w:lineRule="auto"/>
              <w:jc w:val="center"/>
              <w:rPr>
                <w:rFonts w:hint="eastAsia" w:ascii="宋体" w:hAnsi="宋体" w:cs="宋体"/>
                <w:szCs w:val="21"/>
                <w:highlight w:val="none"/>
              </w:rPr>
            </w:pPr>
          </w:p>
        </w:tc>
        <w:tc>
          <w:tcPr>
            <w:tcW w:w="881" w:type="dxa"/>
            <w:vMerge w:val="continue"/>
            <w:vAlign w:val="center"/>
          </w:tcPr>
          <w:p w14:paraId="048C5AF3">
            <w:pPr>
              <w:widowControl/>
              <w:jc w:val="center"/>
              <w:rPr>
                <w:rFonts w:hint="eastAsia" w:ascii="宋体" w:hAnsi="宋体" w:cs="宋体"/>
                <w:szCs w:val="21"/>
                <w:highlight w:val="none"/>
              </w:rPr>
            </w:pPr>
          </w:p>
        </w:tc>
        <w:tc>
          <w:tcPr>
            <w:tcW w:w="1053" w:type="dxa"/>
            <w:vAlign w:val="center"/>
          </w:tcPr>
          <w:p w14:paraId="06C3CE91">
            <w:pPr>
              <w:widowControl/>
              <w:snapToGrid w:val="0"/>
              <w:spacing w:line="300" w:lineRule="exact"/>
              <w:jc w:val="center"/>
              <w:rPr>
                <w:rFonts w:hint="eastAsia" w:ascii="宋体" w:hAnsi="宋体" w:cs="宋体"/>
                <w:szCs w:val="21"/>
                <w:highlight w:val="none"/>
              </w:rPr>
            </w:pPr>
            <w:r>
              <w:rPr>
                <w:rFonts w:hint="eastAsia" w:ascii="宋体" w:hAnsi="宋体" w:cs="宋体"/>
                <w:szCs w:val="21"/>
                <w:highlight w:val="none"/>
              </w:rPr>
              <w:t>施工总进度计划</w:t>
            </w:r>
          </w:p>
          <w:p w14:paraId="4BCD4586">
            <w:pPr>
              <w:widowControl/>
              <w:snapToGrid w:val="0"/>
              <w:spacing w:line="300" w:lineRule="exact"/>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9493" w:type="dxa"/>
            <w:vAlign w:val="center"/>
          </w:tcPr>
          <w:p w14:paraId="38E1A207">
            <w:pPr>
              <w:widowControl/>
              <w:spacing w:line="300" w:lineRule="exact"/>
              <w:contextualSpacing/>
              <w:jc w:val="left"/>
              <w:rPr>
                <w:rFonts w:ascii="宋体" w:hAnsi="宋体" w:eastAsia="Times New Roman" w:cs="宋体"/>
                <w:szCs w:val="21"/>
                <w:highlight w:val="none"/>
              </w:rPr>
            </w:pPr>
            <w:r>
              <w:rPr>
                <w:rFonts w:hint="eastAsia" w:ascii="宋体" w:hAnsi="宋体" w:eastAsia="Times New Roman" w:cs="宋体"/>
                <w:szCs w:val="21"/>
                <w:highlight w:val="none"/>
              </w:rPr>
              <w:t>优：工期管理目标明确合理，贴合项目合同与实际，充分考量风险因素，各施工阶段关键节点精准设定并预留弹性时间。横道图绘制规范详尽，清晰展现各分部分项工程起止、持续时间及逻辑关系，关键线路醒目，标注里程碑与资源需求曲线，助力工程进度把控。工期保证措施涵盖资源、技术、组织管理等多方面，具体且可操作，能有效应对各类工期影响情况。得（</w:t>
            </w:r>
            <w:r>
              <w:rPr>
                <w:rFonts w:hint="eastAsia" w:ascii="宋体" w:hAnsi="宋体" w:cs="宋体"/>
                <w:szCs w:val="21"/>
                <w:highlight w:val="none"/>
                <w:lang w:val="en-US" w:eastAsia="zh-CN"/>
              </w:rPr>
              <w:t>6</w:t>
            </w:r>
            <w:r>
              <w:rPr>
                <w:rFonts w:hint="eastAsia" w:ascii="宋体" w:hAnsi="宋体" w:eastAsia="Times New Roman"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w:t>
            </w:r>
            <w:r>
              <w:rPr>
                <w:rFonts w:hint="eastAsia" w:ascii="宋体" w:hAnsi="宋体" w:eastAsia="Times New Roman" w:cs="宋体"/>
                <w:szCs w:val="21"/>
                <w:highlight w:val="none"/>
              </w:rPr>
              <w:t>分。</w:t>
            </w:r>
          </w:p>
          <w:p w14:paraId="18A09B02">
            <w:pPr>
              <w:widowControl/>
              <w:spacing w:line="300" w:lineRule="exact"/>
              <w:contextualSpacing/>
              <w:jc w:val="left"/>
              <w:rPr>
                <w:rFonts w:ascii="宋体" w:hAnsi="宋体" w:eastAsia="Times New Roman" w:cs="宋体"/>
                <w:szCs w:val="21"/>
                <w:highlight w:val="none"/>
              </w:rPr>
            </w:pPr>
            <w:r>
              <w:rPr>
                <w:rFonts w:hint="eastAsia" w:ascii="宋体" w:hAnsi="宋体" w:eastAsia="Times New Roman" w:cs="宋体"/>
                <w:szCs w:val="21"/>
                <w:highlight w:val="none"/>
              </w:rPr>
              <w:t>良：有明确工期管理目标，基本契合项目与合同要求，只是对部分潜在风险考虑欠妥。横道图较规范，能呈现工程大致进度与逻辑关系，但施工阶段划分、资源需求曲线等细节存在不足。工期保证措施涉及多方面，细化等方面有待完善（</w:t>
            </w:r>
            <w:r>
              <w:rPr>
                <w:rFonts w:hint="eastAsia" w:ascii="宋体" w:hAnsi="宋体" w:eastAsia="宋体" w:cs="宋体"/>
                <w:szCs w:val="21"/>
                <w:highlight w:val="none"/>
                <w:lang w:val="en-US" w:eastAsia="zh-CN"/>
              </w:rPr>
              <w:t>4</w:t>
            </w:r>
            <w:r>
              <w:rPr>
                <w:rFonts w:hint="eastAsia" w:ascii="宋体" w:hAnsi="宋体" w:eastAsia="Times New Roman"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eastAsia="Times New Roman" w:cs="宋体"/>
                <w:szCs w:val="21"/>
                <w:highlight w:val="none"/>
              </w:rPr>
              <w:t>分。</w:t>
            </w:r>
          </w:p>
          <w:p w14:paraId="650B9E96">
            <w:pPr>
              <w:widowControl/>
              <w:spacing w:line="300" w:lineRule="exact"/>
              <w:contextualSpacing/>
              <w:jc w:val="left"/>
              <w:rPr>
                <w:rFonts w:ascii="宋体" w:hAnsi="宋体" w:eastAsia="Times New Roman" w:cs="宋体"/>
                <w:szCs w:val="21"/>
                <w:highlight w:val="none"/>
              </w:rPr>
            </w:pPr>
            <w:r>
              <w:rPr>
                <w:rFonts w:hint="eastAsia" w:ascii="宋体" w:hAnsi="宋体" w:eastAsia="Times New Roman" w:cs="宋体"/>
                <w:szCs w:val="21"/>
                <w:highlight w:val="none"/>
              </w:rPr>
              <w:t>中：存在工期管理目标，但较笼统，缺乏阶段性划分与针对性。横道图能展示主要工程施工顺序和大致时间，然而图面不清晰规范，工程起止时间标注模糊，逻辑关系易产生误解。工期保证措施简单粗糙，资源保障、技术应用与管理协调机制方面均不完善。得（</w:t>
            </w:r>
            <w:r>
              <w:rPr>
                <w:rFonts w:hint="eastAsia" w:ascii="宋体" w:hAnsi="宋体" w:eastAsia="宋体" w:cs="宋体"/>
                <w:szCs w:val="21"/>
                <w:highlight w:val="none"/>
                <w:lang w:val="en-US" w:eastAsia="zh-CN"/>
              </w:rPr>
              <w:t>2</w:t>
            </w:r>
            <w:r>
              <w:rPr>
                <w:rFonts w:hint="eastAsia" w:ascii="宋体" w:hAnsi="宋体" w:eastAsia="Times New Roman" w:cs="宋体"/>
                <w:szCs w:val="21"/>
                <w:highlight w:val="none"/>
              </w:rPr>
              <w:t>，</w:t>
            </w:r>
            <w:r>
              <w:rPr>
                <w:rFonts w:hint="eastAsia" w:ascii="宋体" w:hAnsi="宋体" w:eastAsia="宋体" w:cs="宋体"/>
                <w:szCs w:val="21"/>
                <w:highlight w:val="none"/>
                <w:lang w:val="en-US" w:eastAsia="zh-CN"/>
              </w:rPr>
              <w:t>4</w:t>
            </w:r>
            <w:r>
              <w:rPr>
                <w:rFonts w:hint="eastAsia" w:ascii="宋体" w:hAnsi="宋体" w:cs="宋体"/>
                <w:szCs w:val="21"/>
                <w:highlight w:val="none"/>
              </w:rPr>
              <w:t>]</w:t>
            </w:r>
            <w:r>
              <w:rPr>
                <w:rFonts w:hint="eastAsia" w:ascii="宋体" w:hAnsi="宋体" w:eastAsia="Times New Roman" w:cs="宋体"/>
                <w:szCs w:val="21"/>
                <w:highlight w:val="none"/>
              </w:rPr>
              <w:t>分。</w:t>
            </w:r>
          </w:p>
          <w:p w14:paraId="37B55B7F">
            <w:pPr>
              <w:widowControl/>
              <w:spacing w:line="300" w:lineRule="exact"/>
              <w:contextualSpacing/>
              <w:jc w:val="left"/>
              <w:rPr>
                <w:rFonts w:ascii="宋体" w:hAnsi="宋体" w:eastAsia="Times New Roman" w:cs="宋体"/>
                <w:szCs w:val="21"/>
                <w:highlight w:val="none"/>
              </w:rPr>
            </w:pPr>
            <w:r>
              <w:rPr>
                <w:rFonts w:hint="eastAsia" w:ascii="宋体" w:hAnsi="宋体" w:eastAsia="Times New Roman" w:cs="宋体"/>
                <w:szCs w:val="21"/>
                <w:highlight w:val="none"/>
              </w:rPr>
              <w:t>差：工期管理目标缺失或不合理，横道图绘制混乱、信息错误，无法指导施工进度安排。工期保证措施无效或缺失，资源短缺、技术方案不可行、管理机制</w:t>
            </w:r>
            <w:r>
              <w:rPr>
                <w:rFonts w:hint="eastAsia" w:ascii="宋体" w:hAnsi="宋体" w:cs="宋体"/>
                <w:szCs w:val="21"/>
                <w:highlight w:val="none"/>
              </w:rPr>
              <w:t>无效</w:t>
            </w:r>
            <w:r>
              <w:rPr>
                <w:rFonts w:hint="eastAsia" w:ascii="宋体" w:hAnsi="宋体" w:eastAsia="Times New Roman" w:cs="宋体"/>
                <w:szCs w:val="21"/>
                <w:highlight w:val="none"/>
              </w:rPr>
              <w:t>，</w:t>
            </w:r>
            <w:r>
              <w:rPr>
                <w:rFonts w:hint="eastAsia" w:ascii="宋体" w:hAnsi="宋体" w:cs="宋体"/>
                <w:szCs w:val="21"/>
                <w:highlight w:val="none"/>
              </w:rPr>
              <w:t>影响项目开展</w:t>
            </w:r>
            <w:r>
              <w:rPr>
                <w:rFonts w:hint="eastAsia" w:ascii="宋体" w:hAnsi="宋体" w:eastAsia="Times New Roman" w:cs="宋体"/>
                <w:szCs w:val="21"/>
                <w:highlight w:val="none"/>
              </w:rPr>
              <w:t>；或未提供相关内容，得</w:t>
            </w:r>
            <w:r>
              <w:rPr>
                <w:rFonts w:hint="eastAsia" w:ascii="宋体" w:hAnsi="宋体" w:cs="宋体"/>
                <w:szCs w:val="21"/>
                <w:highlight w:val="none"/>
              </w:rPr>
              <w:t>[</w:t>
            </w:r>
            <w:r>
              <w:rPr>
                <w:rFonts w:hint="eastAsia" w:ascii="宋体" w:hAnsi="宋体" w:eastAsia="Times New Roman" w:cs="宋体"/>
                <w:szCs w:val="21"/>
                <w:highlight w:val="none"/>
              </w:rPr>
              <w:t>0，</w:t>
            </w:r>
            <w:r>
              <w:rPr>
                <w:rFonts w:hint="eastAsia" w:ascii="宋体" w:hAnsi="宋体" w:eastAsia="宋体" w:cs="宋体"/>
                <w:szCs w:val="21"/>
                <w:highlight w:val="none"/>
                <w:lang w:val="en-US" w:eastAsia="zh-CN"/>
              </w:rPr>
              <w:t>2</w:t>
            </w:r>
            <w:r>
              <w:rPr>
                <w:rFonts w:hint="eastAsia" w:ascii="宋体" w:hAnsi="宋体" w:cs="宋体"/>
                <w:szCs w:val="21"/>
                <w:highlight w:val="none"/>
              </w:rPr>
              <w:t>]</w:t>
            </w:r>
            <w:r>
              <w:rPr>
                <w:rFonts w:hint="eastAsia" w:ascii="宋体" w:hAnsi="宋体" w:eastAsia="Times New Roman" w:cs="宋体"/>
                <w:szCs w:val="21"/>
                <w:highlight w:val="none"/>
              </w:rPr>
              <w:t>分。</w:t>
            </w:r>
          </w:p>
        </w:tc>
        <w:tc>
          <w:tcPr>
            <w:tcW w:w="1673" w:type="dxa"/>
            <w:vAlign w:val="center"/>
          </w:tcPr>
          <w:p w14:paraId="1248BC0A">
            <w:pPr>
              <w:widowControl/>
              <w:spacing w:line="300" w:lineRule="exact"/>
              <w:contextualSpacing/>
              <w:jc w:val="left"/>
              <w:rPr>
                <w:rFonts w:hint="eastAsia" w:ascii="宋体" w:hAnsi="宋体" w:cs="宋体"/>
                <w:szCs w:val="21"/>
                <w:highlight w:val="none"/>
              </w:rPr>
            </w:pPr>
          </w:p>
        </w:tc>
      </w:tr>
      <w:tr w14:paraId="683C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27" w:type="dxa"/>
            <w:vMerge w:val="continue"/>
            <w:vAlign w:val="center"/>
          </w:tcPr>
          <w:p w14:paraId="2C31223B">
            <w:pPr>
              <w:widowControl/>
              <w:spacing w:line="360" w:lineRule="auto"/>
              <w:jc w:val="center"/>
              <w:rPr>
                <w:rFonts w:hint="eastAsia" w:ascii="宋体" w:hAnsi="宋体" w:cs="宋体"/>
                <w:szCs w:val="21"/>
                <w:highlight w:val="none"/>
              </w:rPr>
            </w:pPr>
          </w:p>
        </w:tc>
        <w:tc>
          <w:tcPr>
            <w:tcW w:w="881" w:type="dxa"/>
            <w:vMerge w:val="continue"/>
            <w:vAlign w:val="center"/>
          </w:tcPr>
          <w:p w14:paraId="4B5BFF07">
            <w:pPr>
              <w:widowControl/>
              <w:jc w:val="center"/>
              <w:rPr>
                <w:rFonts w:hint="eastAsia" w:ascii="宋体" w:hAnsi="宋体" w:cs="宋体"/>
                <w:szCs w:val="21"/>
                <w:highlight w:val="none"/>
              </w:rPr>
            </w:pPr>
          </w:p>
        </w:tc>
        <w:tc>
          <w:tcPr>
            <w:tcW w:w="1053" w:type="dxa"/>
            <w:vAlign w:val="center"/>
          </w:tcPr>
          <w:p w14:paraId="75A901CE">
            <w:pPr>
              <w:widowControl/>
              <w:snapToGrid w:val="0"/>
              <w:spacing w:line="300" w:lineRule="exact"/>
              <w:jc w:val="center"/>
              <w:rPr>
                <w:rFonts w:hint="eastAsia" w:ascii="宋体" w:hAnsi="宋体" w:eastAsia="Times New Roman" w:cs="宋体"/>
                <w:b w:val="0"/>
                <w:bCs w:val="0"/>
                <w:i w:val="0"/>
                <w:iCs w:val="0"/>
                <w:smallCaps w:val="0"/>
                <w:szCs w:val="21"/>
                <w:highlight w:val="none"/>
                <w:lang w:val="en-US" w:eastAsia="zh-CN"/>
              </w:rPr>
            </w:pPr>
            <w:r>
              <w:rPr>
                <w:rFonts w:hint="eastAsia" w:ascii="宋体" w:hAnsi="宋体" w:cs="宋体"/>
                <w:szCs w:val="21"/>
                <w:highlight w:val="none"/>
              </w:rPr>
              <w:t>施工质量目标（</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9493" w:type="dxa"/>
            <w:vAlign w:val="center"/>
          </w:tcPr>
          <w:p w14:paraId="5AC75238">
            <w:pPr>
              <w:spacing w:line="300" w:lineRule="exact"/>
              <w:contextualSpacing/>
              <w:jc w:val="left"/>
              <w:rPr>
                <w:rFonts w:ascii="宋体" w:hAnsi="宋体" w:eastAsia="Times New Roman" w:cs="宋体"/>
                <w:szCs w:val="21"/>
                <w:highlight w:val="none"/>
              </w:rPr>
            </w:pPr>
            <w:r>
              <w:rPr>
                <w:rFonts w:hint="eastAsia" w:ascii="宋体" w:hAnsi="宋体" w:eastAsia="Times New Roman" w:cs="宋体"/>
                <w:szCs w:val="21"/>
                <w:highlight w:val="none"/>
              </w:rPr>
              <w:t>优：有质量目标控制措施且质量目标符合招标文件要求，质量管理体系完善，从管理层到施工人员架构清晰、协同高效。管理措施涵盖技术规范、原材料监管，还针对复杂情况制定预案。保证措施从资源、人员、工艺多维度发力，确保各环节达优。质量事故应急预案充分考虑潜在风险，从预警到处置合理且高度可行，有力保障项目高质量推进，得（</w:t>
            </w:r>
            <w:r>
              <w:rPr>
                <w:rFonts w:hint="eastAsia" w:ascii="宋体" w:hAnsi="宋体" w:cs="宋体"/>
                <w:szCs w:val="21"/>
                <w:highlight w:val="none"/>
                <w:lang w:val="en-US" w:eastAsia="zh-CN"/>
              </w:rPr>
              <w:t>6</w:t>
            </w:r>
            <w:r>
              <w:rPr>
                <w:rFonts w:hint="eastAsia" w:ascii="宋体" w:hAnsi="宋体" w:eastAsia="Times New Roman" w:cs="宋体"/>
                <w:szCs w:val="21"/>
                <w:highlight w:val="none"/>
              </w:rPr>
              <w:t>，</w:t>
            </w:r>
            <w:r>
              <w:rPr>
                <w:rFonts w:hint="eastAsia" w:ascii="宋体" w:hAnsi="宋体" w:cs="宋体"/>
                <w:szCs w:val="21"/>
                <w:highlight w:val="none"/>
                <w:lang w:val="en-US" w:eastAsia="zh-CN"/>
              </w:rPr>
              <w:t>8</w:t>
            </w:r>
            <w:r>
              <w:rPr>
                <w:rFonts w:hint="eastAsia" w:ascii="宋体" w:hAnsi="宋体" w:eastAsia="Times New Roman" w:cs="宋体"/>
                <w:szCs w:val="21"/>
                <w:highlight w:val="none"/>
              </w:rPr>
              <w:t>]分。</w:t>
            </w:r>
          </w:p>
          <w:p w14:paraId="2BB95A00">
            <w:pPr>
              <w:spacing w:line="300" w:lineRule="exact"/>
              <w:contextualSpacing/>
              <w:jc w:val="left"/>
              <w:rPr>
                <w:rFonts w:ascii="宋体" w:hAnsi="宋体" w:eastAsia="Times New Roman" w:cs="宋体"/>
                <w:szCs w:val="21"/>
                <w:highlight w:val="none"/>
              </w:rPr>
            </w:pPr>
            <w:r>
              <w:rPr>
                <w:rFonts w:hint="eastAsia" w:ascii="宋体" w:hAnsi="宋体" w:eastAsia="Times New Roman" w:cs="宋体"/>
                <w:szCs w:val="21"/>
                <w:highlight w:val="none"/>
              </w:rPr>
              <w:t>良：有质量目标控制措施且质量目标符合招标文件要求，质量管理体系较完善，但细节精细度欠佳。管理措施覆盖主要施工环节，能应对常见质量问题，不过处理特殊情况或复杂工艺时，灵活性和深度不足。保证措施在资源调配、人员管理方面有成效，可维持正常质量水准。质量事故应急预案合理，能应对常见事故类型，具备一定可行性，得（</w:t>
            </w:r>
            <w:r>
              <w:rPr>
                <w:rFonts w:hint="eastAsia" w:ascii="宋体" w:hAnsi="宋体" w:eastAsia="宋体" w:cs="宋体"/>
                <w:szCs w:val="21"/>
                <w:highlight w:val="none"/>
                <w:lang w:val="en-US" w:eastAsia="zh-CN"/>
              </w:rPr>
              <w:t>4</w:t>
            </w:r>
            <w:r>
              <w:rPr>
                <w:rFonts w:hint="eastAsia" w:ascii="宋体" w:hAnsi="宋体" w:eastAsia="Times New Roman" w:cs="宋体"/>
                <w:szCs w:val="21"/>
                <w:highlight w:val="none"/>
              </w:rPr>
              <w:t>，</w:t>
            </w:r>
            <w:r>
              <w:rPr>
                <w:rFonts w:hint="eastAsia" w:ascii="宋体" w:hAnsi="宋体" w:cs="宋体"/>
                <w:szCs w:val="21"/>
                <w:highlight w:val="none"/>
                <w:lang w:val="en-US" w:eastAsia="zh-CN"/>
              </w:rPr>
              <w:t>6</w:t>
            </w:r>
            <w:r>
              <w:rPr>
                <w:rFonts w:hint="eastAsia" w:ascii="宋体" w:hAnsi="宋体" w:eastAsia="Times New Roman" w:cs="宋体"/>
                <w:szCs w:val="21"/>
                <w:highlight w:val="none"/>
              </w:rPr>
              <w:t>]分。</w:t>
            </w:r>
          </w:p>
          <w:p w14:paraId="1D34D086">
            <w:pPr>
              <w:spacing w:line="300" w:lineRule="exact"/>
              <w:contextualSpacing/>
              <w:jc w:val="left"/>
              <w:rPr>
                <w:rFonts w:ascii="宋体" w:hAnsi="宋体" w:eastAsia="Times New Roman" w:cs="宋体"/>
                <w:szCs w:val="21"/>
                <w:highlight w:val="none"/>
              </w:rPr>
            </w:pPr>
            <w:r>
              <w:rPr>
                <w:rFonts w:hint="eastAsia" w:ascii="宋体" w:hAnsi="宋体" w:eastAsia="Times New Roman" w:cs="宋体"/>
                <w:szCs w:val="21"/>
                <w:highlight w:val="none"/>
              </w:rPr>
              <w:t>中：有质量目标控制措施且质量目标符合招标文件要求，质量管理体系简单，各部门和人员有基本职责划分，但系统性和连贯性有短板。管理措施在常规流程能发挥作用，把控隐蔽工程和关键节点时手段单一。保证措施满足资源和工艺基础要求，但提升质量的创新性、主动性不足。质量事故应急预案针对一般性事故有初步应对思路，具备一定可操作性，得（</w:t>
            </w:r>
            <w:r>
              <w:rPr>
                <w:rFonts w:hint="eastAsia" w:ascii="宋体" w:hAnsi="宋体" w:eastAsia="宋体" w:cs="宋体"/>
                <w:szCs w:val="21"/>
                <w:highlight w:val="none"/>
                <w:lang w:val="en-US" w:eastAsia="zh-CN"/>
              </w:rPr>
              <w:t>2</w:t>
            </w:r>
            <w:r>
              <w:rPr>
                <w:rFonts w:hint="eastAsia" w:ascii="宋体" w:hAnsi="宋体" w:eastAsia="Times New Roman"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Times New Roman" w:cs="宋体"/>
                <w:szCs w:val="21"/>
                <w:highlight w:val="none"/>
              </w:rPr>
              <w:t>]分。</w:t>
            </w:r>
          </w:p>
          <w:p w14:paraId="6EDD57D2">
            <w:pPr>
              <w:spacing w:line="300" w:lineRule="exact"/>
              <w:contextualSpacing/>
              <w:jc w:val="left"/>
              <w:rPr>
                <w:rFonts w:hint="eastAsia" w:ascii="宋体" w:hAnsi="宋体" w:eastAsia="Times New Roman" w:cs="宋体"/>
                <w:b w:val="0"/>
                <w:bCs w:val="0"/>
                <w:i w:val="0"/>
                <w:iCs w:val="0"/>
                <w:smallCaps w:val="0"/>
                <w:szCs w:val="21"/>
                <w:highlight w:val="none"/>
              </w:rPr>
            </w:pPr>
            <w:r>
              <w:rPr>
                <w:rFonts w:hint="eastAsia" w:ascii="宋体" w:hAnsi="宋体" w:eastAsia="Times New Roman" w:cs="宋体"/>
                <w:szCs w:val="21"/>
                <w:highlight w:val="none"/>
              </w:rPr>
              <w:t>差：质量目标控制措施严重缺失或与招标文件要求不符，质量管理体系欠缺，无明确的组织架构和职责分工，质量管控工作混乱无序。管理保证措施缺乏实质性内容，资源供应无保障、人员技术水平低下、工艺落后，难以满足基本质量要求。质量事故应急预案缺失或完全不具可行性，未考虑潜在风险，事故发生时无法采取有效应对措施，无法保障项目质量；或未提供相关内容，得[0，</w:t>
            </w:r>
            <w:r>
              <w:rPr>
                <w:rFonts w:hint="eastAsia" w:ascii="宋体" w:hAnsi="宋体" w:eastAsia="宋体" w:cs="宋体"/>
                <w:szCs w:val="21"/>
                <w:highlight w:val="none"/>
                <w:lang w:val="en-US" w:eastAsia="zh-CN"/>
              </w:rPr>
              <w:t>2</w:t>
            </w:r>
            <w:r>
              <w:rPr>
                <w:rFonts w:hint="eastAsia" w:ascii="宋体" w:hAnsi="宋体" w:eastAsia="Times New Roman" w:cs="宋体"/>
                <w:szCs w:val="21"/>
                <w:highlight w:val="none"/>
              </w:rPr>
              <w:t>]分。</w:t>
            </w:r>
          </w:p>
        </w:tc>
        <w:tc>
          <w:tcPr>
            <w:tcW w:w="1673" w:type="dxa"/>
            <w:vAlign w:val="center"/>
          </w:tcPr>
          <w:p w14:paraId="31C40949">
            <w:pPr>
              <w:spacing w:line="300" w:lineRule="exact"/>
              <w:contextualSpacing/>
              <w:jc w:val="left"/>
              <w:rPr>
                <w:rFonts w:hint="eastAsia" w:ascii="宋体" w:hAnsi="宋体" w:cs="宋体"/>
                <w:szCs w:val="21"/>
                <w:highlight w:val="none"/>
              </w:rPr>
            </w:pPr>
          </w:p>
        </w:tc>
      </w:tr>
      <w:tr w14:paraId="716B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27" w:type="dxa"/>
            <w:vMerge w:val="continue"/>
            <w:vAlign w:val="center"/>
          </w:tcPr>
          <w:p w14:paraId="62ECA1A2">
            <w:pPr>
              <w:widowControl/>
              <w:spacing w:line="360" w:lineRule="auto"/>
              <w:jc w:val="center"/>
              <w:rPr>
                <w:rFonts w:hint="eastAsia" w:ascii="宋体" w:hAnsi="宋体" w:cs="宋体"/>
                <w:szCs w:val="21"/>
                <w:highlight w:val="none"/>
              </w:rPr>
            </w:pPr>
          </w:p>
        </w:tc>
        <w:tc>
          <w:tcPr>
            <w:tcW w:w="881" w:type="dxa"/>
            <w:vMerge w:val="continue"/>
            <w:vAlign w:val="center"/>
          </w:tcPr>
          <w:p w14:paraId="2A745372">
            <w:pPr>
              <w:widowControl/>
              <w:jc w:val="center"/>
              <w:rPr>
                <w:rFonts w:hint="eastAsia" w:ascii="宋体" w:hAnsi="宋体" w:cs="宋体"/>
                <w:szCs w:val="21"/>
                <w:highlight w:val="none"/>
              </w:rPr>
            </w:pPr>
          </w:p>
        </w:tc>
        <w:tc>
          <w:tcPr>
            <w:tcW w:w="1053" w:type="dxa"/>
            <w:vAlign w:val="center"/>
          </w:tcPr>
          <w:p w14:paraId="73E391F8">
            <w:pPr>
              <w:widowControl/>
              <w:spacing w:line="300" w:lineRule="exact"/>
              <w:contextualSpacing/>
              <w:jc w:val="center"/>
              <w:rPr>
                <w:rFonts w:hint="eastAsia" w:ascii="宋体" w:hAnsi="宋体" w:eastAsia="宋体" w:cs="宋体"/>
                <w:szCs w:val="21"/>
                <w:highlight w:val="none"/>
                <w:lang w:eastAsia="zh-CN"/>
              </w:rPr>
            </w:pPr>
            <w:r>
              <w:rPr>
                <w:rFonts w:hint="eastAsia" w:ascii="宋体" w:hAnsi="宋体" w:eastAsia="Times New Roman" w:cs="宋体"/>
                <w:szCs w:val="21"/>
                <w:highlight w:val="none"/>
              </w:rPr>
              <w:t>售后服务</w:t>
            </w:r>
            <w:r>
              <w:rPr>
                <w:rFonts w:hint="eastAsia" w:ascii="宋体" w:hAnsi="宋体" w:eastAsia="宋体" w:cs="宋体"/>
                <w:szCs w:val="21"/>
                <w:highlight w:val="none"/>
                <w:lang w:val="en-US" w:eastAsia="zh-CN"/>
              </w:rPr>
              <w:t>措施</w:t>
            </w:r>
          </w:p>
          <w:p w14:paraId="7FD099D9">
            <w:pPr>
              <w:widowControl/>
              <w:spacing w:line="300" w:lineRule="exact"/>
              <w:contextualSpacing/>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cs="宋体"/>
                <w:szCs w:val="21"/>
                <w:highlight w:val="none"/>
                <w:lang w:val="en-US" w:eastAsia="zh-CN"/>
              </w:rPr>
              <w:t>8</w:t>
            </w:r>
            <w:r>
              <w:rPr>
                <w:rFonts w:hint="eastAsia" w:ascii="宋体" w:hAnsi="宋体" w:eastAsia="宋体" w:cs="宋体"/>
                <w:szCs w:val="21"/>
                <w:highlight w:val="none"/>
                <w:lang w:val="en-US" w:eastAsia="zh-CN"/>
              </w:rPr>
              <w:t>分</w:t>
            </w:r>
            <w:r>
              <w:rPr>
                <w:rFonts w:hint="eastAsia" w:ascii="宋体" w:hAnsi="宋体" w:eastAsia="宋体" w:cs="宋体"/>
                <w:szCs w:val="21"/>
                <w:highlight w:val="none"/>
                <w:lang w:eastAsia="zh-CN"/>
              </w:rPr>
              <w:t>）</w:t>
            </w:r>
          </w:p>
        </w:tc>
        <w:tc>
          <w:tcPr>
            <w:tcW w:w="9493" w:type="dxa"/>
            <w:vAlign w:val="center"/>
          </w:tcPr>
          <w:p w14:paraId="6F11E883">
            <w:pPr>
              <w:spacing w:line="300" w:lineRule="exact"/>
              <w:contextualSpacing/>
              <w:jc w:val="left"/>
              <w:rPr>
                <w:rFonts w:ascii="宋体" w:hAnsi="宋体" w:eastAsia="Times New Roman" w:cs="宋体"/>
                <w:szCs w:val="21"/>
                <w:highlight w:val="none"/>
              </w:rPr>
            </w:pPr>
            <w:r>
              <w:rPr>
                <w:rFonts w:hint="eastAsia" w:ascii="宋体" w:hAnsi="宋体" w:eastAsia="Times New Roman" w:cs="宋体"/>
                <w:szCs w:val="21"/>
                <w:highlight w:val="none"/>
              </w:rPr>
              <w:t>优：有</w:t>
            </w:r>
            <w:r>
              <w:rPr>
                <w:rFonts w:hint="eastAsia" w:ascii="宋体" w:hAnsi="宋体" w:eastAsia="宋体" w:cs="宋体"/>
                <w:szCs w:val="21"/>
                <w:highlight w:val="none"/>
                <w:lang w:val="en-US" w:eastAsia="zh-CN"/>
              </w:rPr>
              <w:t>售后服务</w:t>
            </w:r>
            <w:r>
              <w:rPr>
                <w:rFonts w:hint="eastAsia" w:ascii="宋体" w:hAnsi="宋体" w:eastAsia="Times New Roman" w:cs="宋体"/>
                <w:szCs w:val="21"/>
                <w:highlight w:val="none"/>
              </w:rPr>
              <w:t>措施符合招标文件要求</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售后服务计划清晰明确、具体，售后服务人员组织架构完整、专业技术力量投入充足、技术人员组织安排及跟进处理流程明确具体，针对设备故障维修有详细的应对措施及相应的解决方案，应急预案考虑深入严谨、应急措施规范，售后服务方案各项内容均具备，</w:t>
            </w:r>
            <w:r>
              <w:rPr>
                <w:rFonts w:hint="eastAsia" w:ascii="宋体" w:hAnsi="宋体" w:eastAsia="Times New Roman" w:cs="宋体"/>
                <w:szCs w:val="21"/>
                <w:highlight w:val="none"/>
              </w:rPr>
              <w:t>得（</w:t>
            </w:r>
            <w:r>
              <w:rPr>
                <w:rFonts w:hint="eastAsia" w:ascii="宋体" w:hAnsi="宋体" w:cs="宋体"/>
                <w:szCs w:val="21"/>
                <w:highlight w:val="none"/>
                <w:lang w:val="en-US" w:eastAsia="zh-CN"/>
              </w:rPr>
              <w:t>6</w:t>
            </w:r>
            <w:r>
              <w:rPr>
                <w:rFonts w:hint="eastAsia" w:ascii="宋体" w:hAnsi="宋体" w:eastAsia="Times New Roman"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w:t>
            </w:r>
            <w:r>
              <w:rPr>
                <w:rFonts w:hint="eastAsia" w:ascii="宋体" w:hAnsi="宋体" w:eastAsia="Times New Roman" w:cs="宋体"/>
                <w:szCs w:val="21"/>
                <w:highlight w:val="none"/>
              </w:rPr>
              <w:t>分。</w:t>
            </w:r>
          </w:p>
          <w:p w14:paraId="3D004B76">
            <w:pPr>
              <w:spacing w:line="300" w:lineRule="exact"/>
              <w:contextualSpacing/>
              <w:jc w:val="left"/>
              <w:rPr>
                <w:rFonts w:ascii="宋体" w:hAnsi="宋体" w:eastAsia="Times New Roman" w:cs="宋体"/>
                <w:szCs w:val="21"/>
                <w:highlight w:val="none"/>
              </w:rPr>
            </w:pPr>
            <w:r>
              <w:rPr>
                <w:rFonts w:hint="eastAsia" w:ascii="宋体" w:hAnsi="宋体" w:eastAsia="Times New Roman" w:cs="宋体"/>
                <w:szCs w:val="21"/>
                <w:highlight w:val="none"/>
              </w:rPr>
              <w:t>良：有</w:t>
            </w:r>
            <w:r>
              <w:rPr>
                <w:rFonts w:hint="eastAsia" w:ascii="宋体" w:hAnsi="宋体" w:eastAsia="宋体" w:cs="宋体"/>
                <w:szCs w:val="21"/>
                <w:highlight w:val="none"/>
                <w:lang w:val="en-US" w:eastAsia="zh-CN"/>
              </w:rPr>
              <w:t>售后服务</w:t>
            </w:r>
            <w:r>
              <w:rPr>
                <w:rFonts w:hint="eastAsia" w:ascii="宋体" w:hAnsi="宋体" w:eastAsia="Times New Roman" w:cs="宋体"/>
                <w:szCs w:val="21"/>
                <w:highlight w:val="none"/>
              </w:rPr>
              <w:t>措施符合招标文件要求</w:t>
            </w:r>
            <w:r>
              <w:rPr>
                <w:rFonts w:hint="eastAsia" w:ascii="宋体" w:hAnsi="宋体" w:eastAsia="宋体" w:cs="宋体"/>
                <w:szCs w:val="21"/>
                <w:highlight w:val="none"/>
                <w:lang w:eastAsia="zh-CN"/>
              </w:rPr>
              <w:t>，</w:t>
            </w:r>
            <w:r>
              <w:rPr>
                <w:rFonts w:hint="eastAsia" w:ascii="宋体" w:hAnsi="宋体" w:eastAsia="Times New Roman" w:cs="宋体"/>
                <w:szCs w:val="21"/>
                <w:highlight w:val="none"/>
              </w:rPr>
              <w:t>售后服务计划明确具体，提供售后服务人员组织架构完整、专业技术力量投入充足、有技术人员组织安排及跟进处理流程，针对设备故障维修有应对措施及相应的解决方案，应急预案考虑深入、应急措施规范，售后服务方案各项内容均具备的，得（</w:t>
            </w:r>
            <w:r>
              <w:rPr>
                <w:rFonts w:hint="eastAsia" w:ascii="宋体" w:hAnsi="宋体" w:eastAsia="宋体" w:cs="宋体"/>
                <w:szCs w:val="21"/>
                <w:highlight w:val="none"/>
                <w:lang w:val="en-US" w:eastAsia="zh-CN"/>
              </w:rPr>
              <w:t>4</w:t>
            </w:r>
            <w:r>
              <w:rPr>
                <w:rFonts w:hint="eastAsia" w:ascii="宋体" w:hAnsi="宋体" w:eastAsia="Times New Roman"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eastAsia="Times New Roman" w:cs="宋体"/>
                <w:szCs w:val="21"/>
                <w:highlight w:val="none"/>
              </w:rPr>
              <w:t>分。</w:t>
            </w:r>
          </w:p>
          <w:p w14:paraId="593A877E">
            <w:pPr>
              <w:spacing w:line="300" w:lineRule="exact"/>
              <w:contextualSpacing/>
              <w:jc w:val="left"/>
              <w:rPr>
                <w:rFonts w:ascii="宋体" w:hAnsi="宋体" w:eastAsia="Times New Roman" w:cs="宋体"/>
                <w:szCs w:val="21"/>
                <w:highlight w:val="none"/>
              </w:rPr>
            </w:pPr>
            <w:r>
              <w:rPr>
                <w:rFonts w:hint="eastAsia" w:ascii="宋体" w:hAnsi="宋体" w:eastAsia="Times New Roman" w:cs="宋体"/>
                <w:szCs w:val="21"/>
                <w:highlight w:val="none"/>
              </w:rPr>
              <w:t>中：有</w:t>
            </w:r>
            <w:r>
              <w:rPr>
                <w:rFonts w:hint="eastAsia" w:ascii="宋体" w:hAnsi="宋体" w:eastAsia="宋体" w:cs="宋体"/>
                <w:szCs w:val="21"/>
                <w:highlight w:val="none"/>
                <w:lang w:val="en-US" w:eastAsia="zh-CN"/>
              </w:rPr>
              <w:t>售后服务</w:t>
            </w:r>
            <w:r>
              <w:rPr>
                <w:rFonts w:hint="eastAsia" w:ascii="宋体" w:hAnsi="宋体" w:eastAsia="Times New Roman" w:cs="宋体"/>
                <w:szCs w:val="21"/>
                <w:highlight w:val="none"/>
              </w:rPr>
              <w:t>措施合招标文件要求</w:t>
            </w:r>
            <w:r>
              <w:rPr>
                <w:rFonts w:hint="eastAsia" w:ascii="宋体" w:hAnsi="宋体" w:eastAsia="宋体" w:cs="宋体"/>
                <w:szCs w:val="21"/>
                <w:highlight w:val="none"/>
                <w:lang w:eastAsia="zh-CN"/>
              </w:rPr>
              <w:t>，</w:t>
            </w:r>
            <w:r>
              <w:rPr>
                <w:rFonts w:hint="eastAsia" w:ascii="宋体" w:hAnsi="宋体" w:eastAsia="Times New Roman" w:cs="宋体"/>
                <w:szCs w:val="21"/>
                <w:highlight w:val="none"/>
              </w:rPr>
              <w:t>售后服务计划明确具体，提供售后服务人员组织架构、专业技术力投入、技术人员组织安排及跟进处理流程，具有应急预案、应急措施，售后服务方案各项内容均具备的，得（</w:t>
            </w:r>
            <w:r>
              <w:rPr>
                <w:rFonts w:hint="eastAsia" w:ascii="宋体" w:hAnsi="宋体" w:eastAsia="宋体" w:cs="宋体"/>
                <w:szCs w:val="21"/>
                <w:highlight w:val="none"/>
                <w:lang w:val="en-US" w:eastAsia="zh-CN"/>
              </w:rPr>
              <w:t>2</w:t>
            </w:r>
            <w:r>
              <w:rPr>
                <w:rFonts w:hint="eastAsia" w:ascii="宋体" w:hAnsi="宋体" w:eastAsia="Times New Roman" w:cs="宋体"/>
                <w:szCs w:val="21"/>
                <w:highlight w:val="none"/>
              </w:rPr>
              <w:t>，</w:t>
            </w:r>
            <w:r>
              <w:rPr>
                <w:rFonts w:hint="eastAsia" w:ascii="宋体" w:hAnsi="宋体" w:eastAsia="宋体" w:cs="宋体"/>
                <w:szCs w:val="21"/>
                <w:highlight w:val="none"/>
                <w:lang w:val="en-US" w:eastAsia="zh-CN"/>
              </w:rPr>
              <w:t>4</w:t>
            </w:r>
            <w:r>
              <w:rPr>
                <w:rFonts w:hint="eastAsia" w:ascii="宋体" w:hAnsi="宋体" w:cs="宋体"/>
                <w:szCs w:val="21"/>
                <w:highlight w:val="none"/>
              </w:rPr>
              <w:t>]</w:t>
            </w:r>
            <w:r>
              <w:rPr>
                <w:rFonts w:hint="eastAsia" w:ascii="宋体" w:hAnsi="宋体" w:eastAsia="Times New Roman" w:cs="宋体"/>
                <w:szCs w:val="21"/>
                <w:highlight w:val="none"/>
              </w:rPr>
              <w:t>分。</w:t>
            </w:r>
          </w:p>
          <w:p w14:paraId="6435AD13">
            <w:pPr>
              <w:widowControl/>
              <w:spacing w:line="300" w:lineRule="exact"/>
              <w:contextualSpacing/>
              <w:jc w:val="left"/>
              <w:rPr>
                <w:rFonts w:hint="eastAsia" w:ascii="宋体" w:hAnsi="宋体" w:eastAsia="Times New Roman" w:cs="宋体"/>
                <w:szCs w:val="21"/>
                <w:highlight w:val="none"/>
              </w:rPr>
            </w:pPr>
            <w:r>
              <w:rPr>
                <w:rFonts w:hint="eastAsia" w:ascii="宋体" w:hAnsi="宋体" w:eastAsia="Times New Roman" w:cs="宋体"/>
                <w:szCs w:val="21"/>
                <w:highlight w:val="none"/>
              </w:rPr>
              <w:t>差：有</w:t>
            </w:r>
            <w:r>
              <w:rPr>
                <w:rFonts w:hint="eastAsia" w:ascii="宋体" w:hAnsi="宋体" w:eastAsia="宋体" w:cs="宋体"/>
                <w:szCs w:val="21"/>
                <w:highlight w:val="none"/>
                <w:lang w:val="en-US" w:eastAsia="zh-CN"/>
              </w:rPr>
              <w:t>售后服务</w:t>
            </w:r>
            <w:r>
              <w:rPr>
                <w:rFonts w:hint="eastAsia" w:ascii="宋体" w:hAnsi="宋体" w:eastAsia="Times New Roman" w:cs="宋体"/>
                <w:szCs w:val="21"/>
                <w:highlight w:val="none"/>
              </w:rPr>
              <w:t>措施严重缺失或与招标文件要求不符</w:t>
            </w:r>
            <w:r>
              <w:rPr>
                <w:rFonts w:hint="eastAsia" w:ascii="宋体" w:hAnsi="宋体" w:eastAsia="宋体" w:cs="宋体"/>
                <w:szCs w:val="21"/>
                <w:highlight w:val="none"/>
                <w:lang w:eastAsia="zh-CN"/>
              </w:rPr>
              <w:t>，</w:t>
            </w:r>
            <w:r>
              <w:rPr>
                <w:rFonts w:hint="eastAsia" w:ascii="宋体" w:hAnsi="宋体" w:eastAsia="Times New Roman" w:cs="宋体"/>
                <w:szCs w:val="21"/>
                <w:highlight w:val="none"/>
              </w:rPr>
              <w:t>售后服务计划</w:t>
            </w:r>
            <w:r>
              <w:rPr>
                <w:rFonts w:hint="eastAsia" w:ascii="宋体" w:hAnsi="宋体" w:eastAsia="宋体" w:cs="宋体"/>
                <w:szCs w:val="21"/>
                <w:highlight w:val="none"/>
                <w:lang w:val="en-US" w:eastAsia="zh-CN"/>
              </w:rPr>
              <w:t>不</w:t>
            </w:r>
            <w:r>
              <w:rPr>
                <w:rFonts w:hint="eastAsia" w:ascii="宋体" w:hAnsi="宋体" w:eastAsia="Times New Roman" w:cs="宋体"/>
                <w:szCs w:val="21"/>
                <w:highlight w:val="none"/>
              </w:rPr>
              <w:t>明确，提供售后服务人员组织架构、专业技术力投入、技术人员组织安排及跟进处理流程，缺乏实质性内容</w:t>
            </w:r>
            <w:r>
              <w:rPr>
                <w:rFonts w:hint="eastAsia" w:ascii="宋体" w:hAnsi="宋体" w:eastAsia="宋体" w:cs="宋体"/>
                <w:szCs w:val="21"/>
                <w:highlight w:val="none"/>
                <w:lang w:eastAsia="zh-CN"/>
              </w:rPr>
              <w:t>、</w:t>
            </w:r>
            <w:r>
              <w:rPr>
                <w:rFonts w:hint="eastAsia" w:ascii="宋体" w:hAnsi="宋体" w:eastAsia="Times New Roman" w:cs="宋体"/>
                <w:szCs w:val="21"/>
                <w:highlight w:val="none"/>
              </w:rPr>
              <w:t>资源供应无保障、人员技术水平低下、工艺落后，难以</w:t>
            </w:r>
            <w:r>
              <w:rPr>
                <w:rFonts w:hint="eastAsia" w:ascii="宋体" w:hAnsi="宋体" w:eastAsia="宋体" w:cs="宋体"/>
                <w:szCs w:val="21"/>
                <w:highlight w:val="none"/>
                <w:lang w:val="en-US" w:eastAsia="zh-CN"/>
              </w:rPr>
              <w:t>售后服务</w:t>
            </w:r>
            <w:r>
              <w:rPr>
                <w:rFonts w:hint="eastAsia" w:ascii="宋体" w:hAnsi="宋体" w:eastAsia="Times New Roman" w:cs="宋体"/>
                <w:szCs w:val="21"/>
                <w:highlight w:val="none"/>
              </w:rPr>
              <w:t>要求，得</w:t>
            </w:r>
            <w:r>
              <w:rPr>
                <w:rFonts w:hint="eastAsia" w:ascii="宋体" w:hAnsi="宋体" w:cs="宋体"/>
                <w:szCs w:val="21"/>
                <w:highlight w:val="none"/>
              </w:rPr>
              <w:t>[</w:t>
            </w:r>
            <w:r>
              <w:rPr>
                <w:rFonts w:hint="eastAsia" w:ascii="宋体" w:hAnsi="宋体" w:eastAsia="Times New Roman" w:cs="宋体"/>
                <w:szCs w:val="21"/>
                <w:highlight w:val="none"/>
              </w:rPr>
              <w:t>0，</w:t>
            </w:r>
            <w:r>
              <w:rPr>
                <w:rFonts w:hint="eastAsia" w:ascii="宋体" w:hAnsi="宋体" w:eastAsia="宋体" w:cs="宋体"/>
                <w:szCs w:val="21"/>
                <w:highlight w:val="none"/>
                <w:lang w:val="en-US" w:eastAsia="zh-CN"/>
              </w:rPr>
              <w:t>2</w:t>
            </w:r>
            <w:r>
              <w:rPr>
                <w:rFonts w:hint="eastAsia" w:ascii="宋体" w:hAnsi="宋体" w:cs="宋体"/>
                <w:szCs w:val="21"/>
                <w:highlight w:val="none"/>
              </w:rPr>
              <w:t>]</w:t>
            </w:r>
            <w:r>
              <w:rPr>
                <w:rFonts w:hint="eastAsia" w:ascii="宋体" w:hAnsi="宋体" w:eastAsia="Times New Roman" w:cs="宋体"/>
                <w:szCs w:val="21"/>
                <w:highlight w:val="none"/>
              </w:rPr>
              <w:t>分</w:t>
            </w:r>
          </w:p>
        </w:tc>
        <w:tc>
          <w:tcPr>
            <w:tcW w:w="1673" w:type="dxa"/>
            <w:vAlign w:val="center"/>
          </w:tcPr>
          <w:p w14:paraId="0DBF39BC">
            <w:pPr>
              <w:spacing w:line="300" w:lineRule="exact"/>
              <w:contextualSpacing/>
              <w:jc w:val="left"/>
              <w:rPr>
                <w:rFonts w:hint="eastAsia" w:ascii="宋体" w:hAnsi="宋体" w:cs="宋体"/>
                <w:szCs w:val="21"/>
                <w:highlight w:val="none"/>
              </w:rPr>
            </w:pPr>
          </w:p>
        </w:tc>
      </w:tr>
      <w:tr w14:paraId="0978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27" w:type="dxa"/>
            <w:vMerge w:val="continue"/>
            <w:vAlign w:val="center"/>
          </w:tcPr>
          <w:p w14:paraId="6A99FFFC">
            <w:pPr>
              <w:widowControl/>
              <w:spacing w:line="360" w:lineRule="auto"/>
              <w:jc w:val="center"/>
              <w:rPr>
                <w:rFonts w:hint="eastAsia" w:ascii="宋体" w:hAnsi="宋体" w:cs="宋体"/>
                <w:szCs w:val="21"/>
                <w:highlight w:val="none"/>
              </w:rPr>
            </w:pPr>
          </w:p>
        </w:tc>
        <w:tc>
          <w:tcPr>
            <w:tcW w:w="881" w:type="dxa"/>
            <w:vMerge w:val="continue"/>
            <w:vAlign w:val="center"/>
          </w:tcPr>
          <w:p w14:paraId="2A39AAB0">
            <w:pPr>
              <w:widowControl/>
              <w:jc w:val="center"/>
              <w:rPr>
                <w:rFonts w:hint="eastAsia" w:ascii="宋体" w:hAnsi="宋体" w:cs="宋体"/>
                <w:szCs w:val="21"/>
                <w:highlight w:val="none"/>
              </w:rPr>
            </w:pPr>
          </w:p>
        </w:tc>
        <w:tc>
          <w:tcPr>
            <w:tcW w:w="1053" w:type="dxa"/>
            <w:vAlign w:val="center"/>
          </w:tcPr>
          <w:p w14:paraId="2B9DBD60">
            <w:pPr>
              <w:widowControl/>
              <w:snapToGrid w:val="0"/>
              <w:spacing w:line="300" w:lineRule="exact"/>
              <w:jc w:val="center"/>
              <w:rPr>
                <w:rFonts w:hint="eastAsia" w:ascii="宋体" w:hAnsi="宋体" w:cs="宋体"/>
                <w:szCs w:val="21"/>
                <w:highlight w:val="none"/>
              </w:rPr>
            </w:pPr>
            <w:r>
              <w:rPr>
                <w:rFonts w:hint="eastAsia" w:ascii="宋体" w:hAnsi="宋体" w:cs="宋体"/>
                <w:szCs w:val="21"/>
                <w:highlight w:val="none"/>
              </w:rPr>
              <w:t>项目管理班子答辩</w:t>
            </w:r>
          </w:p>
          <w:p w14:paraId="241CE53F">
            <w:pPr>
              <w:widowControl/>
              <w:snapToGrid w:val="0"/>
              <w:spacing w:line="300" w:lineRule="exact"/>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分）</w:t>
            </w:r>
          </w:p>
        </w:tc>
        <w:tc>
          <w:tcPr>
            <w:tcW w:w="9493" w:type="dxa"/>
            <w:vAlign w:val="center"/>
          </w:tcPr>
          <w:p w14:paraId="5EB35E51">
            <w:pPr>
              <w:spacing w:line="300" w:lineRule="exact"/>
              <w:contextualSpacing/>
              <w:jc w:val="left"/>
              <w:rPr>
                <w:rFonts w:hint="eastAsia" w:ascii="宋体" w:hAnsi="宋体" w:cs="宋体"/>
                <w:szCs w:val="21"/>
                <w:highlight w:val="none"/>
              </w:rPr>
            </w:pPr>
            <w:r>
              <w:rPr>
                <w:rFonts w:ascii="宋体" w:hAnsi="宋体" w:cs="宋体"/>
                <w:szCs w:val="21"/>
                <w:highlight w:val="none"/>
              </w:rPr>
              <w:t>投标人</w:t>
            </w:r>
            <w:r>
              <w:rPr>
                <w:rFonts w:hint="eastAsia" w:ascii="宋体" w:hAnsi="宋体" w:cs="宋体"/>
                <w:szCs w:val="21"/>
                <w:highlight w:val="none"/>
              </w:rPr>
              <w:t>委</w:t>
            </w:r>
            <w:r>
              <w:rPr>
                <w:rFonts w:ascii="宋体" w:hAnsi="宋体" w:cs="宋体"/>
                <w:szCs w:val="21"/>
                <w:highlight w:val="none"/>
              </w:rPr>
              <w:t>派本项目拟投入</w:t>
            </w:r>
            <w:r>
              <w:rPr>
                <w:rFonts w:hint="eastAsia" w:ascii="宋体" w:hAnsi="宋体" w:cs="宋体"/>
                <w:szCs w:val="21"/>
                <w:highlight w:val="none"/>
              </w:rPr>
              <w:t>的</w:t>
            </w:r>
            <w:r>
              <w:rPr>
                <w:rFonts w:ascii="宋体" w:hAnsi="宋体" w:cs="宋体"/>
                <w:szCs w:val="21"/>
                <w:highlight w:val="none"/>
              </w:rPr>
              <w:t>项目负责人</w:t>
            </w:r>
            <w:r>
              <w:rPr>
                <w:rFonts w:hint="eastAsia" w:ascii="宋体" w:hAnsi="宋体" w:cs="宋体"/>
                <w:szCs w:val="21"/>
                <w:highlight w:val="none"/>
                <w:lang w:val="en-US" w:eastAsia="zh-CN"/>
              </w:rPr>
              <w:t>、</w:t>
            </w:r>
            <w:r>
              <w:rPr>
                <w:rFonts w:ascii="宋体" w:hAnsi="宋体" w:cs="宋体"/>
                <w:szCs w:val="21"/>
                <w:highlight w:val="none"/>
              </w:rPr>
              <w:t>技术负责人组成1-</w:t>
            </w:r>
            <w:r>
              <w:rPr>
                <w:rFonts w:hint="eastAsia" w:ascii="宋体" w:hAnsi="宋体" w:cs="宋体"/>
                <w:szCs w:val="21"/>
                <w:highlight w:val="none"/>
                <w:lang w:val="en-US" w:eastAsia="zh-CN"/>
              </w:rPr>
              <w:t>2</w:t>
            </w:r>
            <w:r>
              <w:rPr>
                <w:rFonts w:ascii="宋体" w:hAnsi="宋体" w:cs="宋体"/>
                <w:szCs w:val="21"/>
                <w:highlight w:val="none"/>
              </w:rPr>
              <w:t>人答辩小组进行现场答辩</w:t>
            </w:r>
            <w:r>
              <w:rPr>
                <w:rFonts w:hint="eastAsia" w:ascii="宋体" w:hAnsi="宋体" w:cs="宋体"/>
                <w:szCs w:val="21"/>
                <w:highlight w:val="none"/>
              </w:rPr>
              <w:t>。</w:t>
            </w:r>
          </w:p>
          <w:p w14:paraId="11B28677">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答辩的人员对本项目的了解程度：</w:t>
            </w:r>
          </w:p>
          <w:p w14:paraId="362763BF">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）陈述现场勘察情况以及对本项目的了解程度：</w:t>
            </w:r>
          </w:p>
          <w:p w14:paraId="6BD392EF">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优：能够完整且有针对性地陈述现场勘察情况，且针对本项目的现场施工因素及施工环境有一定了解的，得</w:t>
            </w:r>
            <w:r>
              <w:rPr>
                <w:rFonts w:hint="eastAsia" w:ascii="宋体" w:hAnsi="宋体" w:cs="宋体"/>
                <w:szCs w:val="21"/>
                <w:highlight w:val="none"/>
                <w:lang w:val="en-US" w:eastAsia="zh-CN"/>
              </w:rPr>
              <w:t>1.5</w:t>
            </w:r>
            <w:r>
              <w:rPr>
                <w:rFonts w:hint="eastAsia" w:ascii="宋体" w:hAnsi="宋体" w:cs="宋体"/>
                <w:szCs w:val="21"/>
                <w:highlight w:val="none"/>
              </w:rPr>
              <w:t>分。</w:t>
            </w:r>
          </w:p>
          <w:p w14:paraId="1F2A4D41">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良：对现场勘察情况的陈述缺乏完整性或针对性，或者对本项目的现场施工因素及施工环境了解一般的，得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2564347F">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中：对现场勘察情况的陈述缺乏完整性或针对性，且对本项目的现场施工因素及施工环境了解一般的，得</w:t>
            </w:r>
            <w:r>
              <w:rPr>
                <w:rFonts w:hint="eastAsia" w:ascii="宋体" w:hAnsi="宋体" w:cs="宋体"/>
                <w:szCs w:val="21"/>
                <w:highlight w:val="none"/>
                <w:lang w:val="en-US" w:eastAsia="zh-CN"/>
              </w:rPr>
              <w:t>0.5</w:t>
            </w:r>
            <w:r>
              <w:rPr>
                <w:rFonts w:hint="eastAsia" w:ascii="宋体" w:hAnsi="宋体" w:cs="宋体"/>
                <w:szCs w:val="21"/>
                <w:highlight w:val="none"/>
              </w:rPr>
              <w:t>分。</w:t>
            </w:r>
          </w:p>
          <w:p w14:paraId="397E2189">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差：未对现场勘察情况进行陈述或者对本项目的现场施工因素及施工环境不了解，得0分。</w:t>
            </w:r>
          </w:p>
          <w:p w14:paraId="2725092B">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）对项目施工组织的重点、难点分析及应对措施的陈述：</w:t>
            </w:r>
          </w:p>
          <w:p w14:paraId="48AF3F43">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优：施工部署、施工方法及技术措施具有针对性，能结合本项目工程概况特点陈述，对重点、难点工序的分析及相应的处理措施具体、合理，得</w:t>
            </w:r>
            <w:r>
              <w:rPr>
                <w:rFonts w:hint="eastAsia" w:ascii="宋体" w:hAnsi="宋体" w:cs="宋体"/>
                <w:szCs w:val="21"/>
                <w:highlight w:val="none"/>
                <w:lang w:val="en-US" w:eastAsia="zh-CN"/>
              </w:rPr>
              <w:t>1.5</w:t>
            </w:r>
            <w:r>
              <w:rPr>
                <w:rFonts w:hint="eastAsia" w:ascii="宋体" w:hAnsi="宋体" w:cs="宋体"/>
                <w:szCs w:val="21"/>
                <w:highlight w:val="none"/>
              </w:rPr>
              <w:t>分；</w:t>
            </w:r>
          </w:p>
          <w:p w14:paraId="63E1E355">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良：施工部署、施工方法及技术措施缺乏针对性，或重点、难点工序的分析及相应的处理措施一般，得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1F48F6B6">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中：施工部署、施工方法及技术措施具有针对性，且重点、难点工序进行分析及编制相应措施一般，得</w:t>
            </w:r>
            <w:r>
              <w:rPr>
                <w:rFonts w:hint="eastAsia" w:ascii="宋体" w:hAnsi="宋体" w:cs="宋体"/>
                <w:szCs w:val="21"/>
                <w:highlight w:val="none"/>
                <w:lang w:val="en-US" w:eastAsia="zh-CN"/>
              </w:rPr>
              <w:t>0.5</w:t>
            </w:r>
            <w:r>
              <w:rPr>
                <w:rFonts w:hint="eastAsia" w:ascii="宋体" w:hAnsi="宋体" w:cs="宋体"/>
                <w:szCs w:val="21"/>
                <w:highlight w:val="none"/>
              </w:rPr>
              <w:t>分；</w:t>
            </w:r>
          </w:p>
          <w:p w14:paraId="7292DA09">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差：未对项目施工组织的重点、难点分析及应对措施进行陈述，得0分。</w:t>
            </w:r>
          </w:p>
          <w:p w14:paraId="603C1D55">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）对本工程人员、设备投入计划的陈述：</w:t>
            </w:r>
          </w:p>
          <w:p w14:paraId="13B5F34B">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优：有完整的人员、设备投入计划，且人员、设备的投入具有项目的针对性和合理性的，得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143FFA4E">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良：人员、设备投入缺乏完整性，或者人员、设备的投入缺乏项目的针对性或合理性的，得</w:t>
            </w:r>
            <w:r>
              <w:rPr>
                <w:rFonts w:hint="eastAsia" w:ascii="宋体" w:hAnsi="宋体" w:cs="宋体"/>
                <w:szCs w:val="21"/>
                <w:highlight w:val="none"/>
                <w:lang w:val="en-US" w:eastAsia="zh-CN"/>
              </w:rPr>
              <w:t>1.5</w:t>
            </w:r>
            <w:r>
              <w:rPr>
                <w:rFonts w:hint="eastAsia" w:ascii="宋体" w:hAnsi="宋体" w:cs="宋体"/>
                <w:szCs w:val="21"/>
                <w:highlight w:val="none"/>
              </w:rPr>
              <w:t>分。</w:t>
            </w:r>
          </w:p>
          <w:p w14:paraId="3FED5FA3">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中：人员、设备投入缺乏完整性，且人员、设备的投入缺乏项目的针对性或合理性的，得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0CE34E59">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差：未对本工程人员、设备投入计划进行陈述，得0分。</w:t>
            </w:r>
          </w:p>
          <w:p w14:paraId="7F1395DB">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）对项目设备、材料质量的保障措施的陈述：</w:t>
            </w:r>
          </w:p>
          <w:p w14:paraId="075BA015">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优：有完整的设备、材料质量的保障措施，且措施合理、可行的，得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12AF19D1">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良：设备、材料质量的保障措施缺乏完整性，或者保障措施缺乏合理性或可行性的，得</w:t>
            </w:r>
            <w:r>
              <w:rPr>
                <w:rFonts w:hint="eastAsia" w:ascii="宋体" w:hAnsi="宋体" w:cs="宋体"/>
                <w:szCs w:val="21"/>
                <w:highlight w:val="none"/>
                <w:lang w:val="en-US" w:eastAsia="zh-CN"/>
              </w:rPr>
              <w:t>1.5</w:t>
            </w:r>
            <w:r>
              <w:rPr>
                <w:rFonts w:hint="eastAsia" w:ascii="宋体" w:hAnsi="宋体" w:cs="宋体"/>
                <w:szCs w:val="21"/>
                <w:highlight w:val="none"/>
              </w:rPr>
              <w:t>分。</w:t>
            </w:r>
          </w:p>
          <w:p w14:paraId="53E7793A">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中：设备、材料质量的保障措施缺乏完整性，且保障措施缺乏合理性或可行性的，得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35B39F5E">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差：未对项目设备、材料质量的保障措施进行陈述，得0分。</w:t>
            </w:r>
          </w:p>
          <w:p w14:paraId="37AEAF42">
            <w:pPr>
              <w:numPr>
                <w:ilvl w:val="0"/>
                <w:numId w:val="0"/>
              </w:numPr>
              <w:spacing w:line="300" w:lineRule="exact"/>
              <w:contextualSpacing/>
              <w:jc w:val="left"/>
              <w:rPr>
                <w:rFonts w:hint="eastAsia" w:ascii="宋体" w:hAnsi="宋体" w:cs="宋体"/>
                <w:szCs w:val="21"/>
                <w:highlight w:val="none"/>
                <w:lang w:eastAsia="zh-CN"/>
              </w:rPr>
            </w:pPr>
            <w:r>
              <w:rPr>
                <w:rFonts w:hint="eastAsia" w:ascii="宋体" w:hAnsi="宋体" w:eastAsia="宋体" w:cs="宋体"/>
                <w:kern w:val="2"/>
                <w:sz w:val="21"/>
                <w:szCs w:val="21"/>
                <w:highlight w:val="none"/>
                <w:lang w:val="en-US" w:eastAsia="zh-CN" w:bidi="ar-SA"/>
              </w:rPr>
              <w:t>（5）</w:t>
            </w:r>
            <w:r>
              <w:rPr>
                <w:rFonts w:hint="eastAsia" w:ascii="宋体" w:hAnsi="宋体" w:cs="宋体"/>
                <w:szCs w:val="21"/>
                <w:highlight w:val="none"/>
              </w:rPr>
              <w:t>对</w:t>
            </w:r>
            <w:r>
              <w:rPr>
                <w:rFonts w:hint="eastAsia" w:ascii="宋体" w:hAnsi="宋体" w:cs="宋体"/>
                <w:szCs w:val="21"/>
                <w:highlight w:val="none"/>
                <w:lang w:val="en-US" w:eastAsia="zh-CN"/>
              </w:rPr>
              <w:t>售后服务措施</w:t>
            </w:r>
            <w:r>
              <w:rPr>
                <w:rFonts w:hint="eastAsia" w:ascii="宋体" w:hAnsi="宋体" w:cs="宋体"/>
                <w:szCs w:val="21"/>
                <w:highlight w:val="none"/>
              </w:rPr>
              <w:t>的陈述</w:t>
            </w:r>
            <w:r>
              <w:rPr>
                <w:rFonts w:hint="eastAsia" w:ascii="宋体" w:hAnsi="宋体" w:cs="宋体"/>
                <w:szCs w:val="21"/>
                <w:highlight w:val="none"/>
                <w:lang w:eastAsia="zh-CN"/>
              </w:rPr>
              <w:t>：</w:t>
            </w:r>
          </w:p>
          <w:p w14:paraId="175449DD">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优：有完整的</w:t>
            </w:r>
            <w:r>
              <w:rPr>
                <w:rFonts w:hint="eastAsia" w:ascii="宋体" w:hAnsi="宋体" w:cs="宋体"/>
                <w:szCs w:val="21"/>
                <w:highlight w:val="none"/>
                <w:lang w:val="en-US" w:eastAsia="zh-CN"/>
              </w:rPr>
              <w:t>售后服务</w:t>
            </w:r>
            <w:r>
              <w:rPr>
                <w:rFonts w:hint="eastAsia" w:ascii="宋体" w:hAnsi="宋体" w:cs="宋体"/>
                <w:szCs w:val="21"/>
                <w:highlight w:val="none"/>
              </w:rPr>
              <w:t>措施，且措施合理、可行的，得</w:t>
            </w:r>
            <w:r>
              <w:rPr>
                <w:rFonts w:hint="eastAsia" w:ascii="宋体" w:hAnsi="宋体" w:cs="宋体"/>
                <w:szCs w:val="21"/>
                <w:highlight w:val="none"/>
                <w:lang w:val="en-US" w:eastAsia="zh-CN"/>
              </w:rPr>
              <w:t>1.5</w:t>
            </w:r>
            <w:r>
              <w:rPr>
                <w:rFonts w:hint="eastAsia" w:ascii="宋体" w:hAnsi="宋体" w:cs="宋体"/>
                <w:szCs w:val="21"/>
                <w:highlight w:val="none"/>
              </w:rPr>
              <w:t>分。</w:t>
            </w:r>
          </w:p>
          <w:p w14:paraId="16B234B0">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良：</w:t>
            </w:r>
            <w:r>
              <w:rPr>
                <w:rFonts w:hint="eastAsia" w:ascii="宋体" w:hAnsi="宋体" w:cs="宋体"/>
                <w:szCs w:val="21"/>
                <w:highlight w:val="none"/>
                <w:lang w:val="en-US" w:eastAsia="zh-CN"/>
              </w:rPr>
              <w:t>售后服务措</w:t>
            </w:r>
            <w:r>
              <w:rPr>
                <w:rFonts w:hint="eastAsia" w:ascii="宋体" w:hAnsi="宋体" w:cs="宋体"/>
                <w:szCs w:val="21"/>
                <w:highlight w:val="none"/>
              </w:rPr>
              <w:t>施缺乏完整性，或者措施缺乏合理性或可行性的，得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07EE4345">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中：</w:t>
            </w:r>
            <w:r>
              <w:rPr>
                <w:rFonts w:hint="eastAsia" w:ascii="宋体" w:hAnsi="宋体" w:cs="宋体"/>
                <w:szCs w:val="21"/>
                <w:highlight w:val="none"/>
                <w:lang w:val="en-US" w:eastAsia="zh-CN"/>
              </w:rPr>
              <w:t>售后服务措</w:t>
            </w:r>
            <w:r>
              <w:rPr>
                <w:rFonts w:hint="eastAsia" w:ascii="宋体" w:hAnsi="宋体" w:cs="宋体"/>
                <w:szCs w:val="21"/>
                <w:highlight w:val="none"/>
              </w:rPr>
              <w:t>施措施缺乏完整性，且措施缺乏合理性或可行性的，得</w:t>
            </w:r>
            <w:r>
              <w:rPr>
                <w:rFonts w:hint="eastAsia" w:ascii="宋体" w:hAnsi="宋体" w:cs="宋体"/>
                <w:szCs w:val="21"/>
                <w:highlight w:val="none"/>
                <w:lang w:val="en-US" w:eastAsia="zh-CN"/>
              </w:rPr>
              <w:t>0.5</w:t>
            </w:r>
            <w:r>
              <w:rPr>
                <w:rFonts w:hint="eastAsia" w:ascii="宋体" w:hAnsi="宋体" w:cs="宋体"/>
                <w:szCs w:val="21"/>
                <w:highlight w:val="none"/>
              </w:rPr>
              <w:t>分。</w:t>
            </w:r>
          </w:p>
          <w:p w14:paraId="7FA6950A">
            <w:pPr>
              <w:spacing w:line="300" w:lineRule="exact"/>
              <w:contextualSpacing/>
              <w:jc w:val="left"/>
              <w:rPr>
                <w:rFonts w:hint="eastAsia" w:ascii="宋体" w:hAnsi="宋体" w:cs="宋体"/>
                <w:szCs w:val="21"/>
                <w:highlight w:val="none"/>
                <w:lang w:eastAsia="zh-CN"/>
              </w:rPr>
            </w:pPr>
            <w:r>
              <w:rPr>
                <w:rFonts w:hint="eastAsia" w:ascii="宋体" w:hAnsi="宋体" w:cs="宋体"/>
                <w:szCs w:val="21"/>
                <w:highlight w:val="none"/>
              </w:rPr>
              <w:t>差：未对</w:t>
            </w:r>
            <w:r>
              <w:rPr>
                <w:rFonts w:hint="eastAsia" w:ascii="宋体" w:hAnsi="宋体" w:cs="宋体"/>
                <w:szCs w:val="21"/>
                <w:highlight w:val="none"/>
                <w:lang w:val="en-US" w:eastAsia="zh-CN"/>
              </w:rPr>
              <w:t>售后服务</w:t>
            </w:r>
            <w:r>
              <w:rPr>
                <w:rFonts w:hint="eastAsia" w:ascii="宋体" w:hAnsi="宋体" w:cs="宋体"/>
                <w:szCs w:val="21"/>
                <w:highlight w:val="none"/>
              </w:rPr>
              <w:t>措施进行陈述，得0分。</w:t>
            </w:r>
          </w:p>
          <w:p w14:paraId="03B4139E">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）投标人答辩人陈述完成后，对评委提问的应答情况：</w:t>
            </w:r>
          </w:p>
          <w:p w14:paraId="5B5F62AF">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优：应答条理清晰，问题阐释清楚，得</w:t>
            </w:r>
            <w:r>
              <w:rPr>
                <w:rFonts w:hint="eastAsia" w:ascii="宋体" w:hAnsi="宋体" w:cs="宋体"/>
                <w:szCs w:val="21"/>
                <w:highlight w:val="none"/>
                <w:lang w:val="en-US" w:eastAsia="zh-CN"/>
              </w:rPr>
              <w:t>1.5</w:t>
            </w:r>
            <w:r>
              <w:rPr>
                <w:rFonts w:hint="eastAsia" w:ascii="宋体" w:hAnsi="宋体" w:cs="宋体"/>
                <w:szCs w:val="21"/>
                <w:highlight w:val="none"/>
              </w:rPr>
              <w:t>分；</w:t>
            </w:r>
          </w:p>
          <w:p w14:paraId="7D1C2376">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良：应答条理不清晰，或问题阐释不清楚，得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75E9EFD0">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中：应答条理不清晰，且问题阐释不清楚，得</w:t>
            </w:r>
            <w:r>
              <w:rPr>
                <w:rFonts w:hint="eastAsia" w:ascii="宋体" w:hAnsi="宋体" w:cs="宋体"/>
                <w:szCs w:val="21"/>
                <w:highlight w:val="none"/>
                <w:lang w:val="en-US" w:eastAsia="zh-CN"/>
              </w:rPr>
              <w:t>0.5</w:t>
            </w:r>
            <w:r>
              <w:rPr>
                <w:rFonts w:hint="eastAsia" w:ascii="宋体" w:hAnsi="宋体" w:cs="宋体"/>
                <w:szCs w:val="21"/>
                <w:highlight w:val="none"/>
              </w:rPr>
              <w:t>分；</w:t>
            </w:r>
          </w:p>
          <w:p w14:paraId="6F5AFB10">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差：未回答或答非所问，得0分；</w:t>
            </w:r>
          </w:p>
          <w:p w14:paraId="62DB3D0B">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评委未提问该项默认为优。</w:t>
            </w:r>
          </w:p>
          <w:p w14:paraId="09A84927">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①答辩签到：项目负责人</w:t>
            </w:r>
            <w:r>
              <w:rPr>
                <w:rFonts w:hint="eastAsia" w:ascii="宋体" w:hAnsi="宋体" w:cs="宋体"/>
                <w:szCs w:val="21"/>
                <w:highlight w:val="none"/>
                <w:lang w:val="en-US" w:eastAsia="zh-CN"/>
              </w:rPr>
              <w:t>、</w:t>
            </w:r>
            <w:r>
              <w:rPr>
                <w:rFonts w:hint="eastAsia" w:ascii="宋体" w:hAnsi="宋体" w:cs="宋体"/>
                <w:szCs w:val="21"/>
                <w:highlight w:val="none"/>
              </w:rPr>
              <w:t>技术负责人须携带本人身份证原件参加答辩，并在评标当天到达广州公共资源交易中心黄埔交易部（广州市黄埔区水西路32号）签到等候，签到时间为评标开始后2小时内，具体签到时间和地点以招标人（招标代理）通知为准。答辩人员到场后出示身份证原件，核对确认身份后签到。未能在规定的时间内进行签到的，视为放弃答辩。</w:t>
            </w:r>
          </w:p>
          <w:p w14:paraId="1FA4FC1E">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②答辩进场顺序：按开标记录表顺序号从小到大依次进场答辩。</w:t>
            </w:r>
          </w:p>
          <w:p w14:paraId="40ED075C">
            <w:pPr>
              <w:spacing w:line="300" w:lineRule="exact"/>
              <w:contextualSpacing/>
              <w:jc w:val="left"/>
              <w:rPr>
                <w:rFonts w:hint="eastAsia" w:ascii="宋体" w:hAnsi="宋体" w:cs="宋体"/>
                <w:szCs w:val="21"/>
                <w:highlight w:val="none"/>
              </w:rPr>
            </w:pPr>
            <w:r>
              <w:rPr>
                <w:rFonts w:hint="eastAsia" w:ascii="宋体" w:hAnsi="宋体" w:cs="宋体"/>
                <w:szCs w:val="21"/>
                <w:highlight w:val="none"/>
              </w:rPr>
              <w:t>③答辩设备：陈述需使用的设备由投标人自行准备（包括但不限于电脑、线材、转接口、网络等）。</w:t>
            </w:r>
          </w:p>
        </w:tc>
        <w:tc>
          <w:tcPr>
            <w:tcW w:w="1673" w:type="dxa"/>
            <w:vAlign w:val="center"/>
          </w:tcPr>
          <w:p w14:paraId="496EB8FE">
            <w:pPr>
              <w:spacing w:line="300" w:lineRule="exact"/>
              <w:contextualSpacing/>
              <w:jc w:val="left"/>
              <w:rPr>
                <w:rFonts w:hint="eastAsia" w:ascii="宋体" w:hAnsi="宋体" w:cs="宋体"/>
                <w:szCs w:val="21"/>
                <w:highlight w:val="none"/>
              </w:rPr>
            </w:pPr>
          </w:p>
        </w:tc>
      </w:tr>
      <w:tr w14:paraId="1D35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661" w:type="dxa"/>
            <w:gridSpan w:val="3"/>
            <w:vAlign w:val="center"/>
          </w:tcPr>
          <w:p w14:paraId="274F6094">
            <w:pPr>
              <w:widowControl/>
              <w:spacing w:line="360" w:lineRule="auto"/>
              <w:jc w:val="center"/>
              <w:rPr>
                <w:rFonts w:hint="eastAsia" w:ascii="宋体" w:hAnsi="宋体" w:cs="宋体"/>
                <w:szCs w:val="21"/>
                <w:highlight w:val="none"/>
              </w:rPr>
            </w:pPr>
            <w:r>
              <w:rPr>
                <w:rFonts w:hint="eastAsia" w:ascii="宋体" w:hAnsi="宋体" w:cs="宋体"/>
                <w:szCs w:val="21"/>
                <w:highlight w:val="none"/>
              </w:rPr>
              <w:t>合计（100分）</w:t>
            </w:r>
          </w:p>
        </w:tc>
        <w:tc>
          <w:tcPr>
            <w:tcW w:w="9493" w:type="dxa"/>
            <w:vAlign w:val="center"/>
          </w:tcPr>
          <w:p w14:paraId="182D9244">
            <w:pPr>
              <w:adjustRightInd w:val="0"/>
              <w:snapToGrid w:val="0"/>
              <w:jc w:val="center"/>
              <w:rPr>
                <w:rFonts w:hint="eastAsia" w:ascii="宋体" w:hAnsi="宋体" w:cs="宋体"/>
                <w:szCs w:val="21"/>
                <w:highlight w:val="none"/>
              </w:rPr>
            </w:pPr>
            <w:r>
              <w:rPr>
                <w:rFonts w:hint="eastAsia" w:ascii="宋体" w:hAnsi="宋体" w:cs="宋体"/>
                <w:szCs w:val="21"/>
                <w:highlight w:val="none"/>
              </w:rPr>
              <w:t>（一）得分+（二）得分</w:t>
            </w:r>
          </w:p>
        </w:tc>
        <w:tc>
          <w:tcPr>
            <w:tcW w:w="1673" w:type="dxa"/>
            <w:vAlign w:val="center"/>
          </w:tcPr>
          <w:p w14:paraId="43616FFB">
            <w:pPr>
              <w:adjustRightInd w:val="0"/>
              <w:snapToGrid w:val="0"/>
              <w:jc w:val="center"/>
              <w:rPr>
                <w:rFonts w:hint="eastAsia" w:ascii="宋体" w:hAnsi="宋体" w:cs="宋体"/>
                <w:szCs w:val="21"/>
                <w:highlight w:val="none"/>
              </w:rPr>
            </w:pPr>
          </w:p>
        </w:tc>
      </w:tr>
    </w:tbl>
    <w:p w14:paraId="22B05F04">
      <w:pPr>
        <w:ind w:right="210" w:rightChars="100" w:firstLine="363"/>
        <w:rPr>
          <w:rFonts w:hint="eastAsia" w:ascii="宋体" w:hAnsi="宋体" w:cs="宋体"/>
          <w:szCs w:val="21"/>
          <w:highlight w:val="none"/>
        </w:rPr>
      </w:pPr>
      <w:r>
        <w:rPr>
          <w:rFonts w:hint="eastAsia" w:ascii="宋体" w:hAnsi="宋体" w:cs="宋体"/>
          <w:bCs/>
          <w:szCs w:val="21"/>
          <w:highlight w:val="none"/>
          <w:lang w:val="zh-CN"/>
        </w:rPr>
        <w:t>注：</w:t>
      </w:r>
    </w:p>
    <w:p w14:paraId="14572822">
      <w:pPr>
        <w:ind w:firstLine="363"/>
        <w:rPr>
          <w:rFonts w:hint="eastAsia" w:hAnsi="宋体"/>
          <w:szCs w:val="21"/>
          <w:highlight w:val="none"/>
        </w:rPr>
      </w:pPr>
      <w:r>
        <w:rPr>
          <w:rFonts w:hint="eastAsia" w:hAnsi="宋体"/>
          <w:szCs w:val="21"/>
          <w:highlight w:val="none"/>
        </w:rPr>
        <w:t>1、以上所附证件、证书及证明文件均须提供扫描件或网页截图，内容必须清晰可辨，如因扫描件或网页截图内容模糊导致评标时无法判断的，不得分。</w:t>
      </w:r>
    </w:p>
    <w:p w14:paraId="3B7EAB17">
      <w:pPr>
        <w:ind w:firstLine="363"/>
        <w:rPr>
          <w:rFonts w:hint="eastAsia" w:hAnsi="宋体"/>
          <w:szCs w:val="21"/>
          <w:highlight w:val="none"/>
        </w:rPr>
      </w:pPr>
      <w:r>
        <w:rPr>
          <w:rFonts w:hint="eastAsia" w:hAnsi="宋体"/>
          <w:szCs w:val="21"/>
          <w:highlight w:val="none"/>
        </w:rPr>
        <w:t>2、上述证明材料未提供或提供不完整或提供不符合要求的，不得分。中标单位需准备投标文件涉及的所有原件待查，如原件不齐或与原件不符的，招标人有权取消其中标人资格，并上报建设行政主管部门。</w:t>
      </w:r>
    </w:p>
    <w:p w14:paraId="2FB0141E">
      <w:pPr>
        <w:ind w:firstLine="363"/>
        <w:rPr>
          <w:rFonts w:hint="eastAsia" w:hAnsi="宋体"/>
          <w:szCs w:val="21"/>
          <w:highlight w:val="none"/>
        </w:rPr>
      </w:pPr>
      <w:r>
        <w:rPr>
          <w:rFonts w:hint="eastAsia" w:hAnsi="宋体"/>
          <w:szCs w:val="21"/>
          <w:highlight w:val="none"/>
        </w:rPr>
        <w:t>3、本表按百分制评分，所有评委总分汇总后的算术平均值为投标人的工程总承包实施方案部分最终得分。分数出现小数点，保留小数点后两位小数，第三位小数四舍五入。投标人满足多个档次的，按最高档得分。</w:t>
      </w:r>
    </w:p>
    <w:p w14:paraId="1F4F0705">
      <w:pPr>
        <w:ind w:firstLine="363"/>
        <w:rPr>
          <w:rFonts w:hint="eastAsia" w:hAnsi="宋体"/>
          <w:szCs w:val="21"/>
          <w:highlight w:val="none"/>
        </w:rPr>
      </w:pPr>
      <w:r>
        <w:rPr>
          <w:rFonts w:hint="eastAsia" w:hAnsi="宋体"/>
          <w:szCs w:val="21"/>
          <w:highlight w:val="none"/>
        </w:rPr>
        <w:t>4、上表分值中“[”“]”表示包含本数，“（”“）”表示不包含本数。</w:t>
      </w:r>
    </w:p>
    <w:p w14:paraId="1AFD9172">
      <w:pPr>
        <w:spacing w:line="360" w:lineRule="auto"/>
        <w:ind w:firstLine="480"/>
        <w:rPr>
          <w:sz w:val="24"/>
          <w:szCs w:val="24"/>
          <w:highlight w:val="none"/>
        </w:rPr>
        <w:sectPr>
          <w:headerReference r:id="rId8" w:type="default"/>
          <w:footerReference r:id="rId9" w:type="default"/>
          <w:pgSz w:w="16838" w:h="11906" w:orient="landscape"/>
          <w:pgMar w:top="1406" w:right="1440" w:bottom="1406" w:left="1440" w:header="851" w:footer="992" w:gutter="0"/>
          <w:cols w:space="720" w:num="1"/>
          <w:docGrid w:type="lines" w:linePitch="319" w:charSpace="0"/>
        </w:sectPr>
      </w:pPr>
      <w:r>
        <w:rPr>
          <w:rFonts w:hint="eastAsia"/>
          <w:szCs w:val="21"/>
          <w:highlight w:val="none"/>
        </w:rPr>
        <w:t>评委签名：                              日期：</w:t>
      </w:r>
    </w:p>
    <w:p w14:paraId="6784077A">
      <w:pPr>
        <w:spacing w:line="360" w:lineRule="auto"/>
        <w:rPr>
          <w:rFonts w:ascii="宋体"/>
          <w:b/>
          <w:sz w:val="28"/>
          <w:szCs w:val="28"/>
          <w:highlight w:val="none"/>
        </w:rPr>
      </w:pPr>
      <w:r>
        <w:rPr>
          <w:rFonts w:hint="eastAsia" w:ascii="宋体" w:hAnsi="宋体" w:cs="宋体"/>
          <w:b/>
          <w:sz w:val="28"/>
          <w:szCs w:val="28"/>
          <w:highlight w:val="none"/>
        </w:rPr>
        <w:t>附表6：</w:t>
      </w:r>
    </w:p>
    <w:p w14:paraId="46307FE8">
      <w:pPr>
        <w:jc w:val="center"/>
        <w:rPr>
          <w:b/>
          <w:sz w:val="32"/>
          <w:szCs w:val="32"/>
          <w:highlight w:val="none"/>
          <w:lang w:val="zh-TW"/>
        </w:rPr>
      </w:pPr>
      <w:r>
        <w:rPr>
          <w:rFonts w:hint="eastAsia"/>
          <w:b/>
          <w:sz w:val="32"/>
          <w:szCs w:val="32"/>
          <w:highlight w:val="none"/>
          <w:lang w:val="zh-TW"/>
        </w:rPr>
        <w:t>投标报价综合评分表</w:t>
      </w:r>
    </w:p>
    <w:tbl>
      <w:tblPr>
        <w:tblStyle w:val="41"/>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452"/>
        <w:gridCol w:w="1453"/>
        <w:gridCol w:w="1453"/>
        <w:gridCol w:w="1453"/>
        <w:gridCol w:w="1453"/>
        <w:gridCol w:w="1453"/>
        <w:gridCol w:w="1453"/>
        <w:gridCol w:w="1453"/>
      </w:tblGrid>
      <w:tr w14:paraId="059C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2660" w:type="dxa"/>
            <w:vAlign w:val="center"/>
          </w:tcPr>
          <w:p w14:paraId="3C30EA2D">
            <w:pPr>
              <w:rPr>
                <w:rFonts w:ascii="Calibri" w:hAnsi="Calibri"/>
                <w:highlight w:val="none"/>
              </w:rPr>
            </w:pPr>
            <w:r>
              <w:rPr>
                <w:rFonts w:hint="eastAsia" w:ascii="Calibri" w:hAnsi="Calibri"/>
                <w:highlight w:val="none"/>
              </w:rPr>
              <w:t>投标人名称</w:t>
            </w:r>
          </w:p>
        </w:tc>
        <w:tc>
          <w:tcPr>
            <w:tcW w:w="1452" w:type="dxa"/>
            <w:vAlign w:val="center"/>
          </w:tcPr>
          <w:p w14:paraId="1EDD7A3D">
            <w:pPr>
              <w:ind w:firstLine="420"/>
              <w:rPr>
                <w:rFonts w:ascii="Calibri" w:hAnsi="Calibri"/>
                <w:highlight w:val="none"/>
              </w:rPr>
            </w:pPr>
          </w:p>
        </w:tc>
        <w:tc>
          <w:tcPr>
            <w:tcW w:w="1453" w:type="dxa"/>
            <w:vAlign w:val="center"/>
          </w:tcPr>
          <w:p w14:paraId="00ED2728">
            <w:pPr>
              <w:ind w:firstLine="420"/>
              <w:rPr>
                <w:rFonts w:ascii="Calibri" w:hAnsi="Calibri"/>
                <w:highlight w:val="none"/>
              </w:rPr>
            </w:pPr>
          </w:p>
        </w:tc>
        <w:tc>
          <w:tcPr>
            <w:tcW w:w="1453" w:type="dxa"/>
            <w:vAlign w:val="center"/>
          </w:tcPr>
          <w:p w14:paraId="47367EC2">
            <w:pPr>
              <w:ind w:firstLine="420"/>
              <w:rPr>
                <w:rFonts w:ascii="Calibri" w:hAnsi="Calibri"/>
                <w:highlight w:val="none"/>
              </w:rPr>
            </w:pPr>
          </w:p>
        </w:tc>
        <w:tc>
          <w:tcPr>
            <w:tcW w:w="1453" w:type="dxa"/>
            <w:vAlign w:val="center"/>
          </w:tcPr>
          <w:p w14:paraId="79B89F05">
            <w:pPr>
              <w:ind w:firstLine="420"/>
              <w:rPr>
                <w:rFonts w:ascii="Calibri" w:hAnsi="Calibri"/>
                <w:highlight w:val="none"/>
              </w:rPr>
            </w:pPr>
          </w:p>
        </w:tc>
        <w:tc>
          <w:tcPr>
            <w:tcW w:w="1453" w:type="dxa"/>
            <w:vAlign w:val="center"/>
          </w:tcPr>
          <w:p w14:paraId="3800407F">
            <w:pPr>
              <w:ind w:firstLine="420"/>
              <w:rPr>
                <w:rFonts w:ascii="Calibri" w:hAnsi="Calibri"/>
                <w:highlight w:val="none"/>
              </w:rPr>
            </w:pPr>
          </w:p>
        </w:tc>
        <w:tc>
          <w:tcPr>
            <w:tcW w:w="1453" w:type="dxa"/>
            <w:vAlign w:val="center"/>
          </w:tcPr>
          <w:p w14:paraId="22B74F87">
            <w:pPr>
              <w:ind w:firstLine="420"/>
              <w:rPr>
                <w:rFonts w:ascii="Calibri" w:hAnsi="Calibri"/>
                <w:highlight w:val="none"/>
              </w:rPr>
            </w:pPr>
          </w:p>
        </w:tc>
        <w:tc>
          <w:tcPr>
            <w:tcW w:w="1453" w:type="dxa"/>
            <w:vAlign w:val="center"/>
          </w:tcPr>
          <w:p w14:paraId="2F0B7B6E">
            <w:pPr>
              <w:ind w:firstLine="420"/>
              <w:rPr>
                <w:rFonts w:ascii="Calibri" w:hAnsi="Calibri"/>
                <w:highlight w:val="none"/>
              </w:rPr>
            </w:pPr>
          </w:p>
        </w:tc>
        <w:tc>
          <w:tcPr>
            <w:tcW w:w="1453" w:type="dxa"/>
            <w:vAlign w:val="center"/>
          </w:tcPr>
          <w:p w14:paraId="6E5B2D76">
            <w:pPr>
              <w:ind w:firstLine="420"/>
              <w:rPr>
                <w:rFonts w:ascii="Calibri" w:hAnsi="Calibri"/>
                <w:highlight w:val="none"/>
              </w:rPr>
            </w:pPr>
          </w:p>
        </w:tc>
      </w:tr>
      <w:tr w14:paraId="314E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9" w:hRule="atLeast"/>
        </w:trPr>
        <w:tc>
          <w:tcPr>
            <w:tcW w:w="2660" w:type="dxa"/>
            <w:vAlign w:val="center"/>
          </w:tcPr>
          <w:p w14:paraId="3B876D61">
            <w:pPr>
              <w:rPr>
                <w:rFonts w:ascii="Calibri" w:hAnsi="Calibri"/>
                <w:highlight w:val="none"/>
              </w:rPr>
            </w:pPr>
            <w:r>
              <w:rPr>
                <w:rFonts w:hint="eastAsia" w:ascii="Calibri" w:hAnsi="Calibri"/>
                <w:highlight w:val="none"/>
              </w:rPr>
              <w:t>建安工程费投标报价PT（元）</w:t>
            </w:r>
          </w:p>
        </w:tc>
        <w:tc>
          <w:tcPr>
            <w:tcW w:w="1452" w:type="dxa"/>
            <w:vAlign w:val="center"/>
          </w:tcPr>
          <w:p w14:paraId="1DE41794">
            <w:pPr>
              <w:ind w:firstLine="420"/>
              <w:rPr>
                <w:rFonts w:ascii="Calibri" w:hAnsi="Calibri"/>
                <w:highlight w:val="none"/>
              </w:rPr>
            </w:pPr>
          </w:p>
        </w:tc>
        <w:tc>
          <w:tcPr>
            <w:tcW w:w="1453" w:type="dxa"/>
            <w:vAlign w:val="center"/>
          </w:tcPr>
          <w:p w14:paraId="3E48F536">
            <w:pPr>
              <w:ind w:firstLine="420"/>
              <w:rPr>
                <w:rFonts w:ascii="Calibri" w:hAnsi="Calibri"/>
                <w:highlight w:val="none"/>
              </w:rPr>
            </w:pPr>
          </w:p>
        </w:tc>
        <w:tc>
          <w:tcPr>
            <w:tcW w:w="1453" w:type="dxa"/>
            <w:vAlign w:val="center"/>
          </w:tcPr>
          <w:p w14:paraId="09E019E1">
            <w:pPr>
              <w:ind w:firstLine="420"/>
              <w:rPr>
                <w:rFonts w:ascii="Calibri" w:hAnsi="Calibri"/>
                <w:highlight w:val="none"/>
              </w:rPr>
            </w:pPr>
          </w:p>
        </w:tc>
        <w:tc>
          <w:tcPr>
            <w:tcW w:w="1453" w:type="dxa"/>
            <w:vAlign w:val="center"/>
          </w:tcPr>
          <w:p w14:paraId="2FDE6BD2">
            <w:pPr>
              <w:ind w:firstLine="420"/>
              <w:rPr>
                <w:rFonts w:ascii="Calibri" w:hAnsi="Calibri"/>
                <w:highlight w:val="none"/>
              </w:rPr>
            </w:pPr>
          </w:p>
        </w:tc>
        <w:tc>
          <w:tcPr>
            <w:tcW w:w="1453" w:type="dxa"/>
            <w:vAlign w:val="center"/>
          </w:tcPr>
          <w:p w14:paraId="10E43442">
            <w:pPr>
              <w:ind w:firstLine="420"/>
              <w:rPr>
                <w:rFonts w:ascii="Calibri" w:hAnsi="Calibri"/>
                <w:highlight w:val="none"/>
              </w:rPr>
            </w:pPr>
          </w:p>
        </w:tc>
        <w:tc>
          <w:tcPr>
            <w:tcW w:w="1453" w:type="dxa"/>
            <w:vAlign w:val="center"/>
          </w:tcPr>
          <w:p w14:paraId="0C1B28E4">
            <w:pPr>
              <w:ind w:firstLine="420"/>
              <w:rPr>
                <w:rFonts w:ascii="Calibri" w:hAnsi="Calibri"/>
                <w:highlight w:val="none"/>
              </w:rPr>
            </w:pPr>
          </w:p>
        </w:tc>
        <w:tc>
          <w:tcPr>
            <w:tcW w:w="1453" w:type="dxa"/>
            <w:vAlign w:val="center"/>
          </w:tcPr>
          <w:p w14:paraId="773C751B">
            <w:pPr>
              <w:ind w:firstLine="420"/>
              <w:rPr>
                <w:rFonts w:ascii="Calibri" w:hAnsi="Calibri"/>
                <w:highlight w:val="none"/>
              </w:rPr>
            </w:pPr>
          </w:p>
        </w:tc>
        <w:tc>
          <w:tcPr>
            <w:tcW w:w="1453" w:type="dxa"/>
            <w:vAlign w:val="center"/>
          </w:tcPr>
          <w:p w14:paraId="705D1970">
            <w:pPr>
              <w:ind w:firstLine="420"/>
              <w:rPr>
                <w:rFonts w:ascii="Calibri" w:hAnsi="Calibri"/>
                <w:highlight w:val="none"/>
              </w:rPr>
            </w:pPr>
          </w:p>
        </w:tc>
      </w:tr>
      <w:tr w14:paraId="35B2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9" w:hRule="atLeast"/>
        </w:trPr>
        <w:tc>
          <w:tcPr>
            <w:tcW w:w="2660" w:type="dxa"/>
            <w:vAlign w:val="center"/>
          </w:tcPr>
          <w:p w14:paraId="19A385E5">
            <w:pPr>
              <w:rPr>
                <w:rFonts w:ascii="Calibri" w:hAnsi="Calibri"/>
                <w:highlight w:val="none"/>
              </w:rPr>
            </w:pPr>
            <w:r>
              <w:rPr>
                <w:rFonts w:hint="eastAsia" w:ascii="Calibri" w:hAnsi="Calibri"/>
                <w:highlight w:val="none"/>
              </w:rPr>
              <w:t>计算参考数据</w:t>
            </w:r>
          </w:p>
        </w:tc>
        <w:tc>
          <w:tcPr>
            <w:tcW w:w="11623" w:type="dxa"/>
            <w:gridSpan w:val="8"/>
            <w:vAlign w:val="center"/>
          </w:tcPr>
          <w:p w14:paraId="482992F1">
            <w:pPr>
              <w:rPr>
                <w:rFonts w:ascii="Calibri" w:hAnsi="Calibri"/>
                <w:highlight w:val="none"/>
              </w:rPr>
            </w:pPr>
            <w:r>
              <w:rPr>
                <w:rFonts w:hint="eastAsia" w:ascii="Calibri" w:hAnsi="Calibri"/>
                <w:highlight w:val="none"/>
              </w:rPr>
              <w:t>评标参考价（PC）：</w:t>
            </w:r>
            <w:r>
              <w:rPr>
                <w:rFonts w:hint="eastAsia" w:ascii="Calibri" w:hAnsi="Calibri"/>
                <w:highlight w:val="none"/>
                <w:u w:val="single"/>
              </w:rPr>
              <w:t xml:space="preserve">               </w:t>
            </w:r>
          </w:p>
        </w:tc>
      </w:tr>
      <w:tr w14:paraId="6540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2660" w:type="dxa"/>
            <w:vAlign w:val="center"/>
          </w:tcPr>
          <w:p w14:paraId="1AEB3D32">
            <w:pPr>
              <w:rPr>
                <w:rFonts w:ascii="Calibri" w:hAnsi="Calibri"/>
                <w:spacing w:val="-10"/>
                <w:highlight w:val="none"/>
              </w:rPr>
            </w:pPr>
            <w:r>
              <w:rPr>
                <w:rFonts w:hint="eastAsia" w:ascii="Calibri" w:hAnsi="Calibri"/>
                <w:spacing w:val="-10"/>
                <w:highlight w:val="none"/>
              </w:rPr>
              <w:t>偏差（（PT-PC）/PC）（%）</w:t>
            </w:r>
          </w:p>
        </w:tc>
        <w:tc>
          <w:tcPr>
            <w:tcW w:w="1452" w:type="dxa"/>
            <w:vAlign w:val="center"/>
          </w:tcPr>
          <w:p w14:paraId="75454269">
            <w:pPr>
              <w:ind w:firstLine="420"/>
              <w:rPr>
                <w:rFonts w:ascii="Calibri" w:hAnsi="Calibri"/>
                <w:highlight w:val="none"/>
              </w:rPr>
            </w:pPr>
          </w:p>
        </w:tc>
        <w:tc>
          <w:tcPr>
            <w:tcW w:w="1453" w:type="dxa"/>
            <w:vAlign w:val="center"/>
          </w:tcPr>
          <w:p w14:paraId="4F6344E0">
            <w:pPr>
              <w:ind w:firstLine="420"/>
              <w:rPr>
                <w:rFonts w:ascii="Calibri" w:hAnsi="Calibri"/>
                <w:highlight w:val="none"/>
              </w:rPr>
            </w:pPr>
          </w:p>
        </w:tc>
        <w:tc>
          <w:tcPr>
            <w:tcW w:w="1453" w:type="dxa"/>
            <w:vAlign w:val="center"/>
          </w:tcPr>
          <w:p w14:paraId="7FF490D5">
            <w:pPr>
              <w:ind w:firstLine="420"/>
              <w:rPr>
                <w:rFonts w:ascii="Calibri" w:hAnsi="Calibri"/>
                <w:highlight w:val="none"/>
              </w:rPr>
            </w:pPr>
          </w:p>
        </w:tc>
        <w:tc>
          <w:tcPr>
            <w:tcW w:w="1453" w:type="dxa"/>
            <w:vAlign w:val="center"/>
          </w:tcPr>
          <w:p w14:paraId="7CE7FE92">
            <w:pPr>
              <w:ind w:firstLine="420"/>
              <w:rPr>
                <w:rFonts w:ascii="Calibri" w:hAnsi="Calibri"/>
                <w:highlight w:val="none"/>
              </w:rPr>
            </w:pPr>
          </w:p>
        </w:tc>
        <w:tc>
          <w:tcPr>
            <w:tcW w:w="1453" w:type="dxa"/>
            <w:vAlign w:val="center"/>
          </w:tcPr>
          <w:p w14:paraId="72AC7AA3">
            <w:pPr>
              <w:ind w:firstLine="420"/>
              <w:rPr>
                <w:rFonts w:ascii="Calibri" w:hAnsi="Calibri"/>
                <w:highlight w:val="none"/>
              </w:rPr>
            </w:pPr>
          </w:p>
        </w:tc>
        <w:tc>
          <w:tcPr>
            <w:tcW w:w="1453" w:type="dxa"/>
            <w:vAlign w:val="center"/>
          </w:tcPr>
          <w:p w14:paraId="6DD9049B">
            <w:pPr>
              <w:ind w:firstLine="420"/>
              <w:rPr>
                <w:rFonts w:ascii="Calibri" w:hAnsi="Calibri"/>
                <w:highlight w:val="none"/>
              </w:rPr>
            </w:pPr>
          </w:p>
        </w:tc>
        <w:tc>
          <w:tcPr>
            <w:tcW w:w="1453" w:type="dxa"/>
            <w:vAlign w:val="center"/>
          </w:tcPr>
          <w:p w14:paraId="1C0AB612">
            <w:pPr>
              <w:ind w:firstLine="420"/>
              <w:rPr>
                <w:rFonts w:ascii="Calibri" w:hAnsi="Calibri"/>
                <w:highlight w:val="none"/>
              </w:rPr>
            </w:pPr>
          </w:p>
        </w:tc>
        <w:tc>
          <w:tcPr>
            <w:tcW w:w="1453" w:type="dxa"/>
            <w:vAlign w:val="center"/>
          </w:tcPr>
          <w:p w14:paraId="30933CFD">
            <w:pPr>
              <w:ind w:firstLine="420"/>
              <w:rPr>
                <w:rFonts w:ascii="Calibri" w:hAnsi="Calibri"/>
                <w:highlight w:val="none"/>
              </w:rPr>
            </w:pPr>
          </w:p>
        </w:tc>
      </w:tr>
      <w:tr w14:paraId="5896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660" w:type="dxa"/>
            <w:vAlign w:val="center"/>
          </w:tcPr>
          <w:p w14:paraId="44652C01">
            <w:pPr>
              <w:rPr>
                <w:rFonts w:ascii="Calibri" w:hAnsi="Calibri"/>
                <w:highlight w:val="none"/>
              </w:rPr>
            </w:pPr>
            <w:r>
              <w:rPr>
                <w:rFonts w:hint="eastAsia" w:ascii="Calibri" w:hAnsi="Calibri"/>
                <w:highlight w:val="none"/>
              </w:rPr>
              <w:t>减分（A）</w:t>
            </w:r>
          </w:p>
        </w:tc>
        <w:tc>
          <w:tcPr>
            <w:tcW w:w="1452" w:type="dxa"/>
            <w:vAlign w:val="center"/>
          </w:tcPr>
          <w:p w14:paraId="14D67300">
            <w:pPr>
              <w:ind w:firstLine="420"/>
              <w:rPr>
                <w:rFonts w:ascii="Calibri" w:hAnsi="Calibri"/>
                <w:highlight w:val="none"/>
              </w:rPr>
            </w:pPr>
          </w:p>
        </w:tc>
        <w:tc>
          <w:tcPr>
            <w:tcW w:w="1453" w:type="dxa"/>
            <w:vAlign w:val="center"/>
          </w:tcPr>
          <w:p w14:paraId="15A922D1">
            <w:pPr>
              <w:ind w:firstLine="420"/>
              <w:rPr>
                <w:rFonts w:ascii="Calibri" w:hAnsi="Calibri"/>
                <w:highlight w:val="none"/>
              </w:rPr>
            </w:pPr>
          </w:p>
        </w:tc>
        <w:tc>
          <w:tcPr>
            <w:tcW w:w="1453" w:type="dxa"/>
            <w:vAlign w:val="center"/>
          </w:tcPr>
          <w:p w14:paraId="6D017A8A">
            <w:pPr>
              <w:ind w:firstLine="420"/>
              <w:rPr>
                <w:rFonts w:ascii="Calibri" w:hAnsi="Calibri"/>
                <w:highlight w:val="none"/>
              </w:rPr>
            </w:pPr>
          </w:p>
        </w:tc>
        <w:tc>
          <w:tcPr>
            <w:tcW w:w="1453" w:type="dxa"/>
            <w:vAlign w:val="center"/>
          </w:tcPr>
          <w:p w14:paraId="46B2FBE2">
            <w:pPr>
              <w:ind w:firstLine="420"/>
              <w:rPr>
                <w:rFonts w:ascii="Calibri" w:hAnsi="Calibri"/>
                <w:highlight w:val="none"/>
              </w:rPr>
            </w:pPr>
          </w:p>
        </w:tc>
        <w:tc>
          <w:tcPr>
            <w:tcW w:w="1453" w:type="dxa"/>
            <w:vAlign w:val="center"/>
          </w:tcPr>
          <w:p w14:paraId="6028170B">
            <w:pPr>
              <w:ind w:firstLine="420"/>
              <w:rPr>
                <w:rFonts w:ascii="Calibri" w:hAnsi="Calibri"/>
                <w:highlight w:val="none"/>
              </w:rPr>
            </w:pPr>
          </w:p>
        </w:tc>
        <w:tc>
          <w:tcPr>
            <w:tcW w:w="1453" w:type="dxa"/>
            <w:vAlign w:val="center"/>
          </w:tcPr>
          <w:p w14:paraId="27B1C3B1">
            <w:pPr>
              <w:ind w:firstLine="420"/>
              <w:rPr>
                <w:rFonts w:ascii="Calibri" w:hAnsi="Calibri"/>
                <w:highlight w:val="none"/>
              </w:rPr>
            </w:pPr>
          </w:p>
        </w:tc>
        <w:tc>
          <w:tcPr>
            <w:tcW w:w="1453" w:type="dxa"/>
            <w:vAlign w:val="center"/>
          </w:tcPr>
          <w:p w14:paraId="5A1B94EF">
            <w:pPr>
              <w:ind w:firstLine="420"/>
              <w:rPr>
                <w:rFonts w:ascii="Calibri" w:hAnsi="Calibri"/>
                <w:highlight w:val="none"/>
              </w:rPr>
            </w:pPr>
          </w:p>
        </w:tc>
        <w:tc>
          <w:tcPr>
            <w:tcW w:w="1453" w:type="dxa"/>
            <w:vAlign w:val="center"/>
          </w:tcPr>
          <w:p w14:paraId="2BD7A7AE">
            <w:pPr>
              <w:ind w:firstLine="420"/>
              <w:rPr>
                <w:rFonts w:ascii="Calibri" w:hAnsi="Calibri"/>
                <w:highlight w:val="none"/>
              </w:rPr>
            </w:pPr>
          </w:p>
        </w:tc>
      </w:tr>
      <w:tr w14:paraId="3B9E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660" w:type="dxa"/>
            <w:vAlign w:val="center"/>
          </w:tcPr>
          <w:p w14:paraId="2FCF5282">
            <w:pPr>
              <w:rPr>
                <w:rFonts w:ascii="Calibri" w:hAnsi="Calibri"/>
                <w:highlight w:val="none"/>
              </w:rPr>
            </w:pPr>
            <w:r>
              <w:rPr>
                <w:rFonts w:hint="eastAsia" w:ascii="Calibri" w:hAnsi="Calibri"/>
                <w:highlight w:val="none"/>
              </w:rPr>
              <w:t>得分(I=100-A)</w:t>
            </w:r>
          </w:p>
        </w:tc>
        <w:tc>
          <w:tcPr>
            <w:tcW w:w="1452" w:type="dxa"/>
            <w:vAlign w:val="center"/>
          </w:tcPr>
          <w:p w14:paraId="5C8F741C">
            <w:pPr>
              <w:ind w:firstLine="420"/>
              <w:rPr>
                <w:rFonts w:ascii="Calibri" w:hAnsi="Calibri"/>
                <w:highlight w:val="none"/>
              </w:rPr>
            </w:pPr>
          </w:p>
        </w:tc>
        <w:tc>
          <w:tcPr>
            <w:tcW w:w="1453" w:type="dxa"/>
            <w:vAlign w:val="center"/>
          </w:tcPr>
          <w:p w14:paraId="0E82227B">
            <w:pPr>
              <w:ind w:firstLine="420"/>
              <w:rPr>
                <w:rFonts w:ascii="Calibri" w:hAnsi="Calibri"/>
                <w:highlight w:val="none"/>
              </w:rPr>
            </w:pPr>
          </w:p>
        </w:tc>
        <w:tc>
          <w:tcPr>
            <w:tcW w:w="1453" w:type="dxa"/>
            <w:vAlign w:val="center"/>
          </w:tcPr>
          <w:p w14:paraId="3D15C305">
            <w:pPr>
              <w:ind w:firstLine="420"/>
              <w:rPr>
                <w:rFonts w:ascii="Calibri" w:hAnsi="Calibri"/>
                <w:highlight w:val="none"/>
              </w:rPr>
            </w:pPr>
          </w:p>
        </w:tc>
        <w:tc>
          <w:tcPr>
            <w:tcW w:w="1453" w:type="dxa"/>
            <w:vAlign w:val="center"/>
          </w:tcPr>
          <w:p w14:paraId="701D1FE7">
            <w:pPr>
              <w:ind w:firstLine="420"/>
              <w:rPr>
                <w:rFonts w:ascii="Calibri" w:hAnsi="Calibri"/>
                <w:highlight w:val="none"/>
              </w:rPr>
            </w:pPr>
          </w:p>
        </w:tc>
        <w:tc>
          <w:tcPr>
            <w:tcW w:w="1453" w:type="dxa"/>
            <w:vAlign w:val="center"/>
          </w:tcPr>
          <w:p w14:paraId="09673941">
            <w:pPr>
              <w:ind w:firstLine="420"/>
              <w:rPr>
                <w:rFonts w:ascii="Calibri" w:hAnsi="Calibri"/>
                <w:highlight w:val="none"/>
              </w:rPr>
            </w:pPr>
          </w:p>
        </w:tc>
        <w:tc>
          <w:tcPr>
            <w:tcW w:w="1453" w:type="dxa"/>
            <w:vAlign w:val="center"/>
          </w:tcPr>
          <w:p w14:paraId="7F808E9F">
            <w:pPr>
              <w:ind w:firstLine="420"/>
              <w:rPr>
                <w:rFonts w:ascii="Calibri" w:hAnsi="Calibri"/>
                <w:highlight w:val="none"/>
              </w:rPr>
            </w:pPr>
          </w:p>
        </w:tc>
        <w:tc>
          <w:tcPr>
            <w:tcW w:w="1453" w:type="dxa"/>
            <w:vAlign w:val="center"/>
          </w:tcPr>
          <w:p w14:paraId="5C3E129C">
            <w:pPr>
              <w:ind w:firstLine="420"/>
              <w:rPr>
                <w:rFonts w:ascii="Calibri" w:hAnsi="Calibri"/>
                <w:highlight w:val="none"/>
              </w:rPr>
            </w:pPr>
          </w:p>
        </w:tc>
        <w:tc>
          <w:tcPr>
            <w:tcW w:w="1453" w:type="dxa"/>
            <w:vAlign w:val="center"/>
          </w:tcPr>
          <w:p w14:paraId="3ED1A94A">
            <w:pPr>
              <w:ind w:firstLine="420"/>
              <w:rPr>
                <w:rFonts w:ascii="Calibri" w:hAnsi="Calibri"/>
                <w:highlight w:val="none"/>
              </w:rPr>
            </w:pPr>
          </w:p>
        </w:tc>
      </w:tr>
    </w:tbl>
    <w:p w14:paraId="206C56F4">
      <w:pPr>
        <w:rPr>
          <w:rFonts w:ascii="宋体" w:cs="宋体"/>
          <w:highlight w:val="none"/>
        </w:rPr>
      </w:pPr>
      <w:r>
        <w:rPr>
          <w:rFonts w:hint="eastAsia" w:ascii="宋体" w:cs="宋体"/>
          <w:highlight w:val="none"/>
        </w:rPr>
        <w:t>注：（1）经评审的建安工程费投标报价低于成本警戒价的投标文件，不参加投标报价评分。</w:t>
      </w:r>
    </w:p>
    <w:p w14:paraId="7FD2564F">
      <w:pPr>
        <w:rPr>
          <w:rFonts w:ascii="宋体" w:cs="宋体"/>
          <w:highlight w:val="none"/>
        </w:rPr>
      </w:pPr>
      <w:r>
        <w:rPr>
          <w:rFonts w:hint="eastAsia" w:ascii="宋体" w:cs="宋体"/>
          <w:highlight w:val="none"/>
        </w:rPr>
        <w:t>（2）确定评</w:t>
      </w:r>
      <w:bookmarkStart w:id="1104" w:name="_GoBack"/>
      <w:r>
        <w:rPr>
          <w:rFonts w:hint="eastAsia" w:ascii="宋体" w:cs="宋体"/>
          <w:highlight w:val="none"/>
        </w:rPr>
        <w:t>标参考价：以通过初步评审并经算术校核的投标人的建安工程费投标报价中，设在[成本警戒价，建安工程费最高投标限价×95%]区间的投标报价数量为G，上述G个投标</w:t>
      </w:r>
      <w:bookmarkEnd w:id="1104"/>
      <w:r>
        <w:rPr>
          <w:rFonts w:hint="eastAsia" w:ascii="宋体" w:cs="宋体"/>
          <w:highlight w:val="none"/>
        </w:rPr>
        <w:t>人的工程总承包实施方案部分得分由高至低排序，将工程总承包实施方案部分得分前H名的建安工程费投标报价的算术平均值作为评标参考价(如G≥10，则H=10；如1≤G&lt;10，则H=G)；若G=0的，则采用成本警戒价与“建安工程费最高投标限价×95%”的算术平均值为评标参考价。</w:t>
      </w:r>
    </w:p>
    <w:p w14:paraId="58568E40">
      <w:pPr>
        <w:rPr>
          <w:rFonts w:ascii="宋体" w:cs="宋体"/>
          <w:highlight w:val="none"/>
        </w:rPr>
      </w:pPr>
      <w:r>
        <w:rPr>
          <w:rFonts w:hint="eastAsia" w:ascii="宋体" w:cs="宋体"/>
          <w:highlight w:val="none"/>
        </w:rPr>
        <w:t>（3）计算建安工程费投标报价得分：当建安工程费投标报价等于评标参考价时得100分，建安工程费投标报价每高于评标参考价1%，扣1.5分，每低于评标参考价1%，扣1分，最多扣100分，得出的建安工程费投标报价得分作为投标报价得分，精确到小数点后两位。</w:t>
      </w:r>
    </w:p>
    <w:p w14:paraId="3C30EF73">
      <w:pPr>
        <w:spacing w:line="360" w:lineRule="auto"/>
        <w:rPr>
          <w:rFonts w:hint="eastAsia" w:ascii="宋体" w:hAnsi="宋体" w:cs="宋体"/>
          <w:sz w:val="24"/>
          <w:szCs w:val="24"/>
          <w:highlight w:val="none"/>
        </w:rPr>
        <w:sectPr>
          <w:headerReference r:id="rId10" w:type="default"/>
          <w:footerReference r:id="rId11" w:type="default"/>
          <w:pgSz w:w="16838" w:h="11905" w:orient="landscape"/>
          <w:pgMar w:top="1247" w:right="1247" w:bottom="1247" w:left="1247" w:header="567" w:footer="850" w:gutter="0"/>
          <w:cols w:space="720" w:num="1"/>
          <w:docGrid w:type="lines" w:linePitch="312" w:charSpace="0"/>
        </w:sectPr>
      </w:pPr>
      <w:r>
        <w:rPr>
          <w:rFonts w:hint="eastAsia"/>
          <w:highlight w:val="none"/>
        </w:rPr>
        <w:t>评委签名：                                                       日期：</w:t>
      </w:r>
    </w:p>
    <w:p w14:paraId="13C50153">
      <w:pPr>
        <w:spacing w:line="360" w:lineRule="auto"/>
        <w:rPr>
          <w:rFonts w:ascii="宋体"/>
          <w:b/>
          <w:sz w:val="28"/>
          <w:szCs w:val="28"/>
          <w:highlight w:val="none"/>
        </w:rPr>
      </w:pPr>
      <w:r>
        <w:rPr>
          <w:rFonts w:hint="eastAsia" w:ascii="宋体" w:hAnsi="宋体" w:cs="宋体"/>
          <w:b/>
          <w:sz w:val="28"/>
          <w:szCs w:val="28"/>
          <w:highlight w:val="none"/>
        </w:rPr>
        <w:t>附表7：</w:t>
      </w:r>
    </w:p>
    <w:p w14:paraId="19207B51">
      <w:pPr>
        <w:jc w:val="center"/>
        <w:rPr>
          <w:b/>
          <w:sz w:val="32"/>
          <w:szCs w:val="32"/>
          <w:highlight w:val="none"/>
          <w:lang w:val="zh-TW"/>
        </w:rPr>
      </w:pPr>
      <w:r>
        <w:rPr>
          <w:rFonts w:hint="eastAsia"/>
          <w:b/>
          <w:sz w:val="32"/>
          <w:szCs w:val="32"/>
          <w:highlight w:val="none"/>
          <w:lang w:val="zh-TW"/>
        </w:rPr>
        <w:t>投标报价算术复核表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3775"/>
        <w:gridCol w:w="2363"/>
        <w:gridCol w:w="1841"/>
        <w:gridCol w:w="1995"/>
        <w:gridCol w:w="2205"/>
        <w:gridCol w:w="1048"/>
      </w:tblGrid>
      <w:tr w14:paraId="3A3D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947" w:type="dxa"/>
            <w:vAlign w:val="center"/>
          </w:tcPr>
          <w:p w14:paraId="245C58FD">
            <w:pPr>
              <w:spacing w:line="360" w:lineRule="auto"/>
              <w:jc w:val="center"/>
              <w:rPr>
                <w:rFonts w:ascii="宋体"/>
                <w:sz w:val="24"/>
                <w:highlight w:val="none"/>
              </w:rPr>
            </w:pPr>
            <w:r>
              <w:rPr>
                <w:rFonts w:hint="eastAsia" w:ascii="宋体"/>
                <w:sz w:val="24"/>
                <w:highlight w:val="none"/>
              </w:rPr>
              <w:t>序号</w:t>
            </w:r>
          </w:p>
        </w:tc>
        <w:tc>
          <w:tcPr>
            <w:tcW w:w="3775" w:type="dxa"/>
            <w:vAlign w:val="center"/>
          </w:tcPr>
          <w:p w14:paraId="7730C6D5">
            <w:pPr>
              <w:spacing w:line="360" w:lineRule="auto"/>
              <w:jc w:val="center"/>
              <w:rPr>
                <w:rFonts w:ascii="宋体"/>
                <w:sz w:val="24"/>
                <w:highlight w:val="none"/>
              </w:rPr>
            </w:pPr>
            <w:r>
              <w:rPr>
                <w:rFonts w:hint="eastAsia" w:ascii="宋体"/>
                <w:sz w:val="24"/>
                <w:highlight w:val="none"/>
              </w:rPr>
              <w:t>投标单位</w:t>
            </w:r>
          </w:p>
        </w:tc>
        <w:tc>
          <w:tcPr>
            <w:tcW w:w="2363" w:type="dxa"/>
            <w:vAlign w:val="center"/>
          </w:tcPr>
          <w:p w14:paraId="6FF90721">
            <w:pPr>
              <w:spacing w:line="360" w:lineRule="auto"/>
              <w:jc w:val="center"/>
              <w:rPr>
                <w:rFonts w:ascii="宋体"/>
                <w:sz w:val="24"/>
                <w:highlight w:val="none"/>
              </w:rPr>
            </w:pPr>
            <w:r>
              <w:rPr>
                <w:rFonts w:hint="eastAsia" w:ascii="宋体"/>
                <w:sz w:val="24"/>
                <w:highlight w:val="none"/>
              </w:rPr>
              <w:t>投标报价（元）</w:t>
            </w:r>
          </w:p>
        </w:tc>
        <w:tc>
          <w:tcPr>
            <w:tcW w:w="1841" w:type="dxa"/>
            <w:vAlign w:val="center"/>
          </w:tcPr>
          <w:p w14:paraId="2C796DDC">
            <w:pPr>
              <w:spacing w:line="360" w:lineRule="auto"/>
              <w:jc w:val="center"/>
              <w:rPr>
                <w:rFonts w:ascii="宋体"/>
                <w:sz w:val="24"/>
                <w:highlight w:val="none"/>
              </w:rPr>
            </w:pPr>
            <w:r>
              <w:rPr>
                <w:rFonts w:hint="eastAsia" w:ascii="宋体"/>
                <w:sz w:val="24"/>
                <w:highlight w:val="none"/>
              </w:rPr>
              <w:t>算术复核后报价（元）</w:t>
            </w:r>
          </w:p>
        </w:tc>
        <w:tc>
          <w:tcPr>
            <w:tcW w:w="1995" w:type="dxa"/>
            <w:vAlign w:val="center"/>
          </w:tcPr>
          <w:p w14:paraId="6596236C">
            <w:pPr>
              <w:spacing w:line="360" w:lineRule="auto"/>
              <w:jc w:val="center"/>
              <w:rPr>
                <w:rFonts w:ascii="宋体"/>
                <w:sz w:val="24"/>
                <w:highlight w:val="none"/>
              </w:rPr>
            </w:pPr>
            <w:r>
              <w:rPr>
                <w:rFonts w:hint="eastAsia" w:ascii="宋体"/>
                <w:sz w:val="24"/>
                <w:highlight w:val="none"/>
              </w:rPr>
              <w:t>经评审的最终投标报价（元）</w:t>
            </w:r>
          </w:p>
        </w:tc>
        <w:tc>
          <w:tcPr>
            <w:tcW w:w="2205" w:type="dxa"/>
            <w:vAlign w:val="center"/>
          </w:tcPr>
          <w:p w14:paraId="3608BB43">
            <w:pPr>
              <w:spacing w:line="360" w:lineRule="auto"/>
              <w:jc w:val="center"/>
              <w:rPr>
                <w:rFonts w:ascii="宋体"/>
                <w:sz w:val="24"/>
                <w:highlight w:val="none"/>
              </w:rPr>
            </w:pPr>
            <w:r>
              <w:rPr>
                <w:rFonts w:hint="eastAsia" w:ascii="宋体"/>
                <w:sz w:val="24"/>
                <w:highlight w:val="none"/>
              </w:rPr>
              <w:t>偏差率</w:t>
            </w:r>
          </w:p>
        </w:tc>
        <w:tc>
          <w:tcPr>
            <w:tcW w:w="1048" w:type="dxa"/>
            <w:vAlign w:val="center"/>
          </w:tcPr>
          <w:p w14:paraId="7BDDAABC">
            <w:pPr>
              <w:spacing w:line="360" w:lineRule="auto"/>
              <w:jc w:val="center"/>
              <w:rPr>
                <w:rFonts w:ascii="宋体"/>
                <w:sz w:val="24"/>
                <w:highlight w:val="none"/>
              </w:rPr>
            </w:pPr>
            <w:r>
              <w:rPr>
                <w:rFonts w:hint="eastAsia" w:ascii="宋体"/>
                <w:sz w:val="24"/>
                <w:highlight w:val="none"/>
              </w:rPr>
              <w:t>备注</w:t>
            </w:r>
          </w:p>
        </w:tc>
      </w:tr>
      <w:tr w14:paraId="72CB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947" w:type="dxa"/>
          </w:tcPr>
          <w:p w14:paraId="60955986">
            <w:pPr>
              <w:spacing w:line="360" w:lineRule="auto"/>
              <w:jc w:val="center"/>
              <w:rPr>
                <w:rFonts w:ascii="宋体"/>
                <w:sz w:val="24"/>
                <w:highlight w:val="none"/>
              </w:rPr>
            </w:pPr>
          </w:p>
        </w:tc>
        <w:tc>
          <w:tcPr>
            <w:tcW w:w="3775" w:type="dxa"/>
          </w:tcPr>
          <w:p w14:paraId="2BF5DBA5">
            <w:pPr>
              <w:spacing w:line="360" w:lineRule="auto"/>
              <w:jc w:val="center"/>
              <w:rPr>
                <w:rFonts w:ascii="宋体"/>
                <w:sz w:val="24"/>
                <w:highlight w:val="none"/>
              </w:rPr>
            </w:pPr>
          </w:p>
        </w:tc>
        <w:tc>
          <w:tcPr>
            <w:tcW w:w="2363" w:type="dxa"/>
          </w:tcPr>
          <w:p w14:paraId="70066950">
            <w:pPr>
              <w:spacing w:line="360" w:lineRule="auto"/>
              <w:jc w:val="center"/>
              <w:rPr>
                <w:rFonts w:ascii="宋体"/>
                <w:sz w:val="24"/>
                <w:highlight w:val="none"/>
              </w:rPr>
            </w:pPr>
          </w:p>
        </w:tc>
        <w:tc>
          <w:tcPr>
            <w:tcW w:w="1841" w:type="dxa"/>
          </w:tcPr>
          <w:p w14:paraId="1FC30076">
            <w:pPr>
              <w:spacing w:line="360" w:lineRule="auto"/>
              <w:jc w:val="center"/>
              <w:rPr>
                <w:rFonts w:ascii="宋体"/>
                <w:sz w:val="24"/>
                <w:highlight w:val="none"/>
              </w:rPr>
            </w:pPr>
          </w:p>
        </w:tc>
        <w:tc>
          <w:tcPr>
            <w:tcW w:w="1995" w:type="dxa"/>
          </w:tcPr>
          <w:p w14:paraId="787AAD3B">
            <w:pPr>
              <w:spacing w:line="360" w:lineRule="auto"/>
              <w:jc w:val="center"/>
              <w:rPr>
                <w:rFonts w:ascii="宋体"/>
                <w:sz w:val="24"/>
                <w:highlight w:val="none"/>
              </w:rPr>
            </w:pPr>
          </w:p>
        </w:tc>
        <w:tc>
          <w:tcPr>
            <w:tcW w:w="2205" w:type="dxa"/>
          </w:tcPr>
          <w:p w14:paraId="708AB268">
            <w:pPr>
              <w:spacing w:line="360" w:lineRule="auto"/>
              <w:jc w:val="center"/>
              <w:rPr>
                <w:rFonts w:ascii="宋体"/>
                <w:sz w:val="24"/>
                <w:highlight w:val="none"/>
              </w:rPr>
            </w:pPr>
          </w:p>
        </w:tc>
        <w:tc>
          <w:tcPr>
            <w:tcW w:w="1048" w:type="dxa"/>
          </w:tcPr>
          <w:p w14:paraId="47722788">
            <w:pPr>
              <w:spacing w:line="360" w:lineRule="auto"/>
              <w:jc w:val="center"/>
              <w:rPr>
                <w:rFonts w:ascii="宋体"/>
                <w:sz w:val="24"/>
                <w:highlight w:val="none"/>
              </w:rPr>
            </w:pPr>
          </w:p>
        </w:tc>
      </w:tr>
      <w:tr w14:paraId="3B2F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947" w:type="dxa"/>
          </w:tcPr>
          <w:p w14:paraId="00111A84">
            <w:pPr>
              <w:spacing w:line="360" w:lineRule="auto"/>
              <w:jc w:val="center"/>
              <w:rPr>
                <w:rFonts w:ascii="宋体"/>
                <w:sz w:val="24"/>
                <w:highlight w:val="none"/>
              </w:rPr>
            </w:pPr>
          </w:p>
        </w:tc>
        <w:tc>
          <w:tcPr>
            <w:tcW w:w="3775" w:type="dxa"/>
          </w:tcPr>
          <w:p w14:paraId="5A26D63B">
            <w:pPr>
              <w:spacing w:line="360" w:lineRule="auto"/>
              <w:jc w:val="center"/>
              <w:rPr>
                <w:rFonts w:ascii="宋体"/>
                <w:sz w:val="24"/>
                <w:highlight w:val="none"/>
              </w:rPr>
            </w:pPr>
          </w:p>
        </w:tc>
        <w:tc>
          <w:tcPr>
            <w:tcW w:w="2363" w:type="dxa"/>
          </w:tcPr>
          <w:p w14:paraId="39DCF51A">
            <w:pPr>
              <w:spacing w:line="360" w:lineRule="auto"/>
              <w:jc w:val="center"/>
              <w:rPr>
                <w:rFonts w:ascii="宋体"/>
                <w:sz w:val="24"/>
                <w:highlight w:val="none"/>
              </w:rPr>
            </w:pPr>
          </w:p>
        </w:tc>
        <w:tc>
          <w:tcPr>
            <w:tcW w:w="1841" w:type="dxa"/>
          </w:tcPr>
          <w:p w14:paraId="2327FC93">
            <w:pPr>
              <w:spacing w:line="360" w:lineRule="auto"/>
              <w:jc w:val="center"/>
              <w:rPr>
                <w:rFonts w:ascii="宋体"/>
                <w:sz w:val="24"/>
                <w:highlight w:val="none"/>
              </w:rPr>
            </w:pPr>
          </w:p>
        </w:tc>
        <w:tc>
          <w:tcPr>
            <w:tcW w:w="1995" w:type="dxa"/>
          </w:tcPr>
          <w:p w14:paraId="1557ACDA">
            <w:pPr>
              <w:spacing w:line="360" w:lineRule="auto"/>
              <w:jc w:val="center"/>
              <w:rPr>
                <w:rFonts w:ascii="宋体"/>
                <w:sz w:val="24"/>
                <w:highlight w:val="none"/>
              </w:rPr>
            </w:pPr>
          </w:p>
        </w:tc>
        <w:tc>
          <w:tcPr>
            <w:tcW w:w="2205" w:type="dxa"/>
          </w:tcPr>
          <w:p w14:paraId="295C4B6C">
            <w:pPr>
              <w:spacing w:line="360" w:lineRule="auto"/>
              <w:jc w:val="center"/>
              <w:rPr>
                <w:rFonts w:ascii="宋体"/>
                <w:sz w:val="24"/>
                <w:highlight w:val="none"/>
              </w:rPr>
            </w:pPr>
          </w:p>
        </w:tc>
        <w:tc>
          <w:tcPr>
            <w:tcW w:w="1048" w:type="dxa"/>
          </w:tcPr>
          <w:p w14:paraId="57050C68">
            <w:pPr>
              <w:spacing w:line="360" w:lineRule="auto"/>
              <w:jc w:val="center"/>
              <w:rPr>
                <w:rFonts w:ascii="宋体"/>
                <w:sz w:val="24"/>
                <w:highlight w:val="none"/>
              </w:rPr>
            </w:pPr>
          </w:p>
        </w:tc>
      </w:tr>
      <w:tr w14:paraId="39AF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947" w:type="dxa"/>
          </w:tcPr>
          <w:p w14:paraId="140712C0">
            <w:pPr>
              <w:spacing w:line="360" w:lineRule="auto"/>
              <w:jc w:val="center"/>
              <w:rPr>
                <w:rFonts w:ascii="宋体"/>
                <w:sz w:val="24"/>
                <w:highlight w:val="none"/>
              </w:rPr>
            </w:pPr>
          </w:p>
        </w:tc>
        <w:tc>
          <w:tcPr>
            <w:tcW w:w="3775" w:type="dxa"/>
          </w:tcPr>
          <w:p w14:paraId="26D48A43">
            <w:pPr>
              <w:spacing w:line="360" w:lineRule="auto"/>
              <w:jc w:val="center"/>
              <w:rPr>
                <w:rFonts w:ascii="宋体"/>
                <w:sz w:val="24"/>
                <w:highlight w:val="none"/>
              </w:rPr>
            </w:pPr>
          </w:p>
        </w:tc>
        <w:tc>
          <w:tcPr>
            <w:tcW w:w="2363" w:type="dxa"/>
          </w:tcPr>
          <w:p w14:paraId="100A4C64">
            <w:pPr>
              <w:spacing w:line="360" w:lineRule="auto"/>
              <w:jc w:val="center"/>
              <w:rPr>
                <w:rFonts w:ascii="宋体"/>
                <w:sz w:val="24"/>
                <w:highlight w:val="none"/>
              </w:rPr>
            </w:pPr>
          </w:p>
        </w:tc>
        <w:tc>
          <w:tcPr>
            <w:tcW w:w="1841" w:type="dxa"/>
          </w:tcPr>
          <w:p w14:paraId="40C6B5C4">
            <w:pPr>
              <w:spacing w:line="360" w:lineRule="auto"/>
              <w:jc w:val="center"/>
              <w:rPr>
                <w:rFonts w:ascii="宋体"/>
                <w:sz w:val="24"/>
                <w:highlight w:val="none"/>
              </w:rPr>
            </w:pPr>
          </w:p>
        </w:tc>
        <w:tc>
          <w:tcPr>
            <w:tcW w:w="1995" w:type="dxa"/>
          </w:tcPr>
          <w:p w14:paraId="14409913">
            <w:pPr>
              <w:spacing w:line="360" w:lineRule="auto"/>
              <w:jc w:val="center"/>
              <w:rPr>
                <w:rFonts w:ascii="宋体"/>
                <w:sz w:val="24"/>
                <w:highlight w:val="none"/>
              </w:rPr>
            </w:pPr>
          </w:p>
        </w:tc>
        <w:tc>
          <w:tcPr>
            <w:tcW w:w="2205" w:type="dxa"/>
          </w:tcPr>
          <w:p w14:paraId="2010F68D">
            <w:pPr>
              <w:spacing w:line="360" w:lineRule="auto"/>
              <w:jc w:val="center"/>
              <w:rPr>
                <w:rFonts w:ascii="宋体"/>
                <w:sz w:val="24"/>
                <w:highlight w:val="none"/>
              </w:rPr>
            </w:pPr>
          </w:p>
        </w:tc>
        <w:tc>
          <w:tcPr>
            <w:tcW w:w="1048" w:type="dxa"/>
          </w:tcPr>
          <w:p w14:paraId="48FB9C5F">
            <w:pPr>
              <w:spacing w:line="360" w:lineRule="auto"/>
              <w:jc w:val="center"/>
              <w:rPr>
                <w:rFonts w:ascii="宋体"/>
                <w:sz w:val="24"/>
                <w:highlight w:val="none"/>
              </w:rPr>
            </w:pPr>
          </w:p>
        </w:tc>
      </w:tr>
      <w:tr w14:paraId="14CF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947" w:type="dxa"/>
          </w:tcPr>
          <w:p w14:paraId="1EECBFF4">
            <w:pPr>
              <w:spacing w:line="360" w:lineRule="auto"/>
              <w:jc w:val="center"/>
              <w:rPr>
                <w:rFonts w:ascii="宋体"/>
                <w:sz w:val="24"/>
                <w:highlight w:val="none"/>
              </w:rPr>
            </w:pPr>
          </w:p>
        </w:tc>
        <w:tc>
          <w:tcPr>
            <w:tcW w:w="3775" w:type="dxa"/>
          </w:tcPr>
          <w:p w14:paraId="4A222BEB">
            <w:pPr>
              <w:spacing w:line="360" w:lineRule="auto"/>
              <w:jc w:val="center"/>
              <w:rPr>
                <w:rFonts w:ascii="宋体"/>
                <w:sz w:val="24"/>
                <w:highlight w:val="none"/>
              </w:rPr>
            </w:pPr>
          </w:p>
        </w:tc>
        <w:tc>
          <w:tcPr>
            <w:tcW w:w="2363" w:type="dxa"/>
          </w:tcPr>
          <w:p w14:paraId="788FDE3C">
            <w:pPr>
              <w:spacing w:line="360" w:lineRule="auto"/>
              <w:jc w:val="center"/>
              <w:rPr>
                <w:rFonts w:ascii="宋体"/>
                <w:sz w:val="24"/>
                <w:highlight w:val="none"/>
              </w:rPr>
            </w:pPr>
          </w:p>
        </w:tc>
        <w:tc>
          <w:tcPr>
            <w:tcW w:w="1841" w:type="dxa"/>
          </w:tcPr>
          <w:p w14:paraId="7B1C97AC">
            <w:pPr>
              <w:spacing w:line="360" w:lineRule="auto"/>
              <w:jc w:val="center"/>
              <w:rPr>
                <w:rFonts w:ascii="宋体"/>
                <w:sz w:val="24"/>
                <w:highlight w:val="none"/>
              </w:rPr>
            </w:pPr>
          </w:p>
        </w:tc>
        <w:tc>
          <w:tcPr>
            <w:tcW w:w="1995" w:type="dxa"/>
          </w:tcPr>
          <w:p w14:paraId="25FD2671">
            <w:pPr>
              <w:spacing w:line="360" w:lineRule="auto"/>
              <w:jc w:val="center"/>
              <w:rPr>
                <w:rFonts w:ascii="宋体"/>
                <w:sz w:val="24"/>
                <w:highlight w:val="none"/>
              </w:rPr>
            </w:pPr>
          </w:p>
        </w:tc>
        <w:tc>
          <w:tcPr>
            <w:tcW w:w="2205" w:type="dxa"/>
          </w:tcPr>
          <w:p w14:paraId="279A0DEC">
            <w:pPr>
              <w:spacing w:line="360" w:lineRule="auto"/>
              <w:jc w:val="center"/>
              <w:rPr>
                <w:rFonts w:ascii="宋体"/>
                <w:sz w:val="24"/>
                <w:highlight w:val="none"/>
              </w:rPr>
            </w:pPr>
          </w:p>
        </w:tc>
        <w:tc>
          <w:tcPr>
            <w:tcW w:w="1048" w:type="dxa"/>
          </w:tcPr>
          <w:p w14:paraId="181AFA9D">
            <w:pPr>
              <w:spacing w:line="360" w:lineRule="auto"/>
              <w:jc w:val="center"/>
              <w:rPr>
                <w:rFonts w:ascii="宋体"/>
                <w:sz w:val="24"/>
                <w:highlight w:val="none"/>
              </w:rPr>
            </w:pPr>
          </w:p>
        </w:tc>
      </w:tr>
      <w:tr w14:paraId="0758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947" w:type="dxa"/>
          </w:tcPr>
          <w:p w14:paraId="358AD43B">
            <w:pPr>
              <w:spacing w:line="360" w:lineRule="auto"/>
              <w:jc w:val="center"/>
              <w:rPr>
                <w:rFonts w:ascii="宋体"/>
                <w:sz w:val="24"/>
                <w:highlight w:val="none"/>
              </w:rPr>
            </w:pPr>
          </w:p>
        </w:tc>
        <w:tc>
          <w:tcPr>
            <w:tcW w:w="3775" w:type="dxa"/>
          </w:tcPr>
          <w:p w14:paraId="2B158758">
            <w:pPr>
              <w:spacing w:line="360" w:lineRule="auto"/>
              <w:jc w:val="center"/>
              <w:rPr>
                <w:rFonts w:ascii="宋体"/>
                <w:sz w:val="24"/>
                <w:highlight w:val="none"/>
              </w:rPr>
            </w:pPr>
          </w:p>
        </w:tc>
        <w:tc>
          <w:tcPr>
            <w:tcW w:w="2363" w:type="dxa"/>
          </w:tcPr>
          <w:p w14:paraId="216A758D">
            <w:pPr>
              <w:spacing w:line="360" w:lineRule="auto"/>
              <w:jc w:val="center"/>
              <w:rPr>
                <w:rFonts w:ascii="宋体"/>
                <w:sz w:val="24"/>
                <w:highlight w:val="none"/>
              </w:rPr>
            </w:pPr>
          </w:p>
        </w:tc>
        <w:tc>
          <w:tcPr>
            <w:tcW w:w="1841" w:type="dxa"/>
          </w:tcPr>
          <w:p w14:paraId="54574FA8">
            <w:pPr>
              <w:spacing w:line="360" w:lineRule="auto"/>
              <w:jc w:val="center"/>
              <w:rPr>
                <w:rFonts w:ascii="宋体"/>
                <w:sz w:val="24"/>
                <w:highlight w:val="none"/>
              </w:rPr>
            </w:pPr>
          </w:p>
        </w:tc>
        <w:tc>
          <w:tcPr>
            <w:tcW w:w="1995" w:type="dxa"/>
          </w:tcPr>
          <w:p w14:paraId="67785D38">
            <w:pPr>
              <w:spacing w:line="360" w:lineRule="auto"/>
              <w:jc w:val="center"/>
              <w:rPr>
                <w:rFonts w:ascii="宋体"/>
                <w:sz w:val="24"/>
                <w:highlight w:val="none"/>
              </w:rPr>
            </w:pPr>
          </w:p>
        </w:tc>
        <w:tc>
          <w:tcPr>
            <w:tcW w:w="2205" w:type="dxa"/>
          </w:tcPr>
          <w:p w14:paraId="5E4D53FB">
            <w:pPr>
              <w:spacing w:line="360" w:lineRule="auto"/>
              <w:jc w:val="center"/>
              <w:rPr>
                <w:rFonts w:ascii="宋体"/>
                <w:sz w:val="24"/>
                <w:highlight w:val="none"/>
              </w:rPr>
            </w:pPr>
          </w:p>
        </w:tc>
        <w:tc>
          <w:tcPr>
            <w:tcW w:w="1048" w:type="dxa"/>
          </w:tcPr>
          <w:p w14:paraId="00BBE33C">
            <w:pPr>
              <w:spacing w:line="360" w:lineRule="auto"/>
              <w:jc w:val="center"/>
              <w:rPr>
                <w:rFonts w:ascii="宋体"/>
                <w:sz w:val="24"/>
                <w:highlight w:val="none"/>
              </w:rPr>
            </w:pPr>
          </w:p>
        </w:tc>
      </w:tr>
    </w:tbl>
    <w:p w14:paraId="05B97F42">
      <w:pPr>
        <w:spacing w:line="360" w:lineRule="auto"/>
        <w:rPr>
          <w:rFonts w:ascii="宋体"/>
          <w:highlight w:val="none"/>
        </w:rPr>
      </w:pPr>
    </w:p>
    <w:p w14:paraId="28E3A8C6">
      <w:pPr>
        <w:spacing w:line="360" w:lineRule="auto"/>
        <w:rPr>
          <w:rFonts w:hint="eastAsia" w:ascii="宋体" w:hAnsi="宋体" w:cs="宋体"/>
          <w:szCs w:val="21"/>
          <w:highlight w:val="none"/>
        </w:rPr>
        <w:sectPr>
          <w:pgSz w:w="16838" w:h="11905" w:orient="landscape"/>
          <w:pgMar w:top="1247" w:right="1247" w:bottom="1247" w:left="1247" w:header="567" w:footer="850" w:gutter="0"/>
          <w:cols w:space="720" w:num="1"/>
          <w:docGrid w:type="lines" w:linePitch="312" w:charSpace="0"/>
        </w:sectPr>
      </w:pPr>
      <w:r>
        <w:rPr>
          <w:rFonts w:hint="eastAsia" w:ascii="宋体"/>
          <w:highlight w:val="none"/>
        </w:rPr>
        <w:t>评委签名：</w:t>
      </w:r>
      <w:r>
        <w:rPr>
          <w:rFonts w:hint="eastAsia" w:ascii="宋体"/>
          <w:szCs w:val="21"/>
          <w:highlight w:val="none"/>
        </w:rPr>
        <w:t xml:space="preserve">                     日期：</w:t>
      </w:r>
    </w:p>
    <w:p w14:paraId="76C81FBE">
      <w:pPr>
        <w:spacing w:line="360" w:lineRule="auto"/>
        <w:rPr>
          <w:rFonts w:hint="eastAsia" w:ascii="宋体" w:hAnsi="宋体" w:cs="宋体"/>
          <w:b/>
          <w:sz w:val="28"/>
          <w:szCs w:val="28"/>
          <w:highlight w:val="none"/>
        </w:rPr>
      </w:pPr>
      <w:bookmarkStart w:id="1028" w:name="_Toc17999"/>
      <w:bookmarkStart w:id="1029" w:name="_Toc485211107"/>
      <w:bookmarkStart w:id="1030" w:name="_Toc15305"/>
      <w:bookmarkStart w:id="1031" w:name="_Toc356306516"/>
      <w:bookmarkStart w:id="1032" w:name="_Toc27985"/>
      <w:bookmarkStart w:id="1033" w:name="_Toc21185"/>
      <w:bookmarkStart w:id="1034" w:name="_Toc26600"/>
      <w:bookmarkStart w:id="1035" w:name="_Toc25006"/>
      <w:bookmarkStart w:id="1036" w:name="_Toc12567"/>
      <w:r>
        <w:rPr>
          <w:rFonts w:hint="eastAsia" w:ascii="宋体" w:hAnsi="宋体" w:cs="宋体"/>
          <w:b/>
          <w:sz w:val="28"/>
          <w:szCs w:val="28"/>
          <w:highlight w:val="none"/>
        </w:rPr>
        <w:t>附表7：</w:t>
      </w:r>
    </w:p>
    <w:p w14:paraId="5A442CD5">
      <w:pPr>
        <w:jc w:val="center"/>
        <w:rPr>
          <w:b/>
          <w:sz w:val="32"/>
          <w:szCs w:val="32"/>
          <w:highlight w:val="none"/>
          <w:lang w:val="zh-TW"/>
        </w:rPr>
      </w:pPr>
      <w:r>
        <w:rPr>
          <w:rFonts w:hint="eastAsia"/>
          <w:b/>
          <w:sz w:val="32"/>
          <w:szCs w:val="32"/>
          <w:highlight w:val="none"/>
          <w:lang w:val="zh-TW"/>
        </w:rPr>
        <w:t>定标因素表（定标阶段用表）</w:t>
      </w:r>
    </w:p>
    <w:tbl>
      <w:tblPr>
        <w:tblStyle w:val="41"/>
        <w:tblW w:w="51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268"/>
        <w:gridCol w:w="7583"/>
      </w:tblGrid>
      <w:tr w14:paraId="77C6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blHeader/>
          <w:jc w:val="center"/>
        </w:trPr>
        <w:tc>
          <w:tcPr>
            <w:tcW w:w="502" w:type="pct"/>
            <w:tcBorders>
              <w:top w:val="single" w:color="auto" w:sz="4" w:space="0"/>
              <w:left w:val="single" w:color="auto" w:sz="4" w:space="0"/>
              <w:bottom w:val="single" w:color="auto" w:sz="4" w:space="0"/>
              <w:right w:val="single" w:color="auto" w:sz="4" w:space="0"/>
            </w:tcBorders>
            <w:vAlign w:val="center"/>
          </w:tcPr>
          <w:p w14:paraId="737300B6">
            <w:pPr>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644" w:type="pct"/>
            <w:tcBorders>
              <w:top w:val="single" w:color="auto" w:sz="4" w:space="0"/>
              <w:left w:val="single" w:color="auto" w:sz="4" w:space="0"/>
              <w:bottom w:val="single" w:color="auto" w:sz="4" w:space="0"/>
              <w:right w:val="single" w:color="auto" w:sz="4" w:space="0"/>
            </w:tcBorders>
            <w:vAlign w:val="center"/>
          </w:tcPr>
          <w:p w14:paraId="22A8F4E3">
            <w:pPr>
              <w:jc w:val="center"/>
              <w:rPr>
                <w:rFonts w:hint="eastAsia" w:ascii="宋体" w:hAnsi="宋体" w:cs="宋体"/>
                <w:b/>
                <w:bCs/>
                <w:szCs w:val="21"/>
                <w:highlight w:val="none"/>
              </w:rPr>
            </w:pPr>
            <w:r>
              <w:rPr>
                <w:rFonts w:hint="eastAsia" w:ascii="宋体" w:hAnsi="宋体" w:cs="宋体"/>
                <w:b/>
                <w:bCs/>
                <w:szCs w:val="21"/>
                <w:highlight w:val="none"/>
              </w:rPr>
              <w:t>评价项目</w:t>
            </w:r>
          </w:p>
        </w:tc>
        <w:tc>
          <w:tcPr>
            <w:tcW w:w="3853" w:type="pct"/>
            <w:tcBorders>
              <w:top w:val="single" w:color="auto" w:sz="4" w:space="0"/>
              <w:left w:val="single" w:color="auto" w:sz="4" w:space="0"/>
              <w:bottom w:val="single" w:color="auto" w:sz="4" w:space="0"/>
              <w:right w:val="single" w:color="auto" w:sz="4" w:space="0"/>
            </w:tcBorders>
            <w:vAlign w:val="center"/>
          </w:tcPr>
          <w:p w14:paraId="43CF0B31">
            <w:pPr>
              <w:jc w:val="center"/>
              <w:rPr>
                <w:rFonts w:hint="eastAsia" w:ascii="宋体" w:hAnsi="宋体" w:cs="宋体"/>
                <w:b/>
                <w:bCs/>
                <w:szCs w:val="21"/>
                <w:highlight w:val="none"/>
              </w:rPr>
            </w:pPr>
            <w:r>
              <w:rPr>
                <w:rFonts w:hint="eastAsia" w:ascii="宋体" w:hAnsi="宋体" w:cs="宋体"/>
                <w:b/>
                <w:bCs/>
                <w:szCs w:val="21"/>
                <w:highlight w:val="none"/>
              </w:rPr>
              <w:t>定标评价的内容</w:t>
            </w:r>
          </w:p>
        </w:tc>
      </w:tr>
      <w:tr w14:paraId="67D0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502" w:type="pct"/>
            <w:tcBorders>
              <w:top w:val="single" w:color="auto" w:sz="4" w:space="0"/>
              <w:left w:val="single" w:color="auto" w:sz="4" w:space="0"/>
              <w:right w:val="single" w:color="auto" w:sz="4" w:space="0"/>
            </w:tcBorders>
            <w:vAlign w:val="center"/>
          </w:tcPr>
          <w:p w14:paraId="7D0601BC">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644" w:type="pct"/>
            <w:tcBorders>
              <w:top w:val="single" w:color="auto" w:sz="4" w:space="0"/>
              <w:left w:val="single" w:color="auto" w:sz="4" w:space="0"/>
              <w:right w:val="single" w:color="auto" w:sz="4" w:space="0"/>
            </w:tcBorders>
            <w:vAlign w:val="center"/>
          </w:tcPr>
          <w:p w14:paraId="45D84E71">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投标人拟提供的设备厂家技术优势（10分）</w:t>
            </w:r>
          </w:p>
        </w:tc>
        <w:tc>
          <w:tcPr>
            <w:tcW w:w="3853" w:type="pct"/>
            <w:tcBorders>
              <w:top w:val="single" w:color="auto" w:sz="4" w:space="0"/>
              <w:left w:val="single" w:color="auto" w:sz="4" w:space="0"/>
              <w:bottom w:val="single" w:color="auto" w:sz="4" w:space="0"/>
              <w:right w:val="single" w:color="auto" w:sz="4" w:space="0"/>
            </w:tcBorders>
            <w:vAlign w:val="center"/>
          </w:tcPr>
          <w:p w14:paraId="3544D9D5">
            <w:pPr>
              <w:pStyle w:val="22"/>
              <w:numPr>
                <w:ilvl w:val="-1"/>
                <w:numId w:val="0"/>
              </w:numPr>
              <w:rPr>
                <w:rFonts w:hint="eastAsia" w:ascii="宋体" w:hAnsi="宋体" w:eastAsia="宋体" w:cs="宋体"/>
                <w:kern w:val="0"/>
                <w:sz w:val="21"/>
                <w:szCs w:val="21"/>
                <w:highlight w:val="none"/>
                <w:lang w:val="en-US" w:eastAsia="zh-CN" w:bidi="ar-SA"/>
              </w:rPr>
            </w:pPr>
            <w:r>
              <w:rPr>
                <w:rFonts w:hint="eastAsia" w:ascii="宋体" w:hAnsi="宋体" w:cs="宋体"/>
                <w:b/>
                <w:bCs/>
                <w:szCs w:val="21"/>
                <w:highlight w:val="none"/>
              </w:rPr>
              <w:t>定标委员会对合格的中标候选人</w:t>
            </w:r>
            <w:r>
              <w:rPr>
                <w:rFonts w:hint="eastAsia" w:ascii="宋体" w:hAnsi="宋体" w:cs="宋体"/>
                <w:b/>
                <w:bCs/>
                <w:szCs w:val="21"/>
                <w:highlight w:val="none"/>
                <w:lang w:val="en-US" w:eastAsia="zh-CN"/>
              </w:rPr>
              <w:t>拟提供的设备厂家技术优势</w:t>
            </w:r>
            <w:r>
              <w:rPr>
                <w:rFonts w:hint="eastAsia"/>
                <w:highlight w:val="none"/>
                <w:lang w:val="en-US" w:eastAsia="zh-CN"/>
              </w:rPr>
              <w:t>进行评审</w:t>
            </w:r>
            <w:r>
              <w:rPr>
                <w:rFonts w:hint="eastAsia" w:ascii="宋体" w:hAnsi="宋体" w:eastAsia="宋体" w:cs="宋体"/>
                <w:kern w:val="0"/>
                <w:sz w:val="21"/>
                <w:szCs w:val="21"/>
                <w:highlight w:val="none"/>
                <w:lang w:val="en-US" w:eastAsia="zh-CN" w:bidi="ar-SA"/>
              </w:rPr>
              <w:t>：</w:t>
            </w:r>
          </w:p>
          <w:p w14:paraId="04164D8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hAnsi="宋体" w:cs="宋体"/>
                <w:kern w:val="2"/>
                <w:sz w:val="21"/>
                <w:szCs w:val="21"/>
                <w:highlight w:val="none"/>
                <w:lang w:val="en-US" w:eastAsia="zh-CN"/>
              </w:rPr>
            </w:pPr>
            <w:r>
              <w:rPr>
                <w:rFonts w:hint="eastAsia" w:hAnsi="宋体" w:cs="宋体"/>
                <w:kern w:val="2"/>
                <w:sz w:val="21"/>
                <w:szCs w:val="21"/>
                <w:highlight w:val="none"/>
                <w:lang w:eastAsia="zh-CN"/>
              </w:rPr>
              <w:t>（</w:t>
            </w:r>
            <w:r>
              <w:rPr>
                <w:rFonts w:hint="eastAsia" w:hAnsi="宋体" w:cs="宋体"/>
                <w:kern w:val="2"/>
                <w:sz w:val="21"/>
                <w:szCs w:val="21"/>
                <w:highlight w:val="none"/>
                <w:lang w:val="en-US" w:eastAsia="zh-CN"/>
              </w:rPr>
              <w:t>1</w:t>
            </w:r>
            <w:r>
              <w:rPr>
                <w:rFonts w:hint="eastAsia" w:hAnsi="宋体" w:cs="宋体"/>
                <w:kern w:val="2"/>
                <w:sz w:val="21"/>
                <w:szCs w:val="21"/>
                <w:highlight w:val="none"/>
                <w:lang w:eastAsia="zh-CN"/>
              </w:rPr>
              <w:t>）</w:t>
            </w:r>
            <w:r>
              <w:rPr>
                <w:rFonts w:hint="eastAsia" w:hAnsi="宋体" w:cs="宋体"/>
                <w:kern w:val="2"/>
                <w:sz w:val="21"/>
                <w:szCs w:val="21"/>
                <w:highlight w:val="none"/>
                <w:lang w:val="en-US" w:eastAsia="zh-CN"/>
              </w:rPr>
              <w:t>具有停车设备厂家授权书，得1分。</w:t>
            </w:r>
          </w:p>
          <w:p w14:paraId="0F5013D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highlight w:val="none"/>
              </w:rPr>
            </w:pPr>
            <w:r>
              <w:rPr>
                <w:rFonts w:hint="eastAsia" w:hAnsi="宋体" w:cs="宋体"/>
                <w:kern w:val="2"/>
                <w:sz w:val="21"/>
                <w:szCs w:val="21"/>
                <w:highlight w:val="none"/>
                <w:lang w:val="en-US" w:eastAsia="zh-CN"/>
              </w:rPr>
              <w:t>（2）</w:t>
            </w:r>
            <w:r>
              <w:rPr>
                <w:rFonts w:hint="eastAsia" w:ascii="宋体" w:hAnsi="宋体" w:eastAsia="宋体" w:cs="宋体"/>
                <w:kern w:val="2"/>
                <w:sz w:val="21"/>
                <w:szCs w:val="21"/>
                <w:highlight w:val="none"/>
              </w:rPr>
              <w:t>具有类似机械车库发明或实用新型类相关专利证书的，每提供一项得</w:t>
            </w:r>
            <w:r>
              <w:rPr>
                <w:rFonts w:hint="eastAsia" w:hAnsi="宋体" w:cs="宋体"/>
                <w:kern w:val="2"/>
                <w:sz w:val="21"/>
                <w:szCs w:val="21"/>
                <w:highlight w:val="none"/>
                <w:lang w:val="en-US" w:eastAsia="zh-CN"/>
              </w:rPr>
              <w:t>1</w:t>
            </w:r>
            <w:r>
              <w:rPr>
                <w:rFonts w:hint="eastAsia" w:ascii="宋体" w:hAnsi="宋体" w:eastAsia="宋体" w:cs="宋体"/>
                <w:kern w:val="2"/>
                <w:sz w:val="21"/>
                <w:szCs w:val="21"/>
                <w:highlight w:val="none"/>
              </w:rPr>
              <w:t>分，最高得</w:t>
            </w: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rPr>
              <w:t>分。</w:t>
            </w:r>
          </w:p>
          <w:p w14:paraId="3AB827C6">
            <w:pPr>
              <w:pStyle w:val="22"/>
              <w:numPr>
                <w:ilvl w:val="0"/>
                <w:numId w:val="0"/>
              </w:numPr>
              <w:rPr>
                <w:rFonts w:hint="eastAsia" w:ascii="宋体" w:hAnsi="宋体" w:eastAsia="宋体" w:cs="宋体"/>
                <w:kern w:val="2"/>
                <w:sz w:val="21"/>
                <w:szCs w:val="21"/>
                <w:highlight w:val="none"/>
              </w:rPr>
            </w:pPr>
            <w:r>
              <w:rPr>
                <w:rFonts w:hint="eastAsia" w:hAnsi="宋体" w:cs="宋体"/>
                <w:kern w:val="2"/>
                <w:sz w:val="21"/>
                <w:szCs w:val="21"/>
                <w:highlight w:val="none"/>
                <w:lang w:val="en-US" w:eastAsia="zh-CN"/>
              </w:rPr>
              <w:t>（3）</w:t>
            </w:r>
            <w:r>
              <w:rPr>
                <w:rFonts w:hint="eastAsia" w:ascii="宋体" w:hAnsi="宋体" w:eastAsia="宋体" w:cs="宋体"/>
                <w:kern w:val="2"/>
                <w:sz w:val="21"/>
                <w:szCs w:val="21"/>
                <w:highlight w:val="none"/>
              </w:rPr>
              <w:t>具有</w:t>
            </w:r>
            <w:r>
              <w:rPr>
                <w:rFonts w:hint="eastAsia" w:ascii="宋体" w:hAnsi="宋体" w:eastAsia="宋体" w:cs="宋体"/>
                <w:kern w:val="2"/>
                <w:sz w:val="21"/>
                <w:szCs w:val="21"/>
                <w:highlight w:val="none"/>
                <w:lang w:val="en-US" w:eastAsia="zh-CN"/>
              </w:rPr>
              <w:t>立体</w:t>
            </w:r>
            <w:r>
              <w:rPr>
                <w:rFonts w:hint="eastAsia" w:ascii="宋体" w:hAnsi="宋体" w:eastAsia="宋体" w:cs="宋体"/>
                <w:kern w:val="2"/>
                <w:sz w:val="21"/>
                <w:szCs w:val="21"/>
                <w:highlight w:val="none"/>
              </w:rPr>
              <w:t>停车相关的软件著作权证书的，每提供一项得</w:t>
            </w:r>
            <w:r>
              <w:rPr>
                <w:rFonts w:hint="eastAsia" w:hAnsi="宋体" w:cs="宋体"/>
                <w:kern w:val="2"/>
                <w:sz w:val="21"/>
                <w:szCs w:val="21"/>
                <w:highlight w:val="none"/>
                <w:lang w:val="en-US" w:eastAsia="zh-CN"/>
              </w:rPr>
              <w:t>1</w:t>
            </w:r>
            <w:r>
              <w:rPr>
                <w:rFonts w:hint="eastAsia" w:ascii="宋体" w:hAnsi="宋体" w:eastAsia="宋体" w:cs="宋体"/>
                <w:kern w:val="2"/>
                <w:sz w:val="21"/>
                <w:szCs w:val="21"/>
                <w:highlight w:val="none"/>
              </w:rPr>
              <w:t>分，最高得</w:t>
            </w:r>
            <w:r>
              <w:rPr>
                <w:rFonts w:hint="eastAsia" w:hAnsi="宋体" w:cs="宋体"/>
                <w:kern w:val="2"/>
                <w:sz w:val="21"/>
                <w:szCs w:val="21"/>
                <w:highlight w:val="none"/>
                <w:lang w:val="en-US" w:eastAsia="zh-CN"/>
              </w:rPr>
              <w:t>2</w:t>
            </w:r>
            <w:r>
              <w:rPr>
                <w:rFonts w:hint="eastAsia" w:ascii="宋体" w:hAnsi="宋体" w:eastAsia="宋体" w:cs="宋体"/>
                <w:kern w:val="2"/>
                <w:sz w:val="21"/>
                <w:szCs w:val="21"/>
                <w:highlight w:val="none"/>
              </w:rPr>
              <w:t>分。</w:t>
            </w:r>
          </w:p>
          <w:p w14:paraId="69A3FB71">
            <w:pPr>
              <w:widowControl/>
              <w:spacing w:line="320" w:lineRule="exact"/>
              <w:jc w:val="left"/>
              <w:rPr>
                <w:rFonts w:cs="Calibri"/>
                <w:kern w:val="0"/>
                <w:szCs w:val="21"/>
                <w:highlight w:val="none"/>
              </w:rPr>
            </w:pPr>
            <w:r>
              <w:rPr>
                <w:rFonts w:hint="eastAsia" w:ascii="宋体" w:hAnsi="宋体" w:cs="宋体"/>
                <w:kern w:val="2"/>
                <w:sz w:val="21"/>
                <w:szCs w:val="21"/>
                <w:highlight w:val="none"/>
                <w:lang w:eastAsia="zh-CN"/>
              </w:rPr>
              <w:t>（</w:t>
            </w:r>
            <w:r>
              <w:rPr>
                <w:rFonts w:hint="eastAsia" w:ascii="宋体" w:hAnsi="宋体" w:cs="宋体"/>
                <w:kern w:val="2"/>
                <w:sz w:val="21"/>
                <w:szCs w:val="21"/>
                <w:highlight w:val="none"/>
                <w:lang w:val="en-US" w:eastAsia="zh-CN"/>
              </w:rPr>
              <w:t>4</w:t>
            </w:r>
            <w:r>
              <w:rPr>
                <w:rFonts w:hint="eastAsia" w:ascii="宋体" w:hAnsi="宋体" w:cs="宋体"/>
                <w:kern w:val="2"/>
                <w:sz w:val="21"/>
                <w:szCs w:val="21"/>
                <w:highlight w:val="none"/>
                <w:lang w:eastAsia="zh-CN"/>
              </w:rPr>
              <w:t>）</w:t>
            </w:r>
            <w:r>
              <w:rPr>
                <w:rFonts w:hint="eastAsia" w:cs="Calibri"/>
                <w:kern w:val="0"/>
                <w:szCs w:val="21"/>
                <w:highlight w:val="none"/>
              </w:rPr>
              <w:t>自2021年1月1日至投标截止时间止，完成过质量合格的</w:t>
            </w:r>
            <w:r>
              <w:rPr>
                <w:rFonts w:hint="eastAsia" w:cs="Calibri"/>
                <w:kern w:val="0"/>
                <w:szCs w:val="21"/>
                <w:highlight w:val="none"/>
                <w:lang w:val="en-US" w:eastAsia="zh-CN"/>
              </w:rPr>
              <w:t>垂直循环类停车设备供货</w:t>
            </w:r>
            <w:r>
              <w:rPr>
                <w:rFonts w:hint="eastAsia" w:cs="Calibri"/>
                <w:kern w:val="0"/>
                <w:szCs w:val="21"/>
                <w:highlight w:val="none"/>
              </w:rPr>
              <w:t>业绩：每项得</w:t>
            </w:r>
            <w:r>
              <w:rPr>
                <w:rFonts w:hint="eastAsia" w:cs="Calibri"/>
                <w:kern w:val="0"/>
                <w:szCs w:val="21"/>
                <w:highlight w:val="none"/>
                <w:lang w:val="en-US" w:eastAsia="zh-CN"/>
              </w:rPr>
              <w:t>1</w:t>
            </w:r>
            <w:r>
              <w:rPr>
                <w:rFonts w:hint="eastAsia" w:cs="Calibri"/>
                <w:kern w:val="0"/>
                <w:szCs w:val="21"/>
                <w:highlight w:val="none"/>
              </w:rPr>
              <w:t>分，本小项最高得</w:t>
            </w:r>
            <w:r>
              <w:rPr>
                <w:rFonts w:hint="eastAsia" w:cs="Calibri"/>
                <w:kern w:val="0"/>
                <w:szCs w:val="21"/>
                <w:highlight w:val="none"/>
                <w:lang w:val="en-US" w:eastAsia="zh-CN"/>
              </w:rPr>
              <w:t>5</w:t>
            </w:r>
            <w:r>
              <w:rPr>
                <w:rFonts w:hint="eastAsia" w:cs="Calibri"/>
                <w:kern w:val="0"/>
                <w:szCs w:val="21"/>
                <w:highlight w:val="none"/>
              </w:rPr>
              <w:t>分。不满足上述情况的，不得分。</w:t>
            </w:r>
          </w:p>
          <w:p w14:paraId="2FD47CC4">
            <w:pPr>
              <w:rPr>
                <w:rFonts w:hint="default" w:eastAsia="宋体"/>
                <w:highlight w:val="none"/>
                <w:lang w:val="en-US" w:eastAsia="zh-CN"/>
              </w:rPr>
            </w:pPr>
            <w:r>
              <w:rPr>
                <w:rFonts w:hint="eastAsia"/>
                <w:highlight w:val="none"/>
                <w:lang w:val="en-US" w:eastAsia="zh-CN"/>
              </w:rPr>
              <w:t>注：业绩</w:t>
            </w:r>
            <w:r>
              <w:rPr>
                <w:rFonts w:hint="eastAsia"/>
                <w:highlight w:val="none"/>
              </w:rPr>
              <w:t>须提供合同关键页</w:t>
            </w:r>
            <w:r>
              <w:rPr>
                <w:rFonts w:hint="eastAsia"/>
                <w:highlight w:val="none"/>
                <w:lang w:eastAsia="zh-CN"/>
              </w:rPr>
              <w:t>（</w:t>
            </w:r>
            <w:r>
              <w:rPr>
                <w:rFonts w:hint="eastAsia"/>
                <w:highlight w:val="none"/>
              </w:rPr>
              <w:t>含签订合同各单位名称、项目名称、签订合同双方的落款盖章</w:t>
            </w:r>
            <w:r>
              <w:rPr>
                <w:rFonts w:hint="eastAsia"/>
                <w:highlight w:val="none"/>
                <w:lang w:eastAsia="zh-CN"/>
              </w:rPr>
              <w:t>）</w:t>
            </w:r>
            <w:r>
              <w:rPr>
                <w:rFonts w:hint="eastAsia"/>
                <w:highlight w:val="none"/>
              </w:rPr>
              <w:t>和特种设备安全检验机构出具的验收报告证明复印件作为评审依据，否则不得分。时间以合同签订时间为准。不符合上述条件或不提供证明材料的，不得分。</w:t>
            </w:r>
          </w:p>
        </w:tc>
      </w:tr>
      <w:tr w14:paraId="3857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0" w:hRule="atLeast"/>
          <w:jc w:val="center"/>
        </w:trPr>
        <w:tc>
          <w:tcPr>
            <w:tcW w:w="502" w:type="pct"/>
            <w:vMerge w:val="restart"/>
            <w:tcBorders>
              <w:top w:val="single" w:color="auto" w:sz="4" w:space="0"/>
              <w:left w:val="single" w:color="auto" w:sz="4" w:space="0"/>
              <w:right w:val="single" w:color="auto" w:sz="4" w:space="0"/>
            </w:tcBorders>
            <w:vAlign w:val="center"/>
          </w:tcPr>
          <w:p w14:paraId="4899283E">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p>
        </w:tc>
        <w:tc>
          <w:tcPr>
            <w:tcW w:w="644" w:type="pct"/>
            <w:vMerge w:val="restart"/>
            <w:tcBorders>
              <w:top w:val="single" w:color="auto" w:sz="4" w:space="0"/>
              <w:left w:val="single" w:color="auto" w:sz="4" w:space="0"/>
              <w:right w:val="single" w:color="auto" w:sz="4" w:space="0"/>
            </w:tcBorders>
            <w:vAlign w:val="center"/>
          </w:tcPr>
          <w:p w14:paraId="5A47CEBC">
            <w:pPr>
              <w:jc w:val="center"/>
              <w:rPr>
                <w:rFonts w:hint="eastAsia" w:ascii="宋体" w:hAnsi="宋体" w:cs="宋体"/>
                <w:szCs w:val="21"/>
                <w:highlight w:val="none"/>
              </w:rPr>
            </w:pPr>
            <w:r>
              <w:rPr>
                <w:rFonts w:hint="eastAsia" w:ascii="宋体" w:hAnsi="宋体" w:cs="宋体"/>
                <w:szCs w:val="21"/>
                <w:highlight w:val="none"/>
              </w:rPr>
              <w:t>设计方案</w:t>
            </w:r>
          </w:p>
          <w:p w14:paraId="6346E851">
            <w:pPr>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35</w:t>
            </w:r>
            <w:r>
              <w:rPr>
                <w:rFonts w:hint="eastAsia" w:ascii="宋体" w:hAnsi="宋体" w:cs="宋体"/>
                <w:szCs w:val="21"/>
                <w:highlight w:val="none"/>
              </w:rPr>
              <w:t>分）</w:t>
            </w:r>
          </w:p>
        </w:tc>
        <w:tc>
          <w:tcPr>
            <w:tcW w:w="3853" w:type="pct"/>
            <w:tcBorders>
              <w:top w:val="single" w:color="auto" w:sz="4" w:space="0"/>
              <w:left w:val="single" w:color="auto" w:sz="4" w:space="0"/>
              <w:bottom w:val="single" w:color="auto" w:sz="4" w:space="0"/>
              <w:right w:val="single" w:color="auto" w:sz="4" w:space="0"/>
            </w:tcBorders>
            <w:vAlign w:val="center"/>
          </w:tcPr>
          <w:p w14:paraId="5EB1BCF0">
            <w:pPr>
              <w:jc w:val="left"/>
              <w:rPr>
                <w:rFonts w:hint="eastAsia" w:ascii="宋体" w:hAnsi="宋体" w:cs="宋体"/>
                <w:b/>
                <w:bCs/>
                <w:szCs w:val="21"/>
                <w:highlight w:val="none"/>
              </w:rPr>
            </w:pPr>
            <w:r>
              <w:rPr>
                <w:rFonts w:hint="eastAsia" w:ascii="宋体" w:hAnsi="宋体" w:cs="宋体"/>
                <w:b/>
                <w:bCs/>
                <w:szCs w:val="21"/>
                <w:highlight w:val="none"/>
              </w:rPr>
              <w:t>1、定标委员会对合格的中标候选人的项目理解与分析进行评审：</w:t>
            </w:r>
          </w:p>
          <w:p w14:paraId="44C14F2E">
            <w:pPr>
              <w:widowControl/>
              <w:jc w:val="left"/>
              <w:rPr>
                <w:rFonts w:hint="eastAsia" w:ascii="宋体" w:hAnsi="宋体" w:cs="宋体"/>
                <w:szCs w:val="21"/>
                <w:highlight w:val="none"/>
              </w:rPr>
            </w:pPr>
            <w:r>
              <w:rPr>
                <w:rFonts w:hint="eastAsia" w:ascii="宋体" w:hAnsi="宋体" w:cs="宋体"/>
                <w:szCs w:val="21"/>
                <w:highlight w:val="none"/>
              </w:rPr>
              <w:t>（1）对招标区域及场地条件展开了多维度、深层次的调研，涵盖区域规划、地质水文、周边交通、人文历史等。精准且全面地识别本项目设计重点与难点，不仅包括常规的功能布局、技术实现，还深入挖掘如文化传承、可持续发展等潜在挑战，提出的应对策略兼具创新性与可行性。整体设计思路逻辑严密、层次分明，充分展现对项目的深刻理解与独特见解，得（</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]分；</w:t>
            </w:r>
          </w:p>
          <w:p w14:paraId="758A6E89">
            <w:pPr>
              <w:widowControl/>
              <w:jc w:val="left"/>
              <w:rPr>
                <w:rFonts w:hint="eastAsia" w:ascii="宋体" w:hAnsi="宋体" w:cs="宋体"/>
                <w:szCs w:val="21"/>
                <w:highlight w:val="none"/>
              </w:rPr>
            </w:pPr>
            <w:r>
              <w:rPr>
                <w:rFonts w:hint="eastAsia" w:ascii="宋体" w:hAnsi="宋体" w:cs="宋体"/>
                <w:szCs w:val="21"/>
                <w:highlight w:val="none"/>
              </w:rPr>
              <w:t>（2）较全面地掌握招标区域及场地条件，对场地特点有清晰认知。准确梳理本项目设计的主要重点、难点，如空间利用、结构设计等，并给出合理的解决思路。设计思路较为清晰，能围绕项目核心需求构建设计框架，但在创新性和创意方面有所欠缺，得（5，</w:t>
            </w:r>
            <w:r>
              <w:rPr>
                <w:rFonts w:hint="eastAsia" w:ascii="宋体" w:hAnsi="宋体" w:cs="宋体"/>
                <w:szCs w:val="21"/>
                <w:highlight w:val="none"/>
                <w:lang w:val="en-US" w:eastAsia="zh-CN"/>
              </w:rPr>
              <w:t>7</w:t>
            </w:r>
            <w:r>
              <w:rPr>
                <w:rFonts w:hint="eastAsia" w:ascii="宋体" w:hAnsi="宋体" w:cs="宋体"/>
                <w:szCs w:val="21"/>
                <w:highlight w:val="none"/>
              </w:rPr>
              <w:t>]分；</w:t>
            </w:r>
          </w:p>
          <w:p w14:paraId="2087DBBF">
            <w:pPr>
              <w:widowControl/>
              <w:jc w:val="left"/>
              <w:rPr>
                <w:rFonts w:hint="eastAsia" w:ascii="宋体" w:hAnsi="宋体" w:cs="宋体"/>
                <w:szCs w:val="21"/>
                <w:highlight w:val="none"/>
              </w:rPr>
            </w:pPr>
            <w:r>
              <w:rPr>
                <w:rFonts w:hint="eastAsia" w:ascii="宋体" w:hAnsi="宋体" w:cs="宋体"/>
                <w:szCs w:val="21"/>
                <w:highlight w:val="none"/>
              </w:rPr>
              <w:t>（3）对招标区域及场地条件有初步认识，掌握了部分基础信息，但不够深入细致，存在信息缺漏。对本项目设计重点、难点的分析较为浅显，仅涉及表面问题，缺乏针对性。整体设计思路基本清晰，但设计方案较为粗糙，缺乏细节，难以充分体现项目特色与需求，得（2，5]分。</w:t>
            </w:r>
          </w:p>
          <w:p w14:paraId="671AFE9F">
            <w:pPr>
              <w:widowControl/>
              <w:jc w:val="left"/>
              <w:rPr>
                <w:rFonts w:hint="eastAsia" w:ascii="宋体" w:hAnsi="宋体"/>
                <w:kern w:val="0"/>
                <w:szCs w:val="21"/>
                <w:highlight w:val="none"/>
                <w:lang w:bidi="ar"/>
              </w:rPr>
            </w:pPr>
            <w:r>
              <w:rPr>
                <w:rFonts w:hint="eastAsia" w:ascii="宋体" w:hAnsi="宋体" w:cs="宋体"/>
                <w:szCs w:val="21"/>
                <w:highlight w:val="none"/>
              </w:rPr>
              <w:t>（4）对招标区域及场地条件了解严重不足，未能准确把握场地基本情况。对本项目设计重点、难点认识模糊，甚至存在误判，提出的应对措施空洞无物、不切实际。整体设计思路混乱，无法满足项目基本设计要求；或未提供相关内容，得[0，2]分。</w:t>
            </w:r>
          </w:p>
        </w:tc>
      </w:tr>
      <w:tr w14:paraId="1721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8" w:hRule="atLeast"/>
          <w:jc w:val="center"/>
        </w:trPr>
        <w:tc>
          <w:tcPr>
            <w:tcW w:w="502" w:type="pct"/>
            <w:vMerge w:val="continue"/>
            <w:tcBorders>
              <w:left w:val="single" w:color="auto" w:sz="4" w:space="0"/>
              <w:bottom w:val="single" w:color="auto" w:sz="4" w:space="0"/>
              <w:right w:val="single" w:color="auto" w:sz="4" w:space="0"/>
            </w:tcBorders>
            <w:vAlign w:val="center"/>
          </w:tcPr>
          <w:p w14:paraId="78B68B16">
            <w:pPr>
              <w:jc w:val="center"/>
              <w:rPr>
                <w:rFonts w:hint="eastAsia" w:ascii="宋体" w:hAnsi="宋体" w:cs="宋体"/>
                <w:szCs w:val="21"/>
                <w:highlight w:val="none"/>
              </w:rPr>
            </w:pPr>
          </w:p>
        </w:tc>
        <w:tc>
          <w:tcPr>
            <w:tcW w:w="644" w:type="pct"/>
            <w:vMerge w:val="continue"/>
            <w:tcBorders>
              <w:left w:val="single" w:color="auto" w:sz="4" w:space="0"/>
              <w:right w:val="single" w:color="auto" w:sz="4" w:space="0"/>
            </w:tcBorders>
            <w:vAlign w:val="center"/>
          </w:tcPr>
          <w:p w14:paraId="149DFCB8">
            <w:pPr>
              <w:jc w:val="center"/>
              <w:rPr>
                <w:rFonts w:hint="eastAsia" w:ascii="宋体" w:hAnsi="宋体" w:cs="宋体"/>
                <w:szCs w:val="21"/>
                <w:highlight w:val="none"/>
              </w:rPr>
            </w:pPr>
          </w:p>
        </w:tc>
        <w:tc>
          <w:tcPr>
            <w:tcW w:w="3853" w:type="pct"/>
            <w:tcBorders>
              <w:top w:val="single" w:color="auto" w:sz="4" w:space="0"/>
              <w:left w:val="single" w:color="auto" w:sz="4" w:space="0"/>
              <w:bottom w:val="single" w:color="auto" w:sz="4" w:space="0"/>
              <w:right w:val="single" w:color="auto" w:sz="4" w:space="0"/>
            </w:tcBorders>
            <w:vAlign w:val="center"/>
          </w:tcPr>
          <w:p w14:paraId="021A04D1">
            <w:pPr>
              <w:jc w:val="left"/>
              <w:rPr>
                <w:rFonts w:hint="eastAsia" w:ascii="宋体" w:hAnsi="宋体" w:cs="宋体"/>
                <w:b/>
                <w:bCs/>
                <w:szCs w:val="21"/>
                <w:highlight w:val="none"/>
              </w:rPr>
            </w:pPr>
            <w:r>
              <w:rPr>
                <w:rFonts w:hint="eastAsia" w:ascii="宋体" w:hAnsi="宋体" w:cs="宋体"/>
                <w:b/>
                <w:bCs/>
                <w:szCs w:val="21"/>
                <w:highlight w:val="none"/>
              </w:rPr>
              <w:t>2、定标委员会对合格的中标候选人的设计总体方案进行评审：</w:t>
            </w:r>
          </w:p>
          <w:p w14:paraId="1D9B9D3E">
            <w:pPr>
              <w:widowControl/>
              <w:jc w:val="left"/>
              <w:rPr>
                <w:rFonts w:hint="eastAsia" w:ascii="宋体" w:hAnsi="宋体" w:cs="宋体"/>
                <w:szCs w:val="21"/>
                <w:highlight w:val="none"/>
              </w:rPr>
            </w:pPr>
            <w:r>
              <w:rPr>
                <w:rFonts w:hint="eastAsia" w:ascii="宋体" w:hAnsi="宋体" w:cs="宋体"/>
                <w:szCs w:val="21"/>
                <w:highlight w:val="none"/>
              </w:rPr>
              <w:t>（1）设计总体方案完全满足招标文件各项要求，能精准把握当地自然风貌、人文特色、气候条件等要素，将其巧妙融入规划设计中，实现全方位因地制宜。布局结构科学合理且层次分明，各功能分区明确、衔接流畅，充分满足项目使用需求与发展规划。建筑环境与空间造型实用新颖，建筑与周边环境、内部空间的和谐统一，视觉效果好。同时，深度契合项目产业特征，从功能定位到风格塑造，均能精准体现产业特色与发展理念，展现高水平的设计水准与专业能力，得（</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]分；</w:t>
            </w:r>
          </w:p>
          <w:p w14:paraId="20BC3760">
            <w:pPr>
              <w:widowControl/>
              <w:jc w:val="left"/>
              <w:rPr>
                <w:rFonts w:hint="eastAsia" w:ascii="宋体" w:hAnsi="宋体" w:cs="宋体"/>
                <w:szCs w:val="21"/>
                <w:highlight w:val="none"/>
              </w:rPr>
            </w:pPr>
            <w:r>
              <w:rPr>
                <w:rFonts w:hint="eastAsia" w:ascii="宋体" w:hAnsi="宋体" w:cs="宋体"/>
                <w:szCs w:val="21"/>
                <w:highlight w:val="none"/>
              </w:rPr>
              <w:t>（2）设计总体方案满足招标文件核心要求，充分考虑地域环境条件，在规划设计中体现了因地制宜的原则。布局结构清晰，功能布置较为合理，能满足项目的主要使用功能。建筑环境与空间造型协调美观，整体风格较为统一。方案与项目产业特征相符，能够体现产业的基本需求，但在创新性和细节处理上有待提升，得（5，</w:t>
            </w:r>
            <w:r>
              <w:rPr>
                <w:rFonts w:hint="eastAsia" w:ascii="宋体" w:hAnsi="宋体" w:cs="宋体"/>
                <w:szCs w:val="21"/>
                <w:highlight w:val="none"/>
                <w:lang w:val="en-US" w:eastAsia="zh-CN"/>
              </w:rPr>
              <w:t>7</w:t>
            </w:r>
            <w:r>
              <w:rPr>
                <w:rFonts w:hint="eastAsia" w:ascii="宋体" w:hAnsi="宋体" w:cs="宋体"/>
                <w:szCs w:val="21"/>
                <w:highlight w:val="none"/>
              </w:rPr>
              <w:t>]分；</w:t>
            </w:r>
          </w:p>
          <w:p w14:paraId="70C17B43">
            <w:pPr>
              <w:widowControl/>
              <w:jc w:val="left"/>
              <w:rPr>
                <w:rFonts w:hint="eastAsia" w:ascii="宋体" w:hAnsi="宋体" w:cs="宋体"/>
                <w:szCs w:val="21"/>
                <w:highlight w:val="none"/>
              </w:rPr>
            </w:pPr>
            <w:r>
              <w:rPr>
                <w:rFonts w:hint="eastAsia" w:ascii="宋体" w:hAnsi="宋体" w:cs="宋体"/>
                <w:szCs w:val="21"/>
                <w:highlight w:val="none"/>
              </w:rPr>
              <w:t>（3）设计总体方案基本符合招标文件要求，对地域环境条件有一定考虑，但结合不够紧密，未能充分发挥地域优势。布局结构存在部分不合理之处，功能布置仅能满足基础使用需求，缺乏优化设计。建筑环境与空间造型效果一般，风格较为平淡，缺乏独特性和吸引力。与项目产业特征关联度不高，未能深入展现产业特色，设计方案整体较为普通，得（2，5]分。</w:t>
            </w:r>
          </w:p>
          <w:p w14:paraId="0750645D">
            <w:pPr>
              <w:widowControl/>
              <w:jc w:val="left"/>
              <w:rPr>
                <w:rFonts w:hint="eastAsia" w:ascii="宋体" w:hAnsi="宋体"/>
                <w:kern w:val="0"/>
                <w:szCs w:val="21"/>
                <w:highlight w:val="none"/>
                <w:lang w:bidi="ar"/>
              </w:rPr>
            </w:pPr>
            <w:r>
              <w:rPr>
                <w:rFonts w:hint="eastAsia" w:ascii="宋体" w:hAnsi="宋体" w:cs="宋体"/>
                <w:szCs w:val="21"/>
                <w:highlight w:val="none"/>
              </w:rPr>
              <w:t>（4）设计总体方案不满足招标文件要求，未考虑地域环境，布局混乱、功能不合理，无法满足使用需求。建筑造型与环境不协调，无美感，严重脱离产业特征；或未提供相关内容，得[0，2]分。</w:t>
            </w:r>
          </w:p>
        </w:tc>
      </w:tr>
      <w:tr w14:paraId="3389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6" w:hRule="atLeast"/>
          <w:jc w:val="center"/>
        </w:trPr>
        <w:tc>
          <w:tcPr>
            <w:tcW w:w="502" w:type="pct"/>
            <w:vMerge w:val="continue"/>
            <w:tcBorders>
              <w:left w:val="single" w:color="auto" w:sz="4" w:space="0"/>
              <w:bottom w:val="single" w:color="auto" w:sz="4" w:space="0"/>
              <w:right w:val="single" w:color="auto" w:sz="4" w:space="0"/>
            </w:tcBorders>
            <w:vAlign w:val="center"/>
          </w:tcPr>
          <w:p w14:paraId="43D1B3A8">
            <w:pPr>
              <w:jc w:val="center"/>
              <w:rPr>
                <w:rFonts w:hint="eastAsia" w:ascii="宋体" w:hAnsi="宋体" w:cs="宋体"/>
                <w:szCs w:val="21"/>
                <w:highlight w:val="none"/>
              </w:rPr>
            </w:pPr>
          </w:p>
        </w:tc>
        <w:tc>
          <w:tcPr>
            <w:tcW w:w="644" w:type="pct"/>
            <w:vMerge w:val="continue"/>
            <w:tcBorders>
              <w:left w:val="single" w:color="auto" w:sz="4" w:space="0"/>
              <w:right w:val="single" w:color="auto" w:sz="4" w:space="0"/>
            </w:tcBorders>
            <w:vAlign w:val="center"/>
          </w:tcPr>
          <w:p w14:paraId="726EADBD">
            <w:pPr>
              <w:jc w:val="center"/>
              <w:rPr>
                <w:rFonts w:hint="eastAsia" w:ascii="宋体" w:hAnsi="宋体" w:cs="宋体"/>
                <w:szCs w:val="21"/>
                <w:highlight w:val="none"/>
              </w:rPr>
            </w:pPr>
          </w:p>
        </w:tc>
        <w:tc>
          <w:tcPr>
            <w:tcW w:w="3853" w:type="pct"/>
            <w:tcBorders>
              <w:top w:val="single" w:color="auto" w:sz="4" w:space="0"/>
              <w:left w:val="single" w:color="auto" w:sz="4" w:space="0"/>
              <w:bottom w:val="single" w:color="auto" w:sz="4" w:space="0"/>
              <w:right w:val="single" w:color="auto" w:sz="4" w:space="0"/>
            </w:tcBorders>
            <w:vAlign w:val="center"/>
          </w:tcPr>
          <w:p w14:paraId="43104075">
            <w:pPr>
              <w:jc w:val="left"/>
              <w:rPr>
                <w:rFonts w:hint="eastAsia" w:ascii="宋体" w:hAnsi="宋体" w:cs="宋体"/>
                <w:b/>
                <w:bCs/>
                <w:szCs w:val="21"/>
                <w:highlight w:val="none"/>
              </w:rPr>
            </w:pPr>
            <w:r>
              <w:rPr>
                <w:rFonts w:hint="eastAsia" w:ascii="宋体" w:hAnsi="宋体" w:cs="宋体"/>
                <w:b/>
                <w:bCs/>
                <w:szCs w:val="21"/>
                <w:highlight w:val="none"/>
              </w:rPr>
              <w:t>3、定标委员会对合格的中标候选人的停车位布置、交通组织、竖向设计、消防设计、综合管线规划进行评审：</w:t>
            </w:r>
          </w:p>
          <w:p w14:paraId="66948B9B">
            <w:pPr>
              <w:widowControl/>
              <w:jc w:val="left"/>
              <w:rPr>
                <w:rFonts w:hint="eastAsia" w:ascii="宋体" w:hAnsi="宋体" w:cs="宋体"/>
                <w:szCs w:val="21"/>
                <w:highlight w:val="none"/>
              </w:rPr>
            </w:pPr>
            <w:r>
              <w:rPr>
                <w:rFonts w:hint="eastAsia" w:ascii="宋体" w:hAnsi="宋体" w:cs="宋体"/>
                <w:szCs w:val="21"/>
                <w:highlight w:val="none"/>
              </w:rPr>
              <w:t>（1）停车位布置科学合理，充分结合流量及流向，实现高效、便捷的运行。交通组织规划细致入微，人车分流明确，道路宽度、坡度等参数设置合理，交通流线简明顺畅，有效避免拥堵。竖向设计深度结合场地地形地貌、排水需求等因素，既保证场地稳定性，又实现土方平衡与景观塑造的有机结合。综合管线规划采用先进技术和理念，布局紧凑、经济高效，各管线走向清晰、互不干扰。同时，规划设计全面满足消防、救护、抗灾、避灾等规范要求，安全保障体系完善，得（</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]分；</w:t>
            </w:r>
          </w:p>
          <w:p w14:paraId="7D2EAAEA">
            <w:pPr>
              <w:widowControl/>
              <w:jc w:val="left"/>
              <w:rPr>
                <w:rFonts w:hint="eastAsia" w:ascii="宋体" w:hAnsi="宋体" w:cs="宋体"/>
                <w:szCs w:val="21"/>
                <w:highlight w:val="none"/>
              </w:rPr>
            </w:pPr>
            <w:r>
              <w:rPr>
                <w:rFonts w:hint="eastAsia" w:ascii="宋体" w:hAnsi="宋体" w:cs="宋体"/>
                <w:szCs w:val="21"/>
                <w:highlight w:val="none"/>
              </w:rPr>
              <w:t>（2）停车位布置合理，能够满足基本的停车需求，对停车导向的主要流程和节点进行了有效规划。交通组织较为顺畅，人车分流设计基本合理，道路系统能够保障交通通行。竖向设计结合了场地实际情况，对地形进行了适当改造和利用。综合管线规划满足基本功能要求，各管线布局较为合理。规划设计符合消防、救护、抗灾、避灾等基本规范，但在细节优化和特殊情况应对方面存在不足，得（5，</w:t>
            </w:r>
            <w:r>
              <w:rPr>
                <w:rFonts w:hint="eastAsia" w:ascii="宋体" w:hAnsi="宋体" w:cs="宋体"/>
                <w:szCs w:val="21"/>
                <w:highlight w:val="none"/>
                <w:lang w:val="en-US" w:eastAsia="zh-CN"/>
              </w:rPr>
              <w:t>7</w:t>
            </w:r>
            <w:r>
              <w:rPr>
                <w:rFonts w:hint="eastAsia" w:ascii="宋体" w:hAnsi="宋体" w:cs="宋体"/>
                <w:szCs w:val="21"/>
                <w:highlight w:val="none"/>
              </w:rPr>
              <w:t>]分；</w:t>
            </w:r>
          </w:p>
          <w:p w14:paraId="29BF7CF7">
            <w:pPr>
              <w:widowControl/>
              <w:jc w:val="left"/>
              <w:rPr>
                <w:rFonts w:hint="eastAsia" w:ascii="宋体" w:hAnsi="宋体" w:cs="宋体"/>
                <w:szCs w:val="21"/>
                <w:highlight w:val="none"/>
              </w:rPr>
            </w:pPr>
            <w:r>
              <w:rPr>
                <w:rFonts w:hint="eastAsia" w:ascii="宋体" w:hAnsi="宋体" w:cs="宋体"/>
                <w:szCs w:val="21"/>
                <w:highlight w:val="none"/>
              </w:rPr>
              <w:t>（3）停车位布置存在部分不合理之处，运行效率受到一定影响。交通组织存在流线交叉、通行不畅等问题，人车分流设计不够完善。竖向设计对场地条件的利用不够充分，存在土方调配不合理、排水不畅等潜在风险。综合管线规划较为简单，部分管线存在交叉冲突隐患。规划设计仅满足消防、救护、抗灾、避灾等部分基本要求，安全保障措施不够全面，得（2，5]分。</w:t>
            </w:r>
          </w:p>
          <w:p w14:paraId="48FC8BAA">
            <w:pPr>
              <w:widowControl/>
              <w:jc w:val="left"/>
              <w:rPr>
                <w:rFonts w:hint="eastAsia" w:ascii="宋体" w:hAnsi="宋体"/>
                <w:kern w:val="0"/>
                <w:szCs w:val="21"/>
                <w:highlight w:val="none"/>
                <w:lang w:bidi="ar"/>
              </w:rPr>
            </w:pPr>
            <w:r>
              <w:rPr>
                <w:rFonts w:hint="eastAsia" w:ascii="宋体" w:hAnsi="宋体" w:cs="宋体"/>
                <w:szCs w:val="21"/>
                <w:highlight w:val="none"/>
              </w:rPr>
              <w:t>（4）停车导向线路混乱无序，严重影响运作。交通组织杂乱无章，存在重大通行安全隐患。竖向设计不合理，导致场地稳定性差、排水系统失效。综合管线规划混乱，无法正常使用。不满足关键安全规范；或未提供相关内容，得[0，2]分。</w:t>
            </w:r>
          </w:p>
        </w:tc>
      </w:tr>
      <w:tr w14:paraId="2812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8" w:hRule="atLeast"/>
          <w:jc w:val="center"/>
        </w:trPr>
        <w:tc>
          <w:tcPr>
            <w:tcW w:w="502" w:type="pct"/>
            <w:vMerge w:val="continue"/>
            <w:tcBorders>
              <w:left w:val="single" w:color="auto" w:sz="4" w:space="0"/>
              <w:bottom w:val="single" w:color="auto" w:sz="4" w:space="0"/>
              <w:right w:val="single" w:color="auto" w:sz="4" w:space="0"/>
            </w:tcBorders>
            <w:vAlign w:val="center"/>
          </w:tcPr>
          <w:p w14:paraId="371A9BAE">
            <w:pPr>
              <w:jc w:val="center"/>
              <w:rPr>
                <w:rFonts w:hint="eastAsia" w:ascii="宋体" w:hAnsi="宋体" w:cs="宋体"/>
                <w:szCs w:val="21"/>
                <w:highlight w:val="none"/>
              </w:rPr>
            </w:pPr>
          </w:p>
        </w:tc>
        <w:tc>
          <w:tcPr>
            <w:tcW w:w="644" w:type="pct"/>
            <w:vMerge w:val="continue"/>
            <w:tcBorders>
              <w:left w:val="single" w:color="auto" w:sz="4" w:space="0"/>
              <w:bottom w:val="single" w:color="auto" w:sz="4" w:space="0"/>
              <w:right w:val="single" w:color="auto" w:sz="4" w:space="0"/>
            </w:tcBorders>
            <w:vAlign w:val="center"/>
          </w:tcPr>
          <w:p w14:paraId="076F96C0">
            <w:pPr>
              <w:jc w:val="center"/>
              <w:rPr>
                <w:rFonts w:hint="eastAsia" w:ascii="宋体" w:hAnsi="宋体" w:cs="宋体"/>
                <w:szCs w:val="21"/>
                <w:highlight w:val="none"/>
              </w:rPr>
            </w:pPr>
          </w:p>
        </w:tc>
        <w:tc>
          <w:tcPr>
            <w:tcW w:w="3853" w:type="pct"/>
            <w:tcBorders>
              <w:top w:val="single" w:color="auto" w:sz="4" w:space="0"/>
              <w:left w:val="single" w:color="auto" w:sz="4" w:space="0"/>
              <w:bottom w:val="single" w:color="auto" w:sz="4" w:space="0"/>
              <w:right w:val="single" w:color="auto" w:sz="4" w:space="0"/>
            </w:tcBorders>
            <w:vAlign w:val="center"/>
          </w:tcPr>
          <w:p w14:paraId="7B3FC5CF">
            <w:pPr>
              <w:jc w:val="left"/>
              <w:rPr>
                <w:rFonts w:hint="eastAsia" w:ascii="宋体" w:hAnsi="宋体" w:cs="宋体"/>
                <w:b/>
                <w:bCs/>
                <w:szCs w:val="21"/>
                <w:highlight w:val="none"/>
              </w:rPr>
            </w:pPr>
            <w:r>
              <w:rPr>
                <w:rFonts w:hint="eastAsia" w:ascii="宋体" w:hAnsi="宋体" w:cs="宋体"/>
                <w:b/>
                <w:bCs/>
                <w:szCs w:val="21"/>
                <w:highlight w:val="none"/>
              </w:rPr>
              <w:t>4、定标委员会对合格的中标候选人的管理体系进行评审：</w:t>
            </w:r>
          </w:p>
          <w:p w14:paraId="2431DAB9">
            <w:pPr>
              <w:widowControl/>
              <w:jc w:val="left"/>
              <w:rPr>
                <w:rFonts w:hint="eastAsia" w:ascii="宋体" w:hAnsi="宋体" w:cs="宋体"/>
                <w:szCs w:val="21"/>
                <w:highlight w:val="none"/>
              </w:rPr>
            </w:pPr>
            <w:r>
              <w:rPr>
                <w:rFonts w:hint="eastAsia" w:ascii="宋体" w:hAnsi="宋体" w:cs="宋体"/>
                <w:szCs w:val="21"/>
                <w:highlight w:val="none"/>
              </w:rPr>
              <w:t>（1）质量、进度、保密管理体系完备。质量管控覆盖设计全流程，从方案策划到成果交付，实施多级严格审核，配合健全的风险防控机制；进度计划科学合理，精准匹配项目需求与资源配置；保密制度全面，资料管理全流程规范，能全方位保障设计管理的高质量与安全性，得（</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]分；</w:t>
            </w:r>
          </w:p>
          <w:p w14:paraId="10E30392">
            <w:pPr>
              <w:widowControl/>
              <w:jc w:val="left"/>
              <w:rPr>
                <w:rFonts w:hint="eastAsia" w:ascii="宋体" w:hAnsi="宋体" w:cs="宋体"/>
                <w:szCs w:val="21"/>
                <w:highlight w:val="none"/>
              </w:rPr>
            </w:pPr>
            <w:r>
              <w:rPr>
                <w:rFonts w:hint="eastAsia" w:ascii="宋体" w:hAnsi="宋体" w:cs="宋体"/>
                <w:szCs w:val="21"/>
                <w:highlight w:val="none"/>
              </w:rPr>
              <w:t>（2）具备系统的质量、进度、保密管理措施。质量管控流程较为全面，关键环节把控到位；安全管理严格遵循行业标准；进度计划合理可行，通过常规监控手段有效保障进度；保密制度执行规范，资料管理有序，能够满足项目常规管理需求，得（</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]分；</w:t>
            </w:r>
          </w:p>
          <w:p w14:paraId="656C9709">
            <w:pPr>
              <w:widowControl/>
              <w:jc w:val="left"/>
              <w:rPr>
                <w:rFonts w:hint="eastAsia" w:ascii="宋体" w:hAnsi="宋体" w:cs="宋体"/>
                <w:szCs w:val="21"/>
                <w:highlight w:val="none"/>
              </w:rPr>
            </w:pPr>
            <w:r>
              <w:rPr>
                <w:rFonts w:hint="eastAsia" w:ascii="宋体" w:hAnsi="宋体" w:cs="宋体"/>
                <w:szCs w:val="21"/>
                <w:highlight w:val="none"/>
              </w:rPr>
              <w:t>（3）质量、进度、保密管理措施存在缺失。质量管控关键环节缺失，难以保证设计质量；风险排查走过场；进度计划僵化，面对变化难以灵活应对；保密管理有漏洞，存在信息泄露隐患，仅能维持设计管理的基本运转，无法有效应对复杂状况，得（2，</w:t>
            </w:r>
            <w:r>
              <w:rPr>
                <w:rFonts w:hint="eastAsia" w:ascii="宋体" w:hAnsi="宋体" w:cs="宋体"/>
                <w:szCs w:val="21"/>
                <w:highlight w:val="none"/>
                <w:lang w:val="en-US" w:eastAsia="zh-CN"/>
              </w:rPr>
              <w:t>4</w:t>
            </w:r>
            <w:r>
              <w:rPr>
                <w:rFonts w:hint="eastAsia" w:ascii="宋体" w:hAnsi="宋体" w:cs="宋体"/>
                <w:szCs w:val="21"/>
                <w:highlight w:val="none"/>
              </w:rPr>
              <w:t>]分。</w:t>
            </w:r>
          </w:p>
          <w:p w14:paraId="342D7065">
            <w:pPr>
              <w:widowControl/>
              <w:jc w:val="left"/>
              <w:rPr>
                <w:rFonts w:hint="eastAsia" w:ascii="宋体" w:hAnsi="宋体"/>
                <w:kern w:val="0"/>
                <w:szCs w:val="21"/>
                <w:highlight w:val="none"/>
                <w:lang w:bidi="ar"/>
              </w:rPr>
            </w:pPr>
            <w:r>
              <w:rPr>
                <w:rFonts w:hint="eastAsia" w:ascii="宋体" w:hAnsi="宋体" w:cs="宋体"/>
                <w:szCs w:val="21"/>
                <w:highlight w:val="none"/>
              </w:rPr>
              <w:t>（4）管理措施严重缺失或无效。无质量、安全、进度管理体系，保密制度形同虚设。安全隐患突出、进度混乱、资料易泄露，影响项目开展；或未提供相关内容，得[0，2]分。</w:t>
            </w:r>
          </w:p>
        </w:tc>
      </w:tr>
      <w:tr w14:paraId="51CA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1" w:hRule="atLeast"/>
          <w:jc w:val="center"/>
        </w:trPr>
        <w:tc>
          <w:tcPr>
            <w:tcW w:w="502" w:type="pct"/>
            <w:vMerge w:val="restart"/>
            <w:tcBorders>
              <w:left w:val="single" w:color="auto" w:sz="4" w:space="0"/>
              <w:right w:val="single" w:color="auto" w:sz="4" w:space="0"/>
            </w:tcBorders>
            <w:shd w:val="clear" w:color="auto" w:fill="auto"/>
            <w:vAlign w:val="center"/>
          </w:tcPr>
          <w:p w14:paraId="12672C7F">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3</w:t>
            </w:r>
          </w:p>
        </w:tc>
        <w:tc>
          <w:tcPr>
            <w:tcW w:w="644" w:type="pct"/>
            <w:vMerge w:val="restart"/>
            <w:tcBorders>
              <w:left w:val="single" w:color="auto" w:sz="4" w:space="0"/>
              <w:right w:val="single" w:color="auto" w:sz="4" w:space="0"/>
            </w:tcBorders>
            <w:shd w:val="clear" w:color="auto" w:fill="auto"/>
            <w:vAlign w:val="center"/>
          </w:tcPr>
          <w:p w14:paraId="2585AE00">
            <w:pPr>
              <w:jc w:val="center"/>
              <w:rPr>
                <w:rFonts w:hint="eastAsia" w:ascii="宋体" w:hAnsi="宋体" w:cs="宋体"/>
                <w:szCs w:val="21"/>
                <w:highlight w:val="none"/>
              </w:rPr>
            </w:pPr>
            <w:r>
              <w:rPr>
                <w:rFonts w:hint="eastAsia" w:ascii="宋体" w:hAnsi="宋体" w:cs="宋体"/>
                <w:szCs w:val="21"/>
                <w:highlight w:val="none"/>
              </w:rPr>
              <w:t>施工方案（</w:t>
            </w:r>
            <w:r>
              <w:rPr>
                <w:rFonts w:hint="eastAsia" w:ascii="宋体" w:hAnsi="宋体" w:cs="宋体"/>
                <w:szCs w:val="21"/>
                <w:highlight w:val="none"/>
                <w:lang w:val="en-US" w:eastAsia="zh-CN"/>
              </w:rPr>
              <w:t>35</w:t>
            </w:r>
            <w:r>
              <w:rPr>
                <w:rFonts w:hint="eastAsia" w:ascii="宋体" w:hAnsi="宋体" w:cs="宋体"/>
                <w:szCs w:val="21"/>
                <w:highlight w:val="none"/>
              </w:rPr>
              <w:t>分）</w:t>
            </w:r>
          </w:p>
        </w:tc>
        <w:tc>
          <w:tcPr>
            <w:tcW w:w="3853" w:type="pct"/>
            <w:tcBorders>
              <w:top w:val="single" w:color="auto" w:sz="4" w:space="0"/>
              <w:left w:val="single" w:color="auto" w:sz="4" w:space="0"/>
              <w:bottom w:val="single" w:color="auto" w:sz="4" w:space="0"/>
              <w:right w:val="single" w:color="auto" w:sz="4" w:space="0"/>
            </w:tcBorders>
            <w:shd w:val="clear" w:color="auto" w:fill="auto"/>
            <w:vAlign w:val="center"/>
          </w:tcPr>
          <w:p w14:paraId="21D4B465">
            <w:pPr>
              <w:jc w:val="left"/>
              <w:rPr>
                <w:rFonts w:hint="eastAsia" w:ascii="宋体" w:hAnsi="宋体" w:eastAsia="宋体" w:cs="宋体"/>
                <w:b/>
                <w:bCs/>
                <w:szCs w:val="21"/>
                <w:highlight w:val="none"/>
              </w:rPr>
            </w:pPr>
            <w:r>
              <w:rPr>
                <w:rFonts w:hint="eastAsia" w:ascii="宋体" w:hAnsi="宋体" w:cs="宋体"/>
                <w:b/>
                <w:bCs/>
                <w:szCs w:val="21"/>
                <w:highlight w:val="none"/>
              </w:rPr>
              <w:t>1、定标委员会对合格的中标候选人</w:t>
            </w:r>
            <w:r>
              <w:rPr>
                <w:rFonts w:hint="eastAsia" w:ascii="宋体" w:hAnsi="宋体" w:eastAsia="宋体" w:cs="宋体"/>
                <w:b/>
                <w:bCs/>
                <w:szCs w:val="21"/>
                <w:highlight w:val="none"/>
              </w:rPr>
              <w:t>提供的设备</w:t>
            </w:r>
            <w:r>
              <w:rPr>
                <w:rFonts w:hint="eastAsia" w:ascii="宋体" w:hAnsi="宋体" w:eastAsia="宋体" w:cs="宋体"/>
                <w:b/>
                <w:bCs/>
                <w:szCs w:val="21"/>
                <w:highlight w:val="none"/>
                <w:lang w:val="en-US" w:eastAsia="zh-CN"/>
              </w:rPr>
              <w:t>功能</w:t>
            </w:r>
            <w:r>
              <w:rPr>
                <w:rFonts w:hint="eastAsia" w:ascii="宋体" w:hAnsi="宋体" w:eastAsia="宋体" w:cs="宋体"/>
                <w:b/>
                <w:bCs/>
                <w:szCs w:val="21"/>
                <w:highlight w:val="none"/>
              </w:rPr>
              <w:t>描述</w:t>
            </w:r>
            <w:r>
              <w:rPr>
                <w:rFonts w:hint="eastAsia" w:ascii="宋体" w:hAnsi="宋体" w:cs="宋体"/>
                <w:b/>
                <w:bCs/>
                <w:szCs w:val="21"/>
                <w:highlight w:val="none"/>
                <w:lang w:val="en-US" w:eastAsia="zh-CN"/>
              </w:rPr>
              <w:t>及售后服务</w:t>
            </w:r>
            <w:r>
              <w:rPr>
                <w:rFonts w:hint="eastAsia" w:ascii="宋体" w:hAnsi="宋体" w:eastAsia="宋体" w:cs="宋体"/>
                <w:b/>
                <w:bCs/>
                <w:szCs w:val="21"/>
                <w:highlight w:val="none"/>
              </w:rPr>
              <w:t>（包括但不限于设备参数、语音提示装置、激光雷达超高检测装置、库内人员监测预警装置、库内照明装置、室外LED显示屏、电机降噪隔音装置、停车层防晃系统、停车到位提醒等）</w:t>
            </w:r>
            <w:r>
              <w:rPr>
                <w:rFonts w:hint="eastAsia" w:ascii="宋体" w:hAnsi="宋体" w:eastAsia="宋体" w:cs="宋体"/>
                <w:b/>
                <w:bCs/>
                <w:szCs w:val="21"/>
                <w:highlight w:val="none"/>
                <w:lang w:val="en-US" w:eastAsia="zh-CN"/>
              </w:rPr>
              <w:t>进行评审</w:t>
            </w:r>
            <w:r>
              <w:rPr>
                <w:rFonts w:hint="eastAsia" w:ascii="宋体" w:hAnsi="宋体" w:eastAsia="宋体" w:cs="宋体"/>
                <w:b/>
                <w:bCs/>
                <w:szCs w:val="21"/>
                <w:highlight w:val="none"/>
              </w:rPr>
              <w:t>：</w:t>
            </w:r>
          </w:p>
          <w:p w14:paraId="4FE3E4D0">
            <w:pPr>
              <w:jc w:val="left"/>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w:t>
            </w:r>
            <w:r>
              <w:rPr>
                <w:rFonts w:hint="eastAsia" w:ascii="宋体" w:hAnsi="宋体" w:cs="宋体"/>
                <w:szCs w:val="21"/>
                <w:highlight w:val="none"/>
              </w:rPr>
              <w:t>针对本</w:t>
            </w:r>
            <w:r>
              <w:rPr>
                <w:rFonts w:hint="eastAsia" w:ascii="宋体" w:hAnsi="宋体" w:cs="宋体"/>
                <w:szCs w:val="21"/>
                <w:highlight w:val="none"/>
                <w:lang w:val="en-US" w:eastAsia="zh-CN"/>
              </w:rPr>
              <w:t>项目提供的设备</w:t>
            </w:r>
            <w:r>
              <w:rPr>
                <w:rFonts w:hint="eastAsia" w:ascii="宋体" w:hAnsi="宋体" w:eastAsia="宋体" w:cs="宋体"/>
                <w:szCs w:val="21"/>
                <w:highlight w:val="none"/>
              </w:rPr>
              <w:t>功能阐述完整</w:t>
            </w:r>
            <w:r>
              <w:rPr>
                <w:rFonts w:hint="eastAsia" w:ascii="宋体" w:hAnsi="宋体" w:cs="宋体"/>
                <w:szCs w:val="21"/>
                <w:highlight w:val="none"/>
                <w:lang w:eastAsia="zh-CN"/>
              </w:rPr>
              <w:t>、</w:t>
            </w:r>
            <w:r>
              <w:rPr>
                <w:rFonts w:hint="eastAsia" w:ascii="宋体" w:hAnsi="宋体" w:cs="宋体"/>
                <w:szCs w:val="21"/>
                <w:highlight w:val="none"/>
                <w:lang w:val="en-US" w:eastAsia="zh-CN"/>
              </w:rPr>
              <w:t>售后服务</w:t>
            </w:r>
            <w:r>
              <w:rPr>
                <w:rFonts w:hint="eastAsia" w:ascii="宋体" w:hAnsi="宋体" w:eastAsia="宋体" w:cs="宋体"/>
                <w:szCs w:val="21"/>
                <w:highlight w:val="none"/>
              </w:rPr>
              <w:t>详细，很合理、可操作性强</w:t>
            </w:r>
            <w:r>
              <w:rPr>
                <w:rFonts w:hint="eastAsia" w:ascii="宋体" w:hAnsi="宋体" w:eastAsia="宋体" w:cs="宋体"/>
                <w:szCs w:val="21"/>
                <w:highlight w:val="none"/>
                <w:lang w:eastAsia="zh-CN"/>
              </w:rPr>
              <w:t>，</w:t>
            </w:r>
            <w:r>
              <w:rPr>
                <w:rFonts w:hint="eastAsia" w:ascii="宋体" w:hAnsi="宋体" w:cs="宋体"/>
                <w:szCs w:val="21"/>
                <w:highlight w:val="none"/>
              </w:rPr>
              <w:t>得（</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]分；</w:t>
            </w:r>
          </w:p>
          <w:p w14:paraId="59A963C2">
            <w:pPr>
              <w:jc w:val="left"/>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w:t>
            </w:r>
            <w:r>
              <w:rPr>
                <w:rFonts w:hint="eastAsia" w:ascii="宋体" w:hAnsi="宋体" w:cs="宋体"/>
                <w:szCs w:val="21"/>
                <w:highlight w:val="none"/>
              </w:rPr>
              <w:t>针对本</w:t>
            </w:r>
            <w:r>
              <w:rPr>
                <w:rFonts w:hint="eastAsia" w:ascii="宋体" w:hAnsi="宋体" w:cs="宋体"/>
                <w:szCs w:val="21"/>
                <w:highlight w:val="none"/>
                <w:lang w:val="en-US" w:eastAsia="zh-CN"/>
              </w:rPr>
              <w:t>项目提供的设备</w:t>
            </w:r>
            <w:r>
              <w:rPr>
                <w:rFonts w:hint="eastAsia" w:ascii="宋体" w:hAnsi="宋体" w:eastAsia="宋体" w:cs="宋体"/>
                <w:szCs w:val="21"/>
                <w:highlight w:val="none"/>
              </w:rPr>
              <w:t>功能阐述内容基本完整，</w:t>
            </w:r>
            <w:r>
              <w:rPr>
                <w:rFonts w:hint="eastAsia" w:ascii="宋体" w:hAnsi="宋体" w:cs="宋体"/>
                <w:szCs w:val="21"/>
                <w:highlight w:val="none"/>
                <w:lang w:val="en-US" w:eastAsia="zh-CN"/>
              </w:rPr>
              <w:t>售后服务、</w:t>
            </w:r>
            <w:r>
              <w:rPr>
                <w:rFonts w:hint="eastAsia" w:ascii="宋体" w:hAnsi="宋体" w:eastAsia="宋体" w:cs="宋体"/>
                <w:szCs w:val="21"/>
                <w:highlight w:val="none"/>
              </w:rPr>
              <w:t>合理性、可操作性较强</w:t>
            </w:r>
            <w:r>
              <w:rPr>
                <w:rFonts w:hint="eastAsia" w:ascii="宋体" w:hAnsi="宋体" w:cs="宋体"/>
                <w:szCs w:val="21"/>
                <w:highlight w:val="none"/>
              </w:rPr>
              <w:t>，得（5，</w:t>
            </w:r>
            <w:r>
              <w:rPr>
                <w:rFonts w:hint="eastAsia" w:ascii="宋体" w:hAnsi="宋体" w:cs="宋体"/>
                <w:szCs w:val="21"/>
                <w:highlight w:val="none"/>
                <w:lang w:val="en-US" w:eastAsia="zh-CN"/>
              </w:rPr>
              <w:t>7</w:t>
            </w:r>
            <w:r>
              <w:rPr>
                <w:rFonts w:hint="eastAsia" w:ascii="宋体" w:hAnsi="宋体" w:cs="宋体"/>
                <w:szCs w:val="21"/>
                <w:highlight w:val="none"/>
              </w:rPr>
              <w:t>]分；</w:t>
            </w:r>
          </w:p>
          <w:p w14:paraId="7D6BF694">
            <w:pPr>
              <w:jc w:val="left"/>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w:t>
            </w:r>
            <w:r>
              <w:rPr>
                <w:rFonts w:hint="eastAsia" w:ascii="宋体" w:hAnsi="宋体" w:cs="宋体"/>
                <w:szCs w:val="21"/>
                <w:highlight w:val="none"/>
              </w:rPr>
              <w:t>针对本</w:t>
            </w:r>
            <w:r>
              <w:rPr>
                <w:rFonts w:hint="eastAsia" w:ascii="宋体" w:hAnsi="宋体" w:cs="宋体"/>
                <w:szCs w:val="21"/>
                <w:highlight w:val="none"/>
                <w:lang w:val="en-US" w:eastAsia="zh-CN"/>
              </w:rPr>
              <w:t>项目提供的设备</w:t>
            </w:r>
            <w:r>
              <w:rPr>
                <w:rFonts w:hint="eastAsia" w:ascii="宋体" w:hAnsi="宋体" w:eastAsia="宋体" w:cs="宋体"/>
                <w:szCs w:val="21"/>
                <w:highlight w:val="none"/>
              </w:rPr>
              <w:t>功能阐述内容存在少量缺漏，</w:t>
            </w:r>
            <w:r>
              <w:rPr>
                <w:rFonts w:hint="eastAsia" w:ascii="宋体" w:hAnsi="宋体" w:cs="宋体"/>
                <w:szCs w:val="21"/>
                <w:highlight w:val="none"/>
                <w:lang w:val="en-US" w:eastAsia="zh-CN"/>
              </w:rPr>
              <w:t>售后服务、</w:t>
            </w:r>
            <w:r>
              <w:rPr>
                <w:rFonts w:hint="eastAsia" w:ascii="宋体" w:hAnsi="宋体" w:eastAsia="宋体" w:cs="宋体"/>
                <w:szCs w:val="21"/>
                <w:highlight w:val="none"/>
              </w:rPr>
              <w:t>合理性可操作性一般</w:t>
            </w:r>
            <w:r>
              <w:rPr>
                <w:rFonts w:hint="eastAsia" w:ascii="宋体" w:hAnsi="宋体" w:eastAsia="宋体" w:cs="宋体"/>
                <w:szCs w:val="21"/>
                <w:highlight w:val="none"/>
                <w:lang w:eastAsia="zh-CN"/>
              </w:rPr>
              <w:t>，</w:t>
            </w:r>
            <w:r>
              <w:rPr>
                <w:rFonts w:hint="eastAsia" w:ascii="宋体" w:hAnsi="宋体" w:eastAsia="宋体" w:cs="宋体"/>
                <w:szCs w:val="21"/>
                <w:highlight w:val="none"/>
              </w:rPr>
              <w:t>得</w:t>
            </w:r>
            <w:r>
              <w:rPr>
                <w:rFonts w:hint="eastAsia" w:ascii="宋体" w:hAnsi="宋体" w:cs="宋体"/>
                <w:szCs w:val="21"/>
                <w:highlight w:val="none"/>
              </w:rPr>
              <w:t>（2，5]分；</w:t>
            </w:r>
          </w:p>
          <w:p w14:paraId="6455F311">
            <w:pPr>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CN"/>
              </w:rPr>
              <w:t>）</w:t>
            </w:r>
            <w:r>
              <w:rPr>
                <w:rFonts w:hint="eastAsia" w:ascii="宋体" w:hAnsi="宋体" w:cs="宋体"/>
                <w:szCs w:val="21"/>
                <w:highlight w:val="none"/>
              </w:rPr>
              <w:t>针对本</w:t>
            </w:r>
            <w:r>
              <w:rPr>
                <w:rFonts w:hint="eastAsia" w:ascii="宋体" w:hAnsi="宋体" w:cs="宋体"/>
                <w:szCs w:val="21"/>
                <w:highlight w:val="none"/>
                <w:lang w:val="en-US" w:eastAsia="zh-CN"/>
              </w:rPr>
              <w:t>项目提供的设备</w:t>
            </w:r>
            <w:r>
              <w:rPr>
                <w:rFonts w:hint="eastAsia" w:ascii="宋体" w:hAnsi="宋体" w:eastAsia="宋体" w:cs="宋体"/>
                <w:szCs w:val="21"/>
                <w:highlight w:val="none"/>
              </w:rPr>
              <w:t>功能阐述内容存在少量缺漏，</w:t>
            </w:r>
            <w:r>
              <w:rPr>
                <w:rFonts w:hint="eastAsia" w:ascii="宋体" w:hAnsi="宋体" w:cs="宋体"/>
                <w:szCs w:val="21"/>
                <w:highlight w:val="none"/>
                <w:lang w:val="en-US" w:eastAsia="zh-CN"/>
              </w:rPr>
              <w:t>售后服务、</w:t>
            </w:r>
            <w:r>
              <w:rPr>
                <w:rFonts w:hint="eastAsia" w:ascii="宋体" w:hAnsi="宋体" w:eastAsia="宋体" w:cs="宋体"/>
                <w:szCs w:val="21"/>
                <w:highlight w:val="none"/>
              </w:rPr>
              <w:t>合理性可操作性</w:t>
            </w:r>
            <w:r>
              <w:rPr>
                <w:rFonts w:hint="eastAsia" w:ascii="宋体" w:hAnsi="宋体" w:eastAsia="宋体" w:cs="宋体"/>
                <w:szCs w:val="21"/>
                <w:highlight w:val="none"/>
                <w:lang w:val="en-US" w:eastAsia="zh-CN"/>
              </w:rPr>
              <w:t>差，</w:t>
            </w:r>
            <w:r>
              <w:rPr>
                <w:rFonts w:hint="eastAsia" w:ascii="宋体" w:hAnsi="宋体" w:cs="宋体"/>
                <w:szCs w:val="21"/>
                <w:highlight w:val="none"/>
              </w:rPr>
              <w:t>得（</w:t>
            </w:r>
            <w:r>
              <w:rPr>
                <w:rFonts w:hint="eastAsia" w:ascii="宋体" w:hAnsi="宋体" w:cs="宋体"/>
                <w:szCs w:val="21"/>
                <w:highlight w:val="none"/>
                <w:lang w:val="en-US" w:eastAsia="zh-CN"/>
              </w:rPr>
              <w:t>0</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]分；</w:t>
            </w:r>
          </w:p>
        </w:tc>
      </w:tr>
      <w:tr w14:paraId="200B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5" w:hRule="atLeast"/>
          <w:jc w:val="center"/>
        </w:trPr>
        <w:tc>
          <w:tcPr>
            <w:tcW w:w="502" w:type="pct"/>
            <w:vMerge w:val="continue"/>
            <w:tcBorders>
              <w:left w:val="single" w:color="auto" w:sz="4" w:space="0"/>
              <w:right w:val="single" w:color="auto" w:sz="4" w:space="0"/>
            </w:tcBorders>
            <w:vAlign w:val="center"/>
          </w:tcPr>
          <w:p w14:paraId="461925A8">
            <w:pPr>
              <w:jc w:val="center"/>
              <w:rPr>
                <w:rFonts w:hint="eastAsia" w:ascii="宋体" w:hAnsi="宋体" w:cs="宋体"/>
                <w:szCs w:val="21"/>
                <w:highlight w:val="none"/>
              </w:rPr>
            </w:pPr>
          </w:p>
        </w:tc>
        <w:tc>
          <w:tcPr>
            <w:tcW w:w="644" w:type="pct"/>
            <w:vMerge w:val="continue"/>
            <w:tcBorders>
              <w:left w:val="single" w:color="auto" w:sz="4" w:space="0"/>
              <w:right w:val="single" w:color="auto" w:sz="4" w:space="0"/>
            </w:tcBorders>
            <w:vAlign w:val="center"/>
          </w:tcPr>
          <w:p w14:paraId="03D25E61">
            <w:pPr>
              <w:jc w:val="center"/>
              <w:rPr>
                <w:rFonts w:hint="eastAsia" w:ascii="宋体" w:hAnsi="宋体" w:cs="宋体"/>
                <w:szCs w:val="21"/>
                <w:highlight w:val="none"/>
              </w:rPr>
            </w:pPr>
          </w:p>
        </w:tc>
        <w:tc>
          <w:tcPr>
            <w:tcW w:w="3853" w:type="pct"/>
            <w:tcBorders>
              <w:top w:val="single" w:color="auto" w:sz="4" w:space="0"/>
              <w:left w:val="single" w:color="auto" w:sz="4" w:space="0"/>
              <w:bottom w:val="single" w:color="auto" w:sz="4" w:space="0"/>
              <w:right w:val="single" w:color="auto" w:sz="4" w:space="0"/>
            </w:tcBorders>
            <w:shd w:val="clear" w:color="auto" w:fill="auto"/>
            <w:vAlign w:val="center"/>
          </w:tcPr>
          <w:p w14:paraId="2FB52D6E">
            <w:pPr>
              <w:jc w:val="left"/>
              <w:rPr>
                <w:rFonts w:hint="eastAsia" w:ascii="宋体" w:hAnsi="宋体" w:cs="宋体"/>
                <w:b/>
                <w:bCs/>
                <w:szCs w:val="21"/>
                <w:highlight w:val="none"/>
              </w:rPr>
            </w:pPr>
            <w:r>
              <w:rPr>
                <w:rFonts w:hint="eastAsia" w:ascii="宋体" w:hAnsi="宋体" w:cs="宋体"/>
                <w:b/>
                <w:bCs/>
                <w:szCs w:val="21"/>
                <w:highlight w:val="none"/>
                <w:lang w:val="en-US" w:eastAsia="zh-CN"/>
              </w:rPr>
              <w:t>2</w:t>
            </w:r>
            <w:r>
              <w:rPr>
                <w:rFonts w:hint="eastAsia" w:ascii="宋体" w:hAnsi="宋体" w:cs="宋体"/>
                <w:b/>
                <w:bCs/>
                <w:szCs w:val="21"/>
                <w:highlight w:val="none"/>
              </w:rPr>
              <w:t>、定标委员会对合格的中标候选人的安全控制措施进行评审：</w:t>
            </w:r>
          </w:p>
          <w:p w14:paraId="01001359">
            <w:pPr>
              <w:jc w:val="left"/>
              <w:rPr>
                <w:rFonts w:hint="eastAsia" w:ascii="宋体" w:hAnsi="宋体" w:cs="宋体"/>
                <w:szCs w:val="21"/>
                <w:highlight w:val="none"/>
              </w:rPr>
            </w:pPr>
            <w:r>
              <w:rPr>
                <w:rFonts w:hint="eastAsia" w:ascii="宋体" w:hAnsi="宋体" w:cs="宋体"/>
                <w:szCs w:val="21"/>
                <w:highlight w:val="none"/>
              </w:rPr>
              <w:t>（1）针对本项目建立了完善的安全文明施工保证体系、施工安全管理制度，承诺不发生安全事故，有安全应急预案、目标明确、制度健全，施工安全保护措施，措施明确、具体、可行、针对性强，措施完善的，得（</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]分；</w:t>
            </w:r>
          </w:p>
          <w:p w14:paraId="56654D76">
            <w:pPr>
              <w:jc w:val="left"/>
              <w:rPr>
                <w:rFonts w:hint="eastAsia" w:ascii="宋体" w:hAnsi="宋体" w:cs="宋体"/>
                <w:szCs w:val="21"/>
                <w:highlight w:val="none"/>
              </w:rPr>
            </w:pPr>
            <w:r>
              <w:rPr>
                <w:rFonts w:hint="eastAsia" w:ascii="宋体" w:hAnsi="宋体" w:cs="宋体"/>
                <w:szCs w:val="21"/>
                <w:highlight w:val="none"/>
              </w:rPr>
              <w:t>（2）针对本项目建立了较完善的安全文明施工保证体系、施工安全管理制度，承诺不发生安全事故，有安全应急预案、目标明确、制度较健全，施工安全保护措施，措施较明确、较具体、较可行、针对性较强，措施较好的，得（</w:t>
            </w: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]分；</w:t>
            </w:r>
          </w:p>
          <w:p w14:paraId="0FE484B8">
            <w:pPr>
              <w:jc w:val="left"/>
              <w:rPr>
                <w:rFonts w:hint="eastAsia" w:ascii="宋体" w:hAnsi="宋体" w:cs="宋体"/>
                <w:szCs w:val="21"/>
                <w:highlight w:val="none"/>
              </w:rPr>
            </w:pPr>
            <w:r>
              <w:rPr>
                <w:rFonts w:hint="eastAsia" w:ascii="宋体" w:hAnsi="宋体" w:cs="宋体"/>
                <w:szCs w:val="21"/>
                <w:highlight w:val="none"/>
              </w:rPr>
              <w:t>（3）针对本项目建立了完善的安全文明施工保证体系、施工安全管理制度，承诺不发生安全事故，有安全应急预案、目标、有制度，有施工安全保护措施，但明确性一般，具体、可行、针对性一般，措施一般的，得（2，</w:t>
            </w:r>
            <w:r>
              <w:rPr>
                <w:rFonts w:hint="eastAsia" w:ascii="宋体" w:hAnsi="宋体" w:cs="宋体"/>
                <w:szCs w:val="21"/>
                <w:highlight w:val="none"/>
                <w:lang w:val="en-US" w:eastAsia="zh-CN"/>
              </w:rPr>
              <w:t>5</w:t>
            </w:r>
            <w:r>
              <w:rPr>
                <w:rFonts w:hint="eastAsia" w:ascii="宋体" w:hAnsi="宋体" w:cs="宋体"/>
                <w:szCs w:val="21"/>
                <w:highlight w:val="none"/>
              </w:rPr>
              <w:t>]分；</w:t>
            </w:r>
          </w:p>
          <w:p w14:paraId="06AD5680">
            <w:pPr>
              <w:jc w:val="left"/>
              <w:rPr>
                <w:rFonts w:hint="eastAsia" w:ascii="宋体" w:hAnsi="宋体" w:cs="宋体"/>
                <w:szCs w:val="21"/>
                <w:highlight w:val="none"/>
              </w:rPr>
            </w:pPr>
            <w:r>
              <w:rPr>
                <w:rFonts w:hint="eastAsia" w:ascii="宋体" w:hAnsi="宋体" w:cs="宋体"/>
                <w:szCs w:val="21"/>
                <w:highlight w:val="none"/>
              </w:rPr>
              <w:t>（4）安全文明施工保证体系缺失或极不完善，施工安全管理制度混乱无序。安全应急预案缺失或内容空洞，对安全事故毫无防范和应对能力。安全文明施工目标不明确，施工安全保护措施缺乏针对性和可行性；或未提供相关内容，得[0，2]分。</w:t>
            </w:r>
          </w:p>
        </w:tc>
      </w:tr>
      <w:tr w14:paraId="3FB2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02" w:type="pct"/>
            <w:vMerge w:val="continue"/>
            <w:tcBorders>
              <w:left w:val="single" w:color="auto" w:sz="4" w:space="0"/>
              <w:right w:val="single" w:color="auto" w:sz="4" w:space="0"/>
            </w:tcBorders>
            <w:vAlign w:val="center"/>
          </w:tcPr>
          <w:p w14:paraId="327175E0">
            <w:pPr>
              <w:jc w:val="center"/>
              <w:rPr>
                <w:rFonts w:hint="eastAsia" w:ascii="宋体" w:hAnsi="宋体" w:cs="宋体"/>
                <w:szCs w:val="21"/>
                <w:highlight w:val="none"/>
              </w:rPr>
            </w:pPr>
          </w:p>
        </w:tc>
        <w:tc>
          <w:tcPr>
            <w:tcW w:w="644" w:type="pct"/>
            <w:vMerge w:val="continue"/>
            <w:tcBorders>
              <w:left w:val="single" w:color="auto" w:sz="4" w:space="0"/>
              <w:right w:val="single" w:color="auto" w:sz="4" w:space="0"/>
            </w:tcBorders>
            <w:vAlign w:val="center"/>
          </w:tcPr>
          <w:p w14:paraId="11CAC9A4">
            <w:pPr>
              <w:jc w:val="center"/>
              <w:rPr>
                <w:rFonts w:hint="eastAsia" w:ascii="宋体" w:hAnsi="宋体" w:cs="宋体"/>
                <w:szCs w:val="21"/>
                <w:highlight w:val="none"/>
              </w:rPr>
            </w:pPr>
          </w:p>
        </w:tc>
        <w:tc>
          <w:tcPr>
            <w:tcW w:w="3853" w:type="pct"/>
            <w:tcBorders>
              <w:top w:val="single" w:color="auto" w:sz="4" w:space="0"/>
              <w:left w:val="single" w:color="auto" w:sz="4" w:space="0"/>
              <w:bottom w:val="single" w:color="auto" w:sz="4" w:space="0"/>
              <w:right w:val="single" w:color="auto" w:sz="4" w:space="0"/>
            </w:tcBorders>
            <w:shd w:val="clear" w:color="auto" w:fill="auto"/>
            <w:vAlign w:val="center"/>
          </w:tcPr>
          <w:p w14:paraId="72D1D597">
            <w:pPr>
              <w:jc w:val="left"/>
              <w:rPr>
                <w:rFonts w:hint="eastAsia" w:ascii="宋体" w:hAnsi="宋体" w:cs="宋体"/>
                <w:b/>
                <w:bCs/>
                <w:szCs w:val="21"/>
                <w:highlight w:val="none"/>
              </w:rPr>
            </w:pPr>
            <w:r>
              <w:rPr>
                <w:rFonts w:hint="eastAsia" w:ascii="宋体" w:hAnsi="宋体" w:cs="宋体"/>
                <w:b/>
                <w:bCs/>
                <w:szCs w:val="21"/>
                <w:highlight w:val="none"/>
                <w:lang w:val="en-US" w:eastAsia="zh-CN"/>
              </w:rPr>
              <w:t>3</w:t>
            </w:r>
            <w:r>
              <w:rPr>
                <w:rFonts w:hint="eastAsia" w:ascii="宋体" w:hAnsi="宋体" w:cs="宋体"/>
                <w:b/>
                <w:bCs/>
                <w:szCs w:val="21"/>
                <w:highlight w:val="none"/>
              </w:rPr>
              <w:t>、定标委员会对合格的中标候选人的质量控制措施进行评审：</w:t>
            </w:r>
          </w:p>
          <w:p w14:paraId="4B330DE2">
            <w:pPr>
              <w:jc w:val="left"/>
              <w:rPr>
                <w:rFonts w:hint="eastAsia" w:ascii="宋体" w:hAnsi="宋体" w:cs="宋体"/>
                <w:szCs w:val="21"/>
                <w:highlight w:val="none"/>
              </w:rPr>
            </w:pPr>
            <w:r>
              <w:rPr>
                <w:rFonts w:hint="eastAsia" w:ascii="宋体" w:hAnsi="宋体" w:cs="宋体"/>
                <w:szCs w:val="21"/>
                <w:highlight w:val="none"/>
              </w:rPr>
              <w:t>（1）针对本项目编制了全面且严密的施工质量目标、施工质量管理体系与程序、质量管理措施。根据本工程的质量目标，针对项目的特点，从质量保证体系、材料的检测、质量通病的防治等方面有详细完善的质量保证措施，能切实保障工程质量达到或超过国家标准与设计要求，得（</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]分；</w:t>
            </w:r>
          </w:p>
          <w:p w14:paraId="514021B9">
            <w:pPr>
              <w:jc w:val="left"/>
              <w:rPr>
                <w:rFonts w:hint="eastAsia" w:ascii="宋体" w:hAnsi="宋体" w:cs="宋体"/>
                <w:szCs w:val="21"/>
                <w:highlight w:val="none"/>
              </w:rPr>
            </w:pPr>
            <w:r>
              <w:rPr>
                <w:rFonts w:hint="eastAsia" w:ascii="宋体" w:hAnsi="宋体" w:cs="宋体"/>
                <w:szCs w:val="21"/>
                <w:highlight w:val="none"/>
              </w:rPr>
              <w:t>（2）针对本项目编制了符合项目需求的施工质量目标、施工质量管理体系与程序、质量管理措施。根据本工程的质量目标，针对项目的特点，从质量保证体系、材料的检测、质量通病的防治等方面有较详细的质量保证措施，可在一定程度上减少质量问题的发生，得（</w:t>
            </w: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w:t>
            </w:r>
          </w:p>
          <w:p w14:paraId="1B825D34">
            <w:pPr>
              <w:jc w:val="left"/>
              <w:rPr>
                <w:rFonts w:hint="eastAsia" w:ascii="宋体" w:hAnsi="宋体" w:cs="宋体"/>
                <w:szCs w:val="21"/>
                <w:highlight w:val="none"/>
              </w:rPr>
            </w:pPr>
            <w:r>
              <w:rPr>
                <w:rFonts w:hint="eastAsia" w:ascii="宋体" w:hAnsi="宋体" w:cs="宋体"/>
                <w:szCs w:val="21"/>
                <w:highlight w:val="none"/>
              </w:rPr>
              <w:t>（3）针对本项目编制了施工质量目标、施工质量管理体系与程序、质量管理措施，根据本工程的质量目标，针对项目的特点，从质量保证体系、材料的检测、质量通病的防治等方面有一般性描述的质量保证措施，但缺乏针对性，在实际施工中，难以有效保证工程质量，得（2，</w:t>
            </w:r>
            <w:r>
              <w:rPr>
                <w:rFonts w:hint="eastAsia" w:ascii="宋体" w:hAnsi="宋体" w:cs="宋体"/>
                <w:szCs w:val="21"/>
                <w:highlight w:val="none"/>
                <w:lang w:val="en-US" w:eastAsia="zh-CN"/>
              </w:rPr>
              <w:t>5</w:t>
            </w:r>
            <w:r>
              <w:rPr>
                <w:rFonts w:hint="eastAsia" w:ascii="宋体" w:hAnsi="宋体" w:cs="宋体"/>
                <w:szCs w:val="21"/>
                <w:highlight w:val="none"/>
              </w:rPr>
              <w:t>]分；</w:t>
            </w:r>
          </w:p>
          <w:p w14:paraId="389A1298">
            <w:pPr>
              <w:jc w:val="left"/>
              <w:rPr>
                <w:rFonts w:hint="eastAsia" w:ascii="宋体" w:hAnsi="宋体" w:cs="宋体"/>
                <w:szCs w:val="21"/>
                <w:highlight w:val="none"/>
              </w:rPr>
            </w:pPr>
            <w:r>
              <w:rPr>
                <w:rFonts w:hint="eastAsia" w:ascii="宋体" w:hAnsi="宋体" w:cs="宋体"/>
                <w:szCs w:val="21"/>
                <w:highlight w:val="none"/>
              </w:rPr>
              <w:t>（4）施工质量目标模糊不清，施工质量管理体系与程序严重缺失或混乱，无法形成有效的质量管控机制。质量保证措施缺乏实质性内容，对质量通病防治无应对措施，不能满足项目施工质量基本管理要求；或未提供相关内容，得[0，2]分。</w:t>
            </w:r>
          </w:p>
        </w:tc>
      </w:tr>
      <w:tr w14:paraId="6235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8" w:hRule="atLeast"/>
          <w:jc w:val="center"/>
        </w:trPr>
        <w:tc>
          <w:tcPr>
            <w:tcW w:w="502" w:type="pct"/>
            <w:vMerge w:val="continue"/>
            <w:tcBorders>
              <w:left w:val="single" w:color="auto" w:sz="4" w:space="0"/>
              <w:bottom w:val="single" w:color="auto" w:sz="4" w:space="0"/>
              <w:right w:val="single" w:color="auto" w:sz="4" w:space="0"/>
            </w:tcBorders>
            <w:vAlign w:val="center"/>
          </w:tcPr>
          <w:p w14:paraId="1D7E4C4C">
            <w:pPr>
              <w:jc w:val="center"/>
              <w:rPr>
                <w:rFonts w:hint="eastAsia" w:ascii="宋体" w:hAnsi="宋体" w:cs="宋体"/>
                <w:szCs w:val="21"/>
                <w:highlight w:val="none"/>
              </w:rPr>
            </w:pPr>
          </w:p>
        </w:tc>
        <w:tc>
          <w:tcPr>
            <w:tcW w:w="644" w:type="pct"/>
            <w:vMerge w:val="continue"/>
            <w:tcBorders>
              <w:left w:val="single" w:color="auto" w:sz="4" w:space="0"/>
              <w:bottom w:val="single" w:color="auto" w:sz="4" w:space="0"/>
              <w:right w:val="single" w:color="auto" w:sz="4" w:space="0"/>
            </w:tcBorders>
            <w:vAlign w:val="center"/>
          </w:tcPr>
          <w:p w14:paraId="17BB1A39">
            <w:pPr>
              <w:jc w:val="center"/>
              <w:rPr>
                <w:rFonts w:hint="eastAsia" w:ascii="宋体" w:hAnsi="宋体" w:cs="宋体"/>
                <w:szCs w:val="21"/>
                <w:highlight w:val="none"/>
              </w:rPr>
            </w:pPr>
          </w:p>
        </w:tc>
        <w:tc>
          <w:tcPr>
            <w:tcW w:w="3853" w:type="pct"/>
            <w:tcBorders>
              <w:top w:val="single" w:color="auto" w:sz="4" w:space="0"/>
              <w:left w:val="single" w:color="auto" w:sz="4" w:space="0"/>
              <w:bottom w:val="single" w:color="auto" w:sz="4" w:space="0"/>
              <w:right w:val="single" w:color="auto" w:sz="4" w:space="0"/>
            </w:tcBorders>
            <w:shd w:val="clear" w:color="auto" w:fill="auto"/>
            <w:vAlign w:val="center"/>
          </w:tcPr>
          <w:p w14:paraId="478055C0">
            <w:pPr>
              <w:jc w:val="left"/>
              <w:rPr>
                <w:rFonts w:hint="eastAsia" w:ascii="宋体" w:hAnsi="宋体" w:cs="宋体"/>
                <w:b/>
                <w:bCs/>
                <w:szCs w:val="21"/>
                <w:highlight w:val="none"/>
              </w:rPr>
            </w:pPr>
            <w:r>
              <w:rPr>
                <w:rFonts w:hint="eastAsia" w:ascii="宋体" w:hAnsi="宋体" w:cs="宋体"/>
                <w:b/>
                <w:bCs/>
                <w:szCs w:val="21"/>
                <w:highlight w:val="none"/>
                <w:lang w:val="en-US" w:eastAsia="zh-CN"/>
              </w:rPr>
              <w:t>4</w:t>
            </w:r>
            <w:r>
              <w:rPr>
                <w:rFonts w:hint="eastAsia" w:ascii="宋体" w:hAnsi="宋体" w:cs="宋体"/>
                <w:b/>
                <w:bCs/>
                <w:szCs w:val="21"/>
                <w:highlight w:val="none"/>
              </w:rPr>
              <w:t>、定标委员会对合格的中标候选人的进度控制措施进行评审：</w:t>
            </w:r>
          </w:p>
          <w:p w14:paraId="28BE1EF6">
            <w:pPr>
              <w:rPr>
                <w:rFonts w:hint="eastAsia" w:ascii="宋体" w:hAnsi="宋体" w:cs="宋体"/>
                <w:szCs w:val="21"/>
                <w:highlight w:val="none"/>
              </w:rPr>
            </w:pPr>
            <w:r>
              <w:rPr>
                <w:rFonts w:hint="eastAsia" w:ascii="宋体" w:hAnsi="宋体" w:cs="宋体"/>
                <w:szCs w:val="21"/>
                <w:highlight w:val="none"/>
              </w:rPr>
              <w:t>（1）针对本项目的特点，从深化设计、生产制造、运输、装卸及保管、吊装施工、验收各环节提出进度控制措施，各项措施具体、可行、针对性强，措施完善，还充分考虑了可能出现的风险因素，具备完善的保障机制和应急方案，得（</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]分；</w:t>
            </w:r>
          </w:p>
          <w:p w14:paraId="154A2E60">
            <w:pPr>
              <w:rPr>
                <w:rFonts w:hint="eastAsia" w:ascii="宋体" w:hAnsi="宋体" w:cs="宋体"/>
                <w:szCs w:val="21"/>
                <w:highlight w:val="none"/>
              </w:rPr>
            </w:pPr>
            <w:r>
              <w:rPr>
                <w:rFonts w:hint="eastAsia" w:ascii="宋体" w:hAnsi="宋体" w:cs="宋体"/>
                <w:szCs w:val="21"/>
                <w:highlight w:val="none"/>
              </w:rPr>
              <w:t>（2）结合本项目特点，制定了涵盖深化设计、生产制造、运输、装卸及保管、吊装施工、验收等主要环节的进度控制措施。措施较为具体，对各环节的进度安排和关键节点有明确规划。措施具有一定可行性，能够在正常情况下保障项目进度推进，但在应对复杂情况或突发问题时，缺乏足够的灵活性和应变能力，部分细节有待完善，得（</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]分；</w:t>
            </w:r>
          </w:p>
          <w:p w14:paraId="1C58381D">
            <w:pPr>
              <w:rPr>
                <w:rFonts w:hint="eastAsia" w:ascii="宋体" w:hAnsi="宋体" w:cs="宋体"/>
                <w:szCs w:val="21"/>
                <w:highlight w:val="none"/>
              </w:rPr>
            </w:pPr>
            <w:r>
              <w:rPr>
                <w:rFonts w:hint="eastAsia" w:ascii="宋体" w:hAnsi="宋体" w:cs="宋体"/>
                <w:szCs w:val="21"/>
                <w:highlight w:val="none"/>
              </w:rPr>
              <w:t>（3）虽针对本项目制定了进度控制措施，但内容不够具体，仅对深化设计、生产制造、吊装施工等关键环节进行了笼统描述，未细化具体操作步骤和时间节点。措施的针对性不强，未能紧密结合项目独特之处，难以有效解决实际进度控制中的问题，得（2，</w:t>
            </w:r>
            <w:r>
              <w:rPr>
                <w:rFonts w:hint="eastAsia" w:ascii="宋体" w:hAnsi="宋体" w:cs="宋体"/>
                <w:szCs w:val="21"/>
                <w:highlight w:val="none"/>
                <w:lang w:val="en-US" w:eastAsia="zh-CN"/>
              </w:rPr>
              <w:t>4</w:t>
            </w:r>
            <w:r>
              <w:rPr>
                <w:rFonts w:hint="eastAsia" w:ascii="宋体" w:hAnsi="宋体" w:cs="宋体"/>
                <w:szCs w:val="21"/>
                <w:highlight w:val="none"/>
              </w:rPr>
              <w:t>]分。</w:t>
            </w:r>
          </w:p>
          <w:p w14:paraId="2FC8F730">
            <w:pPr>
              <w:rPr>
                <w:szCs w:val="21"/>
                <w:highlight w:val="none"/>
              </w:rPr>
            </w:pPr>
            <w:r>
              <w:rPr>
                <w:rFonts w:hint="eastAsia" w:ascii="宋体" w:hAnsi="宋体" w:cs="宋体"/>
                <w:szCs w:val="21"/>
                <w:highlight w:val="none"/>
              </w:rPr>
              <w:t>（4）制定的进度控制措施不满足项目需求，存在环节缺失；或者措施内容空洞，只是简单罗列进度控制的目标，没有具体的实施方法和保障手段，不具备可行性和针对性；或未提供相关内容，得[0，2]分。</w:t>
            </w:r>
          </w:p>
        </w:tc>
      </w:tr>
      <w:tr w14:paraId="235A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1D98E8A6">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p>
        </w:tc>
        <w:tc>
          <w:tcPr>
            <w:tcW w:w="644" w:type="pct"/>
            <w:tcBorders>
              <w:top w:val="single" w:color="auto" w:sz="4" w:space="0"/>
              <w:left w:val="single" w:color="auto" w:sz="4" w:space="0"/>
              <w:bottom w:val="single" w:color="auto" w:sz="4" w:space="0"/>
              <w:right w:val="single" w:color="auto" w:sz="4" w:space="0"/>
            </w:tcBorders>
            <w:vAlign w:val="center"/>
          </w:tcPr>
          <w:p w14:paraId="746789D3">
            <w:pPr>
              <w:jc w:val="center"/>
              <w:rPr>
                <w:rFonts w:hint="eastAsia" w:ascii="宋体" w:hAnsi="宋体" w:cs="宋体"/>
                <w:szCs w:val="21"/>
                <w:highlight w:val="none"/>
              </w:rPr>
            </w:pPr>
            <w:r>
              <w:rPr>
                <w:rFonts w:hint="eastAsia" w:ascii="宋体" w:hAnsi="宋体" w:cs="宋体"/>
                <w:szCs w:val="21"/>
                <w:highlight w:val="none"/>
              </w:rPr>
              <w:t>价格</w:t>
            </w:r>
          </w:p>
          <w:p w14:paraId="60C14930">
            <w:pPr>
              <w:jc w:val="center"/>
              <w:rPr>
                <w:rFonts w:hint="eastAsia" w:ascii="宋体" w:hAnsi="宋体" w:cs="宋体"/>
                <w:szCs w:val="21"/>
                <w:highlight w:val="none"/>
              </w:rPr>
            </w:pPr>
            <w:r>
              <w:rPr>
                <w:rFonts w:hint="eastAsia" w:ascii="宋体" w:hAnsi="宋体" w:cs="宋体"/>
                <w:szCs w:val="21"/>
                <w:highlight w:val="none"/>
              </w:rPr>
              <w:t>（20分）</w:t>
            </w:r>
          </w:p>
        </w:tc>
        <w:tc>
          <w:tcPr>
            <w:tcW w:w="3853" w:type="pct"/>
            <w:tcBorders>
              <w:top w:val="single" w:color="auto" w:sz="4" w:space="0"/>
              <w:left w:val="single" w:color="auto" w:sz="4" w:space="0"/>
              <w:bottom w:val="single" w:color="auto" w:sz="4" w:space="0"/>
              <w:right w:val="single" w:color="auto" w:sz="4" w:space="0"/>
            </w:tcBorders>
            <w:vAlign w:val="center"/>
          </w:tcPr>
          <w:p w14:paraId="0520CBEC">
            <w:pPr>
              <w:widowControl/>
              <w:jc w:val="left"/>
              <w:rPr>
                <w:rFonts w:hint="eastAsia" w:ascii="宋体" w:hAnsi="宋体"/>
                <w:kern w:val="0"/>
                <w:szCs w:val="21"/>
                <w:highlight w:val="none"/>
                <w:lang w:bidi="ar"/>
              </w:rPr>
            </w:pPr>
            <w:r>
              <w:rPr>
                <w:rFonts w:hint="eastAsia" w:ascii="宋体" w:hAnsi="宋体"/>
                <w:kern w:val="0"/>
                <w:szCs w:val="21"/>
                <w:highlight w:val="none"/>
                <w:lang w:bidi="ar"/>
              </w:rPr>
              <w:t>定标委员会对合格的中标候选人投标报价进行打分，合格的中标候选人中最低的投标报价，其投标报价得分为20分。</w:t>
            </w:r>
          </w:p>
          <w:p w14:paraId="14BD331B">
            <w:pPr>
              <w:widowControl/>
              <w:jc w:val="left"/>
              <w:rPr>
                <w:rFonts w:hint="eastAsia" w:ascii="宋体" w:hAnsi="宋体" w:cs="宋体"/>
                <w:kern w:val="0"/>
                <w:szCs w:val="21"/>
                <w:highlight w:val="none"/>
              </w:rPr>
            </w:pPr>
            <w:r>
              <w:rPr>
                <w:rFonts w:hint="eastAsia" w:ascii="宋体" w:hAnsi="宋体"/>
                <w:kern w:val="0"/>
                <w:szCs w:val="21"/>
                <w:highlight w:val="none"/>
                <w:lang w:bidi="ar"/>
              </w:rPr>
              <w:t>对应合格的中标候选人得分=（合格的中标候选人中最低投标报价）/投标人的投标报价）×20。</w:t>
            </w:r>
          </w:p>
        </w:tc>
      </w:tr>
    </w:tbl>
    <w:p w14:paraId="326240C6">
      <w:pPr>
        <w:spacing w:line="360" w:lineRule="auto"/>
        <w:rPr>
          <w:rFonts w:ascii="宋体" w:cs="宋体"/>
          <w:b/>
          <w:sz w:val="28"/>
          <w:szCs w:val="28"/>
          <w:highlight w:val="none"/>
        </w:rPr>
      </w:pPr>
    </w:p>
    <w:p w14:paraId="3460A97F">
      <w:pPr>
        <w:adjustRightInd w:val="0"/>
        <w:snapToGrid w:val="0"/>
        <w:spacing w:line="360" w:lineRule="auto"/>
        <w:ind w:right="-84" w:rightChars="-40"/>
        <w:rPr>
          <w:rFonts w:hint="eastAsia" w:ascii="仿宋" w:hAnsi="仿宋" w:eastAsia="仿宋" w:cs="仿宋"/>
          <w:b/>
          <w:kern w:val="1"/>
          <w:sz w:val="24"/>
          <w:highlight w:val="none"/>
        </w:rPr>
      </w:pPr>
    </w:p>
    <w:p w14:paraId="14F7CF5C">
      <w:pPr>
        <w:ind w:right="-48" w:rightChars="-23" w:firstLine="420" w:firstLineChars="200"/>
        <w:rPr>
          <w:rFonts w:hint="eastAsia" w:ascii="宋体" w:hAnsi="宋体" w:cs="宋体"/>
          <w:szCs w:val="21"/>
          <w:highlight w:val="none"/>
        </w:rPr>
      </w:pPr>
    </w:p>
    <w:p w14:paraId="422DA789">
      <w:pPr>
        <w:ind w:right="-733" w:rightChars="-349"/>
        <w:rPr>
          <w:rFonts w:hint="eastAsia" w:ascii="仿宋" w:hAnsi="仿宋" w:eastAsia="仿宋" w:cs="仿宋"/>
          <w:highlight w:val="none"/>
        </w:rPr>
        <w:sectPr>
          <w:headerReference r:id="rId12" w:type="default"/>
          <w:footerReference r:id="rId13" w:type="default"/>
          <w:pgSz w:w="11905" w:h="16838"/>
          <w:pgMar w:top="1247" w:right="1247" w:bottom="1247" w:left="1247" w:header="567" w:footer="850" w:gutter="0"/>
          <w:cols w:space="720" w:num="1"/>
          <w:docGrid w:type="lines" w:linePitch="312" w:charSpace="0"/>
        </w:sectPr>
      </w:pPr>
    </w:p>
    <w:p w14:paraId="77670EBB">
      <w:pPr>
        <w:keepNext/>
        <w:keepLines/>
        <w:spacing w:before="340" w:after="330" w:line="576" w:lineRule="auto"/>
        <w:jc w:val="center"/>
        <w:outlineLvl w:val="0"/>
        <w:rPr>
          <w:rFonts w:hint="eastAsia" w:ascii="宋体" w:hAnsi="宋体" w:cs="宋体"/>
          <w:sz w:val="20"/>
          <w:szCs w:val="24"/>
          <w:highlight w:val="none"/>
        </w:rPr>
      </w:pPr>
      <w:r>
        <w:rPr>
          <w:rFonts w:hint="eastAsia" w:ascii="宋体" w:hAnsi="宋体" w:cs="宋体"/>
          <w:b/>
          <w:bCs/>
          <w:kern w:val="44"/>
          <w:sz w:val="44"/>
          <w:szCs w:val="44"/>
          <w:highlight w:val="none"/>
        </w:rPr>
        <w:t>第四章 合同条款</w:t>
      </w:r>
      <w:bookmarkEnd w:id="1028"/>
      <w:bookmarkEnd w:id="1029"/>
      <w:bookmarkEnd w:id="1030"/>
      <w:bookmarkEnd w:id="1031"/>
      <w:bookmarkEnd w:id="1032"/>
      <w:bookmarkEnd w:id="1033"/>
      <w:bookmarkEnd w:id="1034"/>
      <w:bookmarkEnd w:id="1035"/>
      <w:r>
        <w:rPr>
          <w:rFonts w:hint="eastAsia" w:ascii="宋体" w:hAnsi="宋体" w:cs="宋体"/>
          <w:b/>
          <w:bCs/>
          <w:kern w:val="44"/>
          <w:sz w:val="44"/>
          <w:szCs w:val="44"/>
          <w:highlight w:val="none"/>
        </w:rPr>
        <w:t>及格式</w:t>
      </w:r>
      <w:bookmarkEnd w:id="1036"/>
    </w:p>
    <w:p w14:paraId="3E4B9F61">
      <w:pPr>
        <w:jc w:val="center"/>
        <w:rPr>
          <w:rFonts w:hint="eastAsia" w:ascii="宋体" w:hAnsi="宋体" w:cs="宋体"/>
          <w:b/>
          <w:sz w:val="32"/>
          <w:szCs w:val="32"/>
          <w:highlight w:val="none"/>
        </w:rPr>
      </w:pPr>
      <w:r>
        <w:rPr>
          <w:rFonts w:hint="eastAsia" w:ascii="宋体" w:hAnsi="宋体" w:cs="宋体"/>
          <w:b/>
          <w:sz w:val="32"/>
          <w:szCs w:val="32"/>
          <w:highlight w:val="none"/>
        </w:rPr>
        <w:t>（另册）</w:t>
      </w:r>
    </w:p>
    <w:p w14:paraId="57788B8E">
      <w:pPr>
        <w:spacing w:line="360" w:lineRule="auto"/>
        <w:ind w:firstLine="840" w:firstLineChars="400"/>
        <w:rPr>
          <w:rFonts w:hint="eastAsia" w:ascii="宋体" w:hAnsi="宋体" w:cs="宋体"/>
          <w:szCs w:val="21"/>
          <w:highlight w:val="none"/>
        </w:rPr>
      </w:pPr>
    </w:p>
    <w:p w14:paraId="473F23B9">
      <w:pPr>
        <w:snapToGrid w:val="0"/>
        <w:spacing w:line="440" w:lineRule="exact"/>
        <w:rPr>
          <w:rFonts w:hint="eastAsia" w:ascii="宋体" w:hAnsi="宋体" w:cs="宋体"/>
          <w:sz w:val="28"/>
          <w:szCs w:val="28"/>
          <w:highlight w:val="none"/>
        </w:rPr>
      </w:pPr>
    </w:p>
    <w:p w14:paraId="0E05B9DA">
      <w:pPr>
        <w:snapToGrid w:val="0"/>
        <w:spacing w:line="440" w:lineRule="exact"/>
        <w:rPr>
          <w:rFonts w:hint="eastAsia" w:ascii="宋体" w:hAnsi="宋体" w:cs="宋体"/>
          <w:sz w:val="28"/>
          <w:szCs w:val="28"/>
          <w:highlight w:val="none"/>
        </w:rPr>
      </w:pPr>
      <w:r>
        <w:rPr>
          <w:rFonts w:hint="eastAsia" w:ascii="宋体" w:hAnsi="宋体" w:cs="宋体"/>
          <w:sz w:val="28"/>
          <w:szCs w:val="28"/>
          <w:highlight w:val="none"/>
        </w:rPr>
        <w:br w:type="page"/>
      </w:r>
      <w:bookmarkStart w:id="1037" w:name="_Toc23508"/>
      <w:bookmarkStart w:id="1038" w:name="_Toc13085"/>
      <w:bookmarkStart w:id="1039" w:name="_Toc25999"/>
      <w:bookmarkStart w:id="1040" w:name="_Toc8354"/>
      <w:bookmarkStart w:id="1041" w:name="_Toc16503"/>
      <w:bookmarkStart w:id="1042" w:name="_Toc31278"/>
      <w:bookmarkStart w:id="1043" w:name="_Toc485211108"/>
      <w:bookmarkStart w:id="1044" w:name="_Toc20279"/>
    </w:p>
    <w:p w14:paraId="7A04B1FD">
      <w:pPr>
        <w:keepNext/>
        <w:keepLines/>
        <w:spacing w:before="340" w:after="330" w:line="576" w:lineRule="auto"/>
        <w:jc w:val="center"/>
        <w:outlineLvl w:val="0"/>
        <w:rPr>
          <w:rFonts w:hint="eastAsia" w:ascii="宋体" w:hAnsi="宋体" w:cs="宋体"/>
          <w:b/>
          <w:bCs/>
          <w:kern w:val="44"/>
          <w:sz w:val="44"/>
          <w:szCs w:val="44"/>
          <w:highlight w:val="none"/>
        </w:rPr>
      </w:pPr>
      <w:r>
        <w:rPr>
          <w:rFonts w:hint="eastAsia" w:ascii="宋体" w:hAnsi="宋体" w:cs="宋体"/>
          <w:b/>
          <w:bCs/>
          <w:kern w:val="44"/>
          <w:sz w:val="44"/>
          <w:szCs w:val="44"/>
          <w:highlight w:val="none"/>
        </w:rPr>
        <w:t>第五章 发包人要求</w:t>
      </w:r>
      <w:bookmarkEnd w:id="1037"/>
      <w:bookmarkEnd w:id="1038"/>
      <w:bookmarkEnd w:id="1039"/>
      <w:bookmarkEnd w:id="1040"/>
      <w:bookmarkEnd w:id="1041"/>
      <w:bookmarkEnd w:id="1042"/>
      <w:bookmarkEnd w:id="1043"/>
      <w:bookmarkEnd w:id="1044"/>
    </w:p>
    <w:p w14:paraId="3B87280B">
      <w:pPr>
        <w:spacing w:line="360" w:lineRule="auto"/>
        <w:jc w:val="center"/>
        <w:rPr>
          <w:rFonts w:hint="default" w:ascii="宋体" w:hAnsi="宋体" w:eastAsia="宋体" w:cs="宋体"/>
          <w:b/>
          <w:bCs/>
          <w:sz w:val="32"/>
          <w:szCs w:val="32"/>
          <w:highlight w:val="none"/>
          <w:lang w:val="en-US" w:eastAsia="zh-CN"/>
        </w:rPr>
      </w:pPr>
      <w:bookmarkStart w:id="1045" w:name="_Hlk500884682"/>
      <w:r>
        <w:rPr>
          <w:rFonts w:hint="eastAsia" w:ascii="宋体" w:hAnsi="宋体" w:eastAsia="宋体" w:cs="宋体"/>
          <w:b/>
          <w:bCs/>
          <w:sz w:val="32"/>
          <w:szCs w:val="32"/>
          <w:highlight w:val="none"/>
          <w:lang w:val="en-US" w:eastAsia="zh-CN"/>
        </w:rPr>
        <w:t>初步设计任务书</w:t>
      </w:r>
    </w:p>
    <w:p w14:paraId="1EBAB9AA">
      <w:pPr>
        <w:numPr>
          <w:ilvl w:val="0"/>
          <w:numId w:val="0"/>
        </w:numPr>
        <w:autoSpaceDE/>
        <w:autoSpaceDN/>
        <w:spacing w:line="360" w:lineRule="auto"/>
        <w:jc w:val="left"/>
        <w:rPr>
          <w:rFonts w:hint="eastAsia" w:ascii="宋体" w:hAnsi="宋体" w:eastAsia="宋体" w:cs="宋体"/>
          <w:b/>
          <w:sz w:val="24"/>
          <w:szCs w:val="24"/>
          <w:highlight w:val="none"/>
        </w:rPr>
      </w:pPr>
      <w:r>
        <w:rPr>
          <w:rFonts w:hint="eastAsia" w:ascii="宋体" w:hAnsi="宋体" w:eastAsia="宋体" w:cs="宋体"/>
          <w:b/>
          <w:bCs/>
          <w:sz w:val="24"/>
          <w:szCs w:val="24"/>
          <w:highlight w:val="none"/>
          <w:lang w:val="en-US" w:eastAsia="zh-CN"/>
        </w:rPr>
        <w:t>1.</w:t>
      </w:r>
      <w:r>
        <w:rPr>
          <w:rFonts w:hint="eastAsia" w:ascii="宋体" w:hAnsi="宋体" w:eastAsia="宋体" w:cs="宋体"/>
          <w:b/>
          <w:sz w:val="24"/>
          <w:szCs w:val="24"/>
          <w:highlight w:val="none"/>
        </w:rPr>
        <w:t>项目概况</w:t>
      </w:r>
    </w:p>
    <w:p w14:paraId="72761D48">
      <w:pPr>
        <w:numPr>
          <w:ilvl w:val="0"/>
          <w:numId w:val="0"/>
        </w:numPr>
        <w:spacing w:line="360" w:lineRule="auto"/>
        <w:ind w:left="0" w:firstLine="480" w:firstLineChars="200"/>
        <w:rPr>
          <w:rFonts w:hint="eastAsia" w:ascii="宋体" w:hAnsi="宋体" w:eastAsia="宋体" w:cs="宋体"/>
          <w:bCs w:val="0"/>
          <w:color w:val="auto"/>
          <w:sz w:val="24"/>
          <w:szCs w:val="24"/>
          <w:highlight w:val="none"/>
          <w:lang w:val="en-US" w:eastAsia="zh-CN" w:bidi="ar-SA"/>
        </w:rPr>
      </w:pPr>
      <w:r>
        <w:rPr>
          <w:rFonts w:hint="eastAsia" w:ascii="宋体" w:hAnsi="宋体" w:eastAsia="宋体" w:cs="宋体"/>
          <w:bCs w:val="0"/>
          <w:color w:val="auto"/>
          <w:sz w:val="24"/>
          <w:szCs w:val="24"/>
          <w:highlight w:val="none"/>
          <w:lang w:val="en-US" w:eastAsia="zh-CN" w:bidi="ar-SA"/>
        </w:rPr>
        <w:t>本项目位于黄埔区夏港街片区，北临金桥路，南临青年路，临近东江北支流。本停车场的土地规划范围为5350平方米，其中项目可建设土地面积 2543 平方米，为配合街道交通整治和环境提升，2807平方米为该地块左侧的兼容地纳入本次停车场规划范围。项目规划建设机动车停车泊位200个，其中立体机械停车位128个，地面停车位72个。</w:t>
      </w:r>
    </w:p>
    <w:p w14:paraId="783B5EA2">
      <w:pPr>
        <w:numPr>
          <w:ilvl w:val="0"/>
          <w:numId w:val="0"/>
        </w:num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建设内容</w:t>
      </w:r>
      <w:r>
        <w:rPr>
          <w:rFonts w:hint="eastAsia" w:ascii="宋体" w:hAnsi="宋体" w:cs="宋体"/>
          <w:color w:val="auto"/>
          <w:sz w:val="24"/>
          <w:szCs w:val="24"/>
          <w:highlight w:val="none"/>
          <w:u w:val="none"/>
          <w:lang w:val="en-US" w:eastAsia="zh-CN"/>
        </w:rPr>
        <w:t>：</w:t>
      </w:r>
      <w:r>
        <w:rPr>
          <w:rFonts w:hint="eastAsia" w:ascii="宋体" w:hAnsi="宋体" w:cs="宋体"/>
          <w:color w:val="auto"/>
          <w:sz w:val="24"/>
          <w:szCs w:val="24"/>
          <w:highlight w:val="none"/>
          <w:lang w:val="en-US" w:eastAsia="zh-CN"/>
        </w:rPr>
        <w:t>主要包括两部分：①立体停车设备及基础设施建设:机械停车设施拟采用垂直循环类、框架式钢结构，配备电机+减速机+链条驱动方式的设备，并结合车牌识别+人脸识别存取车的操作方式，基础设施建设含设备配套的土建基础、外立面、消防、库内照明、供配电、防雷及智能化管理设施等。</w:t>
      </w:r>
    </w:p>
    <w:p w14:paraId="70D3EDB8">
      <w:pPr>
        <w:numPr>
          <w:ilvl w:val="0"/>
          <w:numId w:val="0"/>
        </w:num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室外配套工程：场地平整工程、室外行车道、室外机动车停车位、非机动车停车位、路沿石、管理用房、便民驿站、园林景观提升、室外绿地、标识标牌、室外给排水、室外照明、停车出入口道闸、外水外电工程。</w:t>
      </w:r>
    </w:p>
    <w:p w14:paraId="78F93F5C">
      <w:pPr>
        <w:numPr>
          <w:ilvl w:val="0"/>
          <w:numId w:val="0"/>
        </w:numPr>
        <w:spacing w:line="360" w:lineRule="auto"/>
        <w:ind w:left="0" w:firstLine="480" w:firstLineChars="200"/>
        <w:rPr>
          <w:rFonts w:hint="eastAsia" w:ascii="宋体" w:hAnsi="宋体" w:eastAsia="宋体" w:cs="宋体"/>
          <w:bCs w:val="0"/>
          <w:color w:val="auto"/>
          <w:sz w:val="24"/>
          <w:szCs w:val="24"/>
          <w:highlight w:val="none"/>
          <w:lang w:val="en-US" w:eastAsia="zh-CN" w:bidi="ar-SA"/>
        </w:rPr>
      </w:pPr>
    </w:p>
    <w:p w14:paraId="2E565401">
      <w:pPr>
        <w:numPr>
          <w:ilvl w:val="0"/>
          <w:numId w:val="0"/>
        </w:numPr>
        <w:autoSpaceDE/>
        <w:autoSpaceDN/>
        <w:spacing w:line="360" w:lineRule="auto"/>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2.项目定位</w:t>
      </w:r>
    </w:p>
    <w:p w14:paraId="3134825C">
      <w:pPr>
        <w:numPr>
          <w:ilvl w:val="0"/>
          <w:numId w:val="0"/>
        </w:numPr>
        <w:spacing w:line="360" w:lineRule="auto"/>
        <w:ind w:left="0" w:firstLine="480" w:firstLineChars="200"/>
        <w:rPr>
          <w:rFonts w:hint="eastAsia" w:ascii="宋体" w:hAnsi="宋体" w:eastAsia="宋体" w:cs="宋体"/>
          <w:bCs w:val="0"/>
          <w:color w:val="auto"/>
          <w:sz w:val="24"/>
          <w:szCs w:val="24"/>
          <w:highlight w:val="none"/>
          <w:lang w:val="en-US" w:eastAsia="zh-CN" w:bidi="ar-SA"/>
        </w:rPr>
      </w:pPr>
      <w:r>
        <w:rPr>
          <w:rFonts w:hint="eastAsia" w:ascii="宋体" w:hAnsi="宋体" w:eastAsia="宋体" w:cs="宋体"/>
          <w:bCs w:val="0"/>
          <w:color w:val="auto"/>
          <w:sz w:val="24"/>
          <w:szCs w:val="24"/>
          <w:highlight w:val="none"/>
          <w:lang w:val="en-US" w:eastAsia="zh-CN" w:bidi="ar-SA"/>
        </w:rPr>
        <w:t>根据广州市交通运输局关于同意夏港街立体公共停车场建设项目公益性认定的意见，项目用地采取划拨的方式。项目建成后将新增约 200 个公共停车泊位，有效缓解夏港街保税社区周边居民、上班族、学校教职工的停车压力，减少因停车难导致的乱停放现象。通过提供规范化的停车管理服务，改善区域交通秩序，降低因违规占道引发的交通拥堵和安全风险，提升市民出行体验。</w:t>
      </w:r>
    </w:p>
    <w:p w14:paraId="70A4B584">
      <w:pPr>
        <w:numPr>
          <w:ilvl w:val="0"/>
          <w:numId w:val="0"/>
        </w:numPr>
        <w:spacing w:line="360" w:lineRule="auto"/>
        <w:ind w:left="0" w:firstLine="480" w:firstLineChars="200"/>
        <w:rPr>
          <w:rFonts w:hint="eastAsia" w:ascii="宋体" w:hAnsi="宋体" w:eastAsia="宋体" w:cs="宋体"/>
          <w:bCs w:val="0"/>
          <w:color w:val="auto"/>
          <w:sz w:val="24"/>
          <w:szCs w:val="24"/>
          <w:highlight w:val="none"/>
          <w:lang w:val="en-US" w:eastAsia="zh-CN" w:bidi="ar-SA"/>
        </w:rPr>
      </w:pPr>
      <w:r>
        <w:rPr>
          <w:rFonts w:hint="eastAsia" w:ascii="宋体" w:hAnsi="宋体" w:eastAsia="宋体" w:cs="宋体"/>
          <w:bCs w:val="0"/>
          <w:color w:val="auto"/>
          <w:sz w:val="24"/>
          <w:szCs w:val="24"/>
          <w:highlight w:val="none"/>
          <w:lang w:val="en-US" w:eastAsia="zh-CN" w:bidi="ar-SA"/>
        </w:rPr>
        <w:t>项目采用立体停车场+城市门户客厅的创新设计理念，充分利用有限的土地资源，在垂直空间上拓展停车容量，实现土地集约化利用。同时，通过现代化、智能化的立体停车配套建设，打造城市示范性公共服务项目，增强市民对公共服务的获得感和幸福感，提升区域环境品质和城市形象。</w:t>
      </w:r>
    </w:p>
    <w:p w14:paraId="14337BD8">
      <w:pPr>
        <w:numPr>
          <w:ilvl w:val="0"/>
          <w:numId w:val="0"/>
        </w:numPr>
        <w:spacing w:line="360" w:lineRule="auto"/>
        <w:ind w:left="0" w:firstLine="0"/>
        <w:rPr>
          <w:rFonts w:hint="eastAsia" w:ascii="宋体" w:hAnsi="宋体" w:cs="宋体"/>
          <w:b/>
          <w:sz w:val="24"/>
          <w:szCs w:val="24"/>
          <w:highlight w:val="none"/>
          <w:lang w:val="en-US" w:eastAsia="zh-CN"/>
        </w:rPr>
      </w:pPr>
    </w:p>
    <w:p w14:paraId="4C50A1CE">
      <w:pPr>
        <w:numPr>
          <w:ilvl w:val="0"/>
          <w:numId w:val="0"/>
        </w:numPr>
        <w:spacing w:line="360" w:lineRule="auto"/>
        <w:ind w:left="0" w:firstLine="0"/>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3.限额设计原则</w:t>
      </w:r>
    </w:p>
    <w:p w14:paraId="1332B1AD">
      <w:pPr>
        <w:pStyle w:val="191"/>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在保证设计质量的前提下，应遵循功能适用、标准合理、经济合理的原则开展设计工作，实行限额设计，确保工程概预算不突破限额目标。</w:t>
      </w:r>
    </w:p>
    <w:p w14:paraId="6A5F2016">
      <w:pPr>
        <w:pStyle w:val="191"/>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限额设计范围内应充分运用性价比分析、多方案（不少于2个）技术经济比较等技术手段，对设计方案进行优化。在所有方案比较的过程中，必须进行相应深度的投资估算比较，确保方案的可比性，并提供相应的工程数量表、主要材料表、主要设备清单等，在确保工程质量的前提下，降低工程投资。</w:t>
      </w:r>
    </w:p>
    <w:p w14:paraId="055724D5">
      <w:pPr>
        <w:pStyle w:val="191"/>
        <w:spacing w:line="360" w:lineRule="auto"/>
        <w:ind w:firstLine="480" w:firstLineChars="200"/>
        <w:rPr>
          <w:rFonts w:hint="eastAsia" w:ascii="宋体" w:hAnsi="宋体" w:cs="宋体"/>
          <w:b/>
          <w:sz w:val="24"/>
          <w:szCs w:val="24"/>
          <w:highlight w:val="none"/>
          <w:lang w:val="en-US" w:eastAsia="zh-CN"/>
        </w:rPr>
      </w:pPr>
      <w:r>
        <w:rPr>
          <w:rFonts w:hint="eastAsia" w:ascii="宋体" w:hAnsi="宋体" w:eastAsia="宋体" w:cs="宋体"/>
          <w:bCs/>
          <w:color w:val="auto"/>
          <w:sz w:val="24"/>
          <w:szCs w:val="24"/>
          <w:highlight w:val="none"/>
        </w:rPr>
        <w:t>节能计算需按绿建设计等相关</w:t>
      </w:r>
      <w:r>
        <w:rPr>
          <w:rFonts w:hint="eastAsia" w:ascii="宋体" w:hAnsi="宋体" w:eastAsia="宋体" w:cs="宋体"/>
          <w:bCs/>
          <w:color w:val="auto"/>
          <w:sz w:val="24"/>
          <w:szCs w:val="24"/>
          <w:highlight w:val="none"/>
          <w:lang w:val="en-US" w:eastAsia="zh-CN"/>
        </w:rPr>
        <w:t>规范</w:t>
      </w:r>
      <w:r>
        <w:rPr>
          <w:rFonts w:hint="eastAsia" w:ascii="宋体" w:hAnsi="宋体" w:eastAsia="宋体" w:cs="宋体"/>
          <w:bCs/>
          <w:color w:val="auto"/>
          <w:sz w:val="24"/>
          <w:szCs w:val="24"/>
          <w:highlight w:val="none"/>
        </w:rPr>
        <w:t>要求</w:t>
      </w:r>
      <w:r>
        <w:rPr>
          <w:rFonts w:hint="eastAsia" w:ascii="宋体" w:hAnsi="宋体" w:eastAsia="宋体" w:cs="宋体"/>
          <w:bCs/>
          <w:color w:val="auto"/>
          <w:sz w:val="24"/>
          <w:szCs w:val="24"/>
          <w:highlight w:val="none"/>
          <w:lang w:val="en-US" w:eastAsia="zh-CN"/>
        </w:rPr>
        <w:t>合理</w:t>
      </w:r>
      <w:r>
        <w:rPr>
          <w:rFonts w:hint="eastAsia" w:ascii="宋体" w:hAnsi="宋体" w:eastAsia="宋体" w:cs="宋体"/>
          <w:bCs/>
          <w:color w:val="auto"/>
          <w:sz w:val="24"/>
          <w:szCs w:val="24"/>
          <w:highlight w:val="none"/>
        </w:rPr>
        <w:t>选用</w:t>
      </w:r>
      <w:r>
        <w:rPr>
          <w:rFonts w:hint="eastAsia" w:ascii="宋体" w:hAnsi="宋体" w:eastAsia="宋体" w:cs="宋体"/>
          <w:bCs/>
          <w:color w:val="auto"/>
          <w:sz w:val="24"/>
          <w:szCs w:val="24"/>
          <w:highlight w:val="none"/>
          <w:lang w:val="en-US" w:eastAsia="zh-CN"/>
        </w:rPr>
        <w:t>节能</w:t>
      </w:r>
      <w:r>
        <w:rPr>
          <w:rFonts w:hint="eastAsia" w:ascii="宋体" w:hAnsi="宋体" w:eastAsia="宋体" w:cs="宋体"/>
          <w:bCs/>
          <w:color w:val="auto"/>
          <w:sz w:val="24"/>
          <w:szCs w:val="24"/>
          <w:highlight w:val="none"/>
        </w:rPr>
        <w:t>材料进行设计验算，设备专业应按节能措施考虑设计参数及计算，合理考虑项目的能耗控制。</w:t>
      </w:r>
    </w:p>
    <w:p w14:paraId="5DC4F36C">
      <w:pPr>
        <w:numPr>
          <w:ilvl w:val="0"/>
          <w:numId w:val="0"/>
        </w:numPr>
        <w:spacing w:line="360" w:lineRule="auto"/>
        <w:ind w:left="0" w:firstLine="0"/>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4.</w:t>
      </w:r>
      <w:r>
        <w:rPr>
          <w:rFonts w:hint="eastAsia" w:ascii="宋体" w:hAnsi="宋体" w:eastAsia="宋体" w:cs="宋体"/>
          <w:b/>
          <w:sz w:val="24"/>
          <w:szCs w:val="24"/>
          <w:highlight w:val="none"/>
        </w:rPr>
        <w:t>阶段性工作成果要求</w:t>
      </w:r>
    </w:p>
    <w:p w14:paraId="29973431">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提交的设计成果</w:t>
      </w:r>
      <w:r>
        <w:rPr>
          <w:rFonts w:hint="eastAsia" w:ascii="宋体" w:hAnsi="宋体" w:eastAsia="宋体" w:cs="宋体"/>
          <w:b/>
          <w:sz w:val="24"/>
          <w:szCs w:val="24"/>
          <w:highlight w:val="none"/>
          <w:lang w:val="en-US" w:eastAsia="zh-CN"/>
        </w:rPr>
        <w:t>除合同正文约定内容外，还应</w:t>
      </w:r>
      <w:r>
        <w:rPr>
          <w:rFonts w:hint="eastAsia" w:ascii="宋体" w:hAnsi="宋体" w:eastAsia="宋体" w:cs="宋体"/>
          <w:b/>
          <w:sz w:val="24"/>
          <w:szCs w:val="24"/>
          <w:highlight w:val="none"/>
        </w:rPr>
        <w:t>包括但不限于以下内容：</w:t>
      </w:r>
    </w:p>
    <w:p w14:paraId="2F37FCF9">
      <w:pPr>
        <w:numPr>
          <w:ilvl w:val="0"/>
          <w:numId w:val="0"/>
        </w:numPr>
        <w:spacing w:line="360" w:lineRule="auto"/>
        <w:rPr>
          <w:rFonts w:hint="eastAsia" w:ascii="宋体" w:hAnsi="宋体" w:eastAsia="宋体" w:cs="宋体"/>
          <w:b/>
          <w:sz w:val="24"/>
          <w:szCs w:val="24"/>
          <w:highlight w:val="none"/>
        </w:rPr>
      </w:pPr>
      <w:r>
        <w:rPr>
          <w:rFonts w:hint="eastAsia" w:ascii="宋体" w:hAnsi="宋体" w:eastAsia="宋体" w:cs="宋体"/>
          <w:b/>
          <w:kern w:val="2"/>
          <w:sz w:val="24"/>
          <w:szCs w:val="24"/>
          <w:highlight w:val="none"/>
          <w:lang w:val="en-US" w:eastAsia="zh-CN" w:bidi="ar-SA"/>
        </w:rPr>
        <w:t>4.1</w:t>
      </w:r>
      <w:r>
        <w:rPr>
          <w:rFonts w:hint="eastAsia" w:ascii="宋体" w:hAnsi="宋体" w:eastAsia="宋体" w:cs="宋体"/>
          <w:b/>
          <w:sz w:val="24"/>
          <w:szCs w:val="24"/>
          <w:highlight w:val="none"/>
          <w:lang w:val="en-US" w:eastAsia="zh-CN"/>
        </w:rPr>
        <w:t>方案</w:t>
      </w:r>
      <w:r>
        <w:rPr>
          <w:rFonts w:hint="eastAsia" w:ascii="宋体" w:hAnsi="宋体" w:eastAsia="宋体" w:cs="宋体"/>
          <w:b/>
          <w:sz w:val="24"/>
          <w:szCs w:val="24"/>
          <w:highlight w:val="none"/>
        </w:rPr>
        <w:t>设计阶段</w:t>
      </w:r>
    </w:p>
    <w:p w14:paraId="5DBEEEDB">
      <w:pPr>
        <w:spacing w:line="360" w:lineRule="auto"/>
        <w:ind w:left="708" w:leftChars="337"/>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①设计工作要求：</w:t>
      </w:r>
    </w:p>
    <w:p w14:paraId="1D8B4714">
      <w:pPr>
        <w:numPr>
          <w:ilvl w:val="0"/>
          <w:numId w:val="3"/>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提供不少于2个方案</w:t>
      </w:r>
    </w:p>
    <w:p w14:paraId="44D2B4E9">
      <w:pPr>
        <w:numPr>
          <w:ilvl w:val="0"/>
          <w:numId w:val="3"/>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规划方案设计应符合项目规划设计条件，还须满足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广州市城乡规划技术规定</w:t>
      </w:r>
      <w:r>
        <w:rPr>
          <w:rFonts w:hint="eastAsia" w:ascii="宋体" w:hAnsi="宋体" w:cs="宋体"/>
          <w:color w:val="auto"/>
          <w:sz w:val="24"/>
          <w:szCs w:val="24"/>
          <w:highlight w:val="none"/>
          <w:lang w:eastAsia="zh-CN"/>
        </w:rPr>
        <w:t>》</w:t>
      </w:r>
      <w:r>
        <w:rPr>
          <w:rFonts w:hint="eastAsia" w:ascii="宋体" w:hAnsi="宋体" w:eastAsia="宋体" w:cs="宋体"/>
          <w:sz w:val="24"/>
          <w:szCs w:val="24"/>
          <w:highlight w:val="none"/>
        </w:rPr>
        <w:t>《广州市城市规划技术标准与准则（2019）》，并符合国家、省、市有关法律、法规、标准和规范等要求。</w:t>
      </w:r>
    </w:p>
    <w:p w14:paraId="6362D365">
      <w:pPr>
        <w:numPr>
          <w:ilvl w:val="0"/>
          <w:numId w:val="3"/>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规划总平面、</w:t>
      </w:r>
      <w:r>
        <w:rPr>
          <w:rFonts w:hint="eastAsia" w:ascii="宋体" w:hAnsi="宋体" w:eastAsia="宋体" w:cs="宋体"/>
          <w:sz w:val="24"/>
          <w:szCs w:val="24"/>
          <w:highlight w:val="none"/>
        </w:rPr>
        <w:t>场地设计、功能分区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鸟瞰图、主要节点效果图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方案动画等。</w:t>
      </w:r>
    </w:p>
    <w:p w14:paraId="0AC2BADB">
      <w:pPr>
        <w:numPr>
          <w:ilvl w:val="0"/>
          <w:numId w:val="3"/>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重要功能空间的设计思路</w:t>
      </w:r>
    </w:p>
    <w:p w14:paraId="2446323A">
      <w:pPr>
        <w:numPr>
          <w:ilvl w:val="0"/>
          <w:numId w:val="3"/>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解决建筑内部的各种流线和出入口问题</w:t>
      </w:r>
    </w:p>
    <w:p w14:paraId="706632FD">
      <w:pPr>
        <w:numPr>
          <w:ilvl w:val="0"/>
          <w:numId w:val="3"/>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充分表达建筑空间的关系和设计意图</w:t>
      </w:r>
    </w:p>
    <w:p w14:paraId="142EABA6">
      <w:pPr>
        <w:numPr>
          <w:ilvl w:val="0"/>
          <w:numId w:val="3"/>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立面风格</w:t>
      </w:r>
      <w:r>
        <w:rPr>
          <w:rFonts w:hint="eastAsia" w:ascii="宋体" w:hAnsi="宋体" w:eastAsia="宋体" w:cs="宋体"/>
          <w:sz w:val="24"/>
          <w:szCs w:val="24"/>
          <w:highlight w:val="none"/>
          <w:lang w:val="en-US" w:eastAsia="zh-CN"/>
        </w:rPr>
        <w:t>设计</w:t>
      </w:r>
    </w:p>
    <w:p w14:paraId="573F82F7">
      <w:pPr>
        <w:numPr>
          <w:ilvl w:val="0"/>
          <w:numId w:val="0"/>
        </w:numPr>
        <w:spacing w:line="360" w:lineRule="auto"/>
        <w:ind w:left="708"/>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h</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承包人</w:t>
      </w:r>
      <w:r>
        <w:rPr>
          <w:rFonts w:hint="eastAsia" w:ascii="宋体" w:hAnsi="宋体" w:eastAsia="宋体" w:cs="宋体"/>
          <w:sz w:val="24"/>
          <w:szCs w:val="24"/>
          <w:highlight w:val="none"/>
        </w:rPr>
        <w:t>应根据实施方案提交投资估算编制说明及投资估算表。</w:t>
      </w:r>
    </w:p>
    <w:p w14:paraId="0D574A8E">
      <w:pPr>
        <w:numPr>
          <w:ilvl w:val="0"/>
          <w:numId w:val="0"/>
        </w:numPr>
        <w:spacing w:line="360" w:lineRule="auto"/>
        <w:ind w:left="0"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i)  结构应提供地上、地下主体结构与基础选型，以及结构布置初步比选方案，并对结构体系进行初步的计算，保证结构方案是可行的。</w:t>
      </w:r>
    </w:p>
    <w:p w14:paraId="49C656CE">
      <w:pPr>
        <w:numPr>
          <w:ilvl w:val="0"/>
          <w:numId w:val="0"/>
        </w:numPr>
        <w:spacing w:line="360" w:lineRule="auto"/>
        <w:ind w:left="0"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j)  </w:t>
      </w:r>
      <w:r>
        <w:rPr>
          <w:rFonts w:hint="eastAsia" w:ascii="宋体" w:hAnsi="宋体" w:eastAsia="宋体" w:cs="宋体"/>
          <w:sz w:val="24"/>
          <w:szCs w:val="24"/>
          <w:highlight w:val="none"/>
        </w:rPr>
        <w:t>提交相关设计样板、色卡等相关材料用于材料定板。</w:t>
      </w:r>
    </w:p>
    <w:p w14:paraId="418B6F33">
      <w:pPr>
        <w:spacing w:line="360" w:lineRule="auto"/>
        <w:ind w:left="708" w:leftChars="337"/>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②提交成果内容：</w:t>
      </w:r>
    </w:p>
    <w:p w14:paraId="7467EB40">
      <w:pPr>
        <w:numPr>
          <w:ilvl w:val="0"/>
          <w:numId w:val="4"/>
        </w:numPr>
        <w:spacing w:line="360" w:lineRule="auto"/>
        <w:ind w:left="708"/>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内容完善的方案文本</w:t>
      </w:r>
      <w:r>
        <w:rPr>
          <w:rFonts w:hint="eastAsia" w:ascii="宋体" w:hAnsi="宋体" w:cs="宋体"/>
          <w:b w:val="0"/>
          <w:bCs w:val="0"/>
          <w:sz w:val="24"/>
          <w:szCs w:val="24"/>
          <w:highlight w:val="none"/>
          <w:lang w:val="en-US" w:eastAsia="zh-CN"/>
        </w:rPr>
        <w:t>，汇编完整的建设方案。</w:t>
      </w:r>
    </w:p>
    <w:p w14:paraId="1CC6959F">
      <w:pPr>
        <w:numPr>
          <w:ilvl w:val="0"/>
          <w:numId w:val="4"/>
        </w:numPr>
        <w:spacing w:line="360" w:lineRule="auto"/>
        <w:ind w:left="708" w:leftChars="0" w:firstLine="0" w:firstLineChars="0"/>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sz w:val="24"/>
          <w:szCs w:val="24"/>
          <w:highlight w:val="none"/>
          <w:lang w:val="en-US" w:eastAsia="zh-CN"/>
        </w:rPr>
        <w:t>提供不少于2个方案进行比选，</w:t>
      </w:r>
      <w:r>
        <w:rPr>
          <w:rFonts w:hint="eastAsia" w:ascii="宋体" w:hAnsi="宋体" w:cs="宋体"/>
          <w:color w:val="auto"/>
          <w:sz w:val="24"/>
          <w:szCs w:val="24"/>
          <w:highlight w:val="none"/>
          <w:lang w:val="en-US" w:eastAsia="zh-CN"/>
        </w:rPr>
        <w:t>明确每个方案的优势和不足，推荐最优的方案。</w:t>
      </w:r>
    </w:p>
    <w:p w14:paraId="14B27A36">
      <w:pPr>
        <w:pStyle w:val="40"/>
        <w:rPr>
          <w:rFonts w:hint="eastAsia"/>
          <w:highlight w:val="none"/>
        </w:rPr>
      </w:pPr>
    </w:p>
    <w:p w14:paraId="2F487D8D">
      <w:pPr>
        <w:numPr>
          <w:ilvl w:val="0"/>
          <w:numId w:val="0"/>
        </w:numPr>
        <w:spacing w:line="360" w:lineRule="auto"/>
        <w:rPr>
          <w:rFonts w:hint="eastAsia" w:ascii="宋体" w:hAnsi="宋体" w:eastAsia="宋体" w:cs="宋体"/>
          <w:b/>
          <w:sz w:val="24"/>
          <w:szCs w:val="24"/>
          <w:highlight w:val="none"/>
        </w:rPr>
      </w:pPr>
      <w:r>
        <w:rPr>
          <w:rFonts w:hint="eastAsia" w:ascii="宋体" w:hAnsi="宋体" w:eastAsia="宋体" w:cs="宋体"/>
          <w:b/>
          <w:kern w:val="2"/>
          <w:sz w:val="24"/>
          <w:szCs w:val="24"/>
          <w:highlight w:val="none"/>
          <w:lang w:val="en-US" w:eastAsia="zh-CN" w:bidi="ar-SA"/>
        </w:rPr>
        <w:t>4.2</w:t>
      </w:r>
      <w:r>
        <w:rPr>
          <w:rFonts w:hint="eastAsia" w:ascii="宋体" w:hAnsi="宋体" w:eastAsia="宋体" w:cs="宋体"/>
          <w:b/>
          <w:sz w:val="24"/>
          <w:szCs w:val="24"/>
          <w:highlight w:val="none"/>
        </w:rPr>
        <w:t>规划报建阶段</w:t>
      </w:r>
    </w:p>
    <w:p w14:paraId="70A39060">
      <w:pPr>
        <w:spacing w:line="360" w:lineRule="auto"/>
        <w:ind w:left="708" w:leftChars="337"/>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①设计工作要求：</w:t>
      </w:r>
    </w:p>
    <w:p w14:paraId="30D0A828">
      <w:pPr>
        <w:numPr>
          <w:ilvl w:val="0"/>
          <w:numId w:val="5"/>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根据概念设计方案对本项目的总体规划设计进行深化、完善。</w:t>
      </w:r>
    </w:p>
    <w:p w14:paraId="6273C48F">
      <w:pPr>
        <w:numPr>
          <w:ilvl w:val="0"/>
          <w:numId w:val="5"/>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根据建筑单体设计方案，完成总体规划设计以及建筑单体平立剖（具体以满足规划管理部门要求为准）。</w:t>
      </w:r>
    </w:p>
    <w:p w14:paraId="5BC4D1E2">
      <w:pPr>
        <w:numPr>
          <w:ilvl w:val="0"/>
          <w:numId w:val="5"/>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负责修建性详细规划设计方案</w:t>
      </w:r>
      <w:r>
        <w:rPr>
          <w:rFonts w:hint="eastAsia" w:ascii="宋体" w:hAnsi="宋体" w:eastAsia="宋体" w:cs="宋体"/>
          <w:sz w:val="24"/>
          <w:szCs w:val="24"/>
          <w:highlight w:val="none"/>
          <w:lang w:val="en-US" w:eastAsia="zh-CN"/>
        </w:rPr>
        <w:t>及单体报建方案</w:t>
      </w:r>
      <w:r>
        <w:rPr>
          <w:rFonts w:hint="eastAsia" w:ascii="宋体" w:hAnsi="宋体" w:eastAsia="宋体" w:cs="宋体"/>
          <w:sz w:val="24"/>
          <w:szCs w:val="24"/>
          <w:highlight w:val="none"/>
        </w:rPr>
        <w:t>在审批过程中的修改工作，直至方案通过审批并取得规划管理部门的正式批文。</w:t>
      </w:r>
    </w:p>
    <w:p w14:paraId="3FA78B93">
      <w:pPr>
        <w:numPr>
          <w:ilvl w:val="0"/>
          <w:numId w:val="5"/>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完成管线综合规划设计（包括给水工程管线规划、雨水污水工程管线规划、电力、电讯工程管线规划、工程管线综合平衡规划和文本说明）。</w:t>
      </w:r>
      <w:r>
        <w:rPr>
          <w:rFonts w:hint="eastAsia" w:ascii="宋体" w:hAnsi="宋体" w:eastAsia="宋体" w:cs="宋体"/>
          <w:sz w:val="24"/>
          <w:szCs w:val="24"/>
          <w:highlight w:val="none"/>
          <w:lang w:val="en-US" w:eastAsia="zh-CN"/>
        </w:rPr>
        <w:t>完成各单体平面、立剖面等单体图纸绘制工作，满足单体报建审批深度。</w:t>
      </w:r>
    </w:p>
    <w:p w14:paraId="35E02942">
      <w:pPr>
        <w:numPr>
          <w:ilvl w:val="0"/>
          <w:numId w:val="5"/>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负责提供本项目上述阶段在规划行政主管部门审批过程中的技术顾问工作。</w:t>
      </w:r>
    </w:p>
    <w:p w14:paraId="0846A164">
      <w:pPr>
        <w:numPr>
          <w:ilvl w:val="0"/>
          <w:numId w:val="5"/>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需按</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及政府相关要求及时更改方案。</w:t>
      </w:r>
    </w:p>
    <w:p w14:paraId="694D8CAF">
      <w:pPr>
        <w:spacing w:line="360" w:lineRule="auto"/>
        <w:ind w:left="708" w:leftChars="337"/>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②提交成果内容：</w:t>
      </w:r>
    </w:p>
    <w:p w14:paraId="1108DCA4">
      <w:pPr>
        <w:numPr>
          <w:ilvl w:val="0"/>
          <w:numId w:val="6"/>
        </w:numPr>
        <w:spacing w:line="360" w:lineRule="auto"/>
        <w:rPr>
          <w:rFonts w:hint="eastAsia" w:ascii="宋体" w:hAnsi="宋体" w:eastAsia="宋体" w:cs="宋体"/>
          <w:sz w:val="24"/>
          <w:szCs w:val="24"/>
          <w:highlight w:val="none"/>
        </w:rPr>
      </w:pPr>
      <w:r>
        <w:rPr>
          <w:rFonts w:hint="eastAsia" w:ascii="宋体" w:hAnsi="宋体" w:eastAsia="宋体" w:cs="宋体"/>
          <w:b w:val="0"/>
          <w:bCs w:val="0"/>
          <w:kern w:val="0"/>
          <w:sz w:val="24"/>
          <w:szCs w:val="24"/>
          <w:highlight w:val="none"/>
          <w:lang w:val="en-US" w:eastAsia="zh-CN" w:bidi="ar-SA"/>
        </w:rPr>
        <w:t>配合信任筹建报批</w:t>
      </w:r>
      <w:r>
        <w:rPr>
          <w:rFonts w:hint="eastAsia" w:ascii="宋体" w:hAnsi="宋体" w:cs="宋体"/>
          <w:b w:val="0"/>
          <w:bCs w:val="0"/>
          <w:kern w:val="0"/>
          <w:sz w:val="24"/>
          <w:szCs w:val="24"/>
          <w:highlight w:val="none"/>
          <w:lang w:val="en-US" w:eastAsia="zh-CN" w:bidi="ar-SA"/>
        </w:rPr>
        <w:t>，编制相关</w:t>
      </w:r>
      <w:r>
        <w:rPr>
          <w:rFonts w:hint="eastAsia" w:ascii="宋体" w:hAnsi="宋体" w:eastAsia="宋体" w:cs="宋体"/>
          <w:b w:val="0"/>
          <w:bCs w:val="0"/>
          <w:kern w:val="0"/>
          <w:sz w:val="24"/>
          <w:szCs w:val="24"/>
          <w:highlight w:val="none"/>
          <w:lang w:val="en-US" w:eastAsia="zh-CN" w:bidi="ar-SA"/>
        </w:rPr>
        <w:t>方案文本。</w:t>
      </w:r>
    </w:p>
    <w:p w14:paraId="5745046A">
      <w:pPr>
        <w:numPr>
          <w:ilvl w:val="0"/>
          <w:numId w:val="6"/>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规划报建相关电子报批文件，含修详通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报建通</w:t>
      </w:r>
      <w:r>
        <w:rPr>
          <w:rFonts w:hint="eastAsia" w:ascii="宋体" w:hAnsi="宋体" w:eastAsia="宋体" w:cs="宋体"/>
          <w:sz w:val="24"/>
          <w:szCs w:val="24"/>
          <w:highlight w:val="none"/>
        </w:rPr>
        <w:t>等相关文件。</w:t>
      </w:r>
    </w:p>
    <w:p w14:paraId="56F7B844">
      <w:pPr>
        <w:numPr>
          <w:ilvl w:val="0"/>
          <w:numId w:val="6"/>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规划报建相关蓝图。</w:t>
      </w:r>
    </w:p>
    <w:p w14:paraId="4206FD29">
      <w:pPr>
        <w:pStyle w:val="40"/>
        <w:rPr>
          <w:rFonts w:hint="eastAsia"/>
          <w:highlight w:val="none"/>
        </w:rPr>
      </w:pPr>
    </w:p>
    <w:p w14:paraId="024A36DF">
      <w:pPr>
        <w:numPr>
          <w:ilvl w:val="0"/>
          <w:numId w:val="0"/>
        </w:numPr>
        <w:spacing w:line="360" w:lineRule="auto"/>
        <w:rPr>
          <w:rFonts w:hint="eastAsia" w:ascii="宋体" w:hAnsi="宋体" w:eastAsia="宋体" w:cs="宋体"/>
          <w:b/>
          <w:sz w:val="24"/>
          <w:szCs w:val="24"/>
          <w:highlight w:val="none"/>
        </w:rPr>
      </w:pPr>
      <w:r>
        <w:rPr>
          <w:rFonts w:hint="eastAsia" w:ascii="宋体" w:hAnsi="宋体" w:eastAsia="宋体" w:cs="宋体"/>
          <w:b/>
          <w:kern w:val="2"/>
          <w:sz w:val="24"/>
          <w:szCs w:val="24"/>
          <w:highlight w:val="none"/>
          <w:lang w:val="en-US" w:eastAsia="zh-CN" w:bidi="ar-SA"/>
        </w:rPr>
        <w:t>4.3</w:t>
      </w:r>
      <w:r>
        <w:rPr>
          <w:rFonts w:hint="eastAsia" w:ascii="宋体" w:hAnsi="宋体" w:eastAsia="宋体" w:cs="宋体"/>
          <w:b/>
          <w:sz w:val="24"/>
          <w:szCs w:val="24"/>
          <w:highlight w:val="none"/>
        </w:rPr>
        <w:t>初步设计阶段</w:t>
      </w:r>
    </w:p>
    <w:p w14:paraId="736D11E6">
      <w:pPr>
        <w:spacing w:line="360" w:lineRule="auto"/>
        <w:ind w:left="703"/>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①设计工作要求：</w:t>
      </w:r>
    </w:p>
    <w:p w14:paraId="5F50BCCB">
      <w:pPr>
        <w:spacing w:line="5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（1）初步设计文件应包括设计总说明书和各专业的设计说明书、消防设计专篇、各专业设计图纸、主要设备和材料表、工程量清单及工程概算书。初步设计文件均以各工程子项为编制</w:t>
      </w:r>
      <w:r>
        <w:rPr>
          <w:rFonts w:hint="eastAsia" w:ascii="宋体" w:hAnsi="宋体" w:cs="宋体"/>
          <w:sz w:val="24"/>
          <w:szCs w:val="24"/>
          <w:highlight w:val="none"/>
          <w:lang w:val="en-US" w:eastAsia="zh-CN"/>
        </w:rPr>
        <w:t>单位。</w:t>
      </w:r>
    </w:p>
    <w:p w14:paraId="7E65A749">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（2）初步设计阶段应具备技术先进性、可行性和经济合理性。满足以下要求：</w:t>
      </w:r>
    </w:p>
    <w:p w14:paraId="2F8E04BF">
      <w:pPr>
        <w:spacing w:line="360" w:lineRule="auto"/>
        <w:ind w:firstLine="480" w:firstLineChars="200"/>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 xml:space="preserve"> A.应符合由建设管理单位提供的设计方案和实施性方案要求，能按方案设计意愿提出专业的设备选型对比方案；</w:t>
      </w:r>
    </w:p>
    <w:p w14:paraId="058F12F2">
      <w:pPr>
        <w:spacing w:line="360" w:lineRule="auto"/>
        <w:ind w:firstLine="480" w:firstLineChars="200"/>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 xml:space="preserve"> B.能据以准备各主要设备、材料及饰面材料（送板）；</w:t>
      </w:r>
    </w:p>
    <w:p w14:paraId="630FA658">
      <w:pPr>
        <w:spacing w:line="360" w:lineRule="auto"/>
        <w:ind w:firstLine="480" w:firstLineChars="200"/>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 xml:space="preserve"> C.能据以编制、审核该工程的投资概算；</w:t>
      </w:r>
    </w:p>
    <w:p w14:paraId="409AACCE">
      <w:pPr>
        <w:spacing w:line="360" w:lineRule="auto"/>
        <w:ind w:firstLine="480" w:firstLineChars="200"/>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 xml:space="preserve"> D.能据以进行施工准备；</w:t>
      </w:r>
    </w:p>
    <w:p w14:paraId="21F2C37B">
      <w:pPr>
        <w:spacing w:line="360" w:lineRule="auto"/>
        <w:ind w:firstLine="480" w:firstLineChars="200"/>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 xml:space="preserve"> E.能作为各专业施工图设计的依据。</w:t>
      </w:r>
    </w:p>
    <w:p w14:paraId="111B2E6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负责灯光设计、标识设计、车库设备公司等专业的图纸的方案对比及优化和调整；</w:t>
      </w:r>
    </w:p>
    <w:p w14:paraId="4C0B00C7">
      <w:pPr>
        <w:spacing w:line="360" w:lineRule="auto"/>
        <w:ind w:left="703"/>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②提交成果内容：</w:t>
      </w:r>
    </w:p>
    <w:p w14:paraId="0B290904">
      <w:pPr>
        <w:numPr>
          <w:ilvl w:val="0"/>
          <w:numId w:val="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各专业初步设计文件与概算文件；</w:t>
      </w:r>
    </w:p>
    <w:p w14:paraId="0FF49FE2">
      <w:pPr>
        <w:numPr>
          <w:ilvl w:val="0"/>
          <w:numId w:val="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其他专项初步设计文件</w:t>
      </w:r>
    </w:p>
    <w:p w14:paraId="2AC93014">
      <w:pPr>
        <w:numPr>
          <w:ilvl w:val="0"/>
          <w:numId w:val="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提供节能计算初期结果；</w:t>
      </w:r>
    </w:p>
    <w:p w14:paraId="2C229AC4">
      <w:pPr>
        <w:numPr>
          <w:ilvl w:val="0"/>
          <w:numId w:val="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提供结构电子计算模型与计算书，主体结构布置图及特殊结构部位的构造简图，要求注明构件尺寸、标高及关键部位净空尺寸；</w:t>
      </w:r>
    </w:p>
    <w:p w14:paraId="654FFC55">
      <w:pPr>
        <w:numPr>
          <w:ilvl w:val="0"/>
          <w:numId w:val="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各专业设备选型与布局说明；</w:t>
      </w:r>
    </w:p>
    <w:p w14:paraId="0CC9C2FE">
      <w:pPr>
        <w:numPr>
          <w:ilvl w:val="0"/>
          <w:numId w:val="7"/>
        </w:numP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所有初设文件及概算文件编制深度应满足政府审查部门深度及要求，并根据政府审查部门审核意见及时修正，</w:t>
      </w:r>
      <w:r>
        <w:rPr>
          <w:rFonts w:hint="eastAsia" w:ascii="宋体" w:hAnsi="宋体" w:cs="宋体"/>
          <w:color w:val="auto"/>
          <w:sz w:val="24"/>
          <w:szCs w:val="24"/>
          <w:highlight w:val="none"/>
          <w:lang w:val="en-US" w:eastAsia="zh-CN"/>
        </w:rPr>
        <w:t>直至获取政府审查部门正式批复。</w:t>
      </w:r>
      <w:r>
        <w:rPr>
          <w:rFonts w:hint="eastAsia" w:ascii="宋体" w:hAnsi="宋体" w:cs="宋体"/>
          <w:sz w:val="24"/>
          <w:szCs w:val="24"/>
          <w:highlight w:val="none"/>
          <w:lang w:val="en-US" w:eastAsia="zh-CN"/>
        </w:rPr>
        <w:t>包括但不限于满足</w:t>
      </w:r>
      <w:r>
        <w:rPr>
          <w:rFonts w:hint="eastAsia" w:ascii="宋体" w:hAnsi="宋体" w:cs="宋体"/>
          <w:b w:val="0"/>
          <w:bCs w:val="0"/>
          <w:sz w:val="24"/>
          <w:szCs w:val="24"/>
          <w:highlight w:val="none"/>
          <w:lang w:val="en-US" w:eastAsia="zh-CN"/>
        </w:rPr>
        <w:t>《广州市黄埔区 广州开发去政府投资工程建设项目建设方案联审决策实施细则（第二版）》（穗埔建[2022]151号文）要求</w:t>
      </w:r>
      <w:r>
        <w:rPr>
          <w:rFonts w:hint="eastAsia" w:ascii="宋体" w:hAnsi="宋体" w:cs="宋体"/>
          <w:sz w:val="24"/>
          <w:szCs w:val="24"/>
          <w:highlight w:val="none"/>
          <w:lang w:val="en-US" w:eastAsia="zh-CN"/>
        </w:rPr>
        <w:t>。</w:t>
      </w:r>
    </w:p>
    <w:p w14:paraId="6A2E655C">
      <w:pPr>
        <w:numPr>
          <w:ilvl w:val="0"/>
          <w:numId w:val="0"/>
        </w:numPr>
        <w:spacing w:line="360" w:lineRule="auto"/>
        <w:rPr>
          <w:rFonts w:hint="eastAsia" w:ascii="宋体" w:hAnsi="宋体" w:eastAsia="宋体" w:cs="宋体"/>
          <w:b/>
          <w:sz w:val="24"/>
          <w:szCs w:val="24"/>
          <w:highlight w:val="none"/>
          <w:lang w:val="en-US" w:eastAsia="zh-CN"/>
        </w:rPr>
      </w:pPr>
    </w:p>
    <w:p w14:paraId="4FD592A6">
      <w:pPr>
        <w:numPr>
          <w:ilvl w:val="0"/>
          <w:numId w:val="0"/>
        </w:num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4.4</w:t>
      </w:r>
      <w:r>
        <w:rPr>
          <w:rFonts w:hint="eastAsia" w:ascii="宋体" w:hAnsi="宋体" w:eastAsia="宋体" w:cs="宋体"/>
          <w:b/>
          <w:sz w:val="24"/>
          <w:szCs w:val="24"/>
          <w:highlight w:val="none"/>
        </w:rPr>
        <w:t>施工图设计与施工配合阶段</w:t>
      </w:r>
    </w:p>
    <w:p w14:paraId="5D8D5724">
      <w:pPr>
        <w:spacing w:line="360" w:lineRule="auto"/>
        <w:ind w:left="703"/>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①设计工作要求：</w:t>
      </w:r>
    </w:p>
    <w:p w14:paraId="233DF7BA">
      <w:pPr>
        <w:numPr>
          <w:ilvl w:val="0"/>
          <w:numId w:val="8"/>
        </w:num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施工图设计应根据广州市人民政府有关主管部门批准的初步设计进行编制，内容应包括各专业的说明书、图纸等。施工图设计文件均以各工程子项为编制单位。</w:t>
      </w:r>
    </w:p>
    <w:p w14:paraId="3481786D">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（2）施工图设计文件的深度要满足以下要求：</w:t>
      </w:r>
    </w:p>
    <w:p w14:paraId="453D5B76">
      <w:pPr>
        <w:spacing w:line="360" w:lineRule="auto"/>
        <w:ind w:firstLine="480" w:firstLineChars="200"/>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 xml:space="preserve"> A.能据以编制施工图预算；</w:t>
      </w:r>
    </w:p>
    <w:p w14:paraId="6C881233">
      <w:pPr>
        <w:spacing w:line="360" w:lineRule="auto"/>
        <w:ind w:firstLine="480" w:firstLineChars="200"/>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 xml:space="preserve"> B.能据以编制招标文件；</w:t>
      </w:r>
    </w:p>
    <w:p w14:paraId="46445239">
      <w:pPr>
        <w:spacing w:line="360" w:lineRule="auto"/>
        <w:ind w:firstLine="480" w:firstLineChars="200"/>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 xml:space="preserve"> C.能据以安排材料、设备订货和非标准设备的制作；</w:t>
      </w:r>
    </w:p>
    <w:p w14:paraId="04538991">
      <w:pPr>
        <w:spacing w:line="360" w:lineRule="auto"/>
        <w:ind w:firstLine="480" w:firstLineChars="200"/>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 xml:space="preserve"> D.能据以进行施工和安装；</w:t>
      </w:r>
    </w:p>
    <w:p w14:paraId="78E2428A">
      <w:pPr>
        <w:spacing w:line="360" w:lineRule="auto"/>
        <w:ind w:firstLine="480" w:firstLineChars="200"/>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 xml:space="preserve"> E.能据以进行工程竣工验收。</w:t>
      </w:r>
    </w:p>
    <w:p w14:paraId="3D6F5861">
      <w:pPr>
        <w:spacing w:line="360" w:lineRule="auto"/>
        <w:ind w:left="703"/>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②提交成果内容：</w:t>
      </w:r>
    </w:p>
    <w:p w14:paraId="58AC8AEE">
      <w:pPr>
        <w:numPr>
          <w:ilvl w:val="0"/>
          <w:numId w:val="9"/>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负责建筑、结构、电气、智能化、给排水</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消防</w:t>
      </w:r>
      <w:r>
        <w:rPr>
          <w:rFonts w:hint="eastAsia" w:ascii="宋体" w:hAnsi="宋体" w:eastAsia="宋体" w:cs="宋体"/>
          <w:sz w:val="24"/>
          <w:szCs w:val="24"/>
          <w:highlight w:val="none"/>
        </w:rPr>
        <w:t>等各专业的施工图设计并通过主体内容的施工图审查。</w:t>
      </w:r>
    </w:p>
    <w:p w14:paraId="261B7636">
      <w:pPr>
        <w:numPr>
          <w:ilvl w:val="0"/>
          <w:numId w:val="9"/>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负责建筑节能设计并通过设计管理部门审查。</w:t>
      </w:r>
    </w:p>
    <w:p w14:paraId="6F6D89DD">
      <w:pPr>
        <w:numPr>
          <w:ilvl w:val="0"/>
          <w:numId w:val="9"/>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负责幕墙设计单位完成节点详图的深化设计。</w:t>
      </w:r>
    </w:p>
    <w:p w14:paraId="014F9CA3">
      <w:pPr>
        <w:numPr>
          <w:ilvl w:val="0"/>
          <w:numId w:val="9"/>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负责建筑专业平、立、剖竣工图及其他竣工图</w:t>
      </w:r>
      <w:r>
        <w:rPr>
          <w:rFonts w:hint="eastAsia" w:ascii="宋体" w:hAnsi="宋体" w:cs="宋体"/>
          <w:sz w:val="24"/>
          <w:szCs w:val="24"/>
          <w:highlight w:val="none"/>
          <w:lang w:val="en-US" w:eastAsia="zh-CN"/>
        </w:rPr>
        <w:t>编制</w:t>
      </w:r>
      <w:r>
        <w:rPr>
          <w:rFonts w:hint="eastAsia" w:ascii="宋体" w:hAnsi="宋体" w:eastAsia="宋体" w:cs="宋体"/>
          <w:sz w:val="24"/>
          <w:szCs w:val="24"/>
          <w:highlight w:val="none"/>
        </w:rPr>
        <w:t>和盖章。</w:t>
      </w:r>
    </w:p>
    <w:p w14:paraId="308CE7DD">
      <w:pPr>
        <w:spacing w:line="360" w:lineRule="auto"/>
        <w:ind w:left="703"/>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③设计配合工作：</w:t>
      </w:r>
    </w:p>
    <w:p w14:paraId="2123CA9D">
      <w:pPr>
        <w:numPr>
          <w:ilvl w:val="0"/>
          <w:numId w:val="1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协调配合燃气、电信等专项工程施工单位的施工设计方案，对建筑图纸进行调整和优化。并反映在建筑内与室外综合管线施工设计图纸上。</w:t>
      </w:r>
    </w:p>
    <w:p w14:paraId="48623F59">
      <w:pPr>
        <w:numPr>
          <w:ilvl w:val="0"/>
          <w:numId w:val="1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配合红线外的市政设计，对总平面的道路竖向设计及建筑物室内外标高进行调整，总平面施工图中的道路竖向标高应与红线外围市政道路设计的关键点标高一一对应。</w:t>
      </w:r>
    </w:p>
    <w:p w14:paraId="68FB9FA6">
      <w:pPr>
        <w:numPr>
          <w:ilvl w:val="0"/>
          <w:numId w:val="1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负责配合后期运营标识、广告设计进行外立面及详图的设计调整及优化。</w:t>
      </w:r>
    </w:p>
    <w:p w14:paraId="10B38890">
      <w:pPr>
        <w:numPr>
          <w:ilvl w:val="0"/>
          <w:numId w:val="10"/>
        </w:numPr>
        <w:spacing w:line="360" w:lineRule="auto"/>
        <w:ind w:leftChars="337"/>
        <w:rPr>
          <w:rFonts w:hint="eastAsia" w:ascii="宋体" w:hAnsi="宋体" w:eastAsia="宋体" w:cs="宋体"/>
          <w:sz w:val="24"/>
          <w:szCs w:val="24"/>
          <w:highlight w:val="none"/>
        </w:rPr>
      </w:pPr>
      <w:r>
        <w:rPr>
          <w:rFonts w:hint="eastAsia" w:ascii="宋体" w:hAnsi="宋体" w:eastAsia="宋体" w:cs="宋体"/>
          <w:sz w:val="24"/>
          <w:szCs w:val="24"/>
          <w:highlight w:val="none"/>
        </w:rPr>
        <w:t>负责完善政府相关部门的调整要求及完成方案、初设、市政、规划、交通、消防、绿化、泛光等专业的报审工作。以主设计协调的方式为</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的其它设计合作方提供图纸、设计数据、电子文件等相关技术支持。</w:t>
      </w:r>
    </w:p>
    <w:p w14:paraId="459B4215">
      <w:pPr>
        <w:spacing w:line="360" w:lineRule="auto"/>
        <w:ind w:left="708" w:leftChars="337"/>
        <w:rPr>
          <w:rFonts w:hint="eastAsia" w:ascii="宋体" w:hAnsi="宋体" w:eastAsia="宋体" w:cs="宋体"/>
          <w:sz w:val="24"/>
          <w:szCs w:val="24"/>
          <w:highlight w:val="none"/>
        </w:rPr>
      </w:pPr>
      <w:r>
        <w:rPr>
          <w:rFonts w:hint="eastAsia" w:ascii="宋体" w:hAnsi="宋体" w:eastAsia="宋体" w:cs="宋体"/>
          <w:sz w:val="24"/>
          <w:szCs w:val="24"/>
          <w:highlight w:val="none"/>
        </w:rPr>
        <w:t>现场服务：</w:t>
      </w:r>
    </w:p>
    <w:p w14:paraId="45A75DB5">
      <w:pPr>
        <w:numPr>
          <w:ilvl w:val="0"/>
          <w:numId w:val="11"/>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承包人</w:t>
      </w:r>
      <w:r>
        <w:rPr>
          <w:rFonts w:hint="eastAsia" w:ascii="宋体" w:hAnsi="宋体" w:eastAsia="宋体" w:cs="宋体"/>
          <w:sz w:val="24"/>
          <w:szCs w:val="24"/>
          <w:highlight w:val="none"/>
        </w:rPr>
        <w:t>将提供周期性的工地建设视察，审察工程建造质量、进度，协助</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确认工程建造是否符合施工文件设计方面的要求，参加定期的工程会谈、解答与施工文件相关的问题。</w:t>
      </w:r>
    </w:p>
    <w:p w14:paraId="3FBC63EA">
      <w:pPr>
        <w:numPr>
          <w:ilvl w:val="0"/>
          <w:numId w:val="11"/>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承包人</w:t>
      </w:r>
      <w:r>
        <w:rPr>
          <w:rFonts w:hint="eastAsia" w:ascii="宋体" w:hAnsi="宋体" w:eastAsia="宋体" w:cs="宋体"/>
          <w:sz w:val="24"/>
          <w:szCs w:val="24"/>
          <w:highlight w:val="none"/>
        </w:rPr>
        <w:t>应按需求指派有资格的各专业驻场代表，及时解决工程现场的设计问题。</w:t>
      </w:r>
    </w:p>
    <w:p w14:paraId="0D284A4E">
      <w:pPr>
        <w:spacing w:line="360" w:lineRule="auto"/>
        <w:ind w:left="708" w:leftChars="337"/>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c)  </w:t>
      </w:r>
      <w:r>
        <w:rPr>
          <w:rFonts w:hint="eastAsia" w:ascii="宋体" w:hAnsi="宋体" w:eastAsia="宋体" w:cs="宋体"/>
          <w:sz w:val="24"/>
          <w:szCs w:val="24"/>
          <w:highlight w:val="none"/>
          <w:lang w:val="en-US" w:eastAsia="zh-CN"/>
        </w:rPr>
        <w:t>承包人</w:t>
      </w:r>
      <w:r>
        <w:rPr>
          <w:rFonts w:hint="eastAsia" w:ascii="宋体" w:hAnsi="宋体" w:eastAsia="宋体" w:cs="宋体"/>
          <w:sz w:val="24"/>
          <w:szCs w:val="24"/>
          <w:highlight w:val="none"/>
        </w:rPr>
        <w:t>在后期现场服务中负责现场变更管理，需整理变更清单，做好变更签证记录及相关依据资料收集及提交。</w:t>
      </w:r>
    </w:p>
    <w:p w14:paraId="4A59A4B5">
      <w:pPr>
        <w:spacing w:line="360" w:lineRule="auto"/>
        <w:rPr>
          <w:rFonts w:hint="eastAsia" w:ascii="宋体" w:hAnsi="宋体" w:eastAsia="宋体" w:cs="宋体"/>
          <w:b/>
          <w:kern w:val="2"/>
          <w:sz w:val="24"/>
          <w:szCs w:val="24"/>
          <w:highlight w:val="none"/>
          <w:lang w:val="en-US" w:eastAsia="zh-CN" w:bidi="ar-SA"/>
        </w:rPr>
      </w:pPr>
    </w:p>
    <w:p w14:paraId="4F4FD4D6">
      <w:pPr>
        <w:spacing w:line="360" w:lineRule="auto"/>
        <w:rPr>
          <w:rFonts w:hint="eastAsia" w:ascii="宋体" w:hAnsi="宋体" w:eastAsia="宋体" w:cs="宋体"/>
          <w:b/>
          <w:sz w:val="24"/>
          <w:szCs w:val="24"/>
          <w:highlight w:val="none"/>
        </w:rPr>
      </w:pPr>
      <w:r>
        <w:rPr>
          <w:rFonts w:hint="eastAsia" w:ascii="宋体" w:hAnsi="宋体" w:eastAsia="宋体" w:cs="宋体"/>
          <w:b/>
          <w:kern w:val="2"/>
          <w:sz w:val="24"/>
          <w:szCs w:val="24"/>
          <w:highlight w:val="none"/>
          <w:lang w:val="en-US" w:eastAsia="zh-CN" w:bidi="ar-SA"/>
        </w:rPr>
        <w:t>5、</w:t>
      </w:r>
      <w:r>
        <w:rPr>
          <w:rFonts w:hint="eastAsia" w:ascii="宋体" w:hAnsi="宋体" w:eastAsia="宋体" w:cs="宋体"/>
          <w:b/>
          <w:sz w:val="24"/>
          <w:szCs w:val="24"/>
          <w:highlight w:val="none"/>
        </w:rPr>
        <w:t>其他：</w:t>
      </w:r>
    </w:p>
    <w:p w14:paraId="08B0EDA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各阶段设计成果</w:t>
      </w:r>
      <w:r>
        <w:rPr>
          <w:rFonts w:hint="eastAsia" w:ascii="宋体" w:hAnsi="宋体" w:cs="宋体"/>
          <w:sz w:val="24"/>
          <w:szCs w:val="24"/>
          <w:highlight w:val="none"/>
          <w:lang w:val="en-US" w:eastAsia="zh-CN"/>
        </w:rPr>
        <w:t>应满足国家及省市颁布的相关法律、法规、规范等规定，</w:t>
      </w:r>
      <w:r>
        <w:rPr>
          <w:rFonts w:hint="eastAsia" w:ascii="宋体" w:hAnsi="宋体" w:eastAsia="宋体" w:cs="宋体"/>
          <w:sz w:val="24"/>
          <w:szCs w:val="24"/>
          <w:highlight w:val="none"/>
        </w:rPr>
        <w:t>文件</w:t>
      </w:r>
      <w:r>
        <w:rPr>
          <w:rFonts w:hint="eastAsia" w:ascii="宋体" w:hAnsi="宋体" w:cs="宋体"/>
          <w:sz w:val="24"/>
          <w:szCs w:val="24"/>
          <w:highlight w:val="none"/>
          <w:lang w:val="en-US" w:eastAsia="zh-CN"/>
        </w:rPr>
        <w:t>编制深度</w:t>
      </w:r>
      <w:r>
        <w:rPr>
          <w:rFonts w:hint="eastAsia" w:ascii="宋体" w:hAnsi="宋体" w:eastAsia="宋体" w:cs="宋体"/>
          <w:sz w:val="24"/>
          <w:szCs w:val="24"/>
          <w:highlight w:val="none"/>
        </w:rPr>
        <w:t>不应低于国家相关制图深度规定，且应满足后期深化设计的需求。</w:t>
      </w:r>
    </w:p>
    <w:p w14:paraId="6725E84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各阶段最终设计成果除纸质图纸外，应制作成电子文件。设计文本文件采用Microsoft word2007或以上的DOC格式或PDF文件；图形文件采用AutoCADR14或以上的DWG格式文件；如有包括电脑动画或电脑渲染图等图片的电脑文件，应考虑采用较为普及、通用的应用软件制作。并提交以上电子文件一式一份。</w:t>
      </w:r>
    </w:p>
    <w:p w14:paraId="243FFEFF">
      <w:pPr>
        <w:numPr>
          <w:ilvl w:val="0"/>
          <w:numId w:val="0"/>
        </w:numPr>
        <w:spacing w:line="360" w:lineRule="auto"/>
        <w:ind w:left="0" w:firstLine="0"/>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6、</w:t>
      </w:r>
      <w:r>
        <w:rPr>
          <w:rFonts w:hint="eastAsia" w:ascii="宋体" w:hAnsi="宋体" w:eastAsia="宋体" w:cs="宋体"/>
          <w:b/>
          <w:sz w:val="24"/>
          <w:szCs w:val="24"/>
          <w:highlight w:val="none"/>
        </w:rPr>
        <w:t>工作时间要求</w:t>
      </w:r>
    </w:p>
    <w:p w14:paraId="4C1DE16B">
      <w:pPr>
        <w:pStyle w:val="2"/>
        <w:ind w:firstLine="44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具体详见合同正文约定。</w:t>
      </w:r>
    </w:p>
    <w:p w14:paraId="3E00E1C0">
      <w:pPr>
        <w:numPr>
          <w:ilvl w:val="0"/>
          <w:numId w:val="0"/>
        </w:numPr>
        <w:spacing w:line="360" w:lineRule="auto"/>
        <w:ind w:left="0" w:firstLine="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7、经济技术指标（具体以政府批复的规划条件为准）</w:t>
      </w:r>
    </w:p>
    <w:p w14:paraId="5212FED5">
      <w:pPr>
        <w:pStyle w:val="192"/>
        <w:spacing w:line="360" w:lineRule="auto"/>
        <w:ind w:firstLine="482" w:firstLineChars="200"/>
        <w:jc w:val="center"/>
        <w:rPr>
          <w:rFonts w:hint="eastAsia" w:ascii="仿宋" w:hAnsi="仿宋" w:cs="仿宋"/>
          <w:sz w:val="28"/>
          <w:szCs w:val="28"/>
          <w:highlight w:val="none"/>
          <w:lang w:eastAsia="zh-CN"/>
        </w:rPr>
      </w:pPr>
      <w:r>
        <w:rPr>
          <w:rFonts w:hint="eastAsia" w:ascii="仿宋" w:hAnsi="仿宋" w:cs="Times New Roman"/>
          <w:b/>
          <w:sz w:val="24"/>
          <w:highlight w:val="none"/>
          <w:lang w:val="en-US" w:eastAsia="zh-CN"/>
        </w:rPr>
        <w:t>建设指标</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25"/>
        <w:gridCol w:w="4389"/>
        <w:gridCol w:w="1026"/>
        <w:gridCol w:w="1816"/>
      </w:tblGrid>
      <w:tr w14:paraId="24B6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3430" w:type="pct"/>
            <w:gridSpan w:val="2"/>
            <w:noWrap w:val="0"/>
            <w:tcMar>
              <w:top w:w="15" w:type="dxa"/>
              <w:left w:w="15" w:type="dxa"/>
              <w:right w:w="15" w:type="dxa"/>
            </w:tcMar>
            <w:vAlign w:val="center"/>
          </w:tcPr>
          <w:p w14:paraId="6884FCBB">
            <w:pPr>
              <w:widowControl/>
              <w:spacing w:line="360" w:lineRule="auto"/>
              <w:jc w:val="center"/>
              <w:textAlignment w:val="center"/>
              <w:rPr>
                <w:rFonts w:hint="eastAsia" w:ascii="仿宋" w:hAnsi="仿宋" w:cs="Times New Roman"/>
                <w:kern w:val="0"/>
                <w:sz w:val="24"/>
                <w:szCs w:val="24"/>
                <w:highlight w:val="none"/>
                <w:lang w:bidi="ar"/>
              </w:rPr>
            </w:pPr>
            <w:r>
              <w:rPr>
                <w:rFonts w:ascii="仿宋" w:hAnsi="仿宋" w:cs="Times New Roman"/>
                <w:kern w:val="0"/>
                <w:sz w:val="24"/>
                <w:szCs w:val="24"/>
                <w:highlight w:val="none"/>
                <w:lang w:bidi="ar"/>
              </w:rPr>
              <w:t>项目</w:t>
            </w:r>
          </w:p>
        </w:tc>
        <w:tc>
          <w:tcPr>
            <w:tcW w:w="566" w:type="pct"/>
            <w:noWrap w:val="0"/>
            <w:tcMar>
              <w:top w:w="15" w:type="dxa"/>
              <w:left w:w="15" w:type="dxa"/>
              <w:right w:w="15" w:type="dxa"/>
            </w:tcMar>
            <w:vAlign w:val="center"/>
          </w:tcPr>
          <w:p w14:paraId="61B59D8B">
            <w:pPr>
              <w:widowControl/>
              <w:spacing w:line="360" w:lineRule="auto"/>
              <w:jc w:val="center"/>
              <w:textAlignment w:val="center"/>
              <w:rPr>
                <w:rFonts w:hint="eastAsia" w:ascii="仿宋" w:hAnsi="仿宋" w:cs="Times New Roman"/>
                <w:kern w:val="0"/>
                <w:sz w:val="24"/>
                <w:szCs w:val="24"/>
                <w:highlight w:val="none"/>
                <w:lang w:bidi="ar"/>
              </w:rPr>
            </w:pPr>
            <w:r>
              <w:rPr>
                <w:rFonts w:ascii="仿宋" w:hAnsi="仿宋" w:cs="Times New Roman"/>
                <w:kern w:val="0"/>
                <w:sz w:val="24"/>
                <w:szCs w:val="24"/>
                <w:highlight w:val="none"/>
                <w:lang w:bidi="ar"/>
              </w:rPr>
              <w:t>数量</w:t>
            </w:r>
          </w:p>
        </w:tc>
        <w:tc>
          <w:tcPr>
            <w:tcW w:w="1002" w:type="pct"/>
            <w:noWrap w:val="0"/>
            <w:tcMar>
              <w:top w:w="15" w:type="dxa"/>
              <w:left w:w="15" w:type="dxa"/>
              <w:right w:w="15" w:type="dxa"/>
            </w:tcMar>
            <w:vAlign w:val="center"/>
          </w:tcPr>
          <w:p w14:paraId="43900DBB">
            <w:pPr>
              <w:widowControl/>
              <w:spacing w:line="360" w:lineRule="auto"/>
              <w:jc w:val="center"/>
              <w:textAlignment w:val="center"/>
              <w:rPr>
                <w:rFonts w:hint="eastAsia" w:ascii="仿宋" w:hAnsi="仿宋" w:cs="Times New Roman"/>
                <w:kern w:val="0"/>
                <w:sz w:val="24"/>
                <w:szCs w:val="24"/>
                <w:highlight w:val="none"/>
                <w:lang w:bidi="ar"/>
              </w:rPr>
            </w:pPr>
            <w:r>
              <w:rPr>
                <w:rFonts w:ascii="仿宋" w:hAnsi="仿宋" w:cs="Times New Roman"/>
                <w:kern w:val="0"/>
                <w:sz w:val="24"/>
                <w:szCs w:val="24"/>
                <w:highlight w:val="none"/>
                <w:lang w:bidi="ar"/>
              </w:rPr>
              <w:t>单位</w:t>
            </w:r>
          </w:p>
        </w:tc>
      </w:tr>
      <w:tr w14:paraId="5BCD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3430" w:type="pct"/>
            <w:gridSpan w:val="2"/>
            <w:noWrap/>
            <w:tcMar>
              <w:top w:w="15" w:type="dxa"/>
              <w:left w:w="15" w:type="dxa"/>
              <w:right w:w="15" w:type="dxa"/>
            </w:tcMar>
            <w:vAlign w:val="center"/>
          </w:tcPr>
          <w:p w14:paraId="4440BCFA">
            <w:pPr>
              <w:widowControl/>
              <w:spacing w:line="360" w:lineRule="auto"/>
              <w:jc w:val="center"/>
              <w:textAlignment w:val="center"/>
              <w:rPr>
                <w:rFonts w:hint="eastAsia" w:ascii="仿宋" w:hAnsi="仿宋" w:cs="Times New Roman"/>
                <w:kern w:val="0"/>
                <w:sz w:val="24"/>
                <w:szCs w:val="24"/>
                <w:highlight w:val="none"/>
                <w:lang w:bidi="ar"/>
              </w:rPr>
            </w:pPr>
            <w:r>
              <w:rPr>
                <w:rFonts w:hint="eastAsia" w:ascii="仿宋" w:hAnsi="仿宋" w:cs="Times New Roman"/>
                <w:kern w:val="0"/>
                <w:sz w:val="24"/>
                <w:szCs w:val="24"/>
                <w:highlight w:val="none"/>
                <w:lang w:bidi="ar"/>
              </w:rPr>
              <w:t>规划用地面积</w:t>
            </w:r>
          </w:p>
        </w:tc>
        <w:tc>
          <w:tcPr>
            <w:tcW w:w="566" w:type="pct"/>
            <w:noWrap w:val="0"/>
            <w:tcMar>
              <w:top w:w="15" w:type="dxa"/>
              <w:left w:w="15" w:type="dxa"/>
              <w:right w:w="15" w:type="dxa"/>
            </w:tcMar>
            <w:vAlign w:val="center"/>
          </w:tcPr>
          <w:p w14:paraId="35C57642">
            <w:pPr>
              <w:widowControl/>
              <w:spacing w:line="360" w:lineRule="auto"/>
              <w:jc w:val="center"/>
              <w:textAlignment w:val="center"/>
              <w:rPr>
                <w:rFonts w:hint="eastAsia" w:ascii="仿宋" w:hAnsi="仿宋" w:cs="Times New Roman"/>
                <w:kern w:val="0"/>
                <w:sz w:val="24"/>
                <w:szCs w:val="24"/>
                <w:highlight w:val="none"/>
                <w:lang w:bidi="ar"/>
              </w:rPr>
            </w:pPr>
            <w:r>
              <w:rPr>
                <w:rFonts w:hint="eastAsia" w:ascii="仿宋" w:hAnsi="仿宋" w:cs="Times New Roman"/>
                <w:kern w:val="0"/>
                <w:sz w:val="24"/>
                <w:szCs w:val="24"/>
                <w:highlight w:val="none"/>
                <w:lang w:bidi="ar"/>
              </w:rPr>
              <w:t>5350</w:t>
            </w:r>
          </w:p>
        </w:tc>
        <w:tc>
          <w:tcPr>
            <w:tcW w:w="1002" w:type="pct"/>
            <w:noWrap w:val="0"/>
            <w:tcMar>
              <w:top w:w="15" w:type="dxa"/>
              <w:left w:w="15" w:type="dxa"/>
              <w:right w:w="15" w:type="dxa"/>
            </w:tcMar>
            <w:vAlign w:val="center"/>
          </w:tcPr>
          <w:p w14:paraId="5C8A9F9F">
            <w:pPr>
              <w:widowControl/>
              <w:spacing w:line="360" w:lineRule="auto"/>
              <w:jc w:val="center"/>
              <w:textAlignment w:val="center"/>
              <w:rPr>
                <w:rFonts w:hint="eastAsia" w:ascii="仿宋" w:hAnsi="仿宋" w:cs="Times New Roman"/>
                <w:kern w:val="0"/>
                <w:sz w:val="24"/>
                <w:szCs w:val="24"/>
                <w:highlight w:val="none"/>
                <w:lang w:bidi="ar"/>
              </w:rPr>
            </w:pPr>
            <w:r>
              <w:rPr>
                <w:rFonts w:ascii="仿宋" w:hAnsi="仿宋" w:cs="Times New Roman"/>
                <w:kern w:val="0"/>
                <w:sz w:val="24"/>
                <w:szCs w:val="24"/>
                <w:highlight w:val="none"/>
                <w:lang w:bidi="ar"/>
              </w:rPr>
              <w:t>㎡</w:t>
            </w:r>
          </w:p>
        </w:tc>
      </w:tr>
      <w:tr w14:paraId="52D7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3430" w:type="pct"/>
            <w:gridSpan w:val="2"/>
            <w:noWrap/>
            <w:tcMar>
              <w:top w:w="15" w:type="dxa"/>
              <w:left w:w="15" w:type="dxa"/>
              <w:right w:w="15" w:type="dxa"/>
            </w:tcMar>
            <w:vAlign w:val="center"/>
          </w:tcPr>
          <w:p w14:paraId="192CC9DA">
            <w:pPr>
              <w:widowControl/>
              <w:spacing w:line="360" w:lineRule="auto"/>
              <w:jc w:val="center"/>
              <w:textAlignment w:val="center"/>
              <w:rPr>
                <w:rFonts w:hint="eastAsia" w:ascii="仿宋" w:hAnsi="仿宋" w:cs="Times New Roman"/>
                <w:kern w:val="0"/>
                <w:sz w:val="24"/>
                <w:szCs w:val="24"/>
                <w:highlight w:val="none"/>
                <w:lang w:bidi="ar"/>
              </w:rPr>
            </w:pPr>
            <w:r>
              <w:rPr>
                <w:rFonts w:hint="eastAsia" w:ascii="仿宋" w:hAnsi="仿宋" w:cs="Times New Roman"/>
                <w:kern w:val="0"/>
                <w:sz w:val="24"/>
                <w:szCs w:val="24"/>
                <w:highlight w:val="none"/>
                <w:lang w:bidi="ar"/>
              </w:rPr>
              <w:t>可建设用地面积</w:t>
            </w:r>
          </w:p>
        </w:tc>
        <w:tc>
          <w:tcPr>
            <w:tcW w:w="566" w:type="pct"/>
            <w:noWrap w:val="0"/>
            <w:tcMar>
              <w:top w:w="15" w:type="dxa"/>
              <w:left w:w="15" w:type="dxa"/>
              <w:right w:w="15" w:type="dxa"/>
            </w:tcMar>
            <w:vAlign w:val="center"/>
          </w:tcPr>
          <w:p w14:paraId="0D41B459">
            <w:pPr>
              <w:widowControl/>
              <w:spacing w:line="360" w:lineRule="auto"/>
              <w:jc w:val="center"/>
              <w:textAlignment w:val="center"/>
              <w:rPr>
                <w:rFonts w:hint="eastAsia" w:ascii="仿宋" w:hAnsi="仿宋" w:cs="Times New Roman"/>
                <w:kern w:val="0"/>
                <w:sz w:val="24"/>
                <w:szCs w:val="24"/>
                <w:highlight w:val="none"/>
                <w:lang w:bidi="ar"/>
              </w:rPr>
            </w:pPr>
            <w:r>
              <w:rPr>
                <w:rFonts w:ascii="仿宋" w:hAnsi="仿宋" w:cs="Times New Roman"/>
                <w:kern w:val="0"/>
                <w:sz w:val="24"/>
                <w:szCs w:val="24"/>
                <w:highlight w:val="none"/>
                <w:lang w:bidi="ar"/>
              </w:rPr>
              <w:t>2543</w:t>
            </w:r>
          </w:p>
        </w:tc>
        <w:tc>
          <w:tcPr>
            <w:tcW w:w="1002" w:type="pct"/>
            <w:noWrap w:val="0"/>
            <w:tcMar>
              <w:top w:w="15" w:type="dxa"/>
              <w:left w:w="15" w:type="dxa"/>
              <w:right w:w="15" w:type="dxa"/>
            </w:tcMar>
            <w:vAlign w:val="center"/>
          </w:tcPr>
          <w:p w14:paraId="49F6C474">
            <w:pPr>
              <w:widowControl/>
              <w:spacing w:line="360" w:lineRule="auto"/>
              <w:jc w:val="center"/>
              <w:textAlignment w:val="center"/>
              <w:rPr>
                <w:rFonts w:hint="eastAsia" w:ascii="仿宋" w:hAnsi="仿宋" w:cs="Times New Roman"/>
                <w:kern w:val="0"/>
                <w:sz w:val="24"/>
                <w:szCs w:val="24"/>
                <w:highlight w:val="none"/>
                <w:lang w:bidi="ar"/>
              </w:rPr>
            </w:pPr>
            <w:r>
              <w:rPr>
                <w:rFonts w:ascii="仿宋" w:hAnsi="仿宋" w:cs="Times New Roman"/>
                <w:kern w:val="0"/>
                <w:sz w:val="24"/>
                <w:szCs w:val="24"/>
                <w:highlight w:val="none"/>
                <w:lang w:bidi="ar"/>
              </w:rPr>
              <w:t>㎡</w:t>
            </w:r>
          </w:p>
        </w:tc>
      </w:tr>
      <w:tr w14:paraId="6571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1008" w:type="pct"/>
            <w:vMerge w:val="restart"/>
            <w:noWrap/>
            <w:tcMar>
              <w:top w:w="15" w:type="dxa"/>
              <w:left w:w="15" w:type="dxa"/>
              <w:right w:w="15" w:type="dxa"/>
            </w:tcMar>
            <w:vAlign w:val="center"/>
          </w:tcPr>
          <w:p w14:paraId="1114A173">
            <w:pPr>
              <w:widowControl/>
              <w:spacing w:line="360" w:lineRule="auto"/>
              <w:jc w:val="center"/>
              <w:textAlignment w:val="center"/>
              <w:rPr>
                <w:rFonts w:hint="eastAsia" w:ascii="仿宋" w:hAnsi="仿宋" w:cs="Times New Roman"/>
                <w:kern w:val="0"/>
                <w:sz w:val="24"/>
                <w:szCs w:val="24"/>
                <w:highlight w:val="none"/>
                <w:lang w:bidi="ar"/>
              </w:rPr>
            </w:pPr>
            <w:r>
              <w:rPr>
                <w:rFonts w:ascii="仿宋" w:hAnsi="仿宋" w:cs="Times New Roman"/>
                <w:kern w:val="0"/>
                <w:sz w:val="24"/>
                <w:szCs w:val="24"/>
                <w:highlight w:val="none"/>
                <w:lang w:bidi="ar"/>
              </w:rPr>
              <w:t>场地</w:t>
            </w:r>
          </w:p>
        </w:tc>
        <w:tc>
          <w:tcPr>
            <w:tcW w:w="2422" w:type="pct"/>
            <w:noWrap w:val="0"/>
            <w:tcMar>
              <w:top w:w="15" w:type="dxa"/>
              <w:left w:w="15" w:type="dxa"/>
              <w:right w:w="15" w:type="dxa"/>
            </w:tcMar>
            <w:vAlign w:val="center"/>
          </w:tcPr>
          <w:p w14:paraId="4EA5589D">
            <w:pPr>
              <w:widowControl/>
              <w:spacing w:line="360" w:lineRule="auto"/>
              <w:jc w:val="center"/>
              <w:textAlignment w:val="center"/>
              <w:rPr>
                <w:rFonts w:hint="eastAsia" w:ascii="仿宋" w:hAnsi="仿宋" w:cs="Times New Roman"/>
                <w:kern w:val="0"/>
                <w:sz w:val="24"/>
                <w:szCs w:val="24"/>
                <w:highlight w:val="none"/>
                <w:lang w:bidi="ar"/>
              </w:rPr>
            </w:pPr>
            <w:r>
              <w:rPr>
                <w:rFonts w:hint="eastAsia" w:ascii="仿宋" w:hAnsi="仿宋" w:cs="Times New Roman"/>
                <w:kern w:val="0"/>
                <w:sz w:val="24"/>
                <w:szCs w:val="24"/>
                <w:highlight w:val="none"/>
                <w:lang w:bidi="ar"/>
              </w:rPr>
              <w:t>立体停车</w:t>
            </w:r>
            <w:r>
              <w:rPr>
                <w:rFonts w:hint="eastAsia" w:ascii="仿宋" w:hAnsi="仿宋" w:cs="Times New Roman"/>
                <w:kern w:val="0"/>
                <w:sz w:val="24"/>
                <w:szCs w:val="24"/>
                <w:highlight w:val="none"/>
                <w:lang w:val="en-US" w:eastAsia="zh-CN" w:bidi="ar"/>
              </w:rPr>
              <w:t>设施</w:t>
            </w:r>
            <w:r>
              <w:rPr>
                <w:rFonts w:hint="eastAsia" w:ascii="仿宋" w:hAnsi="仿宋" w:cs="Times New Roman"/>
                <w:kern w:val="0"/>
                <w:sz w:val="24"/>
                <w:szCs w:val="24"/>
                <w:highlight w:val="none"/>
                <w:lang w:bidi="ar"/>
              </w:rPr>
              <w:t>（占地）</w:t>
            </w:r>
          </w:p>
        </w:tc>
        <w:tc>
          <w:tcPr>
            <w:tcW w:w="566" w:type="pct"/>
            <w:noWrap w:val="0"/>
            <w:tcMar>
              <w:top w:w="15" w:type="dxa"/>
              <w:left w:w="15" w:type="dxa"/>
              <w:right w:w="15" w:type="dxa"/>
            </w:tcMar>
            <w:vAlign w:val="center"/>
          </w:tcPr>
          <w:p w14:paraId="68BFEE45">
            <w:pPr>
              <w:widowControl/>
              <w:spacing w:line="360" w:lineRule="auto"/>
              <w:jc w:val="center"/>
              <w:textAlignment w:val="center"/>
              <w:rPr>
                <w:rFonts w:hint="eastAsia" w:ascii="仿宋" w:hAnsi="仿宋" w:cs="Times New Roman"/>
                <w:kern w:val="0"/>
                <w:sz w:val="24"/>
                <w:szCs w:val="24"/>
                <w:highlight w:val="none"/>
                <w:lang w:bidi="ar"/>
              </w:rPr>
            </w:pPr>
            <w:r>
              <w:rPr>
                <w:rFonts w:hint="eastAsia" w:ascii="仿宋" w:hAnsi="仿宋" w:cs="Times New Roman"/>
                <w:kern w:val="0"/>
                <w:sz w:val="24"/>
                <w:szCs w:val="24"/>
                <w:highlight w:val="none"/>
                <w:lang w:bidi="ar"/>
              </w:rPr>
              <w:t>310.9</w:t>
            </w:r>
          </w:p>
        </w:tc>
        <w:tc>
          <w:tcPr>
            <w:tcW w:w="1002" w:type="pct"/>
            <w:noWrap w:val="0"/>
            <w:tcMar>
              <w:top w:w="15" w:type="dxa"/>
              <w:left w:w="15" w:type="dxa"/>
              <w:right w:w="15" w:type="dxa"/>
            </w:tcMar>
            <w:vAlign w:val="center"/>
          </w:tcPr>
          <w:p w14:paraId="4FE62F45">
            <w:pPr>
              <w:widowControl/>
              <w:spacing w:line="360" w:lineRule="auto"/>
              <w:jc w:val="center"/>
              <w:textAlignment w:val="center"/>
              <w:rPr>
                <w:rFonts w:hint="eastAsia" w:ascii="仿宋" w:hAnsi="仿宋" w:cs="Times New Roman"/>
                <w:kern w:val="0"/>
                <w:sz w:val="24"/>
                <w:szCs w:val="24"/>
                <w:highlight w:val="none"/>
                <w:lang w:bidi="ar"/>
              </w:rPr>
            </w:pPr>
            <w:r>
              <w:rPr>
                <w:rFonts w:ascii="仿宋" w:hAnsi="仿宋" w:cs="Times New Roman"/>
                <w:kern w:val="0"/>
                <w:sz w:val="24"/>
                <w:szCs w:val="24"/>
                <w:highlight w:val="none"/>
                <w:lang w:bidi="ar"/>
              </w:rPr>
              <w:t>㎡</w:t>
            </w:r>
          </w:p>
        </w:tc>
      </w:tr>
      <w:tr w14:paraId="6FCC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1008" w:type="pct"/>
            <w:vMerge w:val="continue"/>
            <w:noWrap/>
            <w:tcMar>
              <w:top w:w="15" w:type="dxa"/>
              <w:left w:w="15" w:type="dxa"/>
              <w:right w:w="15" w:type="dxa"/>
            </w:tcMar>
            <w:vAlign w:val="center"/>
          </w:tcPr>
          <w:p w14:paraId="785C49B9">
            <w:pPr>
              <w:widowControl/>
              <w:spacing w:line="360" w:lineRule="auto"/>
              <w:jc w:val="center"/>
              <w:textAlignment w:val="center"/>
              <w:rPr>
                <w:rFonts w:hint="eastAsia" w:ascii="仿宋" w:hAnsi="仿宋" w:cs="Times New Roman"/>
                <w:kern w:val="0"/>
                <w:sz w:val="24"/>
                <w:szCs w:val="24"/>
                <w:highlight w:val="none"/>
                <w:lang w:bidi="ar"/>
              </w:rPr>
            </w:pPr>
          </w:p>
        </w:tc>
        <w:tc>
          <w:tcPr>
            <w:tcW w:w="2422" w:type="pct"/>
            <w:noWrap w:val="0"/>
            <w:tcMar>
              <w:top w:w="15" w:type="dxa"/>
              <w:left w:w="15" w:type="dxa"/>
              <w:right w:w="15" w:type="dxa"/>
            </w:tcMar>
            <w:vAlign w:val="center"/>
          </w:tcPr>
          <w:p w14:paraId="44EAB237">
            <w:pPr>
              <w:widowControl/>
              <w:spacing w:line="360" w:lineRule="auto"/>
              <w:jc w:val="center"/>
              <w:textAlignment w:val="center"/>
              <w:rPr>
                <w:rFonts w:hint="eastAsia" w:ascii="仿宋" w:hAnsi="仿宋" w:cs="Times New Roman"/>
                <w:kern w:val="0"/>
                <w:sz w:val="24"/>
                <w:szCs w:val="24"/>
                <w:highlight w:val="none"/>
                <w:lang w:bidi="ar"/>
              </w:rPr>
            </w:pPr>
            <w:r>
              <w:rPr>
                <w:rFonts w:ascii="仿宋" w:hAnsi="仿宋" w:cs="Times New Roman"/>
                <w:kern w:val="0"/>
                <w:sz w:val="24"/>
                <w:szCs w:val="24"/>
                <w:highlight w:val="none"/>
                <w:lang w:bidi="ar"/>
              </w:rPr>
              <w:t>车行道</w:t>
            </w:r>
          </w:p>
        </w:tc>
        <w:tc>
          <w:tcPr>
            <w:tcW w:w="566" w:type="pct"/>
            <w:noWrap w:val="0"/>
            <w:tcMar>
              <w:top w:w="15" w:type="dxa"/>
              <w:left w:w="15" w:type="dxa"/>
              <w:right w:w="15" w:type="dxa"/>
            </w:tcMar>
            <w:vAlign w:val="center"/>
          </w:tcPr>
          <w:p w14:paraId="401E5EE4">
            <w:pPr>
              <w:widowControl/>
              <w:spacing w:line="360" w:lineRule="auto"/>
              <w:jc w:val="center"/>
              <w:textAlignment w:val="center"/>
              <w:rPr>
                <w:rFonts w:hint="eastAsia" w:ascii="仿宋" w:hAnsi="仿宋" w:cs="Times New Roman"/>
                <w:kern w:val="0"/>
                <w:sz w:val="24"/>
                <w:szCs w:val="24"/>
                <w:highlight w:val="none"/>
                <w:lang w:bidi="ar"/>
              </w:rPr>
            </w:pPr>
            <w:r>
              <w:rPr>
                <w:rFonts w:hint="eastAsia" w:ascii="仿宋" w:hAnsi="仿宋" w:cs="Times New Roman"/>
                <w:kern w:val="0"/>
                <w:sz w:val="24"/>
                <w:szCs w:val="24"/>
                <w:highlight w:val="none"/>
                <w:lang w:bidi="ar"/>
              </w:rPr>
              <w:t>2772.1</w:t>
            </w:r>
          </w:p>
        </w:tc>
        <w:tc>
          <w:tcPr>
            <w:tcW w:w="1002" w:type="pct"/>
            <w:noWrap w:val="0"/>
            <w:tcMar>
              <w:top w:w="15" w:type="dxa"/>
              <w:left w:w="15" w:type="dxa"/>
              <w:right w:w="15" w:type="dxa"/>
            </w:tcMar>
            <w:vAlign w:val="center"/>
          </w:tcPr>
          <w:p w14:paraId="5AF29FFD">
            <w:pPr>
              <w:widowControl/>
              <w:spacing w:line="360" w:lineRule="auto"/>
              <w:jc w:val="center"/>
              <w:textAlignment w:val="center"/>
              <w:rPr>
                <w:rFonts w:hint="eastAsia" w:ascii="仿宋" w:hAnsi="仿宋" w:cs="Times New Roman"/>
                <w:kern w:val="0"/>
                <w:sz w:val="24"/>
                <w:szCs w:val="24"/>
                <w:highlight w:val="none"/>
                <w:lang w:bidi="ar"/>
              </w:rPr>
            </w:pPr>
            <w:r>
              <w:rPr>
                <w:rFonts w:ascii="仿宋" w:hAnsi="仿宋" w:cs="Times New Roman"/>
                <w:kern w:val="0"/>
                <w:sz w:val="24"/>
                <w:szCs w:val="24"/>
                <w:highlight w:val="none"/>
                <w:lang w:bidi="ar"/>
              </w:rPr>
              <w:t>㎡</w:t>
            </w:r>
          </w:p>
        </w:tc>
      </w:tr>
      <w:tr w14:paraId="734A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1008" w:type="pct"/>
            <w:vMerge w:val="continue"/>
            <w:noWrap/>
            <w:tcMar>
              <w:top w:w="15" w:type="dxa"/>
              <w:left w:w="15" w:type="dxa"/>
              <w:right w:w="15" w:type="dxa"/>
            </w:tcMar>
            <w:vAlign w:val="center"/>
          </w:tcPr>
          <w:p w14:paraId="588B61A9">
            <w:pPr>
              <w:widowControl/>
              <w:spacing w:line="360" w:lineRule="auto"/>
              <w:jc w:val="center"/>
              <w:textAlignment w:val="center"/>
              <w:rPr>
                <w:rFonts w:hint="eastAsia" w:ascii="仿宋" w:hAnsi="仿宋" w:cs="Times New Roman"/>
                <w:kern w:val="0"/>
                <w:sz w:val="24"/>
                <w:szCs w:val="24"/>
                <w:highlight w:val="none"/>
                <w:lang w:bidi="ar"/>
              </w:rPr>
            </w:pPr>
          </w:p>
        </w:tc>
        <w:tc>
          <w:tcPr>
            <w:tcW w:w="2422" w:type="pct"/>
            <w:noWrap w:val="0"/>
            <w:tcMar>
              <w:top w:w="15" w:type="dxa"/>
              <w:left w:w="15" w:type="dxa"/>
              <w:right w:w="15" w:type="dxa"/>
            </w:tcMar>
            <w:vAlign w:val="center"/>
          </w:tcPr>
          <w:p w14:paraId="4141C048">
            <w:pPr>
              <w:widowControl/>
              <w:spacing w:line="360" w:lineRule="auto"/>
              <w:jc w:val="center"/>
              <w:textAlignment w:val="center"/>
              <w:rPr>
                <w:rFonts w:hint="eastAsia" w:ascii="仿宋" w:hAnsi="仿宋" w:cs="Times New Roman"/>
                <w:kern w:val="0"/>
                <w:sz w:val="24"/>
                <w:szCs w:val="24"/>
                <w:highlight w:val="none"/>
                <w:lang w:bidi="ar"/>
              </w:rPr>
            </w:pPr>
            <w:r>
              <w:rPr>
                <w:rFonts w:hint="eastAsia" w:ascii="仿宋" w:hAnsi="仿宋" w:cs="Times New Roman"/>
                <w:kern w:val="0"/>
                <w:sz w:val="24"/>
                <w:szCs w:val="24"/>
                <w:highlight w:val="none"/>
                <w:lang w:bidi="ar"/>
              </w:rPr>
              <w:t>机动车停车位</w:t>
            </w:r>
          </w:p>
        </w:tc>
        <w:tc>
          <w:tcPr>
            <w:tcW w:w="566" w:type="pct"/>
            <w:noWrap w:val="0"/>
            <w:tcMar>
              <w:top w:w="15" w:type="dxa"/>
              <w:left w:w="15" w:type="dxa"/>
              <w:right w:w="15" w:type="dxa"/>
            </w:tcMar>
            <w:vAlign w:val="center"/>
          </w:tcPr>
          <w:p w14:paraId="35F7D874">
            <w:pPr>
              <w:widowControl/>
              <w:spacing w:line="360" w:lineRule="auto"/>
              <w:jc w:val="center"/>
              <w:textAlignment w:val="center"/>
              <w:rPr>
                <w:rFonts w:hint="eastAsia" w:ascii="仿宋" w:hAnsi="仿宋" w:cs="Times New Roman"/>
                <w:kern w:val="0"/>
                <w:sz w:val="24"/>
                <w:szCs w:val="24"/>
                <w:highlight w:val="none"/>
                <w:lang w:bidi="ar"/>
              </w:rPr>
            </w:pPr>
            <w:r>
              <w:rPr>
                <w:rFonts w:hint="eastAsia" w:ascii="仿宋" w:hAnsi="仿宋" w:cs="Times New Roman"/>
                <w:kern w:val="0"/>
                <w:sz w:val="24"/>
                <w:szCs w:val="24"/>
                <w:highlight w:val="none"/>
                <w:lang w:bidi="ar"/>
              </w:rPr>
              <w:t>1020</w:t>
            </w:r>
          </w:p>
        </w:tc>
        <w:tc>
          <w:tcPr>
            <w:tcW w:w="1002" w:type="pct"/>
            <w:noWrap w:val="0"/>
            <w:tcMar>
              <w:top w:w="15" w:type="dxa"/>
              <w:left w:w="15" w:type="dxa"/>
              <w:right w:w="15" w:type="dxa"/>
            </w:tcMar>
            <w:vAlign w:val="center"/>
          </w:tcPr>
          <w:p w14:paraId="2D7AC55A">
            <w:pPr>
              <w:widowControl/>
              <w:spacing w:line="360" w:lineRule="auto"/>
              <w:jc w:val="center"/>
              <w:textAlignment w:val="center"/>
              <w:rPr>
                <w:rFonts w:hint="eastAsia" w:ascii="仿宋" w:hAnsi="仿宋" w:cs="Times New Roman"/>
                <w:kern w:val="0"/>
                <w:sz w:val="24"/>
                <w:szCs w:val="24"/>
                <w:highlight w:val="none"/>
                <w:lang w:bidi="ar"/>
              </w:rPr>
            </w:pPr>
            <w:r>
              <w:rPr>
                <w:rFonts w:ascii="仿宋" w:hAnsi="仿宋" w:cs="Times New Roman"/>
                <w:kern w:val="0"/>
                <w:sz w:val="24"/>
                <w:szCs w:val="24"/>
                <w:highlight w:val="none"/>
                <w:lang w:bidi="ar"/>
              </w:rPr>
              <w:t>㎡</w:t>
            </w:r>
          </w:p>
        </w:tc>
      </w:tr>
      <w:tr w14:paraId="3C98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1008" w:type="pct"/>
            <w:vMerge w:val="continue"/>
            <w:noWrap/>
            <w:tcMar>
              <w:top w:w="15" w:type="dxa"/>
              <w:left w:w="15" w:type="dxa"/>
              <w:right w:w="15" w:type="dxa"/>
            </w:tcMar>
            <w:vAlign w:val="center"/>
          </w:tcPr>
          <w:p w14:paraId="6F459775">
            <w:pPr>
              <w:widowControl/>
              <w:spacing w:line="360" w:lineRule="auto"/>
              <w:jc w:val="center"/>
              <w:textAlignment w:val="center"/>
              <w:rPr>
                <w:rFonts w:hint="eastAsia" w:ascii="仿宋" w:hAnsi="仿宋" w:cs="Times New Roman"/>
                <w:kern w:val="0"/>
                <w:sz w:val="24"/>
                <w:szCs w:val="24"/>
                <w:highlight w:val="none"/>
                <w:lang w:bidi="ar"/>
              </w:rPr>
            </w:pPr>
          </w:p>
        </w:tc>
        <w:tc>
          <w:tcPr>
            <w:tcW w:w="2422" w:type="pct"/>
            <w:noWrap w:val="0"/>
            <w:tcMar>
              <w:top w:w="15" w:type="dxa"/>
              <w:left w:w="15" w:type="dxa"/>
              <w:right w:w="15" w:type="dxa"/>
            </w:tcMar>
            <w:vAlign w:val="center"/>
          </w:tcPr>
          <w:p w14:paraId="416F3AA5">
            <w:pPr>
              <w:widowControl/>
              <w:spacing w:line="360" w:lineRule="auto"/>
              <w:jc w:val="center"/>
              <w:textAlignment w:val="center"/>
              <w:rPr>
                <w:rFonts w:hint="eastAsia" w:ascii="仿宋" w:hAnsi="仿宋" w:cs="Times New Roman"/>
                <w:kern w:val="0"/>
                <w:sz w:val="24"/>
                <w:szCs w:val="24"/>
                <w:highlight w:val="none"/>
                <w:lang w:bidi="ar"/>
              </w:rPr>
            </w:pPr>
            <w:r>
              <w:rPr>
                <w:rFonts w:hint="eastAsia" w:ascii="仿宋" w:hAnsi="仿宋" w:cs="Times New Roman"/>
                <w:kern w:val="0"/>
                <w:sz w:val="24"/>
                <w:szCs w:val="24"/>
                <w:highlight w:val="none"/>
                <w:lang w:bidi="ar"/>
              </w:rPr>
              <w:t>非机动车停车区</w:t>
            </w:r>
          </w:p>
        </w:tc>
        <w:tc>
          <w:tcPr>
            <w:tcW w:w="566" w:type="pct"/>
            <w:noWrap w:val="0"/>
            <w:tcMar>
              <w:top w:w="15" w:type="dxa"/>
              <w:left w:w="15" w:type="dxa"/>
              <w:right w:w="15" w:type="dxa"/>
            </w:tcMar>
            <w:vAlign w:val="center"/>
          </w:tcPr>
          <w:p w14:paraId="26155F29">
            <w:pPr>
              <w:widowControl/>
              <w:spacing w:line="360" w:lineRule="auto"/>
              <w:jc w:val="center"/>
              <w:textAlignment w:val="center"/>
              <w:rPr>
                <w:rFonts w:hint="eastAsia" w:ascii="仿宋" w:hAnsi="仿宋" w:cs="Times New Roman"/>
                <w:kern w:val="0"/>
                <w:sz w:val="24"/>
                <w:szCs w:val="24"/>
                <w:highlight w:val="none"/>
                <w:lang w:bidi="ar"/>
              </w:rPr>
            </w:pPr>
            <w:r>
              <w:rPr>
                <w:rFonts w:hint="eastAsia" w:ascii="仿宋" w:hAnsi="仿宋" w:cs="Times New Roman"/>
                <w:kern w:val="0"/>
                <w:sz w:val="24"/>
                <w:szCs w:val="24"/>
                <w:highlight w:val="none"/>
                <w:lang w:bidi="ar"/>
              </w:rPr>
              <w:t>242</w:t>
            </w:r>
          </w:p>
        </w:tc>
        <w:tc>
          <w:tcPr>
            <w:tcW w:w="1002" w:type="pct"/>
            <w:noWrap w:val="0"/>
            <w:tcMar>
              <w:top w:w="15" w:type="dxa"/>
              <w:left w:w="15" w:type="dxa"/>
              <w:right w:w="15" w:type="dxa"/>
            </w:tcMar>
            <w:vAlign w:val="center"/>
          </w:tcPr>
          <w:p w14:paraId="554246C5">
            <w:pPr>
              <w:widowControl/>
              <w:spacing w:line="360" w:lineRule="auto"/>
              <w:jc w:val="center"/>
              <w:textAlignment w:val="center"/>
              <w:rPr>
                <w:rFonts w:hint="eastAsia" w:ascii="仿宋" w:hAnsi="仿宋" w:cs="Times New Roman"/>
                <w:kern w:val="0"/>
                <w:sz w:val="24"/>
                <w:szCs w:val="24"/>
                <w:highlight w:val="none"/>
                <w:lang w:bidi="ar"/>
              </w:rPr>
            </w:pPr>
            <w:r>
              <w:rPr>
                <w:rFonts w:ascii="仿宋" w:hAnsi="仿宋" w:cs="Times New Roman"/>
                <w:kern w:val="0"/>
                <w:sz w:val="24"/>
                <w:szCs w:val="24"/>
                <w:highlight w:val="none"/>
                <w:lang w:bidi="ar"/>
              </w:rPr>
              <w:t>㎡</w:t>
            </w:r>
          </w:p>
        </w:tc>
      </w:tr>
      <w:tr w14:paraId="25D4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1008" w:type="pct"/>
            <w:vMerge w:val="continue"/>
            <w:noWrap/>
            <w:tcMar>
              <w:top w:w="15" w:type="dxa"/>
              <w:left w:w="15" w:type="dxa"/>
              <w:right w:w="15" w:type="dxa"/>
            </w:tcMar>
            <w:vAlign w:val="center"/>
          </w:tcPr>
          <w:p w14:paraId="5AF9DFB3">
            <w:pPr>
              <w:widowControl/>
              <w:spacing w:line="360" w:lineRule="auto"/>
              <w:jc w:val="center"/>
              <w:textAlignment w:val="center"/>
              <w:rPr>
                <w:rFonts w:hint="eastAsia" w:ascii="仿宋" w:hAnsi="仿宋" w:cs="Times New Roman"/>
                <w:kern w:val="0"/>
                <w:sz w:val="24"/>
                <w:szCs w:val="24"/>
                <w:highlight w:val="none"/>
                <w:lang w:bidi="ar"/>
              </w:rPr>
            </w:pPr>
          </w:p>
        </w:tc>
        <w:tc>
          <w:tcPr>
            <w:tcW w:w="2422" w:type="pct"/>
            <w:noWrap w:val="0"/>
            <w:tcMar>
              <w:top w:w="15" w:type="dxa"/>
              <w:left w:w="15" w:type="dxa"/>
              <w:right w:w="15" w:type="dxa"/>
            </w:tcMar>
            <w:vAlign w:val="center"/>
          </w:tcPr>
          <w:p w14:paraId="2C2C93FB">
            <w:pPr>
              <w:widowControl/>
              <w:spacing w:line="360" w:lineRule="auto"/>
              <w:jc w:val="center"/>
              <w:textAlignment w:val="center"/>
              <w:rPr>
                <w:rFonts w:hint="eastAsia" w:ascii="仿宋" w:hAnsi="仿宋" w:cs="Times New Roman"/>
                <w:kern w:val="0"/>
                <w:sz w:val="24"/>
                <w:szCs w:val="24"/>
                <w:highlight w:val="none"/>
                <w:lang w:bidi="ar"/>
              </w:rPr>
            </w:pPr>
            <w:r>
              <w:rPr>
                <w:rFonts w:hint="eastAsia" w:ascii="仿宋" w:hAnsi="仿宋" w:cs="Times New Roman"/>
                <w:kern w:val="0"/>
                <w:sz w:val="24"/>
                <w:szCs w:val="24"/>
                <w:highlight w:val="none"/>
                <w:lang w:bidi="ar"/>
              </w:rPr>
              <w:t>绿化</w:t>
            </w:r>
          </w:p>
        </w:tc>
        <w:tc>
          <w:tcPr>
            <w:tcW w:w="566" w:type="pct"/>
            <w:noWrap w:val="0"/>
            <w:tcMar>
              <w:top w:w="15" w:type="dxa"/>
              <w:left w:w="15" w:type="dxa"/>
              <w:right w:w="15" w:type="dxa"/>
            </w:tcMar>
            <w:vAlign w:val="center"/>
          </w:tcPr>
          <w:p w14:paraId="285ED44E">
            <w:pPr>
              <w:widowControl/>
              <w:spacing w:line="360" w:lineRule="auto"/>
              <w:jc w:val="center"/>
              <w:textAlignment w:val="center"/>
              <w:rPr>
                <w:rFonts w:hint="eastAsia" w:ascii="仿宋" w:hAnsi="仿宋" w:cs="Times New Roman"/>
                <w:kern w:val="0"/>
                <w:sz w:val="24"/>
                <w:szCs w:val="24"/>
                <w:highlight w:val="none"/>
                <w:lang w:bidi="ar"/>
              </w:rPr>
            </w:pPr>
            <w:r>
              <w:rPr>
                <w:rFonts w:hint="eastAsia" w:ascii="仿宋" w:hAnsi="仿宋" w:cs="Times New Roman"/>
                <w:kern w:val="0"/>
                <w:sz w:val="24"/>
                <w:szCs w:val="24"/>
                <w:highlight w:val="none"/>
                <w:lang w:bidi="ar"/>
              </w:rPr>
              <w:t>745</w:t>
            </w:r>
          </w:p>
        </w:tc>
        <w:tc>
          <w:tcPr>
            <w:tcW w:w="1002" w:type="pct"/>
            <w:noWrap w:val="0"/>
            <w:tcMar>
              <w:top w:w="15" w:type="dxa"/>
              <w:left w:w="15" w:type="dxa"/>
              <w:right w:w="15" w:type="dxa"/>
            </w:tcMar>
            <w:vAlign w:val="center"/>
          </w:tcPr>
          <w:p w14:paraId="5E58089E">
            <w:pPr>
              <w:widowControl/>
              <w:spacing w:line="360" w:lineRule="auto"/>
              <w:jc w:val="center"/>
              <w:textAlignment w:val="center"/>
              <w:rPr>
                <w:rFonts w:hint="eastAsia" w:ascii="仿宋" w:hAnsi="仿宋" w:cs="Times New Roman"/>
                <w:kern w:val="0"/>
                <w:sz w:val="24"/>
                <w:szCs w:val="24"/>
                <w:highlight w:val="none"/>
                <w:lang w:bidi="ar"/>
              </w:rPr>
            </w:pPr>
            <w:r>
              <w:rPr>
                <w:rFonts w:ascii="仿宋" w:hAnsi="仿宋" w:cs="Times New Roman"/>
                <w:kern w:val="0"/>
                <w:sz w:val="24"/>
                <w:szCs w:val="24"/>
                <w:highlight w:val="none"/>
                <w:lang w:bidi="ar"/>
              </w:rPr>
              <w:t>㎡</w:t>
            </w:r>
          </w:p>
        </w:tc>
      </w:tr>
      <w:tr w14:paraId="7E0F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1008" w:type="pct"/>
            <w:vMerge w:val="continue"/>
            <w:noWrap/>
            <w:tcMar>
              <w:top w:w="15" w:type="dxa"/>
              <w:left w:w="15" w:type="dxa"/>
              <w:right w:w="15" w:type="dxa"/>
            </w:tcMar>
            <w:vAlign w:val="center"/>
          </w:tcPr>
          <w:p w14:paraId="0136812E">
            <w:pPr>
              <w:widowControl/>
              <w:spacing w:line="360" w:lineRule="auto"/>
              <w:jc w:val="center"/>
              <w:textAlignment w:val="center"/>
              <w:rPr>
                <w:rFonts w:hint="eastAsia" w:ascii="仿宋" w:hAnsi="仿宋" w:cs="Times New Roman"/>
                <w:kern w:val="0"/>
                <w:sz w:val="24"/>
                <w:szCs w:val="24"/>
                <w:highlight w:val="none"/>
                <w:lang w:bidi="ar"/>
              </w:rPr>
            </w:pPr>
          </w:p>
        </w:tc>
        <w:tc>
          <w:tcPr>
            <w:tcW w:w="2422" w:type="pct"/>
            <w:noWrap w:val="0"/>
            <w:tcMar>
              <w:top w:w="15" w:type="dxa"/>
              <w:left w:w="15" w:type="dxa"/>
              <w:right w:w="15" w:type="dxa"/>
            </w:tcMar>
            <w:vAlign w:val="center"/>
          </w:tcPr>
          <w:p w14:paraId="11FC9484">
            <w:pPr>
              <w:widowControl/>
              <w:spacing w:line="360" w:lineRule="auto"/>
              <w:jc w:val="center"/>
              <w:textAlignment w:val="center"/>
              <w:rPr>
                <w:rFonts w:hint="eastAsia" w:ascii="仿宋" w:hAnsi="仿宋" w:cs="Times New Roman"/>
                <w:kern w:val="0"/>
                <w:sz w:val="24"/>
                <w:szCs w:val="24"/>
                <w:highlight w:val="none"/>
                <w:lang w:bidi="ar"/>
              </w:rPr>
            </w:pPr>
            <w:r>
              <w:rPr>
                <w:rFonts w:hint="eastAsia" w:ascii="仿宋" w:hAnsi="仿宋" w:cs="Times New Roman"/>
                <w:kern w:val="0"/>
                <w:sz w:val="24"/>
                <w:szCs w:val="24"/>
                <w:highlight w:val="none"/>
                <w:lang w:bidi="ar"/>
              </w:rPr>
              <w:t>休闲公共空间</w:t>
            </w:r>
          </w:p>
        </w:tc>
        <w:tc>
          <w:tcPr>
            <w:tcW w:w="566" w:type="pct"/>
            <w:noWrap w:val="0"/>
            <w:tcMar>
              <w:top w:w="15" w:type="dxa"/>
              <w:left w:w="15" w:type="dxa"/>
              <w:right w:w="15" w:type="dxa"/>
            </w:tcMar>
            <w:vAlign w:val="center"/>
          </w:tcPr>
          <w:p w14:paraId="42BE251D">
            <w:pPr>
              <w:widowControl/>
              <w:spacing w:line="360" w:lineRule="auto"/>
              <w:jc w:val="center"/>
              <w:textAlignment w:val="center"/>
              <w:rPr>
                <w:rFonts w:hint="eastAsia" w:ascii="仿宋" w:hAnsi="仿宋" w:cs="Times New Roman"/>
                <w:kern w:val="0"/>
                <w:sz w:val="24"/>
                <w:szCs w:val="24"/>
                <w:highlight w:val="none"/>
                <w:lang w:bidi="ar"/>
              </w:rPr>
            </w:pPr>
            <w:r>
              <w:rPr>
                <w:rFonts w:hint="eastAsia" w:ascii="仿宋" w:hAnsi="仿宋" w:cs="Times New Roman"/>
                <w:kern w:val="0"/>
                <w:sz w:val="24"/>
                <w:szCs w:val="24"/>
                <w:highlight w:val="none"/>
                <w:lang w:bidi="ar"/>
              </w:rPr>
              <w:t>260</w:t>
            </w:r>
          </w:p>
        </w:tc>
        <w:tc>
          <w:tcPr>
            <w:tcW w:w="1002" w:type="pct"/>
            <w:noWrap w:val="0"/>
            <w:tcMar>
              <w:top w:w="15" w:type="dxa"/>
              <w:left w:w="15" w:type="dxa"/>
              <w:right w:w="15" w:type="dxa"/>
            </w:tcMar>
            <w:vAlign w:val="center"/>
          </w:tcPr>
          <w:p w14:paraId="76FF263E">
            <w:pPr>
              <w:widowControl/>
              <w:spacing w:line="360" w:lineRule="auto"/>
              <w:jc w:val="center"/>
              <w:textAlignment w:val="center"/>
              <w:rPr>
                <w:rFonts w:hint="eastAsia" w:ascii="仿宋" w:hAnsi="仿宋" w:cs="Times New Roman"/>
                <w:kern w:val="0"/>
                <w:sz w:val="24"/>
                <w:szCs w:val="24"/>
                <w:highlight w:val="none"/>
                <w:lang w:bidi="ar"/>
              </w:rPr>
            </w:pPr>
            <w:r>
              <w:rPr>
                <w:rFonts w:ascii="仿宋" w:hAnsi="仿宋" w:cs="Times New Roman"/>
                <w:kern w:val="0"/>
                <w:sz w:val="24"/>
                <w:szCs w:val="24"/>
                <w:highlight w:val="none"/>
                <w:lang w:bidi="ar"/>
              </w:rPr>
              <w:t>㎡</w:t>
            </w:r>
          </w:p>
        </w:tc>
      </w:tr>
      <w:tr w14:paraId="22AB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1008" w:type="pct"/>
            <w:vMerge w:val="continue"/>
            <w:noWrap/>
            <w:tcMar>
              <w:top w:w="15" w:type="dxa"/>
              <w:left w:w="15" w:type="dxa"/>
              <w:right w:w="15" w:type="dxa"/>
            </w:tcMar>
            <w:vAlign w:val="center"/>
          </w:tcPr>
          <w:p w14:paraId="16657ACD">
            <w:pPr>
              <w:widowControl/>
              <w:spacing w:line="360" w:lineRule="auto"/>
              <w:jc w:val="center"/>
              <w:textAlignment w:val="center"/>
              <w:rPr>
                <w:rFonts w:hint="eastAsia" w:ascii="仿宋" w:hAnsi="仿宋" w:cs="Times New Roman"/>
                <w:kern w:val="0"/>
                <w:sz w:val="24"/>
                <w:szCs w:val="24"/>
                <w:highlight w:val="none"/>
                <w:lang w:bidi="ar"/>
              </w:rPr>
            </w:pPr>
          </w:p>
        </w:tc>
        <w:tc>
          <w:tcPr>
            <w:tcW w:w="2422" w:type="pct"/>
            <w:noWrap w:val="0"/>
            <w:tcMar>
              <w:top w:w="15" w:type="dxa"/>
              <w:left w:w="15" w:type="dxa"/>
              <w:right w:w="15" w:type="dxa"/>
            </w:tcMar>
            <w:vAlign w:val="center"/>
          </w:tcPr>
          <w:p w14:paraId="0A50CC50">
            <w:pPr>
              <w:widowControl/>
              <w:spacing w:line="360" w:lineRule="auto"/>
              <w:jc w:val="center"/>
              <w:textAlignment w:val="center"/>
              <w:rPr>
                <w:rFonts w:hint="eastAsia" w:ascii="仿宋" w:hAnsi="仿宋" w:cs="Times New Roman"/>
                <w:kern w:val="0"/>
                <w:sz w:val="24"/>
                <w:szCs w:val="24"/>
                <w:highlight w:val="none"/>
                <w:lang w:bidi="ar"/>
              </w:rPr>
            </w:pPr>
            <w:r>
              <w:rPr>
                <w:rFonts w:hint="eastAsia" w:ascii="仿宋" w:hAnsi="仿宋" w:cs="Times New Roman"/>
                <w:kern w:val="0"/>
                <w:sz w:val="24"/>
                <w:szCs w:val="24"/>
                <w:highlight w:val="none"/>
                <w:lang w:val="en-US" w:eastAsia="zh-CN" w:bidi="ar"/>
              </w:rPr>
              <w:t>机械式停</w:t>
            </w:r>
            <w:r>
              <w:rPr>
                <w:rFonts w:ascii="仿宋" w:hAnsi="仿宋" w:cs="Times New Roman"/>
                <w:kern w:val="0"/>
                <w:sz w:val="24"/>
                <w:szCs w:val="24"/>
                <w:highlight w:val="none"/>
                <w:lang w:bidi="ar"/>
              </w:rPr>
              <w:t>车位</w:t>
            </w:r>
          </w:p>
        </w:tc>
        <w:tc>
          <w:tcPr>
            <w:tcW w:w="566" w:type="pct"/>
            <w:noWrap w:val="0"/>
            <w:tcMar>
              <w:top w:w="15" w:type="dxa"/>
              <w:left w:w="15" w:type="dxa"/>
              <w:right w:w="15" w:type="dxa"/>
            </w:tcMar>
            <w:vAlign w:val="center"/>
          </w:tcPr>
          <w:p w14:paraId="798A0442">
            <w:pPr>
              <w:widowControl/>
              <w:spacing w:line="360" w:lineRule="auto"/>
              <w:jc w:val="center"/>
              <w:textAlignment w:val="center"/>
              <w:rPr>
                <w:rFonts w:hint="eastAsia" w:ascii="仿宋" w:hAnsi="仿宋" w:cs="Times New Roman"/>
                <w:kern w:val="0"/>
                <w:sz w:val="24"/>
                <w:szCs w:val="24"/>
                <w:highlight w:val="none"/>
                <w:lang w:bidi="ar"/>
              </w:rPr>
            </w:pPr>
            <w:r>
              <w:rPr>
                <w:rFonts w:hint="eastAsia" w:ascii="仿宋" w:hAnsi="仿宋" w:cs="Times New Roman"/>
                <w:kern w:val="0"/>
                <w:sz w:val="24"/>
                <w:szCs w:val="24"/>
                <w:highlight w:val="none"/>
                <w:lang w:bidi="ar"/>
              </w:rPr>
              <w:t>128</w:t>
            </w:r>
          </w:p>
        </w:tc>
        <w:tc>
          <w:tcPr>
            <w:tcW w:w="1002" w:type="pct"/>
            <w:noWrap w:val="0"/>
            <w:tcMar>
              <w:top w:w="15" w:type="dxa"/>
              <w:left w:w="15" w:type="dxa"/>
              <w:right w:w="15" w:type="dxa"/>
            </w:tcMar>
            <w:vAlign w:val="center"/>
          </w:tcPr>
          <w:p w14:paraId="7BE9AAFF">
            <w:pPr>
              <w:widowControl/>
              <w:spacing w:line="360" w:lineRule="auto"/>
              <w:jc w:val="center"/>
              <w:textAlignment w:val="center"/>
              <w:rPr>
                <w:rFonts w:hint="eastAsia" w:ascii="仿宋" w:hAnsi="仿宋" w:cs="Times New Roman"/>
                <w:kern w:val="0"/>
                <w:sz w:val="24"/>
                <w:szCs w:val="24"/>
                <w:highlight w:val="none"/>
                <w:lang w:bidi="ar"/>
              </w:rPr>
            </w:pPr>
            <w:r>
              <w:rPr>
                <w:rFonts w:ascii="仿宋" w:hAnsi="仿宋" w:cs="Times New Roman"/>
                <w:kern w:val="0"/>
                <w:sz w:val="24"/>
                <w:szCs w:val="24"/>
                <w:highlight w:val="none"/>
                <w:lang w:bidi="ar"/>
              </w:rPr>
              <w:t>个</w:t>
            </w:r>
          </w:p>
        </w:tc>
      </w:tr>
      <w:tr w14:paraId="2DDA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1008" w:type="pct"/>
            <w:vMerge w:val="continue"/>
            <w:noWrap/>
            <w:tcMar>
              <w:top w:w="15" w:type="dxa"/>
              <w:left w:w="15" w:type="dxa"/>
              <w:right w:w="15" w:type="dxa"/>
            </w:tcMar>
            <w:vAlign w:val="center"/>
          </w:tcPr>
          <w:p w14:paraId="60EEBF44">
            <w:pPr>
              <w:widowControl/>
              <w:spacing w:line="360" w:lineRule="auto"/>
              <w:jc w:val="center"/>
              <w:textAlignment w:val="center"/>
              <w:rPr>
                <w:rFonts w:hint="eastAsia" w:ascii="仿宋" w:hAnsi="仿宋" w:cs="Times New Roman"/>
                <w:kern w:val="0"/>
                <w:sz w:val="24"/>
                <w:szCs w:val="24"/>
                <w:highlight w:val="none"/>
                <w:lang w:bidi="ar"/>
              </w:rPr>
            </w:pPr>
          </w:p>
        </w:tc>
        <w:tc>
          <w:tcPr>
            <w:tcW w:w="2422" w:type="pct"/>
            <w:noWrap w:val="0"/>
            <w:tcMar>
              <w:top w:w="15" w:type="dxa"/>
              <w:left w:w="15" w:type="dxa"/>
              <w:right w:w="15" w:type="dxa"/>
            </w:tcMar>
            <w:vAlign w:val="center"/>
          </w:tcPr>
          <w:p w14:paraId="644AE6DC">
            <w:pPr>
              <w:widowControl/>
              <w:spacing w:line="360" w:lineRule="auto"/>
              <w:jc w:val="center"/>
              <w:textAlignment w:val="center"/>
              <w:rPr>
                <w:rFonts w:hint="eastAsia" w:ascii="仿宋" w:hAnsi="仿宋" w:cs="Times New Roman"/>
                <w:kern w:val="0"/>
                <w:sz w:val="24"/>
                <w:szCs w:val="24"/>
                <w:highlight w:val="none"/>
                <w:lang w:bidi="ar"/>
              </w:rPr>
            </w:pPr>
            <w:r>
              <w:rPr>
                <w:rFonts w:hint="eastAsia" w:ascii="仿宋" w:hAnsi="仿宋" w:cs="Times New Roman"/>
                <w:kern w:val="0"/>
                <w:sz w:val="24"/>
                <w:szCs w:val="24"/>
                <w:highlight w:val="none"/>
                <w:lang w:bidi="ar"/>
              </w:rPr>
              <w:t>地面</w:t>
            </w:r>
            <w:r>
              <w:rPr>
                <w:rFonts w:ascii="仿宋" w:hAnsi="仿宋" w:cs="Times New Roman"/>
                <w:kern w:val="0"/>
                <w:sz w:val="24"/>
                <w:szCs w:val="24"/>
                <w:highlight w:val="none"/>
                <w:lang w:bidi="ar"/>
              </w:rPr>
              <w:t>机动车位</w:t>
            </w:r>
          </w:p>
        </w:tc>
        <w:tc>
          <w:tcPr>
            <w:tcW w:w="566" w:type="pct"/>
            <w:noWrap w:val="0"/>
            <w:tcMar>
              <w:top w:w="15" w:type="dxa"/>
              <w:left w:w="15" w:type="dxa"/>
              <w:right w:w="15" w:type="dxa"/>
            </w:tcMar>
            <w:vAlign w:val="center"/>
          </w:tcPr>
          <w:p w14:paraId="194CC048">
            <w:pPr>
              <w:widowControl/>
              <w:spacing w:line="360" w:lineRule="auto"/>
              <w:jc w:val="center"/>
              <w:textAlignment w:val="center"/>
              <w:rPr>
                <w:rFonts w:hint="eastAsia" w:ascii="仿宋" w:hAnsi="仿宋" w:cs="Times New Roman"/>
                <w:kern w:val="0"/>
                <w:sz w:val="24"/>
                <w:szCs w:val="24"/>
                <w:highlight w:val="none"/>
                <w:lang w:bidi="ar"/>
              </w:rPr>
            </w:pPr>
            <w:r>
              <w:rPr>
                <w:rFonts w:hint="eastAsia" w:ascii="仿宋" w:hAnsi="仿宋" w:cs="Times New Roman"/>
                <w:kern w:val="0"/>
                <w:sz w:val="24"/>
                <w:szCs w:val="24"/>
                <w:highlight w:val="none"/>
                <w:lang w:bidi="ar"/>
              </w:rPr>
              <w:t>72</w:t>
            </w:r>
          </w:p>
        </w:tc>
        <w:tc>
          <w:tcPr>
            <w:tcW w:w="1002" w:type="pct"/>
            <w:noWrap w:val="0"/>
            <w:tcMar>
              <w:top w:w="15" w:type="dxa"/>
              <w:left w:w="15" w:type="dxa"/>
              <w:right w:w="15" w:type="dxa"/>
            </w:tcMar>
            <w:vAlign w:val="center"/>
          </w:tcPr>
          <w:p w14:paraId="775D6849">
            <w:pPr>
              <w:widowControl/>
              <w:spacing w:line="360" w:lineRule="auto"/>
              <w:jc w:val="center"/>
              <w:textAlignment w:val="center"/>
              <w:rPr>
                <w:rFonts w:hint="eastAsia" w:ascii="仿宋" w:hAnsi="仿宋" w:cs="Times New Roman"/>
                <w:kern w:val="0"/>
                <w:sz w:val="24"/>
                <w:szCs w:val="24"/>
                <w:highlight w:val="none"/>
                <w:lang w:bidi="ar"/>
              </w:rPr>
            </w:pPr>
            <w:r>
              <w:rPr>
                <w:rFonts w:ascii="仿宋" w:hAnsi="仿宋" w:cs="Times New Roman"/>
                <w:kern w:val="0"/>
                <w:sz w:val="24"/>
                <w:szCs w:val="24"/>
                <w:highlight w:val="none"/>
                <w:lang w:bidi="ar"/>
              </w:rPr>
              <w:t>个</w:t>
            </w:r>
          </w:p>
        </w:tc>
      </w:tr>
      <w:tr w14:paraId="0EE9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1008" w:type="pct"/>
            <w:vMerge w:val="continue"/>
            <w:noWrap/>
            <w:tcMar>
              <w:top w:w="15" w:type="dxa"/>
              <w:left w:w="15" w:type="dxa"/>
              <w:right w:w="15" w:type="dxa"/>
            </w:tcMar>
            <w:vAlign w:val="center"/>
          </w:tcPr>
          <w:p w14:paraId="2887833E">
            <w:pPr>
              <w:widowControl/>
              <w:spacing w:line="360" w:lineRule="auto"/>
              <w:jc w:val="center"/>
              <w:textAlignment w:val="center"/>
              <w:rPr>
                <w:rFonts w:hint="eastAsia" w:ascii="仿宋" w:hAnsi="仿宋" w:cs="Times New Roman"/>
                <w:kern w:val="0"/>
                <w:sz w:val="24"/>
                <w:szCs w:val="24"/>
                <w:highlight w:val="none"/>
                <w:lang w:bidi="ar"/>
              </w:rPr>
            </w:pPr>
          </w:p>
        </w:tc>
        <w:tc>
          <w:tcPr>
            <w:tcW w:w="2422" w:type="pct"/>
            <w:noWrap w:val="0"/>
            <w:tcMar>
              <w:top w:w="15" w:type="dxa"/>
              <w:left w:w="15" w:type="dxa"/>
              <w:right w:w="15" w:type="dxa"/>
            </w:tcMar>
            <w:vAlign w:val="center"/>
          </w:tcPr>
          <w:p w14:paraId="6F5E08BF">
            <w:pPr>
              <w:widowControl/>
              <w:spacing w:line="360" w:lineRule="auto"/>
              <w:jc w:val="center"/>
              <w:textAlignment w:val="center"/>
              <w:rPr>
                <w:rFonts w:hint="default" w:ascii="仿宋" w:hAnsi="仿宋" w:eastAsia="宋体" w:cs="Times New Roman"/>
                <w:kern w:val="0"/>
                <w:sz w:val="24"/>
                <w:szCs w:val="24"/>
                <w:highlight w:val="none"/>
                <w:lang w:val="en-US" w:eastAsia="zh-CN" w:bidi="ar"/>
              </w:rPr>
            </w:pPr>
            <w:r>
              <w:rPr>
                <w:rFonts w:hint="eastAsia" w:ascii="仿宋" w:hAnsi="仿宋" w:cs="Times New Roman"/>
                <w:kern w:val="0"/>
                <w:sz w:val="24"/>
                <w:szCs w:val="24"/>
                <w:highlight w:val="none"/>
                <w:lang w:val="en-US" w:eastAsia="zh-CN" w:bidi="ar"/>
              </w:rPr>
              <w:t>结构单跨跨度</w:t>
            </w:r>
          </w:p>
        </w:tc>
        <w:tc>
          <w:tcPr>
            <w:tcW w:w="566" w:type="pct"/>
            <w:noWrap w:val="0"/>
            <w:tcMar>
              <w:top w:w="15" w:type="dxa"/>
              <w:left w:w="15" w:type="dxa"/>
              <w:right w:w="15" w:type="dxa"/>
            </w:tcMar>
            <w:vAlign w:val="center"/>
          </w:tcPr>
          <w:p w14:paraId="232B6D6A">
            <w:pPr>
              <w:widowControl/>
              <w:spacing w:line="360" w:lineRule="auto"/>
              <w:jc w:val="center"/>
              <w:textAlignment w:val="center"/>
              <w:rPr>
                <w:rFonts w:hint="default" w:ascii="仿宋" w:hAnsi="仿宋" w:eastAsia="宋体" w:cs="Times New Roman"/>
                <w:kern w:val="0"/>
                <w:sz w:val="24"/>
                <w:szCs w:val="24"/>
                <w:highlight w:val="none"/>
                <w:lang w:val="en-US" w:eastAsia="zh-CN" w:bidi="ar"/>
              </w:rPr>
            </w:pPr>
            <w:r>
              <w:rPr>
                <w:rFonts w:hint="eastAsia" w:ascii="仿宋" w:hAnsi="仿宋" w:cs="Times New Roman"/>
                <w:kern w:val="0"/>
                <w:sz w:val="24"/>
                <w:szCs w:val="24"/>
                <w:highlight w:val="none"/>
                <w:lang w:val="en-US" w:eastAsia="zh-CN" w:bidi="ar"/>
              </w:rPr>
              <w:t>3.4</w:t>
            </w:r>
          </w:p>
        </w:tc>
        <w:tc>
          <w:tcPr>
            <w:tcW w:w="1002" w:type="pct"/>
            <w:noWrap w:val="0"/>
            <w:tcMar>
              <w:top w:w="15" w:type="dxa"/>
              <w:left w:w="15" w:type="dxa"/>
              <w:right w:w="15" w:type="dxa"/>
            </w:tcMar>
            <w:vAlign w:val="center"/>
          </w:tcPr>
          <w:p w14:paraId="21D7A315">
            <w:pPr>
              <w:widowControl/>
              <w:spacing w:line="360" w:lineRule="auto"/>
              <w:jc w:val="center"/>
              <w:textAlignment w:val="center"/>
              <w:rPr>
                <w:rFonts w:hint="eastAsia" w:ascii="仿宋" w:hAnsi="仿宋" w:eastAsia="宋体" w:cs="Times New Roman"/>
                <w:kern w:val="0"/>
                <w:sz w:val="24"/>
                <w:szCs w:val="24"/>
                <w:highlight w:val="none"/>
                <w:lang w:val="en-US" w:eastAsia="zh-CN" w:bidi="ar"/>
              </w:rPr>
            </w:pPr>
            <w:r>
              <w:rPr>
                <w:rFonts w:hint="eastAsia" w:ascii="仿宋" w:hAnsi="仿宋" w:cs="Times New Roman"/>
                <w:kern w:val="0"/>
                <w:sz w:val="24"/>
                <w:szCs w:val="24"/>
                <w:highlight w:val="none"/>
                <w:lang w:val="en-US" w:eastAsia="zh-CN" w:bidi="ar"/>
              </w:rPr>
              <w:t>m</w:t>
            </w:r>
          </w:p>
        </w:tc>
      </w:tr>
      <w:tr w14:paraId="3670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1008" w:type="pct"/>
            <w:vMerge w:val="restart"/>
            <w:noWrap/>
            <w:tcMar>
              <w:top w:w="15" w:type="dxa"/>
              <w:left w:w="15" w:type="dxa"/>
              <w:right w:w="15" w:type="dxa"/>
            </w:tcMar>
            <w:vAlign w:val="center"/>
          </w:tcPr>
          <w:p w14:paraId="44BF7F0D">
            <w:pPr>
              <w:widowControl/>
              <w:spacing w:line="360" w:lineRule="auto"/>
              <w:jc w:val="center"/>
              <w:textAlignment w:val="center"/>
              <w:rPr>
                <w:rFonts w:hint="eastAsia" w:ascii="仿宋" w:hAnsi="仿宋" w:cs="Times New Roman"/>
                <w:kern w:val="0"/>
                <w:sz w:val="24"/>
                <w:szCs w:val="24"/>
                <w:highlight w:val="none"/>
                <w:lang w:bidi="ar"/>
              </w:rPr>
            </w:pPr>
            <w:r>
              <w:rPr>
                <w:rFonts w:ascii="仿宋" w:hAnsi="仿宋" w:cs="Times New Roman"/>
                <w:kern w:val="0"/>
                <w:sz w:val="24"/>
                <w:szCs w:val="24"/>
                <w:highlight w:val="none"/>
                <w:lang w:bidi="ar"/>
              </w:rPr>
              <w:t>构筑物</w:t>
            </w:r>
          </w:p>
        </w:tc>
        <w:tc>
          <w:tcPr>
            <w:tcW w:w="2422" w:type="pct"/>
            <w:noWrap w:val="0"/>
            <w:tcMar>
              <w:top w:w="15" w:type="dxa"/>
              <w:left w:w="15" w:type="dxa"/>
              <w:right w:w="15" w:type="dxa"/>
            </w:tcMar>
            <w:vAlign w:val="center"/>
          </w:tcPr>
          <w:p w14:paraId="580835E1">
            <w:pPr>
              <w:widowControl/>
              <w:spacing w:line="360" w:lineRule="auto"/>
              <w:jc w:val="center"/>
              <w:textAlignment w:val="center"/>
              <w:rPr>
                <w:rFonts w:hint="eastAsia" w:ascii="仿宋" w:hAnsi="仿宋" w:cs="Times New Roman"/>
                <w:kern w:val="0"/>
                <w:sz w:val="24"/>
                <w:szCs w:val="24"/>
                <w:highlight w:val="none"/>
                <w:lang w:bidi="ar"/>
              </w:rPr>
            </w:pPr>
            <w:r>
              <w:rPr>
                <w:rFonts w:hint="eastAsia" w:ascii="仿宋" w:hAnsi="仿宋" w:cs="Times New Roman"/>
                <w:kern w:val="0"/>
                <w:sz w:val="24"/>
                <w:szCs w:val="24"/>
                <w:highlight w:val="none"/>
                <w:lang w:bidi="ar"/>
              </w:rPr>
              <w:t>便民智慧</w:t>
            </w:r>
            <w:r>
              <w:rPr>
                <w:rFonts w:ascii="仿宋" w:hAnsi="仿宋" w:cs="Times New Roman"/>
                <w:kern w:val="0"/>
                <w:sz w:val="24"/>
                <w:szCs w:val="24"/>
                <w:highlight w:val="none"/>
                <w:lang w:bidi="ar"/>
              </w:rPr>
              <w:t>驿站</w:t>
            </w:r>
          </w:p>
        </w:tc>
        <w:tc>
          <w:tcPr>
            <w:tcW w:w="566" w:type="pct"/>
            <w:noWrap w:val="0"/>
            <w:tcMar>
              <w:top w:w="15" w:type="dxa"/>
              <w:left w:w="15" w:type="dxa"/>
              <w:right w:w="15" w:type="dxa"/>
            </w:tcMar>
            <w:vAlign w:val="center"/>
          </w:tcPr>
          <w:p w14:paraId="14A57DDD">
            <w:pPr>
              <w:widowControl/>
              <w:spacing w:line="360" w:lineRule="auto"/>
              <w:jc w:val="center"/>
              <w:textAlignment w:val="center"/>
              <w:rPr>
                <w:rFonts w:hint="eastAsia" w:ascii="仿宋" w:hAnsi="仿宋" w:cs="Times New Roman"/>
                <w:kern w:val="0"/>
                <w:sz w:val="24"/>
                <w:szCs w:val="24"/>
                <w:highlight w:val="none"/>
                <w:lang w:bidi="ar"/>
              </w:rPr>
            </w:pPr>
            <w:r>
              <w:rPr>
                <w:rFonts w:hint="eastAsia" w:ascii="仿宋" w:hAnsi="仿宋" w:cs="Times New Roman"/>
                <w:kern w:val="0"/>
                <w:sz w:val="24"/>
                <w:szCs w:val="24"/>
                <w:highlight w:val="none"/>
                <w:lang w:bidi="ar"/>
              </w:rPr>
              <w:t>27.8</w:t>
            </w:r>
          </w:p>
        </w:tc>
        <w:tc>
          <w:tcPr>
            <w:tcW w:w="1002" w:type="pct"/>
            <w:noWrap w:val="0"/>
            <w:tcMar>
              <w:top w:w="15" w:type="dxa"/>
              <w:left w:w="15" w:type="dxa"/>
              <w:right w:w="15" w:type="dxa"/>
            </w:tcMar>
            <w:vAlign w:val="center"/>
          </w:tcPr>
          <w:p w14:paraId="5B66B43A">
            <w:pPr>
              <w:widowControl/>
              <w:spacing w:line="360" w:lineRule="auto"/>
              <w:jc w:val="center"/>
              <w:textAlignment w:val="center"/>
              <w:rPr>
                <w:rFonts w:hint="eastAsia" w:ascii="仿宋" w:hAnsi="仿宋" w:cs="Times New Roman"/>
                <w:kern w:val="0"/>
                <w:sz w:val="24"/>
                <w:szCs w:val="24"/>
                <w:highlight w:val="none"/>
                <w:lang w:bidi="ar"/>
              </w:rPr>
            </w:pPr>
            <w:r>
              <w:rPr>
                <w:rFonts w:ascii="仿宋" w:hAnsi="仿宋" w:cs="Times New Roman"/>
                <w:kern w:val="0"/>
                <w:sz w:val="24"/>
                <w:szCs w:val="24"/>
                <w:highlight w:val="none"/>
                <w:lang w:bidi="ar"/>
              </w:rPr>
              <w:t>㎡</w:t>
            </w:r>
          </w:p>
        </w:tc>
      </w:tr>
      <w:tr w14:paraId="3F06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1008" w:type="pct"/>
            <w:vMerge w:val="continue"/>
            <w:noWrap/>
            <w:tcMar>
              <w:top w:w="15" w:type="dxa"/>
              <w:left w:w="15" w:type="dxa"/>
              <w:right w:w="15" w:type="dxa"/>
            </w:tcMar>
            <w:vAlign w:val="center"/>
          </w:tcPr>
          <w:p w14:paraId="0A5D75AF">
            <w:pPr>
              <w:widowControl/>
              <w:spacing w:line="360" w:lineRule="auto"/>
              <w:jc w:val="center"/>
              <w:textAlignment w:val="center"/>
              <w:rPr>
                <w:rFonts w:hint="eastAsia" w:ascii="仿宋" w:hAnsi="仿宋" w:cs="Times New Roman"/>
                <w:kern w:val="0"/>
                <w:sz w:val="24"/>
                <w:szCs w:val="24"/>
                <w:highlight w:val="none"/>
                <w:lang w:bidi="ar"/>
              </w:rPr>
            </w:pPr>
          </w:p>
        </w:tc>
        <w:tc>
          <w:tcPr>
            <w:tcW w:w="2422" w:type="pct"/>
            <w:noWrap w:val="0"/>
            <w:tcMar>
              <w:top w:w="15" w:type="dxa"/>
              <w:left w:w="15" w:type="dxa"/>
              <w:right w:w="15" w:type="dxa"/>
            </w:tcMar>
            <w:vAlign w:val="center"/>
          </w:tcPr>
          <w:p w14:paraId="75064EAF">
            <w:pPr>
              <w:widowControl/>
              <w:spacing w:line="360" w:lineRule="auto"/>
              <w:jc w:val="center"/>
              <w:textAlignment w:val="center"/>
              <w:rPr>
                <w:rFonts w:hint="eastAsia" w:ascii="仿宋" w:hAnsi="仿宋" w:cs="Times New Roman"/>
                <w:kern w:val="0"/>
                <w:sz w:val="24"/>
                <w:szCs w:val="24"/>
                <w:highlight w:val="none"/>
                <w:lang w:bidi="ar"/>
              </w:rPr>
            </w:pPr>
            <w:r>
              <w:rPr>
                <w:rFonts w:hint="eastAsia" w:ascii="仿宋" w:hAnsi="仿宋" w:cs="Times New Roman"/>
                <w:kern w:val="0"/>
                <w:sz w:val="24"/>
                <w:szCs w:val="24"/>
                <w:highlight w:val="none"/>
                <w:lang w:bidi="ar"/>
              </w:rPr>
              <w:t>配套用房</w:t>
            </w:r>
          </w:p>
        </w:tc>
        <w:tc>
          <w:tcPr>
            <w:tcW w:w="566" w:type="pct"/>
            <w:noWrap w:val="0"/>
            <w:tcMar>
              <w:top w:w="15" w:type="dxa"/>
              <w:left w:w="15" w:type="dxa"/>
              <w:right w:w="15" w:type="dxa"/>
            </w:tcMar>
            <w:vAlign w:val="center"/>
          </w:tcPr>
          <w:p w14:paraId="6D7ED80C">
            <w:pPr>
              <w:widowControl/>
              <w:spacing w:line="360" w:lineRule="auto"/>
              <w:jc w:val="center"/>
              <w:textAlignment w:val="center"/>
              <w:rPr>
                <w:rFonts w:hint="eastAsia" w:ascii="仿宋" w:hAnsi="仿宋" w:cs="Times New Roman"/>
                <w:kern w:val="0"/>
                <w:sz w:val="24"/>
                <w:szCs w:val="24"/>
                <w:highlight w:val="none"/>
                <w:lang w:bidi="ar"/>
              </w:rPr>
            </w:pPr>
            <w:r>
              <w:rPr>
                <w:rFonts w:hint="eastAsia" w:ascii="仿宋" w:hAnsi="仿宋" w:cs="Times New Roman"/>
                <w:kern w:val="0"/>
                <w:sz w:val="24"/>
                <w:szCs w:val="24"/>
                <w:highlight w:val="none"/>
                <w:lang w:bidi="ar"/>
              </w:rPr>
              <w:t>58.8</w:t>
            </w:r>
          </w:p>
        </w:tc>
        <w:tc>
          <w:tcPr>
            <w:tcW w:w="1002" w:type="pct"/>
            <w:noWrap w:val="0"/>
            <w:tcMar>
              <w:top w:w="15" w:type="dxa"/>
              <w:left w:w="15" w:type="dxa"/>
              <w:right w:w="15" w:type="dxa"/>
            </w:tcMar>
            <w:vAlign w:val="center"/>
          </w:tcPr>
          <w:p w14:paraId="490BE6D1">
            <w:pPr>
              <w:widowControl/>
              <w:spacing w:line="360" w:lineRule="auto"/>
              <w:jc w:val="center"/>
              <w:textAlignment w:val="center"/>
              <w:rPr>
                <w:rFonts w:hint="eastAsia" w:ascii="仿宋" w:hAnsi="仿宋" w:cs="Times New Roman"/>
                <w:kern w:val="0"/>
                <w:sz w:val="24"/>
                <w:szCs w:val="24"/>
                <w:highlight w:val="none"/>
                <w:lang w:bidi="ar"/>
              </w:rPr>
            </w:pPr>
            <w:r>
              <w:rPr>
                <w:rFonts w:ascii="仿宋" w:hAnsi="仿宋" w:cs="Times New Roman"/>
                <w:kern w:val="0"/>
                <w:sz w:val="24"/>
                <w:szCs w:val="24"/>
                <w:highlight w:val="none"/>
                <w:lang w:bidi="ar"/>
              </w:rPr>
              <w:t>㎡</w:t>
            </w:r>
          </w:p>
        </w:tc>
      </w:tr>
    </w:tbl>
    <w:p w14:paraId="2EBB157D">
      <w:pPr>
        <w:spacing w:line="360" w:lineRule="auto"/>
        <w:rPr>
          <w:rFonts w:ascii="宋体" w:hAnsi="宋体"/>
          <w:highlight w:val="none"/>
        </w:rPr>
      </w:pPr>
    </w:p>
    <w:bookmarkEnd w:id="1045"/>
    <w:p w14:paraId="6FFD0EEA">
      <w:pPr>
        <w:jc w:val="left"/>
        <w:rPr>
          <w:rFonts w:hint="eastAsia" w:ascii="宋体" w:hAnsi="宋体" w:cs="宋体"/>
          <w:b/>
          <w:bCs/>
          <w:kern w:val="44"/>
          <w:sz w:val="44"/>
          <w:szCs w:val="44"/>
          <w:highlight w:val="none"/>
        </w:rPr>
      </w:pPr>
      <w:bookmarkStart w:id="1046" w:name="_Toc485211111"/>
      <w:bookmarkStart w:id="1047" w:name="_Toc144974855"/>
      <w:bookmarkStart w:id="1048" w:name="_Toc16057"/>
      <w:bookmarkStart w:id="1049" w:name="_Toc152042575"/>
      <w:bookmarkStart w:id="1050" w:name="_Toc24744"/>
      <w:bookmarkStart w:id="1051" w:name="_Toc1869"/>
      <w:bookmarkStart w:id="1052" w:name="_Toc28106"/>
      <w:bookmarkStart w:id="1053" w:name="_Toc3257"/>
      <w:bookmarkStart w:id="1054" w:name="_Toc152045786"/>
      <w:bookmarkStart w:id="1055" w:name="_Toc27623"/>
      <w:bookmarkStart w:id="1056" w:name="_Toc14218"/>
      <w:bookmarkStart w:id="1057" w:name="_Toc247514245"/>
      <w:bookmarkStart w:id="1058" w:name="_Toc247527826"/>
      <w:r>
        <w:rPr>
          <w:rFonts w:hint="eastAsia" w:ascii="宋体" w:hAnsi="宋体" w:cs="宋体"/>
          <w:b/>
          <w:bCs/>
          <w:kern w:val="44"/>
          <w:sz w:val="44"/>
          <w:szCs w:val="44"/>
          <w:highlight w:val="none"/>
        </w:rPr>
        <w:br w:type="page"/>
      </w:r>
    </w:p>
    <w:p w14:paraId="30823E17">
      <w:pPr>
        <w:keepNext/>
        <w:keepLines/>
        <w:spacing w:before="340" w:after="330" w:line="576" w:lineRule="auto"/>
        <w:jc w:val="center"/>
        <w:outlineLvl w:val="0"/>
        <w:rPr>
          <w:rFonts w:hint="eastAsia" w:ascii="宋体" w:hAnsi="宋体" w:cs="宋体"/>
          <w:sz w:val="24"/>
          <w:szCs w:val="24"/>
          <w:highlight w:val="none"/>
        </w:rPr>
      </w:pPr>
      <w:r>
        <w:rPr>
          <w:rFonts w:hint="eastAsia" w:ascii="宋体" w:hAnsi="宋体" w:cs="宋体"/>
          <w:b/>
          <w:bCs/>
          <w:kern w:val="44"/>
          <w:sz w:val="44"/>
          <w:szCs w:val="44"/>
          <w:highlight w:val="none"/>
        </w:rPr>
        <w:t>第六章 投标文件格式</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Start w:id="1059" w:name="_Toc314127292"/>
      <w:bookmarkStart w:id="1060" w:name="_Toc268935231"/>
      <w:bookmarkStart w:id="1061" w:name="_Toc314129316"/>
      <w:bookmarkStart w:id="1062" w:name="_Toc314127443"/>
      <w:bookmarkStart w:id="1063" w:name="_Toc254961554"/>
      <w:bookmarkStart w:id="1064" w:name="_Toc226209002"/>
      <w:bookmarkStart w:id="1065" w:name="_Toc332183369"/>
      <w:bookmarkStart w:id="1066" w:name="_Toc248650369"/>
      <w:bookmarkStart w:id="1067" w:name="_Toc296593028"/>
      <w:bookmarkStart w:id="1068" w:name="_Toc314128460"/>
      <w:bookmarkStart w:id="1069" w:name="_Toc314127361"/>
      <w:bookmarkStart w:id="1070" w:name="_Toc297120233"/>
    </w:p>
    <w:p w14:paraId="216411BB">
      <w:pPr>
        <w:jc w:val="center"/>
        <w:rPr>
          <w:rFonts w:hint="eastAsia" w:ascii="宋体" w:hAnsi="宋体" w:cs="宋体"/>
          <w:sz w:val="40"/>
          <w:szCs w:val="40"/>
          <w:highlight w:val="none"/>
        </w:rPr>
      </w:pPr>
    </w:p>
    <w:p w14:paraId="20AD67C0">
      <w:pPr>
        <w:jc w:val="center"/>
        <w:rPr>
          <w:rFonts w:hint="eastAsia" w:ascii="宋体" w:hAnsi="宋体" w:cs="宋体"/>
          <w:sz w:val="40"/>
          <w:szCs w:val="40"/>
          <w:highlight w:val="none"/>
        </w:rPr>
      </w:pPr>
    </w:p>
    <w:p w14:paraId="69E0BC95">
      <w:pPr>
        <w:jc w:val="center"/>
        <w:rPr>
          <w:rFonts w:hint="eastAsia" w:ascii="宋体" w:hAnsi="宋体" w:cs="宋体"/>
          <w:sz w:val="28"/>
          <w:szCs w:val="28"/>
          <w:highlight w:val="none"/>
        </w:rPr>
      </w:pPr>
      <w:r>
        <w:rPr>
          <w:rFonts w:hint="eastAsia" w:ascii="宋体" w:hAnsi="宋体" w:cs="宋体"/>
          <w:sz w:val="40"/>
          <w:szCs w:val="40"/>
          <w:highlight w:val="none"/>
        </w:rPr>
        <w:t>（项目名称）</w:t>
      </w:r>
    </w:p>
    <w:p w14:paraId="582E1A0F">
      <w:pPr>
        <w:rPr>
          <w:rFonts w:hint="eastAsia" w:ascii="宋体" w:hAnsi="宋体" w:cs="宋体"/>
          <w:sz w:val="20"/>
          <w:szCs w:val="20"/>
          <w:highlight w:val="none"/>
        </w:rPr>
      </w:pPr>
    </w:p>
    <w:p w14:paraId="1E6A50DB">
      <w:pPr>
        <w:rPr>
          <w:rFonts w:hint="eastAsia" w:ascii="宋体" w:hAnsi="宋体" w:cs="宋体"/>
          <w:sz w:val="20"/>
          <w:szCs w:val="20"/>
          <w:highlight w:val="none"/>
        </w:rPr>
      </w:pPr>
    </w:p>
    <w:p w14:paraId="354320D9">
      <w:pPr>
        <w:jc w:val="center"/>
        <w:rPr>
          <w:rFonts w:hint="eastAsia" w:ascii="宋体" w:hAnsi="宋体" w:cs="宋体"/>
          <w:sz w:val="44"/>
          <w:szCs w:val="44"/>
          <w:highlight w:val="none"/>
        </w:rPr>
      </w:pPr>
      <w:r>
        <w:rPr>
          <w:rFonts w:hint="eastAsia" w:ascii="宋体" w:hAnsi="宋体" w:cs="宋体"/>
          <w:sz w:val="44"/>
          <w:szCs w:val="44"/>
          <w:highlight w:val="none"/>
        </w:rPr>
        <w:t>投  标  文  件</w:t>
      </w:r>
    </w:p>
    <w:p w14:paraId="04AF578A">
      <w:pPr>
        <w:pStyle w:val="22"/>
        <w:rPr>
          <w:sz w:val="20"/>
          <w:highlight w:val="none"/>
        </w:rPr>
      </w:pPr>
    </w:p>
    <w:p w14:paraId="1DDE92B8">
      <w:pPr>
        <w:pStyle w:val="22"/>
        <w:jc w:val="center"/>
        <w:rPr>
          <w:highlight w:val="none"/>
        </w:rPr>
      </w:pPr>
      <w:r>
        <w:rPr>
          <w:rFonts w:hint="eastAsia" w:hAnsi="宋体" w:cs="宋体"/>
          <w:sz w:val="44"/>
          <w:szCs w:val="44"/>
          <w:highlight w:val="none"/>
        </w:rPr>
        <w:t>设计方案</w:t>
      </w:r>
    </w:p>
    <w:p w14:paraId="002BEA80">
      <w:pPr>
        <w:rPr>
          <w:rFonts w:hint="eastAsia" w:ascii="宋体" w:hAnsi="宋体" w:cs="宋体"/>
          <w:sz w:val="28"/>
          <w:szCs w:val="28"/>
          <w:highlight w:val="none"/>
        </w:rPr>
      </w:pPr>
    </w:p>
    <w:p w14:paraId="0D7215CD">
      <w:pPr>
        <w:rPr>
          <w:rFonts w:hint="eastAsia" w:ascii="宋体" w:hAnsi="宋体" w:cs="宋体"/>
          <w:sz w:val="28"/>
          <w:szCs w:val="28"/>
          <w:highlight w:val="none"/>
        </w:rPr>
      </w:pPr>
    </w:p>
    <w:p w14:paraId="53786C6B">
      <w:pPr>
        <w:rPr>
          <w:rFonts w:hint="eastAsia" w:ascii="宋体" w:hAnsi="宋体" w:cs="宋体"/>
          <w:sz w:val="28"/>
          <w:szCs w:val="28"/>
          <w:highlight w:val="none"/>
        </w:rPr>
      </w:pPr>
    </w:p>
    <w:p w14:paraId="26777F20">
      <w:pPr>
        <w:rPr>
          <w:rFonts w:hint="eastAsia" w:ascii="宋体" w:hAnsi="宋体" w:cs="宋体"/>
          <w:sz w:val="28"/>
          <w:szCs w:val="28"/>
          <w:highlight w:val="none"/>
        </w:rPr>
      </w:pPr>
    </w:p>
    <w:p w14:paraId="4A11B867">
      <w:pPr>
        <w:rPr>
          <w:rFonts w:hint="eastAsia" w:ascii="宋体" w:hAnsi="宋体" w:cs="宋体"/>
          <w:sz w:val="28"/>
          <w:szCs w:val="28"/>
          <w:highlight w:val="none"/>
        </w:rPr>
      </w:pPr>
    </w:p>
    <w:p w14:paraId="07B9A2E1">
      <w:pPr>
        <w:rPr>
          <w:rFonts w:hint="eastAsia" w:ascii="宋体" w:hAnsi="宋体" w:cs="宋体"/>
          <w:sz w:val="28"/>
          <w:szCs w:val="28"/>
          <w:highlight w:val="none"/>
        </w:rPr>
      </w:pPr>
    </w:p>
    <w:p w14:paraId="2FC347CB">
      <w:pPr>
        <w:rPr>
          <w:rFonts w:hint="eastAsia" w:ascii="宋体" w:hAnsi="宋体" w:cs="宋体"/>
          <w:sz w:val="28"/>
          <w:szCs w:val="28"/>
          <w:highlight w:val="none"/>
        </w:rPr>
      </w:pPr>
    </w:p>
    <w:p w14:paraId="584FBC6A">
      <w:pPr>
        <w:rPr>
          <w:rFonts w:hint="eastAsia" w:ascii="宋体" w:hAnsi="宋体" w:cs="宋体"/>
          <w:sz w:val="28"/>
          <w:szCs w:val="28"/>
          <w:highlight w:val="none"/>
        </w:rPr>
      </w:pPr>
    </w:p>
    <w:p w14:paraId="0DAD7F98">
      <w:pPr>
        <w:rPr>
          <w:rFonts w:hint="eastAsia" w:ascii="宋体" w:hAnsi="宋体" w:cs="宋体"/>
          <w:sz w:val="28"/>
          <w:szCs w:val="28"/>
          <w:highlight w:val="none"/>
        </w:rPr>
      </w:pPr>
    </w:p>
    <w:p w14:paraId="6C25A9B5">
      <w:pPr>
        <w:rPr>
          <w:rFonts w:hint="eastAsia" w:ascii="宋体" w:hAnsi="宋体" w:cs="宋体"/>
          <w:sz w:val="28"/>
          <w:szCs w:val="28"/>
          <w:highlight w:val="none"/>
        </w:rPr>
      </w:pPr>
    </w:p>
    <w:p w14:paraId="3E7B8F3E">
      <w:pPr>
        <w:rPr>
          <w:rFonts w:hint="eastAsia" w:ascii="宋体" w:hAnsi="宋体" w:cs="宋体"/>
          <w:sz w:val="28"/>
          <w:szCs w:val="28"/>
          <w:highlight w:val="none"/>
        </w:rPr>
      </w:pPr>
    </w:p>
    <w:p w14:paraId="1D7B4A7A">
      <w:pPr>
        <w:ind w:firstLine="1960" w:firstLineChars="700"/>
        <w:rPr>
          <w:rFonts w:hint="eastAsia" w:ascii="宋体" w:hAnsi="宋体" w:cs="宋体"/>
          <w:sz w:val="28"/>
          <w:szCs w:val="28"/>
          <w:highlight w:val="none"/>
          <w:u w:val="single"/>
        </w:rPr>
      </w:pPr>
      <w:r>
        <w:rPr>
          <w:rFonts w:hint="eastAsia" w:ascii="宋体" w:hAnsi="宋体" w:cs="宋体"/>
          <w:sz w:val="28"/>
          <w:szCs w:val="28"/>
          <w:highlight w:val="none"/>
        </w:rPr>
        <w:t>编制时间：</w:t>
      </w:r>
      <w:r>
        <w:rPr>
          <w:rFonts w:hint="eastAsia" w:ascii="宋体" w:hAnsi="宋体" w:cs="宋体"/>
          <w:sz w:val="28"/>
          <w:szCs w:val="28"/>
          <w:highlight w:val="none"/>
          <w:u w:val="single"/>
        </w:rPr>
        <w:t xml:space="preserve">                         </w:t>
      </w:r>
    </w:p>
    <w:p w14:paraId="00270C62">
      <w:pPr>
        <w:pStyle w:val="22"/>
        <w:rPr>
          <w:sz w:val="20"/>
          <w:highlight w:val="none"/>
        </w:rPr>
      </w:pPr>
    </w:p>
    <w:p w14:paraId="26AB6B5F">
      <w:pPr>
        <w:rPr>
          <w:rFonts w:hint="eastAsia" w:ascii="宋体" w:hAnsi="宋体" w:cs="宋体"/>
          <w:highlight w:val="none"/>
        </w:rPr>
      </w:pPr>
    </w:p>
    <w:p w14:paraId="14FE96EA">
      <w:pPr>
        <w:widowControl/>
        <w:jc w:val="center"/>
        <w:rPr>
          <w:rFonts w:hint="eastAsia" w:ascii="宋体" w:hAnsi="宋体" w:cs="宋体"/>
          <w:highlight w:val="none"/>
        </w:rPr>
      </w:pPr>
      <w:r>
        <w:rPr>
          <w:rFonts w:ascii="宋体" w:hAnsi="宋体" w:cs="宋体"/>
          <w:highlight w:val="none"/>
        </w:rPr>
        <w:br w:type="page"/>
      </w:r>
    </w:p>
    <w:p w14:paraId="55B108B9">
      <w:pPr>
        <w:widowControl/>
        <w:jc w:val="center"/>
        <w:rPr>
          <w:rFonts w:hint="eastAsia" w:ascii="宋体" w:hAnsi="宋体" w:cs="宋体"/>
          <w:b/>
          <w:sz w:val="24"/>
          <w:highlight w:val="none"/>
        </w:rPr>
      </w:pPr>
      <w:r>
        <w:rPr>
          <w:rFonts w:hint="eastAsia" w:ascii="宋体" w:hAnsi="宋体" w:cs="宋体"/>
          <w:b/>
          <w:sz w:val="32"/>
          <w:szCs w:val="32"/>
          <w:highlight w:val="none"/>
        </w:rPr>
        <w:t>目  录</w:t>
      </w:r>
    </w:p>
    <w:p w14:paraId="358A9FAD">
      <w:pPr>
        <w:widowControl/>
        <w:rPr>
          <w:rFonts w:hint="eastAsia" w:ascii="宋体" w:hAnsi="宋体" w:cs="宋体"/>
          <w:b/>
          <w:sz w:val="24"/>
          <w:highlight w:val="none"/>
        </w:rPr>
      </w:pPr>
    </w:p>
    <w:p w14:paraId="7092AF6E">
      <w:pPr>
        <w:widowControl/>
        <w:rPr>
          <w:rFonts w:hint="eastAsia" w:ascii="宋体" w:hAnsi="宋体" w:cs="宋体"/>
          <w:b/>
          <w:sz w:val="24"/>
          <w:highlight w:val="none"/>
        </w:rPr>
      </w:pPr>
    </w:p>
    <w:p w14:paraId="3B07859E">
      <w:pPr>
        <w:widowControl/>
        <w:rPr>
          <w:rFonts w:hint="eastAsia" w:ascii="宋体" w:hAnsi="宋体" w:cs="宋体"/>
          <w:b/>
          <w:sz w:val="24"/>
          <w:highlight w:val="none"/>
        </w:rPr>
      </w:pPr>
      <w:r>
        <w:rPr>
          <w:rFonts w:hint="eastAsia" w:ascii="宋体" w:hAnsi="宋体" w:cs="宋体"/>
          <w:b/>
          <w:sz w:val="24"/>
          <w:highlight w:val="none"/>
        </w:rPr>
        <w:t>注：由投标人按要求自行编制目录。</w:t>
      </w:r>
    </w:p>
    <w:p w14:paraId="5D2C26C7">
      <w:pPr>
        <w:pStyle w:val="22"/>
        <w:rPr>
          <w:rFonts w:hint="eastAsia" w:hAnsi="宋体" w:cs="宋体"/>
          <w:b/>
          <w:sz w:val="24"/>
          <w:highlight w:val="none"/>
        </w:rPr>
      </w:pPr>
    </w:p>
    <w:p w14:paraId="74FEF5FD">
      <w:pPr>
        <w:pStyle w:val="22"/>
        <w:rPr>
          <w:rFonts w:hint="eastAsia" w:hAnsi="宋体" w:cs="宋体"/>
          <w:b/>
          <w:sz w:val="24"/>
          <w:highlight w:val="none"/>
        </w:rPr>
      </w:pPr>
    </w:p>
    <w:p w14:paraId="69BF5192">
      <w:pPr>
        <w:pStyle w:val="40"/>
        <w:ind w:left="0" w:leftChars="0" w:firstLine="0" w:firstLineChars="0"/>
        <w:rPr>
          <w:rFonts w:hint="eastAsia" w:ascii="宋体" w:hAnsi="宋体" w:cs="宋体"/>
          <w:highlight w:val="none"/>
        </w:rPr>
      </w:pPr>
    </w:p>
    <w:p w14:paraId="5E355522">
      <w:pPr>
        <w:autoSpaceDE w:val="0"/>
        <w:autoSpaceDN w:val="0"/>
        <w:adjustRightInd w:val="0"/>
        <w:spacing w:line="360" w:lineRule="auto"/>
        <w:rPr>
          <w:rFonts w:hint="eastAsia" w:ascii="宋体" w:hAnsi="宋体" w:cs="宋体"/>
          <w:sz w:val="24"/>
          <w:szCs w:val="24"/>
          <w:highlight w:val="none"/>
        </w:rPr>
      </w:pPr>
      <w:r>
        <w:rPr>
          <w:rFonts w:ascii="宋体" w:hAnsi="宋体" w:cs="宋体"/>
          <w:sz w:val="24"/>
          <w:szCs w:val="24"/>
          <w:highlight w:val="none"/>
        </w:rPr>
        <w:br w:type="page"/>
      </w:r>
    </w:p>
    <w:p w14:paraId="396FA20A">
      <w:pPr>
        <w:jc w:val="center"/>
        <w:rPr>
          <w:rFonts w:hint="eastAsia" w:ascii="宋体" w:hAnsi="宋体" w:cs="宋体"/>
          <w:sz w:val="40"/>
          <w:szCs w:val="40"/>
          <w:highlight w:val="none"/>
        </w:rPr>
      </w:pPr>
    </w:p>
    <w:p w14:paraId="33B5B99A">
      <w:pPr>
        <w:jc w:val="center"/>
        <w:rPr>
          <w:rFonts w:hint="eastAsia" w:ascii="宋体" w:hAnsi="宋体" w:cs="宋体"/>
          <w:sz w:val="40"/>
          <w:szCs w:val="40"/>
          <w:highlight w:val="none"/>
        </w:rPr>
      </w:pPr>
    </w:p>
    <w:p w14:paraId="7ABCA04A">
      <w:pPr>
        <w:jc w:val="center"/>
        <w:rPr>
          <w:rFonts w:hint="eastAsia" w:ascii="宋体" w:hAnsi="宋体" w:cs="宋体"/>
          <w:sz w:val="28"/>
          <w:szCs w:val="28"/>
          <w:highlight w:val="none"/>
        </w:rPr>
      </w:pPr>
      <w:r>
        <w:rPr>
          <w:rFonts w:hint="eastAsia" w:ascii="宋体" w:hAnsi="宋体" w:cs="宋体"/>
          <w:sz w:val="40"/>
          <w:szCs w:val="40"/>
          <w:highlight w:val="none"/>
        </w:rPr>
        <w:t>（项目名称）</w:t>
      </w:r>
    </w:p>
    <w:p w14:paraId="0E07FB24">
      <w:pPr>
        <w:rPr>
          <w:rFonts w:hint="eastAsia" w:ascii="宋体" w:hAnsi="宋体" w:cs="宋体"/>
          <w:sz w:val="20"/>
          <w:szCs w:val="20"/>
          <w:highlight w:val="none"/>
        </w:rPr>
      </w:pPr>
    </w:p>
    <w:p w14:paraId="3ED92087">
      <w:pPr>
        <w:rPr>
          <w:rFonts w:hint="eastAsia" w:ascii="宋体" w:hAnsi="宋体" w:cs="宋体"/>
          <w:sz w:val="20"/>
          <w:szCs w:val="20"/>
          <w:highlight w:val="none"/>
        </w:rPr>
      </w:pPr>
    </w:p>
    <w:p w14:paraId="33EE0D18">
      <w:pPr>
        <w:jc w:val="center"/>
        <w:rPr>
          <w:rFonts w:hint="eastAsia" w:ascii="宋体" w:hAnsi="宋体" w:cs="宋体"/>
          <w:sz w:val="44"/>
          <w:szCs w:val="44"/>
          <w:highlight w:val="none"/>
        </w:rPr>
      </w:pPr>
      <w:bookmarkStart w:id="1071" w:name="_Toc12681"/>
      <w:r>
        <w:rPr>
          <w:rFonts w:hint="eastAsia" w:ascii="宋体" w:hAnsi="宋体" w:cs="宋体"/>
          <w:sz w:val="44"/>
          <w:szCs w:val="44"/>
          <w:highlight w:val="none"/>
        </w:rPr>
        <w:t>投  标  文  件</w:t>
      </w:r>
      <w:bookmarkEnd w:id="1071"/>
    </w:p>
    <w:p w14:paraId="5F5A41D3">
      <w:pPr>
        <w:pStyle w:val="22"/>
        <w:rPr>
          <w:sz w:val="20"/>
          <w:highlight w:val="none"/>
        </w:rPr>
      </w:pPr>
    </w:p>
    <w:p w14:paraId="3E3436E0">
      <w:pPr>
        <w:pStyle w:val="22"/>
        <w:jc w:val="center"/>
        <w:rPr>
          <w:highlight w:val="none"/>
        </w:rPr>
      </w:pPr>
      <w:bookmarkStart w:id="1072" w:name="_Toc11704"/>
      <w:r>
        <w:rPr>
          <w:rFonts w:hint="eastAsia" w:hAnsi="宋体" w:cs="宋体"/>
          <w:sz w:val="44"/>
          <w:szCs w:val="44"/>
          <w:highlight w:val="none"/>
        </w:rPr>
        <w:t>工程总承包实施方案（含资格审查文件）</w:t>
      </w:r>
      <w:bookmarkEnd w:id="1072"/>
    </w:p>
    <w:p w14:paraId="626F09BD">
      <w:pPr>
        <w:rPr>
          <w:rFonts w:hint="eastAsia" w:ascii="宋体" w:hAnsi="宋体" w:cs="宋体"/>
          <w:sz w:val="28"/>
          <w:szCs w:val="28"/>
          <w:highlight w:val="none"/>
        </w:rPr>
      </w:pPr>
    </w:p>
    <w:p w14:paraId="6676DAF6">
      <w:pPr>
        <w:rPr>
          <w:rFonts w:hint="eastAsia" w:ascii="宋体" w:hAnsi="宋体" w:cs="宋体"/>
          <w:sz w:val="28"/>
          <w:szCs w:val="28"/>
          <w:highlight w:val="none"/>
        </w:rPr>
      </w:pPr>
    </w:p>
    <w:p w14:paraId="355CE84D">
      <w:pPr>
        <w:rPr>
          <w:rFonts w:hint="eastAsia" w:ascii="宋体" w:hAnsi="宋体" w:cs="宋体"/>
          <w:sz w:val="28"/>
          <w:szCs w:val="28"/>
          <w:highlight w:val="none"/>
        </w:rPr>
      </w:pPr>
    </w:p>
    <w:p w14:paraId="201FC189">
      <w:pPr>
        <w:rPr>
          <w:rFonts w:hint="eastAsia" w:ascii="宋体" w:hAnsi="宋体" w:cs="宋体"/>
          <w:sz w:val="28"/>
          <w:szCs w:val="28"/>
          <w:highlight w:val="none"/>
        </w:rPr>
      </w:pPr>
    </w:p>
    <w:p w14:paraId="3E4AE7FE">
      <w:pPr>
        <w:rPr>
          <w:rFonts w:hint="eastAsia" w:ascii="宋体" w:hAnsi="宋体" w:cs="宋体"/>
          <w:sz w:val="28"/>
          <w:szCs w:val="28"/>
          <w:highlight w:val="none"/>
        </w:rPr>
      </w:pPr>
    </w:p>
    <w:p w14:paraId="581F6BA2">
      <w:pPr>
        <w:rPr>
          <w:rFonts w:hint="eastAsia" w:ascii="宋体" w:hAnsi="宋体" w:cs="宋体"/>
          <w:sz w:val="28"/>
          <w:szCs w:val="28"/>
          <w:highlight w:val="none"/>
        </w:rPr>
      </w:pPr>
    </w:p>
    <w:p w14:paraId="12924A86">
      <w:pPr>
        <w:rPr>
          <w:rFonts w:hint="eastAsia" w:ascii="宋体" w:hAnsi="宋体" w:cs="宋体"/>
          <w:sz w:val="28"/>
          <w:szCs w:val="28"/>
          <w:highlight w:val="none"/>
        </w:rPr>
      </w:pPr>
    </w:p>
    <w:p w14:paraId="55BF5462">
      <w:pPr>
        <w:rPr>
          <w:rFonts w:hint="eastAsia" w:ascii="宋体" w:hAnsi="宋体" w:cs="宋体"/>
          <w:sz w:val="28"/>
          <w:szCs w:val="28"/>
          <w:highlight w:val="none"/>
        </w:rPr>
      </w:pPr>
    </w:p>
    <w:p w14:paraId="1D7CD19E">
      <w:pPr>
        <w:rPr>
          <w:rFonts w:hint="eastAsia" w:ascii="宋体" w:hAnsi="宋体" w:cs="宋体"/>
          <w:sz w:val="28"/>
          <w:szCs w:val="28"/>
          <w:highlight w:val="none"/>
        </w:rPr>
      </w:pPr>
    </w:p>
    <w:p w14:paraId="1C2FA354">
      <w:pPr>
        <w:rPr>
          <w:rFonts w:hint="eastAsia" w:ascii="宋体" w:hAnsi="宋体" w:cs="宋体"/>
          <w:sz w:val="28"/>
          <w:szCs w:val="28"/>
          <w:highlight w:val="none"/>
        </w:rPr>
      </w:pPr>
    </w:p>
    <w:p w14:paraId="46284ED9">
      <w:pPr>
        <w:jc w:val="center"/>
        <w:rPr>
          <w:rFonts w:hint="eastAsia" w:ascii="宋体" w:hAnsi="宋体" w:cs="宋体"/>
          <w:sz w:val="28"/>
          <w:szCs w:val="28"/>
          <w:highlight w:val="none"/>
          <w:u w:val="single"/>
        </w:rPr>
      </w:pPr>
      <w:bookmarkStart w:id="1073" w:name="_Toc2426"/>
      <w:r>
        <w:rPr>
          <w:rFonts w:hint="eastAsia" w:ascii="宋体" w:hAnsi="宋体" w:cs="宋体"/>
          <w:sz w:val="28"/>
          <w:szCs w:val="28"/>
          <w:highlight w:val="none"/>
        </w:rPr>
        <w:t>投标人：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（盖单位章）</w:t>
      </w:r>
      <w:bookmarkEnd w:id="1073"/>
    </w:p>
    <w:p w14:paraId="29673E24">
      <w:pPr>
        <w:jc w:val="center"/>
        <w:rPr>
          <w:rFonts w:hint="eastAsia" w:ascii="宋体" w:hAnsi="宋体" w:cs="宋体"/>
          <w:sz w:val="28"/>
          <w:szCs w:val="28"/>
          <w:highlight w:val="none"/>
        </w:rPr>
      </w:pPr>
      <w:bookmarkStart w:id="1074" w:name="_Toc17717"/>
      <w:r>
        <w:rPr>
          <w:rFonts w:hint="eastAsia" w:ascii="宋体" w:hAnsi="宋体" w:cs="宋体"/>
          <w:sz w:val="28"/>
          <w:szCs w:val="28"/>
          <w:highlight w:val="none"/>
        </w:rPr>
        <w:t>法定代表人或其委托代理人：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（签字或盖章）</w:t>
      </w:r>
      <w:bookmarkEnd w:id="1074"/>
    </w:p>
    <w:p w14:paraId="630B2BF5">
      <w:pPr>
        <w:jc w:val="center"/>
        <w:rPr>
          <w:rFonts w:hint="eastAsia" w:ascii="宋体" w:hAnsi="宋体" w:cs="宋体"/>
          <w:sz w:val="28"/>
          <w:szCs w:val="28"/>
          <w:highlight w:val="none"/>
        </w:rPr>
      </w:pPr>
      <w:r>
        <w:rPr>
          <w:rFonts w:hint="eastAsia" w:ascii="宋体" w:hAnsi="宋体" w:cs="宋体"/>
          <w:sz w:val="28"/>
          <w:szCs w:val="28"/>
          <w:highlight w:val="none"/>
          <w:u w:val="single"/>
        </w:rPr>
        <w:t xml:space="preserve">        </w:t>
      </w:r>
      <w:bookmarkStart w:id="1075" w:name="_Toc9517"/>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bookmarkEnd w:id="1075"/>
    </w:p>
    <w:p w14:paraId="0AC80394">
      <w:pPr>
        <w:pStyle w:val="22"/>
        <w:rPr>
          <w:sz w:val="20"/>
          <w:highlight w:val="none"/>
        </w:rPr>
      </w:pPr>
    </w:p>
    <w:p w14:paraId="0D8280AF">
      <w:pPr>
        <w:pStyle w:val="40"/>
        <w:rPr>
          <w:rFonts w:hint="eastAsia" w:ascii="宋体" w:hAnsi="宋体" w:cs="宋体"/>
          <w:highlight w:val="none"/>
        </w:rPr>
      </w:pPr>
      <w:bookmarkStart w:id="1076" w:name="_Toc11969"/>
      <w:bookmarkStart w:id="1077" w:name="_Toc10851"/>
      <w:bookmarkStart w:id="1078" w:name="_Toc479091923"/>
      <w:bookmarkStart w:id="1079" w:name="_Toc503539196"/>
      <w:bookmarkStart w:id="1080" w:name="_Toc533330246"/>
      <w:bookmarkStart w:id="1081" w:name="_Toc22588"/>
      <w:bookmarkStart w:id="1082" w:name="_Toc533330557"/>
    </w:p>
    <w:p w14:paraId="130DE04A">
      <w:pPr>
        <w:rPr>
          <w:rFonts w:hint="eastAsia" w:ascii="宋体" w:hAnsi="宋体" w:cs="宋体"/>
          <w:highlight w:val="none"/>
        </w:rPr>
      </w:pPr>
      <w:r>
        <w:rPr>
          <w:rFonts w:hint="eastAsia" w:ascii="宋体" w:hAnsi="宋体" w:cs="宋体"/>
          <w:highlight w:val="none"/>
        </w:rPr>
        <w:br w:type="page"/>
      </w:r>
    </w:p>
    <w:p w14:paraId="3920BC9F">
      <w:pPr>
        <w:widowControl/>
        <w:jc w:val="center"/>
        <w:rPr>
          <w:rFonts w:hint="eastAsia" w:ascii="宋体" w:hAnsi="宋体" w:cs="宋体"/>
          <w:b/>
          <w:sz w:val="24"/>
          <w:highlight w:val="none"/>
        </w:rPr>
      </w:pPr>
      <w:r>
        <w:rPr>
          <w:rFonts w:hint="eastAsia" w:ascii="宋体" w:hAnsi="宋体" w:cs="宋体"/>
          <w:b/>
          <w:sz w:val="32"/>
          <w:szCs w:val="32"/>
          <w:highlight w:val="none"/>
        </w:rPr>
        <w:t>目  录</w:t>
      </w:r>
    </w:p>
    <w:p w14:paraId="10B07785">
      <w:pPr>
        <w:widowControl/>
        <w:rPr>
          <w:rFonts w:hint="eastAsia" w:ascii="宋体" w:hAnsi="宋体" w:cs="宋体"/>
          <w:b/>
          <w:sz w:val="24"/>
          <w:highlight w:val="none"/>
        </w:rPr>
      </w:pPr>
    </w:p>
    <w:p w14:paraId="6069A20F">
      <w:pPr>
        <w:widowControl/>
        <w:rPr>
          <w:rFonts w:hint="eastAsia" w:ascii="宋体" w:hAnsi="宋体" w:cs="宋体"/>
          <w:b/>
          <w:sz w:val="24"/>
          <w:highlight w:val="none"/>
        </w:rPr>
      </w:pPr>
    </w:p>
    <w:p w14:paraId="2854DCED">
      <w:pPr>
        <w:widowControl/>
        <w:rPr>
          <w:rFonts w:hint="eastAsia" w:ascii="宋体" w:hAnsi="宋体" w:cs="宋体"/>
          <w:b/>
          <w:sz w:val="24"/>
          <w:highlight w:val="none"/>
        </w:rPr>
      </w:pPr>
      <w:r>
        <w:rPr>
          <w:rFonts w:hint="eastAsia" w:ascii="宋体" w:hAnsi="宋体" w:cs="宋体"/>
          <w:b/>
          <w:sz w:val="24"/>
          <w:highlight w:val="none"/>
        </w:rPr>
        <w:t>注：由投标人按要求自行编制目录。</w:t>
      </w:r>
    </w:p>
    <w:p w14:paraId="51E80EED">
      <w:pPr>
        <w:pStyle w:val="22"/>
        <w:rPr>
          <w:rFonts w:hint="eastAsia" w:hAnsi="宋体" w:cs="宋体"/>
          <w:b/>
          <w:sz w:val="24"/>
          <w:highlight w:val="none"/>
        </w:rPr>
      </w:pPr>
    </w:p>
    <w:p w14:paraId="25E8DEC5">
      <w:pPr>
        <w:pStyle w:val="22"/>
        <w:rPr>
          <w:rFonts w:hint="eastAsia" w:hAnsi="宋体" w:cs="宋体"/>
          <w:b/>
          <w:sz w:val="24"/>
          <w:highlight w:val="none"/>
        </w:rPr>
      </w:pPr>
    </w:p>
    <w:p w14:paraId="79EBA15E">
      <w:pPr>
        <w:pStyle w:val="40"/>
        <w:rPr>
          <w:rFonts w:hint="eastAsia" w:ascii="宋体" w:hAnsi="宋体" w:cs="宋体"/>
          <w:highlight w:val="none"/>
        </w:rPr>
      </w:pPr>
    </w:p>
    <w:p w14:paraId="13A5D311">
      <w:pPr>
        <w:spacing w:line="360" w:lineRule="auto"/>
        <w:jc w:val="left"/>
        <w:rPr>
          <w:rFonts w:hint="eastAsia" w:ascii="宋体" w:hAnsi="宋体" w:cs="宋体"/>
          <w:highlight w:val="none"/>
        </w:rPr>
      </w:pPr>
      <w:r>
        <w:rPr>
          <w:rFonts w:ascii="宋体" w:hAnsi="宋体" w:cs="宋体"/>
          <w:highlight w:val="none"/>
        </w:rPr>
        <w:br w:type="page"/>
      </w:r>
      <w:bookmarkEnd w:id="1076"/>
      <w:bookmarkEnd w:id="1077"/>
      <w:bookmarkStart w:id="1083" w:name="_Toc21967"/>
      <w:bookmarkStart w:id="1084" w:name="_Toc24609"/>
      <w:r>
        <w:rPr>
          <w:rFonts w:hint="eastAsia" w:ascii="宋体" w:hAnsi="宋体" w:cs="宋体"/>
          <w:b/>
          <w:sz w:val="28"/>
          <w:highlight w:val="none"/>
        </w:rPr>
        <w:t>格式1：</w:t>
      </w:r>
    </w:p>
    <w:p w14:paraId="3A1F7C23">
      <w:pPr>
        <w:autoSpaceDE w:val="0"/>
        <w:autoSpaceDN w:val="0"/>
        <w:adjustRightInd w:val="0"/>
        <w:spacing w:line="360" w:lineRule="auto"/>
        <w:jc w:val="center"/>
        <w:rPr>
          <w:rFonts w:hint="eastAsia" w:ascii="宋体" w:hAnsi="宋体" w:cs="宋体"/>
          <w:b/>
          <w:bCs/>
          <w:sz w:val="36"/>
          <w:szCs w:val="36"/>
          <w:highlight w:val="none"/>
          <w:lang w:val="zh-CN"/>
        </w:rPr>
      </w:pPr>
      <w:r>
        <w:rPr>
          <w:rFonts w:hint="eastAsia" w:ascii="宋体" w:hAnsi="宋体" w:cs="宋体"/>
          <w:b/>
          <w:bCs/>
          <w:sz w:val="36"/>
          <w:szCs w:val="36"/>
          <w:highlight w:val="none"/>
          <w:lang w:val="zh-CN"/>
        </w:rPr>
        <w:t>法人代表证明书、授权委托证明书</w:t>
      </w:r>
    </w:p>
    <w:p w14:paraId="43682114">
      <w:pPr>
        <w:spacing w:line="360" w:lineRule="auto"/>
        <w:jc w:val="center"/>
        <w:rPr>
          <w:rFonts w:hint="eastAsia" w:ascii="宋体" w:hAnsi="宋体" w:cs="宋体"/>
          <w:b/>
          <w:sz w:val="28"/>
          <w:szCs w:val="24"/>
          <w:highlight w:val="none"/>
        </w:rPr>
      </w:pPr>
      <w:r>
        <w:rPr>
          <w:rFonts w:hint="eastAsia" w:ascii="宋体" w:hAnsi="宋体" w:cs="宋体"/>
          <w:b/>
          <w:sz w:val="28"/>
          <w:highlight w:val="none"/>
        </w:rPr>
        <w:t>法定代表人（负责人）证明书</w:t>
      </w:r>
    </w:p>
    <w:p w14:paraId="4E041F72">
      <w:pPr>
        <w:spacing w:line="360" w:lineRule="auto"/>
        <w:jc w:val="right"/>
        <w:rPr>
          <w:rFonts w:hint="eastAsia" w:ascii="宋体" w:hAnsi="宋体" w:cs="宋体"/>
          <w:sz w:val="24"/>
          <w:highlight w:val="none"/>
        </w:rPr>
      </w:pPr>
      <w:r>
        <w:rPr>
          <w:rFonts w:hint="eastAsia" w:ascii="宋体" w:hAnsi="宋体" w:cs="宋体"/>
          <w:highlight w:val="none"/>
        </w:rPr>
        <w:t>（　 ）第　号</w:t>
      </w:r>
    </w:p>
    <w:tbl>
      <w:tblPr>
        <w:tblStyle w:val="4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5"/>
      </w:tblGrid>
      <w:tr w14:paraId="2604C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5" w:type="dxa"/>
            <w:tcBorders>
              <w:top w:val="single" w:color="auto" w:sz="4" w:space="0"/>
              <w:left w:val="single" w:color="auto" w:sz="4" w:space="0"/>
              <w:bottom w:val="single" w:color="auto" w:sz="4" w:space="0"/>
              <w:right w:val="single" w:color="auto" w:sz="4" w:space="0"/>
            </w:tcBorders>
          </w:tcPr>
          <w:p w14:paraId="033E9AC8">
            <w:pPr>
              <w:spacing w:line="360" w:lineRule="auto"/>
              <w:rPr>
                <w:rFonts w:hint="eastAsia" w:ascii="宋体" w:hAnsi="宋体" w:cs="宋体"/>
                <w:sz w:val="24"/>
                <w:szCs w:val="24"/>
                <w:highlight w:val="none"/>
                <w:u w:val="single"/>
              </w:rPr>
            </w:pPr>
          </w:p>
          <w:p w14:paraId="05D54CBC">
            <w:pPr>
              <w:spacing w:line="360" w:lineRule="auto"/>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rPr>
              <w:t>　　　　</w:t>
            </w:r>
            <w:r>
              <w:rPr>
                <w:rFonts w:hint="eastAsia" w:ascii="宋体" w:hAnsi="宋体" w:cs="宋体"/>
                <w:sz w:val="24"/>
                <w:highlight w:val="none"/>
              </w:rPr>
              <w:t>现任我单位</w:t>
            </w:r>
            <w:r>
              <w:rPr>
                <w:rFonts w:hint="eastAsia" w:ascii="宋体" w:hAnsi="宋体" w:cs="宋体"/>
                <w:sz w:val="24"/>
                <w:highlight w:val="none"/>
                <w:u w:val="single"/>
              </w:rPr>
              <w:t>　　　　　</w:t>
            </w:r>
            <w:r>
              <w:rPr>
                <w:rFonts w:hint="eastAsia" w:ascii="宋体" w:hAnsi="宋体" w:cs="宋体"/>
                <w:sz w:val="24"/>
                <w:highlight w:val="none"/>
              </w:rPr>
              <w:t>职务，为法定代表人（负责人），特此证明。</w:t>
            </w:r>
          </w:p>
          <w:p w14:paraId="44427D36">
            <w:pPr>
              <w:spacing w:line="360" w:lineRule="auto"/>
              <w:rPr>
                <w:rFonts w:hint="eastAsia" w:ascii="宋体" w:hAnsi="宋体" w:cs="宋体"/>
                <w:sz w:val="24"/>
                <w:highlight w:val="none"/>
                <w:u w:val="single"/>
              </w:rPr>
            </w:pPr>
            <w:r>
              <w:rPr>
                <w:rFonts w:hint="eastAsia" w:ascii="宋体" w:hAnsi="宋体" w:cs="宋体"/>
                <w:sz w:val="24"/>
                <w:highlight w:val="none"/>
              </w:rPr>
              <w:t>有效期限：</w:t>
            </w:r>
          </w:p>
          <w:p w14:paraId="4B163D85">
            <w:pPr>
              <w:spacing w:line="360" w:lineRule="auto"/>
              <w:rPr>
                <w:rFonts w:hint="eastAsia" w:ascii="宋体" w:hAnsi="宋体" w:cs="宋体"/>
                <w:sz w:val="24"/>
                <w:highlight w:val="none"/>
                <w:u w:val="single"/>
              </w:rPr>
            </w:pPr>
            <w:r>
              <w:rPr>
                <w:rFonts w:hint="eastAsia" w:ascii="宋体" w:hAnsi="宋体" w:cs="宋体"/>
                <w:sz w:val="24"/>
                <w:highlight w:val="none"/>
              </w:rPr>
              <w:t>附：法定代表人（负责人）性别：</w:t>
            </w:r>
            <w:r>
              <w:rPr>
                <w:rFonts w:hint="eastAsia" w:ascii="宋体" w:hAnsi="宋体" w:cs="宋体"/>
                <w:sz w:val="24"/>
                <w:highlight w:val="none"/>
                <w:u w:val="single"/>
              </w:rPr>
              <w:t>　　</w:t>
            </w:r>
            <w:r>
              <w:rPr>
                <w:rFonts w:hint="eastAsia" w:ascii="宋体" w:hAnsi="宋体" w:cs="宋体"/>
                <w:sz w:val="24"/>
                <w:highlight w:val="none"/>
              </w:rPr>
              <w:t>年龄：</w:t>
            </w:r>
            <w:r>
              <w:rPr>
                <w:rFonts w:hint="eastAsia" w:ascii="宋体" w:hAnsi="宋体" w:cs="宋体"/>
                <w:sz w:val="24"/>
                <w:highlight w:val="none"/>
                <w:u w:val="single"/>
              </w:rPr>
              <w:t>　　</w:t>
            </w:r>
            <w:r>
              <w:rPr>
                <w:rFonts w:hint="eastAsia" w:ascii="宋体" w:hAnsi="宋体" w:cs="宋体"/>
                <w:sz w:val="24"/>
                <w:highlight w:val="none"/>
              </w:rPr>
              <w:t>身份证号码：</w:t>
            </w:r>
          </w:p>
          <w:p w14:paraId="5D06B7F6">
            <w:pPr>
              <w:spacing w:line="360" w:lineRule="auto"/>
              <w:rPr>
                <w:rFonts w:hint="eastAsia" w:ascii="宋体" w:hAnsi="宋体" w:cs="宋体"/>
                <w:sz w:val="24"/>
                <w:highlight w:val="none"/>
                <w:u w:val="single"/>
              </w:rPr>
            </w:pPr>
            <w:r>
              <w:rPr>
                <w:rFonts w:hint="eastAsia" w:ascii="宋体" w:hAnsi="宋体" w:cs="宋体"/>
                <w:sz w:val="24"/>
                <w:highlight w:val="none"/>
              </w:rPr>
              <w:t>注册号码：</w:t>
            </w:r>
            <w:r>
              <w:rPr>
                <w:rFonts w:hint="eastAsia" w:ascii="宋体" w:hAnsi="宋体" w:cs="宋体"/>
                <w:sz w:val="24"/>
                <w:highlight w:val="none"/>
                <w:u w:val="single"/>
              </w:rPr>
              <w:t>　　　　　　　　　　</w:t>
            </w:r>
            <w:r>
              <w:rPr>
                <w:rFonts w:hint="eastAsia" w:ascii="宋体" w:hAnsi="宋体" w:cs="宋体"/>
                <w:sz w:val="24"/>
                <w:highlight w:val="none"/>
              </w:rPr>
              <w:t>企业类型：</w:t>
            </w:r>
          </w:p>
          <w:p w14:paraId="7C9794C9">
            <w:pPr>
              <w:spacing w:line="360" w:lineRule="auto"/>
              <w:rPr>
                <w:rFonts w:hint="eastAsia" w:ascii="宋体" w:hAnsi="宋体" w:cs="宋体"/>
                <w:sz w:val="24"/>
                <w:highlight w:val="none"/>
                <w:u w:val="single"/>
              </w:rPr>
            </w:pPr>
            <w:r>
              <w:rPr>
                <w:rFonts w:hint="eastAsia" w:ascii="宋体" w:hAnsi="宋体" w:cs="宋体"/>
                <w:sz w:val="24"/>
                <w:highlight w:val="none"/>
              </w:rPr>
              <w:t>经营范围：</w:t>
            </w:r>
          </w:p>
          <w:p w14:paraId="5785E72C">
            <w:pPr>
              <w:spacing w:line="360" w:lineRule="auto"/>
              <w:rPr>
                <w:rFonts w:hint="eastAsia" w:ascii="宋体" w:hAnsi="宋体" w:cs="宋体"/>
                <w:sz w:val="24"/>
                <w:highlight w:val="none"/>
              </w:rPr>
            </w:pPr>
            <w:r>
              <w:rPr>
                <w:rFonts w:hint="eastAsia" w:ascii="宋体" w:hAnsi="宋体" w:cs="宋体"/>
                <w:sz w:val="24"/>
                <w:highlight w:val="none"/>
                <w:u w:val="single"/>
              </w:rPr>
              <w:t>　　　　　　　　　　　　　　　　</w:t>
            </w:r>
            <w:r>
              <w:rPr>
                <w:rFonts w:hint="eastAsia" w:ascii="宋体" w:hAnsi="宋体" w:cs="宋体"/>
                <w:sz w:val="24"/>
                <w:highlight w:val="none"/>
              </w:rPr>
              <w:t>单位：　　　　　　（盖章）</w:t>
            </w:r>
          </w:p>
          <w:p w14:paraId="63CABF28">
            <w:pPr>
              <w:spacing w:line="360" w:lineRule="auto"/>
              <w:rPr>
                <w:rFonts w:hint="eastAsia" w:ascii="宋体" w:hAnsi="宋体" w:cs="宋体"/>
                <w:sz w:val="24"/>
                <w:szCs w:val="24"/>
                <w:highlight w:val="none"/>
                <w:u w:val="single"/>
              </w:rPr>
            </w:pPr>
            <w:r>
              <w:rPr>
                <w:rFonts w:hint="eastAsia" w:ascii="宋体" w:hAnsi="宋体" w:cs="宋体"/>
                <w:sz w:val="24"/>
                <w:highlight w:val="none"/>
                <w:u w:val="single"/>
              </w:rPr>
              <w:t>　　　　　　　　　　　　　　　　</w:t>
            </w:r>
            <w:r>
              <w:rPr>
                <w:rFonts w:hint="eastAsia" w:ascii="宋体" w:hAnsi="宋体" w:cs="宋体"/>
                <w:sz w:val="24"/>
                <w:highlight w:val="none"/>
              </w:rPr>
              <w:t>　　　　　    年　月　　日</w:t>
            </w:r>
          </w:p>
        </w:tc>
      </w:tr>
    </w:tbl>
    <w:p w14:paraId="4ADCCEC0">
      <w:pPr>
        <w:spacing w:line="360" w:lineRule="auto"/>
        <w:rPr>
          <w:rFonts w:hint="eastAsia" w:ascii="宋体" w:hAnsi="宋体" w:cs="宋体"/>
          <w:sz w:val="24"/>
          <w:highlight w:val="none"/>
        </w:rPr>
      </w:pPr>
      <w:r>
        <w:rPr>
          <w:rFonts w:hint="eastAsia" w:ascii="宋体" w:hAnsi="宋体" w:cs="宋体"/>
          <w:sz w:val="24"/>
          <w:highlight w:val="none"/>
        </w:rPr>
        <w:t>注：</w:t>
      </w:r>
      <w:r>
        <w:rPr>
          <w:rFonts w:hint="eastAsia" w:ascii="宋体" w:hAnsi="宋体" w:cs="宋体"/>
          <w:szCs w:val="21"/>
          <w:highlight w:val="none"/>
        </w:rPr>
        <w:t>1、法定代表人证明书也可以采用工商行政管理局统一印制的格式。</w:t>
      </w:r>
    </w:p>
    <w:p w14:paraId="1F2CF737">
      <w:pPr>
        <w:ind w:firstLine="420" w:firstLineChars="200"/>
        <w:rPr>
          <w:rFonts w:hint="eastAsia" w:ascii="宋体" w:hAnsi="宋体" w:cs="宋体"/>
          <w:szCs w:val="21"/>
          <w:highlight w:val="none"/>
        </w:rPr>
      </w:pPr>
      <w:r>
        <w:rPr>
          <w:rFonts w:hint="eastAsia" w:ascii="宋体" w:hAnsi="宋体" w:cs="宋体"/>
          <w:szCs w:val="21"/>
          <w:highlight w:val="none"/>
        </w:rPr>
        <w:t>2、联合体投标的，本授权书由主办方出具，仅填写主办方单位名称并由主办方签字或盖章即可。</w:t>
      </w:r>
    </w:p>
    <w:p w14:paraId="4394FFE4">
      <w:pPr>
        <w:spacing w:line="360" w:lineRule="auto"/>
        <w:rPr>
          <w:rFonts w:hint="eastAsia" w:ascii="宋体" w:hAnsi="宋体" w:cs="宋体"/>
          <w:sz w:val="24"/>
          <w:szCs w:val="24"/>
          <w:highlight w:val="none"/>
        </w:rPr>
      </w:pPr>
    </w:p>
    <w:p w14:paraId="6B33D234">
      <w:pPr>
        <w:spacing w:line="360" w:lineRule="auto"/>
        <w:jc w:val="center"/>
        <w:rPr>
          <w:rFonts w:hint="eastAsia" w:ascii="宋体" w:hAnsi="宋体" w:cs="宋体"/>
          <w:b/>
          <w:sz w:val="28"/>
          <w:highlight w:val="none"/>
        </w:rPr>
      </w:pPr>
      <w:r>
        <w:rPr>
          <w:rFonts w:hint="eastAsia" w:ascii="宋体" w:hAnsi="宋体" w:cs="宋体"/>
          <w:b/>
          <w:sz w:val="28"/>
          <w:highlight w:val="none"/>
        </w:rPr>
        <w:t>法定代表人授权委托书</w:t>
      </w:r>
    </w:p>
    <w:p w14:paraId="4DC0ADAF">
      <w:pPr>
        <w:spacing w:line="360" w:lineRule="auto"/>
        <w:jc w:val="right"/>
        <w:rPr>
          <w:rFonts w:hint="eastAsia" w:ascii="宋体" w:hAnsi="宋体" w:cs="宋体"/>
          <w:sz w:val="24"/>
          <w:highlight w:val="none"/>
        </w:rPr>
      </w:pPr>
      <w:r>
        <w:rPr>
          <w:rFonts w:hint="eastAsia" w:ascii="宋体" w:hAnsi="宋体" w:cs="宋体"/>
          <w:highlight w:val="none"/>
        </w:rPr>
        <w:t>（　 ）第　号</w:t>
      </w:r>
    </w:p>
    <w:tbl>
      <w:tblPr>
        <w:tblStyle w:val="4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14:paraId="028DF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43" w:type="dxa"/>
            <w:tcBorders>
              <w:top w:val="single" w:color="auto" w:sz="4" w:space="0"/>
              <w:left w:val="single" w:color="auto" w:sz="4" w:space="0"/>
              <w:bottom w:val="single" w:color="auto" w:sz="4" w:space="0"/>
              <w:right w:val="single" w:color="auto" w:sz="4" w:space="0"/>
            </w:tcBorders>
          </w:tcPr>
          <w:p w14:paraId="1E99ED29">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highlight w:val="none"/>
              </w:rPr>
              <w:t>兹授权为我方委托代理人，其权限是：</w:t>
            </w:r>
          </w:p>
          <w:p w14:paraId="12044455">
            <w:pPr>
              <w:spacing w:line="360" w:lineRule="auto"/>
              <w:rPr>
                <w:rFonts w:hint="eastAsia" w:ascii="宋体" w:hAnsi="宋体" w:cs="宋体"/>
                <w:sz w:val="24"/>
                <w:highlight w:val="none"/>
                <w:u w:val="single"/>
              </w:rPr>
            </w:pPr>
            <w:r>
              <w:rPr>
                <w:rFonts w:hint="eastAsia" w:ascii="宋体" w:hAnsi="宋体" w:cs="宋体"/>
                <w:sz w:val="24"/>
                <w:highlight w:val="none"/>
              </w:rPr>
              <w:t>有效期限：</w:t>
            </w:r>
          </w:p>
          <w:p w14:paraId="04CF91D9">
            <w:pPr>
              <w:spacing w:line="360" w:lineRule="auto"/>
              <w:rPr>
                <w:rFonts w:hint="eastAsia" w:ascii="宋体" w:hAnsi="宋体" w:cs="宋体"/>
                <w:sz w:val="24"/>
                <w:highlight w:val="none"/>
              </w:rPr>
            </w:pPr>
            <w:r>
              <w:rPr>
                <w:rFonts w:hint="eastAsia" w:ascii="宋体" w:hAnsi="宋体" w:cs="宋体"/>
                <w:sz w:val="24"/>
                <w:highlight w:val="none"/>
              </w:rPr>
              <w:t>附：代理人性别：年龄：身份证号码：</w:t>
            </w:r>
          </w:p>
          <w:p w14:paraId="24B37E74">
            <w:pPr>
              <w:spacing w:line="360" w:lineRule="auto"/>
              <w:rPr>
                <w:rFonts w:hint="eastAsia" w:ascii="宋体" w:hAnsi="宋体" w:cs="宋体"/>
                <w:sz w:val="24"/>
                <w:highlight w:val="none"/>
                <w:u w:val="single"/>
              </w:rPr>
            </w:pPr>
            <w:r>
              <w:rPr>
                <w:rFonts w:hint="eastAsia" w:ascii="宋体" w:hAnsi="宋体" w:cs="宋体"/>
                <w:sz w:val="24"/>
                <w:highlight w:val="none"/>
              </w:rPr>
              <w:t>注册号码：企业类型：</w:t>
            </w:r>
          </w:p>
          <w:p w14:paraId="17DA3430">
            <w:pPr>
              <w:spacing w:line="360" w:lineRule="auto"/>
              <w:rPr>
                <w:rFonts w:hint="eastAsia" w:ascii="宋体" w:hAnsi="宋体" w:cs="宋体"/>
                <w:sz w:val="24"/>
                <w:highlight w:val="none"/>
                <w:u w:val="single"/>
              </w:rPr>
            </w:pPr>
            <w:r>
              <w:rPr>
                <w:rFonts w:hint="eastAsia" w:ascii="宋体" w:hAnsi="宋体" w:cs="宋体"/>
                <w:sz w:val="24"/>
                <w:highlight w:val="none"/>
              </w:rPr>
              <w:t>经营范围：</w:t>
            </w:r>
          </w:p>
          <w:p w14:paraId="3932B62A">
            <w:pPr>
              <w:spacing w:line="360" w:lineRule="auto"/>
              <w:rPr>
                <w:rFonts w:hint="eastAsia" w:ascii="宋体" w:hAnsi="宋体" w:cs="宋体"/>
                <w:sz w:val="24"/>
                <w:highlight w:val="none"/>
              </w:rPr>
            </w:pPr>
            <w:r>
              <w:rPr>
                <w:rFonts w:hint="eastAsia" w:ascii="宋体" w:hAnsi="宋体" w:cs="宋体"/>
                <w:sz w:val="24"/>
                <w:highlight w:val="none"/>
              </w:rPr>
              <w:t>法定代表人（负责人）：（签名或盖章）</w:t>
            </w:r>
          </w:p>
          <w:p w14:paraId="02C4B04B">
            <w:pPr>
              <w:spacing w:line="360" w:lineRule="auto"/>
              <w:rPr>
                <w:rFonts w:hint="eastAsia" w:ascii="宋体" w:hAnsi="宋体" w:cs="宋体"/>
                <w:sz w:val="24"/>
                <w:highlight w:val="none"/>
              </w:rPr>
            </w:pPr>
            <w:r>
              <w:rPr>
                <w:rFonts w:hint="eastAsia" w:ascii="宋体" w:hAnsi="宋体" w:cs="宋体"/>
                <w:sz w:val="24"/>
                <w:highlight w:val="none"/>
              </w:rPr>
              <w:t>授权单位：（盖章）</w:t>
            </w:r>
          </w:p>
          <w:p w14:paraId="2865E0B5">
            <w:pPr>
              <w:spacing w:line="360" w:lineRule="auto"/>
              <w:rPr>
                <w:rFonts w:hint="eastAsia" w:ascii="宋体" w:hAnsi="宋体" w:cs="宋体"/>
                <w:sz w:val="24"/>
                <w:szCs w:val="24"/>
                <w:highlight w:val="none"/>
              </w:rPr>
            </w:pPr>
            <w:r>
              <w:rPr>
                <w:rFonts w:hint="eastAsia" w:ascii="宋体" w:hAnsi="宋体" w:cs="宋体"/>
                <w:sz w:val="24"/>
                <w:highlight w:val="none"/>
              </w:rPr>
              <w:t>年  月   日</w:t>
            </w:r>
          </w:p>
        </w:tc>
      </w:tr>
    </w:tbl>
    <w:p w14:paraId="35431BEC">
      <w:pPr>
        <w:spacing w:line="360" w:lineRule="auto"/>
        <w:rPr>
          <w:rFonts w:hint="eastAsia" w:ascii="宋体" w:hAnsi="宋体" w:cs="宋体"/>
          <w:szCs w:val="21"/>
          <w:highlight w:val="none"/>
        </w:rPr>
      </w:pPr>
      <w:r>
        <w:rPr>
          <w:rFonts w:hint="eastAsia" w:ascii="宋体" w:hAnsi="宋体" w:cs="宋体"/>
          <w:szCs w:val="21"/>
          <w:highlight w:val="none"/>
        </w:rPr>
        <w:t>注：1、法定代表人授权委托书也可以采用工商行政管理局统一印制的格式。</w:t>
      </w:r>
    </w:p>
    <w:p w14:paraId="1077344C">
      <w:pPr>
        <w:ind w:firstLine="420"/>
        <w:rPr>
          <w:rFonts w:hint="eastAsia" w:ascii="宋体" w:hAnsi="宋体" w:cs="宋体"/>
          <w:szCs w:val="21"/>
          <w:highlight w:val="none"/>
        </w:rPr>
      </w:pPr>
      <w:r>
        <w:rPr>
          <w:rFonts w:hint="eastAsia" w:ascii="宋体" w:hAnsi="宋体" w:cs="宋体"/>
          <w:szCs w:val="21"/>
          <w:highlight w:val="none"/>
        </w:rPr>
        <w:t>2、联合体投标的，本授权书由主办方出具，仅填写主办方单位名称并由主办方签字或盖章即可。</w:t>
      </w:r>
    </w:p>
    <w:p w14:paraId="54921E36">
      <w:pPr>
        <w:pStyle w:val="40"/>
        <w:ind w:left="0" w:leftChars="0" w:firstLine="0" w:firstLineChars="0"/>
        <w:jc w:val="left"/>
        <w:rPr>
          <w:highlight w:val="none"/>
        </w:rPr>
      </w:pPr>
      <w:r>
        <w:rPr>
          <w:highlight w:val="none"/>
        </w:rPr>
        <w:br w:type="page"/>
      </w:r>
      <w:r>
        <w:rPr>
          <w:rFonts w:hint="eastAsia" w:ascii="宋体" w:hAnsi="宋体" w:cs="宋体"/>
          <w:b/>
          <w:sz w:val="28"/>
          <w:highlight w:val="none"/>
        </w:rPr>
        <w:t>格式2：</w:t>
      </w:r>
    </w:p>
    <w:p w14:paraId="42315AEB">
      <w:pPr>
        <w:pStyle w:val="40"/>
        <w:ind w:left="0" w:leftChars="0" w:firstLine="0" w:firstLineChars="0"/>
        <w:jc w:val="center"/>
        <w:rPr>
          <w:rFonts w:hint="eastAsia" w:ascii="宋体" w:hAnsi="宋体" w:cs="宋体"/>
          <w:b/>
          <w:bCs/>
          <w:sz w:val="44"/>
          <w:szCs w:val="44"/>
          <w:highlight w:val="none"/>
          <w:lang w:val="zh-CN"/>
        </w:rPr>
      </w:pPr>
      <w:r>
        <w:rPr>
          <w:rFonts w:hint="eastAsia" w:ascii="宋体" w:hAnsi="宋体" w:cs="宋体"/>
          <w:b/>
          <w:bCs/>
          <w:sz w:val="36"/>
          <w:szCs w:val="32"/>
          <w:highlight w:val="none"/>
          <w:lang w:val="zh-CN"/>
        </w:rPr>
        <w:t>投标函</w:t>
      </w:r>
    </w:p>
    <w:p w14:paraId="12B0DDA0">
      <w:pPr>
        <w:widowControl/>
        <w:adjustRightInd w:val="0"/>
        <w:snapToGrid w:val="0"/>
        <w:spacing w:line="312" w:lineRule="auto"/>
        <w:ind w:right="102"/>
        <w:jc w:val="left"/>
        <w:rPr>
          <w:rFonts w:hint="eastAsia" w:ascii="宋体" w:hAnsi="宋体" w:cs="宋体"/>
          <w:szCs w:val="21"/>
          <w:highlight w:val="none"/>
        </w:rPr>
      </w:pPr>
      <w:r>
        <w:rPr>
          <w:rFonts w:hint="eastAsia" w:ascii="宋体" w:hAnsi="宋体" w:cs="宋体"/>
          <w:szCs w:val="21"/>
          <w:highlight w:val="none"/>
          <w:lang w:val="zh-CN"/>
        </w:rPr>
        <w:t>致：</w:t>
      </w:r>
      <w:r>
        <w:rPr>
          <w:rFonts w:hint="eastAsia" w:ascii="宋体" w:hAnsi="宋体" w:cs="宋体"/>
          <w:szCs w:val="21"/>
          <w:highlight w:val="none"/>
          <w:u w:val="single"/>
        </w:rPr>
        <w:t xml:space="preserve">                        </w:t>
      </w:r>
      <w:r>
        <w:rPr>
          <w:rFonts w:hint="eastAsia" w:ascii="宋体" w:hAnsi="宋体" w:cs="宋体"/>
          <w:szCs w:val="21"/>
          <w:highlight w:val="none"/>
        </w:rPr>
        <w:t>（招标人名称）</w:t>
      </w:r>
    </w:p>
    <w:p w14:paraId="616B2D5F">
      <w:pPr>
        <w:pStyle w:val="22"/>
        <w:adjustRightInd w:val="0"/>
        <w:snapToGrid w:val="0"/>
        <w:spacing w:line="312" w:lineRule="auto"/>
        <w:ind w:firstLine="420"/>
        <w:rPr>
          <w:rFonts w:hint="eastAsia" w:hAnsi="宋体" w:cs="宋体"/>
          <w:szCs w:val="21"/>
          <w:highlight w:val="none"/>
        </w:rPr>
      </w:pPr>
      <w:r>
        <w:rPr>
          <w:rFonts w:hint="eastAsia" w:hAnsi="宋体" w:cs="宋体"/>
          <w:szCs w:val="21"/>
          <w:highlight w:val="none"/>
        </w:rPr>
        <w:t>我方确认收到贵方提供的</w:t>
      </w:r>
      <w:r>
        <w:rPr>
          <w:rFonts w:hint="eastAsia" w:hAnsi="宋体" w:cs="宋体"/>
          <w:szCs w:val="21"/>
          <w:highlight w:val="none"/>
          <w:u w:val="single"/>
        </w:rPr>
        <w:t xml:space="preserve">       （项目名称）</w:t>
      </w:r>
      <w:r>
        <w:rPr>
          <w:rFonts w:hint="eastAsia" w:hAnsi="宋体" w:cs="宋体"/>
          <w:szCs w:val="21"/>
          <w:highlight w:val="none"/>
        </w:rPr>
        <w:t>招标文件的全部内容，我方：</w:t>
      </w:r>
      <w:r>
        <w:rPr>
          <w:rFonts w:hint="eastAsia" w:hAnsi="宋体" w:cs="宋体"/>
          <w:szCs w:val="21"/>
          <w:highlight w:val="none"/>
          <w:u w:val="single"/>
        </w:rPr>
        <w:t xml:space="preserve">        （投标人名称）</w:t>
      </w:r>
      <w:r>
        <w:rPr>
          <w:rFonts w:hint="eastAsia" w:hAnsi="宋体" w:cs="宋体"/>
          <w:szCs w:val="21"/>
          <w:highlight w:val="none"/>
        </w:rPr>
        <w:t>已理解招标文件的全部内容，我方作为投标人正式授权</w:t>
      </w:r>
      <w:r>
        <w:rPr>
          <w:rFonts w:hint="eastAsia" w:hAnsi="宋体" w:cs="宋体"/>
          <w:szCs w:val="21"/>
          <w:highlight w:val="none"/>
          <w:u w:val="single"/>
        </w:rPr>
        <w:t xml:space="preserve">        （授权代表全名， 职务</w:t>
      </w:r>
      <w:r>
        <w:rPr>
          <w:rFonts w:hint="eastAsia" w:hAnsi="宋体" w:cs="宋体"/>
          <w:szCs w:val="21"/>
          <w:highlight w:val="none"/>
        </w:rPr>
        <w:t>）代表我方进行有关本次投标活动的一切事宜，考虑本企业自身的实力及特点，做出如下承诺：</w:t>
      </w:r>
    </w:p>
    <w:p w14:paraId="7795EDF3">
      <w:pPr>
        <w:widowControl/>
        <w:adjustRightInd w:val="0"/>
        <w:snapToGrid w:val="0"/>
        <w:spacing w:line="312" w:lineRule="auto"/>
        <w:ind w:right="102" w:firstLine="420"/>
        <w:jc w:val="left"/>
        <w:rPr>
          <w:rFonts w:hint="eastAsia" w:ascii="宋体" w:hAnsi="宋体" w:cs="宋体"/>
          <w:szCs w:val="21"/>
          <w:highlight w:val="none"/>
        </w:rPr>
      </w:pPr>
      <w:r>
        <w:rPr>
          <w:rFonts w:hint="eastAsia" w:ascii="宋体" w:hAnsi="宋体" w:cs="宋体"/>
          <w:szCs w:val="21"/>
          <w:highlight w:val="none"/>
          <w:lang w:val="zh-CN"/>
        </w:rPr>
        <w:t>1、我方已详细研究了本项目招标文件的所有内容包括修正文（如果有）和所有已提供的参考资料以及合同条款和有关附件，并完全明白， 我方放弃在此方面提出含糊意见或误解的一切权力。</w:t>
      </w:r>
    </w:p>
    <w:p w14:paraId="3D243ABF">
      <w:pPr>
        <w:widowControl/>
        <w:adjustRightInd w:val="0"/>
        <w:snapToGrid w:val="0"/>
        <w:spacing w:line="312" w:lineRule="auto"/>
        <w:ind w:right="102" w:firstLine="420"/>
        <w:jc w:val="left"/>
        <w:rPr>
          <w:rFonts w:hint="eastAsia" w:ascii="宋体" w:hAnsi="宋体" w:cs="宋体"/>
          <w:szCs w:val="21"/>
          <w:highlight w:val="none"/>
        </w:rPr>
      </w:pPr>
      <w:r>
        <w:rPr>
          <w:rFonts w:hint="eastAsia" w:ascii="宋体" w:hAnsi="宋体" w:cs="宋体"/>
          <w:szCs w:val="21"/>
          <w:highlight w:val="none"/>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14:paraId="39DE4405">
      <w:pPr>
        <w:widowControl/>
        <w:adjustRightInd w:val="0"/>
        <w:snapToGrid w:val="0"/>
        <w:spacing w:line="312" w:lineRule="auto"/>
        <w:ind w:right="102" w:firstLine="420"/>
        <w:jc w:val="left"/>
        <w:rPr>
          <w:rFonts w:hint="eastAsia" w:ascii="宋体" w:hAnsi="宋体" w:cs="宋体"/>
          <w:szCs w:val="21"/>
          <w:highlight w:val="none"/>
        </w:rPr>
      </w:pPr>
      <w:r>
        <w:rPr>
          <w:rFonts w:hint="eastAsia" w:ascii="宋体" w:hAnsi="宋体" w:cs="宋体"/>
          <w:szCs w:val="21"/>
          <w:highlight w:val="none"/>
          <w:lang w:val="zh-CN"/>
        </w:rPr>
        <w:t>3、我方同意按照贵方可能提出的要求，提供与我方投标有关的任何其它数据或信息。</w:t>
      </w:r>
    </w:p>
    <w:p w14:paraId="57C78974">
      <w:pPr>
        <w:widowControl/>
        <w:adjustRightInd w:val="0"/>
        <w:snapToGrid w:val="0"/>
        <w:spacing w:line="312" w:lineRule="auto"/>
        <w:ind w:right="102" w:firstLine="420"/>
        <w:jc w:val="left"/>
        <w:rPr>
          <w:rFonts w:hint="eastAsia" w:ascii="宋体" w:hAnsi="宋体" w:cs="宋体"/>
          <w:szCs w:val="21"/>
          <w:highlight w:val="none"/>
        </w:rPr>
      </w:pPr>
      <w:r>
        <w:rPr>
          <w:rFonts w:hint="eastAsia" w:ascii="宋体" w:hAnsi="宋体" w:cs="宋体"/>
          <w:szCs w:val="21"/>
          <w:highlight w:val="none"/>
          <w:lang w:val="zh-CN"/>
        </w:rPr>
        <w:t>4、本投标文件的有效期</w:t>
      </w:r>
      <w:r>
        <w:rPr>
          <w:rFonts w:hint="eastAsia"/>
          <w:szCs w:val="21"/>
          <w:highlight w:val="none"/>
          <w:u w:val="single"/>
        </w:rPr>
        <w:t>90</w:t>
      </w:r>
      <w:r>
        <w:rPr>
          <w:rFonts w:hint="eastAsia"/>
          <w:szCs w:val="21"/>
          <w:highlight w:val="none"/>
        </w:rPr>
        <w:t>日历天（从投标截止之日计起）</w:t>
      </w:r>
      <w:r>
        <w:rPr>
          <w:rFonts w:hint="eastAsia" w:ascii="宋体" w:hAnsi="宋体" w:cs="宋体"/>
          <w:szCs w:val="21"/>
          <w:highlight w:val="none"/>
          <w:lang w:val="zh-CN"/>
        </w:rPr>
        <w:t>，如中标，有效期将自动延至设计施工总承包合同终止日为止。</w:t>
      </w:r>
    </w:p>
    <w:p w14:paraId="2447B4E5">
      <w:pPr>
        <w:widowControl/>
        <w:adjustRightInd w:val="0"/>
        <w:snapToGrid w:val="0"/>
        <w:spacing w:line="324" w:lineRule="auto"/>
        <w:ind w:right="102" w:firstLine="420"/>
        <w:jc w:val="left"/>
        <w:rPr>
          <w:rFonts w:hint="eastAsia" w:ascii="宋体" w:hAnsi="宋体" w:cs="宋体"/>
          <w:szCs w:val="21"/>
          <w:highlight w:val="none"/>
          <w:lang w:val="zh-CN"/>
        </w:rPr>
      </w:pPr>
      <w:r>
        <w:rPr>
          <w:rFonts w:hint="eastAsia" w:ascii="宋体" w:hAnsi="宋体" w:cs="宋体"/>
          <w:szCs w:val="21"/>
          <w:highlight w:val="none"/>
          <w:lang w:val="zh-CN"/>
        </w:rPr>
        <w:t>5、我方的</w:t>
      </w:r>
      <w:r>
        <w:rPr>
          <w:rFonts w:hint="eastAsia" w:ascii="宋体" w:hAnsi="宋体" w:cs="宋体"/>
          <w:b/>
          <w:szCs w:val="21"/>
          <w:highlight w:val="none"/>
        </w:rPr>
        <w:t>报价以《投标书》为准</w:t>
      </w:r>
      <w:r>
        <w:rPr>
          <w:rFonts w:hint="eastAsia" w:ascii="宋体" w:hAnsi="宋体" w:cs="宋体"/>
          <w:szCs w:val="21"/>
          <w:highlight w:val="none"/>
          <w:lang w:val="zh-CN"/>
        </w:rPr>
        <w:t>。我方承诺以上报价不低于我方成本价并且已包括完成本项目招标内容和服务范围所包含全部工作的费用。</w:t>
      </w:r>
    </w:p>
    <w:p w14:paraId="19B63A43">
      <w:pPr>
        <w:widowControl/>
        <w:adjustRightInd w:val="0"/>
        <w:snapToGrid w:val="0"/>
        <w:spacing w:line="312" w:lineRule="auto"/>
        <w:ind w:right="102" w:firstLine="420"/>
        <w:jc w:val="left"/>
        <w:rPr>
          <w:rFonts w:hint="eastAsia" w:ascii="宋体" w:hAnsi="宋体" w:cs="宋体"/>
          <w:szCs w:val="21"/>
          <w:highlight w:val="none"/>
        </w:rPr>
      </w:pPr>
      <w:r>
        <w:rPr>
          <w:rFonts w:hint="eastAsia" w:ascii="宋体" w:hAnsi="宋体" w:cs="宋体"/>
          <w:szCs w:val="21"/>
          <w:highlight w:val="none"/>
          <w:lang w:val="zh-CN"/>
        </w:rPr>
        <w:t>6、我方如果中标，将按招标文件合同条款以及我方在投标文件中的承诺签订合同。</w:t>
      </w:r>
    </w:p>
    <w:p w14:paraId="188E1308">
      <w:pPr>
        <w:widowControl/>
        <w:adjustRightInd w:val="0"/>
        <w:snapToGrid w:val="0"/>
        <w:spacing w:line="312" w:lineRule="auto"/>
        <w:ind w:right="102" w:firstLine="420"/>
        <w:jc w:val="left"/>
        <w:rPr>
          <w:rFonts w:hint="eastAsia" w:ascii="宋体" w:hAnsi="宋体" w:cs="宋体"/>
          <w:szCs w:val="21"/>
          <w:highlight w:val="none"/>
        </w:rPr>
      </w:pPr>
      <w:r>
        <w:rPr>
          <w:rFonts w:hint="eastAsia" w:ascii="宋体" w:hAnsi="宋体" w:cs="宋体"/>
          <w:szCs w:val="21"/>
          <w:highlight w:val="none"/>
          <w:lang w:val="zh-CN"/>
        </w:rPr>
        <w:t>7、我方完全接受招标人对本项目功能需求和相关建设标准的要求。如果中标，我方保证本工程的投资、工期、质量、安全等控制目标按照招标文件要求完成。</w:t>
      </w:r>
    </w:p>
    <w:p w14:paraId="06293D85">
      <w:pPr>
        <w:widowControl/>
        <w:adjustRightInd w:val="0"/>
        <w:snapToGrid w:val="0"/>
        <w:spacing w:line="312" w:lineRule="auto"/>
        <w:ind w:right="102" w:firstLine="420"/>
        <w:jc w:val="left"/>
        <w:rPr>
          <w:rFonts w:hint="eastAsia" w:ascii="宋体" w:hAnsi="宋体" w:cs="宋体"/>
          <w:szCs w:val="21"/>
          <w:highlight w:val="none"/>
        </w:rPr>
      </w:pPr>
      <w:r>
        <w:rPr>
          <w:rFonts w:hint="eastAsia" w:ascii="宋体" w:hAnsi="宋体" w:cs="宋体"/>
          <w:szCs w:val="21"/>
          <w:highlight w:val="none"/>
        </w:rPr>
        <w:t>8</w:t>
      </w:r>
      <w:r>
        <w:rPr>
          <w:rFonts w:hint="eastAsia" w:ascii="宋体" w:hAnsi="宋体" w:cs="宋体"/>
          <w:szCs w:val="21"/>
          <w:highlight w:val="none"/>
          <w:lang w:val="zh-CN"/>
        </w:rPr>
        <w:t>、我方如果中标，承诺在中标通知书发出后30个日历天内与贵方签署项目合同。</w:t>
      </w:r>
    </w:p>
    <w:p w14:paraId="39757C24">
      <w:pPr>
        <w:widowControl/>
        <w:adjustRightInd w:val="0"/>
        <w:snapToGrid w:val="0"/>
        <w:spacing w:line="312" w:lineRule="auto"/>
        <w:ind w:right="102" w:firstLine="420"/>
        <w:jc w:val="left"/>
        <w:rPr>
          <w:rFonts w:hint="eastAsia" w:ascii="宋体" w:hAnsi="宋体" w:cs="宋体"/>
          <w:szCs w:val="21"/>
          <w:highlight w:val="none"/>
          <w:lang w:val="zh-CN"/>
        </w:rPr>
      </w:pPr>
      <w:r>
        <w:rPr>
          <w:rFonts w:hint="eastAsia" w:ascii="宋体" w:hAnsi="宋体" w:cs="宋体"/>
          <w:szCs w:val="21"/>
          <w:highlight w:val="none"/>
          <w:lang w:val="zh-CN"/>
        </w:rPr>
        <w:t>如我方违背上述承诺，我方愿意接受公开通报，放弃中标资格，承担由此带来的法律后果。</w:t>
      </w:r>
    </w:p>
    <w:p w14:paraId="47742D45">
      <w:pPr>
        <w:widowControl/>
        <w:wordWrap w:val="0"/>
        <w:adjustRightInd w:val="0"/>
        <w:snapToGrid w:val="0"/>
        <w:spacing w:line="312" w:lineRule="auto"/>
        <w:ind w:right="102"/>
        <w:jc w:val="right"/>
        <w:rPr>
          <w:rFonts w:hint="eastAsia" w:ascii="宋体" w:hAnsi="宋体" w:cs="宋体"/>
          <w:szCs w:val="21"/>
          <w:highlight w:val="none"/>
          <w:lang w:val="zh-CN"/>
        </w:rPr>
      </w:pPr>
    </w:p>
    <w:p w14:paraId="22902B9C">
      <w:pPr>
        <w:widowControl/>
        <w:wordWrap w:val="0"/>
        <w:adjustRightInd w:val="0"/>
        <w:snapToGrid w:val="0"/>
        <w:spacing w:line="312" w:lineRule="auto"/>
        <w:ind w:right="102"/>
        <w:jc w:val="right"/>
        <w:rPr>
          <w:rFonts w:hint="eastAsia" w:ascii="宋体" w:hAnsi="宋体" w:cs="宋体"/>
          <w:szCs w:val="21"/>
          <w:highlight w:val="none"/>
        </w:rPr>
      </w:pPr>
      <w:r>
        <w:rPr>
          <w:rFonts w:hint="eastAsia" w:ascii="宋体" w:hAnsi="宋体" w:cs="宋体"/>
          <w:szCs w:val="21"/>
          <w:highlight w:val="none"/>
          <w:lang w:val="zh-CN"/>
        </w:rPr>
        <w:t>投标人（法人公章）：</w:t>
      </w:r>
      <w:r>
        <w:rPr>
          <w:rFonts w:hint="eastAsia" w:ascii="宋体" w:hAnsi="宋体" w:cs="宋体"/>
          <w:szCs w:val="21"/>
          <w:highlight w:val="none"/>
          <w:u w:val="single"/>
        </w:rPr>
        <w:t xml:space="preserve">                   </w:t>
      </w:r>
    </w:p>
    <w:p w14:paraId="0882C810">
      <w:pPr>
        <w:widowControl/>
        <w:wordWrap w:val="0"/>
        <w:adjustRightInd w:val="0"/>
        <w:snapToGrid w:val="0"/>
        <w:spacing w:line="312" w:lineRule="auto"/>
        <w:ind w:right="102"/>
        <w:jc w:val="right"/>
        <w:rPr>
          <w:rFonts w:hint="eastAsia" w:ascii="宋体" w:hAnsi="宋体" w:cs="宋体"/>
          <w:szCs w:val="21"/>
          <w:highlight w:val="none"/>
        </w:rPr>
      </w:pPr>
      <w:r>
        <w:rPr>
          <w:rFonts w:hint="eastAsia" w:ascii="宋体" w:hAnsi="宋体" w:cs="宋体"/>
          <w:szCs w:val="21"/>
          <w:highlight w:val="none"/>
          <w:lang w:val="zh-CN"/>
        </w:rPr>
        <w:t>法定代表人或授权代表（签字或盖章）：</w:t>
      </w:r>
      <w:r>
        <w:rPr>
          <w:rFonts w:hint="eastAsia" w:ascii="宋体" w:hAnsi="宋体" w:cs="宋体"/>
          <w:szCs w:val="21"/>
          <w:highlight w:val="none"/>
          <w:u w:val="single"/>
        </w:rPr>
        <w:t xml:space="preserve">                   </w:t>
      </w:r>
    </w:p>
    <w:p w14:paraId="6BE2CC16">
      <w:pPr>
        <w:widowControl/>
        <w:wordWrap w:val="0"/>
        <w:adjustRightInd w:val="0"/>
        <w:snapToGrid w:val="0"/>
        <w:spacing w:line="312" w:lineRule="auto"/>
        <w:ind w:right="102"/>
        <w:jc w:val="right"/>
        <w:rPr>
          <w:rFonts w:hint="eastAsia" w:ascii="宋体" w:hAnsi="宋体" w:cs="宋体"/>
          <w:szCs w:val="21"/>
          <w:highlight w:val="none"/>
          <w:lang w:val="zh-CN"/>
        </w:rPr>
      </w:pPr>
      <w:r>
        <w:rPr>
          <w:rFonts w:hint="eastAsia" w:ascii="宋体" w:hAnsi="宋体" w:cs="宋体"/>
          <w:szCs w:val="21"/>
          <w:highlight w:val="none"/>
          <w:lang w:val="zh-CN"/>
        </w:rPr>
        <w:t>日期：_______年_______月______日</w:t>
      </w:r>
    </w:p>
    <w:p w14:paraId="2E4B9D4B">
      <w:pPr>
        <w:pStyle w:val="40"/>
        <w:rPr>
          <w:rFonts w:hint="eastAsia" w:ascii="宋体" w:hAnsi="宋体" w:cs="宋体"/>
          <w:szCs w:val="21"/>
          <w:highlight w:val="none"/>
          <w:lang w:val="zh-CN"/>
        </w:rPr>
      </w:pPr>
    </w:p>
    <w:p w14:paraId="29A8E8DF">
      <w:pPr>
        <w:wordWrap w:val="0"/>
        <w:topLinePunct/>
        <w:rPr>
          <w:rFonts w:hint="eastAsia" w:ascii="宋体" w:hAnsi="宋体" w:cs="宋体"/>
          <w:b/>
          <w:bCs/>
          <w:szCs w:val="24"/>
          <w:highlight w:val="none"/>
        </w:rPr>
      </w:pPr>
      <w:r>
        <w:rPr>
          <w:rFonts w:hint="eastAsia" w:ascii="宋体" w:hAnsi="宋体" w:cs="宋体"/>
          <w:b/>
          <w:szCs w:val="21"/>
          <w:highlight w:val="none"/>
        </w:rPr>
        <w:t>注：联合体投标的，“投标人”一栏需书写所有联合体成员的单位全称，可由主办方签署、盖章。</w:t>
      </w:r>
    </w:p>
    <w:p w14:paraId="5B50C135">
      <w:pPr>
        <w:pStyle w:val="40"/>
        <w:rPr>
          <w:rFonts w:hint="eastAsia" w:ascii="宋体" w:hAnsi="宋体" w:cs="宋体"/>
          <w:szCs w:val="21"/>
          <w:highlight w:val="none"/>
        </w:rPr>
      </w:pPr>
    </w:p>
    <w:p w14:paraId="7094D37C">
      <w:pPr>
        <w:pStyle w:val="40"/>
        <w:rPr>
          <w:rFonts w:hint="eastAsia" w:ascii="宋体" w:hAnsi="宋体" w:cs="宋体"/>
          <w:szCs w:val="21"/>
          <w:highlight w:val="none"/>
          <w:lang w:val="zh-CN"/>
        </w:rPr>
      </w:pPr>
    </w:p>
    <w:p w14:paraId="2330F21A">
      <w:pPr>
        <w:pStyle w:val="40"/>
        <w:rPr>
          <w:rFonts w:hint="eastAsia" w:ascii="宋体" w:hAnsi="宋体" w:cs="宋体"/>
          <w:szCs w:val="21"/>
          <w:highlight w:val="none"/>
          <w:lang w:val="zh-CN"/>
        </w:rPr>
      </w:pPr>
    </w:p>
    <w:bookmarkEnd w:id="1083"/>
    <w:bookmarkEnd w:id="1084"/>
    <w:p w14:paraId="39D1DA10">
      <w:pPr>
        <w:rPr>
          <w:highlight w:val="none"/>
        </w:rPr>
      </w:pPr>
    </w:p>
    <w:p w14:paraId="23852214">
      <w:pPr>
        <w:widowControl/>
        <w:adjustRightInd w:val="0"/>
        <w:snapToGrid w:val="0"/>
        <w:ind w:right="102"/>
        <w:jc w:val="left"/>
        <w:rPr>
          <w:rFonts w:hint="eastAsia" w:ascii="宋体" w:hAnsi="宋体" w:cs="宋体"/>
          <w:b/>
          <w:bCs/>
          <w:sz w:val="36"/>
          <w:szCs w:val="32"/>
          <w:highlight w:val="none"/>
          <w:lang w:val="zh-CN"/>
        </w:rPr>
      </w:pPr>
      <w:r>
        <w:rPr>
          <w:rFonts w:ascii="宋体" w:hAnsi="宋体" w:cs="宋体"/>
          <w:b/>
          <w:bCs/>
          <w:sz w:val="36"/>
          <w:szCs w:val="32"/>
          <w:highlight w:val="none"/>
          <w:lang w:val="zh-CN"/>
        </w:rPr>
        <w:br w:type="page"/>
      </w:r>
      <w:r>
        <w:rPr>
          <w:rFonts w:hint="eastAsia" w:ascii="宋体" w:hAnsi="宋体" w:cs="宋体"/>
          <w:b/>
          <w:sz w:val="28"/>
          <w:highlight w:val="none"/>
        </w:rPr>
        <w:t>格式3：</w:t>
      </w:r>
    </w:p>
    <w:p w14:paraId="028A5467">
      <w:pPr>
        <w:autoSpaceDE w:val="0"/>
        <w:autoSpaceDN w:val="0"/>
        <w:adjustRightInd w:val="0"/>
        <w:jc w:val="center"/>
        <w:rPr>
          <w:b/>
          <w:bCs/>
          <w:sz w:val="36"/>
          <w:szCs w:val="36"/>
          <w:highlight w:val="none"/>
          <w:lang w:val="zh-CN"/>
        </w:rPr>
      </w:pPr>
      <w:r>
        <w:rPr>
          <w:rFonts w:hint="eastAsia"/>
          <w:b/>
          <w:bCs/>
          <w:sz w:val="36"/>
          <w:szCs w:val="36"/>
          <w:highlight w:val="none"/>
          <w:lang w:val="zh-CN"/>
        </w:rPr>
        <w:t>投</w:t>
      </w:r>
      <w:r>
        <w:rPr>
          <w:rFonts w:hint="eastAsia"/>
          <w:b/>
          <w:bCs/>
          <w:sz w:val="36"/>
          <w:szCs w:val="36"/>
          <w:highlight w:val="none"/>
        </w:rPr>
        <w:t xml:space="preserve"> </w:t>
      </w:r>
      <w:r>
        <w:rPr>
          <w:rFonts w:hint="eastAsia"/>
          <w:b/>
          <w:bCs/>
          <w:sz w:val="36"/>
          <w:szCs w:val="36"/>
          <w:highlight w:val="none"/>
          <w:lang w:val="zh-CN"/>
        </w:rPr>
        <w:t>标</w:t>
      </w:r>
      <w:r>
        <w:rPr>
          <w:rFonts w:hint="eastAsia"/>
          <w:b/>
          <w:bCs/>
          <w:sz w:val="36"/>
          <w:szCs w:val="36"/>
          <w:highlight w:val="none"/>
        </w:rPr>
        <w:t xml:space="preserve"> </w:t>
      </w:r>
      <w:r>
        <w:rPr>
          <w:rFonts w:hint="eastAsia"/>
          <w:b/>
          <w:bCs/>
          <w:sz w:val="36"/>
          <w:szCs w:val="36"/>
          <w:highlight w:val="none"/>
          <w:lang w:val="zh-CN"/>
        </w:rPr>
        <w:t>书</w:t>
      </w:r>
    </w:p>
    <w:tbl>
      <w:tblPr>
        <w:tblStyle w:val="41"/>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994"/>
        <w:gridCol w:w="2225"/>
        <w:gridCol w:w="4572"/>
      </w:tblGrid>
      <w:tr w14:paraId="6685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745" w:type="dxa"/>
            <w:gridSpan w:val="2"/>
            <w:tcBorders>
              <w:top w:val="single" w:color="auto" w:sz="4" w:space="0"/>
              <w:left w:val="single" w:color="auto" w:sz="4" w:space="0"/>
              <w:bottom w:val="single" w:color="auto" w:sz="4" w:space="0"/>
              <w:right w:val="single" w:color="auto" w:sz="4" w:space="0"/>
            </w:tcBorders>
            <w:vAlign w:val="center"/>
          </w:tcPr>
          <w:p w14:paraId="5D8C7209">
            <w:pPr>
              <w:spacing w:line="400" w:lineRule="exact"/>
              <w:jc w:val="center"/>
              <w:rPr>
                <w:rFonts w:ascii="Calibri" w:hAnsi="Calibri"/>
                <w:highlight w:val="none"/>
              </w:rPr>
            </w:pPr>
            <w:r>
              <w:rPr>
                <w:rFonts w:hint="eastAsia" w:ascii="Calibri" w:hAnsi="Calibri"/>
                <w:highlight w:val="none"/>
                <w:lang w:val="zh-CN"/>
              </w:rPr>
              <w:t>项目名称</w:t>
            </w:r>
          </w:p>
        </w:tc>
        <w:tc>
          <w:tcPr>
            <w:tcW w:w="6797" w:type="dxa"/>
            <w:gridSpan w:val="2"/>
            <w:tcBorders>
              <w:top w:val="single" w:color="auto" w:sz="4" w:space="0"/>
              <w:left w:val="single" w:color="auto" w:sz="4" w:space="0"/>
              <w:bottom w:val="single" w:color="auto" w:sz="4" w:space="0"/>
              <w:right w:val="single" w:color="auto" w:sz="4" w:space="0"/>
            </w:tcBorders>
            <w:vAlign w:val="center"/>
          </w:tcPr>
          <w:p w14:paraId="72D5602C">
            <w:pPr>
              <w:spacing w:line="400" w:lineRule="exact"/>
              <w:jc w:val="center"/>
              <w:rPr>
                <w:rFonts w:ascii="Calibri" w:hAnsi="Calibri"/>
                <w:highlight w:val="none"/>
                <w:lang w:val="zh-CN"/>
              </w:rPr>
            </w:pPr>
          </w:p>
        </w:tc>
      </w:tr>
      <w:tr w14:paraId="2C8D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745" w:type="dxa"/>
            <w:gridSpan w:val="2"/>
            <w:tcBorders>
              <w:top w:val="single" w:color="auto" w:sz="4" w:space="0"/>
              <w:left w:val="single" w:color="auto" w:sz="4" w:space="0"/>
              <w:bottom w:val="single" w:color="auto" w:sz="4" w:space="0"/>
              <w:right w:val="single" w:color="auto" w:sz="4" w:space="0"/>
            </w:tcBorders>
            <w:vAlign w:val="center"/>
          </w:tcPr>
          <w:p w14:paraId="1CFA4C15">
            <w:pPr>
              <w:spacing w:line="400" w:lineRule="exact"/>
              <w:jc w:val="center"/>
              <w:rPr>
                <w:rFonts w:ascii="Calibri" w:hAnsi="Calibri"/>
                <w:highlight w:val="none"/>
                <w:lang w:val="zh-CN"/>
              </w:rPr>
            </w:pPr>
            <w:r>
              <w:rPr>
                <w:rFonts w:hint="eastAsia" w:ascii="Calibri" w:hAnsi="Calibri"/>
                <w:highlight w:val="none"/>
                <w:lang w:val="zh-CN"/>
              </w:rPr>
              <w:t>投标总报价（元）</w:t>
            </w:r>
          </w:p>
          <w:p w14:paraId="2BBF0914">
            <w:pPr>
              <w:spacing w:line="400" w:lineRule="exact"/>
              <w:jc w:val="center"/>
              <w:rPr>
                <w:rFonts w:ascii="Calibri" w:hAnsi="Calibri"/>
                <w:highlight w:val="none"/>
              </w:rPr>
            </w:pPr>
            <w:r>
              <w:rPr>
                <w:rFonts w:hint="eastAsia" w:ascii="Calibri" w:hAnsi="Calibri"/>
                <w:highlight w:val="none"/>
              </w:rPr>
              <w:t>（一）+（二）</w:t>
            </w:r>
          </w:p>
        </w:tc>
        <w:tc>
          <w:tcPr>
            <w:tcW w:w="6797" w:type="dxa"/>
            <w:gridSpan w:val="2"/>
            <w:tcBorders>
              <w:top w:val="single" w:color="auto" w:sz="4" w:space="0"/>
              <w:left w:val="single" w:color="auto" w:sz="4" w:space="0"/>
              <w:bottom w:val="single" w:color="auto" w:sz="4" w:space="0"/>
              <w:right w:val="single" w:color="auto" w:sz="4" w:space="0"/>
            </w:tcBorders>
            <w:vAlign w:val="center"/>
          </w:tcPr>
          <w:p w14:paraId="61A4DF4D">
            <w:pPr>
              <w:spacing w:line="400" w:lineRule="exact"/>
              <w:rPr>
                <w:rFonts w:ascii="Calibri" w:hAnsi="Calibri"/>
                <w:b/>
                <w:bCs/>
                <w:highlight w:val="none"/>
              </w:rPr>
            </w:pPr>
            <w:r>
              <w:rPr>
                <w:rFonts w:hint="eastAsia" w:ascii="Calibri" w:hAnsi="Calibri"/>
                <w:b/>
                <w:bCs/>
                <w:highlight w:val="none"/>
              </w:rPr>
              <w:t>大写：</w:t>
            </w:r>
            <w:r>
              <w:rPr>
                <w:rFonts w:hint="eastAsia" w:ascii="Calibri" w:hAnsi="Calibri"/>
                <w:sz w:val="32"/>
                <w:szCs w:val="32"/>
                <w:highlight w:val="none"/>
                <w:u w:val="single"/>
              </w:rPr>
              <w:t xml:space="preserve">                </w:t>
            </w:r>
          </w:p>
          <w:p w14:paraId="63337050">
            <w:pPr>
              <w:spacing w:line="400" w:lineRule="exact"/>
              <w:rPr>
                <w:rFonts w:ascii="Calibri" w:hAnsi="Calibri"/>
                <w:highlight w:val="none"/>
              </w:rPr>
            </w:pPr>
            <w:r>
              <w:rPr>
                <w:rFonts w:hint="eastAsia" w:ascii="Calibri" w:hAnsi="Calibri"/>
                <w:b/>
                <w:bCs/>
                <w:highlight w:val="none"/>
              </w:rPr>
              <w:t>小写：</w:t>
            </w:r>
            <w:r>
              <w:rPr>
                <w:rFonts w:hint="eastAsia" w:ascii="Calibri" w:hAnsi="Calibri"/>
                <w:sz w:val="32"/>
                <w:szCs w:val="32"/>
                <w:highlight w:val="none"/>
                <w:u w:val="single"/>
              </w:rPr>
              <w:t xml:space="preserve">                </w:t>
            </w:r>
          </w:p>
        </w:tc>
      </w:tr>
      <w:tr w14:paraId="732C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51" w:type="dxa"/>
            <w:tcBorders>
              <w:top w:val="single" w:color="auto" w:sz="4" w:space="0"/>
              <w:left w:val="single" w:color="auto" w:sz="4" w:space="0"/>
              <w:right w:val="single" w:color="auto" w:sz="4" w:space="0"/>
            </w:tcBorders>
            <w:vAlign w:val="center"/>
          </w:tcPr>
          <w:p w14:paraId="1E2FC189">
            <w:pPr>
              <w:spacing w:line="400" w:lineRule="exact"/>
              <w:jc w:val="center"/>
              <w:rPr>
                <w:rFonts w:ascii="Calibri" w:hAnsi="Calibri"/>
                <w:highlight w:val="none"/>
              </w:rPr>
            </w:pPr>
            <w:bookmarkStart w:id="1085" w:name="_Toc439246066" w:colFirst="0" w:colLast="2"/>
            <w:r>
              <w:rPr>
                <w:rFonts w:hint="eastAsia" w:ascii="Calibri" w:hAnsi="Calibri"/>
                <w:highlight w:val="none"/>
              </w:rPr>
              <w:t>（一）</w:t>
            </w:r>
          </w:p>
        </w:tc>
        <w:tc>
          <w:tcPr>
            <w:tcW w:w="1994" w:type="dxa"/>
            <w:tcBorders>
              <w:top w:val="single" w:color="auto" w:sz="4" w:space="0"/>
              <w:left w:val="single" w:color="auto" w:sz="4" w:space="0"/>
              <w:right w:val="single" w:color="auto" w:sz="4" w:space="0"/>
            </w:tcBorders>
            <w:shd w:val="clear" w:color="auto" w:fill="auto"/>
            <w:vAlign w:val="center"/>
          </w:tcPr>
          <w:p w14:paraId="3E370A19">
            <w:pPr>
              <w:spacing w:line="400" w:lineRule="exact"/>
              <w:jc w:val="left"/>
              <w:rPr>
                <w:rFonts w:ascii="Calibri" w:hAnsi="Calibri"/>
                <w:highlight w:val="none"/>
                <w:lang w:val="zh-CN"/>
              </w:rPr>
            </w:pPr>
            <w:r>
              <w:rPr>
                <w:rFonts w:hint="eastAsia" w:ascii="Calibri" w:hAnsi="Calibri"/>
                <w:highlight w:val="none"/>
                <w:lang w:val="zh-CN"/>
              </w:rPr>
              <w:t>设计费</w:t>
            </w:r>
            <w:r>
              <w:rPr>
                <w:rFonts w:hint="eastAsia" w:ascii="Calibri" w:hAnsi="Calibri"/>
                <w:highlight w:val="none"/>
              </w:rPr>
              <w:t>投标</w:t>
            </w:r>
            <w:r>
              <w:rPr>
                <w:rFonts w:hint="eastAsia" w:ascii="Calibri" w:hAnsi="Calibri"/>
                <w:highlight w:val="none"/>
                <w:lang w:val="zh-CN"/>
              </w:rPr>
              <w:t>报价（</w:t>
            </w:r>
            <w:r>
              <w:rPr>
                <w:rFonts w:hint="eastAsia" w:ascii="Calibri" w:hAnsi="Calibri"/>
                <w:highlight w:val="none"/>
              </w:rPr>
              <w:t>元）</w:t>
            </w:r>
          </w:p>
        </w:tc>
        <w:tc>
          <w:tcPr>
            <w:tcW w:w="6797" w:type="dxa"/>
            <w:gridSpan w:val="2"/>
            <w:tcBorders>
              <w:top w:val="single" w:color="auto" w:sz="4" w:space="0"/>
              <w:left w:val="single" w:color="auto" w:sz="4" w:space="0"/>
              <w:bottom w:val="single" w:color="auto" w:sz="4" w:space="0"/>
              <w:right w:val="single" w:color="auto" w:sz="4" w:space="0"/>
            </w:tcBorders>
            <w:vAlign w:val="center"/>
          </w:tcPr>
          <w:p w14:paraId="5EB9ABE7">
            <w:pPr>
              <w:spacing w:line="400" w:lineRule="exact"/>
              <w:rPr>
                <w:rFonts w:ascii="Calibri" w:hAnsi="Calibri"/>
                <w:highlight w:val="none"/>
              </w:rPr>
            </w:pPr>
            <w:r>
              <w:rPr>
                <w:rFonts w:hint="eastAsia" w:ascii="Calibri" w:hAnsi="Calibri"/>
                <w:highlight w:val="none"/>
              </w:rPr>
              <w:t>小写：</w:t>
            </w:r>
            <w:r>
              <w:rPr>
                <w:rFonts w:hint="eastAsia" w:ascii="Calibri" w:hAnsi="Calibri"/>
                <w:highlight w:val="none"/>
                <w:u w:val="single"/>
              </w:rPr>
              <w:t xml:space="preserve">         </w:t>
            </w:r>
            <w:r>
              <w:rPr>
                <w:rFonts w:hint="eastAsia" w:ascii="Calibri" w:hAnsi="Calibri"/>
                <w:highlight w:val="none"/>
              </w:rPr>
              <w:t>元，下浮率</w:t>
            </w:r>
            <w:r>
              <w:rPr>
                <w:rFonts w:hint="eastAsia" w:ascii="Calibri" w:hAnsi="Calibri"/>
                <w:highlight w:val="none"/>
                <w:u w:val="single"/>
              </w:rPr>
              <w:t xml:space="preserve">           </w:t>
            </w:r>
            <w:r>
              <w:rPr>
                <w:rFonts w:hint="eastAsia" w:ascii="Calibri" w:hAnsi="Calibri"/>
                <w:highlight w:val="none"/>
              </w:rPr>
              <w:t xml:space="preserve"> %</w:t>
            </w:r>
          </w:p>
          <w:p w14:paraId="4B74FD64">
            <w:pPr>
              <w:spacing w:line="400" w:lineRule="exact"/>
              <w:rPr>
                <w:rFonts w:ascii="Calibri" w:hAnsi="Calibri"/>
                <w:highlight w:val="none"/>
              </w:rPr>
            </w:pPr>
          </w:p>
          <w:p w14:paraId="43A7AD2A">
            <w:pPr>
              <w:spacing w:line="400" w:lineRule="exact"/>
              <w:rPr>
                <w:rFonts w:ascii="Calibri" w:hAnsi="Calibri"/>
                <w:highlight w:val="none"/>
                <w:lang w:val="zh-CN"/>
              </w:rPr>
            </w:pPr>
            <w:r>
              <w:rPr>
                <w:rFonts w:hint="eastAsia" w:ascii="Calibri" w:hAnsi="Calibri"/>
                <w:b/>
                <w:bCs/>
                <w:highlight w:val="none"/>
                <w:lang w:val="zh-CN"/>
              </w:rPr>
              <w:t>注：下浮率=[1-（设计费投标报价/设计费最高投标限价）]*100%，</w:t>
            </w:r>
            <w:r>
              <w:rPr>
                <w:rFonts w:hint="eastAsia" w:ascii="宋体" w:hAnsi="宋体"/>
                <w:highlight w:val="none"/>
                <w:lang w:val="zh-CN"/>
              </w:rPr>
              <w:t>设计费</w:t>
            </w:r>
            <w:r>
              <w:rPr>
                <w:rFonts w:hint="eastAsia" w:ascii="宋体" w:hAnsi="宋体"/>
                <w:highlight w:val="none"/>
              </w:rPr>
              <w:t>投标</w:t>
            </w:r>
            <w:r>
              <w:rPr>
                <w:rFonts w:hint="eastAsia" w:ascii="宋体" w:hAnsi="宋体"/>
                <w:highlight w:val="none"/>
                <w:lang w:val="zh-CN"/>
              </w:rPr>
              <w:t>报价</w:t>
            </w:r>
            <w:r>
              <w:rPr>
                <w:rFonts w:hint="eastAsia" w:ascii="宋体" w:hAnsi="宋体"/>
                <w:highlight w:val="none"/>
              </w:rPr>
              <w:t>不得突破设计费最高投标限价。</w:t>
            </w:r>
          </w:p>
        </w:tc>
      </w:tr>
      <w:bookmarkEnd w:id="1085"/>
      <w:tr w14:paraId="5CA9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751" w:type="dxa"/>
            <w:tcBorders>
              <w:top w:val="single" w:color="auto" w:sz="4" w:space="0"/>
              <w:left w:val="single" w:color="auto" w:sz="4" w:space="0"/>
              <w:right w:val="single" w:color="auto" w:sz="4" w:space="0"/>
            </w:tcBorders>
            <w:vAlign w:val="center"/>
          </w:tcPr>
          <w:p w14:paraId="7CA94B9F">
            <w:pPr>
              <w:spacing w:line="400" w:lineRule="exact"/>
              <w:jc w:val="center"/>
              <w:rPr>
                <w:rFonts w:ascii="Calibri" w:hAnsi="Calibri"/>
                <w:highlight w:val="none"/>
                <w:lang w:val="zh-CN"/>
              </w:rPr>
            </w:pPr>
            <w:r>
              <w:rPr>
                <w:rFonts w:hint="eastAsia" w:ascii="Calibri" w:hAnsi="Calibri"/>
                <w:highlight w:val="none"/>
              </w:rPr>
              <w:t>（二）</w:t>
            </w:r>
          </w:p>
        </w:tc>
        <w:tc>
          <w:tcPr>
            <w:tcW w:w="1994" w:type="dxa"/>
            <w:tcBorders>
              <w:top w:val="single" w:color="auto" w:sz="4" w:space="0"/>
              <w:left w:val="single" w:color="auto" w:sz="4" w:space="0"/>
              <w:right w:val="single" w:color="auto" w:sz="4" w:space="0"/>
            </w:tcBorders>
            <w:shd w:val="clear" w:color="auto" w:fill="auto"/>
            <w:vAlign w:val="center"/>
          </w:tcPr>
          <w:p w14:paraId="356D0270">
            <w:pPr>
              <w:spacing w:line="400" w:lineRule="exact"/>
              <w:jc w:val="left"/>
              <w:rPr>
                <w:rFonts w:ascii="Calibri" w:hAnsi="Calibri"/>
                <w:highlight w:val="none"/>
                <w:lang w:val="zh-CN"/>
              </w:rPr>
            </w:pPr>
            <w:r>
              <w:rPr>
                <w:rFonts w:hint="eastAsia" w:ascii="Calibri" w:hAnsi="Calibri"/>
                <w:highlight w:val="none"/>
                <w:lang w:val="zh-CN"/>
              </w:rPr>
              <w:t>建安工程费</w:t>
            </w:r>
            <w:r>
              <w:rPr>
                <w:rFonts w:hint="eastAsia" w:ascii="Calibri" w:hAnsi="Calibri"/>
                <w:highlight w:val="none"/>
              </w:rPr>
              <w:t>投标</w:t>
            </w:r>
            <w:r>
              <w:rPr>
                <w:rFonts w:hint="eastAsia" w:ascii="Calibri" w:hAnsi="Calibri"/>
                <w:highlight w:val="none"/>
                <w:lang w:val="zh-CN"/>
              </w:rPr>
              <w:t>报价（元）</w:t>
            </w:r>
          </w:p>
        </w:tc>
        <w:tc>
          <w:tcPr>
            <w:tcW w:w="6797" w:type="dxa"/>
            <w:gridSpan w:val="2"/>
            <w:tcBorders>
              <w:top w:val="single" w:color="auto" w:sz="4" w:space="0"/>
              <w:left w:val="single" w:color="auto" w:sz="4" w:space="0"/>
              <w:bottom w:val="single" w:color="auto" w:sz="4" w:space="0"/>
              <w:right w:val="single" w:color="auto" w:sz="4" w:space="0"/>
            </w:tcBorders>
            <w:vAlign w:val="center"/>
          </w:tcPr>
          <w:p w14:paraId="05E26974">
            <w:pPr>
              <w:spacing w:line="400" w:lineRule="exact"/>
              <w:rPr>
                <w:rFonts w:ascii="Calibri" w:hAnsi="Calibri"/>
                <w:highlight w:val="none"/>
              </w:rPr>
            </w:pPr>
            <w:r>
              <w:rPr>
                <w:rFonts w:hint="eastAsia" w:ascii="Calibri" w:hAnsi="Calibri"/>
                <w:b/>
                <w:bCs/>
                <w:highlight w:val="none"/>
              </w:rPr>
              <w:t>小</w:t>
            </w:r>
            <w:r>
              <w:rPr>
                <w:rFonts w:hint="eastAsia" w:ascii="Calibri" w:hAnsi="Calibri"/>
                <w:highlight w:val="none"/>
              </w:rPr>
              <w:t>写：</w:t>
            </w:r>
            <w:r>
              <w:rPr>
                <w:rFonts w:hint="eastAsia" w:ascii="Calibri" w:hAnsi="Calibri"/>
                <w:highlight w:val="none"/>
                <w:u w:val="single"/>
              </w:rPr>
              <w:t xml:space="preserve">         </w:t>
            </w:r>
            <w:r>
              <w:rPr>
                <w:rFonts w:hint="eastAsia" w:ascii="Calibri" w:hAnsi="Calibri"/>
                <w:highlight w:val="none"/>
              </w:rPr>
              <w:t>元，下浮率</w:t>
            </w:r>
            <w:r>
              <w:rPr>
                <w:rFonts w:hint="eastAsia" w:ascii="Calibri" w:hAnsi="Calibri"/>
                <w:highlight w:val="none"/>
                <w:u w:val="single"/>
              </w:rPr>
              <w:t xml:space="preserve">        </w:t>
            </w:r>
            <w:r>
              <w:rPr>
                <w:rFonts w:hint="eastAsia" w:ascii="Calibri" w:hAnsi="Calibri"/>
                <w:highlight w:val="none"/>
              </w:rPr>
              <w:t>%</w:t>
            </w:r>
          </w:p>
          <w:p w14:paraId="385169BA">
            <w:pPr>
              <w:spacing w:line="400" w:lineRule="exact"/>
              <w:rPr>
                <w:rFonts w:ascii="Calibri" w:hAnsi="Calibri"/>
                <w:highlight w:val="none"/>
              </w:rPr>
            </w:pPr>
          </w:p>
          <w:p w14:paraId="5847FDF3">
            <w:pPr>
              <w:spacing w:line="400" w:lineRule="exact"/>
              <w:rPr>
                <w:rFonts w:ascii="Calibri" w:hAnsi="Calibri"/>
                <w:highlight w:val="none"/>
              </w:rPr>
            </w:pPr>
            <w:r>
              <w:rPr>
                <w:rFonts w:hint="eastAsia" w:ascii="Calibri" w:hAnsi="Calibri"/>
                <w:b/>
                <w:bCs/>
                <w:highlight w:val="none"/>
                <w:lang w:val="zh-CN"/>
              </w:rPr>
              <w:t>注：下浮率=[1-（建安工程费投标报价/建安工程费最高投标限价）]*100</w:t>
            </w:r>
            <w:r>
              <w:rPr>
                <w:rFonts w:hint="eastAsia" w:ascii="Calibri" w:hAnsi="Calibri"/>
                <w:b/>
                <w:bCs/>
                <w:highlight w:val="none"/>
              </w:rPr>
              <w:t>%，</w:t>
            </w:r>
            <w:r>
              <w:rPr>
                <w:rFonts w:hint="eastAsia" w:ascii="Calibri" w:hAnsi="Calibri"/>
                <w:highlight w:val="none"/>
                <w:lang w:val="zh-CN"/>
              </w:rPr>
              <w:t>建安工程费投标报价</w:t>
            </w:r>
            <w:r>
              <w:rPr>
                <w:rFonts w:hint="eastAsia" w:ascii="Calibri" w:hAnsi="Calibri"/>
                <w:highlight w:val="none"/>
              </w:rPr>
              <w:t>不得突破建安工程费</w:t>
            </w:r>
            <w:r>
              <w:rPr>
                <w:rFonts w:hint="eastAsia" w:ascii="宋体" w:hAnsi="宋体"/>
                <w:highlight w:val="none"/>
              </w:rPr>
              <w:t>最高投标限价</w:t>
            </w:r>
            <w:r>
              <w:rPr>
                <w:rFonts w:hint="eastAsia" w:ascii="Calibri" w:hAnsi="Calibri"/>
                <w:highlight w:val="none"/>
              </w:rPr>
              <w:t>。</w:t>
            </w:r>
          </w:p>
        </w:tc>
      </w:tr>
      <w:tr w14:paraId="4ABD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745" w:type="dxa"/>
            <w:gridSpan w:val="2"/>
            <w:tcBorders>
              <w:top w:val="single" w:color="auto" w:sz="4" w:space="0"/>
              <w:left w:val="single" w:color="auto" w:sz="4" w:space="0"/>
              <w:bottom w:val="single" w:color="auto" w:sz="4" w:space="0"/>
              <w:right w:val="single" w:color="auto" w:sz="4" w:space="0"/>
            </w:tcBorders>
            <w:vAlign w:val="center"/>
          </w:tcPr>
          <w:p w14:paraId="24F61C34">
            <w:pPr>
              <w:spacing w:line="400" w:lineRule="exact"/>
              <w:jc w:val="center"/>
              <w:rPr>
                <w:rFonts w:ascii="Calibri" w:hAnsi="Calibri"/>
                <w:highlight w:val="none"/>
                <w:lang w:val="zh-CN"/>
              </w:rPr>
            </w:pPr>
            <w:r>
              <w:rPr>
                <w:rFonts w:hint="eastAsia" w:ascii="Calibri" w:hAnsi="Calibri"/>
                <w:highlight w:val="none"/>
                <w:lang w:val="zh-CN"/>
              </w:rPr>
              <w:t>投标工期</w:t>
            </w:r>
          </w:p>
          <w:p w14:paraId="3A102B8B">
            <w:pPr>
              <w:spacing w:line="400" w:lineRule="exact"/>
              <w:jc w:val="center"/>
              <w:rPr>
                <w:rFonts w:ascii="Calibri" w:hAnsi="Calibri"/>
                <w:highlight w:val="none"/>
                <w:lang w:val="zh-CN"/>
              </w:rPr>
            </w:pPr>
            <w:r>
              <w:rPr>
                <w:rFonts w:hint="eastAsia" w:ascii="Calibri" w:hAnsi="Calibri"/>
                <w:highlight w:val="none"/>
                <w:lang w:val="zh-CN"/>
              </w:rPr>
              <w:t>（含设计、</w:t>
            </w:r>
            <w:r>
              <w:rPr>
                <w:rFonts w:hint="eastAsia" w:ascii="Calibri" w:hAnsi="Calibri"/>
                <w:highlight w:val="none"/>
              </w:rPr>
              <w:t>施工</w:t>
            </w:r>
            <w:r>
              <w:rPr>
                <w:rFonts w:hint="eastAsia" w:ascii="Calibri" w:hAnsi="Calibri"/>
                <w:highlight w:val="none"/>
                <w:lang w:val="zh-CN"/>
              </w:rPr>
              <w:t>工期）</w:t>
            </w:r>
          </w:p>
        </w:tc>
        <w:tc>
          <w:tcPr>
            <w:tcW w:w="6797" w:type="dxa"/>
            <w:gridSpan w:val="2"/>
            <w:tcBorders>
              <w:top w:val="single" w:color="auto" w:sz="4" w:space="0"/>
              <w:left w:val="single" w:color="auto" w:sz="4" w:space="0"/>
              <w:bottom w:val="single" w:color="auto" w:sz="4" w:space="0"/>
              <w:right w:val="single" w:color="auto" w:sz="4" w:space="0"/>
            </w:tcBorders>
            <w:vAlign w:val="center"/>
          </w:tcPr>
          <w:p w14:paraId="136883CE">
            <w:pPr>
              <w:spacing w:line="400" w:lineRule="exact"/>
              <w:rPr>
                <w:rFonts w:ascii="Calibri" w:hAnsi="Calibri"/>
                <w:b/>
                <w:bCs/>
                <w:highlight w:val="none"/>
              </w:rPr>
            </w:pPr>
          </w:p>
        </w:tc>
      </w:tr>
      <w:tr w14:paraId="64D2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45" w:type="dxa"/>
            <w:gridSpan w:val="2"/>
            <w:tcBorders>
              <w:top w:val="single" w:color="auto" w:sz="4" w:space="0"/>
              <w:left w:val="single" w:color="auto" w:sz="4" w:space="0"/>
              <w:bottom w:val="single" w:color="auto" w:sz="4" w:space="0"/>
              <w:right w:val="single" w:color="auto" w:sz="4" w:space="0"/>
            </w:tcBorders>
            <w:vAlign w:val="center"/>
          </w:tcPr>
          <w:p w14:paraId="3E6226FB">
            <w:pPr>
              <w:spacing w:line="400" w:lineRule="exact"/>
              <w:jc w:val="center"/>
              <w:rPr>
                <w:rFonts w:ascii="Calibri" w:hAnsi="Calibri"/>
                <w:highlight w:val="none"/>
              </w:rPr>
            </w:pPr>
            <w:r>
              <w:rPr>
                <w:rFonts w:hint="eastAsia" w:ascii="Calibri" w:hAnsi="Calibri"/>
                <w:highlight w:val="none"/>
                <w:lang w:val="zh-CN"/>
              </w:rPr>
              <w:t>质量标准</w:t>
            </w:r>
          </w:p>
        </w:tc>
        <w:tc>
          <w:tcPr>
            <w:tcW w:w="6797" w:type="dxa"/>
            <w:gridSpan w:val="2"/>
            <w:tcBorders>
              <w:top w:val="single" w:color="auto" w:sz="4" w:space="0"/>
              <w:left w:val="single" w:color="auto" w:sz="4" w:space="0"/>
              <w:bottom w:val="single" w:color="auto" w:sz="4" w:space="0"/>
              <w:right w:val="single" w:color="auto" w:sz="4" w:space="0"/>
            </w:tcBorders>
            <w:vAlign w:val="center"/>
          </w:tcPr>
          <w:p w14:paraId="4898E737">
            <w:pPr>
              <w:spacing w:line="400" w:lineRule="exact"/>
              <w:rPr>
                <w:rFonts w:ascii="Calibri" w:hAnsi="Calibri"/>
                <w:b/>
                <w:bCs/>
                <w:highlight w:val="none"/>
              </w:rPr>
            </w:pPr>
            <w:r>
              <w:rPr>
                <w:rFonts w:ascii="Calibri" w:hAnsi="Calibri"/>
                <w:highlight w:val="none"/>
              </w:rPr>
              <w:t>按招标文件要求</w:t>
            </w:r>
          </w:p>
        </w:tc>
      </w:tr>
      <w:tr w14:paraId="4FB1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745" w:type="dxa"/>
            <w:gridSpan w:val="2"/>
            <w:tcBorders>
              <w:top w:val="single" w:color="auto" w:sz="4" w:space="0"/>
              <w:left w:val="single" w:color="auto" w:sz="4" w:space="0"/>
              <w:bottom w:val="single" w:color="auto" w:sz="4" w:space="0"/>
              <w:right w:val="single" w:color="auto" w:sz="4" w:space="0"/>
            </w:tcBorders>
            <w:vAlign w:val="center"/>
          </w:tcPr>
          <w:p w14:paraId="4424CF98">
            <w:pPr>
              <w:spacing w:line="400" w:lineRule="exact"/>
              <w:jc w:val="center"/>
              <w:rPr>
                <w:rFonts w:ascii="Calibri" w:hAnsi="Calibri"/>
                <w:highlight w:val="none"/>
                <w:lang w:val="zh-CN"/>
              </w:rPr>
            </w:pPr>
            <w:r>
              <w:rPr>
                <w:rFonts w:hint="eastAsia" w:ascii="Calibri" w:hAnsi="Calibri"/>
                <w:highlight w:val="none"/>
                <w:lang w:val="zh-CN"/>
              </w:rPr>
              <w:t>保修期限</w:t>
            </w:r>
          </w:p>
        </w:tc>
        <w:tc>
          <w:tcPr>
            <w:tcW w:w="6797" w:type="dxa"/>
            <w:gridSpan w:val="2"/>
            <w:tcBorders>
              <w:top w:val="single" w:color="auto" w:sz="4" w:space="0"/>
              <w:left w:val="single" w:color="auto" w:sz="4" w:space="0"/>
              <w:bottom w:val="single" w:color="auto" w:sz="4" w:space="0"/>
              <w:right w:val="single" w:color="auto" w:sz="4" w:space="0"/>
            </w:tcBorders>
            <w:vAlign w:val="center"/>
          </w:tcPr>
          <w:p w14:paraId="76A93BCC">
            <w:pPr>
              <w:spacing w:line="400" w:lineRule="exact"/>
              <w:jc w:val="left"/>
              <w:rPr>
                <w:rFonts w:ascii="Calibri" w:hAnsi="Calibri"/>
                <w:highlight w:val="none"/>
              </w:rPr>
            </w:pPr>
            <w:r>
              <w:rPr>
                <w:rFonts w:ascii="Calibri" w:hAnsi="Calibri"/>
                <w:highlight w:val="none"/>
              </w:rPr>
              <w:t>按招标文件要求</w:t>
            </w:r>
          </w:p>
        </w:tc>
      </w:tr>
      <w:tr w14:paraId="58C7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45" w:type="dxa"/>
            <w:gridSpan w:val="2"/>
            <w:vMerge w:val="restart"/>
            <w:tcBorders>
              <w:top w:val="single" w:color="auto" w:sz="4" w:space="0"/>
              <w:left w:val="single" w:color="auto" w:sz="4" w:space="0"/>
              <w:right w:val="single" w:color="auto" w:sz="4" w:space="0"/>
            </w:tcBorders>
            <w:vAlign w:val="center"/>
          </w:tcPr>
          <w:p w14:paraId="6D964BD8">
            <w:pPr>
              <w:spacing w:line="400" w:lineRule="exact"/>
              <w:jc w:val="center"/>
              <w:rPr>
                <w:rFonts w:ascii="Calibri" w:hAnsi="Calibri"/>
                <w:highlight w:val="none"/>
                <w:lang w:val="zh-CN"/>
              </w:rPr>
            </w:pPr>
            <w:r>
              <w:rPr>
                <w:rFonts w:hint="eastAsia" w:ascii="Calibri" w:hAnsi="Calibri"/>
                <w:highlight w:val="none"/>
                <w:lang w:val="zh-CN"/>
              </w:rPr>
              <w:t>委派的项目负责人</w:t>
            </w:r>
          </w:p>
        </w:tc>
        <w:tc>
          <w:tcPr>
            <w:tcW w:w="2225" w:type="dxa"/>
            <w:tcBorders>
              <w:top w:val="single" w:color="auto" w:sz="4" w:space="0"/>
              <w:left w:val="single" w:color="auto" w:sz="4" w:space="0"/>
              <w:bottom w:val="single" w:color="auto" w:sz="4" w:space="0"/>
              <w:right w:val="single" w:color="auto" w:sz="4" w:space="0"/>
            </w:tcBorders>
            <w:vAlign w:val="center"/>
          </w:tcPr>
          <w:p w14:paraId="0043B6E6">
            <w:pPr>
              <w:spacing w:line="400" w:lineRule="exact"/>
              <w:jc w:val="center"/>
              <w:rPr>
                <w:rFonts w:ascii="Calibri" w:hAnsi="Calibri"/>
                <w:highlight w:val="none"/>
                <w:lang w:val="zh-CN"/>
              </w:rPr>
            </w:pPr>
            <w:r>
              <w:rPr>
                <w:rFonts w:hint="eastAsia" w:ascii="Calibri" w:hAnsi="Calibri"/>
                <w:highlight w:val="none"/>
                <w:lang w:val="zh-CN"/>
              </w:rPr>
              <w:t>姓    名</w:t>
            </w:r>
          </w:p>
        </w:tc>
        <w:tc>
          <w:tcPr>
            <w:tcW w:w="4572" w:type="dxa"/>
            <w:tcBorders>
              <w:top w:val="single" w:color="auto" w:sz="4" w:space="0"/>
              <w:left w:val="single" w:color="auto" w:sz="4" w:space="0"/>
              <w:bottom w:val="single" w:color="auto" w:sz="4" w:space="0"/>
              <w:right w:val="single" w:color="auto" w:sz="4" w:space="0"/>
            </w:tcBorders>
            <w:vAlign w:val="center"/>
          </w:tcPr>
          <w:p w14:paraId="574F3FC0">
            <w:pPr>
              <w:spacing w:line="400" w:lineRule="exact"/>
              <w:jc w:val="center"/>
              <w:rPr>
                <w:rFonts w:ascii="Calibri" w:hAnsi="Calibri"/>
                <w:highlight w:val="none"/>
              </w:rPr>
            </w:pPr>
          </w:p>
        </w:tc>
      </w:tr>
      <w:tr w14:paraId="3B69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745" w:type="dxa"/>
            <w:gridSpan w:val="2"/>
            <w:vMerge w:val="continue"/>
            <w:tcBorders>
              <w:left w:val="single" w:color="auto" w:sz="4" w:space="0"/>
              <w:right w:val="single" w:color="auto" w:sz="4" w:space="0"/>
            </w:tcBorders>
            <w:vAlign w:val="center"/>
          </w:tcPr>
          <w:p w14:paraId="1F2284B2">
            <w:pPr>
              <w:ind w:firstLine="480"/>
              <w:rPr>
                <w:rFonts w:ascii="Calibri" w:hAnsi="Calibri"/>
                <w:highlight w:val="none"/>
              </w:rPr>
            </w:pPr>
          </w:p>
        </w:tc>
        <w:tc>
          <w:tcPr>
            <w:tcW w:w="2225" w:type="dxa"/>
            <w:tcBorders>
              <w:top w:val="single" w:color="auto" w:sz="4" w:space="0"/>
              <w:left w:val="single" w:color="auto" w:sz="4" w:space="0"/>
              <w:bottom w:val="single" w:color="auto" w:sz="4" w:space="0"/>
              <w:right w:val="single" w:color="auto" w:sz="4" w:space="0"/>
            </w:tcBorders>
            <w:vAlign w:val="center"/>
          </w:tcPr>
          <w:p w14:paraId="57687765">
            <w:pPr>
              <w:spacing w:line="400" w:lineRule="exact"/>
              <w:jc w:val="center"/>
              <w:rPr>
                <w:rFonts w:ascii="Calibri" w:hAnsi="Calibri"/>
                <w:highlight w:val="none"/>
                <w:lang w:val="zh-CN"/>
              </w:rPr>
            </w:pPr>
            <w:r>
              <w:rPr>
                <w:rFonts w:hint="eastAsia" w:ascii="Calibri" w:hAnsi="Calibri"/>
                <w:highlight w:val="none"/>
              </w:rPr>
              <w:t>注册证</w:t>
            </w:r>
            <w:r>
              <w:rPr>
                <w:rFonts w:hint="eastAsia" w:ascii="Calibri" w:hAnsi="Calibri"/>
                <w:highlight w:val="none"/>
                <w:lang w:val="zh-CN"/>
              </w:rPr>
              <w:t>编号</w:t>
            </w:r>
          </w:p>
        </w:tc>
        <w:tc>
          <w:tcPr>
            <w:tcW w:w="4572" w:type="dxa"/>
            <w:tcBorders>
              <w:top w:val="single" w:color="auto" w:sz="4" w:space="0"/>
              <w:left w:val="single" w:color="auto" w:sz="4" w:space="0"/>
              <w:bottom w:val="single" w:color="auto" w:sz="4" w:space="0"/>
              <w:right w:val="single" w:color="auto" w:sz="4" w:space="0"/>
            </w:tcBorders>
            <w:vAlign w:val="center"/>
          </w:tcPr>
          <w:p w14:paraId="59761BCB">
            <w:pPr>
              <w:spacing w:line="400" w:lineRule="exact"/>
              <w:jc w:val="center"/>
              <w:rPr>
                <w:rFonts w:ascii="Calibri" w:hAnsi="Calibri"/>
                <w:highlight w:val="none"/>
              </w:rPr>
            </w:pPr>
          </w:p>
        </w:tc>
      </w:tr>
      <w:tr w14:paraId="69AF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45" w:type="dxa"/>
            <w:gridSpan w:val="2"/>
            <w:vMerge w:val="restart"/>
            <w:tcBorders>
              <w:left w:val="single" w:color="auto" w:sz="4" w:space="0"/>
              <w:right w:val="single" w:color="auto" w:sz="4" w:space="0"/>
            </w:tcBorders>
            <w:vAlign w:val="center"/>
          </w:tcPr>
          <w:p w14:paraId="0E58993D">
            <w:pPr>
              <w:spacing w:line="400" w:lineRule="exact"/>
              <w:jc w:val="center"/>
              <w:rPr>
                <w:rFonts w:ascii="Calibri" w:hAnsi="Calibri"/>
                <w:highlight w:val="none"/>
                <w:lang w:val="zh-CN"/>
              </w:rPr>
            </w:pPr>
            <w:r>
              <w:rPr>
                <w:rFonts w:hint="eastAsia" w:ascii="Calibri" w:hAnsi="Calibri"/>
                <w:highlight w:val="none"/>
              </w:rPr>
              <w:t>设计负责人</w:t>
            </w:r>
          </w:p>
        </w:tc>
        <w:tc>
          <w:tcPr>
            <w:tcW w:w="2225" w:type="dxa"/>
            <w:tcBorders>
              <w:top w:val="single" w:color="auto" w:sz="4" w:space="0"/>
              <w:left w:val="single" w:color="auto" w:sz="4" w:space="0"/>
              <w:bottom w:val="single" w:color="auto" w:sz="4" w:space="0"/>
              <w:right w:val="single" w:color="auto" w:sz="4" w:space="0"/>
            </w:tcBorders>
            <w:vAlign w:val="center"/>
          </w:tcPr>
          <w:p w14:paraId="4BA73F78">
            <w:pPr>
              <w:spacing w:line="400" w:lineRule="exact"/>
              <w:jc w:val="center"/>
              <w:rPr>
                <w:rFonts w:ascii="Calibri" w:hAnsi="Calibri"/>
                <w:highlight w:val="none"/>
                <w:lang w:val="zh-CN"/>
              </w:rPr>
            </w:pPr>
            <w:r>
              <w:rPr>
                <w:rFonts w:hint="eastAsia" w:ascii="Calibri" w:hAnsi="Calibri"/>
                <w:highlight w:val="none"/>
                <w:lang w:val="zh-CN"/>
              </w:rPr>
              <w:t>姓    名</w:t>
            </w:r>
          </w:p>
        </w:tc>
        <w:tc>
          <w:tcPr>
            <w:tcW w:w="4572" w:type="dxa"/>
            <w:tcBorders>
              <w:top w:val="single" w:color="auto" w:sz="4" w:space="0"/>
              <w:left w:val="single" w:color="auto" w:sz="4" w:space="0"/>
              <w:bottom w:val="single" w:color="auto" w:sz="4" w:space="0"/>
              <w:right w:val="single" w:color="auto" w:sz="4" w:space="0"/>
            </w:tcBorders>
            <w:vAlign w:val="center"/>
          </w:tcPr>
          <w:p w14:paraId="0D40EC4A">
            <w:pPr>
              <w:spacing w:line="400" w:lineRule="exact"/>
              <w:jc w:val="center"/>
              <w:rPr>
                <w:rFonts w:ascii="Calibri" w:hAnsi="Calibri"/>
                <w:highlight w:val="none"/>
              </w:rPr>
            </w:pPr>
          </w:p>
        </w:tc>
      </w:tr>
      <w:tr w14:paraId="1EAC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45" w:type="dxa"/>
            <w:gridSpan w:val="2"/>
            <w:vMerge w:val="continue"/>
            <w:tcBorders>
              <w:left w:val="single" w:color="auto" w:sz="4" w:space="0"/>
              <w:bottom w:val="single" w:color="auto" w:sz="4" w:space="0"/>
              <w:right w:val="single" w:color="auto" w:sz="4" w:space="0"/>
            </w:tcBorders>
            <w:vAlign w:val="center"/>
          </w:tcPr>
          <w:p w14:paraId="1EE4E860">
            <w:pPr>
              <w:ind w:firstLine="480"/>
              <w:rPr>
                <w:rFonts w:ascii="Calibri" w:hAnsi="Calibri"/>
                <w:highlight w:val="none"/>
              </w:rPr>
            </w:pPr>
          </w:p>
        </w:tc>
        <w:tc>
          <w:tcPr>
            <w:tcW w:w="2225" w:type="dxa"/>
            <w:tcBorders>
              <w:top w:val="single" w:color="auto" w:sz="4" w:space="0"/>
              <w:left w:val="single" w:color="auto" w:sz="4" w:space="0"/>
              <w:bottom w:val="single" w:color="auto" w:sz="4" w:space="0"/>
              <w:right w:val="single" w:color="auto" w:sz="4" w:space="0"/>
            </w:tcBorders>
            <w:vAlign w:val="center"/>
          </w:tcPr>
          <w:p w14:paraId="60192D4A">
            <w:pPr>
              <w:spacing w:line="400" w:lineRule="exact"/>
              <w:jc w:val="center"/>
              <w:rPr>
                <w:rFonts w:ascii="Calibri" w:hAnsi="Calibri"/>
                <w:highlight w:val="none"/>
                <w:lang w:val="zh-CN"/>
              </w:rPr>
            </w:pPr>
            <w:r>
              <w:rPr>
                <w:rFonts w:hint="eastAsia" w:ascii="Calibri" w:hAnsi="Calibri"/>
                <w:highlight w:val="none"/>
              </w:rPr>
              <w:t>证书</w:t>
            </w:r>
            <w:r>
              <w:rPr>
                <w:rFonts w:hint="eastAsia" w:ascii="Calibri" w:hAnsi="Calibri"/>
                <w:highlight w:val="none"/>
                <w:lang w:val="zh-CN"/>
              </w:rPr>
              <w:t>编号</w:t>
            </w:r>
          </w:p>
          <w:p w14:paraId="52FDFF4D">
            <w:pPr>
              <w:spacing w:line="400" w:lineRule="exact"/>
              <w:jc w:val="center"/>
              <w:rPr>
                <w:rFonts w:ascii="Calibri" w:hAnsi="Calibri"/>
                <w:highlight w:val="none"/>
                <w:lang w:val="zh-CN"/>
              </w:rPr>
            </w:pPr>
            <w:r>
              <w:rPr>
                <w:rFonts w:hint="eastAsia" w:ascii="Calibri" w:hAnsi="Calibri"/>
                <w:highlight w:val="none"/>
                <w:lang w:val="zh-CN"/>
              </w:rPr>
              <w:t>（注册建筑师编号）</w:t>
            </w:r>
          </w:p>
        </w:tc>
        <w:tc>
          <w:tcPr>
            <w:tcW w:w="4572" w:type="dxa"/>
            <w:tcBorders>
              <w:top w:val="single" w:color="auto" w:sz="4" w:space="0"/>
              <w:left w:val="single" w:color="auto" w:sz="4" w:space="0"/>
              <w:bottom w:val="single" w:color="auto" w:sz="4" w:space="0"/>
              <w:right w:val="single" w:color="auto" w:sz="4" w:space="0"/>
            </w:tcBorders>
            <w:vAlign w:val="center"/>
          </w:tcPr>
          <w:p w14:paraId="010588FE">
            <w:pPr>
              <w:spacing w:line="400" w:lineRule="exact"/>
              <w:jc w:val="center"/>
              <w:rPr>
                <w:rFonts w:ascii="Calibri" w:hAnsi="Calibri"/>
                <w:highlight w:val="none"/>
              </w:rPr>
            </w:pPr>
          </w:p>
        </w:tc>
      </w:tr>
      <w:tr w14:paraId="6844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45" w:type="dxa"/>
            <w:gridSpan w:val="2"/>
            <w:vMerge w:val="restart"/>
            <w:tcBorders>
              <w:left w:val="single" w:color="auto" w:sz="4" w:space="0"/>
              <w:bottom w:val="single" w:color="auto" w:sz="4" w:space="0"/>
              <w:right w:val="single" w:color="auto" w:sz="4" w:space="0"/>
            </w:tcBorders>
            <w:vAlign w:val="center"/>
          </w:tcPr>
          <w:p w14:paraId="68B63FEB">
            <w:pPr>
              <w:spacing w:line="400" w:lineRule="exact"/>
              <w:jc w:val="center"/>
              <w:rPr>
                <w:rFonts w:ascii="Calibri" w:hAnsi="Calibri"/>
                <w:highlight w:val="none"/>
              </w:rPr>
            </w:pPr>
            <w:r>
              <w:rPr>
                <w:rFonts w:hint="eastAsia" w:ascii="Calibri" w:hAnsi="Calibri"/>
                <w:highlight w:val="none"/>
                <w:lang w:val="zh-CN"/>
              </w:rPr>
              <w:t>技术负责人</w:t>
            </w:r>
          </w:p>
        </w:tc>
        <w:tc>
          <w:tcPr>
            <w:tcW w:w="2225" w:type="dxa"/>
            <w:tcBorders>
              <w:top w:val="single" w:color="auto" w:sz="4" w:space="0"/>
              <w:left w:val="single" w:color="auto" w:sz="4" w:space="0"/>
              <w:bottom w:val="single" w:color="auto" w:sz="4" w:space="0"/>
              <w:right w:val="single" w:color="auto" w:sz="4" w:space="0"/>
            </w:tcBorders>
            <w:vAlign w:val="center"/>
          </w:tcPr>
          <w:p w14:paraId="36F571EF">
            <w:pPr>
              <w:spacing w:line="400" w:lineRule="exact"/>
              <w:jc w:val="center"/>
              <w:rPr>
                <w:rFonts w:ascii="Calibri" w:hAnsi="Calibri"/>
                <w:highlight w:val="none"/>
                <w:lang w:val="zh-CN"/>
              </w:rPr>
            </w:pPr>
            <w:r>
              <w:rPr>
                <w:rFonts w:hint="eastAsia" w:ascii="Calibri" w:hAnsi="Calibri"/>
                <w:highlight w:val="none"/>
                <w:lang w:val="zh-CN"/>
              </w:rPr>
              <w:t>姓    名</w:t>
            </w:r>
          </w:p>
        </w:tc>
        <w:tc>
          <w:tcPr>
            <w:tcW w:w="4572" w:type="dxa"/>
            <w:tcBorders>
              <w:top w:val="single" w:color="auto" w:sz="4" w:space="0"/>
              <w:left w:val="single" w:color="auto" w:sz="4" w:space="0"/>
              <w:bottom w:val="single" w:color="auto" w:sz="4" w:space="0"/>
              <w:right w:val="single" w:color="auto" w:sz="4" w:space="0"/>
            </w:tcBorders>
            <w:vAlign w:val="center"/>
          </w:tcPr>
          <w:p w14:paraId="19730CB9">
            <w:pPr>
              <w:spacing w:line="400" w:lineRule="exact"/>
              <w:jc w:val="center"/>
              <w:rPr>
                <w:rFonts w:ascii="Calibri" w:hAnsi="Calibri"/>
                <w:highlight w:val="none"/>
              </w:rPr>
            </w:pPr>
          </w:p>
        </w:tc>
      </w:tr>
      <w:tr w14:paraId="21A8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45" w:type="dxa"/>
            <w:gridSpan w:val="2"/>
            <w:vMerge w:val="continue"/>
            <w:tcBorders>
              <w:left w:val="single" w:color="auto" w:sz="4" w:space="0"/>
              <w:bottom w:val="single" w:color="auto" w:sz="4" w:space="0"/>
              <w:right w:val="single" w:color="auto" w:sz="4" w:space="0"/>
            </w:tcBorders>
            <w:vAlign w:val="center"/>
          </w:tcPr>
          <w:p w14:paraId="42882100">
            <w:pPr>
              <w:spacing w:line="400" w:lineRule="exact"/>
              <w:ind w:firstLine="420" w:firstLineChars="200"/>
              <w:jc w:val="center"/>
              <w:rPr>
                <w:rFonts w:ascii="Calibri" w:hAnsi="Calibri"/>
                <w:highlight w:val="none"/>
              </w:rPr>
            </w:pPr>
          </w:p>
        </w:tc>
        <w:tc>
          <w:tcPr>
            <w:tcW w:w="2225" w:type="dxa"/>
            <w:tcBorders>
              <w:top w:val="single" w:color="auto" w:sz="4" w:space="0"/>
              <w:left w:val="single" w:color="auto" w:sz="4" w:space="0"/>
              <w:bottom w:val="single" w:color="auto" w:sz="4" w:space="0"/>
              <w:right w:val="single" w:color="auto" w:sz="4" w:space="0"/>
            </w:tcBorders>
            <w:vAlign w:val="center"/>
          </w:tcPr>
          <w:p w14:paraId="509C9FE5">
            <w:pPr>
              <w:spacing w:line="400" w:lineRule="exact"/>
              <w:jc w:val="center"/>
              <w:rPr>
                <w:rFonts w:ascii="Calibri" w:hAnsi="Calibri"/>
                <w:highlight w:val="none"/>
                <w:lang w:val="zh-CN"/>
              </w:rPr>
            </w:pPr>
            <w:r>
              <w:rPr>
                <w:rFonts w:hint="eastAsia" w:ascii="Calibri" w:hAnsi="Calibri"/>
                <w:highlight w:val="none"/>
                <w:lang w:val="zh-CN"/>
              </w:rPr>
              <w:t>（</w:t>
            </w:r>
            <w:r>
              <w:rPr>
                <w:rFonts w:hint="eastAsia" w:ascii="Calibri" w:hAnsi="Calibri"/>
                <w:highlight w:val="none"/>
              </w:rPr>
              <w:t>职称证</w:t>
            </w:r>
            <w:r>
              <w:rPr>
                <w:rFonts w:hint="eastAsia" w:ascii="Calibri" w:hAnsi="Calibri"/>
                <w:highlight w:val="none"/>
                <w:lang w:val="zh-CN"/>
              </w:rPr>
              <w:t>编号）</w:t>
            </w:r>
          </w:p>
        </w:tc>
        <w:tc>
          <w:tcPr>
            <w:tcW w:w="4572" w:type="dxa"/>
            <w:tcBorders>
              <w:top w:val="single" w:color="auto" w:sz="4" w:space="0"/>
              <w:left w:val="single" w:color="auto" w:sz="4" w:space="0"/>
              <w:bottom w:val="single" w:color="auto" w:sz="4" w:space="0"/>
              <w:right w:val="single" w:color="auto" w:sz="4" w:space="0"/>
            </w:tcBorders>
            <w:vAlign w:val="center"/>
          </w:tcPr>
          <w:p w14:paraId="60B03ED9">
            <w:pPr>
              <w:spacing w:line="400" w:lineRule="exact"/>
              <w:jc w:val="center"/>
              <w:rPr>
                <w:rFonts w:ascii="Calibri" w:hAnsi="Calibri"/>
                <w:highlight w:val="none"/>
              </w:rPr>
            </w:pPr>
          </w:p>
        </w:tc>
      </w:tr>
      <w:tr w14:paraId="147B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45" w:type="dxa"/>
            <w:gridSpan w:val="2"/>
            <w:vMerge w:val="restart"/>
            <w:tcBorders>
              <w:top w:val="single" w:color="auto" w:sz="4" w:space="0"/>
              <w:left w:val="single" w:color="auto" w:sz="4" w:space="0"/>
              <w:right w:val="single" w:color="auto" w:sz="4" w:space="0"/>
            </w:tcBorders>
            <w:vAlign w:val="center"/>
          </w:tcPr>
          <w:p w14:paraId="400A8234">
            <w:pPr>
              <w:spacing w:line="400" w:lineRule="exact"/>
              <w:jc w:val="center"/>
              <w:rPr>
                <w:rFonts w:ascii="Calibri" w:hAnsi="Calibri"/>
                <w:highlight w:val="none"/>
                <w:lang w:val="zh-CN"/>
              </w:rPr>
            </w:pPr>
            <w:r>
              <w:rPr>
                <w:rFonts w:hint="eastAsia" w:ascii="Calibri" w:hAnsi="Calibri"/>
                <w:highlight w:val="none"/>
                <w:lang w:val="zh-CN"/>
              </w:rPr>
              <w:t>委派的</w:t>
            </w:r>
            <w:r>
              <w:rPr>
                <w:rFonts w:hint="eastAsia" w:ascii="Calibri" w:hAnsi="Calibri"/>
                <w:highlight w:val="none"/>
              </w:rPr>
              <w:t>专职</w:t>
            </w:r>
            <w:r>
              <w:rPr>
                <w:rFonts w:hint="eastAsia" w:ascii="Calibri" w:hAnsi="Calibri"/>
                <w:highlight w:val="none"/>
                <w:lang w:val="zh-CN"/>
              </w:rPr>
              <w:t>安全员</w:t>
            </w:r>
          </w:p>
        </w:tc>
        <w:tc>
          <w:tcPr>
            <w:tcW w:w="2225" w:type="dxa"/>
            <w:tcBorders>
              <w:top w:val="single" w:color="auto" w:sz="4" w:space="0"/>
              <w:left w:val="single" w:color="auto" w:sz="4" w:space="0"/>
              <w:bottom w:val="single" w:color="auto" w:sz="4" w:space="0"/>
              <w:right w:val="single" w:color="auto" w:sz="4" w:space="0"/>
            </w:tcBorders>
            <w:vAlign w:val="center"/>
          </w:tcPr>
          <w:p w14:paraId="18B032CE">
            <w:pPr>
              <w:spacing w:line="400" w:lineRule="exact"/>
              <w:jc w:val="center"/>
              <w:rPr>
                <w:rFonts w:ascii="Calibri" w:hAnsi="Calibri"/>
                <w:highlight w:val="none"/>
                <w:lang w:val="zh-CN"/>
              </w:rPr>
            </w:pPr>
            <w:r>
              <w:rPr>
                <w:rFonts w:hint="eastAsia" w:ascii="Calibri" w:hAnsi="Calibri"/>
                <w:highlight w:val="none"/>
                <w:lang w:val="zh-CN"/>
              </w:rPr>
              <w:t>姓    名</w:t>
            </w:r>
          </w:p>
        </w:tc>
        <w:tc>
          <w:tcPr>
            <w:tcW w:w="4572" w:type="dxa"/>
            <w:tcBorders>
              <w:top w:val="single" w:color="auto" w:sz="4" w:space="0"/>
              <w:left w:val="single" w:color="auto" w:sz="4" w:space="0"/>
              <w:bottom w:val="single" w:color="auto" w:sz="4" w:space="0"/>
              <w:right w:val="single" w:color="auto" w:sz="4" w:space="0"/>
            </w:tcBorders>
            <w:vAlign w:val="center"/>
          </w:tcPr>
          <w:p w14:paraId="49ED5F8B">
            <w:pPr>
              <w:spacing w:line="400" w:lineRule="exact"/>
              <w:jc w:val="center"/>
              <w:rPr>
                <w:rFonts w:ascii="Calibri" w:hAnsi="Calibri"/>
                <w:highlight w:val="none"/>
              </w:rPr>
            </w:pPr>
          </w:p>
        </w:tc>
      </w:tr>
      <w:tr w14:paraId="0677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45" w:type="dxa"/>
            <w:gridSpan w:val="2"/>
            <w:vMerge w:val="continue"/>
            <w:tcBorders>
              <w:left w:val="single" w:color="auto" w:sz="4" w:space="0"/>
              <w:bottom w:val="single" w:color="auto" w:sz="4" w:space="0"/>
              <w:right w:val="single" w:color="auto" w:sz="4" w:space="0"/>
            </w:tcBorders>
            <w:vAlign w:val="center"/>
          </w:tcPr>
          <w:p w14:paraId="3CCA8BB3">
            <w:pPr>
              <w:ind w:firstLine="480"/>
              <w:rPr>
                <w:rFonts w:ascii="Calibri" w:hAnsi="Calibri"/>
                <w:highlight w:val="none"/>
              </w:rPr>
            </w:pPr>
          </w:p>
        </w:tc>
        <w:tc>
          <w:tcPr>
            <w:tcW w:w="2225" w:type="dxa"/>
            <w:tcBorders>
              <w:top w:val="single" w:color="auto" w:sz="4" w:space="0"/>
              <w:left w:val="single" w:color="auto" w:sz="4" w:space="0"/>
              <w:bottom w:val="single" w:color="auto" w:sz="4" w:space="0"/>
              <w:right w:val="single" w:color="auto" w:sz="4" w:space="0"/>
            </w:tcBorders>
            <w:vAlign w:val="center"/>
          </w:tcPr>
          <w:p w14:paraId="55301ABE">
            <w:pPr>
              <w:spacing w:line="400" w:lineRule="exact"/>
              <w:jc w:val="center"/>
              <w:rPr>
                <w:rFonts w:ascii="Calibri" w:hAnsi="Calibri"/>
                <w:highlight w:val="none"/>
                <w:lang w:val="zh-CN"/>
              </w:rPr>
            </w:pPr>
            <w:r>
              <w:rPr>
                <w:rFonts w:hint="eastAsia" w:ascii="Calibri" w:hAnsi="Calibri"/>
                <w:highlight w:val="none"/>
                <w:lang w:val="zh-CN"/>
              </w:rPr>
              <w:t>安全考核证书</w:t>
            </w:r>
          </w:p>
          <w:p w14:paraId="57975E1B">
            <w:pPr>
              <w:spacing w:line="400" w:lineRule="exact"/>
              <w:jc w:val="center"/>
              <w:rPr>
                <w:rFonts w:ascii="Calibri" w:hAnsi="Calibri"/>
                <w:highlight w:val="none"/>
                <w:lang w:val="zh-CN"/>
              </w:rPr>
            </w:pPr>
            <w:r>
              <w:rPr>
                <w:rFonts w:hint="eastAsia" w:ascii="Calibri" w:hAnsi="Calibri"/>
                <w:highlight w:val="none"/>
                <w:lang w:val="zh-CN"/>
              </w:rPr>
              <w:t>（C类或C3类）编号</w:t>
            </w:r>
          </w:p>
        </w:tc>
        <w:tc>
          <w:tcPr>
            <w:tcW w:w="4572" w:type="dxa"/>
            <w:tcBorders>
              <w:top w:val="single" w:color="auto" w:sz="4" w:space="0"/>
              <w:left w:val="single" w:color="auto" w:sz="4" w:space="0"/>
              <w:bottom w:val="single" w:color="auto" w:sz="4" w:space="0"/>
              <w:right w:val="single" w:color="auto" w:sz="4" w:space="0"/>
            </w:tcBorders>
            <w:vAlign w:val="center"/>
          </w:tcPr>
          <w:p w14:paraId="61F94D4F">
            <w:pPr>
              <w:spacing w:line="400" w:lineRule="exact"/>
              <w:jc w:val="center"/>
              <w:rPr>
                <w:rFonts w:ascii="Calibri" w:hAnsi="Calibri"/>
                <w:highlight w:val="none"/>
              </w:rPr>
            </w:pPr>
          </w:p>
        </w:tc>
      </w:tr>
      <w:tr w14:paraId="3C28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745" w:type="dxa"/>
            <w:gridSpan w:val="2"/>
            <w:tcBorders>
              <w:top w:val="single" w:color="auto" w:sz="4" w:space="0"/>
              <w:left w:val="single" w:color="auto" w:sz="4" w:space="0"/>
              <w:bottom w:val="single" w:color="auto" w:sz="4" w:space="0"/>
              <w:right w:val="single" w:color="auto" w:sz="4" w:space="0"/>
            </w:tcBorders>
            <w:vAlign w:val="center"/>
          </w:tcPr>
          <w:p w14:paraId="1387C708">
            <w:pPr>
              <w:spacing w:line="400" w:lineRule="exact"/>
              <w:jc w:val="center"/>
              <w:rPr>
                <w:rFonts w:ascii="Calibri" w:hAnsi="Calibri"/>
                <w:highlight w:val="none"/>
                <w:lang w:val="zh-CN"/>
              </w:rPr>
            </w:pPr>
            <w:bookmarkStart w:id="1086" w:name="_Toc355355216" w:colFirst="0" w:colLast="0"/>
            <w:bookmarkStart w:id="1087" w:name="_Toc439246069" w:colFirst="1" w:colLast="1"/>
            <w:bookmarkStart w:id="1088" w:name="_Toc260129717" w:colFirst="0" w:colLast="0"/>
            <w:r>
              <w:rPr>
                <w:rFonts w:hint="eastAsia" w:ascii="Calibri" w:hAnsi="Calibri"/>
                <w:highlight w:val="none"/>
                <w:lang w:val="zh-CN"/>
              </w:rPr>
              <w:t>投标有效期</w:t>
            </w:r>
          </w:p>
        </w:tc>
        <w:tc>
          <w:tcPr>
            <w:tcW w:w="6797" w:type="dxa"/>
            <w:gridSpan w:val="2"/>
            <w:tcBorders>
              <w:top w:val="single" w:color="auto" w:sz="4" w:space="0"/>
              <w:left w:val="single" w:color="auto" w:sz="4" w:space="0"/>
              <w:bottom w:val="single" w:color="auto" w:sz="4" w:space="0"/>
              <w:right w:val="single" w:color="auto" w:sz="4" w:space="0"/>
            </w:tcBorders>
            <w:vAlign w:val="center"/>
          </w:tcPr>
          <w:p w14:paraId="491E5403">
            <w:pPr>
              <w:spacing w:line="400" w:lineRule="exact"/>
              <w:jc w:val="left"/>
              <w:rPr>
                <w:rFonts w:ascii="Calibri" w:hAnsi="Calibri"/>
                <w:highlight w:val="none"/>
              </w:rPr>
            </w:pPr>
            <w:r>
              <w:rPr>
                <w:rFonts w:hint="eastAsia" w:ascii="Calibri" w:hAnsi="Calibri"/>
                <w:highlight w:val="none"/>
                <w:lang w:val="zh-CN"/>
              </w:rPr>
              <w:t>按招标文件要求</w:t>
            </w:r>
          </w:p>
        </w:tc>
      </w:tr>
      <w:bookmarkEnd w:id="1086"/>
      <w:bookmarkEnd w:id="1087"/>
      <w:bookmarkEnd w:id="1088"/>
      <w:tr w14:paraId="0F21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745" w:type="dxa"/>
            <w:gridSpan w:val="2"/>
            <w:tcBorders>
              <w:top w:val="single" w:color="auto" w:sz="4" w:space="0"/>
              <w:left w:val="single" w:color="auto" w:sz="4" w:space="0"/>
              <w:bottom w:val="single" w:color="auto" w:sz="4" w:space="0"/>
              <w:right w:val="single" w:color="auto" w:sz="4" w:space="0"/>
            </w:tcBorders>
            <w:vAlign w:val="center"/>
          </w:tcPr>
          <w:p w14:paraId="4294452B">
            <w:pPr>
              <w:spacing w:line="400" w:lineRule="exact"/>
              <w:jc w:val="center"/>
              <w:rPr>
                <w:rFonts w:ascii="Calibri" w:hAnsi="Calibri"/>
                <w:highlight w:val="none"/>
              </w:rPr>
            </w:pPr>
            <w:bookmarkStart w:id="1089" w:name="_Toc439246070"/>
            <w:bookmarkStart w:id="1090" w:name="_Toc439240671"/>
            <w:r>
              <w:rPr>
                <w:rFonts w:hint="eastAsia" w:ascii="Calibri" w:hAnsi="Calibri"/>
                <w:highlight w:val="none"/>
              </w:rPr>
              <w:t>法定代表</w:t>
            </w:r>
            <w:bookmarkEnd w:id="1089"/>
            <w:bookmarkEnd w:id="1090"/>
            <w:r>
              <w:rPr>
                <w:rFonts w:hint="eastAsia" w:ascii="Calibri" w:hAnsi="Calibri"/>
                <w:highlight w:val="none"/>
              </w:rPr>
              <w:t>人或其委托代理人</w:t>
            </w:r>
          </w:p>
          <w:p w14:paraId="7B2F3E90">
            <w:pPr>
              <w:spacing w:line="400" w:lineRule="exact"/>
              <w:jc w:val="center"/>
              <w:rPr>
                <w:rFonts w:ascii="Calibri" w:hAnsi="Calibri"/>
                <w:highlight w:val="none"/>
                <w:lang w:val="zh-CN"/>
              </w:rPr>
            </w:pPr>
            <w:r>
              <w:rPr>
                <w:rFonts w:hint="eastAsia" w:ascii="Calibri" w:hAnsi="Calibri"/>
                <w:highlight w:val="none"/>
              </w:rPr>
              <w:t>（签字或盖章）</w:t>
            </w:r>
          </w:p>
        </w:tc>
        <w:tc>
          <w:tcPr>
            <w:tcW w:w="6797" w:type="dxa"/>
            <w:gridSpan w:val="2"/>
            <w:tcBorders>
              <w:top w:val="single" w:color="auto" w:sz="4" w:space="0"/>
              <w:left w:val="single" w:color="auto" w:sz="4" w:space="0"/>
              <w:bottom w:val="single" w:color="auto" w:sz="4" w:space="0"/>
              <w:right w:val="single" w:color="auto" w:sz="4" w:space="0"/>
            </w:tcBorders>
            <w:vAlign w:val="center"/>
          </w:tcPr>
          <w:p w14:paraId="169E82B6">
            <w:pPr>
              <w:spacing w:line="400" w:lineRule="exact"/>
              <w:jc w:val="center"/>
              <w:rPr>
                <w:rFonts w:ascii="Calibri" w:hAnsi="Calibri"/>
                <w:highlight w:val="none"/>
              </w:rPr>
            </w:pPr>
          </w:p>
        </w:tc>
      </w:tr>
      <w:tr w14:paraId="3D3F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2745" w:type="dxa"/>
            <w:gridSpan w:val="2"/>
            <w:tcBorders>
              <w:top w:val="single" w:color="auto" w:sz="4" w:space="0"/>
              <w:left w:val="single" w:color="auto" w:sz="4" w:space="0"/>
              <w:bottom w:val="single" w:color="auto" w:sz="4" w:space="0"/>
              <w:right w:val="single" w:color="auto" w:sz="4" w:space="0"/>
            </w:tcBorders>
            <w:vAlign w:val="center"/>
          </w:tcPr>
          <w:p w14:paraId="245A6139">
            <w:pPr>
              <w:spacing w:line="400" w:lineRule="exact"/>
              <w:jc w:val="center"/>
              <w:rPr>
                <w:rFonts w:ascii="Calibri" w:hAnsi="Calibri"/>
                <w:highlight w:val="none"/>
                <w:lang w:val="zh-CN"/>
              </w:rPr>
            </w:pPr>
            <w:r>
              <w:rPr>
                <w:rFonts w:hint="eastAsia" w:ascii="Calibri" w:hAnsi="Calibri"/>
                <w:highlight w:val="none"/>
                <w:lang w:val="zh-CN"/>
              </w:rPr>
              <w:t>投标</w:t>
            </w:r>
            <w:r>
              <w:rPr>
                <w:rFonts w:hint="eastAsia" w:ascii="Calibri" w:hAnsi="Calibri"/>
                <w:highlight w:val="none"/>
              </w:rPr>
              <w:t>人</w:t>
            </w:r>
            <w:r>
              <w:rPr>
                <w:rFonts w:hint="eastAsia" w:ascii="Calibri" w:hAnsi="Calibri"/>
                <w:highlight w:val="none"/>
                <w:lang w:val="zh-CN"/>
              </w:rPr>
              <w:t>（盖章）</w:t>
            </w:r>
          </w:p>
        </w:tc>
        <w:tc>
          <w:tcPr>
            <w:tcW w:w="6797" w:type="dxa"/>
            <w:gridSpan w:val="2"/>
            <w:tcBorders>
              <w:top w:val="single" w:color="auto" w:sz="4" w:space="0"/>
              <w:left w:val="single" w:color="auto" w:sz="4" w:space="0"/>
              <w:bottom w:val="single" w:color="auto" w:sz="4" w:space="0"/>
              <w:right w:val="single" w:color="auto" w:sz="4" w:space="0"/>
            </w:tcBorders>
            <w:vAlign w:val="center"/>
          </w:tcPr>
          <w:p w14:paraId="2C86D38C">
            <w:pPr>
              <w:spacing w:line="400" w:lineRule="exact"/>
              <w:jc w:val="center"/>
              <w:rPr>
                <w:rFonts w:ascii="Calibri" w:hAnsi="Calibri"/>
                <w:highlight w:val="none"/>
              </w:rPr>
            </w:pPr>
          </w:p>
        </w:tc>
      </w:tr>
    </w:tbl>
    <w:p w14:paraId="2121BEB3">
      <w:pPr>
        <w:pStyle w:val="22"/>
        <w:rPr>
          <w:rFonts w:hint="eastAsia" w:hAnsi="宋体" w:cs="宋体"/>
          <w:sz w:val="18"/>
          <w:szCs w:val="18"/>
          <w:highlight w:val="none"/>
        </w:rPr>
      </w:pPr>
      <w:r>
        <w:rPr>
          <w:rFonts w:hint="eastAsia" w:hAnsi="宋体" w:cs="宋体"/>
          <w:b/>
          <w:bCs/>
          <w:sz w:val="18"/>
          <w:szCs w:val="18"/>
          <w:highlight w:val="none"/>
        </w:rPr>
        <w:t>注：</w:t>
      </w:r>
      <w:r>
        <w:rPr>
          <w:rFonts w:hint="eastAsia" w:hAnsi="宋体" w:cs="宋体"/>
          <w:sz w:val="18"/>
          <w:szCs w:val="18"/>
          <w:highlight w:val="none"/>
        </w:rPr>
        <w:t>（1）联合体投标的，“投标人”一栏需书写所有联合体成员的单位全称，可由主办方签署、盖章。</w:t>
      </w:r>
    </w:p>
    <w:p w14:paraId="6A4FEBF0">
      <w:pPr>
        <w:pStyle w:val="22"/>
        <w:ind w:firstLine="360" w:firstLineChars="200"/>
        <w:rPr>
          <w:rFonts w:hint="eastAsia" w:hAnsi="宋体" w:cs="宋体"/>
          <w:sz w:val="18"/>
          <w:szCs w:val="18"/>
          <w:highlight w:val="none"/>
        </w:rPr>
      </w:pPr>
      <w:r>
        <w:rPr>
          <w:rFonts w:hint="eastAsia" w:hAnsi="宋体" w:cs="宋体"/>
          <w:sz w:val="18"/>
          <w:szCs w:val="18"/>
          <w:highlight w:val="none"/>
        </w:rPr>
        <w:t>（2）投标报价的大写金额和小写金额不一致的，以大写金额为准，投标报价精确到小数点后两位。</w:t>
      </w:r>
    </w:p>
    <w:p w14:paraId="63E03472">
      <w:pPr>
        <w:ind w:firstLine="360" w:firstLineChars="200"/>
        <w:rPr>
          <w:rFonts w:hint="eastAsia" w:ascii="宋体" w:hAnsi="宋体" w:cs="宋体"/>
          <w:sz w:val="18"/>
          <w:szCs w:val="18"/>
          <w:highlight w:val="none"/>
          <w:lang w:val="zh-CN"/>
        </w:rPr>
      </w:pPr>
      <w:r>
        <w:rPr>
          <w:rFonts w:hint="eastAsia" w:ascii="宋体" w:hAnsi="宋体" w:cs="宋体"/>
          <w:sz w:val="18"/>
          <w:szCs w:val="18"/>
          <w:highlight w:val="none"/>
          <w:lang w:val="zh-CN"/>
        </w:rPr>
        <w:t>（3）“质量标准”“投标工期”“保修期限”可以填写“按招标文件要求”或按招标文件内容填写。</w:t>
      </w:r>
    </w:p>
    <w:p w14:paraId="74B910CC">
      <w:pPr>
        <w:rPr>
          <w:highlight w:val="none"/>
        </w:rPr>
      </w:pPr>
    </w:p>
    <w:p w14:paraId="1E55219A">
      <w:pPr>
        <w:pStyle w:val="22"/>
        <w:rPr>
          <w:highlight w:val="none"/>
        </w:rPr>
      </w:pPr>
    </w:p>
    <w:p w14:paraId="5B6FA959">
      <w:pPr>
        <w:pStyle w:val="22"/>
        <w:rPr>
          <w:highlight w:val="none"/>
        </w:rPr>
      </w:pPr>
    </w:p>
    <w:p w14:paraId="46B1A0AE">
      <w:pPr>
        <w:pStyle w:val="22"/>
        <w:rPr>
          <w:highlight w:val="none"/>
        </w:rPr>
      </w:pPr>
    </w:p>
    <w:p w14:paraId="3900A04B">
      <w:pPr>
        <w:pStyle w:val="22"/>
        <w:rPr>
          <w:highlight w:val="none"/>
        </w:rPr>
        <w:sectPr>
          <w:headerReference r:id="rId14" w:type="default"/>
          <w:footerReference r:id="rId15" w:type="default"/>
          <w:pgSz w:w="11906" w:h="16838"/>
          <w:pgMar w:top="1440" w:right="1440" w:bottom="1440" w:left="1440" w:header="851" w:footer="992" w:gutter="0"/>
          <w:cols w:space="720" w:num="1"/>
          <w:docGrid w:type="lines" w:linePitch="312" w:charSpace="0"/>
        </w:sectPr>
      </w:pPr>
    </w:p>
    <w:p w14:paraId="275C8EED">
      <w:pPr>
        <w:widowControl/>
        <w:adjustRightInd w:val="0"/>
        <w:snapToGrid w:val="0"/>
        <w:ind w:right="102"/>
        <w:jc w:val="left"/>
        <w:rPr>
          <w:rFonts w:hint="eastAsia" w:ascii="宋体" w:hAnsi="宋体" w:cs="宋体"/>
          <w:b/>
          <w:bCs/>
          <w:sz w:val="36"/>
          <w:szCs w:val="32"/>
          <w:highlight w:val="none"/>
          <w:lang w:val="zh-CN"/>
        </w:rPr>
      </w:pPr>
      <w:r>
        <w:rPr>
          <w:rFonts w:hint="eastAsia" w:ascii="宋体" w:hAnsi="宋体" w:cs="宋体"/>
          <w:b/>
          <w:sz w:val="28"/>
          <w:highlight w:val="none"/>
        </w:rPr>
        <w:t>格式4：</w:t>
      </w:r>
    </w:p>
    <w:p w14:paraId="1BCCD5A8">
      <w:pPr>
        <w:widowControl/>
        <w:adjustRightInd w:val="0"/>
        <w:snapToGrid w:val="0"/>
        <w:ind w:right="102"/>
        <w:jc w:val="center"/>
        <w:rPr>
          <w:rFonts w:hint="eastAsia" w:ascii="宋体" w:hAnsi="宋体" w:cs="宋体"/>
          <w:b/>
          <w:bCs/>
          <w:sz w:val="28"/>
          <w:szCs w:val="28"/>
          <w:highlight w:val="none"/>
          <w:lang w:val="zh-CN"/>
        </w:rPr>
      </w:pPr>
      <w:r>
        <w:rPr>
          <w:rFonts w:hint="eastAsia" w:ascii="宋体" w:hAnsi="宋体" w:cs="宋体"/>
          <w:b/>
          <w:bCs/>
          <w:sz w:val="36"/>
          <w:szCs w:val="32"/>
          <w:highlight w:val="none"/>
          <w:lang w:val="zh-CN"/>
        </w:rPr>
        <w:t>投标承诺函</w:t>
      </w:r>
    </w:p>
    <w:p w14:paraId="20ECA996">
      <w:pPr>
        <w:spacing w:line="360" w:lineRule="auto"/>
        <w:jc w:val="center"/>
        <w:rPr>
          <w:rFonts w:hint="eastAsia" w:ascii="宋体" w:hAnsi="宋体" w:cs="宋体"/>
          <w:b/>
          <w:sz w:val="24"/>
          <w:szCs w:val="24"/>
          <w:highlight w:val="none"/>
        </w:rPr>
      </w:pPr>
    </w:p>
    <w:p w14:paraId="6C3B8FAA">
      <w:pPr>
        <w:spacing w:line="360" w:lineRule="auto"/>
        <w:rPr>
          <w:rFonts w:hint="eastAsia" w:ascii="宋体" w:hAnsi="宋体" w:cs="宋体"/>
          <w:szCs w:val="21"/>
          <w:highlight w:val="none"/>
        </w:rPr>
      </w:pPr>
      <w:r>
        <w:rPr>
          <w:rFonts w:hint="eastAsia" w:ascii="宋体" w:hAnsi="宋体" w:cs="宋体"/>
          <w:szCs w:val="21"/>
          <w:highlight w:val="none"/>
        </w:rPr>
        <w:t>致：</w:t>
      </w:r>
      <w:r>
        <w:rPr>
          <w:rFonts w:hint="eastAsia" w:ascii="宋体" w:hAnsi="宋体" w:cs="宋体"/>
          <w:szCs w:val="21"/>
          <w:highlight w:val="none"/>
          <w:u w:val="single"/>
        </w:rPr>
        <w:t xml:space="preserve">     （招标人名称）       </w:t>
      </w:r>
    </w:p>
    <w:p w14:paraId="00ACC62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我司确认收到贵司提供的</w:t>
      </w:r>
      <w:r>
        <w:rPr>
          <w:rFonts w:hint="eastAsia" w:ascii="宋体" w:hAnsi="宋体" w:cs="宋体"/>
          <w:szCs w:val="21"/>
          <w:highlight w:val="none"/>
          <w:u w:val="single"/>
        </w:rPr>
        <w:t xml:space="preserve">      （项目名称）      </w:t>
      </w:r>
      <w:r>
        <w:rPr>
          <w:rFonts w:hint="eastAsia" w:ascii="宋体" w:hAnsi="宋体" w:cs="宋体"/>
          <w:szCs w:val="21"/>
          <w:highlight w:val="none"/>
        </w:rPr>
        <w:t>招标文件的全部内容，我司：</w:t>
      </w:r>
      <w:r>
        <w:rPr>
          <w:rFonts w:hint="eastAsia" w:ascii="宋体" w:hAnsi="宋体" w:cs="宋体"/>
          <w:szCs w:val="21"/>
          <w:highlight w:val="none"/>
          <w:u w:val="single"/>
        </w:rPr>
        <w:t xml:space="preserve">       (投标人名称)      </w:t>
      </w:r>
      <w:r>
        <w:rPr>
          <w:rFonts w:hint="eastAsia" w:ascii="宋体" w:hAnsi="宋体" w:cs="宋体"/>
          <w:szCs w:val="21"/>
          <w:highlight w:val="none"/>
        </w:rPr>
        <w:t>已作为投标人正式授权</w:t>
      </w:r>
      <w:r>
        <w:rPr>
          <w:rFonts w:hint="eastAsia" w:ascii="宋体" w:hAnsi="宋体" w:cs="宋体"/>
          <w:szCs w:val="21"/>
          <w:highlight w:val="none"/>
          <w:u w:val="single"/>
        </w:rPr>
        <w:t xml:space="preserve">         (授权代表全名，职务)    </w:t>
      </w:r>
      <w:r>
        <w:rPr>
          <w:rFonts w:hint="eastAsia" w:ascii="宋体" w:hAnsi="宋体" w:cs="宋体"/>
          <w:szCs w:val="21"/>
          <w:highlight w:val="none"/>
        </w:rPr>
        <w:t>代表我司进行有关本次投标的一切事宜。</w:t>
      </w:r>
    </w:p>
    <w:p w14:paraId="61CFE90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我司已完全明白和接受招标文件的所有条款要求，并重申以下几点：</w:t>
      </w:r>
    </w:p>
    <w:p w14:paraId="3F622D9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125A979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 我司已充分阅读了本项目招标文件并充分了解有关报价方式及变更、结算方式，我司完全响应招标文件的规定。</w:t>
      </w:r>
    </w:p>
    <w:p w14:paraId="242D770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3．本投标文件的有效期为投标截止日后</w:t>
      </w:r>
      <w:r>
        <w:rPr>
          <w:rFonts w:hint="eastAsia" w:ascii="宋体" w:hAnsi="宋体" w:cs="宋体"/>
          <w:b/>
          <w:szCs w:val="21"/>
          <w:highlight w:val="none"/>
          <w:u w:val="single"/>
        </w:rPr>
        <w:t>90日历天</w:t>
      </w:r>
      <w:r>
        <w:rPr>
          <w:rFonts w:hint="eastAsia" w:ascii="宋体" w:hAnsi="宋体" w:cs="宋体"/>
          <w:szCs w:val="21"/>
          <w:highlight w:val="none"/>
        </w:rPr>
        <w:t>内有效；</w:t>
      </w:r>
    </w:p>
    <w:p w14:paraId="289016B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4．我司承诺投标文件中的一切资料、数据是真实的，并承担由此引起的一切责任。</w:t>
      </w:r>
    </w:p>
    <w:p w14:paraId="2323D2F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5．我司明白并愿意若在规定的投标截止时间之后至投标有效期之内撤回投标，则投标保证金将被贵单位没收。</w:t>
      </w:r>
    </w:p>
    <w:p w14:paraId="2B13C12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6．我司同意按照贵司可能提出的要求而提供与投标有关的任何其它数据或信息。</w:t>
      </w:r>
    </w:p>
    <w:p w14:paraId="7444F17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7．我司如果中标，我司保证：</w:t>
      </w:r>
    </w:p>
    <w:p w14:paraId="2901DAB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7.1保证履行招标文件以及招标文件修改书(如有)中的全部责任和义务，在中标通知书规定的时间内签订合同，并严格按照国家有关法规履行我司的全部责任，按质、按量、按期完成合同约定的全部任务。</w:t>
      </w:r>
    </w:p>
    <w:p w14:paraId="4FA37D0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14:paraId="017C271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7.3保证所完成的设计将完全符合国家相关规范要求，符合或优于招标文件、技术条件、合同条款的要求。若我司完成的设计文件未能达到招标人（或相关政府部门）的要求，我司将无条件根据要求进行修改设计文件，直至得到招标人（及相关政府部门）的认可为止。</w:t>
      </w:r>
    </w:p>
    <w:p w14:paraId="5925E2E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7.4保证尽一切力量确保投标承诺的竣工日期，若我司未能按投标承诺的工期完成本项目，除承担合同约定的违约责任外，招标人有权解除合同，我司承担由于违约解除合同退场造成的对招标人的一切损失。</w:t>
      </w:r>
    </w:p>
    <w:p w14:paraId="58C7887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7.5保证投标所报的项目负责人（可兼任施工负责人）、设计负责人</w:t>
      </w:r>
      <w:r>
        <w:rPr>
          <w:rFonts w:hint="eastAsia"/>
          <w:highlight w:val="none"/>
        </w:rPr>
        <w:t>、专职安全员</w:t>
      </w:r>
      <w:r>
        <w:rPr>
          <w:rFonts w:hint="eastAsia" w:ascii="宋体" w:hAnsi="宋体" w:cs="宋体"/>
          <w:szCs w:val="21"/>
          <w:highlight w:val="none"/>
        </w:rPr>
        <w:t>在本项目合同签订后7日内到职，全过程服务于本项目，在过程中非不可抗力或招标人要求不得更换。我司违反以上承诺的，同意按合同条款的规定承担违约责任。</w:t>
      </w:r>
    </w:p>
    <w:p w14:paraId="14F22EB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7.6保证所投入本项目的主要材料、设备质量符合或优于招标文件要求，所投入本项目的辅助设备、材料与主要材料、设备质量一致并有良好的配套性。</w:t>
      </w:r>
    </w:p>
    <w:p w14:paraId="2EB71E7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7.7保证按照招标文件的要求确保安全生产及文明施工，如有违反，我司愿意按合同约定承担违约责任，并为此负相关的法律责任。</w:t>
      </w:r>
    </w:p>
    <w:p w14:paraId="0E452CB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7.8保证按国家的有关规定制订保证民工工资支付的方案及保证措施，否则，我司愿按合同条款规定承担违约责任并赔偿招标人的全部损失。</w:t>
      </w:r>
    </w:p>
    <w:p w14:paraId="6BDBCD14">
      <w:pPr>
        <w:spacing w:line="360" w:lineRule="auto"/>
        <w:ind w:firstLine="420" w:firstLineChars="200"/>
        <w:rPr>
          <w:rFonts w:hint="eastAsia" w:ascii="宋体" w:hAnsi="宋体" w:cs="宋体"/>
          <w:szCs w:val="21"/>
          <w:highlight w:val="none"/>
        </w:rPr>
      </w:pPr>
    </w:p>
    <w:p w14:paraId="74C731EA">
      <w:pPr>
        <w:widowControl/>
        <w:spacing w:line="360" w:lineRule="auto"/>
        <w:jc w:val="left"/>
        <w:rPr>
          <w:rFonts w:hint="eastAsia" w:ascii="宋体" w:hAnsi="宋体" w:cs="宋体"/>
          <w:szCs w:val="21"/>
          <w:highlight w:val="none"/>
        </w:rPr>
      </w:pPr>
    </w:p>
    <w:p w14:paraId="525CBF5D">
      <w:pPr>
        <w:spacing w:line="360" w:lineRule="auto"/>
        <w:ind w:firstLine="3360" w:firstLineChars="1600"/>
        <w:rPr>
          <w:rFonts w:hint="eastAsia" w:ascii="宋体" w:hAnsi="宋体" w:cs="宋体"/>
          <w:szCs w:val="21"/>
          <w:highlight w:val="none"/>
        </w:rPr>
      </w:pPr>
    </w:p>
    <w:p w14:paraId="3D39F5BF">
      <w:pPr>
        <w:spacing w:line="360" w:lineRule="auto"/>
        <w:ind w:firstLine="3360" w:firstLineChars="1600"/>
        <w:rPr>
          <w:rFonts w:hint="eastAsia" w:ascii="宋体" w:hAnsi="宋体" w:cs="宋体"/>
          <w:szCs w:val="21"/>
          <w:highlight w:val="none"/>
        </w:rPr>
      </w:pPr>
      <w:r>
        <w:rPr>
          <w:rFonts w:hint="eastAsia" w:ascii="宋体" w:hAnsi="宋体" w:cs="宋体"/>
          <w:szCs w:val="21"/>
          <w:highlight w:val="none"/>
        </w:rPr>
        <w:t>投标人：    （盖章）</w:t>
      </w:r>
    </w:p>
    <w:p w14:paraId="1DC013BA">
      <w:pPr>
        <w:spacing w:line="360" w:lineRule="auto"/>
        <w:ind w:firstLine="3360" w:firstLineChars="1600"/>
        <w:rPr>
          <w:rFonts w:hint="eastAsia" w:ascii="宋体" w:hAnsi="宋体" w:cs="宋体"/>
          <w:sz w:val="24"/>
          <w:szCs w:val="24"/>
          <w:highlight w:val="none"/>
        </w:rPr>
      </w:pPr>
      <w:r>
        <w:rPr>
          <w:rFonts w:hint="eastAsia" w:ascii="宋体" w:hAnsi="宋体" w:cs="宋体"/>
          <w:szCs w:val="21"/>
          <w:highlight w:val="none"/>
        </w:rPr>
        <w:t>法定代表人或其授权代理人(签名或盖</w:t>
      </w:r>
      <w:r>
        <w:rPr>
          <w:rFonts w:hint="eastAsia" w:ascii="宋体" w:hAnsi="宋体" w:cs="宋体"/>
          <w:sz w:val="24"/>
          <w:highlight w:val="none"/>
        </w:rPr>
        <w:t>章)：</w:t>
      </w:r>
    </w:p>
    <w:p w14:paraId="351CC88E">
      <w:pPr>
        <w:spacing w:line="360" w:lineRule="auto"/>
        <w:ind w:firstLine="3360" w:firstLineChars="1400"/>
        <w:rPr>
          <w:rFonts w:hint="eastAsia" w:ascii="宋体" w:hAnsi="宋体" w:cs="宋体"/>
          <w:sz w:val="24"/>
          <w:highlight w:val="none"/>
        </w:rPr>
      </w:pPr>
      <w:r>
        <w:rPr>
          <w:rFonts w:hint="eastAsia" w:ascii="宋体" w:hAnsi="宋体" w:cs="宋体"/>
          <w:sz w:val="24"/>
          <w:highlight w:val="none"/>
        </w:rPr>
        <w:t>日   期：    年    月    日</w:t>
      </w:r>
    </w:p>
    <w:p w14:paraId="51D87BA3">
      <w:pPr>
        <w:pStyle w:val="22"/>
        <w:spacing w:line="360" w:lineRule="auto"/>
        <w:ind w:firstLine="241" w:firstLineChars="100"/>
        <w:rPr>
          <w:rFonts w:hint="eastAsia" w:hAnsi="宋体" w:cs="宋体"/>
          <w:b/>
          <w:sz w:val="24"/>
          <w:szCs w:val="24"/>
          <w:highlight w:val="none"/>
        </w:rPr>
      </w:pPr>
    </w:p>
    <w:p w14:paraId="76C726B8">
      <w:pPr>
        <w:wordWrap w:val="0"/>
        <w:topLinePunct/>
        <w:rPr>
          <w:rFonts w:hint="eastAsia" w:ascii="宋体" w:hAnsi="宋体" w:cs="宋体"/>
          <w:b/>
          <w:bCs/>
          <w:szCs w:val="24"/>
          <w:highlight w:val="none"/>
        </w:rPr>
      </w:pPr>
      <w:r>
        <w:rPr>
          <w:rFonts w:hint="eastAsia" w:ascii="宋体" w:hAnsi="宋体" w:cs="宋体"/>
          <w:b/>
          <w:szCs w:val="21"/>
          <w:highlight w:val="none"/>
        </w:rPr>
        <w:t>注：联合体投标的，“投标人”一栏需书写所有联合体成员的单位全称，可由主办方签署、盖章。</w:t>
      </w:r>
    </w:p>
    <w:p w14:paraId="28D70F89">
      <w:pPr>
        <w:rPr>
          <w:rFonts w:hint="eastAsia" w:ascii="宋体" w:hAnsi="宋体" w:cs="宋体"/>
          <w:highlight w:val="none"/>
          <w:lang w:val="zh-CN"/>
        </w:rPr>
      </w:pPr>
    </w:p>
    <w:p w14:paraId="5476C87F">
      <w:pPr>
        <w:spacing w:line="360" w:lineRule="auto"/>
        <w:jc w:val="left"/>
        <w:rPr>
          <w:rFonts w:hint="eastAsia" w:ascii="宋体" w:hAnsi="宋体" w:cs="宋体"/>
          <w:b/>
          <w:bCs/>
          <w:sz w:val="32"/>
          <w:szCs w:val="32"/>
          <w:highlight w:val="none"/>
          <w:lang w:val="zh-CN"/>
        </w:rPr>
      </w:pPr>
      <w:r>
        <w:rPr>
          <w:rFonts w:ascii="宋体" w:hAnsi="宋体" w:cs="宋体"/>
          <w:b/>
          <w:bCs/>
          <w:sz w:val="32"/>
          <w:szCs w:val="32"/>
          <w:highlight w:val="none"/>
          <w:lang w:val="zh-CN"/>
        </w:rPr>
        <w:br w:type="page"/>
      </w:r>
      <w:r>
        <w:rPr>
          <w:rFonts w:hint="eastAsia" w:ascii="宋体" w:hAnsi="宋体" w:cs="宋体"/>
          <w:b/>
          <w:sz w:val="28"/>
          <w:highlight w:val="none"/>
        </w:rPr>
        <w:t>格式5：</w:t>
      </w:r>
    </w:p>
    <w:p w14:paraId="22E91FB1">
      <w:pPr>
        <w:spacing w:line="360" w:lineRule="auto"/>
        <w:jc w:val="center"/>
        <w:rPr>
          <w:rFonts w:hint="eastAsia" w:ascii="宋体" w:hAnsi="宋体" w:cs="宋体"/>
          <w:b/>
          <w:bCs/>
          <w:sz w:val="28"/>
          <w:szCs w:val="28"/>
          <w:highlight w:val="none"/>
          <w:lang w:val="zh-CN"/>
        </w:rPr>
      </w:pPr>
      <w:r>
        <w:rPr>
          <w:rFonts w:hint="eastAsia" w:ascii="宋体" w:hAnsi="宋体" w:cs="宋体"/>
          <w:b/>
          <w:bCs/>
          <w:sz w:val="32"/>
          <w:szCs w:val="32"/>
          <w:highlight w:val="none"/>
          <w:lang w:val="zh-CN"/>
        </w:rPr>
        <w:t>投标人基本情况表</w:t>
      </w:r>
    </w:p>
    <w:tbl>
      <w:tblPr>
        <w:tblStyle w:val="41"/>
        <w:tblW w:w="0" w:type="auto"/>
        <w:jc w:val="center"/>
        <w:tblLayout w:type="fixed"/>
        <w:tblCellMar>
          <w:top w:w="0" w:type="dxa"/>
          <w:left w:w="0" w:type="dxa"/>
          <w:bottom w:w="0" w:type="dxa"/>
          <w:right w:w="0" w:type="dxa"/>
        </w:tblCellMar>
      </w:tblPr>
      <w:tblGrid>
        <w:gridCol w:w="1885"/>
        <w:gridCol w:w="1102"/>
        <w:gridCol w:w="1214"/>
        <w:gridCol w:w="840"/>
        <w:gridCol w:w="425"/>
        <w:gridCol w:w="212"/>
        <w:gridCol w:w="1265"/>
        <w:gridCol w:w="204"/>
        <w:gridCol w:w="840"/>
        <w:gridCol w:w="1060"/>
      </w:tblGrid>
      <w:tr w14:paraId="416032D5">
        <w:tblPrEx>
          <w:tblCellMar>
            <w:top w:w="0" w:type="dxa"/>
            <w:left w:w="0" w:type="dxa"/>
            <w:bottom w:w="0" w:type="dxa"/>
            <w:right w:w="0" w:type="dxa"/>
          </w:tblCellMar>
        </w:tblPrEx>
        <w:trPr>
          <w:trHeight w:val="50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6198430C">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投标人名称</w:t>
            </w:r>
          </w:p>
        </w:tc>
        <w:tc>
          <w:tcPr>
            <w:tcW w:w="7162" w:type="dxa"/>
            <w:gridSpan w:val="9"/>
            <w:tcBorders>
              <w:top w:val="single" w:color="auto" w:sz="8" w:space="0"/>
              <w:left w:val="single" w:color="auto" w:sz="8" w:space="0"/>
              <w:bottom w:val="single" w:color="auto" w:sz="8" w:space="0"/>
              <w:right w:val="single" w:color="auto" w:sz="8" w:space="0"/>
            </w:tcBorders>
            <w:vAlign w:val="center"/>
          </w:tcPr>
          <w:p w14:paraId="6828DC1A">
            <w:pPr>
              <w:adjustRightInd w:val="0"/>
              <w:snapToGrid w:val="0"/>
              <w:jc w:val="center"/>
              <w:rPr>
                <w:rFonts w:hint="eastAsia" w:ascii="宋体" w:hAnsi="宋体" w:cs="宋体"/>
                <w:szCs w:val="21"/>
                <w:highlight w:val="none"/>
              </w:rPr>
            </w:pPr>
          </w:p>
        </w:tc>
      </w:tr>
      <w:tr w14:paraId="4C7B5D5E">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25D2589C">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注册地址</w:t>
            </w:r>
          </w:p>
        </w:tc>
        <w:tc>
          <w:tcPr>
            <w:tcW w:w="3793" w:type="dxa"/>
            <w:gridSpan w:val="5"/>
            <w:tcBorders>
              <w:top w:val="single" w:color="auto" w:sz="8" w:space="0"/>
              <w:left w:val="single" w:color="auto" w:sz="8" w:space="0"/>
              <w:bottom w:val="single" w:color="auto" w:sz="8" w:space="0"/>
              <w:right w:val="single" w:color="auto" w:sz="8" w:space="0"/>
            </w:tcBorders>
            <w:vAlign w:val="center"/>
          </w:tcPr>
          <w:p w14:paraId="3D049FE3">
            <w:pPr>
              <w:adjustRightInd w:val="0"/>
              <w:snapToGrid w:val="0"/>
              <w:jc w:val="center"/>
              <w:rPr>
                <w:rFonts w:hint="eastAsia" w:ascii="宋体" w:hAnsi="宋体" w:cs="宋体"/>
                <w:szCs w:val="21"/>
                <w:highlight w:val="none"/>
              </w:rPr>
            </w:pPr>
          </w:p>
        </w:tc>
        <w:tc>
          <w:tcPr>
            <w:tcW w:w="1265" w:type="dxa"/>
            <w:tcBorders>
              <w:top w:val="single" w:color="auto" w:sz="8" w:space="0"/>
              <w:left w:val="single" w:color="auto" w:sz="8" w:space="0"/>
              <w:bottom w:val="single" w:color="auto" w:sz="8" w:space="0"/>
              <w:right w:val="single" w:color="auto" w:sz="8" w:space="0"/>
            </w:tcBorders>
            <w:vAlign w:val="center"/>
          </w:tcPr>
          <w:p w14:paraId="6BA84416">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邮政编码</w:t>
            </w:r>
          </w:p>
        </w:tc>
        <w:tc>
          <w:tcPr>
            <w:tcW w:w="2104" w:type="dxa"/>
            <w:gridSpan w:val="3"/>
            <w:tcBorders>
              <w:top w:val="single" w:color="auto" w:sz="8" w:space="0"/>
              <w:left w:val="single" w:color="auto" w:sz="8" w:space="0"/>
              <w:bottom w:val="single" w:color="auto" w:sz="8" w:space="0"/>
              <w:right w:val="single" w:color="auto" w:sz="8" w:space="0"/>
            </w:tcBorders>
            <w:vAlign w:val="center"/>
          </w:tcPr>
          <w:p w14:paraId="7F4D8A15">
            <w:pPr>
              <w:adjustRightInd w:val="0"/>
              <w:snapToGrid w:val="0"/>
              <w:jc w:val="center"/>
              <w:rPr>
                <w:rFonts w:hint="eastAsia" w:ascii="宋体" w:hAnsi="宋体" w:cs="宋体"/>
                <w:szCs w:val="21"/>
                <w:highlight w:val="none"/>
              </w:rPr>
            </w:pPr>
          </w:p>
        </w:tc>
      </w:tr>
      <w:tr w14:paraId="12034112">
        <w:tblPrEx>
          <w:tblCellMar>
            <w:top w:w="0" w:type="dxa"/>
            <w:left w:w="0" w:type="dxa"/>
            <w:bottom w:w="0" w:type="dxa"/>
            <w:right w:w="0" w:type="dxa"/>
          </w:tblCellMar>
        </w:tblPrEx>
        <w:trPr>
          <w:cantSplit/>
          <w:trHeight w:val="540" w:hRule="exact"/>
          <w:jc w:val="center"/>
        </w:trPr>
        <w:tc>
          <w:tcPr>
            <w:tcW w:w="1885" w:type="dxa"/>
            <w:vMerge w:val="restart"/>
            <w:tcBorders>
              <w:top w:val="single" w:color="auto" w:sz="8" w:space="0"/>
              <w:left w:val="single" w:color="auto" w:sz="8" w:space="0"/>
              <w:bottom w:val="single" w:color="auto" w:sz="8" w:space="0"/>
              <w:right w:val="single" w:color="auto" w:sz="8" w:space="0"/>
            </w:tcBorders>
            <w:vAlign w:val="center"/>
          </w:tcPr>
          <w:p w14:paraId="73A85AD8">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联系方式</w:t>
            </w:r>
          </w:p>
        </w:tc>
        <w:tc>
          <w:tcPr>
            <w:tcW w:w="1102" w:type="dxa"/>
            <w:tcBorders>
              <w:top w:val="single" w:color="auto" w:sz="8" w:space="0"/>
              <w:left w:val="single" w:color="auto" w:sz="8" w:space="0"/>
              <w:bottom w:val="single" w:color="auto" w:sz="8" w:space="0"/>
              <w:right w:val="single" w:color="auto" w:sz="8" w:space="0"/>
            </w:tcBorders>
            <w:vAlign w:val="center"/>
          </w:tcPr>
          <w:p w14:paraId="17D548D3">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联系人</w:t>
            </w:r>
          </w:p>
        </w:tc>
        <w:tc>
          <w:tcPr>
            <w:tcW w:w="2691" w:type="dxa"/>
            <w:gridSpan w:val="4"/>
            <w:tcBorders>
              <w:top w:val="single" w:color="auto" w:sz="8" w:space="0"/>
              <w:left w:val="single" w:color="auto" w:sz="8" w:space="0"/>
              <w:bottom w:val="single" w:color="auto" w:sz="8" w:space="0"/>
              <w:right w:val="single" w:color="auto" w:sz="8" w:space="0"/>
            </w:tcBorders>
            <w:vAlign w:val="center"/>
          </w:tcPr>
          <w:p w14:paraId="41FE79F4">
            <w:pPr>
              <w:adjustRightInd w:val="0"/>
              <w:snapToGrid w:val="0"/>
              <w:jc w:val="center"/>
              <w:rPr>
                <w:rFonts w:hint="eastAsia" w:ascii="宋体" w:hAnsi="宋体" w:cs="宋体"/>
                <w:szCs w:val="21"/>
                <w:highlight w:val="none"/>
              </w:rPr>
            </w:pPr>
          </w:p>
        </w:tc>
        <w:tc>
          <w:tcPr>
            <w:tcW w:w="1265" w:type="dxa"/>
            <w:tcBorders>
              <w:top w:val="single" w:color="auto" w:sz="8" w:space="0"/>
              <w:left w:val="single" w:color="auto" w:sz="8" w:space="0"/>
              <w:bottom w:val="single" w:color="auto" w:sz="8" w:space="0"/>
              <w:right w:val="single" w:color="auto" w:sz="8" w:space="0"/>
            </w:tcBorders>
            <w:vAlign w:val="center"/>
          </w:tcPr>
          <w:p w14:paraId="031EC6A4">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电  话</w:t>
            </w:r>
          </w:p>
        </w:tc>
        <w:tc>
          <w:tcPr>
            <w:tcW w:w="2104" w:type="dxa"/>
            <w:gridSpan w:val="3"/>
            <w:tcBorders>
              <w:top w:val="single" w:color="auto" w:sz="8" w:space="0"/>
              <w:left w:val="single" w:color="auto" w:sz="8" w:space="0"/>
              <w:bottom w:val="single" w:color="auto" w:sz="8" w:space="0"/>
              <w:right w:val="single" w:color="auto" w:sz="8" w:space="0"/>
            </w:tcBorders>
            <w:vAlign w:val="center"/>
          </w:tcPr>
          <w:p w14:paraId="15F906F6">
            <w:pPr>
              <w:adjustRightInd w:val="0"/>
              <w:snapToGrid w:val="0"/>
              <w:jc w:val="center"/>
              <w:rPr>
                <w:rFonts w:hint="eastAsia" w:ascii="宋体" w:hAnsi="宋体" w:cs="宋体"/>
                <w:szCs w:val="21"/>
                <w:highlight w:val="none"/>
              </w:rPr>
            </w:pPr>
          </w:p>
        </w:tc>
      </w:tr>
      <w:tr w14:paraId="7E00403C">
        <w:tblPrEx>
          <w:tblCellMar>
            <w:top w:w="0" w:type="dxa"/>
            <w:left w:w="0" w:type="dxa"/>
            <w:bottom w:w="0" w:type="dxa"/>
            <w:right w:w="0" w:type="dxa"/>
          </w:tblCellMar>
        </w:tblPrEx>
        <w:trPr>
          <w:cantSplit/>
          <w:trHeight w:val="520" w:hRule="exact"/>
          <w:jc w:val="center"/>
        </w:trPr>
        <w:tc>
          <w:tcPr>
            <w:tcW w:w="1885" w:type="dxa"/>
            <w:vMerge w:val="continue"/>
            <w:tcBorders>
              <w:top w:val="single" w:color="auto" w:sz="8" w:space="0"/>
              <w:left w:val="single" w:color="auto" w:sz="8" w:space="0"/>
              <w:bottom w:val="single" w:color="auto" w:sz="8" w:space="0"/>
              <w:right w:val="single" w:color="auto" w:sz="8" w:space="0"/>
            </w:tcBorders>
            <w:vAlign w:val="center"/>
          </w:tcPr>
          <w:p w14:paraId="69E92CA6">
            <w:pPr>
              <w:widowControl/>
              <w:jc w:val="left"/>
              <w:rPr>
                <w:rFonts w:hint="eastAsia" w:ascii="宋体" w:hAnsi="宋体" w:cs="宋体"/>
                <w:kern w:val="0"/>
                <w:szCs w:val="21"/>
                <w:highlight w:val="none"/>
              </w:rPr>
            </w:pPr>
          </w:p>
        </w:tc>
        <w:tc>
          <w:tcPr>
            <w:tcW w:w="1102" w:type="dxa"/>
            <w:tcBorders>
              <w:top w:val="single" w:color="auto" w:sz="8" w:space="0"/>
              <w:left w:val="single" w:color="auto" w:sz="8" w:space="0"/>
              <w:bottom w:val="single" w:color="auto" w:sz="8" w:space="0"/>
              <w:right w:val="single" w:color="auto" w:sz="8" w:space="0"/>
            </w:tcBorders>
            <w:vAlign w:val="center"/>
          </w:tcPr>
          <w:p w14:paraId="76ED3CE8">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传  真</w:t>
            </w:r>
          </w:p>
        </w:tc>
        <w:tc>
          <w:tcPr>
            <w:tcW w:w="2691" w:type="dxa"/>
            <w:gridSpan w:val="4"/>
            <w:tcBorders>
              <w:top w:val="single" w:color="auto" w:sz="8" w:space="0"/>
              <w:left w:val="single" w:color="auto" w:sz="8" w:space="0"/>
              <w:bottom w:val="single" w:color="auto" w:sz="8" w:space="0"/>
              <w:right w:val="single" w:color="auto" w:sz="8" w:space="0"/>
            </w:tcBorders>
            <w:vAlign w:val="center"/>
          </w:tcPr>
          <w:p w14:paraId="7DD82A43">
            <w:pPr>
              <w:adjustRightInd w:val="0"/>
              <w:snapToGrid w:val="0"/>
              <w:jc w:val="center"/>
              <w:rPr>
                <w:rFonts w:hint="eastAsia" w:ascii="宋体" w:hAnsi="宋体" w:cs="宋体"/>
                <w:szCs w:val="21"/>
                <w:highlight w:val="none"/>
              </w:rPr>
            </w:pPr>
          </w:p>
        </w:tc>
        <w:tc>
          <w:tcPr>
            <w:tcW w:w="1265" w:type="dxa"/>
            <w:tcBorders>
              <w:top w:val="single" w:color="auto" w:sz="8" w:space="0"/>
              <w:left w:val="single" w:color="auto" w:sz="8" w:space="0"/>
              <w:bottom w:val="single" w:color="auto" w:sz="8" w:space="0"/>
              <w:right w:val="single" w:color="auto" w:sz="8" w:space="0"/>
            </w:tcBorders>
            <w:vAlign w:val="center"/>
          </w:tcPr>
          <w:p w14:paraId="0B47F4A8">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电子邮件</w:t>
            </w:r>
          </w:p>
        </w:tc>
        <w:tc>
          <w:tcPr>
            <w:tcW w:w="2104" w:type="dxa"/>
            <w:gridSpan w:val="3"/>
            <w:tcBorders>
              <w:top w:val="single" w:color="auto" w:sz="8" w:space="0"/>
              <w:left w:val="single" w:color="auto" w:sz="8" w:space="0"/>
              <w:bottom w:val="single" w:color="auto" w:sz="8" w:space="0"/>
              <w:right w:val="single" w:color="auto" w:sz="8" w:space="0"/>
            </w:tcBorders>
            <w:vAlign w:val="center"/>
          </w:tcPr>
          <w:p w14:paraId="6620A3AA">
            <w:pPr>
              <w:adjustRightInd w:val="0"/>
              <w:snapToGrid w:val="0"/>
              <w:jc w:val="center"/>
              <w:rPr>
                <w:rFonts w:hint="eastAsia" w:ascii="宋体" w:hAnsi="宋体" w:cs="宋体"/>
                <w:szCs w:val="21"/>
                <w:highlight w:val="none"/>
              </w:rPr>
            </w:pPr>
          </w:p>
        </w:tc>
      </w:tr>
      <w:tr w14:paraId="4F6344BF">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58E5ED1D">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法定代表人</w:t>
            </w:r>
          </w:p>
        </w:tc>
        <w:tc>
          <w:tcPr>
            <w:tcW w:w="1102" w:type="dxa"/>
            <w:tcBorders>
              <w:top w:val="single" w:color="auto" w:sz="8" w:space="0"/>
              <w:left w:val="single" w:color="auto" w:sz="8" w:space="0"/>
              <w:bottom w:val="single" w:color="auto" w:sz="8" w:space="0"/>
              <w:right w:val="single" w:color="auto" w:sz="8" w:space="0"/>
            </w:tcBorders>
            <w:vAlign w:val="center"/>
          </w:tcPr>
          <w:p w14:paraId="66AE9864">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姓名</w:t>
            </w:r>
          </w:p>
        </w:tc>
        <w:tc>
          <w:tcPr>
            <w:tcW w:w="1214" w:type="dxa"/>
            <w:tcBorders>
              <w:top w:val="single" w:color="auto" w:sz="8" w:space="0"/>
              <w:left w:val="single" w:color="auto" w:sz="8" w:space="0"/>
              <w:bottom w:val="single" w:color="auto" w:sz="8" w:space="0"/>
              <w:right w:val="single" w:color="auto" w:sz="8" w:space="0"/>
            </w:tcBorders>
            <w:vAlign w:val="center"/>
          </w:tcPr>
          <w:p w14:paraId="2F1A0BA8">
            <w:pPr>
              <w:adjustRightInd w:val="0"/>
              <w:snapToGrid w:val="0"/>
              <w:jc w:val="center"/>
              <w:rPr>
                <w:rFonts w:hint="eastAsia" w:ascii="宋体" w:hAnsi="宋体" w:cs="宋体"/>
                <w:szCs w:val="21"/>
                <w:highlight w:val="none"/>
              </w:rPr>
            </w:pPr>
          </w:p>
        </w:tc>
        <w:tc>
          <w:tcPr>
            <w:tcW w:w="1265" w:type="dxa"/>
            <w:gridSpan w:val="2"/>
            <w:tcBorders>
              <w:top w:val="single" w:color="auto" w:sz="8" w:space="0"/>
              <w:left w:val="single" w:color="auto" w:sz="8" w:space="0"/>
              <w:bottom w:val="single" w:color="auto" w:sz="8" w:space="0"/>
              <w:right w:val="single" w:color="auto" w:sz="8" w:space="0"/>
            </w:tcBorders>
            <w:vAlign w:val="center"/>
          </w:tcPr>
          <w:p w14:paraId="66E2C172">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技术职称</w:t>
            </w:r>
          </w:p>
        </w:tc>
        <w:tc>
          <w:tcPr>
            <w:tcW w:w="1681" w:type="dxa"/>
            <w:gridSpan w:val="3"/>
            <w:tcBorders>
              <w:top w:val="single" w:color="auto" w:sz="8" w:space="0"/>
              <w:left w:val="single" w:color="auto" w:sz="8" w:space="0"/>
              <w:bottom w:val="single" w:color="auto" w:sz="8" w:space="0"/>
              <w:right w:val="single" w:color="auto" w:sz="8" w:space="0"/>
            </w:tcBorders>
            <w:vAlign w:val="center"/>
          </w:tcPr>
          <w:p w14:paraId="649BC421">
            <w:pPr>
              <w:adjustRightInd w:val="0"/>
              <w:snapToGrid w:val="0"/>
              <w:jc w:val="center"/>
              <w:rPr>
                <w:rFonts w:hint="eastAsia" w:ascii="宋体" w:hAnsi="宋体" w:cs="宋体"/>
                <w:szCs w:val="21"/>
                <w:highlight w:val="none"/>
              </w:rPr>
            </w:pPr>
          </w:p>
        </w:tc>
        <w:tc>
          <w:tcPr>
            <w:tcW w:w="840" w:type="dxa"/>
            <w:tcBorders>
              <w:top w:val="single" w:color="auto" w:sz="8" w:space="0"/>
              <w:left w:val="single" w:color="auto" w:sz="8" w:space="0"/>
              <w:bottom w:val="single" w:color="auto" w:sz="8" w:space="0"/>
              <w:right w:val="single" w:color="auto" w:sz="8" w:space="0"/>
            </w:tcBorders>
            <w:vAlign w:val="center"/>
          </w:tcPr>
          <w:p w14:paraId="79E289C5">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电话</w:t>
            </w:r>
          </w:p>
        </w:tc>
        <w:tc>
          <w:tcPr>
            <w:tcW w:w="1060" w:type="dxa"/>
            <w:tcBorders>
              <w:top w:val="single" w:color="auto" w:sz="8" w:space="0"/>
              <w:left w:val="single" w:color="auto" w:sz="8" w:space="0"/>
              <w:bottom w:val="single" w:color="auto" w:sz="8" w:space="0"/>
              <w:right w:val="single" w:color="auto" w:sz="8" w:space="0"/>
            </w:tcBorders>
            <w:vAlign w:val="center"/>
          </w:tcPr>
          <w:p w14:paraId="141541C6">
            <w:pPr>
              <w:adjustRightInd w:val="0"/>
              <w:snapToGrid w:val="0"/>
              <w:jc w:val="center"/>
              <w:rPr>
                <w:rFonts w:hint="eastAsia" w:ascii="宋体" w:hAnsi="宋体" w:cs="宋体"/>
                <w:szCs w:val="21"/>
                <w:highlight w:val="none"/>
              </w:rPr>
            </w:pPr>
          </w:p>
        </w:tc>
      </w:tr>
      <w:tr w14:paraId="0E4882E4">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649DFAB8">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技术负责人</w:t>
            </w:r>
          </w:p>
        </w:tc>
        <w:tc>
          <w:tcPr>
            <w:tcW w:w="1102" w:type="dxa"/>
            <w:tcBorders>
              <w:top w:val="single" w:color="auto" w:sz="8" w:space="0"/>
              <w:left w:val="single" w:color="auto" w:sz="8" w:space="0"/>
              <w:bottom w:val="single" w:color="auto" w:sz="8" w:space="0"/>
              <w:right w:val="single" w:color="auto" w:sz="8" w:space="0"/>
            </w:tcBorders>
            <w:vAlign w:val="center"/>
          </w:tcPr>
          <w:p w14:paraId="7525D266">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姓名</w:t>
            </w:r>
          </w:p>
        </w:tc>
        <w:tc>
          <w:tcPr>
            <w:tcW w:w="1214" w:type="dxa"/>
            <w:tcBorders>
              <w:top w:val="single" w:color="auto" w:sz="8" w:space="0"/>
              <w:left w:val="single" w:color="auto" w:sz="8" w:space="0"/>
              <w:bottom w:val="single" w:color="auto" w:sz="8" w:space="0"/>
              <w:right w:val="single" w:color="auto" w:sz="8" w:space="0"/>
            </w:tcBorders>
            <w:vAlign w:val="center"/>
          </w:tcPr>
          <w:p w14:paraId="7C298C92">
            <w:pPr>
              <w:adjustRightInd w:val="0"/>
              <w:snapToGrid w:val="0"/>
              <w:jc w:val="center"/>
              <w:rPr>
                <w:rFonts w:hint="eastAsia" w:ascii="宋体" w:hAnsi="宋体" w:cs="宋体"/>
                <w:szCs w:val="21"/>
                <w:highlight w:val="none"/>
              </w:rPr>
            </w:pPr>
          </w:p>
        </w:tc>
        <w:tc>
          <w:tcPr>
            <w:tcW w:w="1265" w:type="dxa"/>
            <w:gridSpan w:val="2"/>
            <w:tcBorders>
              <w:top w:val="single" w:color="auto" w:sz="8" w:space="0"/>
              <w:left w:val="single" w:color="auto" w:sz="8" w:space="0"/>
              <w:bottom w:val="single" w:color="auto" w:sz="8" w:space="0"/>
              <w:right w:val="single" w:color="auto" w:sz="8" w:space="0"/>
            </w:tcBorders>
            <w:vAlign w:val="center"/>
          </w:tcPr>
          <w:p w14:paraId="6C480D02">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技术职称</w:t>
            </w:r>
          </w:p>
        </w:tc>
        <w:tc>
          <w:tcPr>
            <w:tcW w:w="1681" w:type="dxa"/>
            <w:gridSpan w:val="3"/>
            <w:tcBorders>
              <w:top w:val="single" w:color="auto" w:sz="8" w:space="0"/>
              <w:left w:val="single" w:color="auto" w:sz="8" w:space="0"/>
              <w:bottom w:val="single" w:color="auto" w:sz="8" w:space="0"/>
              <w:right w:val="single" w:color="auto" w:sz="8" w:space="0"/>
            </w:tcBorders>
            <w:vAlign w:val="center"/>
          </w:tcPr>
          <w:p w14:paraId="5B54DD5B">
            <w:pPr>
              <w:adjustRightInd w:val="0"/>
              <w:snapToGrid w:val="0"/>
              <w:jc w:val="center"/>
              <w:rPr>
                <w:rFonts w:hint="eastAsia" w:ascii="宋体" w:hAnsi="宋体" w:cs="宋体"/>
                <w:szCs w:val="21"/>
                <w:highlight w:val="none"/>
              </w:rPr>
            </w:pPr>
          </w:p>
        </w:tc>
        <w:tc>
          <w:tcPr>
            <w:tcW w:w="840" w:type="dxa"/>
            <w:tcBorders>
              <w:top w:val="single" w:color="auto" w:sz="8" w:space="0"/>
              <w:left w:val="single" w:color="auto" w:sz="8" w:space="0"/>
              <w:bottom w:val="single" w:color="auto" w:sz="8" w:space="0"/>
              <w:right w:val="single" w:color="auto" w:sz="8" w:space="0"/>
            </w:tcBorders>
            <w:vAlign w:val="center"/>
          </w:tcPr>
          <w:p w14:paraId="45709925">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电话</w:t>
            </w:r>
          </w:p>
        </w:tc>
        <w:tc>
          <w:tcPr>
            <w:tcW w:w="1060" w:type="dxa"/>
            <w:tcBorders>
              <w:top w:val="single" w:color="auto" w:sz="8" w:space="0"/>
              <w:left w:val="single" w:color="auto" w:sz="8" w:space="0"/>
              <w:bottom w:val="single" w:color="auto" w:sz="8" w:space="0"/>
              <w:right w:val="single" w:color="auto" w:sz="8" w:space="0"/>
            </w:tcBorders>
            <w:vAlign w:val="center"/>
          </w:tcPr>
          <w:p w14:paraId="5424FE70">
            <w:pPr>
              <w:adjustRightInd w:val="0"/>
              <w:snapToGrid w:val="0"/>
              <w:jc w:val="center"/>
              <w:rPr>
                <w:rFonts w:hint="eastAsia" w:ascii="宋体" w:hAnsi="宋体" w:cs="宋体"/>
                <w:szCs w:val="21"/>
                <w:highlight w:val="none"/>
              </w:rPr>
            </w:pPr>
          </w:p>
        </w:tc>
      </w:tr>
      <w:tr w14:paraId="5D92DC9F">
        <w:tblPrEx>
          <w:tblCellMar>
            <w:top w:w="0" w:type="dxa"/>
            <w:left w:w="0" w:type="dxa"/>
            <w:bottom w:w="0" w:type="dxa"/>
            <w:right w:w="0" w:type="dxa"/>
          </w:tblCellMar>
        </w:tblPrEx>
        <w:trPr>
          <w:trHeight w:val="54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01E35BA4">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成立时间</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5C18FD6F">
            <w:pPr>
              <w:adjustRightInd w:val="0"/>
              <w:snapToGrid w:val="0"/>
              <w:jc w:val="center"/>
              <w:rPr>
                <w:rFonts w:hint="eastAsia" w:ascii="宋体" w:hAnsi="宋体" w:cs="宋体"/>
                <w:szCs w:val="21"/>
                <w:highlight w:val="none"/>
              </w:rPr>
            </w:pPr>
          </w:p>
        </w:tc>
        <w:tc>
          <w:tcPr>
            <w:tcW w:w="4846" w:type="dxa"/>
            <w:gridSpan w:val="7"/>
            <w:tcBorders>
              <w:top w:val="single" w:color="auto" w:sz="8" w:space="0"/>
              <w:left w:val="single" w:color="auto" w:sz="8" w:space="0"/>
              <w:bottom w:val="single" w:color="auto" w:sz="8" w:space="0"/>
              <w:right w:val="single" w:color="auto" w:sz="8" w:space="0"/>
            </w:tcBorders>
            <w:vAlign w:val="center"/>
          </w:tcPr>
          <w:p w14:paraId="2A531C84">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员工总人数：</w:t>
            </w:r>
          </w:p>
        </w:tc>
      </w:tr>
      <w:tr w14:paraId="6757572A">
        <w:tblPrEx>
          <w:tblCellMar>
            <w:top w:w="0" w:type="dxa"/>
            <w:left w:w="0" w:type="dxa"/>
            <w:bottom w:w="0" w:type="dxa"/>
            <w:right w:w="0" w:type="dxa"/>
          </w:tblCellMar>
        </w:tblPrEx>
        <w:trPr>
          <w:trHeight w:val="50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34AE923C">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企业资质等级</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3E4AEB3E">
            <w:pPr>
              <w:adjustRightInd w:val="0"/>
              <w:snapToGrid w:val="0"/>
              <w:jc w:val="center"/>
              <w:rPr>
                <w:rFonts w:hint="eastAsia" w:ascii="宋体" w:hAnsi="宋体" w:cs="宋体"/>
                <w:szCs w:val="21"/>
                <w:highlight w:val="none"/>
              </w:rPr>
            </w:pPr>
          </w:p>
        </w:tc>
        <w:tc>
          <w:tcPr>
            <w:tcW w:w="840" w:type="dxa"/>
            <w:vMerge w:val="restart"/>
            <w:tcBorders>
              <w:top w:val="single" w:color="auto" w:sz="8" w:space="0"/>
              <w:left w:val="single" w:color="auto" w:sz="8" w:space="0"/>
              <w:bottom w:val="single" w:color="auto" w:sz="8" w:space="0"/>
              <w:right w:val="single" w:color="auto" w:sz="8" w:space="0"/>
            </w:tcBorders>
            <w:vAlign w:val="center"/>
          </w:tcPr>
          <w:p w14:paraId="01531DFF">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其中</w:t>
            </w: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7E789ACB">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项目经理</w:t>
            </w:r>
          </w:p>
        </w:tc>
        <w:tc>
          <w:tcPr>
            <w:tcW w:w="1900" w:type="dxa"/>
            <w:gridSpan w:val="2"/>
            <w:tcBorders>
              <w:top w:val="single" w:color="auto" w:sz="8" w:space="0"/>
              <w:left w:val="single" w:color="auto" w:sz="8" w:space="0"/>
              <w:bottom w:val="single" w:color="auto" w:sz="8" w:space="0"/>
              <w:right w:val="single" w:color="auto" w:sz="8" w:space="0"/>
            </w:tcBorders>
            <w:vAlign w:val="center"/>
          </w:tcPr>
          <w:p w14:paraId="524D2196">
            <w:pPr>
              <w:adjustRightInd w:val="0"/>
              <w:snapToGrid w:val="0"/>
              <w:jc w:val="center"/>
              <w:rPr>
                <w:rFonts w:hint="eastAsia" w:ascii="宋体" w:hAnsi="宋体" w:cs="宋体"/>
                <w:szCs w:val="21"/>
                <w:highlight w:val="none"/>
              </w:rPr>
            </w:pPr>
          </w:p>
        </w:tc>
      </w:tr>
      <w:tr w14:paraId="7D18AA04">
        <w:tblPrEx>
          <w:tblCellMar>
            <w:top w:w="0" w:type="dxa"/>
            <w:left w:w="0" w:type="dxa"/>
            <w:bottom w:w="0" w:type="dxa"/>
            <w:right w:w="0" w:type="dxa"/>
          </w:tblCellMar>
        </w:tblPrEx>
        <w:trPr>
          <w:cantSplit/>
          <w:trHeight w:val="54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2E55379F">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营业执照号</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43498DC3">
            <w:pPr>
              <w:adjustRightInd w:val="0"/>
              <w:snapToGrid w:val="0"/>
              <w:jc w:val="center"/>
              <w:rPr>
                <w:rFonts w:hint="eastAsia" w:ascii="宋体" w:hAnsi="宋体" w:cs="宋体"/>
                <w:szCs w:val="21"/>
                <w:highlight w:val="none"/>
              </w:rPr>
            </w:pPr>
          </w:p>
        </w:tc>
        <w:tc>
          <w:tcPr>
            <w:tcW w:w="4846" w:type="dxa"/>
            <w:vMerge w:val="continue"/>
            <w:tcBorders>
              <w:top w:val="single" w:color="auto" w:sz="8" w:space="0"/>
              <w:left w:val="single" w:color="auto" w:sz="8" w:space="0"/>
              <w:bottom w:val="single" w:color="auto" w:sz="8" w:space="0"/>
              <w:right w:val="single" w:color="auto" w:sz="8" w:space="0"/>
            </w:tcBorders>
            <w:vAlign w:val="center"/>
          </w:tcPr>
          <w:p w14:paraId="7EDE7094">
            <w:pPr>
              <w:widowControl/>
              <w:jc w:val="left"/>
              <w:rPr>
                <w:rFonts w:hint="eastAsia" w:ascii="宋体" w:hAnsi="宋体" w:cs="宋体"/>
                <w:szCs w:val="21"/>
                <w:highlight w:val="none"/>
              </w:rPr>
            </w:pP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3AA8D3B8">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高级职称人员</w:t>
            </w:r>
          </w:p>
        </w:tc>
        <w:tc>
          <w:tcPr>
            <w:tcW w:w="1900" w:type="dxa"/>
            <w:gridSpan w:val="2"/>
            <w:tcBorders>
              <w:top w:val="single" w:color="auto" w:sz="8" w:space="0"/>
              <w:left w:val="single" w:color="auto" w:sz="8" w:space="0"/>
              <w:bottom w:val="single" w:color="auto" w:sz="8" w:space="0"/>
              <w:right w:val="single" w:color="auto" w:sz="8" w:space="0"/>
            </w:tcBorders>
            <w:vAlign w:val="center"/>
          </w:tcPr>
          <w:p w14:paraId="15A3FAC1">
            <w:pPr>
              <w:adjustRightInd w:val="0"/>
              <w:snapToGrid w:val="0"/>
              <w:jc w:val="center"/>
              <w:rPr>
                <w:rFonts w:hint="eastAsia" w:ascii="宋体" w:hAnsi="宋体" w:cs="宋体"/>
                <w:szCs w:val="21"/>
                <w:highlight w:val="none"/>
              </w:rPr>
            </w:pPr>
          </w:p>
        </w:tc>
      </w:tr>
      <w:tr w14:paraId="64CE81B2">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69BD6D26">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注册资金</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548D2730">
            <w:pPr>
              <w:adjustRightInd w:val="0"/>
              <w:snapToGrid w:val="0"/>
              <w:jc w:val="center"/>
              <w:rPr>
                <w:rFonts w:hint="eastAsia" w:ascii="宋体" w:hAnsi="宋体" w:cs="宋体"/>
                <w:szCs w:val="21"/>
                <w:highlight w:val="none"/>
              </w:rPr>
            </w:pPr>
          </w:p>
        </w:tc>
        <w:tc>
          <w:tcPr>
            <w:tcW w:w="4846" w:type="dxa"/>
            <w:vMerge w:val="continue"/>
            <w:tcBorders>
              <w:top w:val="single" w:color="auto" w:sz="8" w:space="0"/>
              <w:left w:val="single" w:color="auto" w:sz="8" w:space="0"/>
              <w:bottom w:val="single" w:color="auto" w:sz="8" w:space="0"/>
              <w:right w:val="single" w:color="auto" w:sz="8" w:space="0"/>
            </w:tcBorders>
            <w:vAlign w:val="center"/>
          </w:tcPr>
          <w:p w14:paraId="43C5C715">
            <w:pPr>
              <w:widowControl/>
              <w:jc w:val="left"/>
              <w:rPr>
                <w:rFonts w:hint="eastAsia" w:ascii="宋体" w:hAnsi="宋体" w:cs="宋体"/>
                <w:szCs w:val="21"/>
                <w:highlight w:val="none"/>
              </w:rPr>
            </w:pP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76637E75">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中级职称人员</w:t>
            </w:r>
          </w:p>
        </w:tc>
        <w:tc>
          <w:tcPr>
            <w:tcW w:w="1900" w:type="dxa"/>
            <w:gridSpan w:val="2"/>
            <w:tcBorders>
              <w:top w:val="single" w:color="auto" w:sz="8" w:space="0"/>
              <w:left w:val="single" w:color="auto" w:sz="8" w:space="0"/>
              <w:bottom w:val="single" w:color="auto" w:sz="8" w:space="0"/>
              <w:right w:val="single" w:color="auto" w:sz="8" w:space="0"/>
            </w:tcBorders>
            <w:vAlign w:val="center"/>
          </w:tcPr>
          <w:p w14:paraId="06B4A3F6">
            <w:pPr>
              <w:adjustRightInd w:val="0"/>
              <w:snapToGrid w:val="0"/>
              <w:jc w:val="center"/>
              <w:rPr>
                <w:rFonts w:hint="eastAsia" w:ascii="宋体" w:hAnsi="宋体" w:cs="宋体"/>
                <w:szCs w:val="21"/>
                <w:highlight w:val="none"/>
              </w:rPr>
            </w:pPr>
          </w:p>
        </w:tc>
      </w:tr>
      <w:tr w14:paraId="154F0362">
        <w:tblPrEx>
          <w:tblCellMar>
            <w:top w:w="0" w:type="dxa"/>
            <w:left w:w="0" w:type="dxa"/>
            <w:bottom w:w="0" w:type="dxa"/>
            <w:right w:w="0" w:type="dxa"/>
          </w:tblCellMar>
        </w:tblPrEx>
        <w:trPr>
          <w:cantSplit/>
          <w:trHeight w:val="782"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1DA8431F">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基本账户开户银行</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20E54610">
            <w:pPr>
              <w:adjustRightInd w:val="0"/>
              <w:snapToGrid w:val="0"/>
              <w:jc w:val="center"/>
              <w:rPr>
                <w:rFonts w:hint="eastAsia" w:ascii="宋体" w:hAnsi="宋体" w:cs="宋体"/>
                <w:szCs w:val="21"/>
                <w:highlight w:val="none"/>
              </w:rPr>
            </w:pPr>
          </w:p>
        </w:tc>
        <w:tc>
          <w:tcPr>
            <w:tcW w:w="4846" w:type="dxa"/>
            <w:vMerge w:val="continue"/>
            <w:tcBorders>
              <w:top w:val="single" w:color="auto" w:sz="8" w:space="0"/>
              <w:left w:val="single" w:color="auto" w:sz="8" w:space="0"/>
              <w:bottom w:val="single" w:color="auto" w:sz="8" w:space="0"/>
              <w:right w:val="single" w:color="auto" w:sz="8" w:space="0"/>
            </w:tcBorders>
            <w:vAlign w:val="center"/>
          </w:tcPr>
          <w:p w14:paraId="0FDDE08D">
            <w:pPr>
              <w:widowControl/>
              <w:jc w:val="left"/>
              <w:rPr>
                <w:rFonts w:hint="eastAsia" w:ascii="宋体" w:hAnsi="宋体" w:cs="宋体"/>
                <w:szCs w:val="21"/>
                <w:highlight w:val="none"/>
              </w:rPr>
            </w:pP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4783D3A6">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初级职称人员</w:t>
            </w:r>
          </w:p>
        </w:tc>
        <w:tc>
          <w:tcPr>
            <w:tcW w:w="1900" w:type="dxa"/>
            <w:gridSpan w:val="2"/>
            <w:tcBorders>
              <w:top w:val="single" w:color="auto" w:sz="8" w:space="0"/>
              <w:left w:val="single" w:color="auto" w:sz="8" w:space="0"/>
              <w:bottom w:val="single" w:color="auto" w:sz="8" w:space="0"/>
              <w:right w:val="single" w:color="auto" w:sz="8" w:space="0"/>
            </w:tcBorders>
            <w:vAlign w:val="center"/>
          </w:tcPr>
          <w:p w14:paraId="462C929F">
            <w:pPr>
              <w:adjustRightInd w:val="0"/>
              <w:snapToGrid w:val="0"/>
              <w:jc w:val="center"/>
              <w:rPr>
                <w:rFonts w:hint="eastAsia" w:ascii="宋体" w:hAnsi="宋体" w:cs="宋体"/>
                <w:szCs w:val="21"/>
                <w:highlight w:val="none"/>
              </w:rPr>
            </w:pPr>
          </w:p>
        </w:tc>
      </w:tr>
      <w:tr w14:paraId="775D4D31">
        <w:tblPrEx>
          <w:tblCellMar>
            <w:top w:w="0" w:type="dxa"/>
            <w:left w:w="0" w:type="dxa"/>
            <w:bottom w:w="0" w:type="dxa"/>
            <w:right w:w="0" w:type="dxa"/>
          </w:tblCellMar>
        </w:tblPrEx>
        <w:trPr>
          <w:cantSplit/>
          <w:trHeight w:val="71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6F668BBE">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基本账户账号</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38B8C45C">
            <w:pPr>
              <w:adjustRightInd w:val="0"/>
              <w:snapToGrid w:val="0"/>
              <w:jc w:val="center"/>
              <w:rPr>
                <w:rFonts w:hint="eastAsia" w:ascii="宋体" w:hAnsi="宋体" w:cs="宋体"/>
                <w:szCs w:val="21"/>
                <w:highlight w:val="none"/>
              </w:rPr>
            </w:pPr>
          </w:p>
        </w:tc>
        <w:tc>
          <w:tcPr>
            <w:tcW w:w="4846" w:type="dxa"/>
            <w:vMerge w:val="continue"/>
            <w:tcBorders>
              <w:top w:val="single" w:color="auto" w:sz="8" w:space="0"/>
              <w:left w:val="single" w:color="auto" w:sz="8" w:space="0"/>
              <w:bottom w:val="single" w:color="auto" w:sz="8" w:space="0"/>
              <w:right w:val="single" w:color="auto" w:sz="8" w:space="0"/>
            </w:tcBorders>
            <w:vAlign w:val="center"/>
          </w:tcPr>
          <w:p w14:paraId="2B093226">
            <w:pPr>
              <w:widowControl/>
              <w:jc w:val="left"/>
              <w:rPr>
                <w:rFonts w:hint="eastAsia" w:ascii="宋体" w:hAnsi="宋体" w:cs="宋体"/>
                <w:szCs w:val="21"/>
                <w:highlight w:val="none"/>
              </w:rPr>
            </w:pP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189D2D70">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技工</w:t>
            </w:r>
          </w:p>
        </w:tc>
        <w:tc>
          <w:tcPr>
            <w:tcW w:w="1900" w:type="dxa"/>
            <w:gridSpan w:val="2"/>
            <w:tcBorders>
              <w:top w:val="single" w:color="auto" w:sz="8" w:space="0"/>
              <w:left w:val="single" w:color="auto" w:sz="8" w:space="0"/>
              <w:bottom w:val="single" w:color="auto" w:sz="8" w:space="0"/>
              <w:right w:val="single" w:color="auto" w:sz="8" w:space="0"/>
            </w:tcBorders>
            <w:vAlign w:val="center"/>
          </w:tcPr>
          <w:p w14:paraId="7FE0FA5C">
            <w:pPr>
              <w:adjustRightInd w:val="0"/>
              <w:snapToGrid w:val="0"/>
              <w:jc w:val="center"/>
              <w:rPr>
                <w:rFonts w:hint="eastAsia" w:ascii="宋体" w:hAnsi="宋体" w:cs="宋体"/>
                <w:szCs w:val="21"/>
                <w:highlight w:val="none"/>
              </w:rPr>
            </w:pPr>
          </w:p>
        </w:tc>
      </w:tr>
      <w:tr w14:paraId="454F7856">
        <w:tblPrEx>
          <w:tblCellMar>
            <w:top w:w="0" w:type="dxa"/>
            <w:left w:w="0" w:type="dxa"/>
            <w:bottom w:w="0" w:type="dxa"/>
            <w:right w:w="0" w:type="dxa"/>
          </w:tblCellMar>
        </w:tblPrEx>
        <w:trPr>
          <w:trHeight w:val="1676"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0AF7DDD2">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经营范围</w:t>
            </w:r>
          </w:p>
        </w:tc>
        <w:tc>
          <w:tcPr>
            <w:tcW w:w="7162" w:type="dxa"/>
            <w:gridSpan w:val="9"/>
            <w:tcBorders>
              <w:top w:val="single" w:color="auto" w:sz="8" w:space="0"/>
              <w:left w:val="single" w:color="auto" w:sz="8" w:space="0"/>
              <w:bottom w:val="single" w:color="auto" w:sz="8" w:space="0"/>
              <w:right w:val="single" w:color="auto" w:sz="8" w:space="0"/>
            </w:tcBorders>
            <w:vAlign w:val="center"/>
          </w:tcPr>
          <w:p w14:paraId="166653C7">
            <w:pPr>
              <w:adjustRightInd w:val="0"/>
              <w:snapToGrid w:val="0"/>
              <w:jc w:val="center"/>
              <w:rPr>
                <w:rFonts w:hint="eastAsia" w:ascii="宋体" w:hAnsi="宋体" w:cs="宋体"/>
                <w:szCs w:val="21"/>
                <w:highlight w:val="none"/>
              </w:rPr>
            </w:pPr>
          </w:p>
        </w:tc>
      </w:tr>
      <w:tr w14:paraId="2E4B5F6E">
        <w:tblPrEx>
          <w:tblCellMar>
            <w:top w:w="0" w:type="dxa"/>
            <w:left w:w="0" w:type="dxa"/>
            <w:bottom w:w="0" w:type="dxa"/>
            <w:right w:w="0" w:type="dxa"/>
          </w:tblCellMar>
        </w:tblPrEx>
        <w:trPr>
          <w:trHeight w:val="1421"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6FC00340">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企业简介</w:t>
            </w:r>
          </w:p>
        </w:tc>
        <w:tc>
          <w:tcPr>
            <w:tcW w:w="7162" w:type="dxa"/>
            <w:gridSpan w:val="9"/>
            <w:tcBorders>
              <w:top w:val="single" w:color="auto" w:sz="8" w:space="0"/>
              <w:left w:val="single" w:color="auto" w:sz="8" w:space="0"/>
              <w:bottom w:val="single" w:color="auto" w:sz="8" w:space="0"/>
              <w:right w:val="single" w:color="auto" w:sz="8" w:space="0"/>
            </w:tcBorders>
            <w:vAlign w:val="center"/>
          </w:tcPr>
          <w:p w14:paraId="798276EB">
            <w:pPr>
              <w:adjustRightInd w:val="0"/>
              <w:snapToGrid w:val="0"/>
              <w:jc w:val="center"/>
              <w:rPr>
                <w:rFonts w:hint="eastAsia" w:ascii="宋体" w:hAnsi="宋体" w:cs="宋体"/>
                <w:szCs w:val="21"/>
                <w:highlight w:val="none"/>
              </w:rPr>
            </w:pPr>
            <w:r>
              <w:rPr>
                <w:rFonts w:hint="eastAsia" w:ascii="宋体" w:hAnsi="宋体" w:cs="宋体"/>
                <w:szCs w:val="21"/>
                <w:highlight w:val="none"/>
              </w:rPr>
              <w:t>（本项内容可另附页）</w:t>
            </w:r>
          </w:p>
        </w:tc>
      </w:tr>
      <w:tr w14:paraId="699D84D8">
        <w:tblPrEx>
          <w:tblCellMar>
            <w:top w:w="0" w:type="dxa"/>
            <w:left w:w="0" w:type="dxa"/>
            <w:bottom w:w="0" w:type="dxa"/>
            <w:right w:w="0" w:type="dxa"/>
          </w:tblCellMar>
        </w:tblPrEx>
        <w:trPr>
          <w:trHeight w:val="1084"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29924971">
            <w:pPr>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备注</w:t>
            </w:r>
          </w:p>
        </w:tc>
        <w:tc>
          <w:tcPr>
            <w:tcW w:w="7162" w:type="dxa"/>
            <w:gridSpan w:val="9"/>
            <w:tcBorders>
              <w:top w:val="single" w:color="auto" w:sz="8" w:space="0"/>
              <w:left w:val="single" w:color="auto" w:sz="8" w:space="0"/>
              <w:bottom w:val="single" w:color="auto" w:sz="8" w:space="0"/>
              <w:right w:val="single" w:color="auto" w:sz="8" w:space="0"/>
            </w:tcBorders>
            <w:vAlign w:val="center"/>
          </w:tcPr>
          <w:p w14:paraId="7ADB65A0">
            <w:pPr>
              <w:adjustRightInd w:val="0"/>
              <w:snapToGrid w:val="0"/>
              <w:jc w:val="center"/>
              <w:rPr>
                <w:rFonts w:hint="eastAsia" w:ascii="宋体" w:hAnsi="宋体" w:cs="宋体"/>
                <w:szCs w:val="21"/>
                <w:highlight w:val="none"/>
              </w:rPr>
            </w:pPr>
          </w:p>
        </w:tc>
      </w:tr>
    </w:tbl>
    <w:p w14:paraId="18C8213E">
      <w:pPr>
        <w:autoSpaceDE w:val="0"/>
        <w:autoSpaceDN w:val="0"/>
        <w:adjustRightInd w:val="0"/>
        <w:spacing w:line="360" w:lineRule="auto"/>
        <w:ind w:firstLine="420" w:firstLineChars="200"/>
        <w:rPr>
          <w:rFonts w:hint="eastAsia" w:ascii="宋体" w:hAnsi="宋体" w:cs="宋体"/>
          <w:b/>
          <w:bCs/>
          <w:sz w:val="28"/>
          <w:szCs w:val="28"/>
          <w:highlight w:val="none"/>
          <w:lang w:val="zh-CN"/>
        </w:rPr>
      </w:pPr>
      <w:r>
        <w:rPr>
          <w:rFonts w:hint="eastAsia" w:ascii="宋体" w:hAnsi="宋体" w:cs="宋体"/>
          <w:szCs w:val="21"/>
          <w:highlight w:val="none"/>
          <w:u w:val="single"/>
        </w:rPr>
        <w:t>注：联合体投标的，由联合体各方均需提交本表。</w:t>
      </w:r>
      <w:r>
        <w:rPr>
          <w:rFonts w:hint="eastAsia" w:ascii="宋体" w:hAnsi="宋体" w:cs="宋体"/>
          <w:b/>
          <w:bCs/>
          <w:sz w:val="28"/>
          <w:szCs w:val="28"/>
          <w:highlight w:val="none"/>
          <w:lang w:val="zh-CN"/>
        </w:rPr>
        <w:br w:type="page"/>
      </w:r>
      <w:r>
        <w:rPr>
          <w:rFonts w:hint="eastAsia" w:ascii="宋体" w:hAnsi="宋体" w:cs="宋体"/>
          <w:b/>
          <w:sz w:val="28"/>
          <w:highlight w:val="none"/>
        </w:rPr>
        <w:t>格式6：</w:t>
      </w:r>
    </w:p>
    <w:p w14:paraId="2AFDE91D">
      <w:pPr>
        <w:autoSpaceDE w:val="0"/>
        <w:autoSpaceDN w:val="0"/>
        <w:adjustRightInd w:val="0"/>
        <w:spacing w:line="360" w:lineRule="auto"/>
        <w:ind w:firstLine="562" w:firstLineChars="200"/>
        <w:jc w:val="center"/>
        <w:rPr>
          <w:rFonts w:hint="eastAsia" w:ascii="宋体" w:hAnsi="宋体" w:cs="宋体"/>
          <w:b/>
          <w:bCs/>
          <w:sz w:val="28"/>
          <w:szCs w:val="28"/>
          <w:highlight w:val="none"/>
          <w:lang w:val="zh-CN"/>
        </w:rPr>
      </w:pPr>
      <w:r>
        <w:rPr>
          <w:rFonts w:hint="eastAsia" w:ascii="宋体" w:hAnsi="宋体" w:cs="宋体"/>
          <w:b/>
          <w:bCs/>
          <w:sz w:val="28"/>
          <w:szCs w:val="28"/>
          <w:highlight w:val="none"/>
          <w:lang w:val="zh-CN"/>
        </w:rPr>
        <w:t>项目管理团队人员信息表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293"/>
        <w:gridCol w:w="545"/>
        <w:gridCol w:w="755"/>
        <w:gridCol w:w="722"/>
        <w:gridCol w:w="722"/>
        <w:gridCol w:w="721"/>
        <w:gridCol w:w="1734"/>
        <w:gridCol w:w="1156"/>
        <w:gridCol w:w="1536"/>
      </w:tblGrid>
      <w:tr w14:paraId="5978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50" w:type="dxa"/>
            <w:tcBorders>
              <w:top w:val="single" w:color="auto" w:sz="4" w:space="0"/>
              <w:left w:val="single" w:color="auto" w:sz="4" w:space="0"/>
              <w:bottom w:val="single" w:color="auto" w:sz="4" w:space="0"/>
              <w:right w:val="single" w:color="auto" w:sz="4" w:space="0"/>
            </w:tcBorders>
            <w:vAlign w:val="center"/>
          </w:tcPr>
          <w:p w14:paraId="34A87163">
            <w:pPr>
              <w:pStyle w:val="161"/>
              <w:jc w:val="both"/>
              <w:rPr>
                <w:rFonts w:hint="eastAsia"/>
                <w:highlight w:val="none"/>
              </w:rPr>
            </w:pPr>
            <w:r>
              <w:rPr>
                <w:rFonts w:hint="eastAsia"/>
                <w:highlight w:val="none"/>
              </w:rPr>
              <w:t>序号</w:t>
            </w:r>
          </w:p>
        </w:tc>
        <w:tc>
          <w:tcPr>
            <w:tcW w:w="1293" w:type="dxa"/>
            <w:tcBorders>
              <w:top w:val="single" w:color="auto" w:sz="4" w:space="0"/>
              <w:left w:val="single" w:color="auto" w:sz="4" w:space="0"/>
              <w:bottom w:val="single" w:color="auto" w:sz="4" w:space="0"/>
              <w:right w:val="single" w:color="auto" w:sz="4" w:space="0"/>
            </w:tcBorders>
            <w:vAlign w:val="center"/>
          </w:tcPr>
          <w:p w14:paraId="6C5F2E2C">
            <w:pPr>
              <w:pStyle w:val="161"/>
              <w:jc w:val="center"/>
              <w:rPr>
                <w:rFonts w:hint="eastAsia"/>
                <w:highlight w:val="none"/>
              </w:rPr>
            </w:pPr>
            <w:r>
              <w:rPr>
                <w:rFonts w:hint="eastAsia"/>
                <w:highlight w:val="none"/>
              </w:rPr>
              <w:t>姓名</w:t>
            </w:r>
          </w:p>
        </w:tc>
        <w:tc>
          <w:tcPr>
            <w:tcW w:w="545" w:type="dxa"/>
            <w:tcBorders>
              <w:top w:val="single" w:color="auto" w:sz="4" w:space="0"/>
              <w:left w:val="single" w:color="auto" w:sz="4" w:space="0"/>
              <w:bottom w:val="single" w:color="auto" w:sz="4" w:space="0"/>
              <w:right w:val="single" w:color="auto" w:sz="4" w:space="0"/>
            </w:tcBorders>
            <w:vAlign w:val="center"/>
          </w:tcPr>
          <w:p w14:paraId="56836983">
            <w:pPr>
              <w:pStyle w:val="161"/>
              <w:jc w:val="both"/>
              <w:rPr>
                <w:rFonts w:hint="eastAsia"/>
                <w:highlight w:val="none"/>
              </w:rPr>
            </w:pPr>
            <w:r>
              <w:rPr>
                <w:rFonts w:hint="eastAsia"/>
                <w:highlight w:val="none"/>
              </w:rPr>
              <w:t>性别</w:t>
            </w:r>
          </w:p>
        </w:tc>
        <w:tc>
          <w:tcPr>
            <w:tcW w:w="755" w:type="dxa"/>
            <w:tcBorders>
              <w:top w:val="single" w:color="auto" w:sz="4" w:space="0"/>
              <w:left w:val="single" w:color="auto" w:sz="4" w:space="0"/>
              <w:bottom w:val="single" w:color="auto" w:sz="4" w:space="0"/>
              <w:right w:val="single" w:color="auto" w:sz="4" w:space="0"/>
            </w:tcBorders>
            <w:vAlign w:val="center"/>
          </w:tcPr>
          <w:p w14:paraId="18A8DAB9">
            <w:pPr>
              <w:pStyle w:val="161"/>
              <w:jc w:val="both"/>
              <w:rPr>
                <w:rFonts w:hint="eastAsia"/>
                <w:highlight w:val="none"/>
              </w:rPr>
            </w:pPr>
            <w:r>
              <w:rPr>
                <w:rFonts w:hint="eastAsia"/>
                <w:highlight w:val="none"/>
              </w:rPr>
              <w:t>年龄</w:t>
            </w:r>
          </w:p>
        </w:tc>
        <w:tc>
          <w:tcPr>
            <w:tcW w:w="722" w:type="dxa"/>
            <w:tcBorders>
              <w:top w:val="single" w:color="auto" w:sz="4" w:space="0"/>
              <w:left w:val="single" w:color="auto" w:sz="4" w:space="0"/>
              <w:bottom w:val="single" w:color="auto" w:sz="4" w:space="0"/>
              <w:right w:val="single" w:color="auto" w:sz="4" w:space="0"/>
            </w:tcBorders>
            <w:vAlign w:val="center"/>
          </w:tcPr>
          <w:p w14:paraId="7D9260DA">
            <w:pPr>
              <w:pStyle w:val="161"/>
              <w:jc w:val="center"/>
              <w:rPr>
                <w:rFonts w:hint="eastAsia"/>
                <w:highlight w:val="none"/>
              </w:rPr>
            </w:pPr>
            <w:r>
              <w:rPr>
                <w:rFonts w:hint="eastAsia"/>
                <w:highlight w:val="none"/>
              </w:rPr>
              <w:t>岗位</w:t>
            </w:r>
          </w:p>
        </w:tc>
        <w:tc>
          <w:tcPr>
            <w:tcW w:w="722" w:type="dxa"/>
            <w:tcBorders>
              <w:top w:val="single" w:color="auto" w:sz="4" w:space="0"/>
              <w:left w:val="single" w:color="auto" w:sz="4" w:space="0"/>
              <w:bottom w:val="single" w:color="auto" w:sz="4" w:space="0"/>
              <w:right w:val="single" w:color="auto" w:sz="4" w:space="0"/>
            </w:tcBorders>
            <w:vAlign w:val="center"/>
          </w:tcPr>
          <w:p w14:paraId="45D15CD4">
            <w:pPr>
              <w:pStyle w:val="161"/>
              <w:jc w:val="center"/>
              <w:rPr>
                <w:rFonts w:hint="eastAsia"/>
                <w:highlight w:val="none"/>
              </w:rPr>
            </w:pPr>
            <w:r>
              <w:rPr>
                <w:rFonts w:hint="eastAsia"/>
                <w:highlight w:val="none"/>
              </w:rPr>
              <w:t>职称</w:t>
            </w:r>
          </w:p>
        </w:tc>
        <w:tc>
          <w:tcPr>
            <w:tcW w:w="721" w:type="dxa"/>
            <w:tcBorders>
              <w:top w:val="single" w:color="auto" w:sz="4" w:space="0"/>
              <w:left w:val="single" w:color="auto" w:sz="4" w:space="0"/>
              <w:bottom w:val="single" w:color="auto" w:sz="4" w:space="0"/>
              <w:right w:val="single" w:color="auto" w:sz="4" w:space="0"/>
            </w:tcBorders>
            <w:vAlign w:val="center"/>
          </w:tcPr>
          <w:p w14:paraId="6A3A4829">
            <w:pPr>
              <w:pStyle w:val="161"/>
              <w:jc w:val="center"/>
              <w:rPr>
                <w:rFonts w:hint="eastAsia"/>
                <w:highlight w:val="none"/>
              </w:rPr>
            </w:pPr>
            <w:r>
              <w:rPr>
                <w:rFonts w:hint="eastAsia"/>
                <w:highlight w:val="none"/>
              </w:rPr>
              <w:t>专业</w:t>
            </w:r>
          </w:p>
        </w:tc>
        <w:tc>
          <w:tcPr>
            <w:tcW w:w="1734" w:type="dxa"/>
            <w:tcBorders>
              <w:top w:val="single" w:color="auto" w:sz="4" w:space="0"/>
              <w:left w:val="single" w:color="auto" w:sz="4" w:space="0"/>
              <w:bottom w:val="single" w:color="auto" w:sz="4" w:space="0"/>
              <w:right w:val="single" w:color="auto" w:sz="4" w:space="0"/>
            </w:tcBorders>
            <w:vAlign w:val="center"/>
          </w:tcPr>
          <w:p w14:paraId="6917A7A1">
            <w:pPr>
              <w:pStyle w:val="161"/>
              <w:jc w:val="both"/>
              <w:rPr>
                <w:rFonts w:hint="eastAsia"/>
                <w:highlight w:val="none"/>
              </w:rPr>
            </w:pPr>
            <w:r>
              <w:rPr>
                <w:rFonts w:hint="eastAsia"/>
                <w:highlight w:val="none"/>
              </w:rPr>
              <w:t>职称证书或资格证书或者注册执业资格证编号</w:t>
            </w:r>
          </w:p>
        </w:tc>
        <w:tc>
          <w:tcPr>
            <w:tcW w:w="1156" w:type="dxa"/>
            <w:tcBorders>
              <w:top w:val="single" w:color="auto" w:sz="4" w:space="0"/>
              <w:left w:val="single" w:color="auto" w:sz="4" w:space="0"/>
              <w:bottom w:val="single" w:color="auto" w:sz="4" w:space="0"/>
              <w:right w:val="single" w:color="auto" w:sz="4" w:space="0"/>
            </w:tcBorders>
            <w:vAlign w:val="center"/>
          </w:tcPr>
          <w:p w14:paraId="110EC492">
            <w:pPr>
              <w:pStyle w:val="161"/>
              <w:jc w:val="both"/>
              <w:rPr>
                <w:rFonts w:hint="eastAsia"/>
                <w:highlight w:val="none"/>
              </w:rPr>
            </w:pPr>
            <w:r>
              <w:rPr>
                <w:rFonts w:hint="eastAsia"/>
                <w:highlight w:val="none"/>
              </w:rPr>
              <w:t>从事工程工作年限</w:t>
            </w:r>
          </w:p>
        </w:tc>
        <w:tc>
          <w:tcPr>
            <w:tcW w:w="1536" w:type="dxa"/>
            <w:tcBorders>
              <w:top w:val="single" w:color="auto" w:sz="4" w:space="0"/>
              <w:left w:val="single" w:color="auto" w:sz="4" w:space="0"/>
              <w:bottom w:val="single" w:color="auto" w:sz="4" w:space="0"/>
              <w:right w:val="single" w:color="auto" w:sz="4" w:space="0"/>
            </w:tcBorders>
            <w:vAlign w:val="center"/>
          </w:tcPr>
          <w:p w14:paraId="66D05387">
            <w:pPr>
              <w:pStyle w:val="161"/>
              <w:jc w:val="both"/>
              <w:rPr>
                <w:rFonts w:hint="eastAsia"/>
                <w:highlight w:val="none"/>
              </w:rPr>
            </w:pPr>
            <w:r>
              <w:rPr>
                <w:rFonts w:hint="eastAsia"/>
                <w:highlight w:val="none"/>
              </w:rPr>
              <w:t>备注</w:t>
            </w:r>
          </w:p>
        </w:tc>
      </w:tr>
      <w:tr w14:paraId="7016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3CD87FF0">
            <w:pPr>
              <w:pStyle w:val="122"/>
              <w:ind w:firstLine="496"/>
              <w:rPr>
                <w:rFonts w:hint="eastAsia" w:ascii="宋体" w:hAnsi="宋体"/>
                <w:snapToGrid w:val="0"/>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512821B4">
            <w:pPr>
              <w:pStyle w:val="122"/>
              <w:ind w:firstLine="496"/>
              <w:rPr>
                <w:rFonts w:hint="eastAsia" w:ascii="宋体" w:hAnsi="宋体"/>
                <w:snapToGrid w:val="0"/>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0EEE2A60">
            <w:pPr>
              <w:pStyle w:val="122"/>
              <w:ind w:firstLine="496"/>
              <w:rPr>
                <w:rFonts w:hint="eastAsia" w:ascii="宋体" w:hAnsi="宋体"/>
                <w:snapToGrid w:val="0"/>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7AB12E4B">
            <w:pPr>
              <w:pStyle w:val="122"/>
              <w:ind w:firstLine="496"/>
              <w:rPr>
                <w:rFonts w:hint="eastAsia" w:ascii="宋体" w:hAnsi="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tcPr>
          <w:p w14:paraId="458F0444">
            <w:pPr>
              <w:pStyle w:val="122"/>
              <w:ind w:firstLine="496"/>
              <w:rPr>
                <w:rFonts w:hint="eastAsia" w:ascii="宋体" w:hAnsi="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5E00AAAC">
            <w:pPr>
              <w:pStyle w:val="122"/>
              <w:ind w:firstLine="496"/>
              <w:rPr>
                <w:rFonts w:hint="eastAsia" w:ascii="宋体" w:hAnsi="宋体"/>
                <w:snapToGrid w:val="0"/>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6B279DB6">
            <w:pPr>
              <w:pStyle w:val="122"/>
              <w:ind w:firstLine="496"/>
              <w:rPr>
                <w:rFonts w:hint="eastAsia" w:ascii="宋体" w:hAnsi="宋体"/>
                <w:snapToGrid w:val="0"/>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01B2A369">
            <w:pPr>
              <w:pStyle w:val="122"/>
              <w:ind w:firstLine="496"/>
              <w:rPr>
                <w:rFonts w:hint="eastAsia" w:ascii="宋体" w:hAnsi="宋体"/>
                <w:snapToGrid w:val="0"/>
                <w:highlight w:val="none"/>
              </w:rPr>
            </w:pPr>
          </w:p>
        </w:tc>
        <w:tc>
          <w:tcPr>
            <w:tcW w:w="1156" w:type="dxa"/>
            <w:tcBorders>
              <w:top w:val="single" w:color="auto" w:sz="4" w:space="0"/>
              <w:left w:val="single" w:color="auto" w:sz="4" w:space="0"/>
              <w:bottom w:val="single" w:color="auto" w:sz="4" w:space="0"/>
              <w:right w:val="single" w:color="auto" w:sz="4" w:space="0"/>
            </w:tcBorders>
          </w:tcPr>
          <w:p w14:paraId="5A2F17EE">
            <w:pPr>
              <w:pStyle w:val="122"/>
              <w:ind w:firstLine="496"/>
              <w:rPr>
                <w:rFonts w:hint="eastAsia" w:ascii="宋体" w:hAnsi="宋体"/>
                <w:snapToGrid w:val="0"/>
                <w:highlight w:val="none"/>
              </w:rPr>
            </w:pPr>
          </w:p>
        </w:tc>
        <w:tc>
          <w:tcPr>
            <w:tcW w:w="1536" w:type="dxa"/>
            <w:tcBorders>
              <w:top w:val="single" w:color="auto" w:sz="4" w:space="0"/>
              <w:left w:val="single" w:color="auto" w:sz="4" w:space="0"/>
              <w:bottom w:val="single" w:color="auto" w:sz="4" w:space="0"/>
              <w:right w:val="single" w:color="auto" w:sz="4" w:space="0"/>
            </w:tcBorders>
          </w:tcPr>
          <w:p w14:paraId="4D7435A8">
            <w:pPr>
              <w:pStyle w:val="122"/>
              <w:ind w:firstLine="496"/>
              <w:rPr>
                <w:rFonts w:hint="eastAsia" w:ascii="宋体" w:hAnsi="宋体"/>
                <w:snapToGrid w:val="0"/>
                <w:highlight w:val="none"/>
              </w:rPr>
            </w:pPr>
          </w:p>
        </w:tc>
      </w:tr>
      <w:tr w14:paraId="6DAE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60D8DA8D">
            <w:pPr>
              <w:pStyle w:val="122"/>
              <w:ind w:firstLine="496"/>
              <w:rPr>
                <w:rFonts w:hint="eastAsia" w:ascii="宋体" w:hAnsi="宋体"/>
                <w:snapToGrid w:val="0"/>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4E17F65E">
            <w:pPr>
              <w:pStyle w:val="122"/>
              <w:ind w:firstLine="496"/>
              <w:rPr>
                <w:rFonts w:hint="eastAsia" w:ascii="宋体" w:hAnsi="宋体"/>
                <w:snapToGrid w:val="0"/>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590E5E92">
            <w:pPr>
              <w:pStyle w:val="122"/>
              <w:ind w:firstLine="496"/>
              <w:rPr>
                <w:rFonts w:hint="eastAsia" w:ascii="宋体" w:hAnsi="宋体"/>
                <w:snapToGrid w:val="0"/>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3181BD79">
            <w:pPr>
              <w:pStyle w:val="122"/>
              <w:ind w:firstLine="496"/>
              <w:rPr>
                <w:rFonts w:hint="eastAsia" w:ascii="宋体" w:hAnsi="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tcPr>
          <w:p w14:paraId="39679FF7">
            <w:pPr>
              <w:pStyle w:val="122"/>
              <w:ind w:firstLine="496"/>
              <w:rPr>
                <w:rFonts w:hint="eastAsia" w:ascii="宋体" w:hAnsi="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4058F763">
            <w:pPr>
              <w:pStyle w:val="122"/>
              <w:ind w:firstLine="496"/>
              <w:rPr>
                <w:rFonts w:hint="eastAsia" w:ascii="宋体" w:hAnsi="宋体"/>
                <w:snapToGrid w:val="0"/>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0BC643E2">
            <w:pPr>
              <w:pStyle w:val="122"/>
              <w:ind w:firstLine="496"/>
              <w:rPr>
                <w:rFonts w:hint="eastAsia" w:ascii="宋体" w:hAnsi="宋体"/>
                <w:snapToGrid w:val="0"/>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01F8849A">
            <w:pPr>
              <w:pStyle w:val="122"/>
              <w:ind w:firstLine="496"/>
              <w:rPr>
                <w:rFonts w:hint="eastAsia" w:ascii="宋体" w:hAnsi="宋体"/>
                <w:snapToGrid w:val="0"/>
                <w:highlight w:val="none"/>
              </w:rPr>
            </w:pPr>
          </w:p>
        </w:tc>
        <w:tc>
          <w:tcPr>
            <w:tcW w:w="1156" w:type="dxa"/>
            <w:tcBorders>
              <w:top w:val="single" w:color="auto" w:sz="4" w:space="0"/>
              <w:left w:val="single" w:color="auto" w:sz="4" w:space="0"/>
              <w:bottom w:val="single" w:color="auto" w:sz="4" w:space="0"/>
              <w:right w:val="single" w:color="auto" w:sz="4" w:space="0"/>
            </w:tcBorders>
          </w:tcPr>
          <w:p w14:paraId="7D2E65E6">
            <w:pPr>
              <w:pStyle w:val="122"/>
              <w:ind w:firstLine="496"/>
              <w:rPr>
                <w:rFonts w:hint="eastAsia" w:ascii="宋体" w:hAnsi="宋体"/>
                <w:snapToGrid w:val="0"/>
                <w:highlight w:val="none"/>
              </w:rPr>
            </w:pPr>
          </w:p>
        </w:tc>
        <w:tc>
          <w:tcPr>
            <w:tcW w:w="1536" w:type="dxa"/>
            <w:tcBorders>
              <w:top w:val="single" w:color="auto" w:sz="4" w:space="0"/>
              <w:left w:val="single" w:color="auto" w:sz="4" w:space="0"/>
              <w:bottom w:val="single" w:color="auto" w:sz="4" w:space="0"/>
              <w:right w:val="single" w:color="auto" w:sz="4" w:space="0"/>
            </w:tcBorders>
          </w:tcPr>
          <w:p w14:paraId="7B751B65">
            <w:pPr>
              <w:pStyle w:val="122"/>
              <w:ind w:firstLine="496"/>
              <w:rPr>
                <w:rFonts w:hint="eastAsia" w:ascii="宋体" w:hAnsi="宋体"/>
                <w:snapToGrid w:val="0"/>
                <w:highlight w:val="none"/>
              </w:rPr>
            </w:pPr>
          </w:p>
        </w:tc>
      </w:tr>
      <w:tr w14:paraId="6E9D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3D9C7E40">
            <w:pPr>
              <w:pStyle w:val="122"/>
              <w:ind w:firstLine="496"/>
              <w:rPr>
                <w:rFonts w:hint="eastAsia" w:ascii="宋体" w:hAnsi="宋体"/>
                <w:snapToGrid w:val="0"/>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368E2BD0">
            <w:pPr>
              <w:pStyle w:val="122"/>
              <w:ind w:firstLine="496"/>
              <w:rPr>
                <w:rFonts w:hint="eastAsia" w:ascii="宋体" w:hAnsi="宋体"/>
                <w:snapToGrid w:val="0"/>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6D37AA52">
            <w:pPr>
              <w:pStyle w:val="122"/>
              <w:ind w:firstLine="496"/>
              <w:rPr>
                <w:rFonts w:hint="eastAsia" w:ascii="宋体" w:hAnsi="宋体"/>
                <w:snapToGrid w:val="0"/>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16AEEDB3">
            <w:pPr>
              <w:pStyle w:val="122"/>
              <w:ind w:firstLine="496"/>
              <w:rPr>
                <w:rFonts w:hint="eastAsia" w:ascii="宋体" w:hAnsi="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tcPr>
          <w:p w14:paraId="4A59B128">
            <w:pPr>
              <w:pStyle w:val="122"/>
              <w:ind w:firstLine="496"/>
              <w:rPr>
                <w:rFonts w:hint="eastAsia" w:ascii="宋体" w:hAnsi="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1718C012">
            <w:pPr>
              <w:pStyle w:val="122"/>
              <w:ind w:firstLine="496"/>
              <w:rPr>
                <w:rFonts w:hint="eastAsia" w:ascii="宋体" w:hAnsi="宋体"/>
                <w:snapToGrid w:val="0"/>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7247A9EA">
            <w:pPr>
              <w:pStyle w:val="122"/>
              <w:ind w:firstLine="496"/>
              <w:rPr>
                <w:rFonts w:hint="eastAsia" w:ascii="宋体" w:hAnsi="宋体"/>
                <w:snapToGrid w:val="0"/>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23986D1B">
            <w:pPr>
              <w:pStyle w:val="122"/>
              <w:ind w:firstLine="496"/>
              <w:rPr>
                <w:rFonts w:hint="eastAsia" w:ascii="宋体" w:hAnsi="宋体"/>
                <w:snapToGrid w:val="0"/>
                <w:highlight w:val="none"/>
              </w:rPr>
            </w:pPr>
          </w:p>
        </w:tc>
        <w:tc>
          <w:tcPr>
            <w:tcW w:w="1156" w:type="dxa"/>
            <w:tcBorders>
              <w:top w:val="single" w:color="auto" w:sz="4" w:space="0"/>
              <w:left w:val="single" w:color="auto" w:sz="4" w:space="0"/>
              <w:bottom w:val="single" w:color="auto" w:sz="4" w:space="0"/>
              <w:right w:val="single" w:color="auto" w:sz="4" w:space="0"/>
            </w:tcBorders>
          </w:tcPr>
          <w:p w14:paraId="1DEB207C">
            <w:pPr>
              <w:pStyle w:val="122"/>
              <w:ind w:firstLine="496"/>
              <w:rPr>
                <w:rFonts w:hint="eastAsia" w:ascii="宋体" w:hAnsi="宋体"/>
                <w:snapToGrid w:val="0"/>
                <w:highlight w:val="none"/>
              </w:rPr>
            </w:pPr>
          </w:p>
        </w:tc>
        <w:tc>
          <w:tcPr>
            <w:tcW w:w="1536" w:type="dxa"/>
            <w:tcBorders>
              <w:top w:val="single" w:color="auto" w:sz="4" w:space="0"/>
              <w:left w:val="single" w:color="auto" w:sz="4" w:space="0"/>
              <w:bottom w:val="single" w:color="auto" w:sz="4" w:space="0"/>
              <w:right w:val="single" w:color="auto" w:sz="4" w:space="0"/>
            </w:tcBorders>
          </w:tcPr>
          <w:p w14:paraId="49BFA320">
            <w:pPr>
              <w:pStyle w:val="122"/>
              <w:ind w:firstLine="496"/>
              <w:rPr>
                <w:rFonts w:hint="eastAsia" w:ascii="宋体" w:hAnsi="宋体"/>
                <w:snapToGrid w:val="0"/>
                <w:highlight w:val="none"/>
              </w:rPr>
            </w:pPr>
          </w:p>
        </w:tc>
      </w:tr>
      <w:tr w14:paraId="56F8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2399A9E1">
            <w:pPr>
              <w:pStyle w:val="122"/>
              <w:ind w:firstLine="496"/>
              <w:rPr>
                <w:rFonts w:hint="eastAsia" w:ascii="宋体" w:hAnsi="宋体"/>
                <w:snapToGrid w:val="0"/>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580F8B45">
            <w:pPr>
              <w:pStyle w:val="122"/>
              <w:ind w:firstLine="496"/>
              <w:rPr>
                <w:rFonts w:hint="eastAsia" w:ascii="宋体" w:hAnsi="宋体"/>
                <w:snapToGrid w:val="0"/>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468AB556">
            <w:pPr>
              <w:pStyle w:val="122"/>
              <w:ind w:firstLine="496"/>
              <w:rPr>
                <w:rFonts w:hint="eastAsia" w:ascii="宋体" w:hAnsi="宋体"/>
                <w:snapToGrid w:val="0"/>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56831118">
            <w:pPr>
              <w:pStyle w:val="122"/>
              <w:ind w:firstLine="496"/>
              <w:rPr>
                <w:rFonts w:hint="eastAsia" w:ascii="宋体" w:hAnsi="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tcPr>
          <w:p w14:paraId="20CEEA9A">
            <w:pPr>
              <w:pStyle w:val="122"/>
              <w:ind w:firstLine="496"/>
              <w:rPr>
                <w:rFonts w:hint="eastAsia" w:ascii="宋体" w:hAnsi="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44B463CB">
            <w:pPr>
              <w:pStyle w:val="122"/>
              <w:ind w:firstLine="496"/>
              <w:rPr>
                <w:rFonts w:hint="eastAsia" w:ascii="宋体" w:hAnsi="宋体"/>
                <w:snapToGrid w:val="0"/>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1FAB8D76">
            <w:pPr>
              <w:pStyle w:val="122"/>
              <w:ind w:firstLine="496"/>
              <w:rPr>
                <w:rFonts w:hint="eastAsia" w:ascii="宋体" w:hAnsi="宋体"/>
                <w:snapToGrid w:val="0"/>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5BF3ADC1">
            <w:pPr>
              <w:pStyle w:val="122"/>
              <w:ind w:firstLine="496"/>
              <w:rPr>
                <w:rFonts w:hint="eastAsia" w:ascii="宋体" w:hAnsi="宋体"/>
                <w:snapToGrid w:val="0"/>
                <w:highlight w:val="none"/>
              </w:rPr>
            </w:pPr>
          </w:p>
        </w:tc>
        <w:tc>
          <w:tcPr>
            <w:tcW w:w="1156" w:type="dxa"/>
            <w:tcBorders>
              <w:top w:val="single" w:color="auto" w:sz="4" w:space="0"/>
              <w:left w:val="single" w:color="auto" w:sz="4" w:space="0"/>
              <w:bottom w:val="single" w:color="auto" w:sz="4" w:space="0"/>
              <w:right w:val="single" w:color="auto" w:sz="4" w:space="0"/>
            </w:tcBorders>
          </w:tcPr>
          <w:p w14:paraId="6886F308">
            <w:pPr>
              <w:pStyle w:val="122"/>
              <w:ind w:firstLine="496"/>
              <w:rPr>
                <w:rFonts w:hint="eastAsia" w:ascii="宋体" w:hAnsi="宋体"/>
                <w:snapToGrid w:val="0"/>
                <w:highlight w:val="none"/>
              </w:rPr>
            </w:pPr>
          </w:p>
        </w:tc>
        <w:tc>
          <w:tcPr>
            <w:tcW w:w="1536" w:type="dxa"/>
            <w:tcBorders>
              <w:top w:val="single" w:color="auto" w:sz="4" w:space="0"/>
              <w:left w:val="single" w:color="auto" w:sz="4" w:space="0"/>
              <w:bottom w:val="single" w:color="auto" w:sz="4" w:space="0"/>
              <w:right w:val="single" w:color="auto" w:sz="4" w:space="0"/>
            </w:tcBorders>
          </w:tcPr>
          <w:p w14:paraId="21758EA4">
            <w:pPr>
              <w:pStyle w:val="122"/>
              <w:ind w:firstLine="496"/>
              <w:rPr>
                <w:rFonts w:hint="eastAsia" w:ascii="宋体" w:hAnsi="宋体"/>
                <w:snapToGrid w:val="0"/>
                <w:highlight w:val="none"/>
              </w:rPr>
            </w:pPr>
          </w:p>
        </w:tc>
      </w:tr>
      <w:tr w14:paraId="5318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7D90DB37">
            <w:pPr>
              <w:pStyle w:val="122"/>
              <w:ind w:firstLine="496"/>
              <w:rPr>
                <w:rFonts w:hint="eastAsia" w:ascii="宋体" w:hAnsi="宋体"/>
                <w:snapToGrid w:val="0"/>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20011BDF">
            <w:pPr>
              <w:pStyle w:val="122"/>
              <w:ind w:firstLine="496"/>
              <w:rPr>
                <w:rFonts w:hint="eastAsia" w:ascii="宋体" w:hAnsi="宋体"/>
                <w:snapToGrid w:val="0"/>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768D5531">
            <w:pPr>
              <w:pStyle w:val="122"/>
              <w:ind w:firstLine="496"/>
              <w:rPr>
                <w:rFonts w:hint="eastAsia" w:ascii="宋体" w:hAnsi="宋体"/>
                <w:snapToGrid w:val="0"/>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3FF9DEC7">
            <w:pPr>
              <w:pStyle w:val="122"/>
              <w:ind w:firstLine="496"/>
              <w:rPr>
                <w:rFonts w:hint="eastAsia" w:ascii="宋体" w:hAnsi="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tcPr>
          <w:p w14:paraId="53C44804">
            <w:pPr>
              <w:pStyle w:val="122"/>
              <w:ind w:firstLine="496"/>
              <w:rPr>
                <w:rFonts w:hint="eastAsia" w:ascii="宋体" w:hAnsi="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305BD3A0">
            <w:pPr>
              <w:pStyle w:val="122"/>
              <w:ind w:firstLine="496"/>
              <w:rPr>
                <w:rFonts w:hint="eastAsia" w:ascii="宋体" w:hAnsi="宋体"/>
                <w:snapToGrid w:val="0"/>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5302CA86">
            <w:pPr>
              <w:pStyle w:val="122"/>
              <w:ind w:firstLine="496"/>
              <w:rPr>
                <w:rFonts w:hint="eastAsia" w:ascii="宋体" w:hAnsi="宋体"/>
                <w:snapToGrid w:val="0"/>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794DB804">
            <w:pPr>
              <w:pStyle w:val="122"/>
              <w:ind w:firstLine="496"/>
              <w:rPr>
                <w:rFonts w:hint="eastAsia" w:ascii="宋体" w:hAnsi="宋体"/>
                <w:snapToGrid w:val="0"/>
                <w:highlight w:val="none"/>
              </w:rPr>
            </w:pPr>
          </w:p>
        </w:tc>
        <w:tc>
          <w:tcPr>
            <w:tcW w:w="1156" w:type="dxa"/>
            <w:tcBorders>
              <w:top w:val="single" w:color="auto" w:sz="4" w:space="0"/>
              <w:left w:val="single" w:color="auto" w:sz="4" w:space="0"/>
              <w:bottom w:val="single" w:color="auto" w:sz="4" w:space="0"/>
              <w:right w:val="single" w:color="auto" w:sz="4" w:space="0"/>
            </w:tcBorders>
          </w:tcPr>
          <w:p w14:paraId="2B071058">
            <w:pPr>
              <w:pStyle w:val="122"/>
              <w:ind w:firstLine="496"/>
              <w:rPr>
                <w:rFonts w:hint="eastAsia" w:ascii="宋体" w:hAnsi="宋体"/>
                <w:snapToGrid w:val="0"/>
                <w:highlight w:val="none"/>
              </w:rPr>
            </w:pPr>
          </w:p>
        </w:tc>
        <w:tc>
          <w:tcPr>
            <w:tcW w:w="1536" w:type="dxa"/>
            <w:tcBorders>
              <w:top w:val="single" w:color="auto" w:sz="4" w:space="0"/>
              <w:left w:val="single" w:color="auto" w:sz="4" w:space="0"/>
              <w:bottom w:val="single" w:color="auto" w:sz="4" w:space="0"/>
              <w:right w:val="single" w:color="auto" w:sz="4" w:space="0"/>
            </w:tcBorders>
          </w:tcPr>
          <w:p w14:paraId="05DB05F1">
            <w:pPr>
              <w:pStyle w:val="122"/>
              <w:ind w:firstLine="496"/>
              <w:rPr>
                <w:rFonts w:hint="eastAsia" w:ascii="宋体" w:hAnsi="宋体"/>
                <w:snapToGrid w:val="0"/>
                <w:highlight w:val="none"/>
              </w:rPr>
            </w:pPr>
          </w:p>
        </w:tc>
      </w:tr>
      <w:tr w14:paraId="1491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07E64858">
            <w:pPr>
              <w:pStyle w:val="122"/>
              <w:ind w:firstLine="496"/>
              <w:rPr>
                <w:rFonts w:hint="eastAsia" w:ascii="宋体" w:hAnsi="宋体"/>
                <w:snapToGrid w:val="0"/>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0B0386BF">
            <w:pPr>
              <w:pStyle w:val="122"/>
              <w:ind w:firstLine="496"/>
              <w:rPr>
                <w:rFonts w:hint="eastAsia" w:ascii="宋体" w:hAnsi="宋体"/>
                <w:snapToGrid w:val="0"/>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3B466556">
            <w:pPr>
              <w:pStyle w:val="122"/>
              <w:ind w:firstLine="496"/>
              <w:rPr>
                <w:rFonts w:hint="eastAsia" w:ascii="宋体" w:hAnsi="宋体"/>
                <w:snapToGrid w:val="0"/>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340D8E16">
            <w:pPr>
              <w:pStyle w:val="122"/>
              <w:ind w:firstLine="496"/>
              <w:rPr>
                <w:rFonts w:hint="eastAsia" w:ascii="宋体" w:hAnsi="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tcPr>
          <w:p w14:paraId="60858D58">
            <w:pPr>
              <w:pStyle w:val="122"/>
              <w:ind w:firstLine="496"/>
              <w:rPr>
                <w:rFonts w:hint="eastAsia" w:ascii="宋体" w:hAnsi="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5B64F0AF">
            <w:pPr>
              <w:pStyle w:val="122"/>
              <w:ind w:firstLine="496"/>
              <w:rPr>
                <w:rFonts w:hint="eastAsia" w:ascii="宋体" w:hAnsi="宋体"/>
                <w:snapToGrid w:val="0"/>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722A0C07">
            <w:pPr>
              <w:pStyle w:val="122"/>
              <w:ind w:firstLine="496"/>
              <w:rPr>
                <w:rFonts w:hint="eastAsia" w:ascii="宋体" w:hAnsi="宋体"/>
                <w:snapToGrid w:val="0"/>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3AFCE65F">
            <w:pPr>
              <w:pStyle w:val="122"/>
              <w:ind w:firstLine="496"/>
              <w:rPr>
                <w:rFonts w:hint="eastAsia" w:ascii="宋体" w:hAnsi="宋体"/>
                <w:snapToGrid w:val="0"/>
                <w:highlight w:val="none"/>
              </w:rPr>
            </w:pPr>
          </w:p>
        </w:tc>
        <w:tc>
          <w:tcPr>
            <w:tcW w:w="1156" w:type="dxa"/>
            <w:tcBorders>
              <w:top w:val="single" w:color="auto" w:sz="4" w:space="0"/>
              <w:left w:val="single" w:color="auto" w:sz="4" w:space="0"/>
              <w:bottom w:val="single" w:color="auto" w:sz="4" w:space="0"/>
              <w:right w:val="single" w:color="auto" w:sz="4" w:space="0"/>
            </w:tcBorders>
          </w:tcPr>
          <w:p w14:paraId="2DDEC83D">
            <w:pPr>
              <w:pStyle w:val="122"/>
              <w:ind w:firstLine="496"/>
              <w:rPr>
                <w:rFonts w:hint="eastAsia" w:ascii="宋体" w:hAnsi="宋体"/>
                <w:snapToGrid w:val="0"/>
                <w:highlight w:val="none"/>
              </w:rPr>
            </w:pPr>
          </w:p>
        </w:tc>
        <w:tc>
          <w:tcPr>
            <w:tcW w:w="1536" w:type="dxa"/>
            <w:tcBorders>
              <w:top w:val="single" w:color="auto" w:sz="4" w:space="0"/>
              <w:left w:val="single" w:color="auto" w:sz="4" w:space="0"/>
              <w:bottom w:val="single" w:color="auto" w:sz="4" w:space="0"/>
              <w:right w:val="single" w:color="auto" w:sz="4" w:space="0"/>
            </w:tcBorders>
          </w:tcPr>
          <w:p w14:paraId="1AAD17A0">
            <w:pPr>
              <w:pStyle w:val="122"/>
              <w:ind w:firstLine="496"/>
              <w:rPr>
                <w:rFonts w:hint="eastAsia" w:ascii="宋体" w:hAnsi="宋体"/>
                <w:snapToGrid w:val="0"/>
                <w:highlight w:val="none"/>
              </w:rPr>
            </w:pPr>
          </w:p>
        </w:tc>
      </w:tr>
      <w:tr w14:paraId="325B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64E14F21">
            <w:pPr>
              <w:pStyle w:val="122"/>
              <w:ind w:firstLine="496"/>
              <w:rPr>
                <w:rFonts w:hint="eastAsia" w:ascii="宋体" w:hAnsi="宋体"/>
                <w:snapToGrid w:val="0"/>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26F00F33">
            <w:pPr>
              <w:pStyle w:val="122"/>
              <w:ind w:firstLine="496"/>
              <w:rPr>
                <w:rFonts w:hint="eastAsia" w:ascii="宋体" w:hAnsi="宋体"/>
                <w:snapToGrid w:val="0"/>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68AB2C64">
            <w:pPr>
              <w:pStyle w:val="122"/>
              <w:ind w:firstLine="496"/>
              <w:rPr>
                <w:rFonts w:hint="eastAsia" w:ascii="宋体" w:hAnsi="宋体"/>
                <w:snapToGrid w:val="0"/>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7C5543E5">
            <w:pPr>
              <w:pStyle w:val="122"/>
              <w:ind w:firstLine="496"/>
              <w:rPr>
                <w:rFonts w:hint="eastAsia" w:ascii="宋体" w:hAnsi="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tcPr>
          <w:p w14:paraId="4D09401B">
            <w:pPr>
              <w:pStyle w:val="122"/>
              <w:ind w:firstLine="496"/>
              <w:rPr>
                <w:rFonts w:hint="eastAsia" w:ascii="宋体" w:hAnsi="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538E2984">
            <w:pPr>
              <w:pStyle w:val="122"/>
              <w:ind w:firstLine="496"/>
              <w:rPr>
                <w:rFonts w:hint="eastAsia" w:ascii="宋体" w:hAnsi="宋体"/>
                <w:snapToGrid w:val="0"/>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4DFE7D6A">
            <w:pPr>
              <w:pStyle w:val="122"/>
              <w:ind w:firstLine="496"/>
              <w:rPr>
                <w:rFonts w:hint="eastAsia" w:ascii="宋体" w:hAnsi="宋体"/>
                <w:snapToGrid w:val="0"/>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41659F49">
            <w:pPr>
              <w:pStyle w:val="122"/>
              <w:ind w:firstLine="496"/>
              <w:rPr>
                <w:rFonts w:hint="eastAsia" w:ascii="宋体" w:hAnsi="宋体"/>
                <w:snapToGrid w:val="0"/>
                <w:highlight w:val="none"/>
              </w:rPr>
            </w:pPr>
          </w:p>
        </w:tc>
        <w:tc>
          <w:tcPr>
            <w:tcW w:w="1156" w:type="dxa"/>
            <w:tcBorders>
              <w:top w:val="single" w:color="auto" w:sz="4" w:space="0"/>
              <w:left w:val="single" w:color="auto" w:sz="4" w:space="0"/>
              <w:bottom w:val="single" w:color="auto" w:sz="4" w:space="0"/>
              <w:right w:val="single" w:color="auto" w:sz="4" w:space="0"/>
            </w:tcBorders>
          </w:tcPr>
          <w:p w14:paraId="798C1DA3">
            <w:pPr>
              <w:pStyle w:val="122"/>
              <w:ind w:firstLine="496"/>
              <w:rPr>
                <w:rFonts w:hint="eastAsia" w:ascii="宋体" w:hAnsi="宋体"/>
                <w:snapToGrid w:val="0"/>
                <w:highlight w:val="none"/>
              </w:rPr>
            </w:pPr>
          </w:p>
        </w:tc>
        <w:tc>
          <w:tcPr>
            <w:tcW w:w="1536" w:type="dxa"/>
            <w:tcBorders>
              <w:top w:val="single" w:color="auto" w:sz="4" w:space="0"/>
              <w:left w:val="single" w:color="auto" w:sz="4" w:space="0"/>
              <w:bottom w:val="single" w:color="auto" w:sz="4" w:space="0"/>
              <w:right w:val="single" w:color="auto" w:sz="4" w:space="0"/>
            </w:tcBorders>
          </w:tcPr>
          <w:p w14:paraId="1A7E7D8A">
            <w:pPr>
              <w:pStyle w:val="122"/>
              <w:ind w:firstLine="496"/>
              <w:rPr>
                <w:rFonts w:hint="eastAsia" w:ascii="宋体" w:hAnsi="宋体"/>
                <w:snapToGrid w:val="0"/>
                <w:highlight w:val="none"/>
              </w:rPr>
            </w:pPr>
          </w:p>
        </w:tc>
      </w:tr>
      <w:tr w14:paraId="6CD9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7D5A53B3">
            <w:pPr>
              <w:pStyle w:val="122"/>
              <w:ind w:firstLine="496"/>
              <w:rPr>
                <w:rFonts w:hint="eastAsia" w:ascii="宋体" w:hAnsi="宋体"/>
                <w:snapToGrid w:val="0"/>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69DB38D9">
            <w:pPr>
              <w:pStyle w:val="122"/>
              <w:ind w:firstLine="496"/>
              <w:rPr>
                <w:rFonts w:hint="eastAsia" w:ascii="宋体" w:hAnsi="宋体"/>
                <w:snapToGrid w:val="0"/>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22F3F015">
            <w:pPr>
              <w:pStyle w:val="122"/>
              <w:ind w:firstLine="496"/>
              <w:rPr>
                <w:rFonts w:hint="eastAsia" w:ascii="宋体" w:hAnsi="宋体"/>
                <w:snapToGrid w:val="0"/>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73D790E0">
            <w:pPr>
              <w:pStyle w:val="122"/>
              <w:ind w:firstLine="496"/>
              <w:rPr>
                <w:rFonts w:hint="eastAsia" w:ascii="宋体" w:hAnsi="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tcPr>
          <w:p w14:paraId="10F0B3A3">
            <w:pPr>
              <w:pStyle w:val="122"/>
              <w:ind w:firstLine="496"/>
              <w:rPr>
                <w:rFonts w:hint="eastAsia" w:ascii="宋体" w:hAnsi="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15B89F0C">
            <w:pPr>
              <w:pStyle w:val="122"/>
              <w:ind w:firstLine="496"/>
              <w:rPr>
                <w:rFonts w:hint="eastAsia" w:ascii="宋体" w:hAnsi="宋体"/>
                <w:snapToGrid w:val="0"/>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0F41F213">
            <w:pPr>
              <w:pStyle w:val="122"/>
              <w:ind w:firstLine="496"/>
              <w:rPr>
                <w:rFonts w:hint="eastAsia" w:ascii="宋体" w:hAnsi="宋体"/>
                <w:snapToGrid w:val="0"/>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77091180">
            <w:pPr>
              <w:pStyle w:val="122"/>
              <w:ind w:firstLine="496"/>
              <w:rPr>
                <w:rFonts w:hint="eastAsia" w:ascii="宋体" w:hAnsi="宋体"/>
                <w:snapToGrid w:val="0"/>
                <w:highlight w:val="none"/>
              </w:rPr>
            </w:pPr>
          </w:p>
        </w:tc>
        <w:tc>
          <w:tcPr>
            <w:tcW w:w="1156" w:type="dxa"/>
            <w:tcBorders>
              <w:top w:val="single" w:color="auto" w:sz="4" w:space="0"/>
              <w:left w:val="single" w:color="auto" w:sz="4" w:space="0"/>
              <w:bottom w:val="single" w:color="auto" w:sz="4" w:space="0"/>
              <w:right w:val="single" w:color="auto" w:sz="4" w:space="0"/>
            </w:tcBorders>
          </w:tcPr>
          <w:p w14:paraId="2D039A4D">
            <w:pPr>
              <w:pStyle w:val="122"/>
              <w:ind w:firstLine="496"/>
              <w:rPr>
                <w:rFonts w:hint="eastAsia" w:ascii="宋体" w:hAnsi="宋体"/>
                <w:snapToGrid w:val="0"/>
                <w:highlight w:val="none"/>
              </w:rPr>
            </w:pPr>
          </w:p>
        </w:tc>
        <w:tc>
          <w:tcPr>
            <w:tcW w:w="1536" w:type="dxa"/>
            <w:tcBorders>
              <w:top w:val="single" w:color="auto" w:sz="4" w:space="0"/>
              <w:left w:val="single" w:color="auto" w:sz="4" w:space="0"/>
              <w:bottom w:val="single" w:color="auto" w:sz="4" w:space="0"/>
              <w:right w:val="single" w:color="auto" w:sz="4" w:space="0"/>
            </w:tcBorders>
          </w:tcPr>
          <w:p w14:paraId="52E8F4E3">
            <w:pPr>
              <w:pStyle w:val="122"/>
              <w:ind w:firstLine="496"/>
              <w:rPr>
                <w:rFonts w:hint="eastAsia" w:ascii="宋体" w:hAnsi="宋体"/>
                <w:snapToGrid w:val="0"/>
                <w:highlight w:val="none"/>
              </w:rPr>
            </w:pPr>
          </w:p>
        </w:tc>
      </w:tr>
      <w:tr w14:paraId="2035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04F95DB2">
            <w:pPr>
              <w:pStyle w:val="122"/>
              <w:ind w:firstLine="496"/>
              <w:rPr>
                <w:rFonts w:hint="eastAsia" w:ascii="宋体" w:hAnsi="宋体"/>
                <w:snapToGrid w:val="0"/>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27A99F9A">
            <w:pPr>
              <w:pStyle w:val="122"/>
              <w:ind w:firstLine="496"/>
              <w:rPr>
                <w:rFonts w:hint="eastAsia" w:ascii="宋体" w:hAnsi="宋体"/>
                <w:snapToGrid w:val="0"/>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1272B1F4">
            <w:pPr>
              <w:pStyle w:val="122"/>
              <w:ind w:firstLine="496"/>
              <w:rPr>
                <w:rFonts w:hint="eastAsia" w:ascii="宋体" w:hAnsi="宋体"/>
                <w:snapToGrid w:val="0"/>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1032EEC9">
            <w:pPr>
              <w:pStyle w:val="122"/>
              <w:ind w:firstLine="496"/>
              <w:rPr>
                <w:rFonts w:hint="eastAsia" w:ascii="宋体" w:hAnsi="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tcPr>
          <w:p w14:paraId="6123636A">
            <w:pPr>
              <w:pStyle w:val="122"/>
              <w:ind w:firstLine="496"/>
              <w:rPr>
                <w:rFonts w:hint="eastAsia" w:ascii="宋体" w:hAnsi="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7E78B7C3">
            <w:pPr>
              <w:pStyle w:val="122"/>
              <w:ind w:firstLine="496"/>
              <w:rPr>
                <w:rFonts w:hint="eastAsia" w:ascii="宋体" w:hAnsi="宋体"/>
                <w:snapToGrid w:val="0"/>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509124A2">
            <w:pPr>
              <w:pStyle w:val="122"/>
              <w:ind w:firstLine="496"/>
              <w:rPr>
                <w:rFonts w:hint="eastAsia" w:ascii="宋体" w:hAnsi="宋体"/>
                <w:snapToGrid w:val="0"/>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2D81D471">
            <w:pPr>
              <w:pStyle w:val="122"/>
              <w:ind w:firstLine="496"/>
              <w:rPr>
                <w:rFonts w:hint="eastAsia" w:ascii="宋体" w:hAnsi="宋体"/>
                <w:snapToGrid w:val="0"/>
                <w:highlight w:val="none"/>
              </w:rPr>
            </w:pPr>
          </w:p>
        </w:tc>
        <w:tc>
          <w:tcPr>
            <w:tcW w:w="1156" w:type="dxa"/>
            <w:tcBorders>
              <w:top w:val="single" w:color="auto" w:sz="4" w:space="0"/>
              <w:left w:val="single" w:color="auto" w:sz="4" w:space="0"/>
              <w:bottom w:val="single" w:color="auto" w:sz="4" w:space="0"/>
              <w:right w:val="single" w:color="auto" w:sz="4" w:space="0"/>
            </w:tcBorders>
          </w:tcPr>
          <w:p w14:paraId="0D9A55D4">
            <w:pPr>
              <w:pStyle w:val="122"/>
              <w:ind w:firstLine="496"/>
              <w:rPr>
                <w:rFonts w:hint="eastAsia" w:ascii="宋体" w:hAnsi="宋体"/>
                <w:snapToGrid w:val="0"/>
                <w:highlight w:val="none"/>
              </w:rPr>
            </w:pPr>
          </w:p>
        </w:tc>
        <w:tc>
          <w:tcPr>
            <w:tcW w:w="1536" w:type="dxa"/>
            <w:tcBorders>
              <w:top w:val="single" w:color="auto" w:sz="4" w:space="0"/>
              <w:left w:val="single" w:color="auto" w:sz="4" w:space="0"/>
              <w:bottom w:val="single" w:color="auto" w:sz="4" w:space="0"/>
              <w:right w:val="single" w:color="auto" w:sz="4" w:space="0"/>
            </w:tcBorders>
          </w:tcPr>
          <w:p w14:paraId="57BC1EBD">
            <w:pPr>
              <w:pStyle w:val="122"/>
              <w:ind w:firstLine="496"/>
              <w:rPr>
                <w:rFonts w:hint="eastAsia" w:ascii="宋体" w:hAnsi="宋体"/>
                <w:snapToGrid w:val="0"/>
                <w:highlight w:val="none"/>
              </w:rPr>
            </w:pPr>
          </w:p>
        </w:tc>
      </w:tr>
      <w:tr w14:paraId="300E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68B36297">
            <w:pPr>
              <w:pStyle w:val="122"/>
              <w:ind w:firstLine="496"/>
              <w:rPr>
                <w:rFonts w:hint="eastAsia" w:ascii="宋体" w:hAnsi="宋体"/>
                <w:snapToGrid w:val="0"/>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2E706036">
            <w:pPr>
              <w:pStyle w:val="122"/>
              <w:ind w:firstLine="496"/>
              <w:rPr>
                <w:rFonts w:hint="eastAsia" w:ascii="宋体" w:hAnsi="宋体"/>
                <w:snapToGrid w:val="0"/>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0803D416">
            <w:pPr>
              <w:pStyle w:val="122"/>
              <w:ind w:firstLine="496"/>
              <w:rPr>
                <w:rFonts w:hint="eastAsia" w:ascii="宋体" w:hAnsi="宋体"/>
                <w:snapToGrid w:val="0"/>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4C03D93D">
            <w:pPr>
              <w:pStyle w:val="122"/>
              <w:ind w:firstLine="496"/>
              <w:rPr>
                <w:rFonts w:hint="eastAsia" w:ascii="宋体" w:hAnsi="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tcPr>
          <w:p w14:paraId="7844E36E">
            <w:pPr>
              <w:pStyle w:val="122"/>
              <w:ind w:firstLine="496"/>
              <w:rPr>
                <w:rFonts w:hint="eastAsia" w:ascii="宋体" w:hAnsi="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3709F5C9">
            <w:pPr>
              <w:pStyle w:val="122"/>
              <w:ind w:firstLine="496"/>
              <w:rPr>
                <w:rFonts w:hint="eastAsia" w:ascii="宋体" w:hAnsi="宋体"/>
                <w:snapToGrid w:val="0"/>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33E2116B">
            <w:pPr>
              <w:pStyle w:val="122"/>
              <w:ind w:firstLine="496"/>
              <w:rPr>
                <w:rFonts w:hint="eastAsia" w:ascii="宋体" w:hAnsi="宋体"/>
                <w:snapToGrid w:val="0"/>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4CBB88E1">
            <w:pPr>
              <w:pStyle w:val="122"/>
              <w:ind w:firstLine="496"/>
              <w:rPr>
                <w:rFonts w:hint="eastAsia" w:ascii="宋体" w:hAnsi="宋体"/>
                <w:snapToGrid w:val="0"/>
                <w:highlight w:val="none"/>
              </w:rPr>
            </w:pPr>
          </w:p>
        </w:tc>
        <w:tc>
          <w:tcPr>
            <w:tcW w:w="1156" w:type="dxa"/>
            <w:tcBorders>
              <w:top w:val="single" w:color="auto" w:sz="4" w:space="0"/>
              <w:left w:val="single" w:color="auto" w:sz="4" w:space="0"/>
              <w:bottom w:val="single" w:color="auto" w:sz="4" w:space="0"/>
              <w:right w:val="single" w:color="auto" w:sz="4" w:space="0"/>
            </w:tcBorders>
          </w:tcPr>
          <w:p w14:paraId="0E025E12">
            <w:pPr>
              <w:pStyle w:val="122"/>
              <w:ind w:firstLine="496"/>
              <w:rPr>
                <w:rFonts w:hint="eastAsia" w:ascii="宋体" w:hAnsi="宋体"/>
                <w:snapToGrid w:val="0"/>
                <w:highlight w:val="none"/>
              </w:rPr>
            </w:pPr>
          </w:p>
        </w:tc>
        <w:tc>
          <w:tcPr>
            <w:tcW w:w="1536" w:type="dxa"/>
            <w:tcBorders>
              <w:top w:val="single" w:color="auto" w:sz="4" w:space="0"/>
              <w:left w:val="single" w:color="auto" w:sz="4" w:space="0"/>
              <w:bottom w:val="single" w:color="auto" w:sz="4" w:space="0"/>
              <w:right w:val="single" w:color="auto" w:sz="4" w:space="0"/>
            </w:tcBorders>
          </w:tcPr>
          <w:p w14:paraId="6668D883">
            <w:pPr>
              <w:pStyle w:val="122"/>
              <w:ind w:firstLine="496"/>
              <w:rPr>
                <w:rFonts w:hint="eastAsia" w:ascii="宋体" w:hAnsi="宋体"/>
                <w:snapToGrid w:val="0"/>
                <w:highlight w:val="none"/>
              </w:rPr>
            </w:pPr>
          </w:p>
        </w:tc>
      </w:tr>
      <w:tr w14:paraId="3C51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550" w:type="dxa"/>
            <w:tcBorders>
              <w:top w:val="single" w:color="auto" w:sz="4" w:space="0"/>
              <w:left w:val="single" w:color="auto" w:sz="4" w:space="0"/>
              <w:bottom w:val="single" w:color="auto" w:sz="4" w:space="0"/>
              <w:right w:val="single" w:color="auto" w:sz="4" w:space="0"/>
            </w:tcBorders>
            <w:vAlign w:val="center"/>
          </w:tcPr>
          <w:p w14:paraId="00168F24">
            <w:pPr>
              <w:pStyle w:val="122"/>
              <w:ind w:firstLine="496"/>
              <w:rPr>
                <w:rFonts w:hint="eastAsia" w:ascii="宋体" w:hAnsi="宋体"/>
                <w:snapToGrid w:val="0"/>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0AB5A581">
            <w:pPr>
              <w:pStyle w:val="122"/>
              <w:ind w:firstLine="496"/>
              <w:rPr>
                <w:rFonts w:hint="eastAsia" w:ascii="宋体" w:hAnsi="宋体"/>
                <w:snapToGrid w:val="0"/>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3BD0C4FA">
            <w:pPr>
              <w:pStyle w:val="122"/>
              <w:ind w:firstLine="496"/>
              <w:rPr>
                <w:rFonts w:hint="eastAsia" w:ascii="宋体" w:hAnsi="宋体"/>
                <w:snapToGrid w:val="0"/>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6EBA152C">
            <w:pPr>
              <w:pStyle w:val="122"/>
              <w:ind w:firstLine="496"/>
              <w:rPr>
                <w:rFonts w:hint="eastAsia" w:ascii="宋体" w:hAnsi="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tcPr>
          <w:p w14:paraId="589DAE51">
            <w:pPr>
              <w:pStyle w:val="122"/>
              <w:ind w:firstLine="496"/>
              <w:rPr>
                <w:rFonts w:hint="eastAsia" w:ascii="宋体" w:hAnsi="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21877F40">
            <w:pPr>
              <w:pStyle w:val="122"/>
              <w:ind w:firstLine="496"/>
              <w:rPr>
                <w:rFonts w:hint="eastAsia" w:ascii="宋体" w:hAnsi="宋体"/>
                <w:snapToGrid w:val="0"/>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70180E62">
            <w:pPr>
              <w:pStyle w:val="122"/>
              <w:ind w:firstLine="496"/>
              <w:rPr>
                <w:rFonts w:hint="eastAsia" w:ascii="宋体" w:hAnsi="宋体"/>
                <w:snapToGrid w:val="0"/>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107D6FFA">
            <w:pPr>
              <w:pStyle w:val="122"/>
              <w:ind w:firstLine="496"/>
              <w:rPr>
                <w:rFonts w:hint="eastAsia" w:ascii="宋体" w:hAnsi="宋体"/>
                <w:snapToGrid w:val="0"/>
                <w:highlight w:val="none"/>
              </w:rPr>
            </w:pPr>
          </w:p>
        </w:tc>
        <w:tc>
          <w:tcPr>
            <w:tcW w:w="1156" w:type="dxa"/>
            <w:tcBorders>
              <w:top w:val="single" w:color="auto" w:sz="4" w:space="0"/>
              <w:left w:val="single" w:color="auto" w:sz="4" w:space="0"/>
              <w:bottom w:val="single" w:color="auto" w:sz="4" w:space="0"/>
              <w:right w:val="single" w:color="auto" w:sz="4" w:space="0"/>
            </w:tcBorders>
          </w:tcPr>
          <w:p w14:paraId="1778B2F7">
            <w:pPr>
              <w:pStyle w:val="122"/>
              <w:ind w:firstLine="496"/>
              <w:rPr>
                <w:rFonts w:hint="eastAsia" w:ascii="宋体" w:hAnsi="宋体"/>
                <w:snapToGrid w:val="0"/>
                <w:highlight w:val="none"/>
              </w:rPr>
            </w:pPr>
          </w:p>
        </w:tc>
        <w:tc>
          <w:tcPr>
            <w:tcW w:w="1536" w:type="dxa"/>
            <w:tcBorders>
              <w:top w:val="single" w:color="auto" w:sz="4" w:space="0"/>
              <w:left w:val="single" w:color="auto" w:sz="4" w:space="0"/>
              <w:bottom w:val="single" w:color="auto" w:sz="4" w:space="0"/>
              <w:right w:val="single" w:color="auto" w:sz="4" w:space="0"/>
            </w:tcBorders>
          </w:tcPr>
          <w:p w14:paraId="3629B189">
            <w:pPr>
              <w:pStyle w:val="122"/>
              <w:ind w:firstLine="496"/>
              <w:rPr>
                <w:rFonts w:hint="eastAsia" w:ascii="宋体" w:hAnsi="宋体"/>
                <w:snapToGrid w:val="0"/>
                <w:highlight w:val="none"/>
              </w:rPr>
            </w:pPr>
          </w:p>
        </w:tc>
      </w:tr>
    </w:tbl>
    <w:p w14:paraId="23A2D1ED">
      <w:pPr>
        <w:autoSpaceDE w:val="0"/>
        <w:autoSpaceDN w:val="0"/>
        <w:adjustRightInd w:val="0"/>
        <w:ind w:firstLine="420" w:firstLineChars="200"/>
        <w:rPr>
          <w:rFonts w:hint="eastAsia" w:ascii="宋体" w:hAnsi="宋体" w:cs="宋体"/>
          <w:szCs w:val="21"/>
          <w:highlight w:val="none"/>
        </w:rPr>
      </w:pPr>
    </w:p>
    <w:p w14:paraId="3506A61E">
      <w:pPr>
        <w:autoSpaceDE w:val="0"/>
        <w:autoSpaceDN w:val="0"/>
        <w:adjustRightInd w:val="0"/>
        <w:ind w:firstLine="420" w:firstLineChars="200"/>
        <w:rPr>
          <w:rFonts w:hint="eastAsia" w:ascii="宋体" w:hAnsi="宋体" w:cs="宋体"/>
          <w:szCs w:val="21"/>
          <w:highlight w:val="none"/>
        </w:rPr>
      </w:pPr>
      <w:r>
        <w:rPr>
          <w:rFonts w:hint="eastAsia" w:ascii="宋体" w:hAnsi="宋体" w:cs="宋体"/>
          <w:szCs w:val="21"/>
          <w:highlight w:val="none"/>
        </w:rPr>
        <w:t>注：</w:t>
      </w:r>
    </w:p>
    <w:p w14:paraId="6C86F930">
      <w:pPr>
        <w:autoSpaceDE w:val="0"/>
        <w:autoSpaceDN w:val="0"/>
        <w:adjustRightInd w:val="0"/>
        <w:ind w:firstLine="420" w:firstLineChars="200"/>
        <w:rPr>
          <w:rFonts w:hint="eastAsia" w:ascii="宋体" w:hAnsi="宋体" w:cs="宋体"/>
          <w:szCs w:val="21"/>
          <w:highlight w:val="none"/>
        </w:rPr>
      </w:pPr>
      <w:r>
        <w:rPr>
          <w:rFonts w:hint="eastAsia" w:ascii="宋体" w:hAnsi="宋体" w:cs="宋体"/>
          <w:szCs w:val="21"/>
          <w:highlight w:val="none"/>
        </w:rPr>
        <w:t>1、按招标公告人员要求提供证明材料扫描件（包括但不限于项目负责人、技术负责人、设计负责人、专职安全员）。</w:t>
      </w:r>
    </w:p>
    <w:p w14:paraId="748FEA4A">
      <w:pPr>
        <w:autoSpaceDE w:val="0"/>
        <w:autoSpaceDN w:val="0"/>
        <w:adjustRightInd w:val="0"/>
        <w:ind w:firstLine="420" w:firstLineChars="200"/>
        <w:rPr>
          <w:rFonts w:hint="eastAsia" w:ascii="宋体" w:hAnsi="宋体" w:cs="宋体"/>
          <w:szCs w:val="21"/>
          <w:highlight w:val="none"/>
        </w:rPr>
      </w:pPr>
      <w:r>
        <w:rPr>
          <w:rFonts w:hint="eastAsia" w:ascii="宋体" w:hAnsi="宋体" w:cs="宋体"/>
          <w:szCs w:val="21"/>
          <w:highlight w:val="none"/>
        </w:rPr>
        <w:t>2、提供项目管理团队人员招标公告发布之日前三个月的社保缴纳证明文件。因改制或重组的企业或事业单位人员社保由上级主管部门缴纳的，除提供上级主管部门缴纳社保证明扫描件外，需由上级主管部门出具证明说明。</w:t>
      </w:r>
    </w:p>
    <w:p w14:paraId="3B85FA80">
      <w:pPr>
        <w:pStyle w:val="122"/>
        <w:spacing w:line="360" w:lineRule="exact"/>
        <w:ind w:firstLine="5859" w:firstLineChars="2790"/>
        <w:rPr>
          <w:rFonts w:hint="eastAsia" w:ascii="宋体" w:hAnsi="宋体"/>
          <w:spacing w:val="0"/>
          <w:sz w:val="21"/>
          <w:highlight w:val="none"/>
        </w:rPr>
      </w:pPr>
    </w:p>
    <w:p w14:paraId="29F63C99">
      <w:pPr>
        <w:pStyle w:val="5"/>
        <w:tabs>
          <w:tab w:val="left" w:pos="420"/>
          <w:tab w:val="left" w:pos="709"/>
        </w:tabs>
        <w:ind w:firstLine="0" w:firstLineChars="0"/>
        <w:rPr>
          <w:rFonts w:hint="eastAsia"/>
          <w:highlight w:val="none"/>
        </w:rPr>
      </w:pPr>
      <w:r>
        <w:rPr>
          <w:rFonts w:ascii="宋体" w:hAnsi="宋体" w:cs="宋体"/>
          <w:b/>
          <w:bCs w:val="0"/>
          <w:highlight w:val="none"/>
        </w:rPr>
        <w:br w:type="page"/>
      </w:r>
      <w:bookmarkStart w:id="1091" w:name="_Toc25829"/>
      <w:r>
        <w:rPr>
          <w:rFonts w:hint="eastAsia"/>
          <w:highlight w:val="none"/>
        </w:rPr>
        <w:t>格式</w:t>
      </w:r>
      <w:r>
        <w:rPr>
          <w:rFonts w:hint="eastAsia"/>
          <w:highlight w:val="none"/>
          <w:lang w:val="en-US"/>
        </w:rPr>
        <w:t>7</w:t>
      </w:r>
      <w:r>
        <w:rPr>
          <w:rFonts w:hint="eastAsia"/>
          <w:highlight w:val="none"/>
        </w:rPr>
        <w:t>：工程</w:t>
      </w:r>
      <w:r>
        <w:rPr>
          <w:rFonts w:hint="eastAsia"/>
          <w:highlight w:val="none"/>
          <w:lang w:val="en-US"/>
        </w:rPr>
        <w:t>总承包</w:t>
      </w:r>
      <w:r>
        <w:rPr>
          <w:rFonts w:hint="eastAsia"/>
          <w:highlight w:val="none"/>
        </w:rPr>
        <w:t>实施方案</w:t>
      </w:r>
      <w:bookmarkEnd w:id="1091"/>
    </w:p>
    <w:p w14:paraId="6CB903CF">
      <w:pPr>
        <w:ind w:firstLine="480"/>
        <w:rPr>
          <w:highlight w:val="none"/>
        </w:rPr>
      </w:pPr>
      <w:r>
        <w:rPr>
          <w:rFonts w:hint="eastAsia"/>
          <w:highlight w:val="none"/>
        </w:rPr>
        <w:t>由投标人有针对性地描述，各部分文字直接简练，不得出现大量宣传性及无实质性意义或直接引用范本照搬照套的文字。</w:t>
      </w:r>
    </w:p>
    <w:p w14:paraId="559030C7">
      <w:pPr>
        <w:ind w:firstLine="480"/>
        <w:rPr>
          <w:highlight w:val="none"/>
        </w:rPr>
      </w:pPr>
      <w:r>
        <w:rPr>
          <w:rFonts w:hint="eastAsia"/>
          <w:highlight w:val="none"/>
        </w:rPr>
        <w:t>工程总承包实施方案根据《工程总承包实施方案投标文件详细审查评分表》第二部分工程总承包实施方案和《定标因素表》编制，格式自理。</w:t>
      </w:r>
    </w:p>
    <w:p w14:paraId="654B892D">
      <w:pPr>
        <w:autoSpaceDE w:val="0"/>
        <w:autoSpaceDN w:val="0"/>
        <w:adjustRightInd w:val="0"/>
        <w:spacing w:line="360" w:lineRule="auto"/>
        <w:jc w:val="left"/>
        <w:rPr>
          <w:b/>
          <w:bCs/>
          <w:highlight w:val="none"/>
        </w:rPr>
      </w:pPr>
      <w:r>
        <w:rPr>
          <w:rFonts w:hint="eastAsia"/>
          <w:b/>
          <w:bCs/>
          <w:highlight w:val="none"/>
        </w:rPr>
        <w:t>注：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3CF775DD">
      <w:pPr>
        <w:autoSpaceDE w:val="0"/>
        <w:autoSpaceDN w:val="0"/>
        <w:adjustRightInd w:val="0"/>
        <w:spacing w:line="360" w:lineRule="auto"/>
        <w:jc w:val="left"/>
        <w:rPr>
          <w:b/>
          <w:bCs/>
          <w:highlight w:val="none"/>
        </w:rPr>
      </w:pPr>
    </w:p>
    <w:p w14:paraId="2DA45B84">
      <w:pPr>
        <w:autoSpaceDE w:val="0"/>
        <w:autoSpaceDN w:val="0"/>
        <w:adjustRightInd w:val="0"/>
        <w:spacing w:line="360" w:lineRule="auto"/>
        <w:jc w:val="left"/>
        <w:rPr>
          <w:b/>
          <w:bCs/>
          <w:highlight w:val="none"/>
        </w:rPr>
      </w:pPr>
    </w:p>
    <w:p w14:paraId="2B675B1C">
      <w:pPr>
        <w:autoSpaceDE w:val="0"/>
        <w:autoSpaceDN w:val="0"/>
        <w:adjustRightInd w:val="0"/>
        <w:spacing w:line="360" w:lineRule="auto"/>
        <w:jc w:val="left"/>
        <w:rPr>
          <w:b/>
          <w:bCs/>
          <w:highlight w:val="none"/>
        </w:rPr>
      </w:pPr>
    </w:p>
    <w:p w14:paraId="3B7C8F50">
      <w:pPr>
        <w:autoSpaceDE w:val="0"/>
        <w:autoSpaceDN w:val="0"/>
        <w:adjustRightInd w:val="0"/>
        <w:spacing w:line="360" w:lineRule="auto"/>
        <w:jc w:val="left"/>
        <w:rPr>
          <w:b/>
          <w:bCs/>
          <w:highlight w:val="none"/>
        </w:rPr>
        <w:sectPr>
          <w:headerReference r:id="rId16" w:type="default"/>
          <w:footerReference r:id="rId17" w:type="default"/>
          <w:pgSz w:w="11905" w:h="16838"/>
          <w:pgMar w:top="1247" w:right="1247" w:bottom="1247" w:left="1247" w:header="567" w:footer="850" w:gutter="0"/>
          <w:cols w:space="720" w:num="1"/>
          <w:docGrid w:type="lines" w:linePitch="312" w:charSpace="0"/>
        </w:sectPr>
      </w:pPr>
    </w:p>
    <w:p w14:paraId="34343EB7">
      <w:pPr>
        <w:autoSpaceDE w:val="0"/>
        <w:autoSpaceDN w:val="0"/>
        <w:adjustRightInd w:val="0"/>
        <w:spacing w:line="360" w:lineRule="auto"/>
        <w:jc w:val="left"/>
        <w:rPr>
          <w:rFonts w:hint="eastAsia" w:ascii="宋体" w:hAnsi="宋体" w:cs="宋体"/>
          <w:b/>
          <w:bCs/>
          <w:sz w:val="28"/>
          <w:szCs w:val="28"/>
          <w:highlight w:val="none"/>
          <w:lang w:val="zh-CN"/>
        </w:rPr>
      </w:pPr>
      <w:r>
        <w:rPr>
          <w:rFonts w:hint="eastAsia" w:ascii="宋体" w:hAnsi="宋体" w:cs="宋体"/>
          <w:b/>
          <w:sz w:val="28"/>
          <w:highlight w:val="none"/>
        </w:rPr>
        <w:t>格式8：</w:t>
      </w:r>
    </w:p>
    <w:p w14:paraId="5D5656EF">
      <w:pPr>
        <w:autoSpaceDE w:val="0"/>
        <w:autoSpaceDN w:val="0"/>
        <w:adjustRightInd w:val="0"/>
        <w:spacing w:line="360" w:lineRule="auto"/>
        <w:jc w:val="center"/>
        <w:rPr>
          <w:rFonts w:hint="eastAsia" w:ascii="宋体" w:hAnsi="宋体" w:cs="宋体"/>
          <w:b/>
          <w:bCs/>
          <w:sz w:val="28"/>
          <w:szCs w:val="28"/>
          <w:highlight w:val="none"/>
          <w:lang w:val="zh-CN"/>
        </w:rPr>
      </w:pPr>
      <w:r>
        <w:rPr>
          <w:rFonts w:hint="eastAsia" w:ascii="宋体" w:hAnsi="宋体" w:cs="宋体"/>
          <w:b/>
          <w:bCs/>
          <w:sz w:val="28"/>
          <w:szCs w:val="28"/>
          <w:highlight w:val="none"/>
          <w:lang w:val="zh-CN"/>
        </w:rPr>
        <w:t>参与编制投标文件人员名单</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1"/>
        <w:gridCol w:w="1311"/>
        <w:gridCol w:w="2320"/>
        <w:gridCol w:w="2449"/>
        <w:gridCol w:w="1468"/>
      </w:tblGrid>
      <w:tr w14:paraId="02443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281" w:type="dxa"/>
            <w:tcBorders>
              <w:top w:val="single" w:color="auto" w:sz="4" w:space="0"/>
              <w:left w:val="single" w:color="auto" w:sz="4" w:space="0"/>
              <w:bottom w:val="single" w:color="auto" w:sz="6" w:space="0"/>
              <w:right w:val="single" w:color="auto" w:sz="6" w:space="0"/>
            </w:tcBorders>
            <w:vAlign w:val="center"/>
          </w:tcPr>
          <w:p w14:paraId="2B966B05">
            <w:pPr>
              <w:tabs>
                <w:tab w:val="left" w:pos="0"/>
                <w:tab w:val="left" w:pos="720"/>
              </w:tabs>
              <w:adjustRightInd w:val="0"/>
              <w:snapToGrid w:val="0"/>
              <w:jc w:val="center"/>
              <w:rPr>
                <w:rFonts w:hint="eastAsia" w:ascii="宋体" w:hAnsi="宋体" w:cs="宋体"/>
                <w:sz w:val="24"/>
                <w:szCs w:val="24"/>
                <w:highlight w:val="none"/>
              </w:rPr>
            </w:pPr>
            <w:r>
              <w:rPr>
                <w:rFonts w:hint="eastAsia" w:ascii="宋体" w:hAnsi="宋体" w:cs="宋体"/>
                <w:sz w:val="24"/>
                <w:highlight w:val="none"/>
              </w:rPr>
              <w:t>姓名</w:t>
            </w:r>
          </w:p>
        </w:tc>
        <w:tc>
          <w:tcPr>
            <w:tcW w:w="1311" w:type="dxa"/>
            <w:tcBorders>
              <w:top w:val="single" w:color="auto" w:sz="4" w:space="0"/>
              <w:left w:val="single" w:color="auto" w:sz="6" w:space="0"/>
              <w:bottom w:val="single" w:color="auto" w:sz="6" w:space="0"/>
              <w:right w:val="single" w:color="auto" w:sz="6" w:space="0"/>
            </w:tcBorders>
            <w:vAlign w:val="center"/>
          </w:tcPr>
          <w:p w14:paraId="5A43AABD">
            <w:pPr>
              <w:tabs>
                <w:tab w:val="left" w:pos="0"/>
                <w:tab w:val="left" w:pos="720"/>
              </w:tabs>
              <w:adjustRightInd w:val="0"/>
              <w:snapToGrid w:val="0"/>
              <w:jc w:val="center"/>
              <w:rPr>
                <w:rFonts w:hint="eastAsia" w:ascii="宋体" w:hAnsi="宋体" w:cs="宋体"/>
                <w:sz w:val="24"/>
                <w:szCs w:val="24"/>
                <w:highlight w:val="none"/>
              </w:rPr>
            </w:pPr>
            <w:r>
              <w:rPr>
                <w:rFonts w:hint="eastAsia" w:ascii="宋体" w:hAnsi="宋体" w:cs="宋体"/>
                <w:sz w:val="24"/>
                <w:highlight w:val="none"/>
              </w:rPr>
              <w:t>职务</w:t>
            </w:r>
          </w:p>
        </w:tc>
        <w:tc>
          <w:tcPr>
            <w:tcW w:w="2320" w:type="dxa"/>
            <w:tcBorders>
              <w:top w:val="single" w:color="auto" w:sz="4" w:space="0"/>
              <w:left w:val="single" w:color="auto" w:sz="6" w:space="0"/>
              <w:bottom w:val="single" w:color="auto" w:sz="6" w:space="0"/>
              <w:right w:val="single" w:color="auto" w:sz="6" w:space="0"/>
            </w:tcBorders>
            <w:vAlign w:val="center"/>
          </w:tcPr>
          <w:p w14:paraId="3A9CFA95">
            <w:pPr>
              <w:tabs>
                <w:tab w:val="left" w:pos="0"/>
                <w:tab w:val="left" w:pos="720"/>
              </w:tabs>
              <w:adjustRightInd w:val="0"/>
              <w:snapToGrid w:val="0"/>
              <w:jc w:val="center"/>
              <w:rPr>
                <w:rFonts w:hint="eastAsia" w:ascii="宋体" w:hAnsi="宋体" w:cs="宋体"/>
                <w:sz w:val="24"/>
                <w:szCs w:val="24"/>
                <w:highlight w:val="none"/>
              </w:rPr>
            </w:pPr>
            <w:r>
              <w:rPr>
                <w:rFonts w:hint="eastAsia" w:ascii="宋体" w:hAnsi="宋体" w:cs="宋体"/>
                <w:sz w:val="24"/>
                <w:highlight w:val="none"/>
              </w:rPr>
              <w:t>所承担工作</w:t>
            </w:r>
          </w:p>
        </w:tc>
        <w:tc>
          <w:tcPr>
            <w:tcW w:w="2449" w:type="dxa"/>
            <w:tcBorders>
              <w:top w:val="single" w:color="auto" w:sz="4" w:space="0"/>
              <w:left w:val="single" w:color="auto" w:sz="6" w:space="0"/>
              <w:bottom w:val="single" w:color="auto" w:sz="6" w:space="0"/>
              <w:right w:val="single" w:color="auto" w:sz="6" w:space="0"/>
            </w:tcBorders>
            <w:vAlign w:val="center"/>
          </w:tcPr>
          <w:p w14:paraId="6AD21B7E">
            <w:pPr>
              <w:tabs>
                <w:tab w:val="left" w:pos="0"/>
                <w:tab w:val="left" w:pos="720"/>
              </w:tabs>
              <w:adjustRightInd w:val="0"/>
              <w:snapToGrid w:val="0"/>
              <w:jc w:val="center"/>
              <w:rPr>
                <w:rFonts w:hint="eastAsia" w:ascii="宋体" w:hAnsi="宋体" w:cs="宋体"/>
                <w:sz w:val="24"/>
                <w:szCs w:val="24"/>
                <w:highlight w:val="none"/>
              </w:rPr>
            </w:pPr>
            <w:r>
              <w:rPr>
                <w:rFonts w:hint="eastAsia" w:ascii="宋体" w:hAnsi="宋体" w:cs="宋体"/>
                <w:sz w:val="24"/>
                <w:highlight w:val="none"/>
              </w:rPr>
              <w:t>身份证号码</w:t>
            </w:r>
          </w:p>
        </w:tc>
        <w:tc>
          <w:tcPr>
            <w:tcW w:w="1468" w:type="dxa"/>
            <w:tcBorders>
              <w:top w:val="single" w:color="auto" w:sz="4" w:space="0"/>
              <w:left w:val="single" w:color="auto" w:sz="6" w:space="0"/>
              <w:bottom w:val="single" w:color="auto" w:sz="6" w:space="0"/>
              <w:right w:val="single" w:color="auto" w:sz="4" w:space="0"/>
            </w:tcBorders>
            <w:vAlign w:val="center"/>
          </w:tcPr>
          <w:p w14:paraId="69B0CE44">
            <w:pPr>
              <w:tabs>
                <w:tab w:val="left" w:pos="0"/>
                <w:tab w:val="left" w:pos="720"/>
              </w:tabs>
              <w:adjustRightInd w:val="0"/>
              <w:snapToGrid w:val="0"/>
              <w:rPr>
                <w:rFonts w:hint="eastAsia" w:ascii="宋体" w:hAnsi="宋体" w:cs="宋体"/>
                <w:sz w:val="24"/>
                <w:szCs w:val="24"/>
                <w:highlight w:val="none"/>
              </w:rPr>
            </w:pPr>
            <w:r>
              <w:rPr>
                <w:rFonts w:hint="eastAsia" w:ascii="宋体" w:hAnsi="宋体" w:cs="宋体"/>
                <w:sz w:val="24"/>
                <w:highlight w:val="none"/>
              </w:rPr>
              <w:t>本人签名栏</w:t>
            </w:r>
          </w:p>
        </w:tc>
      </w:tr>
      <w:tr w14:paraId="6251EC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24E28A4A">
            <w:pPr>
              <w:tabs>
                <w:tab w:val="left" w:pos="0"/>
                <w:tab w:val="left" w:pos="720"/>
              </w:tabs>
              <w:adjustRightInd w:val="0"/>
              <w:snapToGrid w:val="0"/>
              <w:jc w:val="center"/>
              <w:rPr>
                <w:rFonts w:hint="eastAsia"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5521D595">
            <w:pPr>
              <w:tabs>
                <w:tab w:val="left" w:pos="0"/>
                <w:tab w:val="left" w:pos="720"/>
              </w:tabs>
              <w:adjustRightInd w:val="0"/>
              <w:snapToGrid w:val="0"/>
              <w:jc w:val="center"/>
              <w:rPr>
                <w:rFonts w:hint="eastAsia"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1DFAB913">
            <w:pPr>
              <w:tabs>
                <w:tab w:val="left" w:pos="0"/>
                <w:tab w:val="left" w:pos="720"/>
              </w:tabs>
              <w:adjustRightInd w:val="0"/>
              <w:snapToGrid w:val="0"/>
              <w:jc w:val="center"/>
              <w:rPr>
                <w:rFonts w:hint="eastAsia"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19ECF891">
            <w:pPr>
              <w:tabs>
                <w:tab w:val="left" w:pos="0"/>
                <w:tab w:val="left" w:pos="720"/>
              </w:tabs>
              <w:adjustRightInd w:val="0"/>
              <w:snapToGrid w:val="0"/>
              <w:jc w:val="center"/>
              <w:rPr>
                <w:rFonts w:hint="eastAsia"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16AFC3BD">
            <w:pPr>
              <w:tabs>
                <w:tab w:val="left" w:pos="0"/>
                <w:tab w:val="left" w:pos="720"/>
              </w:tabs>
              <w:adjustRightInd w:val="0"/>
              <w:snapToGrid w:val="0"/>
              <w:jc w:val="center"/>
              <w:rPr>
                <w:rFonts w:hint="eastAsia" w:ascii="宋体" w:hAnsi="宋体" w:cs="宋体"/>
                <w:sz w:val="24"/>
                <w:szCs w:val="24"/>
                <w:highlight w:val="none"/>
              </w:rPr>
            </w:pPr>
          </w:p>
        </w:tc>
      </w:tr>
      <w:tr w14:paraId="56CA10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4F47286B">
            <w:pPr>
              <w:tabs>
                <w:tab w:val="left" w:pos="0"/>
                <w:tab w:val="left" w:pos="720"/>
              </w:tabs>
              <w:adjustRightInd w:val="0"/>
              <w:snapToGrid w:val="0"/>
              <w:jc w:val="center"/>
              <w:rPr>
                <w:rFonts w:hint="eastAsia"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643B05FE">
            <w:pPr>
              <w:tabs>
                <w:tab w:val="left" w:pos="0"/>
                <w:tab w:val="left" w:pos="720"/>
              </w:tabs>
              <w:adjustRightInd w:val="0"/>
              <w:snapToGrid w:val="0"/>
              <w:jc w:val="center"/>
              <w:rPr>
                <w:rFonts w:hint="eastAsia"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61F120BC">
            <w:pPr>
              <w:tabs>
                <w:tab w:val="left" w:pos="0"/>
                <w:tab w:val="left" w:pos="720"/>
              </w:tabs>
              <w:adjustRightInd w:val="0"/>
              <w:snapToGrid w:val="0"/>
              <w:jc w:val="center"/>
              <w:rPr>
                <w:rFonts w:hint="eastAsia"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3F110988">
            <w:pPr>
              <w:tabs>
                <w:tab w:val="left" w:pos="0"/>
                <w:tab w:val="left" w:pos="720"/>
              </w:tabs>
              <w:adjustRightInd w:val="0"/>
              <w:snapToGrid w:val="0"/>
              <w:jc w:val="center"/>
              <w:rPr>
                <w:rFonts w:hint="eastAsia"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40136E63">
            <w:pPr>
              <w:tabs>
                <w:tab w:val="left" w:pos="0"/>
                <w:tab w:val="left" w:pos="720"/>
              </w:tabs>
              <w:adjustRightInd w:val="0"/>
              <w:snapToGrid w:val="0"/>
              <w:jc w:val="center"/>
              <w:rPr>
                <w:rFonts w:hint="eastAsia" w:ascii="宋体" w:hAnsi="宋体" w:cs="宋体"/>
                <w:sz w:val="24"/>
                <w:szCs w:val="24"/>
                <w:highlight w:val="none"/>
              </w:rPr>
            </w:pPr>
          </w:p>
        </w:tc>
      </w:tr>
      <w:tr w14:paraId="16021A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7A7A0113">
            <w:pPr>
              <w:tabs>
                <w:tab w:val="left" w:pos="0"/>
                <w:tab w:val="left" w:pos="720"/>
              </w:tabs>
              <w:adjustRightInd w:val="0"/>
              <w:snapToGrid w:val="0"/>
              <w:jc w:val="center"/>
              <w:rPr>
                <w:rFonts w:hint="eastAsia"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6EF2D58C">
            <w:pPr>
              <w:tabs>
                <w:tab w:val="left" w:pos="0"/>
                <w:tab w:val="left" w:pos="720"/>
              </w:tabs>
              <w:adjustRightInd w:val="0"/>
              <w:snapToGrid w:val="0"/>
              <w:jc w:val="center"/>
              <w:rPr>
                <w:rFonts w:hint="eastAsia"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6E009782">
            <w:pPr>
              <w:tabs>
                <w:tab w:val="left" w:pos="0"/>
                <w:tab w:val="left" w:pos="720"/>
              </w:tabs>
              <w:adjustRightInd w:val="0"/>
              <w:snapToGrid w:val="0"/>
              <w:jc w:val="center"/>
              <w:rPr>
                <w:rFonts w:hint="eastAsia"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237E40D9">
            <w:pPr>
              <w:tabs>
                <w:tab w:val="left" w:pos="0"/>
                <w:tab w:val="left" w:pos="720"/>
              </w:tabs>
              <w:adjustRightInd w:val="0"/>
              <w:snapToGrid w:val="0"/>
              <w:jc w:val="center"/>
              <w:rPr>
                <w:rFonts w:hint="eastAsia"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20255B82">
            <w:pPr>
              <w:tabs>
                <w:tab w:val="left" w:pos="0"/>
                <w:tab w:val="left" w:pos="720"/>
              </w:tabs>
              <w:adjustRightInd w:val="0"/>
              <w:snapToGrid w:val="0"/>
              <w:jc w:val="center"/>
              <w:rPr>
                <w:rFonts w:hint="eastAsia" w:ascii="宋体" w:hAnsi="宋体" w:cs="宋体"/>
                <w:sz w:val="24"/>
                <w:szCs w:val="24"/>
                <w:highlight w:val="none"/>
              </w:rPr>
            </w:pPr>
          </w:p>
        </w:tc>
      </w:tr>
      <w:tr w14:paraId="06094E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037FFF74">
            <w:pPr>
              <w:tabs>
                <w:tab w:val="left" w:pos="0"/>
                <w:tab w:val="left" w:pos="720"/>
              </w:tabs>
              <w:adjustRightInd w:val="0"/>
              <w:snapToGrid w:val="0"/>
              <w:jc w:val="center"/>
              <w:rPr>
                <w:rFonts w:hint="eastAsia"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10EF8684">
            <w:pPr>
              <w:tabs>
                <w:tab w:val="left" w:pos="0"/>
                <w:tab w:val="left" w:pos="720"/>
              </w:tabs>
              <w:adjustRightInd w:val="0"/>
              <w:snapToGrid w:val="0"/>
              <w:jc w:val="center"/>
              <w:rPr>
                <w:rFonts w:hint="eastAsia"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3A66ECA9">
            <w:pPr>
              <w:tabs>
                <w:tab w:val="left" w:pos="0"/>
                <w:tab w:val="left" w:pos="720"/>
              </w:tabs>
              <w:adjustRightInd w:val="0"/>
              <w:snapToGrid w:val="0"/>
              <w:jc w:val="center"/>
              <w:rPr>
                <w:rFonts w:hint="eastAsia"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2E351FB7">
            <w:pPr>
              <w:tabs>
                <w:tab w:val="left" w:pos="0"/>
                <w:tab w:val="left" w:pos="720"/>
              </w:tabs>
              <w:adjustRightInd w:val="0"/>
              <w:snapToGrid w:val="0"/>
              <w:jc w:val="center"/>
              <w:rPr>
                <w:rFonts w:hint="eastAsia"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4808F3A3">
            <w:pPr>
              <w:tabs>
                <w:tab w:val="left" w:pos="0"/>
                <w:tab w:val="left" w:pos="720"/>
              </w:tabs>
              <w:adjustRightInd w:val="0"/>
              <w:snapToGrid w:val="0"/>
              <w:jc w:val="center"/>
              <w:rPr>
                <w:rFonts w:hint="eastAsia" w:ascii="宋体" w:hAnsi="宋体" w:cs="宋体"/>
                <w:sz w:val="24"/>
                <w:szCs w:val="24"/>
                <w:highlight w:val="none"/>
              </w:rPr>
            </w:pPr>
          </w:p>
        </w:tc>
      </w:tr>
      <w:tr w14:paraId="70763F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20ACBA61">
            <w:pPr>
              <w:tabs>
                <w:tab w:val="left" w:pos="0"/>
                <w:tab w:val="left" w:pos="720"/>
              </w:tabs>
              <w:adjustRightInd w:val="0"/>
              <w:snapToGrid w:val="0"/>
              <w:jc w:val="center"/>
              <w:rPr>
                <w:rFonts w:hint="eastAsia"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0A8F1CFD">
            <w:pPr>
              <w:tabs>
                <w:tab w:val="left" w:pos="0"/>
                <w:tab w:val="left" w:pos="720"/>
              </w:tabs>
              <w:adjustRightInd w:val="0"/>
              <w:snapToGrid w:val="0"/>
              <w:jc w:val="center"/>
              <w:rPr>
                <w:rFonts w:hint="eastAsia"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47761E3B">
            <w:pPr>
              <w:tabs>
                <w:tab w:val="left" w:pos="0"/>
                <w:tab w:val="left" w:pos="720"/>
              </w:tabs>
              <w:adjustRightInd w:val="0"/>
              <w:snapToGrid w:val="0"/>
              <w:jc w:val="center"/>
              <w:rPr>
                <w:rFonts w:hint="eastAsia"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1FF92061">
            <w:pPr>
              <w:tabs>
                <w:tab w:val="left" w:pos="0"/>
                <w:tab w:val="left" w:pos="720"/>
              </w:tabs>
              <w:adjustRightInd w:val="0"/>
              <w:snapToGrid w:val="0"/>
              <w:jc w:val="center"/>
              <w:rPr>
                <w:rFonts w:hint="eastAsia"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679022CB">
            <w:pPr>
              <w:tabs>
                <w:tab w:val="left" w:pos="0"/>
                <w:tab w:val="left" w:pos="720"/>
              </w:tabs>
              <w:adjustRightInd w:val="0"/>
              <w:snapToGrid w:val="0"/>
              <w:jc w:val="center"/>
              <w:rPr>
                <w:rFonts w:hint="eastAsia" w:ascii="宋体" w:hAnsi="宋体" w:cs="宋体"/>
                <w:sz w:val="24"/>
                <w:szCs w:val="24"/>
                <w:highlight w:val="none"/>
              </w:rPr>
            </w:pPr>
          </w:p>
        </w:tc>
      </w:tr>
      <w:tr w14:paraId="12E828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566B6770">
            <w:pPr>
              <w:tabs>
                <w:tab w:val="left" w:pos="0"/>
                <w:tab w:val="left" w:pos="720"/>
              </w:tabs>
              <w:adjustRightInd w:val="0"/>
              <w:snapToGrid w:val="0"/>
              <w:jc w:val="center"/>
              <w:rPr>
                <w:rFonts w:hint="eastAsia"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12BA5A50">
            <w:pPr>
              <w:tabs>
                <w:tab w:val="left" w:pos="0"/>
                <w:tab w:val="left" w:pos="720"/>
              </w:tabs>
              <w:adjustRightInd w:val="0"/>
              <w:snapToGrid w:val="0"/>
              <w:jc w:val="center"/>
              <w:rPr>
                <w:rFonts w:hint="eastAsia"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3959AD1D">
            <w:pPr>
              <w:tabs>
                <w:tab w:val="left" w:pos="0"/>
                <w:tab w:val="left" w:pos="720"/>
              </w:tabs>
              <w:adjustRightInd w:val="0"/>
              <w:snapToGrid w:val="0"/>
              <w:jc w:val="center"/>
              <w:rPr>
                <w:rFonts w:hint="eastAsia"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48A6DCE4">
            <w:pPr>
              <w:tabs>
                <w:tab w:val="left" w:pos="0"/>
                <w:tab w:val="left" w:pos="720"/>
              </w:tabs>
              <w:adjustRightInd w:val="0"/>
              <w:snapToGrid w:val="0"/>
              <w:jc w:val="center"/>
              <w:rPr>
                <w:rFonts w:hint="eastAsia"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483B6BA3">
            <w:pPr>
              <w:tabs>
                <w:tab w:val="left" w:pos="0"/>
                <w:tab w:val="left" w:pos="720"/>
              </w:tabs>
              <w:adjustRightInd w:val="0"/>
              <w:snapToGrid w:val="0"/>
              <w:jc w:val="center"/>
              <w:rPr>
                <w:rFonts w:hint="eastAsia" w:ascii="宋体" w:hAnsi="宋体" w:cs="宋体"/>
                <w:sz w:val="24"/>
                <w:szCs w:val="24"/>
                <w:highlight w:val="none"/>
              </w:rPr>
            </w:pPr>
          </w:p>
        </w:tc>
      </w:tr>
      <w:tr w14:paraId="207E81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71EF33EB">
            <w:pPr>
              <w:tabs>
                <w:tab w:val="left" w:pos="0"/>
                <w:tab w:val="left" w:pos="720"/>
              </w:tabs>
              <w:adjustRightInd w:val="0"/>
              <w:snapToGrid w:val="0"/>
              <w:jc w:val="center"/>
              <w:rPr>
                <w:rFonts w:hint="eastAsia"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10027B61">
            <w:pPr>
              <w:tabs>
                <w:tab w:val="left" w:pos="0"/>
                <w:tab w:val="left" w:pos="720"/>
              </w:tabs>
              <w:adjustRightInd w:val="0"/>
              <w:snapToGrid w:val="0"/>
              <w:jc w:val="center"/>
              <w:rPr>
                <w:rFonts w:hint="eastAsia"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43380FA8">
            <w:pPr>
              <w:tabs>
                <w:tab w:val="left" w:pos="0"/>
                <w:tab w:val="left" w:pos="720"/>
              </w:tabs>
              <w:adjustRightInd w:val="0"/>
              <w:snapToGrid w:val="0"/>
              <w:jc w:val="center"/>
              <w:rPr>
                <w:rFonts w:hint="eastAsia"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74645BB9">
            <w:pPr>
              <w:tabs>
                <w:tab w:val="left" w:pos="0"/>
                <w:tab w:val="left" w:pos="720"/>
              </w:tabs>
              <w:adjustRightInd w:val="0"/>
              <w:snapToGrid w:val="0"/>
              <w:jc w:val="center"/>
              <w:rPr>
                <w:rFonts w:hint="eastAsia"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278FBF87">
            <w:pPr>
              <w:tabs>
                <w:tab w:val="left" w:pos="0"/>
                <w:tab w:val="left" w:pos="720"/>
              </w:tabs>
              <w:adjustRightInd w:val="0"/>
              <w:snapToGrid w:val="0"/>
              <w:jc w:val="center"/>
              <w:rPr>
                <w:rFonts w:hint="eastAsia" w:ascii="宋体" w:hAnsi="宋体" w:cs="宋体"/>
                <w:sz w:val="24"/>
                <w:szCs w:val="24"/>
                <w:highlight w:val="none"/>
              </w:rPr>
            </w:pPr>
          </w:p>
        </w:tc>
      </w:tr>
      <w:tr w14:paraId="0D9984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07B32A0C">
            <w:pPr>
              <w:tabs>
                <w:tab w:val="left" w:pos="0"/>
                <w:tab w:val="left" w:pos="720"/>
              </w:tabs>
              <w:adjustRightInd w:val="0"/>
              <w:snapToGrid w:val="0"/>
              <w:jc w:val="center"/>
              <w:rPr>
                <w:rFonts w:hint="eastAsia"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6BDCFF42">
            <w:pPr>
              <w:tabs>
                <w:tab w:val="left" w:pos="0"/>
                <w:tab w:val="left" w:pos="720"/>
              </w:tabs>
              <w:adjustRightInd w:val="0"/>
              <w:snapToGrid w:val="0"/>
              <w:jc w:val="center"/>
              <w:rPr>
                <w:rFonts w:hint="eastAsia"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615782B1">
            <w:pPr>
              <w:tabs>
                <w:tab w:val="left" w:pos="0"/>
                <w:tab w:val="left" w:pos="720"/>
              </w:tabs>
              <w:adjustRightInd w:val="0"/>
              <w:snapToGrid w:val="0"/>
              <w:jc w:val="center"/>
              <w:rPr>
                <w:rFonts w:hint="eastAsia"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62E0F773">
            <w:pPr>
              <w:tabs>
                <w:tab w:val="left" w:pos="0"/>
                <w:tab w:val="left" w:pos="720"/>
              </w:tabs>
              <w:adjustRightInd w:val="0"/>
              <w:snapToGrid w:val="0"/>
              <w:jc w:val="center"/>
              <w:rPr>
                <w:rFonts w:hint="eastAsia"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463C3A6A">
            <w:pPr>
              <w:tabs>
                <w:tab w:val="left" w:pos="0"/>
                <w:tab w:val="left" w:pos="720"/>
              </w:tabs>
              <w:adjustRightInd w:val="0"/>
              <w:snapToGrid w:val="0"/>
              <w:jc w:val="center"/>
              <w:rPr>
                <w:rFonts w:hint="eastAsia" w:ascii="宋体" w:hAnsi="宋体" w:cs="宋体"/>
                <w:sz w:val="24"/>
                <w:szCs w:val="24"/>
                <w:highlight w:val="none"/>
              </w:rPr>
            </w:pPr>
          </w:p>
        </w:tc>
      </w:tr>
      <w:tr w14:paraId="1DDA68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1EA33E51">
            <w:pPr>
              <w:tabs>
                <w:tab w:val="left" w:pos="0"/>
                <w:tab w:val="left" w:pos="720"/>
              </w:tabs>
              <w:adjustRightInd w:val="0"/>
              <w:snapToGrid w:val="0"/>
              <w:jc w:val="center"/>
              <w:rPr>
                <w:rFonts w:hint="eastAsia"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399F4763">
            <w:pPr>
              <w:tabs>
                <w:tab w:val="left" w:pos="0"/>
                <w:tab w:val="left" w:pos="720"/>
              </w:tabs>
              <w:adjustRightInd w:val="0"/>
              <w:snapToGrid w:val="0"/>
              <w:jc w:val="center"/>
              <w:rPr>
                <w:rFonts w:hint="eastAsia"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706FB1D4">
            <w:pPr>
              <w:tabs>
                <w:tab w:val="left" w:pos="0"/>
                <w:tab w:val="left" w:pos="720"/>
              </w:tabs>
              <w:adjustRightInd w:val="0"/>
              <w:snapToGrid w:val="0"/>
              <w:jc w:val="center"/>
              <w:rPr>
                <w:rFonts w:hint="eastAsia"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2CC9A080">
            <w:pPr>
              <w:tabs>
                <w:tab w:val="left" w:pos="0"/>
                <w:tab w:val="left" w:pos="720"/>
              </w:tabs>
              <w:adjustRightInd w:val="0"/>
              <w:snapToGrid w:val="0"/>
              <w:jc w:val="center"/>
              <w:rPr>
                <w:rFonts w:hint="eastAsia"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1DD3504D">
            <w:pPr>
              <w:tabs>
                <w:tab w:val="left" w:pos="0"/>
                <w:tab w:val="left" w:pos="720"/>
              </w:tabs>
              <w:adjustRightInd w:val="0"/>
              <w:snapToGrid w:val="0"/>
              <w:jc w:val="center"/>
              <w:rPr>
                <w:rFonts w:hint="eastAsia" w:ascii="宋体" w:hAnsi="宋体" w:cs="宋体"/>
                <w:sz w:val="24"/>
                <w:szCs w:val="24"/>
                <w:highlight w:val="none"/>
              </w:rPr>
            </w:pPr>
          </w:p>
        </w:tc>
      </w:tr>
      <w:tr w14:paraId="5C3166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3D7B3E77">
            <w:pPr>
              <w:tabs>
                <w:tab w:val="left" w:pos="0"/>
                <w:tab w:val="left" w:pos="720"/>
              </w:tabs>
              <w:adjustRightInd w:val="0"/>
              <w:snapToGrid w:val="0"/>
              <w:jc w:val="center"/>
              <w:rPr>
                <w:rFonts w:hint="eastAsia"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6CE5D3DB">
            <w:pPr>
              <w:tabs>
                <w:tab w:val="left" w:pos="0"/>
                <w:tab w:val="left" w:pos="720"/>
              </w:tabs>
              <w:adjustRightInd w:val="0"/>
              <w:snapToGrid w:val="0"/>
              <w:jc w:val="center"/>
              <w:rPr>
                <w:rFonts w:hint="eastAsia"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4CBC2AF3">
            <w:pPr>
              <w:tabs>
                <w:tab w:val="left" w:pos="0"/>
                <w:tab w:val="left" w:pos="720"/>
              </w:tabs>
              <w:adjustRightInd w:val="0"/>
              <w:snapToGrid w:val="0"/>
              <w:jc w:val="center"/>
              <w:rPr>
                <w:rFonts w:hint="eastAsia"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4C91611B">
            <w:pPr>
              <w:tabs>
                <w:tab w:val="left" w:pos="0"/>
                <w:tab w:val="left" w:pos="720"/>
              </w:tabs>
              <w:adjustRightInd w:val="0"/>
              <w:snapToGrid w:val="0"/>
              <w:jc w:val="center"/>
              <w:rPr>
                <w:rFonts w:hint="eastAsia"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3F1C9E01">
            <w:pPr>
              <w:tabs>
                <w:tab w:val="left" w:pos="0"/>
                <w:tab w:val="left" w:pos="720"/>
              </w:tabs>
              <w:adjustRightInd w:val="0"/>
              <w:snapToGrid w:val="0"/>
              <w:jc w:val="center"/>
              <w:rPr>
                <w:rFonts w:hint="eastAsia" w:ascii="宋体" w:hAnsi="宋体" w:cs="宋体"/>
                <w:sz w:val="24"/>
                <w:szCs w:val="24"/>
                <w:highlight w:val="none"/>
              </w:rPr>
            </w:pPr>
          </w:p>
        </w:tc>
      </w:tr>
      <w:tr w14:paraId="520D06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0D896538">
            <w:pPr>
              <w:tabs>
                <w:tab w:val="left" w:pos="0"/>
                <w:tab w:val="left" w:pos="720"/>
              </w:tabs>
              <w:adjustRightInd w:val="0"/>
              <w:snapToGrid w:val="0"/>
              <w:jc w:val="center"/>
              <w:rPr>
                <w:rFonts w:hint="eastAsia"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3E41002C">
            <w:pPr>
              <w:tabs>
                <w:tab w:val="left" w:pos="0"/>
                <w:tab w:val="left" w:pos="720"/>
              </w:tabs>
              <w:adjustRightInd w:val="0"/>
              <w:snapToGrid w:val="0"/>
              <w:jc w:val="center"/>
              <w:rPr>
                <w:rFonts w:hint="eastAsia"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2C90F110">
            <w:pPr>
              <w:tabs>
                <w:tab w:val="left" w:pos="0"/>
                <w:tab w:val="left" w:pos="720"/>
              </w:tabs>
              <w:adjustRightInd w:val="0"/>
              <w:snapToGrid w:val="0"/>
              <w:jc w:val="center"/>
              <w:rPr>
                <w:rFonts w:hint="eastAsia"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422FA94F">
            <w:pPr>
              <w:tabs>
                <w:tab w:val="left" w:pos="0"/>
                <w:tab w:val="left" w:pos="720"/>
              </w:tabs>
              <w:adjustRightInd w:val="0"/>
              <w:snapToGrid w:val="0"/>
              <w:jc w:val="center"/>
              <w:rPr>
                <w:rFonts w:hint="eastAsia"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25ABA596">
            <w:pPr>
              <w:tabs>
                <w:tab w:val="left" w:pos="0"/>
                <w:tab w:val="left" w:pos="720"/>
              </w:tabs>
              <w:adjustRightInd w:val="0"/>
              <w:snapToGrid w:val="0"/>
              <w:jc w:val="center"/>
              <w:rPr>
                <w:rFonts w:hint="eastAsia" w:ascii="宋体" w:hAnsi="宋体" w:cs="宋体"/>
                <w:sz w:val="24"/>
                <w:szCs w:val="24"/>
                <w:highlight w:val="none"/>
              </w:rPr>
            </w:pPr>
          </w:p>
        </w:tc>
      </w:tr>
      <w:tr w14:paraId="59D06B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5AE56C7D">
            <w:pPr>
              <w:tabs>
                <w:tab w:val="left" w:pos="0"/>
                <w:tab w:val="left" w:pos="720"/>
              </w:tabs>
              <w:adjustRightInd w:val="0"/>
              <w:snapToGrid w:val="0"/>
              <w:jc w:val="center"/>
              <w:rPr>
                <w:rFonts w:hint="eastAsia"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278F8F7B">
            <w:pPr>
              <w:tabs>
                <w:tab w:val="left" w:pos="0"/>
                <w:tab w:val="left" w:pos="720"/>
              </w:tabs>
              <w:adjustRightInd w:val="0"/>
              <w:snapToGrid w:val="0"/>
              <w:jc w:val="center"/>
              <w:rPr>
                <w:rFonts w:hint="eastAsia"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6B8A5BCE">
            <w:pPr>
              <w:tabs>
                <w:tab w:val="left" w:pos="0"/>
                <w:tab w:val="left" w:pos="720"/>
              </w:tabs>
              <w:adjustRightInd w:val="0"/>
              <w:snapToGrid w:val="0"/>
              <w:jc w:val="center"/>
              <w:rPr>
                <w:rFonts w:hint="eastAsia"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74EB57B4">
            <w:pPr>
              <w:tabs>
                <w:tab w:val="left" w:pos="0"/>
                <w:tab w:val="left" w:pos="720"/>
              </w:tabs>
              <w:adjustRightInd w:val="0"/>
              <w:snapToGrid w:val="0"/>
              <w:jc w:val="center"/>
              <w:rPr>
                <w:rFonts w:hint="eastAsia"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37609C29">
            <w:pPr>
              <w:tabs>
                <w:tab w:val="left" w:pos="0"/>
                <w:tab w:val="left" w:pos="720"/>
              </w:tabs>
              <w:adjustRightInd w:val="0"/>
              <w:snapToGrid w:val="0"/>
              <w:jc w:val="center"/>
              <w:rPr>
                <w:rFonts w:hint="eastAsia" w:ascii="宋体" w:hAnsi="宋体" w:cs="宋体"/>
                <w:sz w:val="24"/>
                <w:szCs w:val="24"/>
                <w:highlight w:val="none"/>
              </w:rPr>
            </w:pPr>
          </w:p>
        </w:tc>
      </w:tr>
      <w:tr w14:paraId="1A3C5F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3A9AEA79">
            <w:pPr>
              <w:tabs>
                <w:tab w:val="left" w:pos="0"/>
                <w:tab w:val="left" w:pos="720"/>
              </w:tabs>
              <w:adjustRightInd w:val="0"/>
              <w:snapToGrid w:val="0"/>
              <w:jc w:val="center"/>
              <w:rPr>
                <w:rFonts w:hint="eastAsia"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38A02DDE">
            <w:pPr>
              <w:tabs>
                <w:tab w:val="left" w:pos="0"/>
                <w:tab w:val="left" w:pos="720"/>
              </w:tabs>
              <w:adjustRightInd w:val="0"/>
              <w:snapToGrid w:val="0"/>
              <w:jc w:val="center"/>
              <w:rPr>
                <w:rFonts w:hint="eastAsia"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54C459DE">
            <w:pPr>
              <w:tabs>
                <w:tab w:val="left" w:pos="0"/>
                <w:tab w:val="left" w:pos="720"/>
              </w:tabs>
              <w:adjustRightInd w:val="0"/>
              <w:snapToGrid w:val="0"/>
              <w:jc w:val="center"/>
              <w:rPr>
                <w:rFonts w:hint="eastAsia"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24594712">
            <w:pPr>
              <w:tabs>
                <w:tab w:val="left" w:pos="0"/>
                <w:tab w:val="left" w:pos="720"/>
              </w:tabs>
              <w:adjustRightInd w:val="0"/>
              <w:snapToGrid w:val="0"/>
              <w:jc w:val="center"/>
              <w:rPr>
                <w:rFonts w:hint="eastAsia"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09A3DCEB">
            <w:pPr>
              <w:tabs>
                <w:tab w:val="left" w:pos="0"/>
                <w:tab w:val="left" w:pos="720"/>
              </w:tabs>
              <w:adjustRightInd w:val="0"/>
              <w:snapToGrid w:val="0"/>
              <w:jc w:val="center"/>
              <w:rPr>
                <w:rFonts w:hint="eastAsia" w:ascii="宋体" w:hAnsi="宋体" w:cs="宋体"/>
                <w:sz w:val="24"/>
                <w:szCs w:val="24"/>
                <w:highlight w:val="none"/>
              </w:rPr>
            </w:pPr>
          </w:p>
        </w:tc>
      </w:tr>
      <w:tr w14:paraId="0E5DAD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62E2819E">
            <w:pPr>
              <w:tabs>
                <w:tab w:val="left" w:pos="0"/>
                <w:tab w:val="left" w:pos="720"/>
              </w:tabs>
              <w:adjustRightInd w:val="0"/>
              <w:snapToGrid w:val="0"/>
              <w:jc w:val="center"/>
              <w:rPr>
                <w:rFonts w:hint="eastAsia"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36F1AA30">
            <w:pPr>
              <w:tabs>
                <w:tab w:val="left" w:pos="0"/>
                <w:tab w:val="left" w:pos="720"/>
              </w:tabs>
              <w:adjustRightInd w:val="0"/>
              <w:snapToGrid w:val="0"/>
              <w:jc w:val="center"/>
              <w:rPr>
                <w:rFonts w:hint="eastAsia"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525E7910">
            <w:pPr>
              <w:tabs>
                <w:tab w:val="left" w:pos="0"/>
                <w:tab w:val="left" w:pos="720"/>
              </w:tabs>
              <w:adjustRightInd w:val="0"/>
              <w:snapToGrid w:val="0"/>
              <w:jc w:val="center"/>
              <w:rPr>
                <w:rFonts w:hint="eastAsia"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75EF96FC">
            <w:pPr>
              <w:tabs>
                <w:tab w:val="left" w:pos="0"/>
                <w:tab w:val="left" w:pos="720"/>
              </w:tabs>
              <w:adjustRightInd w:val="0"/>
              <w:snapToGrid w:val="0"/>
              <w:jc w:val="center"/>
              <w:rPr>
                <w:rFonts w:hint="eastAsia"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387265DD">
            <w:pPr>
              <w:tabs>
                <w:tab w:val="left" w:pos="0"/>
                <w:tab w:val="left" w:pos="720"/>
              </w:tabs>
              <w:adjustRightInd w:val="0"/>
              <w:snapToGrid w:val="0"/>
              <w:jc w:val="center"/>
              <w:rPr>
                <w:rFonts w:hint="eastAsia" w:ascii="宋体" w:hAnsi="宋体" w:cs="宋体"/>
                <w:sz w:val="24"/>
                <w:szCs w:val="24"/>
                <w:highlight w:val="none"/>
              </w:rPr>
            </w:pPr>
          </w:p>
        </w:tc>
      </w:tr>
      <w:tr w14:paraId="66BB47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63FDCB17">
            <w:pPr>
              <w:tabs>
                <w:tab w:val="left" w:pos="0"/>
                <w:tab w:val="left" w:pos="720"/>
              </w:tabs>
              <w:adjustRightInd w:val="0"/>
              <w:snapToGrid w:val="0"/>
              <w:jc w:val="center"/>
              <w:rPr>
                <w:rFonts w:hint="eastAsia"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5E2E0AEA">
            <w:pPr>
              <w:tabs>
                <w:tab w:val="left" w:pos="0"/>
                <w:tab w:val="left" w:pos="720"/>
              </w:tabs>
              <w:adjustRightInd w:val="0"/>
              <w:snapToGrid w:val="0"/>
              <w:jc w:val="center"/>
              <w:rPr>
                <w:rFonts w:hint="eastAsia"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1223B990">
            <w:pPr>
              <w:tabs>
                <w:tab w:val="left" w:pos="0"/>
                <w:tab w:val="left" w:pos="720"/>
              </w:tabs>
              <w:adjustRightInd w:val="0"/>
              <w:snapToGrid w:val="0"/>
              <w:jc w:val="center"/>
              <w:rPr>
                <w:rFonts w:hint="eastAsia"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242AC0E0">
            <w:pPr>
              <w:tabs>
                <w:tab w:val="left" w:pos="0"/>
                <w:tab w:val="left" w:pos="720"/>
              </w:tabs>
              <w:adjustRightInd w:val="0"/>
              <w:snapToGrid w:val="0"/>
              <w:jc w:val="center"/>
              <w:rPr>
                <w:rFonts w:hint="eastAsia"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647730CE">
            <w:pPr>
              <w:tabs>
                <w:tab w:val="left" w:pos="0"/>
                <w:tab w:val="left" w:pos="720"/>
              </w:tabs>
              <w:adjustRightInd w:val="0"/>
              <w:snapToGrid w:val="0"/>
              <w:jc w:val="center"/>
              <w:rPr>
                <w:rFonts w:hint="eastAsia" w:ascii="宋体" w:hAnsi="宋体" w:cs="宋体"/>
                <w:sz w:val="24"/>
                <w:szCs w:val="24"/>
                <w:highlight w:val="none"/>
              </w:rPr>
            </w:pPr>
          </w:p>
        </w:tc>
      </w:tr>
      <w:tr w14:paraId="541B5E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7DA4DD90">
            <w:pPr>
              <w:tabs>
                <w:tab w:val="left" w:pos="0"/>
                <w:tab w:val="left" w:pos="720"/>
              </w:tabs>
              <w:adjustRightInd w:val="0"/>
              <w:snapToGrid w:val="0"/>
              <w:jc w:val="center"/>
              <w:rPr>
                <w:rFonts w:hint="eastAsia"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773552B2">
            <w:pPr>
              <w:tabs>
                <w:tab w:val="left" w:pos="0"/>
                <w:tab w:val="left" w:pos="720"/>
              </w:tabs>
              <w:adjustRightInd w:val="0"/>
              <w:snapToGrid w:val="0"/>
              <w:jc w:val="center"/>
              <w:rPr>
                <w:rFonts w:hint="eastAsia"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73789D07">
            <w:pPr>
              <w:tabs>
                <w:tab w:val="left" w:pos="0"/>
                <w:tab w:val="left" w:pos="720"/>
              </w:tabs>
              <w:adjustRightInd w:val="0"/>
              <w:snapToGrid w:val="0"/>
              <w:jc w:val="center"/>
              <w:rPr>
                <w:rFonts w:hint="eastAsia"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3E388E84">
            <w:pPr>
              <w:tabs>
                <w:tab w:val="left" w:pos="0"/>
                <w:tab w:val="left" w:pos="720"/>
              </w:tabs>
              <w:adjustRightInd w:val="0"/>
              <w:snapToGrid w:val="0"/>
              <w:jc w:val="center"/>
              <w:rPr>
                <w:rFonts w:hint="eastAsia"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45B63478">
            <w:pPr>
              <w:tabs>
                <w:tab w:val="left" w:pos="0"/>
                <w:tab w:val="left" w:pos="720"/>
              </w:tabs>
              <w:adjustRightInd w:val="0"/>
              <w:snapToGrid w:val="0"/>
              <w:jc w:val="center"/>
              <w:rPr>
                <w:rFonts w:hint="eastAsia" w:ascii="宋体" w:hAnsi="宋体" w:cs="宋体"/>
                <w:sz w:val="24"/>
                <w:szCs w:val="24"/>
                <w:highlight w:val="none"/>
              </w:rPr>
            </w:pPr>
          </w:p>
        </w:tc>
      </w:tr>
      <w:tr w14:paraId="2F6801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1281" w:type="dxa"/>
            <w:tcBorders>
              <w:top w:val="single" w:color="auto" w:sz="6" w:space="0"/>
              <w:left w:val="single" w:color="auto" w:sz="4" w:space="0"/>
              <w:bottom w:val="single" w:color="auto" w:sz="4" w:space="0"/>
              <w:right w:val="single" w:color="auto" w:sz="6" w:space="0"/>
            </w:tcBorders>
            <w:vAlign w:val="center"/>
          </w:tcPr>
          <w:p w14:paraId="68389FBC">
            <w:pPr>
              <w:tabs>
                <w:tab w:val="left" w:pos="0"/>
                <w:tab w:val="left" w:pos="720"/>
              </w:tabs>
              <w:adjustRightInd w:val="0"/>
              <w:snapToGrid w:val="0"/>
              <w:jc w:val="center"/>
              <w:rPr>
                <w:rFonts w:hint="eastAsia" w:ascii="宋体" w:hAnsi="宋体" w:cs="宋体"/>
                <w:sz w:val="24"/>
                <w:szCs w:val="24"/>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14:paraId="4CA7FB9E">
            <w:pPr>
              <w:tabs>
                <w:tab w:val="left" w:pos="0"/>
                <w:tab w:val="left" w:pos="720"/>
              </w:tabs>
              <w:adjustRightInd w:val="0"/>
              <w:snapToGrid w:val="0"/>
              <w:jc w:val="center"/>
              <w:rPr>
                <w:rFonts w:hint="eastAsia" w:ascii="宋体" w:hAnsi="宋体" w:cs="宋体"/>
                <w:sz w:val="24"/>
                <w:szCs w:val="24"/>
                <w:highlight w:val="none"/>
              </w:rPr>
            </w:pPr>
          </w:p>
        </w:tc>
        <w:tc>
          <w:tcPr>
            <w:tcW w:w="2320" w:type="dxa"/>
            <w:tcBorders>
              <w:top w:val="single" w:color="auto" w:sz="6" w:space="0"/>
              <w:left w:val="single" w:color="auto" w:sz="6" w:space="0"/>
              <w:bottom w:val="single" w:color="auto" w:sz="4" w:space="0"/>
              <w:right w:val="single" w:color="auto" w:sz="6" w:space="0"/>
            </w:tcBorders>
            <w:vAlign w:val="center"/>
          </w:tcPr>
          <w:p w14:paraId="74951FBB">
            <w:pPr>
              <w:tabs>
                <w:tab w:val="left" w:pos="0"/>
                <w:tab w:val="left" w:pos="720"/>
              </w:tabs>
              <w:adjustRightInd w:val="0"/>
              <w:snapToGrid w:val="0"/>
              <w:jc w:val="center"/>
              <w:rPr>
                <w:rFonts w:hint="eastAsia" w:ascii="宋体" w:hAnsi="宋体" w:cs="宋体"/>
                <w:sz w:val="24"/>
                <w:szCs w:val="24"/>
                <w:highlight w:val="none"/>
              </w:rPr>
            </w:pPr>
          </w:p>
        </w:tc>
        <w:tc>
          <w:tcPr>
            <w:tcW w:w="2449" w:type="dxa"/>
            <w:tcBorders>
              <w:top w:val="single" w:color="auto" w:sz="6" w:space="0"/>
              <w:left w:val="single" w:color="auto" w:sz="6" w:space="0"/>
              <w:bottom w:val="single" w:color="auto" w:sz="4" w:space="0"/>
              <w:right w:val="single" w:color="auto" w:sz="6" w:space="0"/>
            </w:tcBorders>
            <w:vAlign w:val="center"/>
          </w:tcPr>
          <w:p w14:paraId="78D5FF74">
            <w:pPr>
              <w:tabs>
                <w:tab w:val="left" w:pos="0"/>
                <w:tab w:val="left" w:pos="720"/>
              </w:tabs>
              <w:adjustRightInd w:val="0"/>
              <w:snapToGrid w:val="0"/>
              <w:jc w:val="center"/>
              <w:rPr>
                <w:rFonts w:hint="eastAsia" w:ascii="宋体" w:hAnsi="宋体" w:cs="宋体"/>
                <w:sz w:val="24"/>
                <w:szCs w:val="24"/>
                <w:highlight w:val="none"/>
              </w:rPr>
            </w:pPr>
          </w:p>
        </w:tc>
        <w:tc>
          <w:tcPr>
            <w:tcW w:w="1468" w:type="dxa"/>
            <w:tcBorders>
              <w:top w:val="single" w:color="auto" w:sz="6" w:space="0"/>
              <w:left w:val="single" w:color="auto" w:sz="6" w:space="0"/>
              <w:bottom w:val="single" w:color="auto" w:sz="4" w:space="0"/>
              <w:right w:val="single" w:color="auto" w:sz="4" w:space="0"/>
            </w:tcBorders>
            <w:vAlign w:val="center"/>
          </w:tcPr>
          <w:p w14:paraId="1C73AB65">
            <w:pPr>
              <w:tabs>
                <w:tab w:val="left" w:pos="0"/>
                <w:tab w:val="left" w:pos="720"/>
              </w:tabs>
              <w:adjustRightInd w:val="0"/>
              <w:snapToGrid w:val="0"/>
              <w:jc w:val="center"/>
              <w:rPr>
                <w:rFonts w:hint="eastAsia" w:ascii="宋体" w:hAnsi="宋体" w:cs="宋体"/>
                <w:sz w:val="24"/>
                <w:szCs w:val="24"/>
                <w:highlight w:val="none"/>
              </w:rPr>
            </w:pPr>
          </w:p>
        </w:tc>
      </w:tr>
    </w:tbl>
    <w:p w14:paraId="7E553DAD">
      <w:pPr>
        <w:pStyle w:val="39"/>
        <w:spacing w:after="0" w:line="360" w:lineRule="auto"/>
        <w:ind w:left="-2" w:leftChars="-1" w:firstLine="180"/>
        <w:rPr>
          <w:rFonts w:hint="eastAsia" w:ascii="宋体" w:hAnsi="宋体"/>
          <w:bCs/>
          <w:iCs/>
          <w:kern w:val="0"/>
          <w:sz w:val="18"/>
          <w:szCs w:val="18"/>
          <w:highlight w:val="none"/>
          <w:lang w:val="en-US"/>
        </w:rPr>
      </w:pPr>
      <w:r>
        <w:rPr>
          <w:rFonts w:hint="eastAsia" w:ascii="宋体" w:hAnsi="宋体"/>
          <w:sz w:val="18"/>
          <w:szCs w:val="18"/>
          <w:highlight w:val="none"/>
        </w:rPr>
        <w:t>注：</w:t>
      </w:r>
      <w:r>
        <w:rPr>
          <w:rFonts w:hint="eastAsia" w:ascii="宋体" w:hAnsi="宋体"/>
          <w:bCs/>
          <w:iCs/>
          <w:sz w:val="18"/>
          <w:szCs w:val="18"/>
          <w:highlight w:val="none"/>
        </w:rPr>
        <w:t>参与编制标书所有人员名单应包括如编制工程总承包实施方案、负责清样校对、负责加密打包、负责上传、负责密封、负责打印及复印等所有人员在内的人员名单。</w:t>
      </w:r>
    </w:p>
    <w:p w14:paraId="560F3899">
      <w:pPr>
        <w:rPr>
          <w:rFonts w:hint="eastAsia" w:ascii="宋体" w:hAnsi="宋体"/>
          <w:b/>
          <w:highlight w:val="none"/>
          <w:lang w:val="zh-CN"/>
        </w:rPr>
      </w:pPr>
      <w:bookmarkStart w:id="1092" w:name="_Toc369531702"/>
      <w:bookmarkStart w:id="1093" w:name="_Toc361508757"/>
      <w:bookmarkStart w:id="1094" w:name="_Toc352691666"/>
      <w:bookmarkStart w:id="1095" w:name="_Toc13469"/>
      <w:bookmarkStart w:id="1096" w:name="_Toc384308381"/>
    </w:p>
    <w:p w14:paraId="4C5E4E42">
      <w:pPr>
        <w:autoSpaceDE w:val="0"/>
        <w:autoSpaceDN w:val="0"/>
        <w:adjustRightInd w:val="0"/>
        <w:spacing w:line="360" w:lineRule="auto"/>
        <w:jc w:val="left"/>
        <w:rPr>
          <w:highlight w:val="none"/>
        </w:rPr>
      </w:pPr>
      <w:r>
        <w:rPr>
          <w:rFonts w:ascii="宋体"/>
          <w:b/>
          <w:highlight w:val="none"/>
          <w:lang w:val="zh-CN"/>
        </w:rPr>
        <w:br w:type="page"/>
      </w:r>
      <w:bookmarkEnd w:id="1092"/>
      <w:bookmarkEnd w:id="1093"/>
      <w:bookmarkEnd w:id="1094"/>
      <w:bookmarkEnd w:id="1095"/>
      <w:bookmarkEnd w:id="1096"/>
      <w:bookmarkStart w:id="1097" w:name="_Toc80125016"/>
      <w:bookmarkStart w:id="1098" w:name="_Toc23334"/>
      <w:bookmarkStart w:id="1099" w:name="_Toc7577"/>
      <w:bookmarkStart w:id="1100" w:name="_Toc23820"/>
      <w:bookmarkStart w:id="1101" w:name="_Toc1404"/>
      <w:bookmarkStart w:id="1102" w:name="_Toc111648960"/>
      <w:bookmarkStart w:id="1103" w:name="_Toc8616"/>
      <w:r>
        <w:rPr>
          <w:rFonts w:hint="eastAsia" w:ascii="宋体" w:hAnsi="宋体" w:cs="宋体"/>
          <w:b/>
          <w:sz w:val="28"/>
          <w:highlight w:val="none"/>
        </w:rPr>
        <w:t>格式9：危险性较大的分部分项工程安全管理措施</w:t>
      </w:r>
      <w:bookmarkEnd w:id="1097"/>
      <w:bookmarkEnd w:id="1098"/>
      <w:bookmarkEnd w:id="1099"/>
      <w:bookmarkEnd w:id="1100"/>
      <w:bookmarkEnd w:id="1101"/>
      <w:bookmarkEnd w:id="1102"/>
      <w:bookmarkEnd w:id="1103"/>
    </w:p>
    <w:p w14:paraId="18163560">
      <w:pPr>
        <w:jc w:val="center"/>
        <w:rPr>
          <w:b/>
          <w:bCs/>
          <w:sz w:val="30"/>
          <w:szCs w:val="30"/>
          <w:highlight w:val="none"/>
          <w:lang w:val="zh-CN"/>
        </w:rPr>
      </w:pPr>
      <w:r>
        <w:rPr>
          <w:rFonts w:hint="eastAsia"/>
          <w:b/>
          <w:bCs/>
          <w:sz w:val="30"/>
          <w:szCs w:val="30"/>
          <w:highlight w:val="none"/>
          <w:lang w:val="zh-CN"/>
        </w:rPr>
        <w:t>危险性较大的分部分项工程清单及超过一定规模的</w:t>
      </w:r>
    </w:p>
    <w:p w14:paraId="7AB8C244">
      <w:pPr>
        <w:jc w:val="center"/>
        <w:rPr>
          <w:b/>
          <w:bCs/>
          <w:sz w:val="30"/>
          <w:szCs w:val="30"/>
          <w:highlight w:val="none"/>
          <w:lang w:val="zh-CN"/>
        </w:rPr>
      </w:pPr>
      <w:r>
        <w:rPr>
          <w:rFonts w:hint="eastAsia"/>
          <w:b/>
          <w:bCs/>
          <w:sz w:val="30"/>
          <w:szCs w:val="30"/>
          <w:highlight w:val="none"/>
          <w:lang w:val="zh-CN"/>
        </w:rPr>
        <w:t>危险性较大的分部分项工程清单</w:t>
      </w:r>
    </w:p>
    <w:p w14:paraId="164B29B5">
      <w:pPr>
        <w:numPr>
          <w:ilvl w:val="0"/>
          <w:numId w:val="12"/>
        </w:numPr>
        <w:spacing w:line="432" w:lineRule="auto"/>
        <w:rPr>
          <w:highlight w:val="none"/>
        </w:rPr>
      </w:pPr>
      <w:r>
        <w:rPr>
          <w:rFonts w:hint="eastAsia"/>
          <w:highlight w:val="none"/>
        </w:rPr>
        <w:t>根据中华人民共和国住房和城乡建设部令第37号《危险性较大的分部分项工程安全管理规定》（以下简称“37号文”），投标人在投标时须补充完善危大工程清单并明确相应的安全管理措施。</w:t>
      </w:r>
    </w:p>
    <w:p w14:paraId="6CC0EA5C">
      <w:pPr>
        <w:numPr>
          <w:ilvl w:val="0"/>
          <w:numId w:val="12"/>
        </w:numPr>
        <w:spacing w:line="432" w:lineRule="auto"/>
        <w:rPr>
          <w:highlight w:val="none"/>
        </w:rPr>
      </w:pPr>
      <w:r>
        <w:rPr>
          <w:rFonts w:hint="eastAsia"/>
          <w:highlight w:val="none"/>
        </w:rPr>
        <w:t>招标人根据设计文件的要求及37号文、粤建规范〔2019〕2号文的规定列出“危险性较大的分部分项工程清单及超过一定规模的危险性较大的分部分项工程清单”中与本招标项目相关的清单项，具体详见第5点“打√”标识。</w:t>
      </w:r>
    </w:p>
    <w:p w14:paraId="0C5D910D">
      <w:pPr>
        <w:numPr>
          <w:ilvl w:val="0"/>
          <w:numId w:val="13"/>
        </w:numPr>
        <w:spacing w:line="432" w:lineRule="auto"/>
        <w:ind w:left="340" w:firstLine="0"/>
        <w:rPr>
          <w:highlight w:val="none"/>
        </w:rPr>
      </w:pPr>
      <w:r>
        <w:rPr>
          <w:rFonts w:hint="eastAsia"/>
          <w:highlight w:val="none"/>
        </w:rPr>
        <w:t>投标单位同意建设单位在清单中标识的该项请在对应项打“√”标识，并于投标文件中提供相应的安全管理措施。</w:t>
      </w:r>
    </w:p>
    <w:p w14:paraId="57D15A65">
      <w:pPr>
        <w:numPr>
          <w:ilvl w:val="0"/>
          <w:numId w:val="13"/>
        </w:numPr>
        <w:spacing w:line="432" w:lineRule="auto"/>
        <w:ind w:left="340" w:firstLine="0"/>
        <w:rPr>
          <w:highlight w:val="none"/>
        </w:rPr>
      </w:pPr>
      <w:r>
        <w:rPr>
          <w:rFonts w:hint="eastAsia"/>
          <w:highlight w:val="none"/>
        </w:rPr>
        <w:t>投标单位对清单中认为需要补充的该项请在对应项打“√”标识，并于投标文件中提供相应的安全管理措施。</w:t>
      </w:r>
    </w:p>
    <w:p w14:paraId="654D1BD3">
      <w:pPr>
        <w:numPr>
          <w:ilvl w:val="0"/>
          <w:numId w:val="13"/>
        </w:numPr>
        <w:spacing w:line="432" w:lineRule="auto"/>
        <w:ind w:left="340" w:firstLine="0"/>
        <w:rPr>
          <w:highlight w:val="none"/>
        </w:rPr>
      </w:pPr>
      <w:r>
        <w:rPr>
          <w:rFonts w:hint="eastAsia"/>
          <w:highlight w:val="none"/>
        </w:rPr>
        <w:t>投标单位不同意建设单位在清单中标识的该项请在对应项打“×”标识，并在备注栏填上相关说明。</w:t>
      </w:r>
    </w:p>
    <w:p w14:paraId="29D57DFB">
      <w:pPr>
        <w:numPr>
          <w:ilvl w:val="0"/>
          <w:numId w:val="12"/>
        </w:numPr>
        <w:spacing w:line="432" w:lineRule="auto"/>
        <w:rPr>
          <w:b/>
          <w:bCs/>
          <w:highlight w:val="none"/>
        </w:rPr>
      </w:pPr>
      <w:r>
        <w:rPr>
          <w:rFonts w:hint="eastAsia"/>
          <w:b/>
          <w:bCs/>
          <w:highlight w:val="none"/>
        </w:rPr>
        <w:t>投标单位应当在投标时根据招标人提供的下述第5点清单，在投标施工组织中编制专项施工方案。</w:t>
      </w:r>
    </w:p>
    <w:p w14:paraId="670C11AB">
      <w:pPr>
        <w:numPr>
          <w:ilvl w:val="0"/>
          <w:numId w:val="12"/>
        </w:numPr>
        <w:spacing w:line="432" w:lineRule="auto"/>
        <w:rPr>
          <w:highlight w:val="none"/>
        </w:rPr>
      </w:pPr>
      <w:r>
        <w:rPr>
          <w:rFonts w:hint="eastAsia"/>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16B38BB4">
      <w:pPr>
        <w:rPr>
          <w:b/>
          <w:bCs/>
          <w:highlight w:val="none"/>
        </w:rPr>
      </w:pPr>
    </w:p>
    <w:p w14:paraId="5488CA2C">
      <w:pPr>
        <w:numPr>
          <w:ilvl w:val="0"/>
          <w:numId w:val="12"/>
        </w:numPr>
        <w:rPr>
          <w:b/>
          <w:bCs/>
          <w:highlight w:val="none"/>
        </w:rPr>
      </w:pPr>
      <w:r>
        <w:rPr>
          <w:rFonts w:hint="eastAsia"/>
          <w:b/>
          <w:bCs/>
          <w:highlight w:val="none"/>
        </w:rPr>
        <w:t>危险性较大的分部分项工程清单及超过一定规模的危险性较大的分部分项工程清单：</w:t>
      </w:r>
    </w:p>
    <w:tbl>
      <w:tblPr>
        <w:tblStyle w:val="4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9"/>
        <w:gridCol w:w="1292"/>
        <w:gridCol w:w="1542"/>
        <w:gridCol w:w="1500"/>
      </w:tblGrid>
      <w:tr w14:paraId="4A6E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748" w:type="pct"/>
            <w:tcBorders>
              <w:top w:val="single" w:color="auto" w:sz="4" w:space="0"/>
              <w:left w:val="single" w:color="auto" w:sz="4" w:space="0"/>
              <w:bottom w:val="single" w:color="auto" w:sz="4" w:space="0"/>
              <w:right w:val="single" w:color="auto" w:sz="4" w:space="0"/>
            </w:tcBorders>
            <w:vAlign w:val="center"/>
          </w:tcPr>
          <w:p w14:paraId="49A19BDE">
            <w:pPr>
              <w:jc w:val="center"/>
              <w:rPr>
                <w:rFonts w:ascii="Calibri" w:hAnsi="Calibri"/>
                <w:b/>
                <w:bCs/>
                <w:highlight w:val="none"/>
              </w:rPr>
            </w:pPr>
            <w:r>
              <w:rPr>
                <w:rFonts w:hint="eastAsia" w:ascii="Calibri" w:hAnsi="Calibri"/>
                <w:b/>
                <w:bCs/>
                <w:highlight w:val="none"/>
              </w:rPr>
              <w:t>一、危险性较大的分部分项工程清单</w:t>
            </w:r>
          </w:p>
        </w:tc>
        <w:tc>
          <w:tcPr>
            <w:tcW w:w="671" w:type="pct"/>
            <w:tcBorders>
              <w:top w:val="single" w:color="auto" w:sz="4" w:space="0"/>
              <w:left w:val="single" w:color="auto" w:sz="4" w:space="0"/>
              <w:bottom w:val="single" w:color="auto" w:sz="4" w:space="0"/>
              <w:right w:val="single" w:color="auto" w:sz="4" w:space="0"/>
            </w:tcBorders>
            <w:vAlign w:val="center"/>
          </w:tcPr>
          <w:p w14:paraId="3690B6C1">
            <w:pPr>
              <w:jc w:val="center"/>
              <w:rPr>
                <w:rFonts w:ascii="Calibri" w:hAnsi="Calibri"/>
                <w:b/>
                <w:bCs/>
                <w:highlight w:val="none"/>
              </w:rPr>
            </w:pPr>
            <w:r>
              <w:rPr>
                <w:rFonts w:hint="eastAsia" w:ascii="Calibri" w:hAnsi="Calibri"/>
                <w:b/>
                <w:bCs/>
                <w:highlight w:val="none"/>
              </w:rPr>
              <w:t>建设单位</w:t>
            </w:r>
          </w:p>
        </w:tc>
        <w:tc>
          <w:tcPr>
            <w:tcW w:w="801" w:type="pct"/>
            <w:tcBorders>
              <w:top w:val="single" w:color="auto" w:sz="4" w:space="0"/>
              <w:left w:val="single" w:color="auto" w:sz="4" w:space="0"/>
              <w:bottom w:val="single" w:color="auto" w:sz="4" w:space="0"/>
              <w:right w:val="single" w:color="auto" w:sz="4" w:space="0"/>
            </w:tcBorders>
            <w:vAlign w:val="center"/>
          </w:tcPr>
          <w:p w14:paraId="5B296A73">
            <w:pPr>
              <w:jc w:val="center"/>
              <w:rPr>
                <w:rFonts w:ascii="Calibri" w:hAnsi="Calibri"/>
                <w:b/>
                <w:bCs/>
                <w:highlight w:val="none"/>
              </w:rPr>
            </w:pPr>
            <w:r>
              <w:rPr>
                <w:rFonts w:hint="eastAsia" w:ascii="Calibri" w:hAnsi="Calibri"/>
                <w:b/>
                <w:bCs/>
                <w:highlight w:val="none"/>
              </w:rPr>
              <w:t>投标单位</w:t>
            </w:r>
          </w:p>
        </w:tc>
        <w:tc>
          <w:tcPr>
            <w:tcW w:w="779" w:type="pct"/>
            <w:tcBorders>
              <w:top w:val="single" w:color="auto" w:sz="4" w:space="0"/>
              <w:left w:val="single" w:color="auto" w:sz="4" w:space="0"/>
              <w:bottom w:val="single" w:color="auto" w:sz="4" w:space="0"/>
              <w:right w:val="single" w:color="auto" w:sz="4" w:space="0"/>
            </w:tcBorders>
            <w:vAlign w:val="center"/>
          </w:tcPr>
          <w:p w14:paraId="7D8D13B1">
            <w:pPr>
              <w:jc w:val="center"/>
              <w:rPr>
                <w:rFonts w:ascii="Calibri" w:hAnsi="Calibri"/>
                <w:b/>
                <w:bCs/>
                <w:highlight w:val="none"/>
              </w:rPr>
            </w:pPr>
            <w:r>
              <w:rPr>
                <w:rFonts w:hint="eastAsia" w:ascii="Calibri" w:hAnsi="Calibri"/>
                <w:b/>
                <w:bCs/>
                <w:highlight w:val="none"/>
              </w:rPr>
              <w:t>备注</w:t>
            </w:r>
          </w:p>
        </w:tc>
      </w:tr>
      <w:tr w14:paraId="09F3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748" w:type="pct"/>
            <w:tcBorders>
              <w:top w:val="single" w:color="auto" w:sz="4" w:space="0"/>
              <w:left w:val="single" w:color="auto" w:sz="4" w:space="0"/>
              <w:bottom w:val="single" w:color="auto" w:sz="4" w:space="0"/>
              <w:right w:val="single" w:color="auto" w:sz="4" w:space="0"/>
            </w:tcBorders>
            <w:vAlign w:val="center"/>
          </w:tcPr>
          <w:p w14:paraId="1AED86C5">
            <w:pPr>
              <w:jc w:val="center"/>
              <w:rPr>
                <w:rFonts w:ascii="Calibri" w:hAnsi="Calibri"/>
                <w:highlight w:val="none"/>
              </w:rPr>
            </w:pPr>
            <w:r>
              <w:rPr>
                <w:rFonts w:hint="eastAsia" w:ascii="Calibri" w:hAnsi="Calibri"/>
                <w:b/>
                <w:bCs/>
                <w:highlight w:val="none"/>
              </w:rPr>
              <w:t>一、基坑支护</w:t>
            </w:r>
          </w:p>
        </w:tc>
        <w:tc>
          <w:tcPr>
            <w:tcW w:w="671" w:type="pct"/>
            <w:tcBorders>
              <w:top w:val="single" w:color="auto" w:sz="4" w:space="0"/>
              <w:left w:val="single" w:color="auto" w:sz="4" w:space="0"/>
              <w:bottom w:val="single" w:color="auto" w:sz="4" w:space="0"/>
              <w:right w:val="single" w:color="auto" w:sz="4" w:space="0"/>
            </w:tcBorders>
            <w:vAlign w:val="center"/>
          </w:tcPr>
          <w:p w14:paraId="1A180BE1">
            <w:pPr>
              <w:jc w:val="center"/>
              <w:rPr>
                <w:rFonts w:ascii="Calibri" w:hAnsi="Calibri"/>
                <w:highlight w:val="none"/>
              </w:rPr>
            </w:pPr>
            <w:r>
              <w:rPr>
                <w:rFonts w:hint="eastAsia" w:ascii="Calibri" w:hAnsi="Calibri"/>
                <w:highlight w:val="none"/>
              </w:rPr>
              <w:t xml:space="preserve">( </w:t>
            </w:r>
            <w:r>
              <w:rPr>
                <w:rFonts w:ascii="Calibri" w:hAnsi="Calibri"/>
                <w:highlight w:val="none"/>
              </w:rPr>
              <w:t xml:space="preserve">  </w:t>
            </w:r>
            <w:r>
              <w:rPr>
                <w:rFonts w:hint="eastAsia" w:ascii="Calibri" w:hAnsi="Calibri"/>
                <w:highlight w:val="none"/>
              </w:rPr>
              <w:t xml:space="preserve">   )</w:t>
            </w:r>
          </w:p>
        </w:tc>
        <w:tc>
          <w:tcPr>
            <w:tcW w:w="801" w:type="pct"/>
            <w:tcBorders>
              <w:top w:val="single" w:color="auto" w:sz="4" w:space="0"/>
              <w:left w:val="single" w:color="auto" w:sz="4" w:space="0"/>
              <w:bottom w:val="single" w:color="auto" w:sz="4" w:space="0"/>
              <w:right w:val="single" w:color="auto" w:sz="4" w:space="0"/>
            </w:tcBorders>
            <w:vAlign w:val="center"/>
          </w:tcPr>
          <w:p w14:paraId="34C62B0F">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18DF56BA">
            <w:pPr>
              <w:jc w:val="center"/>
              <w:rPr>
                <w:rFonts w:ascii="Calibri" w:hAnsi="Calibri"/>
                <w:highlight w:val="none"/>
              </w:rPr>
            </w:pPr>
          </w:p>
        </w:tc>
      </w:tr>
      <w:tr w14:paraId="559D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748" w:type="pct"/>
            <w:tcBorders>
              <w:top w:val="single" w:color="auto" w:sz="4" w:space="0"/>
              <w:left w:val="single" w:color="auto" w:sz="4" w:space="0"/>
              <w:bottom w:val="single" w:color="auto" w:sz="4" w:space="0"/>
              <w:right w:val="single" w:color="auto" w:sz="4" w:space="0"/>
            </w:tcBorders>
            <w:vAlign w:val="center"/>
          </w:tcPr>
          <w:p w14:paraId="0E0F58F1">
            <w:pPr>
              <w:rPr>
                <w:rFonts w:ascii="Calibri" w:hAnsi="Calibri"/>
                <w:highlight w:val="none"/>
              </w:rPr>
            </w:pPr>
            <w:r>
              <w:rPr>
                <w:rFonts w:hint="eastAsia" w:ascii="Calibri" w:hAnsi="Calibri"/>
                <w:highlight w:val="none"/>
              </w:rPr>
              <w:t>（一）开挖深度超过3m（含3m）的基坑（槽）的土方开挖、支护、降水工程。</w:t>
            </w:r>
          </w:p>
        </w:tc>
        <w:tc>
          <w:tcPr>
            <w:tcW w:w="671" w:type="pct"/>
            <w:tcBorders>
              <w:top w:val="single" w:color="auto" w:sz="4" w:space="0"/>
              <w:left w:val="single" w:color="auto" w:sz="4" w:space="0"/>
              <w:bottom w:val="single" w:color="auto" w:sz="4" w:space="0"/>
              <w:right w:val="single" w:color="auto" w:sz="4" w:space="0"/>
            </w:tcBorders>
            <w:vAlign w:val="center"/>
          </w:tcPr>
          <w:p w14:paraId="02CD3526">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77B8C53D">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540AE882">
            <w:pPr>
              <w:jc w:val="center"/>
              <w:rPr>
                <w:rFonts w:ascii="Calibri" w:hAnsi="Calibri"/>
                <w:highlight w:val="none"/>
              </w:rPr>
            </w:pPr>
          </w:p>
        </w:tc>
      </w:tr>
      <w:tr w14:paraId="5109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2748" w:type="pct"/>
            <w:tcBorders>
              <w:top w:val="single" w:color="auto" w:sz="4" w:space="0"/>
              <w:left w:val="single" w:color="auto" w:sz="4" w:space="0"/>
              <w:bottom w:val="single" w:color="auto" w:sz="4" w:space="0"/>
              <w:right w:val="single" w:color="auto" w:sz="4" w:space="0"/>
            </w:tcBorders>
            <w:vAlign w:val="center"/>
          </w:tcPr>
          <w:p w14:paraId="3B5BB440">
            <w:pPr>
              <w:rPr>
                <w:rFonts w:ascii="Calibri" w:hAnsi="Calibri"/>
                <w:highlight w:val="none"/>
              </w:rPr>
            </w:pPr>
            <w:r>
              <w:rPr>
                <w:rFonts w:hint="eastAsia" w:ascii="Calibri" w:hAnsi="Calibri"/>
                <w:highlight w:val="none"/>
              </w:rPr>
              <w:t>（二）开挖深度虽未超过3m，但地质条件、周围环境和地下管线复杂，或影响毗邻建、构筑物安全的基坑（槽）的土方开挖、支护、降水工程。</w:t>
            </w:r>
          </w:p>
        </w:tc>
        <w:tc>
          <w:tcPr>
            <w:tcW w:w="671" w:type="pct"/>
            <w:tcBorders>
              <w:top w:val="single" w:color="auto" w:sz="4" w:space="0"/>
              <w:left w:val="single" w:color="auto" w:sz="4" w:space="0"/>
              <w:bottom w:val="single" w:color="auto" w:sz="4" w:space="0"/>
              <w:right w:val="single" w:color="auto" w:sz="4" w:space="0"/>
            </w:tcBorders>
            <w:vAlign w:val="center"/>
          </w:tcPr>
          <w:p w14:paraId="4A0BF3D6">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07B96CC0">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6602B0AE">
            <w:pPr>
              <w:jc w:val="center"/>
              <w:rPr>
                <w:rFonts w:ascii="Calibri" w:hAnsi="Calibri"/>
                <w:highlight w:val="none"/>
              </w:rPr>
            </w:pPr>
          </w:p>
        </w:tc>
      </w:tr>
      <w:tr w14:paraId="1621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748" w:type="pct"/>
            <w:tcBorders>
              <w:top w:val="single" w:color="auto" w:sz="4" w:space="0"/>
              <w:left w:val="single" w:color="auto" w:sz="4" w:space="0"/>
              <w:bottom w:val="single" w:color="auto" w:sz="4" w:space="0"/>
              <w:right w:val="single" w:color="auto" w:sz="4" w:space="0"/>
            </w:tcBorders>
            <w:vAlign w:val="center"/>
          </w:tcPr>
          <w:p w14:paraId="28EFB6C1">
            <w:pPr>
              <w:jc w:val="center"/>
              <w:rPr>
                <w:rFonts w:ascii="Calibri" w:hAnsi="Calibri"/>
                <w:highlight w:val="none"/>
              </w:rPr>
            </w:pPr>
            <w:r>
              <w:rPr>
                <w:rFonts w:hint="eastAsia" w:ascii="Calibri" w:hAnsi="Calibri"/>
                <w:b/>
                <w:bCs/>
                <w:highlight w:val="none"/>
              </w:rPr>
              <w:t>二、模板工程及支撑体系</w:t>
            </w:r>
          </w:p>
        </w:tc>
        <w:tc>
          <w:tcPr>
            <w:tcW w:w="671" w:type="pct"/>
            <w:tcBorders>
              <w:top w:val="single" w:color="auto" w:sz="4" w:space="0"/>
              <w:left w:val="single" w:color="auto" w:sz="4" w:space="0"/>
              <w:bottom w:val="single" w:color="auto" w:sz="4" w:space="0"/>
              <w:right w:val="single" w:color="auto" w:sz="4" w:space="0"/>
            </w:tcBorders>
            <w:vAlign w:val="center"/>
          </w:tcPr>
          <w:p w14:paraId="3E5E78BF">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70C02E44">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70700CAE">
            <w:pPr>
              <w:jc w:val="center"/>
              <w:rPr>
                <w:rFonts w:ascii="Calibri" w:hAnsi="Calibri"/>
                <w:highlight w:val="none"/>
              </w:rPr>
            </w:pPr>
          </w:p>
        </w:tc>
      </w:tr>
      <w:tr w14:paraId="0B31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748" w:type="pct"/>
            <w:tcBorders>
              <w:top w:val="single" w:color="auto" w:sz="4" w:space="0"/>
              <w:left w:val="single" w:color="auto" w:sz="4" w:space="0"/>
              <w:bottom w:val="single" w:color="auto" w:sz="4" w:space="0"/>
              <w:right w:val="single" w:color="auto" w:sz="4" w:space="0"/>
            </w:tcBorders>
            <w:vAlign w:val="center"/>
          </w:tcPr>
          <w:p w14:paraId="06D3BA93">
            <w:pPr>
              <w:rPr>
                <w:rFonts w:ascii="Calibri" w:hAnsi="Calibri"/>
                <w:highlight w:val="none"/>
              </w:rPr>
            </w:pPr>
            <w:r>
              <w:rPr>
                <w:rFonts w:hint="eastAsia" w:ascii="Calibri" w:hAnsi="Calibri"/>
                <w:highlight w:val="none"/>
              </w:rPr>
              <w:t>（一）各类工具式模板工程：包括滑模、爬模、飞模、隧道模等工程。</w:t>
            </w:r>
          </w:p>
        </w:tc>
        <w:tc>
          <w:tcPr>
            <w:tcW w:w="671" w:type="pct"/>
            <w:tcBorders>
              <w:top w:val="single" w:color="auto" w:sz="4" w:space="0"/>
              <w:left w:val="single" w:color="auto" w:sz="4" w:space="0"/>
              <w:bottom w:val="single" w:color="auto" w:sz="4" w:space="0"/>
              <w:right w:val="single" w:color="auto" w:sz="4" w:space="0"/>
            </w:tcBorders>
            <w:vAlign w:val="center"/>
          </w:tcPr>
          <w:p w14:paraId="08AE591A">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65AC6F20">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6D3F32F0">
            <w:pPr>
              <w:jc w:val="center"/>
              <w:rPr>
                <w:rFonts w:ascii="Calibri" w:hAnsi="Calibri"/>
                <w:highlight w:val="none"/>
              </w:rPr>
            </w:pPr>
          </w:p>
        </w:tc>
      </w:tr>
      <w:tr w14:paraId="7A2D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2748" w:type="pct"/>
            <w:tcBorders>
              <w:top w:val="single" w:color="auto" w:sz="4" w:space="0"/>
              <w:left w:val="single" w:color="auto" w:sz="4" w:space="0"/>
              <w:bottom w:val="single" w:color="auto" w:sz="4" w:space="0"/>
              <w:right w:val="single" w:color="auto" w:sz="4" w:space="0"/>
            </w:tcBorders>
            <w:vAlign w:val="center"/>
          </w:tcPr>
          <w:p w14:paraId="52FAA64A">
            <w:pPr>
              <w:rPr>
                <w:rFonts w:ascii="Calibri" w:hAnsi="Calibri"/>
                <w:highlight w:val="none"/>
              </w:rPr>
            </w:pPr>
            <w:r>
              <w:rPr>
                <w:rFonts w:hint="eastAsia" w:ascii="Calibri" w:hAnsi="Calibri"/>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671" w:type="pct"/>
            <w:tcBorders>
              <w:top w:val="single" w:color="auto" w:sz="4" w:space="0"/>
              <w:left w:val="single" w:color="auto" w:sz="4" w:space="0"/>
              <w:bottom w:val="single" w:color="auto" w:sz="4" w:space="0"/>
              <w:right w:val="single" w:color="auto" w:sz="4" w:space="0"/>
            </w:tcBorders>
            <w:vAlign w:val="center"/>
          </w:tcPr>
          <w:p w14:paraId="497A67D4">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465F5A3D">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7F6AE50C">
            <w:pPr>
              <w:jc w:val="center"/>
              <w:rPr>
                <w:rFonts w:ascii="Calibri" w:hAnsi="Calibri"/>
                <w:highlight w:val="none"/>
              </w:rPr>
            </w:pPr>
          </w:p>
        </w:tc>
      </w:tr>
      <w:tr w14:paraId="235B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748" w:type="pct"/>
            <w:tcBorders>
              <w:top w:val="single" w:color="auto" w:sz="4" w:space="0"/>
              <w:left w:val="single" w:color="auto" w:sz="4" w:space="0"/>
              <w:bottom w:val="single" w:color="auto" w:sz="4" w:space="0"/>
              <w:right w:val="single" w:color="auto" w:sz="4" w:space="0"/>
            </w:tcBorders>
            <w:vAlign w:val="center"/>
          </w:tcPr>
          <w:p w14:paraId="735EC374">
            <w:pPr>
              <w:rPr>
                <w:rFonts w:ascii="Calibri" w:hAnsi="Calibri"/>
                <w:highlight w:val="none"/>
              </w:rPr>
            </w:pPr>
            <w:r>
              <w:rPr>
                <w:rFonts w:hint="eastAsia" w:ascii="Calibri" w:hAnsi="Calibri"/>
                <w:highlight w:val="none"/>
              </w:rPr>
              <w:t>（三）承重支撑体系：用于钢结构安装等满堂支撑体系。</w:t>
            </w:r>
          </w:p>
        </w:tc>
        <w:tc>
          <w:tcPr>
            <w:tcW w:w="671" w:type="pct"/>
            <w:tcBorders>
              <w:top w:val="single" w:color="auto" w:sz="4" w:space="0"/>
              <w:left w:val="single" w:color="auto" w:sz="4" w:space="0"/>
              <w:bottom w:val="single" w:color="auto" w:sz="4" w:space="0"/>
              <w:right w:val="single" w:color="auto" w:sz="4" w:space="0"/>
            </w:tcBorders>
            <w:vAlign w:val="center"/>
          </w:tcPr>
          <w:p w14:paraId="3F9EC02F">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22B22384">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33873438">
            <w:pPr>
              <w:jc w:val="center"/>
              <w:rPr>
                <w:rFonts w:ascii="Calibri" w:hAnsi="Calibri"/>
                <w:highlight w:val="none"/>
              </w:rPr>
            </w:pPr>
          </w:p>
        </w:tc>
      </w:tr>
      <w:tr w14:paraId="790F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748" w:type="pct"/>
            <w:tcBorders>
              <w:top w:val="single" w:color="auto" w:sz="4" w:space="0"/>
              <w:left w:val="single" w:color="auto" w:sz="4" w:space="0"/>
              <w:bottom w:val="single" w:color="auto" w:sz="4" w:space="0"/>
              <w:right w:val="single" w:color="auto" w:sz="4" w:space="0"/>
            </w:tcBorders>
            <w:vAlign w:val="center"/>
          </w:tcPr>
          <w:p w14:paraId="0D6F3436">
            <w:pPr>
              <w:jc w:val="center"/>
              <w:rPr>
                <w:rFonts w:ascii="Calibri" w:hAnsi="Calibri"/>
                <w:highlight w:val="none"/>
              </w:rPr>
            </w:pPr>
            <w:r>
              <w:rPr>
                <w:rFonts w:hint="eastAsia" w:ascii="Calibri" w:hAnsi="Calibri"/>
                <w:b/>
                <w:bCs/>
                <w:highlight w:val="none"/>
              </w:rPr>
              <w:t>三、起重吊装及起重机械安装拆卸工程</w:t>
            </w:r>
          </w:p>
        </w:tc>
        <w:tc>
          <w:tcPr>
            <w:tcW w:w="671" w:type="pct"/>
            <w:tcBorders>
              <w:top w:val="single" w:color="auto" w:sz="4" w:space="0"/>
              <w:left w:val="single" w:color="auto" w:sz="4" w:space="0"/>
              <w:bottom w:val="single" w:color="auto" w:sz="4" w:space="0"/>
              <w:right w:val="single" w:color="auto" w:sz="4" w:space="0"/>
            </w:tcBorders>
            <w:vAlign w:val="center"/>
          </w:tcPr>
          <w:p w14:paraId="61CF79FE">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5DEA4591">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23B3DAB7">
            <w:pPr>
              <w:jc w:val="center"/>
              <w:rPr>
                <w:rFonts w:ascii="Calibri" w:hAnsi="Calibri"/>
                <w:highlight w:val="none"/>
              </w:rPr>
            </w:pPr>
          </w:p>
        </w:tc>
      </w:tr>
      <w:tr w14:paraId="57DE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748" w:type="pct"/>
            <w:tcBorders>
              <w:top w:val="single" w:color="auto" w:sz="4" w:space="0"/>
              <w:left w:val="single" w:color="auto" w:sz="4" w:space="0"/>
              <w:bottom w:val="single" w:color="auto" w:sz="4" w:space="0"/>
              <w:right w:val="single" w:color="auto" w:sz="4" w:space="0"/>
            </w:tcBorders>
            <w:vAlign w:val="center"/>
          </w:tcPr>
          <w:p w14:paraId="3D1216DB">
            <w:pPr>
              <w:rPr>
                <w:rFonts w:ascii="Calibri" w:hAnsi="Calibri"/>
                <w:highlight w:val="none"/>
              </w:rPr>
            </w:pPr>
            <w:r>
              <w:rPr>
                <w:rFonts w:hint="eastAsia" w:ascii="Calibri" w:hAnsi="Calibri"/>
                <w:highlight w:val="none"/>
              </w:rPr>
              <w:t>（一）采用非常规起重设备、方法，且单件起吊重量在10kN及以上的起重吊装工程。</w:t>
            </w:r>
          </w:p>
        </w:tc>
        <w:tc>
          <w:tcPr>
            <w:tcW w:w="671" w:type="pct"/>
            <w:tcBorders>
              <w:top w:val="single" w:color="auto" w:sz="4" w:space="0"/>
              <w:left w:val="single" w:color="auto" w:sz="4" w:space="0"/>
              <w:bottom w:val="single" w:color="auto" w:sz="4" w:space="0"/>
              <w:right w:val="single" w:color="auto" w:sz="4" w:space="0"/>
            </w:tcBorders>
            <w:vAlign w:val="center"/>
          </w:tcPr>
          <w:p w14:paraId="468E2D3A">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04F74E62">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43B21DA6">
            <w:pPr>
              <w:jc w:val="center"/>
              <w:rPr>
                <w:rFonts w:ascii="Calibri" w:hAnsi="Calibri"/>
                <w:highlight w:val="none"/>
              </w:rPr>
            </w:pPr>
          </w:p>
        </w:tc>
      </w:tr>
      <w:tr w14:paraId="08A5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748" w:type="pct"/>
            <w:tcBorders>
              <w:top w:val="single" w:color="auto" w:sz="4" w:space="0"/>
              <w:left w:val="single" w:color="auto" w:sz="4" w:space="0"/>
              <w:bottom w:val="single" w:color="auto" w:sz="4" w:space="0"/>
              <w:right w:val="single" w:color="auto" w:sz="4" w:space="0"/>
            </w:tcBorders>
            <w:vAlign w:val="center"/>
          </w:tcPr>
          <w:p w14:paraId="28629C6F">
            <w:pPr>
              <w:rPr>
                <w:rFonts w:ascii="Calibri" w:hAnsi="Calibri"/>
                <w:highlight w:val="none"/>
              </w:rPr>
            </w:pPr>
            <w:r>
              <w:rPr>
                <w:rFonts w:hint="eastAsia" w:ascii="Calibri" w:hAnsi="Calibri"/>
                <w:highlight w:val="none"/>
              </w:rPr>
              <w:t>（二）采用起重机械进行安装的工程。</w:t>
            </w:r>
          </w:p>
        </w:tc>
        <w:tc>
          <w:tcPr>
            <w:tcW w:w="671" w:type="pct"/>
            <w:tcBorders>
              <w:top w:val="single" w:color="auto" w:sz="4" w:space="0"/>
              <w:left w:val="single" w:color="auto" w:sz="4" w:space="0"/>
              <w:bottom w:val="single" w:color="auto" w:sz="4" w:space="0"/>
              <w:right w:val="single" w:color="auto" w:sz="4" w:space="0"/>
            </w:tcBorders>
            <w:vAlign w:val="center"/>
          </w:tcPr>
          <w:p w14:paraId="2FDD3325">
            <w:pPr>
              <w:jc w:val="center"/>
              <w:rPr>
                <w:rFonts w:ascii="Calibri" w:hAnsi="Calibri"/>
                <w:highlight w:val="none"/>
              </w:rPr>
            </w:pPr>
            <w:r>
              <w:rPr>
                <w:rFonts w:hint="eastAsia" w:ascii="Calibri" w:hAnsi="Calibri"/>
                <w:highlight w:val="none"/>
              </w:rPr>
              <w:t xml:space="preserve">(  </w:t>
            </w:r>
            <w:r>
              <w:rPr>
                <w:rFonts w:hint="default" w:ascii="Arial" w:hAnsi="Arial" w:cs="Arial"/>
                <w:highlight w:val="none"/>
              </w:rPr>
              <w:t>√</w:t>
            </w:r>
            <w:r>
              <w:rPr>
                <w:rFonts w:hint="eastAsia" w:ascii="Calibri" w:hAnsi="Calibri"/>
                <w:highlight w:val="none"/>
              </w:rPr>
              <w:t xml:space="preserve">   )</w:t>
            </w:r>
          </w:p>
        </w:tc>
        <w:tc>
          <w:tcPr>
            <w:tcW w:w="801" w:type="pct"/>
            <w:tcBorders>
              <w:top w:val="single" w:color="auto" w:sz="4" w:space="0"/>
              <w:left w:val="single" w:color="auto" w:sz="4" w:space="0"/>
              <w:bottom w:val="single" w:color="auto" w:sz="4" w:space="0"/>
              <w:right w:val="single" w:color="auto" w:sz="4" w:space="0"/>
            </w:tcBorders>
            <w:vAlign w:val="center"/>
          </w:tcPr>
          <w:p w14:paraId="7AA38A77">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71167B22">
            <w:pPr>
              <w:jc w:val="center"/>
              <w:rPr>
                <w:rFonts w:ascii="Calibri" w:hAnsi="Calibri"/>
                <w:highlight w:val="none"/>
              </w:rPr>
            </w:pPr>
          </w:p>
        </w:tc>
      </w:tr>
      <w:tr w14:paraId="4B49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748" w:type="pct"/>
            <w:tcBorders>
              <w:top w:val="single" w:color="auto" w:sz="4" w:space="0"/>
              <w:left w:val="single" w:color="auto" w:sz="4" w:space="0"/>
              <w:bottom w:val="single" w:color="auto" w:sz="4" w:space="0"/>
              <w:right w:val="single" w:color="auto" w:sz="4" w:space="0"/>
            </w:tcBorders>
            <w:vAlign w:val="center"/>
          </w:tcPr>
          <w:p w14:paraId="752D5C89">
            <w:pPr>
              <w:rPr>
                <w:rFonts w:ascii="Calibri" w:hAnsi="Calibri"/>
                <w:highlight w:val="none"/>
              </w:rPr>
            </w:pPr>
            <w:r>
              <w:rPr>
                <w:rFonts w:hint="eastAsia" w:ascii="Calibri" w:hAnsi="Calibri"/>
                <w:highlight w:val="none"/>
              </w:rPr>
              <w:t>（三）起重机械安装和拆卸工程。</w:t>
            </w:r>
          </w:p>
        </w:tc>
        <w:tc>
          <w:tcPr>
            <w:tcW w:w="671" w:type="pct"/>
            <w:tcBorders>
              <w:top w:val="single" w:color="auto" w:sz="4" w:space="0"/>
              <w:left w:val="single" w:color="auto" w:sz="4" w:space="0"/>
              <w:bottom w:val="single" w:color="auto" w:sz="4" w:space="0"/>
              <w:right w:val="single" w:color="auto" w:sz="4" w:space="0"/>
            </w:tcBorders>
            <w:vAlign w:val="center"/>
          </w:tcPr>
          <w:p w14:paraId="335E5621">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7F209B18">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499E08CB">
            <w:pPr>
              <w:jc w:val="center"/>
              <w:rPr>
                <w:rFonts w:ascii="Calibri" w:hAnsi="Calibri"/>
                <w:highlight w:val="none"/>
              </w:rPr>
            </w:pPr>
          </w:p>
        </w:tc>
      </w:tr>
      <w:tr w14:paraId="6D8D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748" w:type="pct"/>
            <w:tcBorders>
              <w:top w:val="single" w:color="auto" w:sz="4" w:space="0"/>
              <w:left w:val="single" w:color="auto" w:sz="4" w:space="0"/>
              <w:bottom w:val="single" w:color="auto" w:sz="4" w:space="0"/>
              <w:right w:val="single" w:color="auto" w:sz="4" w:space="0"/>
            </w:tcBorders>
            <w:vAlign w:val="center"/>
          </w:tcPr>
          <w:p w14:paraId="64232F92">
            <w:pPr>
              <w:jc w:val="center"/>
              <w:rPr>
                <w:rFonts w:ascii="Calibri" w:hAnsi="Calibri"/>
                <w:highlight w:val="none"/>
              </w:rPr>
            </w:pPr>
            <w:r>
              <w:rPr>
                <w:rFonts w:hint="eastAsia" w:ascii="Calibri" w:hAnsi="Calibri"/>
                <w:b/>
                <w:bCs/>
                <w:highlight w:val="none"/>
              </w:rPr>
              <w:t>四、脚手架工程</w:t>
            </w:r>
          </w:p>
        </w:tc>
        <w:tc>
          <w:tcPr>
            <w:tcW w:w="671" w:type="pct"/>
            <w:tcBorders>
              <w:top w:val="single" w:color="auto" w:sz="4" w:space="0"/>
              <w:left w:val="single" w:color="auto" w:sz="4" w:space="0"/>
              <w:bottom w:val="single" w:color="auto" w:sz="4" w:space="0"/>
              <w:right w:val="single" w:color="auto" w:sz="4" w:space="0"/>
            </w:tcBorders>
            <w:vAlign w:val="center"/>
          </w:tcPr>
          <w:p w14:paraId="1E15BDD3">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5A2F3996">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1D7579D6">
            <w:pPr>
              <w:jc w:val="center"/>
              <w:rPr>
                <w:rFonts w:ascii="Calibri" w:hAnsi="Calibri"/>
                <w:highlight w:val="none"/>
              </w:rPr>
            </w:pPr>
          </w:p>
        </w:tc>
      </w:tr>
      <w:tr w14:paraId="204B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748" w:type="pct"/>
            <w:tcBorders>
              <w:top w:val="single" w:color="auto" w:sz="4" w:space="0"/>
              <w:left w:val="single" w:color="auto" w:sz="4" w:space="0"/>
              <w:bottom w:val="single" w:color="auto" w:sz="4" w:space="0"/>
              <w:right w:val="single" w:color="auto" w:sz="4" w:space="0"/>
            </w:tcBorders>
            <w:vAlign w:val="center"/>
          </w:tcPr>
          <w:p w14:paraId="4A343AE0">
            <w:pPr>
              <w:rPr>
                <w:rFonts w:ascii="Calibri" w:hAnsi="Calibri"/>
                <w:highlight w:val="none"/>
              </w:rPr>
            </w:pPr>
            <w:r>
              <w:rPr>
                <w:rFonts w:hint="eastAsia" w:ascii="Calibri" w:hAnsi="Calibri"/>
                <w:highlight w:val="none"/>
              </w:rPr>
              <w:t>（一）搭设高度24m及以上的落地式钢管脚手架工程（包括采光井、电梯井脚手架）。</w:t>
            </w:r>
          </w:p>
        </w:tc>
        <w:tc>
          <w:tcPr>
            <w:tcW w:w="671" w:type="pct"/>
            <w:tcBorders>
              <w:top w:val="single" w:color="auto" w:sz="4" w:space="0"/>
              <w:left w:val="single" w:color="auto" w:sz="4" w:space="0"/>
              <w:bottom w:val="single" w:color="auto" w:sz="4" w:space="0"/>
              <w:right w:val="single" w:color="auto" w:sz="4" w:space="0"/>
            </w:tcBorders>
            <w:vAlign w:val="center"/>
          </w:tcPr>
          <w:p w14:paraId="1B967008">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077B052D">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436C2608">
            <w:pPr>
              <w:jc w:val="center"/>
              <w:rPr>
                <w:rFonts w:ascii="Calibri" w:hAnsi="Calibri"/>
                <w:highlight w:val="none"/>
              </w:rPr>
            </w:pPr>
          </w:p>
        </w:tc>
      </w:tr>
      <w:tr w14:paraId="78C1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748" w:type="pct"/>
            <w:tcBorders>
              <w:top w:val="single" w:color="auto" w:sz="4" w:space="0"/>
              <w:left w:val="single" w:color="auto" w:sz="4" w:space="0"/>
              <w:bottom w:val="single" w:color="auto" w:sz="4" w:space="0"/>
              <w:right w:val="single" w:color="auto" w:sz="4" w:space="0"/>
            </w:tcBorders>
            <w:vAlign w:val="center"/>
          </w:tcPr>
          <w:p w14:paraId="2D5459B0">
            <w:pPr>
              <w:rPr>
                <w:rFonts w:ascii="Calibri" w:hAnsi="Calibri"/>
                <w:highlight w:val="none"/>
              </w:rPr>
            </w:pPr>
            <w:r>
              <w:rPr>
                <w:rFonts w:hint="eastAsia" w:ascii="Calibri" w:hAnsi="Calibri"/>
                <w:highlight w:val="none"/>
              </w:rPr>
              <w:t>（二）附着式升降脚手架工程。</w:t>
            </w:r>
          </w:p>
        </w:tc>
        <w:tc>
          <w:tcPr>
            <w:tcW w:w="671" w:type="pct"/>
            <w:tcBorders>
              <w:top w:val="single" w:color="auto" w:sz="4" w:space="0"/>
              <w:left w:val="single" w:color="auto" w:sz="4" w:space="0"/>
              <w:bottom w:val="single" w:color="auto" w:sz="4" w:space="0"/>
              <w:right w:val="single" w:color="auto" w:sz="4" w:space="0"/>
            </w:tcBorders>
            <w:vAlign w:val="center"/>
          </w:tcPr>
          <w:p w14:paraId="7722CF28">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2FFB0073">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6A0B3B11">
            <w:pPr>
              <w:jc w:val="center"/>
              <w:rPr>
                <w:rFonts w:ascii="Calibri" w:hAnsi="Calibri"/>
                <w:highlight w:val="none"/>
              </w:rPr>
            </w:pPr>
          </w:p>
        </w:tc>
      </w:tr>
      <w:tr w14:paraId="3B3E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748" w:type="pct"/>
            <w:tcBorders>
              <w:top w:val="single" w:color="auto" w:sz="4" w:space="0"/>
              <w:left w:val="single" w:color="auto" w:sz="4" w:space="0"/>
              <w:bottom w:val="single" w:color="auto" w:sz="4" w:space="0"/>
              <w:right w:val="single" w:color="auto" w:sz="4" w:space="0"/>
            </w:tcBorders>
            <w:vAlign w:val="center"/>
          </w:tcPr>
          <w:p w14:paraId="0F4FC289">
            <w:pPr>
              <w:rPr>
                <w:rFonts w:ascii="Calibri" w:hAnsi="Calibri"/>
                <w:highlight w:val="none"/>
              </w:rPr>
            </w:pPr>
            <w:r>
              <w:rPr>
                <w:rFonts w:hint="eastAsia" w:ascii="Calibri" w:hAnsi="Calibri"/>
                <w:highlight w:val="none"/>
              </w:rPr>
              <w:t>（三）悬挑式脚手架工程。</w:t>
            </w:r>
          </w:p>
        </w:tc>
        <w:tc>
          <w:tcPr>
            <w:tcW w:w="671" w:type="pct"/>
            <w:tcBorders>
              <w:top w:val="single" w:color="auto" w:sz="4" w:space="0"/>
              <w:left w:val="single" w:color="auto" w:sz="4" w:space="0"/>
              <w:bottom w:val="single" w:color="auto" w:sz="4" w:space="0"/>
              <w:right w:val="single" w:color="auto" w:sz="4" w:space="0"/>
            </w:tcBorders>
            <w:vAlign w:val="center"/>
          </w:tcPr>
          <w:p w14:paraId="19040970">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199AECA4">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38D9E1DF">
            <w:pPr>
              <w:jc w:val="center"/>
              <w:rPr>
                <w:rFonts w:ascii="Calibri" w:hAnsi="Calibri"/>
                <w:highlight w:val="none"/>
              </w:rPr>
            </w:pPr>
          </w:p>
        </w:tc>
      </w:tr>
      <w:tr w14:paraId="667C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748" w:type="pct"/>
            <w:tcBorders>
              <w:top w:val="single" w:color="auto" w:sz="4" w:space="0"/>
              <w:left w:val="single" w:color="auto" w:sz="4" w:space="0"/>
              <w:bottom w:val="single" w:color="auto" w:sz="4" w:space="0"/>
              <w:right w:val="single" w:color="auto" w:sz="4" w:space="0"/>
            </w:tcBorders>
            <w:vAlign w:val="center"/>
          </w:tcPr>
          <w:p w14:paraId="7DA4FCAD">
            <w:pPr>
              <w:rPr>
                <w:rFonts w:ascii="Calibri" w:hAnsi="Calibri"/>
                <w:highlight w:val="none"/>
              </w:rPr>
            </w:pPr>
            <w:r>
              <w:rPr>
                <w:rFonts w:hint="eastAsia" w:ascii="Calibri" w:hAnsi="Calibri"/>
                <w:highlight w:val="none"/>
              </w:rPr>
              <w:t>（四）高处作业吊篮。</w:t>
            </w:r>
          </w:p>
        </w:tc>
        <w:tc>
          <w:tcPr>
            <w:tcW w:w="671" w:type="pct"/>
            <w:tcBorders>
              <w:top w:val="single" w:color="auto" w:sz="4" w:space="0"/>
              <w:left w:val="single" w:color="auto" w:sz="4" w:space="0"/>
              <w:bottom w:val="single" w:color="auto" w:sz="4" w:space="0"/>
              <w:right w:val="single" w:color="auto" w:sz="4" w:space="0"/>
            </w:tcBorders>
            <w:vAlign w:val="center"/>
          </w:tcPr>
          <w:p w14:paraId="3E85C2BB">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51EF0F98">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457CDFA7">
            <w:pPr>
              <w:jc w:val="center"/>
              <w:rPr>
                <w:rFonts w:ascii="Calibri" w:hAnsi="Calibri"/>
                <w:highlight w:val="none"/>
              </w:rPr>
            </w:pPr>
          </w:p>
        </w:tc>
      </w:tr>
      <w:tr w14:paraId="7403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748" w:type="pct"/>
            <w:tcBorders>
              <w:top w:val="single" w:color="auto" w:sz="4" w:space="0"/>
              <w:left w:val="single" w:color="auto" w:sz="4" w:space="0"/>
              <w:bottom w:val="single" w:color="auto" w:sz="4" w:space="0"/>
              <w:right w:val="single" w:color="auto" w:sz="4" w:space="0"/>
            </w:tcBorders>
            <w:vAlign w:val="center"/>
          </w:tcPr>
          <w:p w14:paraId="53F26712">
            <w:pPr>
              <w:rPr>
                <w:rFonts w:ascii="Calibri" w:hAnsi="Calibri"/>
                <w:highlight w:val="none"/>
              </w:rPr>
            </w:pPr>
            <w:r>
              <w:rPr>
                <w:rFonts w:hint="eastAsia" w:ascii="Calibri" w:hAnsi="Calibri"/>
                <w:highlight w:val="none"/>
              </w:rPr>
              <w:t>（五）卸料平台、操作平台工程。</w:t>
            </w:r>
          </w:p>
        </w:tc>
        <w:tc>
          <w:tcPr>
            <w:tcW w:w="671" w:type="pct"/>
            <w:tcBorders>
              <w:top w:val="single" w:color="auto" w:sz="4" w:space="0"/>
              <w:left w:val="single" w:color="auto" w:sz="4" w:space="0"/>
              <w:bottom w:val="single" w:color="auto" w:sz="4" w:space="0"/>
              <w:right w:val="single" w:color="auto" w:sz="4" w:space="0"/>
            </w:tcBorders>
            <w:vAlign w:val="center"/>
          </w:tcPr>
          <w:p w14:paraId="0BF753EC">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6598A7F8">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576AA1CE">
            <w:pPr>
              <w:jc w:val="center"/>
              <w:rPr>
                <w:rFonts w:ascii="Calibri" w:hAnsi="Calibri"/>
                <w:highlight w:val="none"/>
              </w:rPr>
            </w:pPr>
          </w:p>
        </w:tc>
      </w:tr>
      <w:tr w14:paraId="210A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748" w:type="pct"/>
            <w:tcBorders>
              <w:top w:val="single" w:color="auto" w:sz="4" w:space="0"/>
              <w:left w:val="single" w:color="auto" w:sz="4" w:space="0"/>
              <w:bottom w:val="single" w:color="auto" w:sz="4" w:space="0"/>
              <w:right w:val="single" w:color="auto" w:sz="4" w:space="0"/>
            </w:tcBorders>
            <w:vAlign w:val="center"/>
          </w:tcPr>
          <w:p w14:paraId="61728F56">
            <w:pPr>
              <w:rPr>
                <w:rFonts w:ascii="Calibri" w:hAnsi="Calibri"/>
                <w:highlight w:val="none"/>
              </w:rPr>
            </w:pPr>
            <w:r>
              <w:rPr>
                <w:rFonts w:hint="eastAsia" w:ascii="Calibri" w:hAnsi="Calibri"/>
                <w:highlight w:val="none"/>
              </w:rPr>
              <w:t>（六）异型脚手架工程。</w:t>
            </w:r>
          </w:p>
        </w:tc>
        <w:tc>
          <w:tcPr>
            <w:tcW w:w="671" w:type="pct"/>
            <w:tcBorders>
              <w:top w:val="single" w:color="auto" w:sz="4" w:space="0"/>
              <w:left w:val="single" w:color="auto" w:sz="4" w:space="0"/>
              <w:bottom w:val="single" w:color="auto" w:sz="4" w:space="0"/>
              <w:right w:val="single" w:color="auto" w:sz="4" w:space="0"/>
            </w:tcBorders>
            <w:vAlign w:val="center"/>
          </w:tcPr>
          <w:p w14:paraId="1D7F165C">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7157C7C6">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4725E970">
            <w:pPr>
              <w:jc w:val="center"/>
              <w:rPr>
                <w:rFonts w:ascii="Calibri" w:hAnsi="Calibri"/>
                <w:highlight w:val="none"/>
              </w:rPr>
            </w:pPr>
          </w:p>
        </w:tc>
      </w:tr>
      <w:tr w14:paraId="5B54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748" w:type="pct"/>
            <w:tcBorders>
              <w:top w:val="single" w:color="auto" w:sz="4" w:space="0"/>
              <w:left w:val="single" w:color="auto" w:sz="4" w:space="0"/>
              <w:bottom w:val="single" w:color="auto" w:sz="4" w:space="0"/>
              <w:right w:val="single" w:color="auto" w:sz="4" w:space="0"/>
            </w:tcBorders>
            <w:vAlign w:val="center"/>
          </w:tcPr>
          <w:p w14:paraId="234C34E7">
            <w:pPr>
              <w:jc w:val="center"/>
              <w:rPr>
                <w:rFonts w:ascii="Calibri" w:hAnsi="Calibri"/>
                <w:highlight w:val="none"/>
              </w:rPr>
            </w:pPr>
            <w:r>
              <w:rPr>
                <w:rFonts w:hint="eastAsia" w:ascii="Calibri" w:hAnsi="Calibri"/>
                <w:b/>
                <w:bCs/>
                <w:highlight w:val="none"/>
              </w:rPr>
              <w:t>五、拆除工程</w:t>
            </w:r>
          </w:p>
        </w:tc>
        <w:tc>
          <w:tcPr>
            <w:tcW w:w="671" w:type="pct"/>
            <w:tcBorders>
              <w:top w:val="single" w:color="auto" w:sz="4" w:space="0"/>
              <w:left w:val="single" w:color="auto" w:sz="4" w:space="0"/>
              <w:bottom w:val="single" w:color="auto" w:sz="4" w:space="0"/>
              <w:right w:val="single" w:color="auto" w:sz="4" w:space="0"/>
            </w:tcBorders>
            <w:vAlign w:val="center"/>
          </w:tcPr>
          <w:p w14:paraId="709A70BC">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39D1FC25">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663BA94A">
            <w:pPr>
              <w:jc w:val="center"/>
              <w:rPr>
                <w:rFonts w:ascii="Calibri" w:hAnsi="Calibri"/>
                <w:highlight w:val="none"/>
              </w:rPr>
            </w:pPr>
          </w:p>
        </w:tc>
      </w:tr>
      <w:tr w14:paraId="7CC8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748" w:type="pct"/>
            <w:tcBorders>
              <w:top w:val="single" w:color="auto" w:sz="4" w:space="0"/>
              <w:left w:val="single" w:color="auto" w:sz="4" w:space="0"/>
              <w:bottom w:val="single" w:color="auto" w:sz="4" w:space="0"/>
              <w:right w:val="single" w:color="auto" w:sz="4" w:space="0"/>
            </w:tcBorders>
            <w:vAlign w:val="center"/>
          </w:tcPr>
          <w:p w14:paraId="6759AE00">
            <w:pPr>
              <w:rPr>
                <w:rFonts w:ascii="Calibri" w:hAnsi="Calibri"/>
                <w:highlight w:val="none"/>
              </w:rPr>
            </w:pPr>
            <w:r>
              <w:rPr>
                <w:rFonts w:hint="eastAsia" w:ascii="Calibri" w:hAnsi="Calibri"/>
                <w:highlight w:val="none"/>
              </w:rPr>
              <w:t>可能影响行人、交通、电力设施、通讯设施或其它建、构筑物安全的拆除工程。</w:t>
            </w:r>
          </w:p>
        </w:tc>
        <w:tc>
          <w:tcPr>
            <w:tcW w:w="671" w:type="pct"/>
            <w:tcBorders>
              <w:top w:val="single" w:color="auto" w:sz="4" w:space="0"/>
              <w:left w:val="single" w:color="auto" w:sz="4" w:space="0"/>
              <w:bottom w:val="single" w:color="auto" w:sz="4" w:space="0"/>
              <w:right w:val="single" w:color="auto" w:sz="4" w:space="0"/>
            </w:tcBorders>
            <w:vAlign w:val="center"/>
          </w:tcPr>
          <w:p w14:paraId="1D57F8B8">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6059D1D8">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15603B9A">
            <w:pPr>
              <w:jc w:val="center"/>
              <w:rPr>
                <w:rFonts w:ascii="Calibri" w:hAnsi="Calibri"/>
                <w:highlight w:val="none"/>
              </w:rPr>
            </w:pPr>
          </w:p>
        </w:tc>
      </w:tr>
      <w:tr w14:paraId="2863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748" w:type="pct"/>
            <w:tcBorders>
              <w:top w:val="single" w:color="auto" w:sz="4" w:space="0"/>
              <w:left w:val="single" w:color="auto" w:sz="4" w:space="0"/>
              <w:bottom w:val="single" w:color="auto" w:sz="4" w:space="0"/>
              <w:right w:val="single" w:color="auto" w:sz="4" w:space="0"/>
            </w:tcBorders>
            <w:vAlign w:val="center"/>
          </w:tcPr>
          <w:p w14:paraId="2822E88E">
            <w:pPr>
              <w:jc w:val="center"/>
              <w:rPr>
                <w:rFonts w:ascii="Calibri" w:hAnsi="Calibri"/>
                <w:highlight w:val="none"/>
              </w:rPr>
            </w:pPr>
            <w:r>
              <w:rPr>
                <w:rFonts w:hint="eastAsia" w:ascii="Calibri" w:hAnsi="Calibri"/>
                <w:b/>
                <w:bCs/>
                <w:highlight w:val="none"/>
              </w:rPr>
              <w:t>六、暗挖工程</w:t>
            </w:r>
          </w:p>
        </w:tc>
        <w:tc>
          <w:tcPr>
            <w:tcW w:w="671" w:type="pct"/>
            <w:tcBorders>
              <w:top w:val="single" w:color="auto" w:sz="4" w:space="0"/>
              <w:left w:val="single" w:color="auto" w:sz="4" w:space="0"/>
              <w:bottom w:val="single" w:color="auto" w:sz="4" w:space="0"/>
              <w:right w:val="single" w:color="auto" w:sz="4" w:space="0"/>
            </w:tcBorders>
            <w:vAlign w:val="center"/>
          </w:tcPr>
          <w:p w14:paraId="1629B4BD">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73BE4419">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6F5A5B45">
            <w:pPr>
              <w:jc w:val="center"/>
              <w:rPr>
                <w:rFonts w:ascii="Calibri" w:hAnsi="Calibri"/>
                <w:highlight w:val="none"/>
              </w:rPr>
            </w:pPr>
          </w:p>
        </w:tc>
      </w:tr>
      <w:tr w14:paraId="6039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748" w:type="pct"/>
            <w:tcBorders>
              <w:top w:val="single" w:color="auto" w:sz="4" w:space="0"/>
              <w:left w:val="single" w:color="auto" w:sz="4" w:space="0"/>
              <w:bottom w:val="single" w:color="auto" w:sz="4" w:space="0"/>
              <w:right w:val="single" w:color="auto" w:sz="4" w:space="0"/>
            </w:tcBorders>
            <w:vAlign w:val="center"/>
          </w:tcPr>
          <w:p w14:paraId="6E95D04F">
            <w:pPr>
              <w:rPr>
                <w:rFonts w:ascii="Calibri" w:hAnsi="Calibri"/>
                <w:highlight w:val="none"/>
              </w:rPr>
            </w:pPr>
            <w:r>
              <w:rPr>
                <w:rFonts w:hint="eastAsia" w:ascii="Calibri" w:hAnsi="Calibri"/>
                <w:highlight w:val="none"/>
              </w:rPr>
              <w:t>采用矿山法、盾构法、顶管法施工的隧道、洞室工程。</w:t>
            </w:r>
          </w:p>
        </w:tc>
        <w:tc>
          <w:tcPr>
            <w:tcW w:w="671" w:type="pct"/>
            <w:tcBorders>
              <w:top w:val="single" w:color="auto" w:sz="4" w:space="0"/>
              <w:left w:val="single" w:color="auto" w:sz="4" w:space="0"/>
              <w:bottom w:val="single" w:color="auto" w:sz="4" w:space="0"/>
              <w:right w:val="single" w:color="auto" w:sz="4" w:space="0"/>
            </w:tcBorders>
            <w:vAlign w:val="center"/>
          </w:tcPr>
          <w:p w14:paraId="4778E636">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557B0AE2">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3D4952D2">
            <w:pPr>
              <w:jc w:val="center"/>
              <w:rPr>
                <w:rFonts w:ascii="Calibri" w:hAnsi="Calibri"/>
                <w:highlight w:val="none"/>
              </w:rPr>
            </w:pPr>
          </w:p>
        </w:tc>
      </w:tr>
      <w:tr w14:paraId="3E68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748" w:type="pct"/>
            <w:tcBorders>
              <w:top w:val="single" w:color="auto" w:sz="4" w:space="0"/>
              <w:left w:val="single" w:color="auto" w:sz="4" w:space="0"/>
              <w:bottom w:val="single" w:color="auto" w:sz="4" w:space="0"/>
              <w:right w:val="single" w:color="auto" w:sz="4" w:space="0"/>
            </w:tcBorders>
            <w:vAlign w:val="center"/>
          </w:tcPr>
          <w:p w14:paraId="1297429E">
            <w:pPr>
              <w:jc w:val="center"/>
              <w:rPr>
                <w:rFonts w:ascii="Calibri" w:hAnsi="Calibri"/>
                <w:highlight w:val="none"/>
              </w:rPr>
            </w:pPr>
            <w:r>
              <w:rPr>
                <w:rFonts w:hint="eastAsia" w:ascii="Calibri" w:hAnsi="Calibri"/>
                <w:b/>
                <w:bCs/>
                <w:highlight w:val="none"/>
              </w:rPr>
              <w:t>七、其它</w:t>
            </w:r>
          </w:p>
        </w:tc>
        <w:tc>
          <w:tcPr>
            <w:tcW w:w="671" w:type="pct"/>
            <w:tcBorders>
              <w:top w:val="single" w:color="auto" w:sz="4" w:space="0"/>
              <w:left w:val="single" w:color="auto" w:sz="4" w:space="0"/>
              <w:bottom w:val="single" w:color="auto" w:sz="4" w:space="0"/>
              <w:right w:val="single" w:color="auto" w:sz="4" w:space="0"/>
            </w:tcBorders>
            <w:vAlign w:val="center"/>
          </w:tcPr>
          <w:p w14:paraId="6C3C924E">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33414360">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46E256D5">
            <w:pPr>
              <w:jc w:val="center"/>
              <w:rPr>
                <w:rFonts w:ascii="Calibri" w:hAnsi="Calibri"/>
                <w:highlight w:val="none"/>
              </w:rPr>
            </w:pPr>
          </w:p>
        </w:tc>
      </w:tr>
      <w:tr w14:paraId="6427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8" w:type="pct"/>
            <w:tcBorders>
              <w:top w:val="single" w:color="auto" w:sz="4" w:space="0"/>
              <w:left w:val="single" w:color="auto" w:sz="4" w:space="0"/>
              <w:bottom w:val="single" w:color="auto" w:sz="4" w:space="0"/>
              <w:right w:val="single" w:color="auto" w:sz="4" w:space="0"/>
            </w:tcBorders>
            <w:vAlign w:val="center"/>
          </w:tcPr>
          <w:p w14:paraId="039415AD">
            <w:pPr>
              <w:rPr>
                <w:rFonts w:ascii="Calibri" w:hAnsi="Calibri"/>
                <w:highlight w:val="none"/>
              </w:rPr>
            </w:pPr>
            <w:r>
              <w:rPr>
                <w:rFonts w:hint="eastAsia" w:ascii="Calibri" w:hAnsi="Calibri"/>
                <w:highlight w:val="none"/>
              </w:rPr>
              <w:t>（一）建筑幕墙安装工程。</w:t>
            </w:r>
          </w:p>
        </w:tc>
        <w:tc>
          <w:tcPr>
            <w:tcW w:w="671" w:type="pct"/>
            <w:tcBorders>
              <w:top w:val="single" w:color="auto" w:sz="4" w:space="0"/>
              <w:left w:val="single" w:color="auto" w:sz="4" w:space="0"/>
              <w:bottom w:val="single" w:color="auto" w:sz="4" w:space="0"/>
              <w:right w:val="single" w:color="auto" w:sz="4" w:space="0"/>
            </w:tcBorders>
            <w:vAlign w:val="center"/>
          </w:tcPr>
          <w:p w14:paraId="6B28A6B4">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0F1ADD4A">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0ADA348E">
            <w:pPr>
              <w:jc w:val="center"/>
              <w:rPr>
                <w:rFonts w:ascii="Calibri" w:hAnsi="Calibri"/>
                <w:highlight w:val="none"/>
              </w:rPr>
            </w:pPr>
          </w:p>
        </w:tc>
      </w:tr>
      <w:tr w14:paraId="053C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748" w:type="pct"/>
            <w:tcBorders>
              <w:top w:val="single" w:color="auto" w:sz="4" w:space="0"/>
              <w:left w:val="single" w:color="auto" w:sz="4" w:space="0"/>
              <w:bottom w:val="single" w:color="auto" w:sz="4" w:space="0"/>
              <w:right w:val="single" w:color="auto" w:sz="4" w:space="0"/>
            </w:tcBorders>
            <w:vAlign w:val="center"/>
          </w:tcPr>
          <w:p w14:paraId="58880408">
            <w:pPr>
              <w:rPr>
                <w:rFonts w:ascii="Calibri" w:hAnsi="Calibri"/>
                <w:highlight w:val="none"/>
              </w:rPr>
            </w:pPr>
            <w:r>
              <w:rPr>
                <w:rFonts w:hint="eastAsia" w:ascii="Calibri" w:hAnsi="Calibri"/>
                <w:highlight w:val="none"/>
              </w:rPr>
              <w:t>（二）钢结构、网架和索膜结构安装工程。</w:t>
            </w:r>
          </w:p>
        </w:tc>
        <w:tc>
          <w:tcPr>
            <w:tcW w:w="671" w:type="pct"/>
            <w:tcBorders>
              <w:top w:val="single" w:color="auto" w:sz="4" w:space="0"/>
              <w:left w:val="single" w:color="auto" w:sz="4" w:space="0"/>
              <w:bottom w:val="single" w:color="auto" w:sz="4" w:space="0"/>
              <w:right w:val="single" w:color="auto" w:sz="4" w:space="0"/>
            </w:tcBorders>
            <w:vAlign w:val="center"/>
          </w:tcPr>
          <w:p w14:paraId="5EE56023">
            <w:pPr>
              <w:jc w:val="center"/>
              <w:rPr>
                <w:rFonts w:ascii="Calibri" w:hAnsi="Calibri"/>
                <w:highlight w:val="none"/>
              </w:rPr>
            </w:pPr>
            <w:r>
              <w:rPr>
                <w:rFonts w:hint="eastAsia" w:ascii="Calibri" w:hAnsi="Calibri"/>
                <w:highlight w:val="none"/>
              </w:rPr>
              <w:t xml:space="preserve">( </w:t>
            </w:r>
            <w:r>
              <w:rPr>
                <w:rFonts w:hint="eastAsia" w:ascii="Calibri" w:hAnsi="Calibri"/>
                <w:highlight w:val="none"/>
                <w:lang w:val="en-US" w:eastAsia="zh-CN"/>
              </w:rPr>
              <w:t xml:space="preserve">  </w:t>
            </w:r>
            <w:r>
              <w:rPr>
                <w:rFonts w:hint="eastAsia" w:ascii="Calibri" w:hAnsi="Calibri"/>
                <w:highlight w:val="none"/>
              </w:rPr>
              <w:t xml:space="preserve"> )</w:t>
            </w:r>
          </w:p>
        </w:tc>
        <w:tc>
          <w:tcPr>
            <w:tcW w:w="801" w:type="pct"/>
            <w:tcBorders>
              <w:top w:val="single" w:color="auto" w:sz="4" w:space="0"/>
              <w:left w:val="single" w:color="auto" w:sz="4" w:space="0"/>
              <w:bottom w:val="single" w:color="auto" w:sz="4" w:space="0"/>
              <w:right w:val="single" w:color="auto" w:sz="4" w:space="0"/>
            </w:tcBorders>
            <w:vAlign w:val="center"/>
          </w:tcPr>
          <w:p w14:paraId="1E67DBA9">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3E70F5C8">
            <w:pPr>
              <w:jc w:val="center"/>
              <w:rPr>
                <w:rFonts w:ascii="Calibri" w:hAnsi="Calibri"/>
                <w:highlight w:val="none"/>
              </w:rPr>
            </w:pPr>
          </w:p>
        </w:tc>
      </w:tr>
      <w:tr w14:paraId="48D9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8" w:type="pct"/>
            <w:tcBorders>
              <w:top w:val="single" w:color="auto" w:sz="4" w:space="0"/>
              <w:left w:val="single" w:color="auto" w:sz="4" w:space="0"/>
              <w:bottom w:val="single" w:color="auto" w:sz="4" w:space="0"/>
              <w:right w:val="single" w:color="auto" w:sz="4" w:space="0"/>
            </w:tcBorders>
            <w:vAlign w:val="center"/>
          </w:tcPr>
          <w:p w14:paraId="4D849819">
            <w:pPr>
              <w:rPr>
                <w:rFonts w:ascii="Calibri" w:hAnsi="Calibri"/>
                <w:highlight w:val="none"/>
              </w:rPr>
            </w:pPr>
            <w:r>
              <w:rPr>
                <w:rFonts w:hint="eastAsia" w:ascii="Calibri" w:hAnsi="Calibri"/>
                <w:highlight w:val="none"/>
              </w:rPr>
              <w:t>（三）人工挖孔桩工程。</w:t>
            </w:r>
          </w:p>
        </w:tc>
        <w:tc>
          <w:tcPr>
            <w:tcW w:w="671" w:type="pct"/>
            <w:tcBorders>
              <w:top w:val="single" w:color="auto" w:sz="4" w:space="0"/>
              <w:left w:val="single" w:color="auto" w:sz="4" w:space="0"/>
              <w:bottom w:val="single" w:color="auto" w:sz="4" w:space="0"/>
              <w:right w:val="single" w:color="auto" w:sz="4" w:space="0"/>
            </w:tcBorders>
            <w:vAlign w:val="center"/>
          </w:tcPr>
          <w:p w14:paraId="4446693A">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317C9A84">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5FF7FBEA">
            <w:pPr>
              <w:jc w:val="center"/>
              <w:rPr>
                <w:rFonts w:ascii="Calibri" w:hAnsi="Calibri"/>
                <w:highlight w:val="none"/>
              </w:rPr>
            </w:pPr>
          </w:p>
        </w:tc>
      </w:tr>
      <w:tr w14:paraId="589D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8" w:type="pct"/>
            <w:tcBorders>
              <w:top w:val="single" w:color="auto" w:sz="4" w:space="0"/>
              <w:left w:val="single" w:color="auto" w:sz="4" w:space="0"/>
              <w:bottom w:val="single" w:color="auto" w:sz="4" w:space="0"/>
              <w:right w:val="single" w:color="auto" w:sz="4" w:space="0"/>
            </w:tcBorders>
            <w:vAlign w:val="center"/>
          </w:tcPr>
          <w:p w14:paraId="40F5A15B">
            <w:pPr>
              <w:rPr>
                <w:rFonts w:ascii="Calibri" w:hAnsi="Calibri"/>
                <w:highlight w:val="none"/>
              </w:rPr>
            </w:pPr>
            <w:r>
              <w:rPr>
                <w:rFonts w:hint="eastAsia" w:ascii="Calibri" w:hAnsi="Calibri"/>
                <w:highlight w:val="none"/>
              </w:rPr>
              <w:t>（四）水下作业工程。</w:t>
            </w:r>
          </w:p>
        </w:tc>
        <w:tc>
          <w:tcPr>
            <w:tcW w:w="671" w:type="pct"/>
            <w:tcBorders>
              <w:top w:val="single" w:color="auto" w:sz="4" w:space="0"/>
              <w:left w:val="single" w:color="auto" w:sz="4" w:space="0"/>
              <w:bottom w:val="single" w:color="auto" w:sz="4" w:space="0"/>
              <w:right w:val="single" w:color="auto" w:sz="4" w:space="0"/>
            </w:tcBorders>
            <w:vAlign w:val="center"/>
          </w:tcPr>
          <w:p w14:paraId="56C53B98">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1A5E7CB7">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425CC25A">
            <w:pPr>
              <w:jc w:val="center"/>
              <w:rPr>
                <w:rFonts w:ascii="Calibri" w:hAnsi="Calibri"/>
                <w:highlight w:val="none"/>
              </w:rPr>
            </w:pPr>
          </w:p>
        </w:tc>
      </w:tr>
      <w:tr w14:paraId="5E96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748" w:type="pct"/>
            <w:tcBorders>
              <w:top w:val="single" w:color="auto" w:sz="4" w:space="0"/>
              <w:left w:val="single" w:color="auto" w:sz="4" w:space="0"/>
              <w:bottom w:val="single" w:color="auto" w:sz="4" w:space="0"/>
              <w:right w:val="single" w:color="auto" w:sz="4" w:space="0"/>
            </w:tcBorders>
            <w:vAlign w:val="center"/>
          </w:tcPr>
          <w:p w14:paraId="0D3229AB">
            <w:pPr>
              <w:rPr>
                <w:rFonts w:ascii="Calibri" w:hAnsi="Calibri"/>
                <w:highlight w:val="none"/>
              </w:rPr>
            </w:pPr>
            <w:r>
              <w:rPr>
                <w:rFonts w:hint="eastAsia" w:ascii="Calibri" w:hAnsi="Calibri"/>
                <w:highlight w:val="none"/>
              </w:rPr>
              <w:t>（五）装配式建筑混凝土预制构件安装工程。</w:t>
            </w:r>
          </w:p>
        </w:tc>
        <w:tc>
          <w:tcPr>
            <w:tcW w:w="671" w:type="pct"/>
            <w:tcBorders>
              <w:top w:val="single" w:color="auto" w:sz="4" w:space="0"/>
              <w:left w:val="single" w:color="auto" w:sz="4" w:space="0"/>
              <w:bottom w:val="single" w:color="auto" w:sz="4" w:space="0"/>
              <w:right w:val="single" w:color="auto" w:sz="4" w:space="0"/>
            </w:tcBorders>
            <w:vAlign w:val="center"/>
          </w:tcPr>
          <w:p w14:paraId="77D1758C">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1652D90C">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4A240920">
            <w:pPr>
              <w:jc w:val="center"/>
              <w:rPr>
                <w:rFonts w:ascii="Calibri" w:hAnsi="Calibri"/>
                <w:highlight w:val="none"/>
              </w:rPr>
            </w:pPr>
          </w:p>
        </w:tc>
      </w:tr>
      <w:tr w14:paraId="2D98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748" w:type="pct"/>
            <w:tcBorders>
              <w:top w:val="single" w:color="auto" w:sz="4" w:space="0"/>
              <w:left w:val="single" w:color="auto" w:sz="4" w:space="0"/>
              <w:bottom w:val="single" w:color="auto" w:sz="4" w:space="0"/>
              <w:right w:val="single" w:color="auto" w:sz="4" w:space="0"/>
            </w:tcBorders>
            <w:vAlign w:val="center"/>
          </w:tcPr>
          <w:p w14:paraId="48FEF1D0">
            <w:pPr>
              <w:rPr>
                <w:rFonts w:ascii="Calibri" w:hAnsi="Calibri"/>
                <w:highlight w:val="none"/>
              </w:rPr>
            </w:pPr>
            <w:r>
              <w:rPr>
                <w:rFonts w:hint="eastAsia" w:ascii="Calibri" w:hAnsi="Calibri"/>
                <w:highlight w:val="none"/>
              </w:rPr>
              <w:t>（六）采用新技术、新工艺、新材料、新设备可能影响工程施工安全，尚无国家、行业及地方技术标准的分部分项工程。</w:t>
            </w:r>
          </w:p>
        </w:tc>
        <w:tc>
          <w:tcPr>
            <w:tcW w:w="671" w:type="pct"/>
            <w:tcBorders>
              <w:top w:val="single" w:color="auto" w:sz="4" w:space="0"/>
              <w:left w:val="single" w:color="auto" w:sz="4" w:space="0"/>
              <w:bottom w:val="single" w:color="auto" w:sz="4" w:space="0"/>
              <w:right w:val="single" w:color="auto" w:sz="4" w:space="0"/>
            </w:tcBorders>
            <w:vAlign w:val="center"/>
          </w:tcPr>
          <w:p w14:paraId="018DB7C4">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0AFD2A4B">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4A1A330E">
            <w:pPr>
              <w:jc w:val="center"/>
              <w:rPr>
                <w:rFonts w:ascii="Calibri" w:hAnsi="Calibri"/>
                <w:highlight w:val="none"/>
              </w:rPr>
            </w:pPr>
          </w:p>
        </w:tc>
      </w:tr>
      <w:tr w14:paraId="5238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748" w:type="pct"/>
            <w:tcBorders>
              <w:top w:val="single" w:color="auto" w:sz="4" w:space="0"/>
              <w:left w:val="single" w:color="auto" w:sz="4" w:space="0"/>
              <w:bottom w:val="single" w:color="auto" w:sz="4" w:space="0"/>
              <w:right w:val="single" w:color="auto" w:sz="4" w:space="0"/>
            </w:tcBorders>
            <w:vAlign w:val="center"/>
          </w:tcPr>
          <w:p w14:paraId="7825D886">
            <w:pPr>
              <w:rPr>
                <w:rFonts w:ascii="Calibri" w:hAnsi="Calibri"/>
                <w:b/>
                <w:bCs/>
                <w:highlight w:val="none"/>
              </w:rPr>
            </w:pPr>
            <w:r>
              <w:rPr>
                <w:rFonts w:hint="eastAsia" w:ascii="Calibri" w:hAnsi="Calibri"/>
                <w:b/>
                <w:bCs/>
                <w:highlight w:val="none"/>
              </w:rPr>
              <w:t>二、超过一定规模的危险性较大的分部分项工程清单</w:t>
            </w:r>
          </w:p>
        </w:tc>
        <w:tc>
          <w:tcPr>
            <w:tcW w:w="671" w:type="pct"/>
            <w:tcBorders>
              <w:top w:val="single" w:color="auto" w:sz="4" w:space="0"/>
              <w:left w:val="single" w:color="auto" w:sz="4" w:space="0"/>
              <w:bottom w:val="single" w:color="auto" w:sz="4" w:space="0"/>
              <w:right w:val="single" w:color="auto" w:sz="4" w:space="0"/>
            </w:tcBorders>
            <w:vAlign w:val="center"/>
          </w:tcPr>
          <w:p w14:paraId="2B0D6E51">
            <w:pPr>
              <w:jc w:val="center"/>
              <w:rPr>
                <w:rFonts w:ascii="Calibri" w:hAnsi="Calibri"/>
                <w:b/>
                <w:bCs/>
                <w:highlight w:val="none"/>
              </w:rPr>
            </w:pPr>
            <w:r>
              <w:rPr>
                <w:rFonts w:hint="eastAsia" w:ascii="Calibri" w:hAnsi="Calibri"/>
                <w:b/>
                <w:bCs/>
                <w:highlight w:val="none"/>
              </w:rPr>
              <w:t>建设单位</w:t>
            </w:r>
          </w:p>
        </w:tc>
        <w:tc>
          <w:tcPr>
            <w:tcW w:w="801" w:type="pct"/>
            <w:tcBorders>
              <w:top w:val="single" w:color="auto" w:sz="4" w:space="0"/>
              <w:left w:val="single" w:color="auto" w:sz="4" w:space="0"/>
              <w:bottom w:val="single" w:color="auto" w:sz="4" w:space="0"/>
              <w:right w:val="single" w:color="auto" w:sz="4" w:space="0"/>
            </w:tcBorders>
            <w:vAlign w:val="center"/>
          </w:tcPr>
          <w:p w14:paraId="5CB1CC8E">
            <w:pPr>
              <w:jc w:val="center"/>
              <w:rPr>
                <w:rFonts w:ascii="Calibri" w:hAnsi="Calibri"/>
                <w:b/>
                <w:bCs/>
                <w:highlight w:val="none"/>
              </w:rPr>
            </w:pPr>
            <w:r>
              <w:rPr>
                <w:rFonts w:hint="eastAsia" w:ascii="Calibri" w:hAnsi="Calibri"/>
                <w:b/>
                <w:bCs/>
                <w:highlight w:val="none"/>
              </w:rPr>
              <w:t>投标单位</w:t>
            </w:r>
          </w:p>
        </w:tc>
        <w:tc>
          <w:tcPr>
            <w:tcW w:w="779" w:type="pct"/>
            <w:tcBorders>
              <w:top w:val="single" w:color="auto" w:sz="4" w:space="0"/>
              <w:left w:val="single" w:color="auto" w:sz="4" w:space="0"/>
              <w:bottom w:val="single" w:color="auto" w:sz="4" w:space="0"/>
              <w:right w:val="single" w:color="auto" w:sz="4" w:space="0"/>
            </w:tcBorders>
            <w:vAlign w:val="center"/>
          </w:tcPr>
          <w:p w14:paraId="1789134C">
            <w:pPr>
              <w:jc w:val="center"/>
              <w:rPr>
                <w:rFonts w:ascii="Calibri" w:hAnsi="Calibri"/>
                <w:b/>
                <w:bCs/>
                <w:highlight w:val="none"/>
              </w:rPr>
            </w:pPr>
            <w:r>
              <w:rPr>
                <w:rFonts w:hint="eastAsia" w:ascii="Calibri" w:hAnsi="Calibri"/>
                <w:b/>
                <w:bCs/>
                <w:highlight w:val="none"/>
              </w:rPr>
              <w:t>备注</w:t>
            </w:r>
          </w:p>
        </w:tc>
      </w:tr>
      <w:tr w14:paraId="3123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748" w:type="pct"/>
            <w:tcBorders>
              <w:top w:val="single" w:color="auto" w:sz="4" w:space="0"/>
              <w:left w:val="single" w:color="auto" w:sz="4" w:space="0"/>
              <w:bottom w:val="single" w:color="auto" w:sz="4" w:space="0"/>
              <w:right w:val="single" w:color="auto" w:sz="4" w:space="0"/>
            </w:tcBorders>
            <w:vAlign w:val="center"/>
          </w:tcPr>
          <w:p w14:paraId="60DE0CE2">
            <w:pPr>
              <w:jc w:val="center"/>
              <w:rPr>
                <w:rFonts w:ascii="Calibri" w:hAnsi="Calibri"/>
                <w:highlight w:val="none"/>
              </w:rPr>
            </w:pPr>
            <w:r>
              <w:rPr>
                <w:rFonts w:hint="eastAsia" w:ascii="Calibri" w:hAnsi="Calibri"/>
                <w:b/>
                <w:bCs/>
                <w:highlight w:val="none"/>
              </w:rPr>
              <w:t>一、深基坑工程</w:t>
            </w:r>
          </w:p>
        </w:tc>
        <w:tc>
          <w:tcPr>
            <w:tcW w:w="671" w:type="pct"/>
            <w:tcBorders>
              <w:top w:val="single" w:color="auto" w:sz="4" w:space="0"/>
              <w:left w:val="single" w:color="auto" w:sz="4" w:space="0"/>
              <w:bottom w:val="single" w:color="auto" w:sz="4" w:space="0"/>
              <w:right w:val="single" w:color="auto" w:sz="4" w:space="0"/>
            </w:tcBorders>
            <w:vAlign w:val="center"/>
          </w:tcPr>
          <w:p w14:paraId="2EFC3414">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6BCDD1E4">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4A463825">
            <w:pPr>
              <w:jc w:val="center"/>
              <w:rPr>
                <w:rFonts w:ascii="Calibri" w:hAnsi="Calibri"/>
                <w:highlight w:val="none"/>
              </w:rPr>
            </w:pPr>
          </w:p>
        </w:tc>
      </w:tr>
      <w:tr w14:paraId="4871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748" w:type="pct"/>
            <w:tcBorders>
              <w:top w:val="single" w:color="auto" w:sz="4" w:space="0"/>
              <w:left w:val="single" w:color="auto" w:sz="4" w:space="0"/>
              <w:bottom w:val="single" w:color="auto" w:sz="4" w:space="0"/>
              <w:right w:val="single" w:color="auto" w:sz="4" w:space="0"/>
            </w:tcBorders>
            <w:vAlign w:val="center"/>
          </w:tcPr>
          <w:p w14:paraId="3B6733E0">
            <w:pPr>
              <w:rPr>
                <w:rFonts w:ascii="Calibri" w:hAnsi="Calibri"/>
                <w:highlight w:val="none"/>
              </w:rPr>
            </w:pPr>
            <w:r>
              <w:rPr>
                <w:rFonts w:hint="eastAsia" w:ascii="Calibri" w:hAnsi="Calibri"/>
                <w:highlight w:val="none"/>
              </w:rPr>
              <w:t>开挖深度超过5m（含5m）的基坑（槽）的土方开挖、支护、降水工程。</w:t>
            </w:r>
          </w:p>
        </w:tc>
        <w:tc>
          <w:tcPr>
            <w:tcW w:w="671" w:type="pct"/>
            <w:tcBorders>
              <w:top w:val="single" w:color="auto" w:sz="4" w:space="0"/>
              <w:left w:val="single" w:color="auto" w:sz="4" w:space="0"/>
              <w:bottom w:val="single" w:color="auto" w:sz="4" w:space="0"/>
              <w:right w:val="single" w:color="auto" w:sz="4" w:space="0"/>
            </w:tcBorders>
            <w:vAlign w:val="center"/>
          </w:tcPr>
          <w:p w14:paraId="70AF815B">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1AD9B8E0">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59CA0BDD">
            <w:pPr>
              <w:jc w:val="center"/>
              <w:rPr>
                <w:rFonts w:ascii="Calibri" w:hAnsi="Calibri"/>
                <w:highlight w:val="none"/>
              </w:rPr>
            </w:pPr>
          </w:p>
        </w:tc>
      </w:tr>
      <w:tr w14:paraId="2507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748" w:type="pct"/>
            <w:tcBorders>
              <w:top w:val="single" w:color="auto" w:sz="4" w:space="0"/>
              <w:left w:val="single" w:color="auto" w:sz="4" w:space="0"/>
              <w:bottom w:val="single" w:color="auto" w:sz="4" w:space="0"/>
              <w:right w:val="single" w:color="auto" w:sz="4" w:space="0"/>
            </w:tcBorders>
            <w:vAlign w:val="center"/>
          </w:tcPr>
          <w:p w14:paraId="19EF768C">
            <w:pPr>
              <w:jc w:val="center"/>
              <w:rPr>
                <w:rFonts w:ascii="Calibri" w:hAnsi="Calibri"/>
                <w:highlight w:val="none"/>
              </w:rPr>
            </w:pPr>
            <w:r>
              <w:rPr>
                <w:rFonts w:hint="eastAsia" w:ascii="Calibri" w:hAnsi="Calibri"/>
                <w:b/>
                <w:bCs/>
                <w:highlight w:val="none"/>
              </w:rPr>
              <w:t>二、模板工程及支撑体系</w:t>
            </w:r>
          </w:p>
        </w:tc>
        <w:tc>
          <w:tcPr>
            <w:tcW w:w="671" w:type="pct"/>
            <w:tcBorders>
              <w:top w:val="single" w:color="auto" w:sz="4" w:space="0"/>
              <w:left w:val="single" w:color="auto" w:sz="4" w:space="0"/>
              <w:bottom w:val="single" w:color="auto" w:sz="4" w:space="0"/>
              <w:right w:val="single" w:color="auto" w:sz="4" w:space="0"/>
            </w:tcBorders>
            <w:vAlign w:val="center"/>
          </w:tcPr>
          <w:p w14:paraId="66396405">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629BE0D0">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47C56C24">
            <w:pPr>
              <w:jc w:val="center"/>
              <w:rPr>
                <w:rFonts w:ascii="Calibri" w:hAnsi="Calibri"/>
                <w:highlight w:val="none"/>
              </w:rPr>
            </w:pPr>
          </w:p>
        </w:tc>
      </w:tr>
      <w:tr w14:paraId="3D2E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748" w:type="pct"/>
            <w:tcBorders>
              <w:top w:val="single" w:color="auto" w:sz="4" w:space="0"/>
              <w:left w:val="single" w:color="auto" w:sz="4" w:space="0"/>
              <w:bottom w:val="single" w:color="auto" w:sz="4" w:space="0"/>
              <w:right w:val="single" w:color="auto" w:sz="4" w:space="0"/>
            </w:tcBorders>
            <w:vAlign w:val="center"/>
          </w:tcPr>
          <w:p w14:paraId="26E1B0B0">
            <w:pPr>
              <w:rPr>
                <w:rFonts w:ascii="Calibri" w:hAnsi="Calibri"/>
                <w:highlight w:val="none"/>
              </w:rPr>
            </w:pPr>
            <w:r>
              <w:rPr>
                <w:rFonts w:hint="eastAsia" w:ascii="Calibri" w:hAnsi="Calibri"/>
                <w:highlight w:val="none"/>
              </w:rPr>
              <w:t>（一）各类工具式模板工程：包括滑模、爬模、飞模、隧道模等工程。</w:t>
            </w:r>
          </w:p>
        </w:tc>
        <w:tc>
          <w:tcPr>
            <w:tcW w:w="671" w:type="pct"/>
            <w:tcBorders>
              <w:top w:val="single" w:color="auto" w:sz="4" w:space="0"/>
              <w:left w:val="single" w:color="auto" w:sz="4" w:space="0"/>
              <w:bottom w:val="single" w:color="auto" w:sz="4" w:space="0"/>
              <w:right w:val="single" w:color="auto" w:sz="4" w:space="0"/>
            </w:tcBorders>
            <w:vAlign w:val="center"/>
          </w:tcPr>
          <w:p w14:paraId="379B6CBC">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19E9EA36">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519729D7">
            <w:pPr>
              <w:jc w:val="center"/>
              <w:rPr>
                <w:rFonts w:ascii="Calibri" w:hAnsi="Calibri"/>
                <w:highlight w:val="none"/>
              </w:rPr>
            </w:pPr>
          </w:p>
        </w:tc>
      </w:tr>
      <w:tr w14:paraId="0B79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2748" w:type="pct"/>
            <w:tcBorders>
              <w:top w:val="single" w:color="auto" w:sz="4" w:space="0"/>
              <w:left w:val="single" w:color="auto" w:sz="4" w:space="0"/>
              <w:bottom w:val="single" w:color="auto" w:sz="4" w:space="0"/>
              <w:right w:val="single" w:color="auto" w:sz="4" w:space="0"/>
            </w:tcBorders>
            <w:vAlign w:val="center"/>
          </w:tcPr>
          <w:p w14:paraId="4BC624C9">
            <w:pPr>
              <w:rPr>
                <w:rFonts w:ascii="Calibri" w:hAnsi="Calibri"/>
                <w:highlight w:val="none"/>
              </w:rPr>
            </w:pPr>
            <w:r>
              <w:rPr>
                <w:rFonts w:hint="eastAsia" w:ascii="Calibri" w:hAnsi="Calibri"/>
                <w:highlight w:val="none"/>
              </w:rPr>
              <w:t>（二）混凝土模板支撑工程：搭设高度8m及以上，或搭设跨度18m及以上，或施工总荷载（设计值）15kN/m2及以上，或集中线荷载（设计值）20kN/m及以上。</w:t>
            </w:r>
          </w:p>
        </w:tc>
        <w:tc>
          <w:tcPr>
            <w:tcW w:w="671" w:type="pct"/>
            <w:tcBorders>
              <w:top w:val="single" w:color="auto" w:sz="4" w:space="0"/>
              <w:left w:val="single" w:color="auto" w:sz="4" w:space="0"/>
              <w:bottom w:val="single" w:color="auto" w:sz="4" w:space="0"/>
              <w:right w:val="single" w:color="auto" w:sz="4" w:space="0"/>
            </w:tcBorders>
            <w:vAlign w:val="center"/>
          </w:tcPr>
          <w:p w14:paraId="170300F0">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5C04FEAC">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027DF0D9">
            <w:pPr>
              <w:jc w:val="center"/>
              <w:rPr>
                <w:rFonts w:ascii="Calibri" w:hAnsi="Calibri"/>
                <w:highlight w:val="none"/>
              </w:rPr>
            </w:pPr>
          </w:p>
        </w:tc>
      </w:tr>
      <w:tr w14:paraId="6114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748" w:type="pct"/>
            <w:tcBorders>
              <w:top w:val="single" w:color="auto" w:sz="4" w:space="0"/>
              <w:left w:val="single" w:color="auto" w:sz="4" w:space="0"/>
              <w:bottom w:val="single" w:color="auto" w:sz="4" w:space="0"/>
              <w:right w:val="single" w:color="auto" w:sz="4" w:space="0"/>
            </w:tcBorders>
            <w:vAlign w:val="center"/>
          </w:tcPr>
          <w:p w14:paraId="63DFE933">
            <w:pPr>
              <w:rPr>
                <w:rFonts w:ascii="Calibri" w:hAnsi="Calibri"/>
                <w:highlight w:val="none"/>
              </w:rPr>
            </w:pPr>
            <w:r>
              <w:rPr>
                <w:rFonts w:hint="eastAsia" w:ascii="Calibri" w:hAnsi="Calibri"/>
                <w:highlight w:val="none"/>
              </w:rPr>
              <w:t>（三）承重支撑体系：用于钢结构安装等满堂支撑体系，承受单点集中荷载7kN及以上。</w:t>
            </w:r>
          </w:p>
        </w:tc>
        <w:tc>
          <w:tcPr>
            <w:tcW w:w="671" w:type="pct"/>
            <w:tcBorders>
              <w:top w:val="single" w:color="auto" w:sz="4" w:space="0"/>
              <w:left w:val="single" w:color="auto" w:sz="4" w:space="0"/>
              <w:bottom w:val="single" w:color="auto" w:sz="4" w:space="0"/>
              <w:right w:val="single" w:color="auto" w:sz="4" w:space="0"/>
            </w:tcBorders>
            <w:vAlign w:val="center"/>
          </w:tcPr>
          <w:p w14:paraId="7DD0386C">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795E3A7D">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404A8435">
            <w:pPr>
              <w:jc w:val="center"/>
              <w:rPr>
                <w:rFonts w:ascii="Calibri" w:hAnsi="Calibri"/>
                <w:highlight w:val="none"/>
              </w:rPr>
            </w:pPr>
          </w:p>
        </w:tc>
      </w:tr>
      <w:tr w14:paraId="162A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748" w:type="pct"/>
            <w:tcBorders>
              <w:top w:val="single" w:color="auto" w:sz="4" w:space="0"/>
              <w:left w:val="single" w:color="auto" w:sz="4" w:space="0"/>
              <w:bottom w:val="single" w:color="auto" w:sz="4" w:space="0"/>
              <w:right w:val="single" w:color="auto" w:sz="4" w:space="0"/>
            </w:tcBorders>
            <w:vAlign w:val="center"/>
          </w:tcPr>
          <w:p w14:paraId="4683F084">
            <w:pPr>
              <w:jc w:val="center"/>
              <w:rPr>
                <w:rFonts w:ascii="Calibri" w:hAnsi="Calibri"/>
                <w:highlight w:val="none"/>
              </w:rPr>
            </w:pPr>
            <w:r>
              <w:rPr>
                <w:rFonts w:hint="eastAsia" w:ascii="Calibri" w:hAnsi="Calibri"/>
                <w:highlight w:val="none"/>
              </w:rPr>
              <w:t>三</w:t>
            </w:r>
            <w:r>
              <w:rPr>
                <w:rFonts w:hint="eastAsia" w:ascii="Calibri" w:hAnsi="Calibri"/>
                <w:b/>
                <w:bCs/>
                <w:highlight w:val="none"/>
              </w:rPr>
              <w:t>、起重吊装及起重机械安装拆卸工程</w:t>
            </w:r>
          </w:p>
        </w:tc>
        <w:tc>
          <w:tcPr>
            <w:tcW w:w="671" w:type="pct"/>
            <w:tcBorders>
              <w:top w:val="single" w:color="auto" w:sz="4" w:space="0"/>
              <w:left w:val="single" w:color="auto" w:sz="4" w:space="0"/>
              <w:bottom w:val="single" w:color="auto" w:sz="4" w:space="0"/>
              <w:right w:val="single" w:color="auto" w:sz="4" w:space="0"/>
            </w:tcBorders>
            <w:vAlign w:val="center"/>
          </w:tcPr>
          <w:p w14:paraId="2C36387F">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5A240808">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3C288A07">
            <w:pPr>
              <w:jc w:val="center"/>
              <w:rPr>
                <w:rFonts w:ascii="Calibri" w:hAnsi="Calibri"/>
                <w:highlight w:val="none"/>
              </w:rPr>
            </w:pPr>
          </w:p>
        </w:tc>
      </w:tr>
      <w:tr w14:paraId="117C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748" w:type="pct"/>
            <w:tcBorders>
              <w:top w:val="single" w:color="auto" w:sz="4" w:space="0"/>
              <w:left w:val="single" w:color="auto" w:sz="4" w:space="0"/>
              <w:bottom w:val="single" w:color="auto" w:sz="4" w:space="0"/>
              <w:right w:val="single" w:color="auto" w:sz="4" w:space="0"/>
            </w:tcBorders>
            <w:vAlign w:val="center"/>
          </w:tcPr>
          <w:p w14:paraId="22D91675">
            <w:pPr>
              <w:rPr>
                <w:rFonts w:ascii="Calibri" w:hAnsi="Calibri"/>
                <w:highlight w:val="none"/>
              </w:rPr>
            </w:pPr>
            <w:r>
              <w:rPr>
                <w:rFonts w:hint="eastAsia" w:ascii="Calibri" w:hAnsi="Calibri"/>
                <w:highlight w:val="none"/>
              </w:rPr>
              <w:t>（一）采用非常规起重设备、方法，且单件起吊重量在100kN及以上的起重吊装工程。</w:t>
            </w:r>
          </w:p>
        </w:tc>
        <w:tc>
          <w:tcPr>
            <w:tcW w:w="671" w:type="pct"/>
            <w:tcBorders>
              <w:top w:val="single" w:color="auto" w:sz="4" w:space="0"/>
              <w:left w:val="single" w:color="auto" w:sz="4" w:space="0"/>
              <w:bottom w:val="single" w:color="auto" w:sz="4" w:space="0"/>
              <w:right w:val="single" w:color="auto" w:sz="4" w:space="0"/>
            </w:tcBorders>
            <w:vAlign w:val="center"/>
          </w:tcPr>
          <w:p w14:paraId="4EE54204">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4DEA6569">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60160E2D">
            <w:pPr>
              <w:jc w:val="center"/>
              <w:rPr>
                <w:rFonts w:ascii="Calibri" w:hAnsi="Calibri"/>
                <w:highlight w:val="none"/>
              </w:rPr>
            </w:pPr>
          </w:p>
        </w:tc>
      </w:tr>
      <w:tr w14:paraId="48C884C4">
        <w:tblPrEx>
          <w:tblCellMar>
            <w:top w:w="0" w:type="dxa"/>
            <w:left w:w="108" w:type="dxa"/>
            <w:bottom w:w="0" w:type="dxa"/>
            <w:right w:w="108" w:type="dxa"/>
          </w:tblCellMar>
        </w:tblPrEx>
        <w:trPr>
          <w:trHeight w:val="1121" w:hRule="atLeast"/>
        </w:trPr>
        <w:tc>
          <w:tcPr>
            <w:tcW w:w="2748" w:type="pct"/>
            <w:tcBorders>
              <w:top w:val="single" w:color="auto" w:sz="4" w:space="0"/>
              <w:left w:val="single" w:color="auto" w:sz="4" w:space="0"/>
              <w:bottom w:val="single" w:color="auto" w:sz="4" w:space="0"/>
              <w:right w:val="single" w:color="auto" w:sz="4" w:space="0"/>
            </w:tcBorders>
            <w:vAlign w:val="center"/>
          </w:tcPr>
          <w:p w14:paraId="3939EAF3">
            <w:pPr>
              <w:rPr>
                <w:rFonts w:ascii="Calibri" w:hAnsi="Calibri"/>
                <w:highlight w:val="none"/>
              </w:rPr>
            </w:pPr>
            <w:r>
              <w:rPr>
                <w:rFonts w:hint="eastAsia" w:ascii="Calibri" w:hAnsi="Calibri"/>
                <w:highlight w:val="none"/>
              </w:rPr>
              <w:t>（二）起重量300kN及以上，或搭设总高度200m及以上，或搭设基础标高在200m及以上的起重机械安装和拆卸工程。</w:t>
            </w:r>
          </w:p>
        </w:tc>
        <w:tc>
          <w:tcPr>
            <w:tcW w:w="671" w:type="pct"/>
            <w:tcBorders>
              <w:top w:val="single" w:color="auto" w:sz="4" w:space="0"/>
              <w:left w:val="single" w:color="auto" w:sz="4" w:space="0"/>
              <w:bottom w:val="single" w:color="auto" w:sz="4" w:space="0"/>
              <w:right w:val="single" w:color="auto" w:sz="4" w:space="0"/>
            </w:tcBorders>
            <w:vAlign w:val="center"/>
          </w:tcPr>
          <w:p w14:paraId="2D619200">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4851C42C">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53E9A1F0">
            <w:pPr>
              <w:jc w:val="center"/>
              <w:rPr>
                <w:rFonts w:ascii="Calibri" w:hAnsi="Calibri"/>
                <w:highlight w:val="none"/>
              </w:rPr>
            </w:pPr>
          </w:p>
        </w:tc>
      </w:tr>
      <w:tr w14:paraId="1C80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748" w:type="pct"/>
            <w:tcBorders>
              <w:top w:val="single" w:color="auto" w:sz="4" w:space="0"/>
              <w:left w:val="single" w:color="auto" w:sz="4" w:space="0"/>
              <w:bottom w:val="single" w:color="auto" w:sz="4" w:space="0"/>
              <w:right w:val="single" w:color="auto" w:sz="4" w:space="0"/>
            </w:tcBorders>
            <w:vAlign w:val="center"/>
          </w:tcPr>
          <w:p w14:paraId="321F542D">
            <w:pPr>
              <w:jc w:val="center"/>
              <w:rPr>
                <w:rFonts w:ascii="Calibri" w:hAnsi="Calibri"/>
                <w:highlight w:val="none"/>
              </w:rPr>
            </w:pPr>
            <w:r>
              <w:rPr>
                <w:rFonts w:hint="eastAsia" w:ascii="Calibri" w:hAnsi="Calibri"/>
                <w:b/>
                <w:bCs/>
                <w:highlight w:val="none"/>
              </w:rPr>
              <w:t>四、脚手架工程</w:t>
            </w:r>
          </w:p>
        </w:tc>
        <w:tc>
          <w:tcPr>
            <w:tcW w:w="671" w:type="pct"/>
            <w:tcBorders>
              <w:top w:val="single" w:color="auto" w:sz="4" w:space="0"/>
              <w:left w:val="single" w:color="auto" w:sz="4" w:space="0"/>
              <w:bottom w:val="single" w:color="auto" w:sz="4" w:space="0"/>
              <w:right w:val="single" w:color="auto" w:sz="4" w:space="0"/>
            </w:tcBorders>
            <w:vAlign w:val="center"/>
          </w:tcPr>
          <w:p w14:paraId="52BB67F2">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27EEAF69">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0B5C605D">
            <w:pPr>
              <w:jc w:val="center"/>
              <w:rPr>
                <w:rFonts w:ascii="Calibri" w:hAnsi="Calibri"/>
                <w:highlight w:val="none"/>
              </w:rPr>
            </w:pPr>
          </w:p>
        </w:tc>
      </w:tr>
      <w:tr w14:paraId="0E91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pct"/>
            <w:tcBorders>
              <w:top w:val="single" w:color="auto" w:sz="4" w:space="0"/>
              <w:left w:val="single" w:color="auto" w:sz="4" w:space="0"/>
              <w:bottom w:val="single" w:color="auto" w:sz="4" w:space="0"/>
              <w:right w:val="single" w:color="auto" w:sz="4" w:space="0"/>
            </w:tcBorders>
            <w:vAlign w:val="center"/>
          </w:tcPr>
          <w:p w14:paraId="2FD27DC9">
            <w:pPr>
              <w:rPr>
                <w:rFonts w:ascii="Calibri" w:hAnsi="Calibri"/>
                <w:highlight w:val="none"/>
              </w:rPr>
            </w:pPr>
            <w:r>
              <w:rPr>
                <w:rFonts w:hint="eastAsia" w:ascii="Calibri" w:hAnsi="Calibri"/>
                <w:highlight w:val="none"/>
              </w:rPr>
              <w:t>（一）搭设高度50m及以上的落地式钢管脚手架工程。</w:t>
            </w:r>
          </w:p>
        </w:tc>
        <w:tc>
          <w:tcPr>
            <w:tcW w:w="671" w:type="pct"/>
            <w:tcBorders>
              <w:top w:val="single" w:color="auto" w:sz="4" w:space="0"/>
              <w:left w:val="single" w:color="auto" w:sz="4" w:space="0"/>
              <w:bottom w:val="single" w:color="auto" w:sz="4" w:space="0"/>
              <w:right w:val="single" w:color="auto" w:sz="4" w:space="0"/>
            </w:tcBorders>
            <w:vAlign w:val="center"/>
          </w:tcPr>
          <w:p w14:paraId="2C586CE4">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4BB60EC7">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1E71BFA2">
            <w:pPr>
              <w:jc w:val="center"/>
              <w:rPr>
                <w:rFonts w:ascii="Calibri" w:hAnsi="Calibri"/>
                <w:highlight w:val="none"/>
              </w:rPr>
            </w:pPr>
          </w:p>
        </w:tc>
      </w:tr>
      <w:tr w14:paraId="0CA3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pct"/>
            <w:tcBorders>
              <w:top w:val="single" w:color="auto" w:sz="4" w:space="0"/>
              <w:left w:val="single" w:color="auto" w:sz="4" w:space="0"/>
              <w:bottom w:val="single" w:color="auto" w:sz="4" w:space="0"/>
              <w:right w:val="single" w:color="auto" w:sz="4" w:space="0"/>
            </w:tcBorders>
            <w:vAlign w:val="center"/>
          </w:tcPr>
          <w:p w14:paraId="2D96D6D4">
            <w:pPr>
              <w:rPr>
                <w:rFonts w:ascii="Calibri" w:hAnsi="Calibri"/>
                <w:highlight w:val="none"/>
              </w:rPr>
            </w:pPr>
            <w:r>
              <w:rPr>
                <w:rFonts w:hint="eastAsia" w:ascii="Calibri" w:hAnsi="Calibri"/>
                <w:highlight w:val="none"/>
              </w:rPr>
              <w:t>（二）提升高度在150m及以上的附着式升降脚手架工程或附着式升降操作平台工程。</w:t>
            </w:r>
          </w:p>
        </w:tc>
        <w:tc>
          <w:tcPr>
            <w:tcW w:w="671" w:type="pct"/>
            <w:tcBorders>
              <w:top w:val="single" w:color="auto" w:sz="4" w:space="0"/>
              <w:left w:val="single" w:color="auto" w:sz="4" w:space="0"/>
              <w:bottom w:val="single" w:color="auto" w:sz="4" w:space="0"/>
              <w:right w:val="single" w:color="auto" w:sz="4" w:space="0"/>
            </w:tcBorders>
            <w:vAlign w:val="center"/>
          </w:tcPr>
          <w:p w14:paraId="7493EED7">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1FB7900C">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5C23026C">
            <w:pPr>
              <w:jc w:val="center"/>
              <w:rPr>
                <w:rFonts w:ascii="Calibri" w:hAnsi="Calibri"/>
                <w:highlight w:val="none"/>
              </w:rPr>
            </w:pPr>
          </w:p>
        </w:tc>
      </w:tr>
      <w:tr w14:paraId="0AD4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pct"/>
            <w:tcBorders>
              <w:top w:val="single" w:color="auto" w:sz="4" w:space="0"/>
              <w:left w:val="single" w:color="auto" w:sz="4" w:space="0"/>
              <w:bottom w:val="single" w:color="auto" w:sz="4" w:space="0"/>
              <w:right w:val="single" w:color="auto" w:sz="4" w:space="0"/>
            </w:tcBorders>
            <w:vAlign w:val="center"/>
          </w:tcPr>
          <w:p w14:paraId="4EFBEBCF">
            <w:pPr>
              <w:rPr>
                <w:rFonts w:ascii="Calibri" w:hAnsi="Calibri"/>
                <w:highlight w:val="none"/>
              </w:rPr>
            </w:pPr>
            <w:r>
              <w:rPr>
                <w:rFonts w:hint="eastAsia" w:ascii="Calibri" w:hAnsi="Calibri"/>
                <w:highlight w:val="none"/>
              </w:rPr>
              <w:t>（三）分段架体搭设高度20m及以上的悬挑式脚手架工程。</w:t>
            </w:r>
          </w:p>
        </w:tc>
        <w:tc>
          <w:tcPr>
            <w:tcW w:w="671" w:type="pct"/>
            <w:tcBorders>
              <w:top w:val="single" w:color="auto" w:sz="4" w:space="0"/>
              <w:left w:val="single" w:color="auto" w:sz="4" w:space="0"/>
              <w:bottom w:val="single" w:color="auto" w:sz="4" w:space="0"/>
              <w:right w:val="single" w:color="auto" w:sz="4" w:space="0"/>
            </w:tcBorders>
            <w:vAlign w:val="center"/>
          </w:tcPr>
          <w:p w14:paraId="72312DB9">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400614E1">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527568B3">
            <w:pPr>
              <w:jc w:val="center"/>
              <w:rPr>
                <w:rFonts w:ascii="Calibri" w:hAnsi="Calibri"/>
                <w:highlight w:val="none"/>
              </w:rPr>
            </w:pPr>
          </w:p>
        </w:tc>
      </w:tr>
      <w:tr w14:paraId="6DE6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748" w:type="pct"/>
            <w:tcBorders>
              <w:top w:val="single" w:color="auto" w:sz="4" w:space="0"/>
              <w:left w:val="single" w:color="auto" w:sz="4" w:space="0"/>
              <w:bottom w:val="single" w:color="auto" w:sz="4" w:space="0"/>
              <w:right w:val="single" w:color="auto" w:sz="4" w:space="0"/>
            </w:tcBorders>
            <w:vAlign w:val="center"/>
          </w:tcPr>
          <w:p w14:paraId="135D0B6A">
            <w:pPr>
              <w:jc w:val="center"/>
              <w:rPr>
                <w:rFonts w:ascii="Calibri" w:hAnsi="Calibri"/>
                <w:highlight w:val="none"/>
              </w:rPr>
            </w:pPr>
            <w:r>
              <w:rPr>
                <w:rFonts w:hint="eastAsia" w:ascii="Calibri" w:hAnsi="Calibri"/>
                <w:b/>
                <w:bCs/>
                <w:highlight w:val="none"/>
              </w:rPr>
              <w:t>五、拆除工程</w:t>
            </w:r>
          </w:p>
        </w:tc>
        <w:tc>
          <w:tcPr>
            <w:tcW w:w="671" w:type="pct"/>
            <w:tcBorders>
              <w:top w:val="single" w:color="auto" w:sz="4" w:space="0"/>
              <w:left w:val="single" w:color="auto" w:sz="4" w:space="0"/>
              <w:bottom w:val="single" w:color="auto" w:sz="4" w:space="0"/>
              <w:right w:val="single" w:color="auto" w:sz="4" w:space="0"/>
            </w:tcBorders>
            <w:vAlign w:val="center"/>
          </w:tcPr>
          <w:p w14:paraId="1436A1E2">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1D9DC346">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3F9A1E43">
            <w:pPr>
              <w:jc w:val="center"/>
              <w:rPr>
                <w:rFonts w:ascii="Calibri" w:hAnsi="Calibri"/>
                <w:highlight w:val="none"/>
              </w:rPr>
            </w:pPr>
          </w:p>
        </w:tc>
      </w:tr>
      <w:tr w14:paraId="17B3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2748" w:type="pct"/>
            <w:tcBorders>
              <w:top w:val="single" w:color="auto" w:sz="4" w:space="0"/>
              <w:left w:val="single" w:color="auto" w:sz="4" w:space="0"/>
              <w:bottom w:val="single" w:color="auto" w:sz="4" w:space="0"/>
              <w:right w:val="single" w:color="auto" w:sz="4" w:space="0"/>
            </w:tcBorders>
            <w:vAlign w:val="center"/>
          </w:tcPr>
          <w:p w14:paraId="7A73254A">
            <w:pPr>
              <w:rPr>
                <w:rFonts w:ascii="Calibri" w:hAnsi="Calibri"/>
                <w:highlight w:val="none"/>
              </w:rPr>
            </w:pPr>
            <w:r>
              <w:rPr>
                <w:rFonts w:hint="eastAsia" w:ascii="Calibri" w:hAnsi="Calibri"/>
                <w:highlight w:val="none"/>
              </w:rPr>
              <w:t>（一）码头、桥梁、高架、烟囱、水塔或拆除中容易引起有毒有害气（液）体或粉尘扩散、易燃易爆事故发生的特殊建、构筑物的拆除工程。</w:t>
            </w:r>
          </w:p>
        </w:tc>
        <w:tc>
          <w:tcPr>
            <w:tcW w:w="671" w:type="pct"/>
            <w:tcBorders>
              <w:top w:val="single" w:color="auto" w:sz="4" w:space="0"/>
              <w:left w:val="single" w:color="auto" w:sz="4" w:space="0"/>
              <w:bottom w:val="single" w:color="auto" w:sz="4" w:space="0"/>
              <w:right w:val="single" w:color="auto" w:sz="4" w:space="0"/>
            </w:tcBorders>
            <w:vAlign w:val="center"/>
          </w:tcPr>
          <w:p w14:paraId="1F773E2C">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034D45B3">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7A1A1040">
            <w:pPr>
              <w:jc w:val="center"/>
              <w:rPr>
                <w:rFonts w:ascii="Calibri" w:hAnsi="Calibri"/>
                <w:highlight w:val="none"/>
              </w:rPr>
            </w:pPr>
          </w:p>
        </w:tc>
      </w:tr>
      <w:tr w14:paraId="35C1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748" w:type="pct"/>
            <w:tcBorders>
              <w:top w:val="single" w:color="auto" w:sz="4" w:space="0"/>
              <w:left w:val="single" w:color="auto" w:sz="4" w:space="0"/>
              <w:bottom w:val="single" w:color="auto" w:sz="4" w:space="0"/>
              <w:right w:val="single" w:color="auto" w:sz="4" w:space="0"/>
            </w:tcBorders>
            <w:vAlign w:val="center"/>
          </w:tcPr>
          <w:p w14:paraId="1F3CA374">
            <w:pPr>
              <w:rPr>
                <w:rFonts w:ascii="Calibri" w:hAnsi="Calibri"/>
                <w:highlight w:val="none"/>
              </w:rPr>
            </w:pPr>
            <w:r>
              <w:rPr>
                <w:rFonts w:hint="eastAsia" w:ascii="Calibri" w:hAnsi="Calibri"/>
                <w:highlight w:val="none"/>
              </w:rPr>
              <w:t>（二）文物保护建筑、优秀历史建筑或历史文化风貌区影响范围内的拆除工程。</w:t>
            </w:r>
          </w:p>
        </w:tc>
        <w:tc>
          <w:tcPr>
            <w:tcW w:w="671" w:type="pct"/>
            <w:tcBorders>
              <w:top w:val="single" w:color="auto" w:sz="4" w:space="0"/>
              <w:left w:val="single" w:color="auto" w:sz="4" w:space="0"/>
              <w:bottom w:val="single" w:color="auto" w:sz="4" w:space="0"/>
              <w:right w:val="single" w:color="auto" w:sz="4" w:space="0"/>
            </w:tcBorders>
            <w:vAlign w:val="center"/>
          </w:tcPr>
          <w:p w14:paraId="779DAE46">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527C027D">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1E13C879">
            <w:pPr>
              <w:jc w:val="center"/>
              <w:rPr>
                <w:rFonts w:ascii="Calibri" w:hAnsi="Calibri"/>
                <w:highlight w:val="none"/>
              </w:rPr>
            </w:pPr>
          </w:p>
        </w:tc>
      </w:tr>
      <w:tr w14:paraId="67E9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748" w:type="pct"/>
            <w:tcBorders>
              <w:top w:val="single" w:color="auto" w:sz="4" w:space="0"/>
              <w:left w:val="single" w:color="auto" w:sz="4" w:space="0"/>
              <w:bottom w:val="single" w:color="auto" w:sz="4" w:space="0"/>
              <w:right w:val="single" w:color="auto" w:sz="4" w:space="0"/>
            </w:tcBorders>
            <w:vAlign w:val="center"/>
          </w:tcPr>
          <w:p w14:paraId="5671AF49">
            <w:pPr>
              <w:jc w:val="center"/>
              <w:rPr>
                <w:rFonts w:ascii="Calibri" w:hAnsi="Calibri"/>
                <w:highlight w:val="none"/>
              </w:rPr>
            </w:pPr>
            <w:r>
              <w:rPr>
                <w:rFonts w:hint="eastAsia" w:ascii="Calibri" w:hAnsi="Calibri"/>
                <w:b/>
                <w:bCs/>
                <w:highlight w:val="none"/>
              </w:rPr>
              <w:t>六、暗挖工程</w:t>
            </w:r>
          </w:p>
        </w:tc>
        <w:tc>
          <w:tcPr>
            <w:tcW w:w="671" w:type="pct"/>
            <w:tcBorders>
              <w:top w:val="single" w:color="auto" w:sz="4" w:space="0"/>
              <w:left w:val="single" w:color="auto" w:sz="4" w:space="0"/>
              <w:bottom w:val="single" w:color="auto" w:sz="4" w:space="0"/>
              <w:right w:val="single" w:color="auto" w:sz="4" w:space="0"/>
            </w:tcBorders>
            <w:vAlign w:val="center"/>
          </w:tcPr>
          <w:p w14:paraId="77DB4D34">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33EC6F60">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6E7C495D">
            <w:pPr>
              <w:jc w:val="center"/>
              <w:rPr>
                <w:rFonts w:ascii="Calibri" w:hAnsi="Calibri"/>
                <w:highlight w:val="none"/>
              </w:rPr>
            </w:pPr>
          </w:p>
        </w:tc>
      </w:tr>
      <w:tr w14:paraId="0798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pct"/>
            <w:tcBorders>
              <w:top w:val="single" w:color="auto" w:sz="4" w:space="0"/>
              <w:left w:val="single" w:color="auto" w:sz="4" w:space="0"/>
              <w:bottom w:val="single" w:color="auto" w:sz="4" w:space="0"/>
              <w:right w:val="single" w:color="auto" w:sz="4" w:space="0"/>
            </w:tcBorders>
            <w:vAlign w:val="center"/>
          </w:tcPr>
          <w:p w14:paraId="55723461">
            <w:pPr>
              <w:rPr>
                <w:rFonts w:ascii="Calibri" w:hAnsi="Calibri"/>
                <w:highlight w:val="none"/>
              </w:rPr>
            </w:pPr>
            <w:r>
              <w:rPr>
                <w:rFonts w:hint="eastAsia" w:ascii="Calibri" w:hAnsi="Calibri"/>
                <w:highlight w:val="none"/>
              </w:rPr>
              <w:t>采用矿山法、盾构法、顶管法施工的隧道、洞室工程。</w:t>
            </w:r>
          </w:p>
        </w:tc>
        <w:tc>
          <w:tcPr>
            <w:tcW w:w="671" w:type="pct"/>
            <w:tcBorders>
              <w:top w:val="single" w:color="auto" w:sz="4" w:space="0"/>
              <w:left w:val="single" w:color="auto" w:sz="4" w:space="0"/>
              <w:bottom w:val="single" w:color="auto" w:sz="4" w:space="0"/>
              <w:right w:val="single" w:color="auto" w:sz="4" w:space="0"/>
            </w:tcBorders>
            <w:vAlign w:val="center"/>
          </w:tcPr>
          <w:p w14:paraId="0DFBA4F9">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39177D65">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28AC8538">
            <w:pPr>
              <w:jc w:val="center"/>
              <w:rPr>
                <w:rFonts w:ascii="Calibri" w:hAnsi="Calibri"/>
                <w:highlight w:val="none"/>
              </w:rPr>
            </w:pPr>
          </w:p>
        </w:tc>
      </w:tr>
      <w:tr w14:paraId="420D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748" w:type="pct"/>
            <w:tcBorders>
              <w:top w:val="single" w:color="auto" w:sz="4" w:space="0"/>
              <w:left w:val="single" w:color="auto" w:sz="4" w:space="0"/>
              <w:bottom w:val="single" w:color="auto" w:sz="4" w:space="0"/>
              <w:right w:val="single" w:color="auto" w:sz="4" w:space="0"/>
            </w:tcBorders>
            <w:vAlign w:val="center"/>
          </w:tcPr>
          <w:p w14:paraId="2650F63F">
            <w:pPr>
              <w:jc w:val="center"/>
              <w:rPr>
                <w:rFonts w:ascii="Calibri" w:hAnsi="Calibri"/>
                <w:highlight w:val="none"/>
              </w:rPr>
            </w:pPr>
            <w:r>
              <w:rPr>
                <w:rFonts w:hint="eastAsia" w:ascii="Calibri" w:hAnsi="Calibri"/>
                <w:b/>
                <w:bCs/>
                <w:highlight w:val="none"/>
              </w:rPr>
              <w:t>七、其它</w:t>
            </w:r>
          </w:p>
        </w:tc>
        <w:tc>
          <w:tcPr>
            <w:tcW w:w="671" w:type="pct"/>
            <w:tcBorders>
              <w:top w:val="single" w:color="auto" w:sz="4" w:space="0"/>
              <w:left w:val="single" w:color="auto" w:sz="4" w:space="0"/>
              <w:bottom w:val="single" w:color="auto" w:sz="4" w:space="0"/>
              <w:right w:val="single" w:color="auto" w:sz="4" w:space="0"/>
            </w:tcBorders>
            <w:vAlign w:val="center"/>
          </w:tcPr>
          <w:p w14:paraId="0174D282">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7309752F">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4D5AD6A8">
            <w:pPr>
              <w:jc w:val="center"/>
              <w:rPr>
                <w:rFonts w:ascii="Calibri" w:hAnsi="Calibri"/>
                <w:highlight w:val="none"/>
              </w:rPr>
            </w:pPr>
          </w:p>
        </w:tc>
      </w:tr>
      <w:tr w14:paraId="4151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pct"/>
            <w:tcBorders>
              <w:top w:val="single" w:color="auto" w:sz="4" w:space="0"/>
              <w:left w:val="single" w:color="auto" w:sz="4" w:space="0"/>
              <w:bottom w:val="single" w:color="auto" w:sz="4" w:space="0"/>
              <w:right w:val="single" w:color="auto" w:sz="4" w:space="0"/>
            </w:tcBorders>
            <w:vAlign w:val="center"/>
          </w:tcPr>
          <w:p w14:paraId="00316E2C">
            <w:pPr>
              <w:rPr>
                <w:rFonts w:ascii="Calibri" w:hAnsi="Calibri"/>
                <w:highlight w:val="none"/>
              </w:rPr>
            </w:pPr>
            <w:r>
              <w:rPr>
                <w:rFonts w:hint="eastAsia" w:ascii="Calibri" w:hAnsi="Calibri"/>
                <w:highlight w:val="none"/>
              </w:rPr>
              <w:t>（一）施工高度50m及以上的建筑幕墙安装工程。</w:t>
            </w:r>
          </w:p>
        </w:tc>
        <w:tc>
          <w:tcPr>
            <w:tcW w:w="671" w:type="pct"/>
            <w:tcBorders>
              <w:top w:val="single" w:color="auto" w:sz="4" w:space="0"/>
              <w:left w:val="single" w:color="auto" w:sz="4" w:space="0"/>
              <w:bottom w:val="single" w:color="auto" w:sz="4" w:space="0"/>
              <w:right w:val="single" w:color="auto" w:sz="4" w:space="0"/>
            </w:tcBorders>
            <w:vAlign w:val="center"/>
          </w:tcPr>
          <w:p w14:paraId="468135DD">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5450F3E2">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40EB0931">
            <w:pPr>
              <w:jc w:val="center"/>
              <w:rPr>
                <w:rFonts w:ascii="Calibri" w:hAnsi="Calibri"/>
                <w:highlight w:val="none"/>
              </w:rPr>
            </w:pPr>
          </w:p>
        </w:tc>
      </w:tr>
      <w:tr w14:paraId="21EB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748" w:type="pct"/>
            <w:tcBorders>
              <w:top w:val="single" w:color="auto" w:sz="4" w:space="0"/>
              <w:left w:val="single" w:color="auto" w:sz="4" w:space="0"/>
              <w:bottom w:val="single" w:color="auto" w:sz="4" w:space="0"/>
              <w:right w:val="single" w:color="auto" w:sz="4" w:space="0"/>
            </w:tcBorders>
            <w:vAlign w:val="center"/>
          </w:tcPr>
          <w:p w14:paraId="2A25CE9F">
            <w:pPr>
              <w:rPr>
                <w:rFonts w:ascii="Calibri" w:hAnsi="Calibri"/>
                <w:highlight w:val="none"/>
              </w:rPr>
            </w:pPr>
            <w:r>
              <w:rPr>
                <w:rFonts w:hint="eastAsia" w:ascii="Calibri" w:hAnsi="Calibri"/>
                <w:highlight w:val="none"/>
              </w:rPr>
              <w:t>（二）跨度36m及以上的钢结构安装工程，或跨度60m及以上的网架和索膜结构安装工程。</w:t>
            </w:r>
          </w:p>
        </w:tc>
        <w:tc>
          <w:tcPr>
            <w:tcW w:w="671" w:type="pct"/>
            <w:tcBorders>
              <w:top w:val="single" w:color="auto" w:sz="4" w:space="0"/>
              <w:left w:val="single" w:color="auto" w:sz="4" w:space="0"/>
              <w:bottom w:val="single" w:color="auto" w:sz="4" w:space="0"/>
              <w:right w:val="single" w:color="auto" w:sz="4" w:space="0"/>
            </w:tcBorders>
            <w:vAlign w:val="center"/>
          </w:tcPr>
          <w:p w14:paraId="602063B4">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5D4D8368">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2B273CFE">
            <w:pPr>
              <w:jc w:val="center"/>
              <w:rPr>
                <w:rFonts w:ascii="Calibri" w:hAnsi="Calibri"/>
                <w:highlight w:val="none"/>
              </w:rPr>
            </w:pPr>
          </w:p>
        </w:tc>
      </w:tr>
      <w:tr w14:paraId="64B7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748" w:type="pct"/>
            <w:tcBorders>
              <w:top w:val="single" w:color="auto" w:sz="4" w:space="0"/>
              <w:left w:val="single" w:color="auto" w:sz="4" w:space="0"/>
              <w:bottom w:val="single" w:color="auto" w:sz="4" w:space="0"/>
              <w:right w:val="single" w:color="auto" w:sz="4" w:space="0"/>
            </w:tcBorders>
            <w:vAlign w:val="center"/>
          </w:tcPr>
          <w:p w14:paraId="4CF0219B">
            <w:pPr>
              <w:rPr>
                <w:rFonts w:ascii="Calibri" w:hAnsi="Calibri"/>
                <w:highlight w:val="none"/>
              </w:rPr>
            </w:pPr>
            <w:r>
              <w:rPr>
                <w:rFonts w:hint="eastAsia" w:ascii="Calibri" w:hAnsi="Calibri"/>
                <w:highlight w:val="none"/>
              </w:rPr>
              <w:t>（三）开挖深度16m及以上的人工挖孔桩工程。</w:t>
            </w:r>
          </w:p>
        </w:tc>
        <w:tc>
          <w:tcPr>
            <w:tcW w:w="671" w:type="pct"/>
            <w:tcBorders>
              <w:top w:val="single" w:color="auto" w:sz="4" w:space="0"/>
              <w:left w:val="single" w:color="auto" w:sz="4" w:space="0"/>
              <w:bottom w:val="single" w:color="auto" w:sz="4" w:space="0"/>
              <w:right w:val="single" w:color="auto" w:sz="4" w:space="0"/>
            </w:tcBorders>
            <w:vAlign w:val="center"/>
          </w:tcPr>
          <w:p w14:paraId="5EAB4464">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1B14821C">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233EAE06">
            <w:pPr>
              <w:jc w:val="center"/>
              <w:rPr>
                <w:rFonts w:ascii="Calibri" w:hAnsi="Calibri"/>
                <w:highlight w:val="none"/>
              </w:rPr>
            </w:pPr>
          </w:p>
        </w:tc>
      </w:tr>
      <w:tr w14:paraId="5AEF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748" w:type="pct"/>
            <w:tcBorders>
              <w:top w:val="single" w:color="auto" w:sz="4" w:space="0"/>
              <w:left w:val="single" w:color="auto" w:sz="4" w:space="0"/>
              <w:bottom w:val="single" w:color="auto" w:sz="4" w:space="0"/>
              <w:right w:val="single" w:color="auto" w:sz="4" w:space="0"/>
            </w:tcBorders>
            <w:vAlign w:val="center"/>
          </w:tcPr>
          <w:p w14:paraId="2031E004">
            <w:pPr>
              <w:jc w:val="center"/>
              <w:rPr>
                <w:rFonts w:ascii="Calibri" w:hAnsi="Calibri"/>
                <w:highlight w:val="none"/>
              </w:rPr>
            </w:pPr>
            <w:r>
              <w:rPr>
                <w:rFonts w:hint="eastAsia" w:ascii="Calibri" w:hAnsi="Calibri"/>
                <w:b/>
                <w:bCs/>
                <w:highlight w:val="none"/>
              </w:rPr>
              <w:t>（四）水下作业工程</w:t>
            </w:r>
          </w:p>
        </w:tc>
        <w:tc>
          <w:tcPr>
            <w:tcW w:w="671" w:type="pct"/>
            <w:tcBorders>
              <w:top w:val="single" w:color="auto" w:sz="4" w:space="0"/>
              <w:left w:val="single" w:color="auto" w:sz="4" w:space="0"/>
              <w:bottom w:val="single" w:color="auto" w:sz="4" w:space="0"/>
              <w:right w:val="single" w:color="auto" w:sz="4" w:space="0"/>
            </w:tcBorders>
            <w:vAlign w:val="center"/>
          </w:tcPr>
          <w:p w14:paraId="2BEEF742">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0582D597">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1A20AAAF">
            <w:pPr>
              <w:jc w:val="center"/>
              <w:rPr>
                <w:rFonts w:ascii="Calibri" w:hAnsi="Calibri"/>
                <w:highlight w:val="none"/>
              </w:rPr>
            </w:pPr>
          </w:p>
        </w:tc>
      </w:tr>
      <w:tr w14:paraId="1A5E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pct"/>
            <w:tcBorders>
              <w:top w:val="single" w:color="auto" w:sz="4" w:space="0"/>
              <w:left w:val="single" w:color="auto" w:sz="4" w:space="0"/>
              <w:bottom w:val="single" w:color="auto" w:sz="4" w:space="0"/>
              <w:right w:val="single" w:color="auto" w:sz="4" w:space="0"/>
            </w:tcBorders>
            <w:vAlign w:val="center"/>
          </w:tcPr>
          <w:p w14:paraId="19CEED74">
            <w:pPr>
              <w:rPr>
                <w:rFonts w:ascii="Calibri" w:hAnsi="Calibri"/>
                <w:highlight w:val="none"/>
              </w:rPr>
            </w:pPr>
            <w:r>
              <w:rPr>
                <w:rFonts w:hint="eastAsia" w:ascii="Calibri" w:hAnsi="Calibri"/>
                <w:highlight w:val="none"/>
              </w:rPr>
              <w:t>（五）重量1000kN及以上的大型结构整体顶升、平移、转体等施工工艺。</w:t>
            </w:r>
          </w:p>
        </w:tc>
        <w:tc>
          <w:tcPr>
            <w:tcW w:w="671" w:type="pct"/>
            <w:tcBorders>
              <w:top w:val="single" w:color="auto" w:sz="4" w:space="0"/>
              <w:left w:val="single" w:color="auto" w:sz="4" w:space="0"/>
              <w:bottom w:val="single" w:color="auto" w:sz="4" w:space="0"/>
              <w:right w:val="single" w:color="auto" w:sz="4" w:space="0"/>
            </w:tcBorders>
            <w:vAlign w:val="center"/>
          </w:tcPr>
          <w:p w14:paraId="7406EA27">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00661163">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5EC281A3">
            <w:pPr>
              <w:jc w:val="center"/>
              <w:rPr>
                <w:rFonts w:ascii="Calibri" w:hAnsi="Calibri"/>
                <w:highlight w:val="none"/>
              </w:rPr>
            </w:pPr>
          </w:p>
        </w:tc>
      </w:tr>
      <w:tr w14:paraId="3688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pct"/>
            <w:tcBorders>
              <w:top w:val="single" w:color="auto" w:sz="4" w:space="0"/>
              <w:left w:val="single" w:color="auto" w:sz="4" w:space="0"/>
              <w:bottom w:val="single" w:color="auto" w:sz="4" w:space="0"/>
              <w:right w:val="single" w:color="auto" w:sz="4" w:space="0"/>
            </w:tcBorders>
            <w:vAlign w:val="center"/>
          </w:tcPr>
          <w:p w14:paraId="08BEB047">
            <w:pPr>
              <w:rPr>
                <w:rFonts w:ascii="Calibri" w:hAnsi="Calibri"/>
                <w:highlight w:val="none"/>
              </w:rPr>
            </w:pPr>
            <w:r>
              <w:rPr>
                <w:rFonts w:hint="eastAsia" w:ascii="Calibri" w:hAnsi="Calibri"/>
                <w:highlight w:val="none"/>
              </w:rPr>
              <w:t>（六）采用新技术、新工艺、新材料、新设备可能影响工程施工安全，尚无国家、行业及地方技术标准的分部分项工程。</w:t>
            </w:r>
          </w:p>
        </w:tc>
        <w:tc>
          <w:tcPr>
            <w:tcW w:w="671" w:type="pct"/>
            <w:tcBorders>
              <w:top w:val="single" w:color="auto" w:sz="4" w:space="0"/>
              <w:left w:val="single" w:color="auto" w:sz="4" w:space="0"/>
              <w:bottom w:val="single" w:color="auto" w:sz="4" w:space="0"/>
              <w:right w:val="single" w:color="auto" w:sz="4" w:space="0"/>
            </w:tcBorders>
            <w:vAlign w:val="center"/>
          </w:tcPr>
          <w:p w14:paraId="74F7B5A6">
            <w:pPr>
              <w:jc w:val="center"/>
              <w:rPr>
                <w:rFonts w:ascii="Calibri" w:hAnsi="Calibri"/>
                <w:highlight w:val="none"/>
              </w:rPr>
            </w:pPr>
            <w:r>
              <w:rPr>
                <w:rFonts w:hint="eastAsia" w:ascii="Calibri" w:hAnsi="Calibri"/>
                <w:highlight w:val="none"/>
              </w:rPr>
              <w:t>(      )</w:t>
            </w:r>
          </w:p>
        </w:tc>
        <w:tc>
          <w:tcPr>
            <w:tcW w:w="801" w:type="pct"/>
            <w:tcBorders>
              <w:top w:val="single" w:color="auto" w:sz="4" w:space="0"/>
              <w:left w:val="single" w:color="auto" w:sz="4" w:space="0"/>
              <w:bottom w:val="single" w:color="auto" w:sz="4" w:space="0"/>
              <w:right w:val="single" w:color="auto" w:sz="4" w:space="0"/>
            </w:tcBorders>
            <w:vAlign w:val="center"/>
          </w:tcPr>
          <w:p w14:paraId="66C4A784">
            <w:pPr>
              <w:jc w:val="center"/>
              <w:rPr>
                <w:rFonts w:ascii="Calibri" w:hAnsi="Calibri"/>
                <w:highlight w:val="none"/>
              </w:rPr>
            </w:pPr>
            <w:r>
              <w:rPr>
                <w:rFonts w:hint="eastAsia" w:ascii="Calibri" w:hAnsi="Calibri"/>
                <w:highlight w:val="none"/>
              </w:rPr>
              <w:t>(      )</w:t>
            </w:r>
          </w:p>
        </w:tc>
        <w:tc>
          <w:tcPr>
            <w:tcW w:w="779" w:type="pct"/>
            <w:tcBorders>
              <w:top w:val="single" w:color="auto" w:sz="4" w:space="0"/>
              <w:left w:val="single" w:color="auto" w:sz="4" w:space="0"/>
              <w:bottom w:val="single" w:color="auto" w:sz="4" w:space="0"/>
              <w:right w:val="single" w:color="auto" w:sz="4" w:space="0"/>
            </w:tcBorders>
            <w:vAlign w:val="center"/>
          </w:tcPr>
          <w:p w14:paraId="02177E7E">
            <w:pPr>
              <w:jc w:val="center"/>
              <w:rPr>
                <w:rFonts w:ascii="Calibri" w:hAnsi="Calibri"/>
                <w:highlight w:val="none"/>
              </w:rPr>
            </w:pPr>
          </w:p>
        </w:tc>
      </w:tr>
    </w:tbl>
    <w:p w14:paraId="615CBB3B">
      <w:pPr>
        <w:ind w:firstLine="480"/>
        <w:rPr>
          <w:highlight w:val="none"/>
          <w:u w:val="single"/>
        </w:rPr>
      </w:pPr>
      <w:r>
        <w:rPr>
          <w:rFonts w:hint="eastAsia"/>
          <w:highlight w:val="none"/>
        </w:rPr>
        <w:t>投标人名称（盖章）：</w:t>
      </w:r>
      <w:r>
        <w:rPr>
          <w:rFonts w:hint="eastAsia"/>
          <w:highlight w:val="none"/>
          <w:u w:val="single"/>
        </w:rPr>
        <w:t xml:space="preserve">               </w:t>
      </w:r>
    </w:p>
    <w:p w14:paraId="2BA4BF8A">
      <w:pPr>
        <w:ind w:firstLine="480"/>
        <w:rPr>
          <w:highlight w:val="none"/>
        </w:rPr>
      </w:pPr>
      <w:r>
        <w:rPr>
          <w:rFonts w:hint="eastAsia"/>
          <w:highlight w:val="none"/>
        </w:rPr>
        <w:t>法定代表人或被授权人（签字或盖章）：</w:t>
      </w:r>
      <w:r>
        <w:rPr>
          <w:rFonts w:hint="eastAsia"/>
          <w:highlight w:val="none"/>
          <w:u w:val="single"/>
        </w:rPr>
        <w:t xml:space="preserve">               </w:t>
      </w:r>
    </w:p>
    <w:p w14:paraId="0CF0FC1B">
      <w:pPr>
        <w:ind w:firstLine="480"/>
        <w:rPr>
          <w:highlight w:val="none"/>
        </w:rPr>
      </w:pPr>
      <w:r>
        <w:rPr>
          <w:rFonts w:hint="eastAsia"/>
          <w:highlight w:val="none"/>
        </w:rPr>
        <w:t>日     期：   年    月    日</w:t>
      </w:r>
    </w:p>
    <w:p w14:paraId="01C37DF5">
      <w:pPr>
        <w:autoSpaceDE w:val="0"/>
        <w:autoSpaceDN w:val="0"/>
        <w:adjustRightInd w:val="0"/>
        <w:spacing w:line="360" w:lineRule="auto"/>
        <w:jc w:val="left"/>
        <w:rPr>
          <w:rFonts w:hint="eastAsia" w:ascii="宋体" w:hAnsi="宋体" w:cs="宋体"/>
          <w:b/>
          <w:sz w:val="28"/>
          <w:highlight w:val="none"/>
        </w:rPr>
      </w:pPr>
    </w:p>
    <w:p w14:paraId="5F614250">
      <w:pPr>
        <w:autoSpaceDE w:val="0"/>
        <w:autoSpaceDN w:val="0"/>
        <w:adjustRightInd w:val="0"/>
        <w:spacing w:line="360" w:lineRule="auto"/>
        <w:jc w:val="left"/>
        <w:rPr>
          <w:rFonts w:hint="eastAsia" w:ascii="宋体" w:hAnsi="宋体" w:cs="宋体"/>
          <w:b/>
          <w:sz w:val="28"/>
          <w:highlight w:val="none"/>
        </w:rPr>
      </w:pPr>
    </w:p>
    <w:p w14:paraId="076E34AB">
      <w:pPr>
        <w:autoSpaceDE w:val="0"/>
        <w:autoSpaceDN w:val="0"/>
        <w:adjustRightInd w:val="0"/>
        <w:spacing w:line="360" w:lineRule="auto"/>
        <w:jc w:val="left"/>
        <w:rPr>
          <w:rFonts w:hint="eastAsia" w:ascii="宋体" w:hAnsi="宋体" w:cs="宋体"/>
          <w:b/>
          <w:sz w:val="28"/>
          <w:highlight w:val="none"/>
        </w:rPr>
      </w:pPr>
    </w:p>
    <w:p w14:paraId="3E9BF298">
      <w:pPr>
        <w:rPr>
          <w:rFonts w:hint="eastAsia" w:ascii="宋体" w:hAnsi="宋体" w:cs="宋体"/>
          <w:b/>
          <w:sz w:val="28"/>
          <w:highlight w:val="none"/>
        </w:rPr>
      </w:pPr>
      <w:r>
        <w:rPr>
          <w:rFonts w:hint="eastAsia" w:ascii="宋体" w:hAnsi="宋体" w:cs="宋体"/>
          <w:b/>
          <w:sz w:val="28"/>
          <w:highlight w:val="none"/>
        </w:rPr>
        <w:br w:type="page"/>
      </w:r>
    </w:p>
    <w:p w14:paraId="0E23E614">
      <w:pPr>
        <w:autoSpaceDE w:val="0"/>
        <w:autoSpaceDN w:val="0"/>
        <w:adjustRightInd w:val="0"/>
        <w:spacing w:line="360" w:lineRule="auto"/>
        <w:jc w:val="left"/>
        <w:rPr>
          <w:rFonts w:hint="eastAsia" w:ascii="宋体" w:hAnsi="宋体" w:cs="宋体"/>
          <w:b/>
          <w:sz w:val="28"/>
          <w:highlight w:val="none"/>
        </w:rPr>
      </w:pPr>
      <w:r>
        <w:rPr>
          <w:rFonts w:hint="eastAsia" w:ascii="宋体" w:hAnsi="宋体" w:cs="宋体"/>
          <w:b/>
          <w:sz w:val="28"/>
          <w:highlight w:val="none"/>
        </w:rPr>
        <w:t>格式1</w:t>
      </w:r>
      <w:r>
        <w:rPr>
          <w:rFonts w:hint="eastAsia" w:ascii="宋体" w:hAnsi="宋体" w:cs="宋体"/>
          <w:b/>
          <w:sz w:val="28"/>
          <w:highlight w:val="none"/>
          <w:lang w:val="en-US" w:eastAsia="zh-CN"/>
        </w:rPr>
        <w:t>0</w:t>
      </w:r>
      <w:r>
        <w:rPr>
          <w:rFonts w:hint="eastAsia" w:ascii="宋体" w:hAnsi="宋体" w:cs="宋体"/>
          <w:b/>
          <w:sz w:val="28"/>
          <w:highlight w:val="none"/>
        </w:rPr>
        <w:t>：</w:t>
      </w:r>
    </w:p>
    <w:p w14:paraId="545CE6B3">
      <w:pPr>
        <w:autoSpaceDE w:val="0"/>
        <w:autoSpaceDN w:val="0"/>
        <w:adjustRightInd w:val="0"/>
        <w:spacing w:line="360" w:lineRule="auto"/>
        <w:jc w:val="center"/>
        <w:rPr>
          <w:rFonts w:hint="eastAsia" w:ascii="宋体" w:hAnsi="宋体" w:cs="宋体"/>
          <w:b/>
          <w:bCs/>
          <w:sz w:val="32"/>
          <w:szCs w:val="32"/>
          <w:highlight w:val="none"/>
          <w:lang w:val="zh-CN"/>
        </w:rPr>
      </w:pPr>
      <w:r>
        <w:rPr>
          <w:rFonts w:hint="eastAsia" w:ascii="宋体" w:hAnsi="宋体" w:cs="宋体"/>
          <w:b/>
          <w:bCs/>
          <w:sz w:val="32"/>
          <w:szCs w:val="32"/>
          <w:highlight w:val="none"/>
          <w:lang w:val="zh-CN"/>
        </w:rPr>
        <w:t>投标人认为应该提供的其他资料</w:t>
      </w:r>
    </w:p>
    <w:p w14:paraId="5A2252FC">
      <w:pPr>
        <w:spacing w:line="400" w:lineRule="exact"/>
        <w:jc w:val="center"/>
        <w:rPr>
          <w:rFonts w:hint="eastAsia" w:ascii="宋体" w:hAnsi="宋体" w:cs="宋体"/>
          <w:b/>
          <w:bCs/>
          <w:sz w:val="28"/>
          <w:highlight w:val="none"/>
        </w:rPr>
      </w:pPr>
    </w:p>
    <w:p w14:paraId="3525D9E1">
      <w:pPr>
        <w:spacing w:line="400" w:lineRule="exact"/>
        <w:jc w:val="center"/>
        <w:rPr>
          <w:rFonts w:hint="eastAsia" w:ascii="宋体" w:hAnsi="宋体" w:cs="宋体"/>
          <w:b/>
          <w:bCs/>
          <w:sz w:val="28"/>
          <w:highlight w:val="none"/>
        </w:rPr>
      </w:pPr>
      <w:r>
        <w:rPr>
          <w:rFonts w:hint="eastAsia" w:ascii="宋体" w:hAnsi="宋体" w:cs="宋体"/>
          <w:b/>
          <w:bCs/>
          <w:sz w:val="28"/>
          <w:highlight w:val="none"/>
        </w:rPr>
        <w:t>（格式自拟）</w:t>
      </w:r>
      <w:bookmarkEnd w:id="1078"/>
      <w:bookmarkEnd w:id="1079"/>
      <w:bookmarkEnd w:id="1080"/>
      <w:bookmarkEnd w:id="1081"/>
      <w:bookmarkEnd w:id="1082"/>
    </w:p>
    <w:bookmarkEnd w:id="921"/>
    <w:bookmarkEnd w:id="1059"/>
    <w:bookmarkEnd w:id="1060"/>
    <w:bookmarkEnd w:id="1061"/>
    <w:bookmarkEnd w:id="1062"/>
    <w:bookmarkEnd w:id="1063"/>
    <w:bookmarkEnd w:id="1064"/>
    <w:bookmarkEnd w:id="1065"/>
    <w:bookmarkEnd w:id="1066"/>
    <w:bookmarkEnd w:id="1067"/>
    <w:bookmarkEnd w:id="1068"/>
    <w:bookmarkEnd w:id="1069"/>
    <w:bookmarkEnd w:id="1070"/>
    <w:p w14:paraId="2027EE4B">
      <w:pPr>
        <w:pStyle w:val="22"/>
        <w:rPr>
          <w:highlight w:val="none"/>
        </w:rPr>
      </w:pPr>
    </w:p>
    <w:sectPr>
      <w:pgSz w:w="11905" w:h="16838"/>
      <w:pgMar w:top="1247" w:right="1247" w:bottom="1247" w:left="1247" w:header="567"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dobe 黑体 Std R">
    <w:altName w:val="黑体"/>
    <w:panose1 w:val="00000000000000000000"/>
    <w:charset w:val="86"/>
    <w:family w:val="swiss"/>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DB511">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17E9A">
    <w:pPr>
      <w:pStyle w:val="27"/>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5905" cy="169545"/>
              <wp:effectExtent l="0" t="0" r="0" b="0"/>
              <wp:wrapNone/>
              <wp:docPr id="2"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255905" cy="169545"/>
                      </a:xfrm>
                      <a:prstGeom prst="rect">
                        <a:avLst/>
                      </a:prstGeom>
                      <a:noFill/>
                      <a:ln>
                        <a:noFill/>
                      </a:ln>
                      <a:effectLst/>
                    </wps:spPr>
                    <wps:txbx>
                      <w:txbxContent>
                        <w:p w14:paraId="7E18B3E1">
                          <w:pPr>
                            <w:pStyle w:val="27"/>
                          </w:pPr>
                          <w:r>
                            <w:rPr>
                              <w:rFonts w:hint="eastAsia"/>
                            </w:rPr>
                            <w:fldChar w:fldCharType="begin"/>
                          </w:r>
                          <w:r>
                            <w:rPr>
                              <w:rFonts w:hint="eastAsia"/>
                            </w:rPr>
                            <w:instrText xml:space="preserve"> PAGE  \* MERGEFORMAT </w:instrText>
                          </w:r>
                          <w:r>
                            <w:rPr>
                              <w:rFonts w:hint="eastAsia"/>
                            </w:rPr>
                            <w:fldChar w:fldCharType="separate"/>
                          </w:r>
                          <w:r>
                            <w:rPr>
                              <w:lang w:val="en-US"/>
                            </w:rPr>
                            <w:t>34</w:t>
                          </w:r>
                          <w:r>
                            <w:rPr>
                              <w:rFonts w:hint="eastAsia"/>
                            </w:rPr>
                            <w:fldChar w:fldCharType="end"/>
                          </w:r>
                        </w:p>
                      </w:txbxContent>
                    </wps:txbx>
                    <wps:bodyPr rot="0" vert="horz" wrap="square" lIns="0" tIns="0" rIns="0" bIns="0" anchor="t" anchorCtr="0" upright="1">
                      <a:noAutofit/>
                    </wps:bodyPr>
                  </wps:wsp>
                </a:graphicData>
              </a:graphic>
            </wp:anchor>
          </w:drawing>
        </mc:Choice>
        <mc:Fallback>
          <w:pict>
            <v:shape id="文本框 1027" o:spid="_x0000_s1026" o:spt="202" type="#_x0000_t202" style="position:absolute;left:0pt;margin-top:0pt;height:13.35pt;width:20.15pt;mso-position-horizontal:center;mso-position-horizontal-relative:margin;z-index:251659264;mso-width-relative:page;mso-height-relative:page;" filled="f" stroked="f" coordsize="21600,21600" o:gfxdata="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N3MfjUAAAAAwEAAA8AAAAAAAAA&#10;AQAgAAAAIgAAAGRycy9kb3ducmV2LnhtbFBLAQIUABQAAAAIAIdO4kDFgvLnFQIAABUEAAAOAAAA&#10;AAAAAAEAIAAAACMBAABkcnMvZTJvRG9jLnhtbFBLBQYAAAAABgAGAFkBAACqBQAAAAA=&#10;">
              <v:fill on="f" focussize="0,0"/>
              <v:stroke on="f"/>
              <v:imagedata o:title=""/>
              <o:lock v:ext="edit" aspectratio="f"/>
              <v:textbox inset="0mm,0mm,0mm,0mm">
                <w:txbxContent>
                  <w:p w14:paraId="7E18B3E1">
                    <w:pPr>
                      <w:pStyle w:val="27"/>
                    </w:pPr>
                    <w:r>
                      <w:rPr>
                        <w:rFonts w:hint="eastAsia"/>
                      </w:rPr>
                      <w:fldChar w:fldCharType="begin"/>
                    </w:r>
                    <w:r>
                      <w:rPr>
                        <w:rFonts w:hint="eastAsia"/>
                      </w:rPr>
                      <w:instrText xml:space="preserve"> PAGE  \* MERGEFORMAT </w:instrText>
                    </w:r>
                    <w:r>
                      <w:rPr>
                        <w:rFonts w:hint="eastAsia"/>
                      </w:rPr>
                      <w:fldChar w:fldCharType="separate"/>
                    </w:r>
                    <w:r>
                      <w:rPr>
                        <w:lang w:val="en-US"/>
                      </w:rPr>
                      <w:t>34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31428">
    <w:pPr>
      <w:pStyle w:val="28"/>
      <w:pBdr>
        <w:bottom w:val="none" w:color="auto" w:sz="0" w:space="0"/>
      </w:pBdr>
      <w:ind w:firstLine="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3" name="Text Box 7"/>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063A8A9E">
                          <w:pPr>
                            <w:pStyle w:val="27"/>
                            <w:ind w:firstLine="360"/>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Text Box 7"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YulhTQAAAAAwEAAA8AAAAAAAAAAQAgAAAAIgAAAGRycy9kb3ducmV2LnhtbFBLAQIUABQA&#10;AAAIAIdO4kCq58/AvwEAAJYDAAAOAAAAAAAAAAEAIAAAAB8BAABkcnMvZTJvRG9jLnhtbFBLBQYA&#10;AAAABgAGAFkBAABQBQAAAAA=&#10;">
              <v:fill on="f" focussize="0,0"/>
              <v:stroke on="f"/>
              <v:imagedata o:title=""/>
              <o:lock v:ext="edit" aspectratio="f"/>
              <v:textbox inset="0mm,0mm,0mm,0mm" style="mso-fit-shape-to-text:t;">
                <w:txbxContent>
                  <w:p w14:paraId="063A8A9E">
                    <w:pPr>
                      <w:pStyle w:val="27"/>
                      <w:ind w:firstLine="36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AF97F">
    <w:pPr>
      <w:pStyle w:val="27"/>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3AE83A50">
                          <w:pPr>
                            <w:pStyle w:val="27"/>
                          </w:pPr>
                          <w:r>
                            <w:rPr>
                              <w:rFonts w:hint="eastAsia"/>
                            </w:rPr>
                            <w:fldChar w:fldCharType="begin"/>
                          </w:r>
                          <w:r>
                            <w:rPr>
                              <w:rFonts w:hint="eastAsia"/>
                            </w:rPr>
                            <w:instrText xml:space="preserve"> PAGE  \* MERGEFORMAT </w:instrText>
                          </w:r>
                          <w:r>
                            <w:rPr>
                              <w:rFonts w:hint="eastAsia"/>
                            </w:rPr>
                            <w:fldChar w:fldCharType="separate"/>
                          </w:r>
                          <w:r>
                            <w:rPr>
                              <w:lang w:val="en-US"/>
                            </w:rPr>
                            <w:t>44</w:t>
                          </w:r>
                          <w:r>
                            <w:rPr>
                              <w:rFonts w:hint="eastAsia"/>
                            </w:rP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cOBuG88BAACcAwAADgAAAAAAAAABACAAAAAfAQAAZHJz&#10;L2Uyb0RvYy54bWxQSwUGAAAAAAYABgBZAQAAYAUAAAAA&#10;">
              <v:fill on="f" focussize="0,0"/>
              <v:stroke on="f"/>
              <v:imagedata o:title=""/>
              <o:lock v:ext="edit" aspectratio="f"/>
              <v:textbox inset="0mm,0mm,0mm,0mm" style="mso-fit-shape-to-text:t;">
                <w:txbxContent>
                  <w:p w14:paraId="3AE83A50">
                    <w:pPr>
                      <w:pStyle w:val="27"/>
                    </w:pPr>
                    <w:r>
                      <w:rPr>
                        <w:rFonts w:hint="eastAsia"/>
                      </w:rPr>
                      <w:fldChar w:fldCharType="begin"/>
                    </w:r>
                    <w:r>
                      <w:rPr>
                        <w:rFonts w:hint="eastAsia"/>
                      </w:rPr>
                      <w:instrText xml:space="preserve"> PAGE  \* MERGEFORMAT </w:instrText>
                    </w:r>
                    <w:r>
                      <w:rPr>
                        <w:rFonts w:hint="eastAsia"/>
                      </w:rPr>
                      <w:fldChar w:fldCharType="separate"/>
                    </w:r>
                    <w:r>
                      <w:rPr>
                        <w:lang w:val="en-US"/>
                      </w:rPr>
                      <w:t>44</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8FD06">
    <w:pPr>
      <w:pStyle w:val="27"/>
      <w:jc w:val="center"/>
    </w:pP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103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31E5686A">
                          <w:pPr>
                            <w:pStyle w:val="27"/>
                          </w:pPr>
                          <w:r>
                            <w:rPr>
                              <w:rFonts w:hint="eastAsia"/>
                            </w:rPr>
                            <w:fldChar w:fldCharType="begin"/>
                          </w:r>
                          <w:r>
                            <w:rPr>
                              <w:rFonts w:hint="eastAsia"/>
                            </w:rPr>
                            <w:instrText xml:space="preserve"> PAGE  \* MERGEFORMAT </w:instrText>
                          </w:r>
                          <w:r>
                            <w:rPr>
                              <w:rFonts w:hint="eastAsia"/>
                            </w:rPr>
                            <w:fldChar w:fldCharType="separate"/>
                          </w:r>
                          <w:r>
                            <w:rPr>
                              <w:lang w:val="en-US"/>
                            </w:rPr>
                            <w:t>62</w:t>
                          </w:r>
                          <w:r>
                            <w:rPr>
                              <w:rFonts w:hint="eastAsia"/>
                            </w:rPr>
                            <w:fldChar w:fldCharType="end"/>
                          </w:r>
                        </w:p>
                      </w:txbxContent>
                    </wps:txbx>
                    <wps:bodyPr wrap="none" lIns="0" tIns="0" rIns="0" bIns="0">
                      <a:spAutoFit/>
                    </wps:bodyPr>
                  </wps:wsp>
                </a:graphicData>
              </a:graphic>
            </wp:anchor>
          </w:drawing>
        </mc:Choice>
        <mc:Fallback>
          <w:pict>
            <v:shape id="文本框 1031"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tjGSgM8BAACcAwAADgAAAAAAAAABACAAAAAfAQAAZHJz&#10;L2Uyb0RvYy54bWxQSwUGAAAAAAYABgBZAQAAYAUAAAAA&#10;">
              <v:fill on="f" focussize="0,0"/>
              <v:stroke on="f"/>
              <v:imagedata o:title=""/>
              <o:lock v:ext="edit" aspectratio="f"/>
              <v:textbox inset="0mm,0mm,0mm,0mm" style="mso-fit-shape-to-text:t;">
                <w:txbxContent>
                  <w:p w14:paraId="31E5686A">
                    <w:pPr>
                      <w:pStyle w:val="27"/>
                    </w:pPr>
                    <w:r>
                      <w:rPr>
                        <w:rFonts w:hint="eastAsia"/>
                      </w:rPr>
                      <w:fldChar w:fldCharType="begin"/>
                    </w:r>
                    <w:r>
                      <w:rPr>
                        <w:rFonts w:hint="eastAsia"/>
                      </w:rPr>
                      <w:instrText xml:space="preserve"> PAGE  \* MERGEFORMAT </w:instrText>
                    </w:r>
                    <w:r>
                      <w:rPr>
                        <w:rFonts w:hint="eastAsia"/>
                      </w:rPr>
                      <w:fldChar w:fldCharType="separate"/>
                    </w:r>
                    <w:r>
                      <w:rPr>
                        <w:lang w:val="en-US"/>
                      </w:rPr>
                      <w:t>62</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71029">
    <w:pPr>
      <w:spacing w:line="360" w:lineRule="auto"/>
      <w:jc w:val="center"/>
      <w:rPr>
        <w:rFonts w:hint="eastAsia"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4384" behindDoc="0" locked="0" layoutInCell="1" allowOverlap="1">
              <wp:simplePos x="0" y="0"/>
              <wp:positionH relativeFrom="margin">
                <wp:posOffset>2679700</wp:posOffset>
              </wp:positionH>
              <wp:positionV relativeFrom="paragraph">
                <wp:posOffset>76835</wp:posOffset>
              </wp:positionV>
              <wp:extent cx="533400" cy="163195"/>
              <wp:effectExtent l="0" t="0" r="0" b="0"/>
              <wp:wrapNone/>
              <wp:docPr id="5" name="文本框 11"/>
              <wp:cNvGraphicFramePr/>
              <a:graphic xmlns:a="http://schemas.openxmlformats.org/drawingml/2006/main">
                <a:graphicData uri="http://schemas.microsoft.com/office/word/2010/wordprocessingShape">
                  <wps:wsp>
                    <wps:cNvSpPr txBox="1"/>
                    <wps:spPr>
                      <a:xfrm>
                        <a:off x="0" y="0"/>
                        <a:ext cx="533400" cy="163195"/>
                      </a:xfrm>
                      <a:prstGeom prst="rect">
                        <a:avLst/>
                      </a:prstGeom>
                      <a:noFill/>
                      <a:ln>
                        <a:noFill/>
                      </a:ln>
                    </wps:spPr>
                    <wps:txbx>
                      <w:txbxContent>
                        <w:p w14:paraId="33F70DCE">
                          <w:pPr>
                            <w:spacing w:line="360" w:lineRule="auto"/>
                            <w:ind w:firstLine="629"/>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56</w:t>
                          </w:r>
                          <w:r>
                            <w:rPr>
                              <w:rFonts w:eastAsia="仿宋_GB2312"/>
                              <w:color w:val="000000"/>
                              <w:szCs w:val="21"/>
                            </w:rPr>
                            <w:fldChar w:fldCharType="end"/>
                          </w:r>
                        </w:p>
                      </w:txbxContent>
                    </wps:txbx>
                    <wps:bodyPr wrap="none" lIns="0" tIns="0" rIns="0" bIns="0" upright="1"/>
                  </wps:wsp>
                </a:graphicData>
              </a:graphic>
            </wp:anchor>
          </w:drawing>
        </mc:Choice>
        <mc:Fallback>
          <w:pict>
            <v:shape id="文本框 11" o:spid="_x0000_s1026" o:spt="202" type="#_x0000_t202" style="position:absolute;left:0pt;margin-left:211pt;margin-top:6.05pt;height:12.85pt;width:42pt;mso-position-horizontal-relative:margin;mso-wrap-style:none;z-index:251664384;mso-width-relative:page;mso-height-relative:page;" filled="f" stroked="f" coordsize="21600,21600" o:gfxdata="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5/Fzl1gAAAAkBAAAPAAAAAAAAAAEAIAAAACIAAABkcnMvZG93bnJldi54&#10;bWxQSwECFAAUAAAACACHTuJAVu25hMMBAAB+AwAADgAAAAAAAAABACAAAAAlAQAAZHJzL2Uyb0Rv&#10;Yy54bWxQSwUGAAAAAAYABgBZAQAAWgUAAAAA&#10;">
              <v:fill on="f" focussize="0,0"/>
              <v:stroke on="f"/>
              <v:imagedata o:title=""/>
              <o:lock v:ext="edit" aspectratio="f"/>
              <v:textbox inset="0mm,0mm,0mm,0mm">
                <w:txbxContent>
                  <w:p w14:paraId="33F70DCE">
                    <w:pPr>
                      <w:spacing w:line="360" w:lineRule="auto"/>
                      <w:ind w:firstLine="629"/>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56</w:t>
                    </w:r>
                    <w:r>
                      <w:rPr>
                        <w:rFonts w:eastAsia="仿宋_GB2312"/>
                        <w:color w:val="000000"/>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15FB5">
    <w:pPr>
      <w:pStyle w:val="27"/>
      <w:jc w:val="center"/>
    </w:pPr>
    <w:r>
      <w:rPr>
        <w:lang w:val="en-U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文本框 103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03B14AD7">
                          <w:pPr>
                            <w:pStyle w:val="27"/>
                          </w:pPr>
                          <w:r>
                            <w:rPr>
                              <w:rFonts w:hint="eastAsia"/>
                            </w:rPr>
                            <w:fldChar w:fldCharType="begin"/>
                          </w:r>
                          <w:r>
                            <w:rPr>
                              <w:rFonts w:hint="eastAsia"/>
                            </w:rPr>
                            <w:instrText xml:space="preserve"> PAGE  \* MERGEFORMAT </w:instrText>
                          </w:r>
                          <w:r>
                            <w:rPr>
                              <w:rFonts w:hint="eastAsia"/>
                            </w:rPr>
                            <w:fldChar w:fldCharType="separate"/>
                          </w:r>
                          <w:r>
                            <w:rPr>
                              <w:lang w:val="en-US"/>
                            </w:rPr>
                            <w:t>70</w:t>
                          </w:r>
                          <w:r>
                            <w:rPr>
                              <w:rFonts w:hint="eastAsia"/>
                            </w:rPr>
                            <w:fldChar w:fldCharType="end"/>
                          </w:r>
                        </w:p>
                      </w:txbxContent>
                    </wps:txbx>
                    <wps:bodyPr wrap="none" lIns="0" tIns="0" rIns="0" bIns="0">
                      <a:spAutoFit/>
                    </wps:bodyPr>
                  </wps:wsp>
                </a:graphicData>
              </a:graphic>
            </wp:anchor>
          </w:drawing>
        </mc:Choice>
        <mc:Fallback>
          <w:pict>
            <v:shape id="文本框 1032"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DZXek0zgEAAJwDAAAOAAAAAAAAAAEAIAAAAB8BAABkcnMv&#10;ZTJvRG9jLnhtbFBLBQYAAAAABgAGAFkBAABfBQAAAAA=&#10;">
              <v:fill on="f" focussize="0,0"/>
              <v:stroke on="f"/>
              <v:imagedata o:title=""/>
              <o:lock v:ext="edit" aspectratio="f"/>
              <v:textbox inset="0mm,0mm,0mm,0mm" style="mso-fit-shape-to-text:t;">
                <w:txbxContent>
                  <w:p w14:paraId="03B14AD7">
                    <w:pPr>
                      <w:pStyle w:val="27"/>
                    </w:pPr>
                    <w:r>
                      <w:rPr>
                        <w:rFonts w:hint="eastAsia"/>
                      </w:rPr>
                      <w:fldChar w:fldCharType="begin"/>
                    </w:r>
                    <w:r>
                      <w:rPr>
                        <w:rFonts w:hint="eastAsia"/>
                      </w:rPr>
                      <w:instrText xml:space="preserve"> PAGE  \* MERGEFORMAT </w:instrText>
                    </w:r>
                    <w:r>
                      <w:rPr>
                        <w:rFonts w:hint="eastAsia"/>
                      </w:rPr>
                      <w:fldChar w:fldCharType="separate"/>
                    </w:r>
                    <w:r>
                      <w:rPr>
                        <w:lang w:val="en-US"/>
                      </w:rPr>
                      <w:t>70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C5B8D">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FC4FA">
    <w:pPr>
      <w:pStyle w:val="2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15176">
    <w:pPr>
      <w:pStyle w:val="2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457F1">
    <w:pPr>
      <w:pStyle w:val="28"/>
      <w:pBdr>
        <w:bottom w:val="none" w:color="auto" w:sz="0" w:space="0"/>
      </w:pBdr>
      <w:ind w:firstLine="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6544D">
    <w:pPr>
      <w:pStyle w:val="28"/>
      <w:pBdr>
        <w:bottom w:val="none" w:color="auto" w:sz="0" w:space="1"/>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5BEF6">
    <w:pPr>
      <w:pStyle w:val="17"/>
      <w:tabs>
        <w:tab w:val="left" w:pos="3240"/>
      </w:tabs>
      <w:kinsoku w:val="0"/>
      <w:overflowPunct w:val="0"/>
      <w:spacing w:line="14" w:lineRule="auto"/>
      <w:rPr>
        <w:sz w:val="20"/>
      </w:rPr>
    </w:pPr>
    <w:r>
      <w:rPr>
        <w:rFonts w:hint="eastAsia"/>
        <w:sz w:val="20"/>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3348C">
    <w:pPr>
      <w:ind w:firstLine="420" w:firstLineChars="200"/>
      <w:jc w:val="right"/>
      <w:rPr>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98598">
    <w:pPr>
      <w:pStyle w:val="17"/>
      <w:tabs>
        <w:tab w:val="left" w:pos="3240"/>
      </w:tabs>
      <w:kinsoku w:val="0"/>
      <w:overflowPunct w:val="0"/>
      <w:spacing w:line="14" w:lineRule="auto"/>
      <w:rPr>
        <w:sz w:val="20"/>
      </w:rPr>
    </w:pPr>
    <w:r>
      <w:rPr>
        <w:rFonts w:hint="eastAsia"/>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A06C7"/>
    <w:multiLevelType w:val="singleLevel"/>
    <w:tmpl w:val="96CA06C7"/>
    <w:lvl w:ilvl="0" w:tentative="0">
      <w:start w:val="1"/>
      <w:numFmt w:val="decimal"/>
      <w:lvlText w:val="(%1)"/>
      <w:lvlJc w:val="left"/>
      <w:pPr>
        <w:tabs>
          <w:tab w:val="left" w:pos="0"/>
        </w:tabs>
        <w:ind w:left="425" w:hanging="425"/>
      </w:pPr>
      <w:rPr>
        <w:rFonts w:hint="default"/>
      </w:rPr>
    </w:lvl>
  </w:abstractNum>
  <w:abstractNum w:abstractNumId="1">
    <w:nsid w:val="BBFEFAFE"/>
    <w:multiLevelType w:val="singleLevel"/>
    <w:tmpl w:val="BBFEFAFE"/>
    <w:lvl w:ilvl="0" w:tentative="0">
      <w:start w:val="1"/>
      <w:numFmt w:val="decimal"/>
      <w:suff w:val="nothing"/>
      <w:lvlText w:val="%1、"/>
      <w:lvlJc w:val="left"/>
    </w:lvl>
  </w:abstractNum>
  <w:abstractNum w:abstractNumId="2">
    <w:nsid w:val="C0729F8D"/>
    <w:multiLevelType w:val="singleLevel"/>
    <w:tmpl w:val="C0729F8D"/>
    <w:lvl w:ilvl="0" w:tentative="0">
      <w:start w:val="1"/>
      <w:numFmt w:val="decimal"/>
      <w:suff w:val="nothing"/>
      <w:lvlText w:val="（%1）"/>
      <w:lvlJc w:val="left"/>
    </w:lvl>
  </w:abstractNum>
  <w:abstractNum w:abstractNumId="3">
    <w:nsid w:val="C8547262"/>
    <w:multiLevelType w:val="singleLevel"/>
    <w:tmpl w:val="C8547262"/>
    <w:lvl w:ilvl="0" w:tentative="0">
      <w:start w:val="1"/>
      <w:numFmt w:val="lowerLetter"/>
      <w:suff w:val="space"/>
      <w:lvlText w:val="%1)"/>
      <w:lvlJc w:val="left"/>
    </w:lvl>
  </w:abstractNum>
  <w:abstractNum w:abstractNumId="4">
    <w:nsid w:val="E781B84B"/>
    <w:multiLevelType w:val="singleLevel"/>
    <w:tmpl w:val="E781B84B"/>
    <w:lvl w:ilvl="0" w:tentative="0">
      <w:start w:val="1"/>
      <w:numFmt w:val="decimal"/>
      <w:suff w:val="nothing"/>
      <w:lvlText w:val="%1、"/>
      <w:lvlJc w:val="left"/>
      <w:pPr>
        <w:tabs>
          <w:tab w:val="left" w:pos="0"/>
        </w:tabs>
        <w:ind w:left="0" w:firstLine="397"/>
      </w:pPr>
      <w:rPr>
        <w:rFonts w:hint="default"/>
      </w:rPr>
    </w:lvl>
  </w:abstractNum>
  <w:abstractNum w:abstractNumId="5">
    <w:nsid w:val="223C0219"/>
    <w:multiLevelType w:val="multilevel"/>
    <w:tmpl w:val="223C0219"/>
    <w:lvl w:ilvl="0" w:tentative="0">
      <w:start w:val="1"/>
      <w:numFmt w:val="lowerLetter"/>
      <w:lvlText w:val="%1)"/>
      <w:lvlJc w:val="left"/>
      <w:pPr>
        <w:ind w:left="1128" w:hanging="420"/>
      </w:p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6">
    <w:nsid w:val="246B5FDE"/>
    <w:multiLevelType w:val="multilevel"/>
    <w:tmpl w:val="246B5FDE"/>
    <w:lvl w:ilvl="0" w:tentative="0">
      <w:start w:val="1"/>
      <w:numFmt w:val="lowerLetter"/>
      <w:lvlText w:val="%1)"/>
      <w:lvlJc w:val="left"/>
      <w:pPr>
        <w:ind w:left="1128" w:hanging="420"/>
      </w:p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7">
    <w:nsid w:val="26B10A3E"/>
    <w:multiLevelType w:val="multilevel"/>
    <w:tmpl w:val="26B10A3E"/>
    <w:lvl w:ilvl="0" w:tentative="0">
      <w:start w:val="1"/>
      <w:numFmt w:val="lowerLetter"/>
      <w:lvlText w:val="%1)"/>
      <w:lvlJc w:val="left"/>
      <w:pPr>
        <w:ind w:left="1128" w:hanging="420"/>
      </w:p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8">
    <w:nsid w:val="4B3F755B"/>
    <w:multiLevelType w:val="multilevel"/>
    <w:tmpl w:val="4B3F755B"/>
    <w:lvl w:ilvl="0" w:tentative="0">
      <w:start w:val="1"/>
      <w:numFmt w:val="lowerLetter"/>
      <w:lvlText w:val="%1)"/>
      <w:lvlJc w:val="left"/>
      <w:pPr>
        <w:ind w:left="1128" w:hanging="420"/>
      </w:p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9">
    <w:nsid w:val="5DA30922"/>
    <w:multiLevelType w:val="multilevel"/>
    <w:tmpl w:val="5DA30922"/>
    <w:lvl w:ilvl="0" w:tentative="0">
      <w:start w:val="1"/>
      <w:numFmt w:val="decimal"/>
      <w:pStyle w:val="138"/>
      <w:suff w:val="nothing"/>
      <w:lvlText w:val="%1."/>
      <w:lvlJc w:val="left"/>
      <w:pPr>
        <w:ind w:left="0" w:firstLine="0"/>
      </w:pPr>
      <w:rPr>
        <w:rFonts w:hint="eastAsia"/>
      </w:rPr>
    </w:lvl>
    <w:lvl w:ilvl="1" w:tentative="0">
      <w:start w:val="1"/>
      <w:numFmt w:val="lowerLetter"/>
      <w:lvlText w:val="%2)"/>
      <w:lvlJc w:val="left"/>
      <w:pPr>
        <w:ind w:left="1396" w:hanging="420"/>
      </w:pPr>
    </w:lvl>
    <w:lvl w:ilvl="2" w:tentative="0">
      <w:start w:val="1"/>
      <w:numFmt w:val="lowerRoman"/>
      <w:lvlText w:val="%3."/>
      <w:lvlJc w:val="right"/>
      <w:pPr>
        <w:ind w:left="1816" w:hanging="420"/>
      </w:pPr>
    </w:lvl>
    <w:lvl w:ilvl="3" w:tentative="0">
      <w:start w:val="1"/>
      <w:numFmt w:val="decimal"/>
      <w:lvlText w:val="%4."/>
      <w:lvlJc w:val="left"/>
      <w:pPr>
        <w:ind w:left="2236" w:hanging="420"/>
      </w:pPr>
    </w:lvl>
    <w:lvl w:ilvl="4" w:tentative="0">
      <w:start w:val="1"/>
      <w:numFmt w:val="lowerLetter"/>
      <w:lvlText w:val="%5)"/>
      <w:lvlJc w:val="left"/>
      <w:pPr>
        <w:ind w:left="2656" w:hanging="420"/>
      </w:pPr>
    </w:lvl>
    <w:lvl w:ilvl="5" w:tentative="0">
      <w:start w:val="1"/>
      <w:numFmt w:val="lowerRoman"/>
      <w:lvlText w:val="%6."/>
      <w:lvlJc w:val="right"/>
      <w:pPr>
        <w:ind w:left="3076" w:hanging="420"/>
      </w:pPr>
    </w:lvl>
    <w:lvl w:ilvl="6" w:tentative="0">
      <w:start w:val="1"/>
      <w:numFmt w:val="decimal"/>
      <w:lvlText w:val="%7."/>
      <w:lvlJc w:val="left"/>
      <w:pPr>
        <w:ind w:left="3496" w:hanging="420"/>
      </w:pPr>
    </w:lvl>
    <w:lvl w:ilvl="7" w:tentative="0">
      <w:start w:val="1"/>
      <w:numFmt w:val="lowerLetter"/>
      <w:lvlText w:val="%8)"/>
      <w:lvlJc w:val="left"/>
      <w:pPr>
        <w:ind w:left="3916" w:hanging="420"/>
      </w:pPr>
    </w:lvl>
    <w:lvl w:ilvl="8" w:tentative="0">
      <w:start w:val="1"/>
      <w:numFmt w:val="lowerRoman"/>
      <w:lvlText w:val="%9."/>
      <w:lvlJc w:val="right"/>
      <w:pPr>
        <w:ind w:left="4336" w:hanging="420"/>
      </w:pPr>
    </w:lvl>
  </w:abstractNum>
  <w:abstractNum w:abstractNumId="10">
    <w:nsid w:val="620D67B9"/>
    <w:multiLevelType w:val="multilevel"/>
    <w:tmpl w:val="620D67B9"/>
    <w:lvl w:ilvl="0" w:tentative="0">
      <w:start w:val="1"/>
      <w:numFmt w:val="lowerLetter"/>
      <w:lvlText w:val="%1)"/>
      <w:lvlJc w:val="left"/>
      <w:pPr>
        <w:ind w:left="1128" w:hanging="420"/>
      </w:p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1">
    <w:nsid w:val="6F306411"/>
    <w:multiLevelType w:val="multilevel"/>
    <w:tmpl w:val="6F306411"/>
    <w:lvl w:ilvl="0" w:tentative="0">
      <w:start w:val="1"/>
      <w:numFmt w:val="lowerLetter"/>
      <w:lvlText w:val="%1)"/>
      <w:lvlJc w:val="left"/>
      <w:pPr>
        <w:ind w:left="1128" w:hanging="420"/>
      </w:p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2">
    <w:nsid w:val="724C2C5B"/>
    <w:multiLevelType w:val="multilevel"/>
    <w:tmpl w:val="724C2C5B"/>
    <w:lvl w:ilvl="0" w:tentative="0">
      <w:start w:val="1"/>
      <w:numFmt w:val="lowerLetter"/>
      <w:lvlText w:val="%1)"/>
      <w:lvlJc w:val="left"/>
      <w:pPr>
        <w:ind w:left="1128" w:hanging="420"/>
      </w:p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num w:numId="1">
    <w:abstractNumId w:val="9"/>
  </w:num>
  <w:num w:numId="2">
    <w:abstractNumId w:val="1"/>
  </w:num>
  <w:num w:numId="3">
    <w:abstractNumId w:val="6"/>
  </w:num>
  <w:num w:numId="4">
    <w:abstractNumId w:val="3"/>
  </w:num>
  <w:num w:numId="5">
    <w:abstractNumId w:val="5"/>
  </w:num>
  <w:num w:numId="6">
    <w:abstractNumId w:val="8"/>
  </w:num>
  <w:num w:numId="7">
    <w:abstractNumId w:val="12"/>
  </w:num>
  <w:num w:numId="8">
    <w:abstractNumId w:val="2"/>
  </w:num>
  <w:num w:numId="9">
    <w:abstractNumId w:val="7"/>
  </w:num>
  <w:num w:numId="10">
    <w:abstractNumId w:val="11"/>
  </w:num>
  <w:num w:numId="11">
    <w:abstractNumId w:val="10"/>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trackRevisions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 w:name="KSO_WPS_MARK_KEY" w:val="31f30362-be62-4cf5-93d5-4b4a42e80207"/>
  </w:docVars>
  <w:rsids>
    <w:rsidRoot w:val="001B48A2"/>
    <w:rsid w:val="00000009"/>
    <w:rsid w:val="00002287"/>
    <w:rsid w:val="0000245D"/>
    <w:rsid w:val="0000567C"/>
    <w:rsid w:val="00007E0D"/>
    <w:rsid w:val="0001071D"/>
    <w:rsid w:val="00012EE0"/>
    <w:rsid w:val="0001343B"/>
    <w:rsid w:val="000152E4"/>
    <w:rsid w:val="000160D7"/>
    <w:rsid w:val="0002220C"/>
    <w:rsid w:val="000271AB"/>
    <w:rsid w:val="00031BF7"/>
    <w:rsid w:val="00031CC2"/>
    <w:rsid w:val="00033C05"/>
    <w:rsid w:val="00043F1A"/>
    <w:rsid w:val="00044B19"/>
    <w:rsid w:val="00050329"/>
    <w:rsid w:val="00053B19"/>
    <w:rsid w:val="000653BD"/>
    <w:rsid w:val="00067DE0"/>
    <w:rsid w:val="000709D7"/>
    <w:rsid w:val="00070EF1"/>
    <w:rsid w:val="00071602"/>
    <w:rsid w:val="000761A2"/>
    <w:rsid w:val="00081CEC"/>
    <w:rsid w:val="000865BA"/>
    <w:rsid w:val="00087B78"/>
    <w:rsid w:val="000901C3"/>
    <w:rsid w:val="00091EB6"/>
    <w:rsid w:val="00095640"/>
    <w:rsid w:val="00095BCD"/>
    <w:rsid w:val="0009614A"/>
    <w:rsid w:val="000A01DB"/>
    <w:rsid w:val="000B038F"/>
    <w:rsid w:val="000B0E92"/>
    <w:rsid w:val="000B1D48"/>
    <w:rsid w:val="000C01B4"/>
    <w:rsid w:val="000C090E"/>
    <w:rsid w:val="000C1A44"/>
    <w:rsid w:val="000C1A73"/>
    <w:rsid w:val="000C21F2"/>
    <w:rsid w:val="000C2675"/>
    <w:rsid w:val="000C5303"/>
    <w:rsid w:val="000C6C92"/>
    <w:rsid w:val="000C6E10"/>
    <w:rsid w:val="000D3E3C"/>
    <w:rsid w:val="000D4D93"/>
    <w:rsid w:val="000D7D67"/>
    <w:rsid w:val="000E17ED"/>
    <w:rsid w:val="000E3D9D"/>
    <w:rsid w:val="000F1147"/>
    <w:rsid w:val="000F2B5E"/>
    <w:rsid w:val="000F334A"/>
    <w:rsid w:val="000F6B6D"/>
    <w:rsid w:val="0010670D"/>
    <w:rsid w:val="0011250E"/>
    <w:rsid w:val="00112C71"/>
    <w:rsid w:val="00113540"/>
    <w:rsid w:val="00117EBF"/>
    <w:rsid w:val="00120FCF"/>
    <w:rsid w:val="00122386"/>
    <w:rsid w:val="0012412C"/>
    <w:rsid w:val="00124C81"/>
    <w:rsid w:val="00125190"/>
    <w:rsid w:val="00126A03"/>
    <w:rsid w:val="00126FC3"/>
    <w:rsid w:val="001272CB"/>
    <w:rsid w:val="00127CF1"/>
    <w:rsid w:val="001302DE"/>
    <w:rsid w:val="001327B6"/>
    <w:rsid w:val="001335AA"/>
    <w:rsid w:val="00135ECF"/>
    <w:rsid w:val="00142D6A"/>
    <w:rsid w:val="00145859"/>
    <w:rsid w:val="00147840"/>
    <w:rsid w:val="00151BDF"/>
    <w:rsid w:val="00152235"/>
    <w:rsid w:val="001570FF"/>
    <w:rsid w:val="00160939"/>
    <w:rsid w:val="00162D56"/>
    <w:rsid w:val="0016688C"/>
    <w:rsid w:val="001672EF"/>
    <w:rsid w:val="00167447"/>
    <w:rsid w:val="00170A9B"/>
    <w:rsid w:val="00171079"/>
    <w:rsid w:val="00172B3B"/>
    <w:rsid w:val="00174D79"/>
    <w:rsid w:val="0018323F"/>
    <w:rsid w:val="001837F8"/>
    <w:rsid w:val="00186EC5"/>
    <w:rsid w:val="00193318"/>
    <w:rsid w:val="0019566B"/>
    <w:rsid w:val="001A06CF"/>
    <w:rsid w:val="001A33B7"/>
    <w:rsid w:val="001A68EE"/>
    <w:rsid w:val="001A7BC0"/>
    <w:rsid w:val="001B223C"/>
    <w:rsid w:val="001B48A2"/>
    <w:rsid w:val="001B744A"/>
    <w:rsid w:val="001C18F9"/>
    <w:rsid w:val="001C4507"/>
    <w:rsid w:val="001C5CEC"/>
    <w:rsid w:val="001D0CAF"/>
    <w:rsid w:val="001D1E13"/>
    <w:rsid w:val="001D36F3"/>
    <w:rsid w:val="001D513D"/>
    <w:rsid w:val="001D7A92"/>
    <w:rsid w:val="001E60A6"/>
    <w:rsid w:val="001E6A58"/>
    <w:rsid w:val="001E6B00"/>
    <w:rsid w:val="001E7E7C"/>
    <w:rsid w:val="001F0135"/>
    <w:rsid w:val="001F0555"/>
    <w:rsid w:val="001F0A52"/>
    <w:rsid w:val="001F18D2"/>
    <w:rsid w:val="001F76FD"/>
    <w:rsid w:val="002010D8"/>
    <w:rsid w:val="00202707"/>
    <w:rsid w:val="00202BB5"/>
    <w:rsid w:val="00203BFA"/>
    <w:rsid w:val="0020547C"/>
    <w:rsid w:val="00210A07"/>
    <w:rsid w:val="002131CE"/>
    <w:rsid w:val="00213D50"/>
    <w:rsid w:val="0021419C"/>
    <w:rsid w:val="002157BC"/>
    <w:rsid w:val="00215C92"/>
    <w:rsid w:val="00215E8C"/>
    <w:rsid w:val="00224562"/>
    <w:rsid w:val="00230055"/>
    <w:rsid w:val="00230BB6"/>
    <w:rsid w:val="00232D38"/>
    <w:rsid w:val="00232D77"/>
    <w:rsid w:val="0023453F"/>
    <w:rsid w:val="00235A6E"/>
    <w:rsid w:val="002363A3"/>
    <w:rsid w:val="00242A68"/>
    <w:rsid w:val="0024409C"/>
    <w:rsid w:val="00244F45"/>
    <w:rsid w:val="00245376"/>
    <w:rsid w:val="00250010"/>
    <w:rsid w:val="00250723"/>
    <w:rsid w:val="0025714C"/>
    <w:rsid w:val="00270B2F"/>
    <w:rsid w:val="00275C9E"/>
    <w:rsid w:val="00280BE6"/>
    <w:rsid w:val="00287092"/>
    <w:rsid w:val="00293878"/>
    <w:rsid w:val="002969C2"/>
    <w:rsid w:val="002A2D33"/>
    <w:rsid w:val="002B18CA"/>
    <w:rsid w:val="002B1AB8"/>
    <w:rsid w:val="002B2A46"/>
    <w:rsid w:val="002B3188"/>
    <w:rsid w:val="002B58E0"/>
    <w:rsid w:val="002B5F2A"/>
    <w:rsid w:val="002C3FC0"/>
    <w:rsid w:val="002C5A31"/>
    <w:rsid w:val="002D3B34"/>
    <w:rsid w:val="002D3ED3"/>
    <w:rsid w:val="002D60F7"/>
    <w:rsid w:val="002E156A"/>
    <w:rsid w:val="002E2C3D"/>
    <w:rsid w:val="002E3D3E"/>
    <w:rsid w:val="002F04B8"/>
    <w:rsid w:val="002F43B6"/>
    <w:rsid w:val="002F6883"/>
    <w:rsid w:val="003055D4"/>
    <w:rsid w:val="003109D1"/>
    <w:rsid w:val="00312325"/>
    <w:rsid w:val="00316251"/>
    <w:rsid w:val="003224BA"/>
    <w:rsid w:val="0032499F"/>
    <w:rsid w:val="00325736"/>
    <w:rsid w:val="00334C8B"/>
    <w:rsid w:val="00335F1C"/>
    <w:rsid w:val="003360A9"/>
    <w:rsid w:val="003421A3"/>
    <w:rsid w:val="003421E5"/>
    <w:rsid w:val="00343BC1"/>
    <w:rsid w:val="00346EE2"/>
    <w:rsid w:val="00347AAE"/>
    <w:rsid w:val="0035011E"/>
    <w:rsid w:val="0035182F"/>
    <w:rsid w:val="0035200B"/>
    <w:rsid w:val="00353A44"/>
    <w:rsid w:val="0035480B"/>
    <w:rsid w:val="00364984"/>
    <w:rsid w:val="00371B1B"/>
    <w:rsid w:val="003817DA"/>
    <w:rsid w:val="0038283D"/>
    <w:rsid w:val="00382CB9"/>
    <w:rsid w:val="00382F91"/>
    <w:rsid w:val="0038515D"/>
    <w:rsid w:val="00385412"/>
    <w:rsid w:val="0039052D"/>
    <w:rsid w:val="003A21FD"/>
    <w:rsid w:val="003A24B9"/>
    <w:rsid w:val="003A672E"/>
    <w:rsid w:val="003B006B"/>
    <w:rsid w:val="003B1BB1"/>
    <w:rsid w:val="003B442A"/>
    <w:rsid w:val="003C0330"/>
    <w:rsid w:val="003C098D"/>
    <w:rsid w:val="003C0EA5"/>
    <w:rsid w:val="003C1203"/>
    <w:rsid w:val="003C2B8B"/>
    <w:rsid w:val="003C408D"/>
    <w:rsid w:val="003C49D6"/>
    <w:rsid w:val="003C65FD"/>
    <w:rsid w:val="003C66D2"/>
    <w:rsid w:val="003D1D5F"/>
    <w:rsid w:val="003D6007"/>
    <w:rsid w:val="003D6388"/>
    <w:rsid w:val="003D7A6D"/>
    <w:rsid w:val="003E0F6C"/>
    <w:rsid w:val="003E12D4"/>
    <w:rsid w:val="003E7047"/>
    <w:rsid w:val="003E713C"/>
    <w:rsid w:val="003E72FC"/>
    <w:rsid w:val="003F0248"/>
    <w:rsid w:val="003F0C63"/>
    <w:rsid w:val="003F2853"/>
    <w:rsid w:val="003F3859"/>
    <w:rsid w:val="003F3D75"/>
    <w:rsid w:val="004010A1"/>
    <w:rsid w:val="00404540"/>
    <w:rsid w:val="00404692"/>
    <w:rsid w:val="004105C6"/>
    <w:rsid w:val="00410BBF"/>
    <w:rsid w:val="004114FB"/>
    <w:rsid w:val="00420F78"/>
    <w:rsid w:val="0042283F"/>
    <w:rsid w:val="004231E1"/>
    <w:rsid w:val="00426460"/>
    <w:rsid w:val="004268C5"/>
    <w:rsid w:val="00426BCD"/>
    <w:rsid w:val="00426C7A"/>
    <w:rsid w:val="0043276A"/>
    <w:rsid w:val="00432902"/>
    <w:rsid w:val="0043439E"/>
    <w:rsid w:val="00435406"/>
    <w:rsid w:val="00436D89"/>
    <w:rsid w:val="00436EEF"/>
    <w:rsid w:val="00437909"/>
    <w:rsid w:val="00441793"/>
    <w:rsid w:val="00445559"/>
    <w:rsid w:val="00447DF8"/>
    <w:rsid w:val="004526B3"/>
    <w:rsid w:val="00454C9A"/>
    <w:rsid w:val="00454E6D"/>
    <w:rsid w:val="00455952"/>
    <w:rsid w:val="00456E82"/>
    <w:rsid w:val="00456F3A"/>
    <w:rsid w:val="00467A98"/>
    <w:rsid w:val="0047408E"/>
    <w:rsid w:val="00474671"/>
    <w:rsid w:val="00475682"/>
    <w:rsid w:val="00477482"/>
    <w:rsid w:val="00481C9B"/>
    <w:rsid w:val="00484996"/>
    <w:rsid w:val="004854B7"/>
    <w:rsid w:val="004940C1"/>
    <w:rsid w:val="004A46E0"/>
    <w:rsid w:val="004A559D"/>
    <w:rsid w:val="004B2A96"/>
    <w:rsid w:val="004B4537"/>
    <w:rsid w:val="004B4B4B"/>
    <w:rsid w:val="004B7070"/>
    <w:rsid w:val="004B7FC9"/>
    <w:rsid w:val="004C3C13"/>
    <w:rsid w:val="004C5DFA"/>
    <w:rsid w:val="004C77BD"/>
    <w:rsid w:val="004C7BF0"/>
    <w:rsid w:val="004D4112"/>
    <w:rsid w:val="004D6875"/>
    <w:rsid w:val="004E604F"/>
    <w:rsid w:val="004F03D9"/>
    <w:rsid w:val="004F1361"/>
    <w:rsid w:val="004F16F8"/>
    <w:rsid w:val="004F2597"/>
    <w:rsid w:val="004F3D88"/>
    <w:rsid w:val="004F5A87"/>
    <w:rsid w:val="00500EC2"/>
    <w:rsid w:val="00501124"/>
    <w:rsid w:val="00501E77"/>
    <w:rsid w:val="00503092"/>
    <w:rsid w:val="00503939"/>
    <w:rsid w:val="00503983"/>
    <w:rsid w:val="00507AA7"/>
    <w:rsid w:val="005114CE"/>
    <w:rsid w:val="00512CDC"/>
    <w:rsid w:val="005135C5"/>
    <w:rsid w:val="005144DE"/>
    <w:rsid w:val="00516736"/>
    <w:rsid w:val="00516979"/>
    <w:rsid w:val="00516CD4"/>
    <w:rsid w:val="005259E6"/>
    <w:rsid w:val="005302AF"/>
    <w:rsid w:val="00532D3F"/>
    <w:rsid w:val="0053444B"/>
    <w:rsid w:val="00534F15"/>
    <w:rsid w:val="00537E42"/>
    <w:rsid w:val="005432AC"/>
    <w:rsid w:val="00543C31"/>
    <w:rsid w:val="0054569C"/>
    <w:rsid w:val="0054603D"/>
    <w:rsid w:val="00546FD5"/>
    <w:rsid w:val="00551DEA"/>
    <w:rsid w:val="00552709"/>
    <w:rsid w:val="00553840"/>
    <w:rsid w:val="00563CBD"/>
    <w:rsid w:val="005660FD"/>
    <w:rsid w:val="00567334"/>
    <w:rsid w:val="00567E7E"/>
    <w:rsid w:val="00570C20"/>
    <w:rsid w:val="00572719"/>
    <w:rsid w:val="00576387"/>
    <w:rsid w:val="0057784C"/>
    <w:rsid w:val="005866C3"/>
    <w:rsid w:val="00587CE5"/>
    <w:rsid w:val="00591225"/>
    <w:rsid w:val="0059355E"/>
    <w:rsid w:val="00594380"/>
    <w:rsid w:val="00595BB4"/>
    <w:rsid w:val="0059620B"/>
    <w:rsid w:val="005A1719"/>
    <w:rsid w:val="005A3E0A"/>
    <w:rsid w:val="005A697C"/>
    <w:rsid w:val="005B4E64"/>
    <w:rsid w:val="005B5AF8"/>
    <w:rsid w:val="005C1313"/>
    <w:rsid w:val="005C18E9"/>
    <w:rsid w:val="005C483D"/>
    <w:rsid w:val="005C51D9"/>
    <w:rsid w:val="005D4AE2"/>
    <w:rsid w:val="005D6DC2"/>
    <w:rsid w:val="005E1BA6"/>
    <w:rsid w:val="005E1CB9"/>
    <w:rsid w:val="005E1E06"/>
    <w:rsid w:val="005E28AE"/>
    <w:rsid w:val="005E2D2A"/>
    <w:rsid w:val="005E32EC"/>
    <w:rsid w:val="005E3716"/>
    <w:rsid w:val="005E3DD1"/>
    <w:rsid w:val="005E44D8"/>
    <w:rsid w:val="005E6BF5"/>
    <w:rsid w:val="005E769F"/>
    <w:rsid w:val="005F3684"/>
    <w:rsid w:val="005F3A6F"/>
    <w:rsid w:val="005F6937"/>
    <w:rsid w:val="005F7A66"/>
    <w:rsid w:val="00600990"/>
    <w:rsid w:val="00605EEE"/>
    <w:rsid w:val="00612C7A"/>
    <w:rsid w:val="00613676"/>
    <w:rsid w:val="0061641A"/>
    <w:rsid w:val="0062239E"/>
    <w:rsid w:val="006265A7"/>
    <w:rsid w:val="0062687B"/>
    <w:rsid w:val="006329F3"/>
    <w:rsid w:val="006332E2"/>
    <w:rsid w:val="00634436"/>
    <w:rsid w:val="00634A38"/>
    <w:rsid w:val="00642AE5"/>
    <w:rsid w:val="00644444"/>
    <w:rsid w:val="00646BE2"/>
    <w:rsid w:val="00646EF8"/>
    <w:rsid w:val="00654144"/>
    <w:rsid w:val="00655E83"/>
    <w:rsid w:val="00660FDC"/>
    <w:rsid w:val="006718CE"/>
    <w:rsid w:val="006730C6"/>
    <w:rsid w:val="00673143"/>
    <w:rsid w:val="0067459D"/>
    <w:rsid w:val="006771B6"/>
    <w:rsid w:val="00677770"/>
    <w:rsid w:val="00682F83"/>
    <w:rsid w:val="006867D4"/>
    <w:rsid w:val="00691A5B"/>
    <w:rsid w:val="0069467D"/>
    <w:rsid w:val="006954FB"/>
    <w:rsid w:val="0069573A"/>
    <w:rsid w:val="00696404"/>
    <w:rsid w:val="006A4206"/>
    <w:rsid w:val="006A5114"/>
    <w:rsid w:val="006A71A2"/>
    <w:rsid w:val="006B22B5"/>
    <w:rsid w:val="006B246A"/>
    <w:rsid w:val="006C02C8"/>
    <w:rsid w:val="006C302C"/>
    <w:rsid w:val="006C381F"/>
    <w:rsid w:val="006C49EA"/>
    <w:rsid w:val="006C704B"/>
    <w:rsid w:val="006C74A8"/>
    <w:rsid w:val="006D6FB9"/>
    <w:rsid w:val="006D7D84"/>
    <w:rsid w:val="006E0E60"/>
    <w:rsid w:val="006E0F02"/>
    <w:rsid w:val="006E1E0B"/>
    <w:rsid w:val="006E23BB"/>
    <w:rsid w:val="006E602B"/>
    <w:rsid w:val="006E7D18"/>
    <w:rsid w:val="006F0093"/>
    <w:rsid w:val="006F3455"/>
    <w:rsid w:val="006F3713"/>
    <w:rsid w:val="006F6535"/>
    <w:rsid w:val="006F7025"/>
    <w:rsid w:val="00701D5F"/>
    <w:rsid w:val="007034C8"/>
    <w:rsid w:val="00703AA8"/>
    <w:rsid w:val="0070637C"/>
    <w:rsid w:val="007114B9"/>
    <w:rsid w:val="00712869"/>
    <w:rsid w:val="00713206"/>
    <w:rsid w:val="007148EA"/>
    <w:rsid w:val="007322C5"/>
    <w:rsid w:val="00737A40"/>
    <w:rsid w:val="00740F04"/>
    <w:rsid w:val="00741545"/>
    <w:rsid w:val="0074318C"/>
    <w:rsid w:val="00744D9A"/>
    <w:rsid w:val="007506B8"/>
    <w:rsid w:val="00750BBF"/>
    <w:rsid w:val="00752FF1"/>
    <w:rsid w:val="00753A5E"/>
    <w:rsid w:val="007559AB"/>
    <w:rsid w:val="00755BF9"/>
    <w:rsid w:val="00756C90"/>
    <w:rsid w:val="007646F2"/>
    <w:rsid w:val="00765EE9"/>
    <w:rsid w:val="00766C90"/>
    <w:rsid w:val="00766E65"/>
    <w:rsid w:val="007744D0"/>
    <w:rsid w:val="00775CB5"/>
    <w:rsid w:val="00781FF5"/>
    <w:rsid w:val="00793F23"/>
    <w:rsid w:val="00795061"/>
    <w:rsid w:val="00797C40"/>
    <w:rsid w:val="007A3D55"/>
    <w:rsid w:val="007A65F4"/>
    <w:rsid w:val="007B01C4"/>
    <w:rsid w:val="007B0A6C"/>
    <w:rsid w:val="007B2C77"/>
    <w:rsid w:val="007C3973"/>
    <w:rsid w:val="007C481F"/>
    <w:rsid w:val="007C5B61"/>
    <w:rsid w:val="007D07EF"/>
    <w:rsid w:val="007D09E8"/>
    <w:rsid w:val="007D1FDC"/>
    <w:rsid w:val="007D4C68"/>
    <w:rsid w:val="007D757F"/>
    <w:rsid w:val="007E2BE3"/>
    <w:rsid w:val="007E4BD4"/>
    <w:rsid w:val="007F10DF"/>
    <w:rsid w:val="008000BA"/>
    <w:rsid w:val="00801AA4"/>
    <w:rsid w:val="00803A79"/>
    <w:rsid w:val="00805C38"/>
    <w:rsid w:val="00806158"/>
    <w:rsid w:val="00807595"/>
    <w:rsid w:val="00807ABB"/>
    <w:rsid w:val="00814F03"/>
    <w:rsid w:val="00822091"/>
    <w:rsid w:val="008220E4"/>
    <w:rsid w:val="00826F28"/>
    <w:rsid w:val="00827157"/>
    <w:rsid w:val="00827EF1"/>
    <w:rsid w:val="00832255"/>
    <w:rsid w:val="008341C0"/>
    <w:rsid w:val="00835A0E"/>
    <w:rsid w:val="00837178"/>
    <w:rsid w:val="00840729"/>
    <w:rsid w:val="00841543"/>
    <w:rsid w:val="00843D56"/>
    <w:rsid w:val="0084410E"/>
    <w:rsid w:val="008441CD"/>
    <w:rsid w:val="008441D3"/>
    <w:rsid w:val="008457F6"/>
    <w:rsid w:val="00845B55"/>
    <w:rsid w:val="0084788F"/>
    <w:rsid w:val="00854EB7"/>
    <w:rsid w:val="0085717B"/>
    <w:rsid w:val="00857AD5"/>
    <w:rsid w:val="00857C26"/>
    <w:rsid w:val="00860E87"/>
    <w:rsid w:val="00862AF8"/>
    <w:rsid w:val="008634CB"/>
    <w:rsid w:val="008647EE"/>
    <w:rsid w:val="00876025"/>
    <w:rsid w:val="00890F86"/>
    <w:rsid w:val="00892064"/>
    <w:rsid w:val="008943A9"/>
    <w:rsid w:val="00895262"/>
    <w:rsid w:val="008953F8"/>
    <w:rsid w:val="00896702"/>
    <w:rsid w:val="008967C0"/>
    <w:rsid w:val="008A3579"/>
    <w:rsid w:val="008B084C"/>
    <w:rsid w:val="008B0A43"/>
    <w:rsid w:val="008B4A57"/>
    <w:rsid w:val="008B5E4F"/>
    <w:rsid w:val="008C4DD1"/>
    <w:rsid w:val="008D5908"/>
    <w:rsid w:val="008D6904"/>
    <w:rsid w:val="008E193B"/>
    <w:rsid w:val="008E49AE"/>
    <w:rsid w:val="008F3D60"/>
    <w:rsid w:val="008F5559"/>
    <w:rsid w:val="008F7BEB"/>
    <w:rsid w:val="00900964"/>
    <w:rsid w:val="00901115"/>
    <w:rsid w:val="009011E3"/>
    <w:rsid w:val="00901DBE"/>
    <w:rsid w:val="0090298F"/>
    <w:rsid w:val="00903032"/>
    <w:rsid w:val="009049BD"/>
    <w:rsid w:val="00904C89"/>
    <w:rsid w:val="009070B6"/>
    <w:rsid w:val="00910BE8"/>
    <w:rsid w:val="00914B2B"/>
    <w:rsid w:val="00914BC6"/>
    <w:rsid w:val="009171D3"/>
    <w:rsid w:val="00923EC8"/>
    <w:rsid w:val="00930E86"/>
    <w:rsid w:val="00932EF3"/>
    <w:rsid w:val="00933DAA"/>
    <w:rsid w:val="00934032"/>
    <w:rsid w:val="00941B44"/>
    <w:rsid w:val="009421BB"/>
    <w:rsid w:val="009424EF"/>
    <w:rsid w:val="0094456C"/>
    <w:rsid w:val="00946A37"/>
    <w:rsid w:val="00950AE3"/>
    <w:rsid w:val="00950F80"/>
    <w:rsid w:val="00954DD9"/>
    <w:rsid w:val="00960D2C"/>
    <w:rsid w:val="00961CDF"/>
    <w:rsid w:val="00963092"/>
    <w:rsid w:val="00967127"/>
    <w:rsid w:val="0097271A"/>
    <w:rsid w:val="0097380D"/>
    <w:rsid w:val="00973DF2"/>
    <w:rsid w:val="009740A9"/>
    <w:rsid w:val="00975A17"/>
    <w:rsid w:val="0097618F"/>
    <w:rsid w:val="00977217"/>
    <w:rsid w:val="00977D6D"/>
    <w:rsid w:val="00981612"/>
    <w:rsid w:val="009816CA"/>
    <w:rsid w:val="0098186D"/>
    <w:rsid w:val="00983C6E"/>
    <w:rsid w:val="00984427"/>
    <w:rsid w:val="009871B6"/>
    <w:rsid w:val="009923AC"/>
    <w:rsid w:val="00995696"/>
    <w:rsid w:val="00996AF8"/>
    <w:rsid w:val="009A166A"/>
    <w:rsid w:val="009A1992"/>
    <w:rsid w:val="009A6A67"/>
    <w:rsid w:val="009A6CEF"/>
    <w:rsid w:val="009A7A71"/>
    <w:rsid w:val="009B0C2E"/>
    <w:rsid w:val="009B4817"/>
    <w:rsid w:val="009B5E4F"/>
    <w:rsid w:val="009C0142"/>
    <w:rsid w:val="009C786D"/>
    <w:rsid w:val="009D1FF6"/>
    <w:rsid w:val="009D2686"/>
    <w:rsid w:val="009D2B27"/>
    <w:rsid w:val="009D5D1F"/>
    <w:rsid w:val="009E07C8"/>
    <w:rsid w:val="009E150A"/>
    <w:rsid w:val="009E1E00"/>
    <w:rsid w:val="009E34F2"/>
    <w:rsid w:val="009E5C97"/>
    <w:rsid w:val="009E7D65"/>
    <w:rsid w:val="009F3A29"/>
    <w:rsid w:val="009F57E8"/>
    <w:rsid w:val="009F7D89"/>
    <w:rsid w:val="00A00032"/>
    <w:rsid w:val="00A047DB"/>
    <w:rsid w:val="00A0580A"/>
    <w:rsid w:val="00A06545"/>
    <w:rsid w:val="00A07844"/>
    <w:rsid w:val="00A10D95"/>
    <w:rsid w:val="00A12B35"/>
    <w:rsid w:val="00A14AFB"/>
    <w:rsid w:val="00A1504A"/>
    <w:rsid w:val="00A169D0"/>
    <w:rsid w:val="00A20153"/>
    <w:rsid w:val="00A21583"/>
    <w:rsid w:val="00A236D3"/>
    <w:rsid w:val="00A30019"/>
    <w:rsid w:val="00A305A9"/>
    <w:rsid w:val="00A30EFF"/>
    <w:rsid w:val="00A314E8"/>
    <w:rsid w:val="00A37BC3"/>
    <w:rsid w:val="00A51C7D"/>
    <w:rsid w:val="00A55A5E"/>
    <w:rsid w:val="00A56F7C"/>
    <w:rsid w:val="00A5779C"/>
    <w:rsid w:val="00A601CA"/>
    <w:rsid w:val="00A60E85"/>
    <w:rsid w:val="00A60F52"/>
    <w:rsid w:val="00A66E23"/>
    <w:rsid w:val="00A700CC"/>
    <w:rsid w:val="00A7049F"/>
    <w:rsid w:val="00A73516"/>
    <w:rsid w:val="00A73A2B"/>
    <w:rsid w:val="00A767C3"/>
    <w:rsid w:val="00A8127F"/>
    <w:rsid w:val="00A813A0"/>
    <w:rsid w:val="00A8176A"/>
    <w:rsid w:val="00A81A17"/>
    <w:rsid w:val="00A91DBB"/>
    <w:rsid w:val="00A942EA"/>
    <w:rsid w:val="00A96587"/>
    <w:rsid w:val="00AA021A"/>
    <w:rsid w:val="00AA46A1"/>
    <w:rsid w:val="00AA4748"/>
    <w:rsid w:val="00AA5D58"/>
    <w:rsid w:val="00AA61B8"/>
    <w:rsid w:val="00AA79D4"/>
    <w:rsid w:val="00AB2071"/>
    <w:rsid w:val="00AB51E0"/>
    <w:rsid w:val="00AC0CAB"/>
    <w:rsid w:val="00AC1287"/>
    <w:rsid w:val="00AC4BA0"/>
    <w:rsid w:val="00AC63CC"/>
    <w:rsid w:val="00AC681C"/>
    <w:rsid w:val="00AD0588"/>
    <w:rsid w:val="00AD115F"/>
    <w:rsid w:val="00AD4A77"/>
    <w:rsid w:val="00AE09FB"/>
    <w:rsid w:val="00AE467F"/>
    <w:rsid w:val="00AE6B4D"/>
    <w:rsid w:val="00AF10FC"/>
    <w:rsid w:val="00AF5157"/>
    <w:rsid w:val="00AF5F45"/>
    <w:rsid w:val="00B02D65"/>
    <w:rsid w:val="00B03A99"/>
    <w:rsid w:val="00B04508"/>
    <w:rsid w:val="00B07C38"/>
    <w:rsid w:val="00B13E9C"/>
    <w:rsid w:val="00B14E42"/>
    <w:rsid w:val="00B2097C"/>
    <w:rsid w:val="00B22701"/>
    <w:rsid w:val="00B2562E"/>
    <w:rsid w:val="00B2709E"/>
    <w:rsid w:val="00B30530"/>
    <w:rsid w:val="00B36A31"/>
    <w:rsid w:val="00B37ABD"/>
    <w:rsid w:val="00B405B2"/>
    <w:rsid w:val="00B43BF3"/>
    <w:rsid w:val="00B46083"/>
    <w:rsid w:val="00B529BA"/>
    <w:rsid w:val="00B5387A"/>
    <w:rsid w:val="00B676E9"/>
    <w:rsid w:val="00B70C1A"/>
    <w:rsid w:val="00B71AA4"/>
    <w:rsid w:val="00B7201F"/>
    <w:rsid w:val="00B744E1"/>
    <w:rsid w:val="00B77DB2"/>
    <w:rsid w:val="00B819E3"/>
    <w:rsid w:val="00B832DA"/>
    <w:rsid w:val="00B87AB6"/>
    <w:rsid w:val="00B90E81"/>
    <w:rsid w:val="00B913B5"/>
    <w:rsid w:val="00B93E1E"/>
    <w:rsid w:val="00B95DD2"/>
    <w:rsid w:val="00B968B7"/>
    <w:rsid w:val="00BA520E"/>
    <w:rsid w:val="00BA7AE2"/>
    <w:rsid w:val="00BB23D6"/>
    <w:rsid w:val="00BB2DB8"/>
    <w:rsid w:val="00BB35C9"/>
    <w:rsid w:val="00BB5DDB"/>
    <w:rsid w:val="00BB6330"/>
    <w:rsid w:val="00BB775D"/>
    <w:rsid w:val="00BB7D1C"/>
    <w:rsid w:val="00BC18E6"/>
    <w:rsid w:val="00BC2967"/>
    <w:rsid w:val="00BC704E"/>
    <w:rsid w:val="00BD08C4"/>
    <w:rsid w:val="00BD11C2"/>
    <w:rsid w:val="00BD2296"/>
    <w:rsid w:val="00BD23FD"/>
    <w:rsid w:val="00BD2D0C"/>
    <w:rsid w:val="00BD4DAF"/>
    <w:rsid w:val="00BD6019"/>
    <w:rsid w:val="00BD62DE"/>
    <w:rsid w:val="00BD6B8D"/>
    <w:rsid w:val="00BE3273"/>
    <w:rsid w:val="00BE3376"/>
    <w:rsid w:val="00BE3634"/>
    <w:rsid w:val="00BE6D63"/>
    <w:rsid w:val="00BE7140"/>
    <w:rsid w:val="00BF0C1D"/>
    <w:rsid w:val="00BF1E7A"/>
    <w:rsid w:val="00C015C6"/>
    <w:rsid w:val="00C01E27"/>
    <w:rsid w:val="00C020DE"/>
    <w:rsid w:val="00C02FFE"/>
    <w:rsid w:val="00C04840"/>
    <w:rsid w:val="00C06875"/>
    <w:rsid w:val="00C06C34"/>
    <w:rsid w:val="00C10C59"/>
    <w:rsid w:val="00C11433"/>
    <w:rsid w:val="00C11719"/>
    <w:rsid w:val="00C12269"/>
    <w:rsid w:val="00C13D2D"/>
    <w:rsid w:val="00C14951"/>
    <w:rsid w:val="00C159EA"/>
    <w:rsid w:val="00C2468C"/>
    <w:rsid w:val="00C27D68"/>
    <w:rsid w:val="00C3079B"/>
    <w:rsid w:val="00C325A6"/>
    <w:rsid w:val="00C33596"/>
    <w:rsid w:val="00C43566"/>
    <w:rsid w:val="00C51A05"/>
    <w:rsid w:val="00C544E9"/>
    <w:rsid w:val="00C56598"/>
    <w:rsid w:val="00C57314"/>
    <w:rsid w:val="00C610EE"/>
    <w:rsid w:val="00C624C4"/>
    <w:rsid w:val="00C65720"/>
    <w:rsid w:val="00C66B76"/>
    <w:rsid w:val="00C66B9A"/>
    <w:rsid w:val="00C7037E"/>
    <w:rsid w:val="00C71863"/>
    <w:rsid w:val="00C72639"/>
    <w:rsid w:val="00C74860"/>
    <w:rsid w:val="00C765F8"/>
    <w:rsid w:val="00C8576F"/>
    <w:rsid w:val="00C87A87"/>
    <w:rsid w:val="00C90191"/>
    <w:rsid w:val="00C944C9"/>
    <w:rsid w:val="00CA05DB"/>
    <w:rsid w:val="00CA0C56"/>
    <w:rsid w:val="00CA1892"/>
    <w:rsid w:val="00CA28EB"/>
    <w:rsid w:val="00CA3AC9"/>
    <w:rsid w:val="00CA6769"/>
    <w:rsid w:val="00CA74DE"/>
    <w:rsid w:val="00CB4B62"/>
    <w:rsid w:val="00CB6A30"/>
    <w:rsid w:val="00CC1DF1"/>
    <w:rsid w:val="00CC2AC0"/>
    <w:rsid w:val="00CC34FA"/>
    <w:rsid w:val="00CC54E5"/>
    <w:rsid w:val="00CC6397"/>
    <w:rsid w:val="00CC7F0E"/>
    <w:rsid w:val="00CD1294"/>
    <w:rsid w:val="00CD3803"/>
    <w:rsid w:val="00CD44F1"/>
    <w:rsid w:val="00CD4636"/>
    <w:rsid w:val="00CD4C46"/>
    <w:rsid w:val="00CD76B4"/>
    <w:rsid w:val="00CE02FE"/>
    <w:rsid w:val="00CE44E7"/>
    <w:rsid w:val="00CE46CA"/>
    <w:rsid w:val="00CE6961"/>
    <w:rsid w:val="00CE79AC"/>
    <w:rsid w:val="00CF0C75"/>
    <w:rsid w:val="00CF26F6"/>
    <w:rsid w:val="00CF5F88"/>
    <w:rsid w:val="00CF67D3"/>
    <w:rsid w:val="00D061F9"/>
    <w:rsid w:val="00D06760"/>
    <w:rsid w:val="00D11D2B"/>
    <w:rsid w:val="00D14365"/>
    <w:rsid w:val="00D16F65"/>
    <w:rsid w:val="00D214A8"/>
    <w:rsid w:val="00D21C81"/>
    <w:rsid w:val="00D22AC3"/>
    <w:rsid w:val="00D22DDF"/>
    <w:rsid w:val="00D23806"/>
    <w:rsid w:val="00D34132"/>
    <w:rsid w:val="00D353FC"/>
    <w:rsid w:val="00D3695B"/>
    <w:rsid w:val="00D3768C"/>
    <w:rsid w:val="00D40969"/>
    <w:rsid w:val="00D41F33"/>
    <w:rsid w:val="00D5100F"/>
    <w:rsid w:val="00D51C6C"/>
    <w:rsid w:val="00D5224C"/>
    <w:rsid w:val="00D55575"/>
    <w:rsid w:val="00D6287A"/>
    <w:rsid w:val="00D67675"/>
    <w:rsid w:val="00D72AB5"/>
    <w:rsid w:val="00D74F4A"/>
    <w:rsid w:val="00D80858"/>
    <w:rsid w:val="00D87878"/>
    <w:rsid w:val="00D92C3F"/>
    <w:rsid w:val="00D94BE0"/>
    <w:rsid w:val="00D950C7"/>
    <w:rsid w:val="00D96E3A"/>
    <w:rsid w:val="00D97D3D"/>
    <w:rsid w:val="00DA0E3D"/>
    <w:rsid w:val="00DA1607"/>
    <w:rsid w:val="00DA4794"/>
    <w:rsid w:val="00DA4EE7"/>
    <w:rsid w:val="00DA6204"/>
    <w:rsid w:val="00DB0674"/>
    <w:rsid w:val="00DB47B6"/>
    <w:rsid w:val="00DB68C2"/>
    <w:rsid w:val="00DC19C8"/>
    <w:rsid w:val="00DD1AB0"/>
    <w:rsid w:val="00DD4624"/>
    <w:rsid w:val="00DD573D"/>
    <w:rsid w:val="00DD6F81"/>
    <w:rsid w:val="00DE2A1C"/>
    <w:rsid w:val="00DE6FF3"/>
    <w:rsid w:val="00DE7991"/>
    <w:rsid w:val="00DF031B"/>
    <w:rsid w:val="00DF16E0"/>
    <w:rsid w:val="00DF1BC8"/>
    <w:rsid w:val="00DF210A"/>
    <w:rsid w:val="00DF4034"/>
    <w:rsid w:val="00DF6BEF"/>
    <w:rsid w:val="00E02AE1"/>
    <w:rsid w:val="00E06C39"/>
    <w:rsid w:val="00E102BF"/>
    <w:rsid w:val="00E11DBA"/>
    <w:rsid w:val="00E17150"/>
    <w:rsid w:val="00E17B6F"/>
    <w:rsid w:val="00E17CE1"/>
    <w:rsid w:val="00E21B8E"/>
    <w:rsid w:val="00E23DD4"/>
    <w:rsid w:val="00E24809"/>
    <w:rsid w:val="00E30D92"/>
    <w:rsid w:val="00E31A26"/>
    <w:rsid w:val="00E324A2"/>
    <w:rsid w:val="00E3320E"/>
    <w:rsid w:val="00E419D1"/>
    <w:rsid w:val="00E42084"/>
    <w:rsid w:val="00E509A5"/>
    <w:rsid w:val="00E52FBB"/>
    <w:rsid w:val="00E542D0"/>
    <w:rsid w:val="00E54925"/>
    <w:rsid w:val="00E56073"/>
    <w:rsid w:val="00E57796"/>
    <w:rsid w:val="00E60028"/>
    <w:rsid w:val="00E625E1"/>
    <w:rsid w:val="00E7096D"/>
    <w:rsid w:val="00E75C3B"/>
    <w:rsid w:val="00E80B46"/>
    <w:rsid w:val="00E86FB2"/>
    <w:rsid w:val="00E876BF"/>
    <w:rsid w:val="00E87D08"/>
    <w:rsid w:val="00E97EE0"/>
    <w:rsid w:val="00EA1DEB"/>
    <w:rsid w:val="00EA1EC0"/>
    <w:rsid w:val="00EA373F"/>
    <w:rsid w:val="00EA4F5C"/>
    <w:rsid w:val="00EA69C3"/>
    <w:rsid w:val="00EB2260"/>
    <w:rsid w:val="00EB3E05"/>
    <w:rsid w:val="00EB602E"/>
    <w:rsid w:val="00EC17EC"/>
    <w:rsid w:val="00EC467A"/>
    <w:rsid w:val="00EC778F"/>
    <w:rsid w:val="00ED4594"/>
    <w:rsid w:val="00ED4F29"/>
    <w:rsid w:val="00ED6DDF"/>
    <w:rsid w:val="00EE0BF1"/>
    <w:rsid w:val="00EE5343"/>
    <w:rsid w:val="00EE633B"/>
    <w:rsid w:val="00EE7858"/>
    <w:rsid w:val="00EF08FA"/>
    <w:rsid w:val="00EF0BC1"/>
    <w:rsid w:val="00EF0C3C"/>
    <w:rsid w:val="00EF613F"/>
    <w:rsid w:val="00EF68A5"/>
    <w:rsid w:val="00F0145D"/>
    <w:rsid w:val="00F01EAF"/>
    <w:rsid w:val="00F02F3D"/>
    <w:rsid w:val="00F03554"/>
    <w:rsid w:val="00F05D58"/>
    <w:rsid w:val="00F06924"/>
    <w:rsid w:val="00F07977"/>
    <w:rsid w:val="00F1076B"/>
    <w:rsid w:val="00F10D71"/>
    <w:rsid w:val="00F12955"/>
    <w:rsid w:val="00F133F8"/>
    <w:rsid w:val="00F13986"/>
    <w:rsid w:val="00F160BC"/>
    <w:rsid w:val="00F162F0"/>
    <w:rsid w:val="00F17C23"/>
    <w:rsid w:val="00F24C8F"/>
    <w:rsid w:val="00F31E41"/>
    <w:rsid w:val="00F4167D"/>
    <w:rsid w:val="00F42EB5"/>
    <w:rsid w:val="00F444A9"/>
    <w:rsid w:val="00F47660"/>
    <w:rsid w:val="00F53BB7"/>
    <w:rsid w:val="00F54DFA"/>
    <w:rsid w:val="00F5553A"/>
    <w:rsid w:val="00F62629"/>
    <w:rsid w:val="00F62BA8"/>
    <w:rsid w:val="00F64375"/>
    <w:rsid w:val="00F673F7"/>
    <w:rsid w:val="00F67D01"/>
    <w:rsid w:val="00F72AA6"/>
    <w:rsid w:val="00F7523F"/>
    <w:rsid w:val="00F76FD5"/>
    <w:rsid w:val="00F809EF"/>
    <w:rsid w:val="00F8155B"/>
    <w:rsid w:val="00F847D3"/>
    <w:rsid w:val="00F907CF"/>
    <w:rsid w:val="00F96374"/>
    <w:rsid w:val="00F96604"/>
    <w:rsid w:val="00FA1DF2"/>
    <w:rsid w:val="00FA25D3"/>
    <w:rsid w:val="00FA4573"/>
    <w:rsid w:val="00FA4B0D"/>
    <w:rsid w:val="00FB4AAD"/>
    <w:rsid w:val="00FB55E2"/>
    <w:rsid w:val="00FB5DF1"/>
    <w:rsid w:val="00FC080A"/>
    <w:rsid w:val="00FC5451"/>
    <w:rsid w:val="00FD23E2"/>
    <w:rsid w:val="00FD40D7"/>
    <w:rsid w:val="00FD759A"/>
    <w:rsid w:val="00FD7C74"/>
    <w:rsid w:val="00FE540E"/>
    <w:rsid w:val="00FF0B71"/>
    <w:rsid w:val="00FF5F60"/>
    <w:rsid w:val="00FF763A"/>
    <w:rsid w:val="01087DAD"/>
    <w:rsid w:val="01292FD4"/>
    <w:rsid w:val="01343C25"/>
    <w:rsid w:val="01640825"/>
    <w:rsid w:val="0186237A"/>
    <w:rsid w:val="019E3125"/>
    <w:rsid w:val="01A63B13"/>
    <w:rsid w:val="01A7043C"/>
    <w:rsid w:val="01B97F5E"/>
    <w:rsid w:val="01D717C3"/>
    <w:rsid w:val="01EB68FC"/>
    <w:rsid w:val="01FF24FE"/>
    <w:rsid w:val="02005B8D"/>
    <w:rsid w:val="022D7D97"/>
    <w:rsid w:val="02917663"/>
    <w:rsid w:val="02B0607B"/>
    <w:rsid w:val="02B207C8"/>
    <w:rsid w:val="02B2285A"/>
    <w:rsid w:val="02EA2F7D"/>
    <w:rsid w:val="02EB3C7A"/>
    <w:rsid w:val="03195159"/>
    <w:rsid w:val="0322321A"/>
    <w:rsid w:val="03455F4E"/>
    <w:rsid w:val="03537F1A"/>
    <w:rsid w:val="03540DED"/>
    <w:rsid w:val="03802AE2"/>
    <w:rsid w:val="03C36E72"/>
    <w:rsid w:val="03FE3C6E"/>
    <w:rsid w:val="041A0672"/>
    <w:rsid w:val="041C4A67"/>
    <w:rsid w:val="04225DE0"/>
    <w:rsid w:val="04336329"/>
    <w:rsid w:val="04625C1B"/>
    <w:rsid w:val="04912ACD"/>
    <w:rsid w:val="049D685B"/>
    <w:rsid w:val="04B130BE"/>
    <w:rsid w:val="04DE234C"/>
    <w:rsid w:val="05113E7D"/>
    <w:rsid w:val="054A05B9"/>
    <w:rsid w:val="056965FD"/>
    <w:rsid w:val="05972365"/>
    <w:rsid w:val="05A52CD4"/>
    <w:rsid w:val="05D8183A"/>
    <w:rsid w:val="061E7767"/>
    <w:rsid w:val="062956B3"/>
    <w:rsid w:val="066147E9"/>
    <w:rsid w:val="0663125C"/>
    <w:rsid w:val="06824DC3"/>
    <w:rsid w:val="0690784C"/>
    <w:rsid w:val="06956BE5"/>
    <w:rsid w:val="06B55198"/>
    <w:rsid w:val="07027CB2"/>
    <w:rsid w:val="074958E1"/>
    <w:rsid w:val="07550E85"/>
    <w:rsid w:val="0766313B"/>
    <w:rsid w:val="07664431"/>
    <w:rsid w:val="07817D64"/>
    <w:rsid w:val="07944264"/>
    <w:rsid w:val="07944DAE"/>
    <w:rsid w:val="079E3E7E"/>
    <w:rsid w:val="07A759FD"/>
    <w:rsid w:val="07B64A08"/>
    <w:rsid w:val="07B76CEE"/>
    <w:rsid w:val="07C27951"/>
    <w:rsid w:val="07C64E1E"/>
    <w:rsid w:val="07CF5DE6"/>
    <w:rsid w:val="07E92D8B"/>
    <w:rsid w:val="07F1042B"/>
    <w:rsid w:val="08187180"/>
    <w:rsid w:val="0827305D"/>
    <w:rsid w:val="0835488D"/>
    <w:rsid w:val="08621489"/>
    <w:rsid w:val="08670714"/>
    <w:rsid w:val="087924EA"/>
    <w:rsid w:val="087D4053"/>
    <w:rsid w:val="08A27337"/>
    <w:rsid w:val="08A6136E"/>
    <w:rsid w:val="08B92A5B"/>
    <w:rsid w:val="08EE5E65"/>
    <w:rsid w:val="08EF2ECA"/>
    <w:rsid w:val="090E048F"/>
    <w:rsid w:val="090F5BDA"/>
    <w:rsid w:val="091268D2"/>
    <w:rsid w:val="096D44C2"/>
    <w:rsid w:val="09721B71"/>
    <w:rsid w:val="098A290C"/>
    <w:rsid w:val="09AF2373"/>
    <w:rsid w:val="09E62544"/>
    <w:rsid w:val="0A140428"/>
    <w:rsid w:val="0A2C5771"/>
    <w:rsid w:val="0A530E08"/>
    <w:rsid w:val="0A6E4C9D"/>
    <w:rsid w:val="0A8E0442"/>
    <w:rsid w:val="0AA37216"/>
    <w:rsid w:val="0AA963FE"/>
    <w:rsid w:val="0AE70586"/>
    <w:rsid w:val="0B173D3B"/>
    <w:rsid w:val="0B1D5864"/>
    <w:rsid w:val="0B272584"/>
    <w:rsid w:val="0B4722C3"/>
    <w:rsid w:val="0B5F56D3"/>
    <w:rsid w:val="0B8D2240"/>
    <w:rsid w:val="0B905E70"/>
    <w:rsid w:val="0BB43C70"/>
    <w:rsid w:val="0BC90BBB"/>
    <w:rsid w:val="0BD57B01"/>
    <w:rsid w:val="0BE01BB0"/>
    <w:rsid w:val="0BE55FD0"/>
    <w:rsid w:val="0C0559D6"/>
    <w:rsid w:val="0C105208"/>
    <w:rsid w:val="0C261DAF"/>
    <w:rsid w:val="0C4112ED"/>
    <w:rsid w:val="0C453A30"/>
    <w:rsid w:val="0C4E6EF7"/>
    <w:rsid w:val="0C57383A"/>
    <w:rsid w:val="0C5D255A"/>
    <w:rsid w:val="0C607C35"/>
    <w:rsid w:val="0C6D188D"/>
    <w:rsid w:val="0CA46698"/>
    <w:rsid w:val="0CCE57BF"/>
    <w:rsid w:val="0CD143AE"/>
    <w:rsid w:val="0CD22716"/>
    <w:rsid w:val="0CF462EF"/>
    <w:rsid w:val="0CF602B9"/>
    <w:rsid w:val="0CF63E15"/>
    <w:rsid w:val="0CFD1647"/>
    <w:rsid w:val="0D0B58C7"/>
    <w:rsid w:val="0D0D3006"/>
    <w:rsid w:val="0D1E739B"/>
    <w:rsid w:val="0D243AB2"/>
    <w:rsid w:val="0D290962"/>
    <w:rsid w:val="0D2D07BF"/>
    <w:rsid w:val="0D476B0C"/>
    <w:rsid w:val="0D4F25F4"/>
    <w:rsid w:val="0D5704B7"/>
    <w:rsid w:val="0D58687D"/>
    <w:rsid w:val="0D621AE8"/>
    <w:rsid w:val="0D621DD1"/>
    <w:rsid w:val="0D7505C0"/>
    <w:rsid w:val="0D912413"/>
    <w:rsid w:val="0D9740F2"/>
    <w:rsid w:val="0DA16E1E"/>
    <w:rsid w:val="0DBE038E"/>
    <w:rsid w:val="0DC5681D"/>
    <w:rsid w:val="0DC83A03"/>
    <w:rsid w:val="0DCD5DB3"/>
    <w:rsid w:val="0DFC7AA3"/>
    <w:rsid w:val="0E0E4AD3"/>
    <w:rsid w:val="0E1B2FC6"/>
    <w:rsid w:val="0E3C7F4D"/>
    <w:rsid w:val="0E517E8F"/>
    <w:rsid w:val="0E59465B"/>
    <w:rsid w:val="0E5A03D3"/>
    <w:rsid w:val="0E5C4FC1"/>
    <w:rsid w:val="0E6B5798"/>
    <w:rsid w:val="0E7904FF"/>
    <w:rsid w:val="0E850AF5"/>
    <w:rsid w:val="0E896BF7"/>
    <w:rsid w:val="0EA1187A"/>
    <w:rsid w:val="0ED10695"/>
    <w:rsid w:val="0EE01D03"/>
    <w:rsid w:val="0EE24651"/>
    <w:rsid w:val="0EE26A8E"/>
    <w:rsid w:val="0EF826A4"/>
    <w:rsid w:val="0F0A1DF9"/>
    <w:rsid w:val="0F1707C4"/>
    <w:rsid w:val="0F203DE2"/>
    <w:rsid w:val="0F44466F"/>
    <w:rsid w:val="0F7756E1"/>
    <w:rsid w:val="0FEA0D7A"/>
    <w:rsid w:val="1003030C"/>
    <w:rsid w:val="101A0436"/>
    <w:rsid w:val="102A2274"/>
    <w:rsid w:val="1038082F"/>
    <w:rsid w:val="1045467D"/>
    <w:rsid w:val="105D642C"/>
    <w:rsid w:val="1066305F"/>
    <w:rsid w:val="107A6B0B"/>
    <w:rsid w:val="10ED552F"/>
    <w:rsid w:val="10FC30DB"/>
    <w:rsid w:val="110454A7"/>
    <w:rsid w:val="11130523"/>
    <w:rsid w:val="113E3FDC"/>
    <w:rsid w:val="11871BFC"/>
    <w:rsid w:val="11935711"/>
    <w:rsid w:val="11A007F3"/>
    <w:rsid w:val="11C31BA2"/>
    <w:rsid w:val="11D04992"/>
    <w:rsid w:val="11E23E4F"/>
    <w:rsid w:val="11FF19BD"/>
    <w:rsid w:val="1202325C"/>
    <w:rsid w:val="12353631"/>
    <w:rsid w:val="126630A3"/>
    <w:rsid w:val="127C5E7D"/>
    <w:rsid w:val="128879FC"/>
    <w:rsid w:val="12B02CB8"/>
    <w:rsid w:val="12BA70F9"/>
    <w:rsid w:val="12CD7478"/>
    <w:rsid w:val="12D87739"/>
    <w:rsid w:val="13046B16"/>
    <w:rsid w:val="132A4F18"/>
    <w:rsid w:val="133B640A"/>
    <w:rsid w:val="136441CE"/>
    <w:rsid w:val="136A57AA"/>
    <w:rsid w:val="139A0200"/>
    <w:rsid w:val="13B10A95"/>
    <w:rsid w:val="13B76C3E"/>
    <w:rsid w:val="13C379B5"/>
    <w:rsid w:val="13C702B9"/>
    <w:rsid w:val="14025795"/>
    <w:rsid w:val="14027543"/>
    <w:rsid w:val="141C6D58"/>
    <w:rsid w:val="142625F3"/>
    <w:rsid w:val="143E4A1F"/>
    <w:rsid w:val="14435128"/>
    <w:rsid w:val="146B2DAA"/>
    <w:rsid w:val="149A59CD"/>
    <w:rsid w:val="14A10B0A"/>
    <w:rsid w:val="15017ABC"/>
    <w:rsid w:val="151C6A50"/>
    <w:rsid w:val="151C6F61"/>
    <w:rsid w:val="15347BD0"/>
    <w:rsid w:val="154047C7"/>
    <w:rsid w:val="154A0D34"/>
    <w:rsid w:val="154C1139"/>
    <w:rsid w:val="154F67B8"/>
    <w:rsid w:val="15696A13"/>
    <w:rsid w:val="15702D18"/>
    <w:rsid w:val="159F2CD8"/>
    <w:rsid w:val="15A309EF"/>
    <w:rsid w:val="15A8197E"/>
    <w:rsid w:val="15C74CD5"/>
    <w:rsid w:val="15FB38DC"/>
    <w:rsid w:val="1604578A"/>
    <w:rsid w:val="161A0B74"/>
    <w:rsid w:val="16203D34"/>
    <w:rsid w:val="16591EC8"/>
    <w:rsid w:val="165D7FAC"/>
    <w:rsid w:val="167A6206"/>
    <w:rsid w:val="16D747F2"/>
    <w:rsid w:val="170938E2"/>
    <w:rsid w:val="17144CFE"/>
    <w:rsid w:val="171543A8"/>
    <w:rsid w:val="17155B91"/>
    <w:rsid w:val="17162935"/>
    <w:rsid w:val="17226FF9"/>
    <w:rsid w:val="17325312"/>
    <w:rsid w:val="173E6699"/>
    <w:rsid w:val="1776002C"/>
    <w:rsid w:val="17A6020E"/>
    <w:rsid w:val="17D3608C"/>
    <w:rsid w:val="1819257A"/>
    <w:rsid w:val="18232599"/>
    <w:rsid w:val="184D3E16"/>
    <w:rsid w:val="18567E5D"/>
    <w:rsid w:val="185B476E"/>
    <w:rsid w:val="187F17BB"/>
    <w:rsid w:val="18876269"/>
    <w:rsid w:val="18C43019"/>
    <w:rsid w:val="18CF2287"/>
    <w:rsid w:val="18EB67F8"/>
    <w:rsid w:val="18EE756E"/>
    <w:rsid w:val="18F37ABA"/>
    <w:rsid w:val="18F64569"/>
    <w:rsid w:val="19027536"/>
    <w:rsid w:val="192C2F68"/>
    <w:rsid w:val="19415C4B"/>
    <w:rsid w:val="19600F94"/>
    <w:rsid w:val="199155F1"/>
    <w:rsid w:val="19A551AF"/>
    <w:rsid w:val="19AC574E"/>
    <w:rsid w:val="19BA5E10"/>
    <w:rsid w:val="19E35F21"/>
    <w:rsid w:val="19EA1C26"/>
    <w:rsid w:val="19EB665F"/>
    <w:rsid w:val="19F23D5E"/>
    <w:rsid w:val="19FE1BA0"/>
    <w:rsid w:val="1A05347F"/>
    <w:rsid w:val="1A1C1BC8"/>
    <w:rsid w:val="1A522093"/>
    <w:rsid w:val="1A623270"/>
    <w:rsid w:val="1A6E774D"/>
    <w:rsid w:val="1A862C7C"/>
    <w:rsid w:val="1AD07C1C"/>
    <w:rsid w:val="1ADF238C"/>
    <w:rsid w:val="1AFE6CB6"/>
    <w:rsid w:val="1B122762"/>
    <w:rsid w:val="1B141259"/>
    <w:rsid w:val="1B174443"/>
    <w:rsid w:val="1B216C7F"/>
    <w:rsid w:val="1B3D4A71"/>
    <w:rsid w:val="1B430262"/>
    <w:rsid w:val="1C16688D"/>
    <w:rsid w:val="1C1E3C86"/>
    <w:rsid w:val="1C1E4159"/>
    <w:rsid w:val="1C281688"/>
    <w:rsid w:val="1C2838BF"/>
    <w:rsid w:val="1C451422"/>
    <w:rsid w:val="1C4557BA"/>
    <w:rsid w:val="1C5F536E"/>
    <w:rsid w:val="1C766D20"/>
    <w:rsid w:val="1C7B66ED"/>
    <w:rsid w:val="1CBF4223"/>
    <w:rsid w:val="1CCB2BC8"/>
    <w:rsid w:val="1CD87093"/>
    <w:rsid w:val="1CD9325D"/>
    <w:rsid w:val="1CDE3050"/>
    <w:rsid w:val="1CE41EDC"/>
    <w:rsid w:val="1CE4737F"/>
    <w:rsid w:val="1CEC5B6E"/>
    <w:rsid w:val="1D0C5A51"/>
    <w:rsid w:val="1D143AE3"/>
    <w:rsid w:val="1D1E3601"/>
    <w:rsid w:val="1D4330A6"/>
    <w:rsid w:val="1D5A49F2"/>
    <w:rsid w:val="1D707A2B"/>
    <w:rsid w:val="1D925F02"/>
    <w:rsid w:val="1DA168F7"/>
    <w:rsid w:val="1DA43487"/>
    <w:rsid w:val="1DBA49EB"/>
    <w:rsid w:val="1DBD01B4"/>
    <w:rsid w:val="1DC35F95"/>
    <w:rsid w:val="1DC74FF5"/>
    <w:rsid w:val="1DD22107"/>
    <w:rsid w:val="1DD968F2"/>
    <w:rsid w:val="1DDB7295"/>
    <w:rsid w:val="1DE01033"/>
    <w:rsid w:val="1DFD108C"/>
    <w:rsid w:val="1E200CF1"/>
    <w:rsid w:val="1E244D16"/>
    <w:rsid w:val="1E565A49"/>
    <w:rsid w:val="1E6B4C46"/>
    <w:rsid w:val="1E6E4CAD"/>
    <w:rsid w:val="1E7720EA"/>
    <w:rsid w:val="1E895EDE"/>
    <w:rsid w:val="1E8A6AB3"/>
    <w:rsid w:val="1E917E41"/>
    <w:rsid w:val="1E933BB9"/>
    <w:rsid w:val="1EC90276"/>
    <w:rsid w:val="1EE30421"/>
    <w:rsid w:val="1EE95587"/>
    <w:rsid w:val="1EEA3A97"/>
    <w:rsid w:val="1EF42755"/>
    <w:rsid w:val="1F095C2A"/>
    <w:rsid w:val="1F0E55F1"/>
    <w:rsid w:val="1F2064E9"/>
    <w:rsid w:val="1F256FEF"/>
    <w:rsid w:val="1F2B5A50"/>
    <w:rsid w:val="1F574BE7"/>
    <w:rsid w:val="1F635DCE"/>
    <w:rsid w:val="1F792D40"/>
    <w:rsid w:val="1F794953"/>
    <w:rsid w:val="1FB262C1"/>
    <w:rsid w:val="1FC57E4C"/>
    <w:rsid w:val="20105C80"/>
    <w:rsid w:val="2020085A"/>
    <w:rsid w:val="20362A4E"/>
    <w:rsid w:val="20541126"/>
    <w:rsid w:val="20667C75"/>
    <w:rsid w:val="20745325"/>
    <w:rsid w:val="2093568E"/>
    <w:rsid w:val="20A0258E"/>
    <w:rsid w:val="20A11A45"/>
    <w:rsid w:val="20AC40FB"/>
    <w:rsid w:val="20B10327"/>
    <w:rsid w:val="20B172A3"/>
    <w:rsid w:val="20D05BD7"/>
    <w:rsid w:val="20D212C7"/>
    <w:rsid w:val="20D47F9B"/>
    <w:rsid w:val="20DD55C0"/>
    <w:rsid w:val="20FE6225"/>
    <w:rsid w:val="2100367E"/>
    <w:rsid w:val="210963B5"/>
    <w:rsid w:val="21253A7D"/>
    <w:rsid w:val="212C5413"/>
    <w:rsid w:val="21407217"/>
    <w:rsid w:val="21B005DE"/>
    <w:rsid w:val="21BD61A2"/>
    <w:rsid w:val="21D32BCC"/>
    <w:rsid w:val="21E07475"/>
    <w:rsid w:val="21F229A5"/>
    <w:rsid w:val="21FF6007"/>
    <w:rsid w:val="22064280"/>
    <w:rsid w:val="222F1E4B"/>
    <w:rsid w:val="22310E63"/>
    <w:rsid w:val="226E2973"/>
    <w:rsid w:val="22803DF9"/>
    <w:rsid w:val="22A5210D"/>
    <w:rsid w:val="22A85759"/>
    <w:rsid w:val="22AD1936"/>
    <w:rsid w:val="22B4516B"/>
    <w:rsid w:val="22C8229D"/>
    <w:rsid w:val="22CA1839"/>
    <w:rsid w:val="22DD73CB"/>
    <w:rsid w:val="22DF0BC8"/>
    <w:rsid w:val="23052BAC"/>
    <w:rsid w:val="230E1A60"/>
    <w:rsid w:val="230F7587"/>
    <w:rsid w:val="23287C2F"/>
    <w:rsid w:val="23414FDB"/>
    <w:rsid w:val="2393584C"/>
    <w:rsid w:val="23AA1BF9"/>
    <w:rsid w:val="23B9280A"/>
    <w:rsid w:val="23CB3027"/>
    <w:rsid w:val="23DC1B5F"/>
    <w:rsid w:val="23DD2CC9"/>
    <w:rsid w:val="23EF232B"/>
    <w:rsid w:val="23F750B7"/>
    <w:rsid w:val="24353767"/>
    <w:rsid w:val="246D4B14"/>
    <w:rsid w:val="24773635"/>
    <w:rsid w:val="24863454"/>
    <w:rsid w:val="248863FE"/>
    <w:rsid w:val="248F097F"/>
    <w:rsid w:val="24A55FFB"/>
    <w:rsid w:val="24B863C1"/>
    <w:rsid w:val="24C55F02"/>
    <w:rsid w:val="24E52C95"/>
    <w:rsid w:val="25207225"/>
    <w:rsid w:val="254000DA"/>
    <w:rsid w:val="25453733"/>
    <w:rsid w:val="2566419C"/>
    <w:rsid w:val="256B02A1"/>
    <w:rsid w:val="25883C85"/>
    <w:rsid w:val="259506A1"/>
    <w:rsid w:val="25A76319"/>
    <w:rsid w:val="25B06611"/>
    <w:rsid w:val="25F72C80"/>
    <w:rsid w:val="2613754D"/>
    <w:rsid w:val="263104FD"/>
    <w:rsid w:val="265F095F"/>
    <w:rsid w:val="267267AA"/>
    <w:rsid w:val="2675705C"/>
    <w:rsid w:val="26773DC1"/>
    <w:rsid w:val="26815B10"/>
    <w:rsid w:val="26A1499A"/>
    <w:rsid w:val="26A43DE2"/>
    <w:rsid w:val="26AA6063"/>
    <w:rsid w:val="26AE41AD"/>
    <w:rsid w:val="26F33949"/>
    <w:rsid w:val="26FE0374"/>
    <w:rsid w:val="27003CC4"/>
    <w:rsid w:val="27064377"/>
    <w:rsid w:val="270C4C5A"/>
    <w:rsid w:val="27383119"/>
    <w:rsid w:val="273852FE"/>
    <w:rsid w:val="275A34C6"/>
    <w:rsid w:val="27792C23"/>
    <w:rsid w:val="278702C4"/>
    <w:rsid w:val="278E13C2"/>
    <w:rsid w:val="27EB70BC"/>
    <w:rsid w:val="27F31DF1"/>
    <w:rsid w:val="280B23EB"/>
    <w:rsid w:val="281832D7"/>
    <w:rsid w:val="28186EDD"/>
    <w:rsid w:val="281C077C"/>
    <w:rsid w:val="282876DC"/>
    <w:rsid w:val="28602F11"/>
    <w:rsid w:val="28652973"/>
    <w:rsid w:val="286D68F1"/>
    <w:rsid w:val="2873044C"/>
    <w:rsid w:val="287C7AB2"/>
    <w:rsid w:val="2891460D"/>
    <w:rsid w:val="289941C1"/>
    <w:rsid w:val="28C64B8B"/>
    <w:rsid w:val="28D218CE"/>
    <w:rsid w:val="28E63F9D"/>
    <w:rsid w:val="28FC0E9C"/>
    <w:rsid w:val="29361950"/>
    <w:rsid w:val="296C0DFE"/>
    <w:rsid w:val="29883BEF"/>
    <w:rsid w:val="298F4F7D"/>
    <w:rsid w:val="29947EDF"/>
    <w:rsid w:val="299C7B29"/>
    <w:rsid w:val="29B0155A"/>
    <w:rsid w:val="29EB48A9"/>
    <w:rsid w:val="29F83EB1"/>
    <w:rsid w:val="2A4E7AC9"/>
    <w:rsid w:val="2A4F3ED8"/>
    <w:rsid w:val="2A705E19"/>
    <w:rsid w:val="2A753218"/>
    <w:rsid w:val="2A7775B4"/>
    <w:rsid w:val="2AAD6003"/>
    <w:rsid w:val="2AC330A0"/>
    <w:rsid w:val="2AE74CB2"/>
    <w:rsid w:val="2AEF15E9"/>
    <w:rsid w:val="2B3836F1"/>
    <w:rsid w:val="2B391645"/>
    <w:rsid w:val="2B3B7027"/>
    <w:rsid w:val="2B473575"/>
    <w:rsid w:val="2B585F6F"/>
    <w:rsid w:val="2B6D7540"/>
    <w:rsid w:val="2BA54F2C"/>
    <w:rsid w:val="2BCA6741"/>
    <w:rsid w:val="2BD65C9A"/>
    <w:rsid w:val="2BDF6FA8"/>
    <w:rsid w:val="2BE0256A"/>
    <w:rsid w:val="2BE45480"/>
    <w:rsid w:val="2BEF61A7"/>
    <w:rsid w:val="2C1B0E3F"/>
    <w:rsid w:val="2C2422F5"/>
    <w:rsid w:val="2C291D7E"/>
    <w:rsid w:val="2C6D53A8"/>
    <w:rsid w:val="2C884E64"/>
    <w:rsid w:val="2C8E59C0"/>
    <w:rsid w:val="2C8F5AC1"/>
    <w:rsid w:val="2C9D4F24"/>
    <w:rsid w:val="2C9E6A42"/>
    <w:rsid w:val="2CA927FA"/>
    <w:rsid w:val="2CD62E42"/>
    <w:rsid w:val="2CE675AA"/>
    <w:rsid w:val="2D221D56"/>
    <w:rsid w:val="2D236108"/>
    <w:rsid w:val="2D262BA0"/>
    <w:rsid w:val="2D2B239A"/>
    <w:rsid w:val="2D2F0F51"/>
    <w:rsid w:val="2D437140"/>
    <w:rsid w:val="2D517119"/>
    <w:rsid w:val="2D7828F8"/>
    <w:rsid w:val="2D92328E"/>
    <w:rsid w:val="2D993877"/>
    <w:rsid w:val="2DC002F6"/>
    <w:rsid w:val="2DCB7786"/>
    <w:rsid w:val="2DE04210"/>
    <w:rsid w:val="2DE868B2"/>
    <w:rsid w:val="2E06778F"/>
    <w:rsid w:val="2E203B68"/>
    <w:rsid w:val="2E2D511C"/>
    <w:rsid w:val="2E6811EE"/>
    <w:rsid w:val="2E717ED8"/>
    <w:rsid w:val="2E7877C2"/>
    <w:rsid w:val="2E7D3F3E"/>
    <w:rsid w:val="2E9D1806"/>
    <w:rsid w:val="2EB62660"/>
    <w:rsid w:val="2EB74F35"/>
    <w:rsid w:val="2EB864D6"/>
    <w:rsid w:val="2EBA6F40"/>
    <w:rsid w:val="2EBD433B"/>
    <w:rsid w:val="2ED434D0"/>
    <w:rsid w:val="2EDD4D22"/>
    <w:rsid w:val="2EF44200"/>
    <w:rsid w:val="2EF54FC2"/>
    <w:rsid w:val="2F016F0F"/>
    <w:rsid w:val="2F266384"/>
    <w:rsid w:val="2F6926FE"/>
    <w:rsid w:val="2F6B2D48"/>
    <w:rsid w:val="2F716073"/>
    <w:rsid w:val="2F9959A7"/>
    <w:rsid w:val="2FA04DC7"/>
    <w:rsid w:val="2FD14541"/>
    <w:rsid w:val="2FD65AF1"/>
    <w:rsid w:val="2FD67E12"/>
    <w:rsid w:val="2FF05C23"/>
    <w:rsid w:val="304545E8"/>
    <w:rsid w:val="30457480"/>
    <w:rsid w:val="30775F8F"/>
    <w:rsid w:val="30885B13"/>
    <w:rsid w:val="309112ED"/>
    <w:rsid w:val="30B3693B"/>
    <w:rsid w:val="31182507"/>
    <w:rsid w:val="312E1520"/>
    <w:rsid w:val="31476416"/>
    <w:rsid w:val="31674F0F"/>
    <w:rsid w:val="31753D15"/>
    <w:rsid w:val="31C7551E"/>
    <w:rsid w:val="31E62D12"/>
    <w:rsid w:val="32087A69"/>
    <w:rsid w:val="320D7387"/>
    <w:rsid w:val="321E75CB"/>
    <w:rsid w:val="32201B46"/>
    <w:rsid w:val="322B2444"/>
    <w:rsid w:val="32556C13"/>
    <w:rsid w:val="326939F2"/>
    <w:rsid w:val="3274583A"/>
    <w:rsid w:val="32A551AE"/>
    <w:rsid w:val="32C728C5"/>
    <w:rsid w:val="32C91500"/>
    <w:rsid w:val="32EA6E10"/>
    <w:rsid w:val="32F72511"/>
    <w:rsid w:val="3302378B"/>
    <w:rsid w:val="33365A64"/>
    <w:rsid w:val="338D73BE"/>
    <w:rsid w:val="33A63DFF"/>
    <w:rsid w:val="33AD3090"/>
    <w:rsid w:val="33D628DE"/>
    <w:rsid w:val="33D6343E"/>
    <w:rsid w:val="33E61BE2"/>
    <w:rsid w:val="33E9447A"/>
    <w:rsid w:val="3408055E"/>
    <w:rsid w:val="341624CA"/>
    <w:rsid w:val="34270BD4"/>
    <w:rsid w:val="346440B1"/>
    <w:rsid w:val="346E05B1"/>
    <w:rsid w:val="34727975"/>
    <w:rsid w:val="3473762B"/>
    <w:rsid w:val="348964CB"/>
    <w:rsid w:val="348B393B"/>
    <w:rsid w:val="348E2A01"/>
    <w:rsid w:val="34942DA3"/>
    <w:rsid w:val="34B072B5"/>
    <w:rsid w:val="34F003AC"/>
    <w:rsid w:val="34FF7013"/>
    <w:rsid w:val="352670DE"/>
    <w:rsid w:val="353F1C96"/>
    <w:rsid w:val="356D7BD8"/>
    <w:rsid w:val="35867B7C"/>
    <w:rsid w:val="3593220B"/>
    <w:rsid w:val="35A52308"/>
    <w:rsid w:val="35A70A2B"/>
    <w:rsid w:val="35C3631F"/>
    <w:rsid w:val="35DF3671"/>
    <w:rsid w:val="361909F0"/>
    <w:rsid w:val="36251143"/>
    <w:rsid w:val="363555D0"/>
    <w:rsid w:val="367C17A3"/>
    <w:rsid w:val="36A929A6"/>
    <w:rsid w:val="36D358EB"/>
    <w:rsid w:val="36D6243D"/>
    <w:rsid w:val="36D7109D"/>
    <w:rsid w:val="36DF57F4"/>
    <w:rsid w:val="36F701C8"/>
    <w:rsid w:val="37180E22"/>
    <w:rsid w:val="371D38DB"/>
    <w:rsid w:val="37312657"/>
    <w:rsid w:val="3734232A"/>
    <w:rsid w:val="375D5852"/>
    <w:rsid w:val="376E6BF4"/>
    <w:rsid w:val="37737C8C"/>
    <w:rsid w:val="377D1894"/>
    <w:rsid w:val="378A6CF2"/>
    <w:rsid w:val="379F4F25"/>
    <w:rsid w:val="37AF1F8D"/>
    <w:rsid w:val="37F63D50"/>
    <w:rsid w:val="37FA13AE"/>
    <w:rsid w:val="37FB5255"/>
    <w:rsid w:val="38087DC6"/>
    <w:rsid w:val="3810197F"/>
    <w:rsid w:val="383A69FC"/>
    <w:rsid w:val="3874658A"/>
    <w:rsid w:val="38B247E4"/>
    <w:rsid w:val="38B25237"/>
    <w:rsid w:val="38C83769"/>
    <w:rsid w:val="38CF552F"/>
    <w:rsid w:val="38D371C3"/>
    <w:rsid w:val="38D472DC"/>
    <w:rsid w:val="38D86941"/>
    <w:rsid w:val="38E272C7"/>
    <w:rsid w:val="390D30A4"/>
    <w:rsid w:val="39155A7E"/>
    <w:rsid w:val="391D25A6"/>
    <w:rsid w:val="39212047"/>
    <w:rsid w:val="39281DDC"/>
    <w:rsid w:val="39327FD3"/>
    <w:rsid w:val="395C22D5"/>
    <w:rsid w:val="39653E2D"/>
    <w:rsid w:val="39846181"/>
    <w:rsid w:val="3A05572B"/>
    <w:rsid w:val="3A100FCE"/>
    <w:rsid w:val="3A1F5F19"/>
    <w:rsid w:val="3A3A4CB5"/>
    <w:rsid w:val="3A461688"/>
    <w:rsid w:val="3A932E83"/>
    <w:rsid w:val="3AB67611"/>
    <w:rsid w:val="3ABD5E67"/>
    <w:rsid w:val="3ABF3D28"/>
    <w:rsid w:val="3AF16FAB"/>
    <w:rsid w:val="3AF84E44"/>
    <w:rsid w:val="3AF8522A"/>
    <w:rsid w:val="3B011F4A"/>
    <w:rsid w:val="3B077069"/>
    <w:rsid w:val="3B286FE0"/>
    <w:rsid w:val="3B2F3F7B"/>
    <w:rsid w:val="3B444219"/>
    <w:rsid w:val="3B547DD5"/>
    <w:rsid w:val="3B670BF4"/>
    <w:rsid w:val="3B762441"/>
    <w:rsid w:val="3B9F54F4"/>
    <w:rsid w:val="3BB15227"/>
    <w:rsid w:val="3BD24954"/>
    <w:rsid w:val="3BD925DF"/>
    <w:rsid w:val="3C0B0DDB"/>
    <w:rsid w:val="3C1312DE"/>
    <w:rsid w:val="3C1C4D96"/>
    <w:rsid w:val="3C2128DA"/>
    <w:rsid w:val="3C485B8B"/>
    <w:rsid w:val="3C5970EE"/>
    <w:rsid w:val="3C5E0F0B"/>
    <w:rsid w:val="3CA513FD"/>
    <w:rsid w:val="3CB420F3"/>
    <w:rsid w:val="3CBD665B"/>
    <w:rsid w:val="3CC130FB"/>
    <w:rsid w:val="3CC2593E"/>
    <w:rsid w:val="3CCF1E09"/>
    <w:rsid w:val="3CEB13EF"/>
    <w:rsid w:val="3CF93D3D"/>
    <w:rsid w:val="3D0A1093"/>
    <w:rsid w:val="3D580050"/>
    <w:rsid w:val="3D65276D"/>
    <w:rsid w:val="3D6737CF"/>
    <w:rsid w:val="3D8175A7"/>
    <w:rsid w:val="3D994F78"/>
    <w:rsid w:val="3DAC3EF8"/>
    <w:rsid w:val="3DC80E9B"/>
    <w:rsid w:val="3DCA3DBC"/>
    <w:rsid w:val="3DCD43C2"/>
    <w:rsid w:val="3DDA3DFD"/>
    <w:rsid w:val="3DEE62BF"/>
    <w:rsid w:val="3DF43F30"/>
    <w:rsid w:val="3E0C4997"/>
    <w:rsid w:val="3E2437C2"/>
    <w:rsid w:val="3E392D72"/>
    <w:rsid w:val="3E4740D5"/>
    <w:rsid w:val="3E652BD4"/>
    <w:rsid w:val="3E6D5E4E"/>
    <w:rsid w:val="3EA8357F"/>
    <w:rsid w:val="3EB33799"/>
    <w:rsid w:val="3EB5355F"/>
    <w:rsid w:val="3EC8588E"/>
    <w:rsid w:val="3EE45DBE"/>
    <w:rsid w:val="3EED6576"/>
    <w:rsid w:val="3F0F0BE2"/>
    <w:rsid w:val="3F2B21F5"/>
    <w:rsid w:val="3F415034"/>
    <w:rsid w:val="3F986DE5"/>
    <w:rsid w:val="3FEC2CD2"/>
    <w:rsid w:val="40192BB8"/>
    <w:rsid w:val="4025697C"/>
    <w:rsid w:val="40501202"/>
    <w:rsid w:val="405763D1"/>
    <w:rsid w:val="405B3577"/>
    <w:rsid w:val="406F2F19"/>
    <w:rsid w:val="40A9471F"/>
    <w:rsid w:val="40A9551D"/>
    <w:rsid w:val="40C63523"/>
    <w:rsid w:val="40E57E4D"/>
    <w:rsid w:val="40FB0A9B"/>
    <w:rsid w:val="41210759"/>
    <w:rsid w:val="41270465"/>
    <w:rsid w:val="414E75EC"/>
    <w:rsid w:val="41614FF9"/>
    <w:rsid w:val="4176317A"/>
    <w:rsid w:val="41905D8D"/>
    <w:rsid w:val="41AE7700"/>
    <w:rsid w:val="41B45A71"/>
    <w:rsid w:val="41E77E2B"/>
    <w:rsid w:val="41F93C0D"/>
    <w:rsid w:val="421D4098"/>
    <w:rsid w:val="423D3025"/>
    <w:rsid w:val="4246491B"/>
    <w:rsid w:val="42520303"/>
    <w:rsid w:val="42664606"/>
    <w:rsid w:val="426D07F2"/>
    <w:rsid w:val="42703746"/>
    <w:rsid w:val="427174BE"/>
    <w:rsid w:val="427C5B2B"/>
    <w:rsid w:val="42A41642"/>
    <w:rsid w:val="42CB6BCE"/>
    <w:rsid w:val="42CF4332"/>
    <w:rsid w:val="42D02437"/>
    <w:rsid w:val="42DD73AB"/>
    <w:rsid w:val="42E36CC4"/>
    <w:rsid w:val="42EF5ED6"/>
    <w:rsid w:val="42F405CF"/>
    <w:rsid w:val="42FF1DAA"/>
    <w:rsid w:val="42FF1F20"/>
    <w:rsid w:val="435D4AE9"/>
    <w:rsid w:val="437B23A2"/>
    <w:rsid w:val="43C502C4"/>
    <w:rsid w:val="43CF26EE"/>
    <w:rsid w:val="43E65EE1"/>
    <w:rsid w:val="43FD725B"/>
    <w:rsid w:val="44093E86"/>
    <w:rsid w:val="44403172"/>
    <w:rsid w:val="447656D0"/>
    <w:rsid w:val="447B1936"/>
    <w:rsid w:val="44872FC9"/>
    <w:rsid w:val="448E1A21"/>
    <w:rsid w:val="44A7099B"/>
    <w:rsid w:val="44B94A2D"/>
    <w:rsid w:val="44BC195A"/>
    <w:rsid w:val="44C02178"/>
    <w:rsid w:val="44C76D8F"/>
    <w:rsid w:val="44DE756D"/>
    <w:rsid w:val="44F7014F"/>
    <w:rsid w:val="452C6392"/>
    <w:rsid w:val="452F5B59"/>
    <w:rsid w:val="455C7EFE"/>
    <w:rsid w:val="45622D3C"/>
    <w:rsid w:val="45912351"/>
    <w:rsid w:val="459378A7"/>
    <w:rsid w:val="45A858ED"/>
    <w:rsid w:val="45B51699"/>
    <w:rsid w:val="45C02C36"/>
    <w:rsid w:val="45E57910"/>
    <w:rsid w:val="45F12DF0"/>
    <w:rsid w:val="45FB34D6"/>
    <w:rsid w:val="46696B15"/>
    <w:rsid w:val="466B74B2"/>
    <w:rsid w:val="46E24836"/>
    <w:rsid w:val="46F04F57"/>
    <w:rsid w:val="470353BB"/>
    <w:rsid w:val="472B387E"/>
    <w:rsid w:val="473531B0"/>
    <w:rsid w:val="473A2575"/>
    <w:rsid w:val="4743775F"/>
    <w:rsid w:val="4751162D"/>
    <w:rsid w:val="47954F1F"/>
    <w:rsid w:val="47A3011A"/>
    <w:rsid w:val="47A91DF7"/>
    <w:rsid w:val="47B24801"/>
    <w:rsid w:val="47EE4D3A"/>
    <w:rsid w:val="47F0346A"/>
    <w:rsid w:val="47FE3FA9"/>
    <w:rsid w:val="4840749F"/>
    <w:rsid w:val="48580F04"/>
    <w:rsid w:val="485C38F6"/>
    <w:rsid w:val="486D5CE0"/>
    <w:rsid w:val="489D3EF9"/>
    <w:rsid w:val="48AE11D0"/>
    <w:rsid w:val="48BD13F5"/>
    <w:rsid w:val="48CA3D85"/>
    <w:rsid w:val="48D15F31"/>
    <w:rsid w:val="48E352F1"/>
    <w:rsid w:val="48FB510C"/>
    <w:rsid w:val="48FD385A"/>
    <w:rsid w:val="4915310D"/>
    <w:rsid w:val="492952B0"/>
    <w:rsid w:val="492D2391"/>
    <w:rsid w:val="49415E3C"/>
    <w:rsid w:val="495652F9"/>
    <w:rsid w:val="49783238"/>
    <w:rsid w:val="499624A2"/>
    <w:rsid w:val="499C1303"/>
    <w:rsid w:val="499D7B9B"/>
    <w:rsid w:val="499E0A6D"/>
    <w:rsid w:val="49B572D9"/>
    <w:rsid w:val="49B74E34"/>
    <w:rsid w:val="49CC38BE"/>
    <w:rsid w:val="49DE7B2F"/>
    <w:rsid w:val="4A0A4480"/>
    <w:rsid w:val="4A136062"/>
    <w:rsid w:val="4A200F72"/>
    <w:rsid w:val="4A434D46"/>
    <w:rsid w:val="4A6F0787"/>
    <w:rsid w:val="4A91694F"/>
    <w:rsid w:val="4A96366D"/>
    <w:rsid w:val="4A985F30"/>
    <w:rsid w:val="4A9D3A50"/>
    <w:rsid w:val="4AA4282E"/>
    <w:rsid w:val="4AA85A47"/>
    <w:rsid w:val="4AC66E81"/>
    <w:rsid w:val="4AE9319A"/>
    <w:rsid w:val="4B011504"/>
    <w:rsid w:val="4B10309B"/>
    <w:rsid w:val="4B410375"/>
    <w:rsid w:val="4B49547C"/>
    <w:rsid w:val="4B5E109A"/>
    <w:rsid w:val="4B647BC0"/>
    <w:rsid w:val="4B856D85"/>
    <w:rsid w:val="4B8B22B0"/>
    <w:rsid w:val="4BA75256"/>
    <w:rsid w:val="4C202766"/>
    <w:rsid w:val="4C5C4D3B"/>
    <w:rsid w:val="4C737DFB"/>
    <w:rsid w:val="4C8B6C09"/>
    <w:rsid w:val="4C910E89"/>
    <w:rsid w:val="4CB93F3C"/>
    <w:rsid w:val="4D1A1780"/>
    <w:rsid w:val="4D1D6C58"/>
    <w:rsid w:val="4D454910"/>
    <w:rsid w:val="4D4611E4"/>
    <w:rsid w:val="4D477799"/>
    <w:rsid w:val="4D695962"/>
    <w:rsid w:val="4D75519B"/>
    <w:rsid w:val="4D853055"/>
    <w:rsid w:val="4DA22C22"/>
    <w:rsid w:val="4DC300D0"/>
    <w:rsid w:val="4DE668D8"/>
    <w:rsid w:val="4DED46E4"/>
    <w:rsid w:val="4DFA75E6"/>
    <w:rsid w:val="4DFD36D0"/>
    <w:rsid w:val="4E1632E3"/>
    <w:rsid w:val="4E185E82"/>
    <w:rsid w:val="4E272252"/>
    <w:rsid w:val="4E353158"/>
    <w:rsid w:val="4E51270D"/>
    <w:rsid w:val="4E910898"/>
    <w:rsid w:val="4E9566BC"/>
    <w:rsid w:val="4EAC741A"/>
    <w:rsid w:val="4EBA104D"/>
    <w:rsid w:val="4EDA4CF5"/>
    <w:rsid w:val="4EDB63EB"/>
    <w:rsid w:val="4EFD1168"/>
    <w:rsid w:val="4F063537"/>
    <w:rsid w:val="4F0911AA"/>
    <w:rsid w:val="4F1C60E4"/>
    <w:rsid w:val="4F240DCF"/>
    <w:rsid w:val="4F2945FB"/>
    <w:rsid w:val="4F2C6C47"/>
    <w:rsid w:val="4F337FD5"/>
    <w:rsid w:val="4FAB1E17"/>
    <w:rsid w:val="4FB07878"/>
    <w:rsid w:val="4FD96283"/>
    <w:rsid w:val="4FE867F4"/>
    <w:rsid w:val="4FF90003"/>
    <w:rsid w:val="504B134F"/>
    <w:rsid w:val="50812FC2"/>
    <w:rsid w:val="508807F5"/>
    <w:rsid w:val="50882241"/>
    <w:rsid w:val="50CC2809"/>
    <w:rsid w:val="50E53B54"/>
    <w:rsid w:val="51001985"/>
    <w:rsid w:val="51435470"/>
    <w:rsid w:val="514D3885"/>
    <w:rsid w:val="515B7CB7"/>
    <w:rsid w:val="51730B5D"/>
    <w:rsid w:val="51A00E60"/>
    <w:rsid w:val="51A0666A"/>
    <w:rsid w:val="51A90A23"/>
    <w:rsid w:val="51B05FB9"/>
    <w:rsid w:val="51F04317"/>
    <w:rsid w:val="52346A85"/>
    <w:rsid w:val="524E6C44"/>
    <w:rsid w:val="527269C3"/>
    <w:rsid w:val="52A21428"/>
    <w:rsid w:val="52A35472"/>
    <w:rsid w:val="52BB3BA9"/>
    <w:rsid w:val="52DE6C30"/>
    <w:rsid w:val="52ED5362"/>
    <w:rsid w:val="52F77906"/>
    <w:rsid w:val="5339717B"/>
    <w:rsid w:val="533D7905"/>
    <w:rsid w:val="534435B8"/>
    <w:rsid w:val="534A02FA"/>
    <w:rsid w:val="53576FCE"/>
    <w:rsid w:val="538166E2"/>
    <w:rsid w:val="538625DD"/>
    <w:rsid w:val="53AC65A8"/>
    <w:rsid w:val="53BD1699"/>
    <w:rsid w:val="53D77AC9"/>
    <w:rsid w:val="53DE6642"/>
    <w:rsid w:val="54181DF5"/>
    <w:rsid w:val="54215965"/>
    <w:rsid w:val="54277EAB"/>
    <w:rsid w:val="544C01DA"/>
    <w:rsid w:val="546056D6"/>
    <w:rsid w:val="54705AAB"/>
    <w:rsid w:val="547A72DF"/>
    <w:rsid w:val="548328B3"/>
    <w:rsid w:val="549C1469"/>
    <w:rsid w:val="54AA12E8"/>
    <w:rsid w:val="54BF40B9"/>
    <w:rsid w:val="54DF75D5"/>
    <w:rsid w:val="55182C12"/>
    <w:rsid w:val="55202DAA"/>
    <w:rsid w:val="556A2277"/>
    <w:rsid w:val="55DE23F5"/>
    <w:rsid w:val="56004989"/>
    <w:rsid w:val="56020701"/>
    <w:rsid w:val="56073F6A"/>
    <w:rsid w:val="561E18E1"/>
    <w:rsid w:val="562C126D"/>
    <w:rsid w:val="562D3B44"/>
    <w:rsid w:val="562F16E6"/>
    <w:rsid w:val="56462CE4"/>
    <w:rsid w:val="56496330"/>
    <w:rsid w:val="564D3EA7"/>
    <w:rsid w:val="565371AF"/>
    <w:rsid w:val="56691ADD"/>
    <w:rsid w:val="567F61F6"/>
    <w:rsid w:val="567F7FA4"/>
    <w:rsid w:val="56F30DBC"/>
    <w:rsid w:val="570606C5"/>
    <w:rsid w:val="57063DED"/>
    <w:rsid w:val="57770C7B"/>
    <w:rsid w:val="581A12AA"/>
    <w:rsid w:val="581A4428"/>
    <w:rsid w:val="581E07F5"/>
    <w:rsid w:val="58296419"/>
    <w:rsid w:val="584832A1"/>
    <w:rsid w:val="58584F50"/>
    <w:rsid w:val="58613E05"/>
    <w:rsid w:val="58682148"/>
    <w:rsid w:val="589046EA"/>
    <w:rsid w:val="58AD2046"/>
    <w:rsid w:val="58AE4AF2"/>
    <w:rsid w:val="58BD4DB3"/>
    <w:rsid w:val="58C77100"/>
    <w:rsid w:val="58CD149A"/>
    <w:rsid w:val="58CD3D84"/>
    <w:rsid w:val="58DC7930"/>
    <w:rsid w:val="58EA18EA"/>
    <w:rsid w:val="58F114E4"/>
    <w:rsid w:val="58F4557B"/>
    <w:rsid w:val="58F60610"/>
    <w:rsid w:val="59073DA3"/>
    <w:rsid w:val="591C626B"/>
    <w:rsid w:val="5924116C"/>
    <w:rsid w:val="59376914"/>
    <w:rsid w:val="593A0BE0"/>
    <w:rsid w:val="595E7C9D"/>
    <w:rsid w:val="59701AD0"/>
    <w:rsid w:val="59A63B08"/>
    <w:rsid w:val="59AE5DE7"/>
    <w:rsid w:val="59AF294E"/>
    <w:rsid w:val="59B4017C"/>
    <w:rsid w:val="59C4141F"/>
    <w:rsid w:val="59C503C4"/>
    <w:rsid w:val="59CB1C88"/>
    <w:rsid w:val="59E0732E"/>
    <w:rsid w:val="59E23CEE"/>
    <w:rsid w:val="59F36CDF"/>
    <w:rsid w:val="5A1E14E4"/>
    <w:rsid w:val="5A3F3FCC"/>
    <w:rsid w:val="5A493F87"/>
    <w:rsid w:val="5A5203DA"/>
    <w:rsid w:val="5A532C1D"/>
    <w:rsid w:val="5A8C165E"/>
    <w:rsid w:val="5AAF333B"/>
    <w:rsid w:val="5B0715A5"/>
    <w:rsid w:val="5B1A1E3F"/>
    <w:rsid w:val="5B1E422F"/>
    <w:rsid w:val="5B3E3FDC"/>
    <w:rsid w:val="5B4312C5"/>
    <w:rsid w:val="5B445318"/>
    <w:rsid w:val="5B4D13DE"/>
    <w:rsid w:val="5B5D3470"/>
    <w:rsid w:val="5B6471FF"/>
    <w:rsid w:val="5B68120A"/>
    <w:rsid w:val="5BA65FD3"/>
    <w:rsid w:val="5BA84BC0"/>
    <w:rsid w:val="5BEB5850"/>
    <w:rsid w:val="5BEE2FD6"/>
    <w:rsid w:val="5BF94C98"/>
    <w:rsid w:val="5C0E6052"/>
    <w:rsid w:val="5C321E83"/>
    <w:rsid w:val="5C3A2094"/>
    <w:rsid w:val="5C5E22BD"/>
    <w:rsid w:val="5C732C41"/>
    <w:rsid w:val="5C7560D1"/>
    <w:rsid w:val="5CBF32C6"/>
    <w:rsid w:val="5CD739C2"/>
    <w:rsid w:val="5CDC274D"/>
    <w:rsid w:val="5CF214D0"/>
    <w:rsid w:val="5D296EBB"/>
    <w:rsid w:val="5D34471C"/>
    <w:rsid w:val="5D45063D"/>
    <w:rsid w:val="5D6677C8"/>
    <w:rsid w:val="5D675821"/>
    <w:rsid w:val="5D883BE2"/>
    <w:rsid w:val="5D984447"/>
    <w:rsid w:val="5D9C768D"/>
    <w:rsid w:val="5D9E1657"/>
    <w:rsid w:val="5DA57F46"/>
    <w:rsid w:val="5DC96364"/>
    <w:rsid w:val="5DD76534"/>
    <w:rsid w:val="5DDD3DBA"/>
    <w:rsid w:val="5DEA03F9"/>
    <w:rsid w:val="5E062D59"/>
    <w:rsid w:val="5E156E3A"/>
    <w:rsid w:val="5E2E4276"/>
    <w:rsid w:val="5E4E6BDA"/>
    <w:rsid w:val="5E5119FF"/>
    <w:rsid w:val="5E8961D2"/>
    <w:rsid w:val="5E925392"/>
    <w:rsid w:val="5EB10F16"/>
    <w:rsid w:val="5EBC057F"/>
    <w:rsid w:val="5F061A63"/>
    <w:rsid w:val="5F1514A5"/>
    <w:rsid w:val="5F1E1BAD"/>
    <w:rsid w:val="5F750196"/>
    <w:rsid w:val="5F7A755A"/>
    <w:rsid w:val="5F7D3EEE"/>
    <w:rsid w:val="5F7F1BB1"/>
    <w:rsid w:val="5F814D8D"/>
    <w:rsid w:val="5F817A6B"/>
    <w:rsid w:val="5F900F21"/>
    <w:rsid w:val="5F944AC0"/>
    <w:rsid w:val="5FA17A76"/>
    <w:rsid w:val="5FDC1FC3"/>
    <w:rsid w:val="5FEB66AA"/>
    <w:rsid w:val="5FFE0159"/>
    <w:rsid w:val="602C4AE6"/>
    <w:rsid w:val="603D5158"/>
    <w:rsid w:val="60772E6B"/>
    <w:rsid w:val="60830691"/>
    <w:rsid w:val="608B5A24"/>
    <w:rsid w:val="60940C57"/>
    <w:rsid w:val="60BE5F5D"/>
    <w:rsid w:val="60C1631F"/>
    <w:rsid w:val="60C77377"/>
    <w:rsid w:val="60C9619F"/>
    <w:rsid w:val="60D9640F"/>
    <w:rsid w:val="60E8080D"/>
    <w:rsid w:val="61167757"/>
    <w:rsid w:val="6119533E"/>
    <w:rsid w:val="611C1520"/>
    <w:rsid w:val="615D5386"/>
    <w:rsid w:val="617701F5"/>
    <w:rsid w:val="618337CB"/>
    <w:rsid w:val="6196137D"/>
    <w:rsid w:val="61AB735D"/>
    <w:rsid w:val="61C06FD4"/>
    <w:rsid w:val="61EF768E"/>
    <w:rsid w:val="61FE765F"/>
    <w:rsid w:val="621256DB"/>
    <w:rsid w:val="621D64BA"/>
    <w:rsid w:val="621E4B15"/>
    <w:rsid w:val="622163B3"/>
    <w:rsid w:val="6263077A"/>
    <w:rsid w:val="62AA0BE3"/>
    <w:rsid w:val="62AD6577"/>
    <w:rsid w:val="62E96722"/>
    <w:rsid w:val="62FB0709"/>
    <w:rsid w:val="63253E1E"/>
    <w:rsid w:val="633079AB"/>
    <w:rsid w:val="63473EC0"/>
    <w:rsid w:val="637846F9"/>
    <w:rsid w:val="637F2D8D"/>
    <w:rsid w:val="63BF2D59"/>
    <w:rsid w:val="63C66D9A"/>
    <w:rsid w:val="640A1577"/>
    <w:rsid w:val="640D03E9"/>
    <w:rsid w:val="643A0656"/>
    <w:rsid w:val="647114F6"/>
    <w:rsid w:val="647121CF"/>
    <w:rsid w:val="6481163E"/>
    <w:rsid w:val="64AA08B6"/>
    <w:rsid w:val="64D153CC"/>
    <w:rsid w:val="64F03AB4"/>
    <w:rsid w:val="650E4F3B"/>
    <w:rsid w:val="65183920"/>
    <w:rsid w:val="6574796B"/>
    <w:rsid w:val="65924F54"/>
    <w:rsid w:val="65AB2B63"/>
    <w:rsid w:val="65BC6B1F"/>
    <w:rsid w:val="65C965F9"/>
    <w:rsid w:val="65E263E6"/>
    <w:rsid w:val="65E95488"/>
    <w:rsid w:val="65FB1CBD"/>
    <w:rsid w:val="66187FDB"/>
    <w:rsid w:val="66216982"/>
    <w:rsid w:val="6625515E"/>
    <w:rsid w:val="662C07B9"/>
    <w:rsid w:val="66402D0B"/>
    <w:rsid w:val="664D7777"/>
    <w:rsid w:val="66630D48"/>
    <w:rsid w:val="66A0228C"/>
    <w:rsid w:val="66C43615"/>
    <w:rsid w:val="66D6110E"/>
    <w:rsid w:val="66DB2FD4"/>
    <w:rsid w:val="66DD1446"/>
    <w:rsid w:val="6703252B"/>
    <w:rsid w:val="670F2C7E"/>
    <w:rsid w:val="67241800"/>
    <w:rsid w:val="674770E8"/>
    <w:rsid w:val="67642FCA"/>
    <w:rsid w:val="678B7369"/>
    <w:rsid w:val="67900263"/>
    <w:rsid w:val="67C402E5"/>
    <w:rsid w:val="67D30150"/>
    <w:rsid w:val="67D66EC2"/>
    <w:rsid w:val="67DF08A2"/>
    <w:rsid w:val="67EC3B3F"/>
    <w:rsid w:val="67ED710E"/>
    <w:rsid w:val="67F307F2"/>
    <w:rsid w:val="67F81964"/>
    <w:rsid w:val="67F85E08"/>
    <w:rsid w:val="680E031F"/>
    <w:rsid w:val="68112A26"/>
    <w:rsid w:val="683A01CF"/>
    <w:rsid w:val="68793329"/>
    <w:rsid w:val="68833169"/>
    <w:rsid w:val="68886FC7"/>
    <w:rsid w:val="6888718C"/>
    <w:rsid w:val="68CF6B8B"/>
    <w:rsid w:val="693C4922"/>
    <w:rsid w:val="69524E67"/>
    <w:rsid w:val="697D77A1"/>
    <w:rsid w:val="69863E30"/>
    <w:rsid w:val="69CA30A0"/>
    <w:rsid w:val="69CA3FFF"/>
    <w:rsid w:val="69D07F14"/>
    <w:rsid w:val="69D451CC"/>
    <w:rsid w:val="6A1C5DDE"/>
    <w:rsid w:val="6A220F1A"/>
    <w:rsid w:val="6A3718D3"/>
    <w:rsid w:val="6A4E61B3"/>
    <w:rsid w:val="6A4F0C56"/>
    <w:rsid w:val="6A692012"/>
    <w:rsid w:val="6A723C50"/>
    <w:rsid w:val="6A913698"/>
    <w:rsid w:val="6A9C6F1F"/>
    <w:rsid w:val="6A9F658B"/>
    <w:rsid w:val="6ABE009D"/>
    <w:rsid w:val="6AC344AB"/>
    <w:rsid w:val="6B0923F3"/>
    <w:rsid w:val="6B2244F1"/>
    <w:rsid w:val="6B477D67"/>
    <w:rsid w:val="6B4B5944"/>
    <w:rsid w:val="6B760662"/>
    <w:rsid w:val="6B895757"/>
    <w:rsid w:val="6B8D21E8"/>
    <w:rsid w:val="6B961BC0"/>
    <w:rsid w:val="6B9E135C"/>
    <w:rsid w:val="6BD149A6"/>
    <w:rsid w:val="6BE04BE9"/>
    <w:rsid w:val="6BE41455"/>
    <w:rsid w:val="6BE43881"/>
    <w:rsid w:val="6BEC5C84"/>
    <w:rsid w:val="6BF23185"/>
    <w:rsid w:val="6BF71836"/>
    <w:rsid w:val="6C0528A2"/>
    <w:rsid w:val="6C1D7BEB"/>
    <w:rsid w:val="6C285298"/>
    <w:rsid w:val="6C4258A4"/>
    <w:rsid w:val="6C427557"/>
    <w:rsid w:val="6CAE3E7F"/>
    <w:rsid w:val="6CBC75BE"/>
    <w:rsid w:val="6CD927A8"/>
    <w:rsid w:val="6D0B038C"/>
    <w:rsid w:val="6D1C071F"/>
    <w:rsid w:val="6D2B07C1"/>
    <w:rsid w:val="6D2F407A"/>
    <w:rsid w:val="6D334FE4"/>
    <w:rsid w:val="6D5A7663"/>
    <w:rsid w:val="6D623ADC"/>
    <w:rsid w:val="6D9C5CC0"/>
    <w:rsid w:val="6DA6495C"/>
    <w:rsid w:val="6DBD557A"/>
    <w:rsid w:val="6DC23115"/>
    <w:rsid w:val="6DE210EC"/>
    <w:rsid w:val="6DE868E7"/>
    <w:rsid w:val="6E0E0133"/>
    <w:rsid w:val="6E3A5F5B"/>
    <w:rsid w:val="6E3B7411"/>
    <w:rsid w:val="6E41156A"/>
    <w:rsid w:val="6E46167B"/>
    <w:rsid w:val="6E535B46"/>
    <w:rsid w:val="6E683AFB"/>
    <w:rsid w:val="6E6E472E"/>
    <w:rsid w:val="6E7148A2"/>
    <w:rsid w:val="6E9271DA"/>
    <w:rsid w:val="6EAE5472"/>
    <w:rsid w:val="6EFA2466"/>
    <w:rsid w:val="6EFA6CE5"/>
    <w:rsid w:val="6EFC4430"/>
    <w:rsid w:val="6F166029"/>
    <w:rsid w:val="6F2505DF"/>
    <w:rsid w:val="6F400D84"/>
    <w:rsid w:val="6F69510A"/>
    <w:rsid w:val="6F6A26DF"/>
    <w:rsid w:val="6F6D5C87"/>
    <w:rsid w:val="6F8B7727"/>
    <w:rsid w:val="6F94371D"/>
    <w:rsid w:val="6F9A15B6"/>
    <w:rsid w:val="6FB2689C"/>
    <w:rsid w:val="6FBF777B"/>
    <w:rsid w:val="6FCB60CC"/>
    <w:rsid w:val="6FD45B72"/>
    <w:rsid w:val="6FFB46E7"/>
    <w:rsid w:val="700510C2"/>
    <w:rsid w:val="700904CD"/>
    <w:rsid w:val="702F3DF3"/>
    <w:rsid w:val="703C4332"/>
    <w:rsid w:val="706171E9"/>
    <w:rsid w:val="706758D9"/>
    <w:rsid w:val="708425C0"/>
    <w:rsid w:val="708B0474"/>
    <w:rsid w:val="70B11D25"/>
    <w:rsid w:val="70B50413"/>
    <w:rsid w:val="70BD6CF4"/>
    <w:rsid w:val="70C055EA"/>
    <w:rsid w:val="70C45198"/>
    <w:rsid w:val="70EB650A"/>
    <w:rsid w:val="711517D9"/>
    <w:rsid w:val="71151EFF"/>
    <w:rsid w:val="712B3AB0"/>
    <w:rsid w:val="71306613"/>
    <w:rsid w:val="71402523"/>
    <w:rsid w:val="714205EC"/>
    <w:rsid w:val="71554798"/>
    <w:rsid w:val="71932BEA"/>
    <w:rsid w:val="71A8012B"/>
    <w:rsid w:val="71CB1E97"/>
    <w:rsid w:val="71EB453D"/>
    <w:rsid w:val="720A29C0"/>
    <w:rsid w:val="72183203"/>
    <w:rsid w:val="721A14AF"/>
    <w:rsid w:val="722753F6"/>
    <w:rsid w:val="72A9042B"/>
    <w:rsid w:val="72AE5A41"/>
    <w:rsid w:val="72B94B6C"/>
    <w:rsid w:val="72BA43E6"/>
    <w:rsid w:val="72BC07FA"/>
    <w:rsid w:val="72C139C6"/>
    <w:rsid w:val="72E96A79"/>
    <w:rsid w:val="731079BC"/>
    <w:rsid w:val="731D4975"/>
    <w:rsid w:val="73441F01"/>
    <w:rsid w:val="736E3571"/>
    <w:rsid w:val="73814F04"/>
    <w:rsid w:val="73871097"/>
    <w:rsid w:val="738D7258"/>
    <w:rsid w:val="73916D55"/>
    <w:rsid w:val="739F35DC"/>
    <w:rsid w:val="73B72463"/>
    <w:rsid w:val="73B91755"/>
    <w:rsid w:val="73DB2866"/>
    <w:rsid w:val="73F86818"/>
    <w:rsid w:val="742A559B"/>
    <w:rsid w:val="744B128D"/>
    <w:rsid w:val="74566390"/>
    <w:rsid w:val="74934A16"/>
    <w:rsid w:val="74A60CA3"/>
    <w:rsid w:val="74AA2238"/>
    <w:rsid w:val="74BD763D"/>
    <w:rsid w:val="74C07CAE"/>
    <w:rsid w:val="74CC0400"/>
    <w:rsid w:val="74CD3FDC"/>
    <w:rsid w:val="751032B2"/>
    <w:rsid w:val="75134281"/>
    <w:rsid w:val="75167E37"/>
    <w:rsid w:val="75265D63"/>
    <w:rsid w:val="75330480"/>
    <w:rsid w:val="753B6EFF"/>
    <w:rsid w:val="755A02A7"/>
    <w:rsid w:val="756F6773"/>
    <w:rsid w:val="75706FDE"/>
    <w:rsid w:val="757321C6"/>
    <w:rsid w:val="75790588"/>
    <w:rsid w:val="75930F1E"/>
    <w:rsid w:val="759806E4"/>
    <w:rsid w:val="75A70BAD"/>
    <w:rsid w:val="75BA46FD"/>
    <w:rsid w:val="75CD7146"/>
    <w:rsid w:val="75D2326D"/>
    <w:rsid w:val="75DC28C5"/>
    <w:rsid w:val="75DE03EB"/>
    <w:rsid w:val="75FF4505"/>
    <w:rsid w:val="7607731C"/>
    <w:rsid w:val="761756AB"/>
    <w:rsid w:val="76193801"/>
    <w:rsid w:val="761958C7"/>
    <w:rsid w:val="762D3121"/>
    <w:rsid w:val="764D5571"/>
    <w:rsid w:val="76535130"/>
    <w:rsid w:val="765B430A"/>
    <w:rsid w:val="766269B3"/>
    <w:rsid w:val="7689396D"/>
    <w:rsid w:val="76CD56AB"/>
    <w:rsid w:val="77110920"/>
    <w:rsid w:val="771B2A1F"/>
    <w:rsid w:val="77233923"/>
    <w:rsid w:val="772D1E44"/>
    <w:rsid w:val="7731480C"/>
    <w:rsid w:val="774631EA"/>
    <w:rsid w:val="77505319"/>
    <w:rsid w:val="77657850"/>
    <w:rsid w:val="77660698"/>
    <w:rsid w:val="776D0814"/>
    <w:rsid w:val="77725A31"/>
    <w:rsid w:val="77D00208"/>
    <w:rsid w:val="77F14987"/>
    <w:rsid w:val="78000AED"/>
    <w:rsid w:val="78175DA9"/>
    <w:rsid w:val="78300C65"/>
    <w:rsid w:val="7867455D"/>
    <w:rsid w:val="78713799"/>
    <w:rsid w:val="788039DC"/>
    <w:rsid w:val="788B3DAD"/>
    <w:rsid w:val="78926BE6"/>
    <w:rsid w:val="78987D16"/>
    <w:rsid w:val="789E60B6"/>
    <w:rsid w:val="78C0027C"/>
    <w:rsid w:val="78D855C6"/>
    <w:rsid w:val="78F247C0"/>
    <w:rsid w:val="79030169"/>
    <w:rsid w:val="7937265D"/>
    <w:rsid w:val="79377EAD"/>
    <w:rsid w:val="79441862"/>
    <w:rsid w:val="798D309A"/>
    <w:rsid w:val="799534B7"/>
    <w:rsid w:val="7999473D"/>
    <w:rsid w:val="79B25E17"/>
    <w:rsid w:val="79B40743"/>
    <w:rsid w:val="79C43D9C"/>
    <w:rsid w:val="79D10D9C"/>
    <w:rsid w:val="79DB1543"/>
    <w:rsid w:val="79F67195"/>
    <w:rsid w:val="79FF5FC5"/>
    <w:rsid w:val="7A0128FA"/>
    <w:rsid w:val="7A205D81"/>
    <w:rsid w:val="7A374E5C"/>
    <w:rsid w:val="7A543372"/>
    <w:rsid w:val="7A663A44"/>
    <w:rsid w:val="7A664E53"/>
    <w:rsid w:val="7A6F6183"/>
    <w:rsid w:val="7A886645"/>
    <w:rsid w:val="7A9A311E"/>
    <w:rsid w:val="7ABC4A73"/>
    <w:rsid w:val="7AD93877"/>
    <w:rsid w:val="7AD96085"/>
    <w:rsid w:val="7AF70EB5"/>
    <w:rsid w:val="7B0501C8"/>
    <w:rsid w:val="7B052E58"/>
    <w:rsid w:val="7B195DAB"/>
    <w:rsid w:val="7B1A27DF"/>
    <w:rsid w:val="7B23621C"/>
    <w:rsid w:val="7B364826"/>
    <w:rsid w:val="7B4758C4"/>
    <w:rsid w:val="7B4C4049"/>
    <w:rsid w:val="7B7B40EA"/>
    <w:rsid w:val="7BA467F4"/>
    <w:rsid w:val="7BDC3C70"/>
    <w:rsid w:val="7C06069C"/>
    <w:rsid w:val="7C134B67"/>
    <w:rsid w:val="7C413482"/>
    <w:rsid w:val="7C5475DF"/>
    <w:rsid w:val="7C815F74"/>
    <w:rsid w:val="7C831CEC"/>
    <w:rsid w:val="7CC66323"/>
    <w:rsid w:val="7CD36C81"/>
    <w:rsid w:val="7CD720A5"/>
    <w:rsid w:val="7CEC2C56"/>
    <w:rsid w:val="7CEC5AE4"/>
    <w:rsid w:val="7CF804A7"/>
    <w:rsid w:val="7CFA0863"/>
    <w:rsid w:val="7D0746CC"/>
    <w:rsid w:val="7D197F5B"/>
    <w:rsid w:val="7D4B238B"/>
    <w:rsid w:val="7D5D0249"/>
    <w:rsid w:val="7D6557C5"/>
    <w:rsid w:val="7D715FE9"/>
    <w:rsid w:val="7DBF67DA"/>
    <w:rsid w:val="7DE30BBC"/>
    <w:rsid w:val="7DE44A0D"/>
    <w:rsid w:val="7E05600D"/>
    <w:rsid w:val="7E0E1A8A"/>
    <w:rsid w:val="7E152481"/>
    <w:rsid w:val="7E3506EF"/>
    <w:rsid w:val="7E5D00E7"/>
    <w:rsid w:val="7E6E7AAC"/>
    <w:rsid w:val="7EB02B41"/>
    <w:rsid w:val="7ECC5F8A"/>
    <w:rsid w:val="7ECF7DAB"/>
    <w:rsid w:val="7EDC291C"/>
    <w:rsid w:val="7EF615D7"/>
    <w:rsid w:val="7F106C65"/>
    <w:rsid w:val="7F291020"/>
    <w:rsid w:val="7F5B0CFF"/>
    <w:rsid w:val="7F757601"/>
    <w:rsid w:val="7F783C9C"/>
    <w:rsid w:val="7F850220"/>
    <w:rsid w:val="7F8915DC"/>
    <w:rsid w:val="7F8C0EB8"/>
    <w:rsid w:val="7F906B71"/>
    <w:rsid w:val="7FA76AC5"/>
    <w:rsid w:val="7FAD73F4"/>
    <w:rsid w:val="7FB9414D"/>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52"/>
    <w:qFormat/>
    <w:uiPriority w:val="0"/>
    <w:pPr>
      <w:keepNext/>
      <w:keepLines/>
      <w:spacing w:before="340" w:after="330" w:line="576" w:lineRule="auto"/>
      <w:outlineLvl w:val="0"/>
    </w:pPr>
    <w:rPr>
      <w:b/>
      <w:bCs/>
      <w:kern w:val="44"/>
      <w:sz w:val="44"/>
      <w:szCs w:val="44"/>
      <w:lang w:val="zh-CN"/>
    </w:rPr>
  </w:style>
  <w:style w:type="paragraph" w:styleId="4">
    <w:name w:val="heading 2"/>
    <w:basedOn w:val="1"/>
    <w:next w:val="1"/>
    <w:link w:val="53"/>
    <w:qFormat/>
    <w:uiPriority w:val="0"/>
    <w:pPr>
      <w:keepNext/>
      <w:keepLines/>
      <w:spacing w:before="260" w:after="260" w:line="415" w:lineRule="auto"/>
      <w:outlineLvl w:val="1"/>
    </w:pPr>
    <w:rPr>
      <w:rFonts w:ascii="Arial" w:hAnsi="Arial" w:eastAsia="黑体"/>
      <w:b/>
      <w:bCs/>
      <w:sz w:val="32"/>
      <w:szCs w:val="32"/>
      <w:lang w:val="zh-CN"/>
    </w:rPr>
  </w:style>
  <w:style w:type="paragraph" w:styleId="5">
    <w:name w:val="heading 3"/>
    <w:basedOn w:val="1"/>
    <w:next w:val="1"/>
    <w:link w:val="54"/>
    <w:qFormat/>
    <w:uiPriority w:val="0"/>
    <w:pPr>
      <w:keepNext/>
      <w:keepLines/>
      <w:spacing w:before="260" w:after="260" w:line="415" w:lineRule="auto"/>
      <w:ind w:firstLine="137" w:firstLineChars="49"/>
      <w:outlineLvl w:val="2"/>
    </w:pPr>
    <w:rPr>
      <w:rFonts w:ascii="黑体" w:hAnsi="黑体" w:eastAsia="黑体"/>
      <w:bCs/>
      <w:sz w:val="28"/>
      <w:szCs w:val="28"/>
      <w:lang w:val="zh-CN"/>
    </w:rPr>
  </w:style>
  <w:style w:type="paragraph" w:styleId="6">
    <w:name w:val="heading 4"/>
    <w:basedOn w:val="1"/>
    <w:next w:val="1"/>
    <w:link w:val="55"/>
    <w:qFormat/>
    <w:uiPriority w:val="0"/>
    <w:pPr>
      <w:keepNext/>
      <w:keepLines/>
      <w:spacing w:before="280" w:after="290" w:line="374" w:lineRule="auto"/>
      <w:outlineLvl w:val="3"/>
    </w:pPr>
    <w:rPr>
      <w:rFonts w:ascii="Arial" w:hAnsi="Arial" w:eastAsia="黑体"/>
      <w:b/>
      <w:bCs/>
      <w:sz w:val="28"/>
      <w:szCs w:val="28"/>
      <w:lang w:val="zh-CN"/>
    </w:rPr>
  </w:style>
  <w:style w:type="paragraph" w:styleId="7">
    <w:name w:val="heading 5"/>
    <w:basedOn w:val="1"/>
    <w:next w:val="8"/>
    <w:link w:val="56"/>
    <w:qFormat/>
    <w:uiPriority w:val="0"/>
    <w:pPr>
      <w:spacing w:beforeLines="50" w:afterLines="50" w:line="240" w:lineRule="exact"/>
      <w:ind w:left="284" w:hanging="284"/>
      <w:jc w:val="center"/>
      <w:outlineLvl w:val="4"/>
    </w:pPr>
    <w:rPr>
      <w:color w:val="000000"/>
      <w:sz w:val="24"/>
      <w:szCs w:val="24"/>
      <w:lang w:val="zh-CN"/>
    </w:rPr>
  </w:style>
  <w:style w:type="paragraph" w:styleId="9">
    <w:name w:val="heading 6"/>
    <w:basedOn w:val="1"/>
    <w:next w:val="1"/>
    <w:link w:val="5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lang w:val="zh-CN"/>
    </w:rPr>
  </w:style>
  <w:style w:type="paragraph" w:styleId="10">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szCs w:val="24"/>
      <w:lang w:val="zh-CN"/>
    </w:rPr>
  </w:style>
  <w:style w:type="paragraph" w:styleId="11">
    <w:name w:val="heading 8"/>
    <w:basedOn w:val="1"/>
    <w:next w:val="1"/>
    <w:link w:val="5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lang w:val="zh-CN"/>
    </w:rPr>
  </w:style>
  <w:style w:type="paragraph" w:styleId="12">
    <w:name w:val="heading 9"/>
    <w:basedOn w:val="1"/>
    <w:next w:val="1"/>
    <w:link w:val="6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lang w:val="zh-CN"/>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customStyle="1" w:styleId="8">
    <w:name w:val="Normal Indent1"/>
    <w:basedOn w:val="1"/>
    <w:qFormat/>
    <w:uiPriority w:val="0"/>
    <w:pPr>
      <w:ind w:firstLine="420" w:firstLineChars="200"/>
    </w:pPr>
    <w:rPr>
      <w:szCs w:val="24"/>
    </w:rPr>
  </w:style>
  <w:style w:type="paragraph" w:styleId="13">
    <w:name w:val="toc 7"/>
    <w:basedOn w:val="1"/>
    <w:next w:val="1"/>
    <w:qFormat/>
    <w:uiPriority w:val="39"/>
    <w:pPr>
      <w:ind w:left="1260"/>
      <w:jc w:val="left"/>
    </w:pPr>
    <w:rPr>
      <w:sz w:val="18"/>
      <w:szCs w:val="18"/>
    </w:rPr>
  </w:style>
  <w:style w:type="paragraph" w:styleId="14">
    <w:name w:val="Document Map"/>
    <w:basedOn w:val="1"/>
    <w:link w:val="61"/>
    <w:qFormat/>
    <w:uiPriority w:val="0"/>
    <w:rPr>
      <w:rFonts w:ascii="宋体"/>
      <w:sz w:val="18"/>
      <w:szCs w:val="18"/>
      <w:lang w:val="zh-CN"/>
    </w:rPr>
  </w:style>
  <w:style w:type="paragraph" w:styleId="15">
    <w:name w:val="annotation text"/>
    <w:basedOn w:val="1"/>
    <w:link w:val="62"/>
    <w:qFormat/>
    <w:uiPriority w:val="99"/>
    <w:pPr>
      <w:jc w:val="left"/>
    </w:pPr>
    <w:rPr>
      <w:szCs w:val="24"/>
      <w:lang w:val="zh-CN"/>
    </w:rPr>
  </w:style>
  <w:style w:type="paragraph" w:styleId="16">
    <w:name w:val="Body Text 3"/>
    <w:basedOn w:val="1"/>
    <w:link w:val="63"/>
    <w:qFormat/>
    <w:uiPriority w:val="0"/>
    <w:rPr>
      <w:rFonts w:ascii="宋体" w:hAnsi="Calibri"/>
      <w:sz w:val="24"/>
      <w:szCs w:val="20"/>
    </w:rPr>
  </w:style>
  <w:style w:type="paragraph" w:styleId="17">
    <w:name w:val="Body Text"/>
    <w:basedOn w:val="1"/>
    <w:link w:val="64"/>
    <w:unhideWhenUsed/>
    <w:qFormat/>
    <w:uiPriority w:val="99"/>
    <w:pPr>
      <w:spacing w:after="120"/>
    </w:pPr>
    <w:rPr>
      <w:lang w:val="zh-CN"/>
    </w:rPr>
  </w:style>
  <w:style w:type="paragraph" w:styleId="18">
    <w:name w:val="Body Text Indent"/>
    <w:basedOn w:val="1"/>
    <w:next w:val="19"/>
    <w:link w:val="65"/>
    <w:qFormat/>
    <w:uiPriority w:val="0"/>
    <w:pPr>
      <w:ind w:left="420" w:leftChars="200"/>
    </w:pPr>
    <w:rPr>
      <w:kern w:val="0"/>
      <w:sz w:val="20"/>
      <w:szCs w:val="24"/>
    </w:rPr>
  </w:style>
  <w:style w:type="paragraph" w:styleId="19">
    <w:name w:val="envelope return"/>
    <w:basedOn w:val="1"/>
    <w:qFormat/>
    <w:uiPriority w:val="99"/>
    <w:pPr>
      <w:snapToGrid w:val="0"/>
    </w:pPr>
    <w:rPr>
      <w:rFonts w:ascii="Arial" w:hAnsi="Arial" w:cs="Arial"/>
    </w:rPr>
  </w:style>
  <w:style w:type="paragraph" w:styleId="20">
    <w:name w:val="toc 5"/>
    <w:basedOn w:val="1"/>
    <w:next w:val="1"/>
    <w:qFormat/>
    <w:uiPriority w:val="39"/>
    <w:pPr>
      <w:ind w:left="840"/>
      <w:jc w:val="left"/>
    </w:pPr>
    <w:rPr>
      <w:sz w:val="18"/>
      <w:szCs w:val="18"/>
    </w:rPr>
  </w:style>
  <w:style w:type="paragraph" w:styleId="21">
    <w:name w:val="toc 3"/>
    <w:basedOn w:val="1"/>
    <w:next w:val="1"/>
    <w:qFormat/>
    <w:uiPriority w:val="39"/>
    <w:pPr>
      <w:ind w:left="420"/>
      <w:jc w:val="left"/>
    </w:pPr>
    <w:rPr>
      <w:iCs/>
      <w:sz w:val="20"/>
      <w:szCs w:val="20"/>
    </w:rPr>
  </w:style>
  <w:style w:type="paragraph" w:styleId="22">
    <w:name w:val="Plain Text"/>
    <w:basedOn w:val="1"/>
    <w:next w:val="1"/>
    <w:link w:val="66"/>
    <w:qFormat/>
    <w:uiPriority w:val="0"/>
    <w:rPr>
      <w:rFonts w:ascii="宋体" w:hAnsi="Courier New"/>
      <w:szCs w:val="20"/>
      <w:lang w:val="zh-CN"/>
    </w:rPr>
  </w:style>
  <w:style w:type="paragraph" w:styleId="23">
    <w:name w:val="toc 8"/>
    <w:basedOn w:val="1"/>
    <w:next w:val="1"/>
    <w:qFormat/>
    <w:uiPriority w:val="39"/>
    <w:pPr>
      <w:ind w:left="1470"/>
      <w:jc w:val="left"/>
    </w:pPr>
    <w:rPr>
      <w:sz w:val="18"/>
      <w:szCs w:val="18"/>
    </w:rPr>
  </w:style>
  <w:style w:type="paragraph" w:styleId="24">
    <w:name w:val="Date"/>
    <w:basedOn w:val="1"/>
    <w:next w:val="1"/>
    <w:link w:val="67"/>
    <w:qFormat/>
    <w:uiPriority w:val="0"/>
    <w:pPr>
      <w:ind w:left="100" w:leftChars="2500"/>
    </w:pPr>
    <w:rPr>
      <w:rFonts w:ascii="Calibri" w:hAnsi="Calibri"/>
      <w:kern w:val="0"/>
      <w:sz w:val="20"/>
      <w:szCs w:val="24"/>
      <w:lang w:val="zh-CN"/>
    </w:rPr>
  </w:style>
  <w:style w:type="paragraph" w:styleId="25">
    <w:name w:val="endnote text"/>
    <w:basedOn w:val="1"/>
    <w:link w:val="68"/>
    <w:qFormat/>
    <w:uiPriority w:val="0"/>
    <w:pPr>
      <w:snapToGrid w:val="0"/>
      <w:jc w:val="left"/>
    </w:pPr>
    <w:rPr>
      <w:szCs w:val="20"/>
      <w:lang w:val="zh-CN"/>
    </w:rPr>
  </w:style>
  <w:style w:type="paragraph" w:styleId="26">
    <w:name w:val="Balloon Text"/>
    <w:basedOn w:val="1"/>
    <w:link w:val="69"/>
    <w:qFormat/>
    <w:uiPriority w:val="0"/>
    <w:rPr>
      <w:sz w:val="18"/>
      <w:szCs w:val="18"/>
      <w:lang w:val="zh-CN"/>
    </w:rPr>
  </w:style>
  <w:style w:type="paragraph" w:styleId="27">
    <w:name w:val="footer"/>
    <w:basedOn w:val="1"/>
    <w:link w:val="70"/>
    <w:qFormat/>
    <w:uiPriority w:val="99"/>
    <w:pPr>
      <w:tabs>
        <w:tab w:val="center" w:pos="4153"/>
        <w:tab w:val="right" w:pos="8306"/>
      </w:tabs>
      <w:snapToGrid w:val="0"/>
      <w:jc w:val="left"/>
    </w:pPr>
    <w:rPr>
      <w:sz w:val="18"/>
      <w:szCs w:val="18"/>
      <w:lang w:val="zh-CN"/>
    </w:rPr>
  </w:style>
  <w:style w:type="paragraph" w:styleId="28">
    <w:name w:val="header"/>
    <w:basedOn w:val="1"/>
    <w:link w:val="71"/>
    <w:qFormat/>
    <w:uiPriority w:val="0"/>
    <w:pPr>
      <w:pBdr>
        <w:bottom w:val="single" w:color="auto" w:sz="6" w:space="1"/>
      </w:pBdr>
      <w:tabs>
        <w:tab w:val="center" w:pos="4153"/>
        <w:tab w:val="right" w:pos="8306"/>
      </w:tabs>
      <w:snapToGrid w:val="0"/>
      <w:jc w:val="center"/>
    </w:pPr>
    <w:rPr>
      <w:sz w:val="18"/>
      <w:szCs w:val="18"/>
      <w:lang w:val="zh-CN"/>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39"/>
    <w:pPr>
      <w:ind w:left="630"/>
      <w:jc w:val="left"/>
    </w:pPr>
    <w:rPr>
      <w:sz w:val="18"/>
      <w:szCs w:val="18"/>
    </w:rPr>
  </w:style>
  <w:style w:type="paragraph" w:styleId="31">
    <w:name w:val="footnote text"/>
    <w:basedOn w:val="1"/>
    <w:link w:val="72"/>
    <w:qFormat/>
    <w:uiPriority w:val="0"/>
    <w:pPr>
      <w:snapToGrid w:val="0"/>
      <w:jc w:val="left"/>
    </w:pPr>
    <w:rPr>
      <w:sz w:val="18"/>
      <w:szCs w:val="20"/>
      <w:lang w:val="zh-CN"/>
    </w:rPr>
  </w:style>
  <w:style w:type="paragraph" w:styleId="32">
    <w:name w:val="toc 6"/>
    <w:basedOn w:val="1"/>
    <w:next w:val="1"/>
    <w:qFormat/>
    <w:uiPriority w:val="39"/>
    <w:pPr>
      <w:ind w:left="1050"/>
      <w:jc w:val="left"/>
    </w:pPr>
    <w:rPr>
      <w:sz w:val="18"/>
      <w:szCs w:val="18"/>
    </w:rPr>
  </w:style>
  <w:style w:type="paragraph" w:styleId="33">
    <w:name w:val="toc 2"/>
    <w:basedOn w:val="1"/>
    <w:next w:val="1"/>
    <w:qFormat/>
    <w:uiPriority w:val="39"/>
    <w:pPr>
      <w:ind w:left="210"/>
      <w:jc w:val="left"/>
    </w:pPr>
    <w:rPr>
      <w:smallCaps/>
      <w:sz w:val="20"/>
      <w:szCs w:val="20"/>
    </w:rPr>
  </w:style>
  <w:style w:type="paragraph" w:styleId="34">
    <w:name w:val="toc 9"/>
    <w:basedOn w:val="1"/>
    <w:next w:val="1"/>
    <w:qFormat/>
    <w:uiPriority w:val="39"/>
    <w:pPr>
      <w:ind w:left="1680"/>
      <w:jc w:val="left"/>
    </w:pPr>
    <w:rPr>
      <w:sz w:val="18"/>
      <w:szCs w:val="18"/>
    </w:rPr>
  </w:style>
  <w:style w:type="paragraph" w:styleId="35">
    <w:name w:val="Body Text 2"/>
    <w:basedOn w:val="1"/>
    <w:link w:val="73"/>
    <w:unhideWhenUsed/>
    <w:qFormat/>
    <w:uiPriority w:val="99"/>
    <w:rPr>
      <w:rFonts w:ascii="宋体"/>
      <w:sz w:val="24"/>
      <w:szCs w:val="24"/>
      <w:u w:val="single"/>
      <w:lang w:val="zh-CN"/>
    </w:rPr>
  </w:style>
  <w:style w:type="paragraph" w:styleId="3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7">
    <w:name w:val="Title"/>
    <w:basedOn w:val="1"/>
    <w:link w:val="74"/>
    <w:qFormat/>
    <w:uiPriority w:val="0"/>
    <w:pPr>
      <w:adjustRightInd w:val="0"/>
      <w:spacing w:before="240" w:after="60" w:line="420" w:lineRule="atLeast"/>
      <w:jc w:val="center"/>
      <w:textAlignment w:val="baseline"/>
      <w:outlineLvl w:val="0"/>
    </w:pPr>
    <w:rPr>
      <w:rFonts w:ascii="Arial" w:hAnsi="Arial"/>
      <w:b/>
      <w:kern w:val="0"/>
      <w:sz w:val="32"/>
      <w:szCs w:val="20"/>
      <w:lang w:val="zh-CN"/>
    </w:rPr>
  </w:style>
  <w:style w:type="paragraph" w:styleId="38">
    <w:name w:val="annotation subject"/>
    <w:basedOn w:val="15"/>
    <w:next w:val="15"/>
    <w:link w:val="75"/>
    <w:qFormat/>
    <w:uiPriority w:val="0"/>
    <w:rPr>
      <w:b/>
      <w:bCs/>
    </w:rPr>
  </w:style>
  <w:style w:type="paragraph" w:styleId="39">
    <w:name w:val="Body Text First Indent"/>
    <w:basedOn w:val="17"/>
    <w:link w:val="76"/>
    <w:unhideWhenUsed/>
    <w:qFormat/>
    <w:uiPriority w:val="99"/>
    <w:pPr>
      <w:ind w:firstLine="420" w:firstLineChars="100"/>
    </w:pPr>
    <w:rPr>
      <w:szCs w:val="24"/>
    </w:rPr>
  </w:style>
  <w:style w:type="paragraph" w:styleId="40">
    <w:name w:val="Body Text First Indent 2"/>
    <w:basedOn w:val="18"/>
    <w:qFormat/>
    <w:uiPriority w:val="0"/>
    <w:pPr>
      <w:ind w:firstLine="420" w:firstLineChars="200"/>
    </w:pPr>
    <w:rPr>
      <w:kern w:val="2"/>
      <w:sz w:val="21"/>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endnote reference"/>
    <w:qFormat/>
    <w:uiPriority w:val="0"/>
    <w:rPr>
      <w:vertAlign w:val="superscript"/>
    </w:rPr>
  </w:style>
  <w:style w:type="character" w:styleId="46">
    <w:name w:val="page number"/>
    <w:qFormat/>
    <w:uiPriority w:val="0"/>
  </w:style>
  <w:style w:type="character" w:styleId="47">
    <w:name w:val="Emphasis"/>
    <w:qFormat/>
    <w:uiPriority w:val="0"/>
    <w:rPr>
      <w:color w:val="CC0000"/>
    </w:rPr>
  </w:style>
  <w:style w:type="character" w:styleId="48">
    <w:name w:val="Hyperlink"/>
    <w:qFormat/>
    <w:uiPriority w:val="99"/>
    <w:rPr>
      <w:color w:val="000000"/>
      <w:u w:val="none"/>
    </w:rPr>
  </w:style>
  <w:style w:type="character" w:styleId="49">
    <w:name w:val="annotation reference"/>
    <w:qFormat/>
    <w:uiPriority w:val="99"/>
    <w:rPr>
      <w:sz w:val="21"/>
      <w:szCs w:val="21"/>
    </w:rPr>
  </w:style>
  <w:style w:type="character" w:styleId="50">
    <w:name w:val="HTML Cite"/>
    <w:unhideWhenUsed/>
    <w:qFormat/>
    <w:uiPriority w:val="99"/>
    <w:rPr>
      <w:sz w:val="24"/>
      <w:szCs w:val="24"/>
    </w:rPr>
  </w:style>
  <w:style w:type="character" w:styleId="51">
    <w:name w:val="footnote reference"/>
    <w:qFormat/>
    <w:uiPriority w:val="0"/>
    <w:rPr>
      <w:vertAlign w:val="superscript"/>
    </w:rPr>
  </w:style>
  <w:style w:type="character" w:customStyle="1" w:styleId="52">
    <w:name w:val="标题 1 字符"/>
    <w:link w:val="3"/>
    <w:qFormat/>
    <w:uiPriority w:val="0"/>
    <w:rPr>
      <w:rFonts w:ascii="Times New Roman" w:hAnsi="Times New Roman" w:eastAsia="宋体"/>
      <w:b/>
      <w:bCs/>
      <w:kern w:val="44"/>
      <w:sz w:val="44"/>
      <w:szCs w:val="44"/>
    </w:rPr>
  </w:style>
  <w:style w:type="character" w:customStyle="1" w:styleId="53">
    <w:name w:val="标题 2 字符"/>
    <w:link w:val="4"/>
    <w:qFormat/>
    <w:uiPriority w:val="0"/>
    <w:rPr>
      <w:rFonts w:ascii="Arial" w:hAnsi="Arial" w:eastAsia="黑体"/>
      <w:b/>
      <w:bCs/>
      <w:kern w:val="2"/>
      <w:sz w:val="32"/>
      <w:szCs w:val="32"/>
    </w:rPr>
  </w:style>
  <w:style w:type="character" w:customStyle="1" w:styleId="54">
    <w:name w:val="标题 3 字符"/>
    <w:link w:val="5"/>
    <w:qFormat/>
    <w:uiPriority w:val="0"/>
    <w:rPr>
      <w:rFonts w:ascii="黑体" w:hAnsi="黑体" w:eastAsia="黑体"/>
      <w:bCs/>
      <w:kern w:val="2"/>
      <w:sz w:val="28"/>
      <w:szCs w:val="28"/>
    </w:rPr>
  </w:style>
  <w:style w:type="character" w:customStyle="1" w:styleId="55">
    <w:name w:val="标题 4 字符"/>
    <w:link w:val="6"/>
    <w:qFormat/>
    <w:uiPriority w:val="0"/>
    <w:rPr>
      <w:rFonts w:ascii="Arial" w:hAnsi="Arial" w:eastAsia="黑体"/>
      <w:b/>
      <w:bCs/>
      <w:kern w:val="2"/>
      <w:sz w:val="28"/>
      <w:szCs w:val="28"/>
    </w:rPr>
  </w:style>
  <w:style w:type="character" w:customStyle="1" w:styleId="56">
    <w:name w:val="标题 5 字符"/>
    <w:link w:val="7"/>
    <w:qFormat/>
    <w:uiPriority w:val="0"/>
    <w:rPr>
      <w:rFonts w:ascii="Times New Roman" w:hAnsi="Times New Roman" w:eastAsia="宋体"/>
      <w:color w:val="000000"/>
      <w:kern w:val="2"/>
      <w:sz w:val="24"/>
      <w:szCs w:val="24"/>
    </w:rPr>
  </w:style>
  <w:style w:type="character" w:customStyle="1" w:styleId="57">
    <w:name w:val="标题 6 字符"/>
    <w:link w:val="9"/>
    <w:qFormat/>
    <w:uiPriority w:val="0"/>
    <w:rPr>
      <w:rFonts w:ascii="Arial" w:hAnsi="Arial" w:eastAsia="黑体"/>
      <w:b/>
      <w:bCs/>
      <w:sz w:val="24"/>
      <w:szCs w:val="24"/>
    </w:rPr>
  </w:style>
  <w:style w:type="character" w:customStyle="1" w:styleId="58">
    <w:name w:val="标题 7 字符"/>
    <w:link w:val="10"/>
    <w:qFormat/>
    <w:uiPriority w:val="0"/>
    <w:rPr>
      <w:rFonts w:ascii="Times New Roman" w:hAnsi="Times New Roman" w:eastAsia="宋体"/>
      <w:b/>
      <w:bCs/>
      <w:sz w:val="24"/>
      <w:szCs w:val="24"/>
    </w:rPr>
  </w:style>
  <w:style w:type="character" w:customStyle="1" w:styleId="59">
    <w:name w:val="标题 8 字符"/>
    <w:link w:val="11"/>
    <w:qFormat/>
    <w:uiPriority w:val="0"/>
    <w:rPr>
      <w:rFonts w:ascii="Arial" w:hAnsi="Arial" w:eastAsia="黑体"/>
      <w:sz w:val="24"/>
      <w:szCs w:val="24"/>
    </w:rPr>
  </w:style>
  <w:style w:type="character" w:customStyle="1" w:styleId="60">
    <w:name w:val="标题 9 字符"/>
    <w:link w:val="12"/>
    <w:qFormat/>
    <w:uiPriority w:val="0"/>
    <w:rPr>
      <w:rFonts w:ascii="Arial" w:hAnsi="Arial" w:eastAsia="黑体"/>
      <w:sz w:val="21"/>
      <w:szCs w:val="21"/>
    </w:rPr>
  </w:style>
  <w:style w:type="character" w:customStyle="1" w:styleId="61">
    <w:name w:val="文档结构图 字符"/>
    <w:link w:val="14"/>
    <w:qFormat/>
    <w:uiPriority w:val="0"/>
    <w:rPr>
      <w:rFonts w:ascii="宋体"/>
      <w:kern w:val="2"/>
      <w:sz w:val="18"/>
      <w:szCs w:val="18"/>
    </w:rPr>
  </w:style>
  <w:style w:type="character" w:customStyle="1" w:styleId="62">
    <w:name w:val="批注文字 字符"/>
    <w:link w:val="15"/>
    <w:qFormat/>
    <w:uiPriority w:val="0"/>
    <w:rPr>
      <w:rFonts w:eastAsia="宋体"/>
      <w:kern w:val="2"/>
      <w:sz w:val="21"/>
      <w:szCs w:val="24"/>
    </w:rPr>
  </w:style>
  <w:style w:type="character" w:customStyle="1" w:styleId="63">
    <w:name w:val="正文文本 3 字符"/>
    <w:link w:val="16"/>
    <w:qFormat/>
    <w:uiPriority w:val="0"/>
    <w:rPr>
      <w:rFonts w:ascii="宋体" w:hAnsi="Calibri"/>
      <w:kern w:val="2"/>
      <w:sz w:val="24"/>
    </w:rPr>
  </w:style>
  <w:style w:type="character" w:customStyle="1" w:styleId="64">
    <w:name w:val="正文文本 字符1"/>
    <w:link w:val="17"/>
    <w:semiHidden/>
    <w:qFormat/>
    <w:uiPriority w:val="99"/>
    <w:rPr>
      <w:kern w:val="2"/>
      <w:sz w:val="21"/>
      <w:szCs w:val="22"/>
    </w:rPr>
  </w:style>
  <w:style w:type="character" w:customStyle="1" w:styleId="65">
    <w:name w:val="正文文本缩进 字符"/>
    <w:link w:val="18"/>
    <w:qFormat/>
    <w:uiPriority w:val="0"/>
    <w:rPr>
      <w:szCs w:val="24"/>
    </w:rPr>
  </w:style>
  <w:style w:type="character" w:customStyle="1" w:styleId="66">
    <w:name w:val="纯文本 字符"/>
    <w:link w:val="22"/>
    <w:qFormat/>
    <w:uiPriority w:val="0"/>
    <w:rPr>
      <w:rFonts w:ascii="宋体" w:hAnsi="Courier New" w:eastAsia="宋体"/>
      <w:kern w:val="2"/>
      <w:sz w:val="21"/>
    </w:rPr>
  </w:style>
  <w:style w:type="character" w:customStyle="1" w:styleId="67">
    <w:name w:val="日期 字符"/>
    <w:link w:val="24"/>
    <w:qFormat/>
    <w:uiPriority w:val="0"/>
    <w:rPr>
      <w:rFonts w:ascii="Calibri" w:hAnsi="Calibri" w:eastAsia="宋体"/>
      <w:szCs w:val="24"/>
    </w:rPr>
  </w:style>
  <w:style w:type="character" w:customStyle="1" w:styleId="68">
    <w:name w:val="尾注文本 字符"/>
    <w:link w:val="25"/>
    <w:qFormat/>
    <w:uiPriority w:val="0"/>
    <w:rPr>
      <w:rFonts w:ascii="Times New Roman" w:hAnsi="Times New Roman" w:eastAsia="宋体"/>
      <w:kern w:val="2"/>
      <w:sz w:val="21"/>
    </w:rPr>
  </w:style>
  <w:style w:type="character" w:customStyle="1" w:styleId="69">
    <w:name w:val="批注框文本 字符"/>
    <w:link w:val="26"/>
    <w:qFormat/>
    <w:uiPriority w:val="0"/>
    <w:rPr>
      <w:rFonts w:eastAsia="宋体"/>
      <w:kern w:val="2"/>
      <w:sz w:val="18"/>
      <w:szCs w:val="18"/>
    </w:rPr>
  </w:style>
  <w:style w:type="character" w:customStyle="1" w:styleId="70">
    <w:name w:val="页脚 字符"/>
    <w:link w:val="27"/>
    <w:qFormat/>
    <w:uiPriority w:val="99"/>
    <w:rPr>
      <w:rFonts w:eastAsia="宋体"/>
      <w:kern w:val="2"/>
      <w:sz w:val="18"/>
      <w:szCs w:val="18"/>
    </w:rPr>
  </w:style>
  <w:style w:type="character" w:customStyle="1" w:styleId="71">
    <w:name w:val="页眉 字符"/>
    <w:link w:val="28"/>
    <w:qFormat/>
    <w:uiPriority w:val="0"/>
    <w:rPr>
      <w:rFonts w:eastAsia="宋体"/>
      <w:kern w:val="2"/>
      <w:sz w:val="18"/>
      <w:szCs w:val="18"/>
    </w:rPr>
  </w:style>
  <w:style w:type="character" w:customStyle="1" w:styleId="72">
    <w:name w:val="脚注文本 字符"/>
    <w:link w:val="31"/>
    <w:qFormat/>
    <w:uiPriority w:val="0"/>
    <w:rPr>
      <w:rFonts w:ascii="Times New Roman" w:hAnsi="Times New Roman" w:eastAsia="宋体"/>
      <w:kern w:val="2"/>
      <w:sz w:val="18"/>
    </w:rPr>
  </w:style>
  <w:style w:type="character" w:customStyle="1" w:styleId="73">
    <w:name w:val="正文文本 2 字符"/>
    <w:link w:val="35"/>
    <w:qFormat/>
    <w:uiPriority w:val="99"/>
    <w:rPr>
      <w:rFonts w:ascii="宋体" w:hAnsi="Times New Roman" w:eastAsia="宋体"/>
      <w:kern w:val="2"/>
      <w:sz w:val="24"/>
      <w:szCs w:val="24"/>
      <w:u w:val="single"/>
    </w:rPr>
  </w:style>
  <w:style w:type="character" w:customStyle="1" w:styleId="74">
    <w:name w:val="标题 字符"/>
    <w:link w:val="37"/>
    <w:qFormat/>
    <w:uiPriority w:val="0"/>
    <w:rPr>
      <w:rFonts w:ascii="Arial" w:hAnsi="Arial" w:eastAsia="宋体"/>
      <w:b/>
      <w:sz w:val="32"/>
    </w:rPr>
  </w:style>
  <w:style w:type="character" w:customStyle="1" w:styleId="75">
    <w:name w:val="批注主题 字符"/>
    <w:link w:val="38"/>
    <w:qFormat/>
    <w:uiPriority w:val="0"/>
    <w:rPr>
      <w:rFonts w:eastAsia="宋体"/>
      <w:b/>
      <w:bCs/>
      <w:kern w:val="2"/>
      <w:sz w:val="21"/>
      <w:szCs w:val="24"/>
    </w:rPr>
  </w:style>
  <w:style w:type="character" w:customStyle="1" w:styleId="76">
    <w:name w:val="正文文本首行缩进 字符1"/>
    <w:link w:val="39"/>
    <w:qFormat/>
    <w:uiPriority w:val="99"/>
  </w:style>
  <w:style w:type="paragraph" w:customStyle="1" w:styleId="77">
    <w:name w:val="Heading2"/>
    <w:basedOn w:val="1"/>
    <w:next w:val="1"/>
    <w:qFormat/>
    <w:uiPriority w:val="0"/>
    <w:pPr>
      <w:keepNext/>
      <w:keepLines/>
      <w:spacing w:before="260" w:after="260" w:line="412" w:lineRule="auto"/>
    </w:pPr>
    <w:rPr>
      <w:rFonts w:ascii="Arial" w:hAnsi="Arial" w:eastAsia="黑体"/>
      <w:kern w:val="0"/>
      <w:sz w:val="32"/>
      <w:szCs w:val="32"/>
    </w:rPr>
  </w:style>
  <w:style w:type="character" w:customStyle="1" w:styleId="78">
    <w:name w:val="已访问的超链接1"/>
    <w:qFormat/>
    <w:uiPriority w:val="0"/>
    <w:rPr>
      <w:color w:val="000000"/>
      <w:u w:val="none"/>
    </w:rPr>
  </w:style>
  <w:style w:type="character" w:customStyle="1" w:styleId="79">
    <w:name w:val="username"/>
    <w:qFormat/>
    <w:uiPriority w:val="0"/>
  </w:style>
  <w:style w:type="character" w:customStyle="1" w:styleId="80">
    <w:name w:val="正文首行缩进 Char"/>
    <w:link w:val="81"/>
    <w:qFormat/>
    <w:uiPriority w:val="0"/>
  </w:style>
  <w:style w:type="paragraph" w:customStyle="1" w:styleId="81">
    <w:name w:val="正文首行缩进1"/>
    <w:basedOn w:val="1"/>
    <w:link w:val="80"/>
    <w:qFormat/>
    <w:uiPriority w:val="0"/>
    <w:pPr>
      <w:spacing w:line="312" w:lineRule="auto"/>
      <w:ind w:firstLine="420"/>
    </w:pPr>
    <w:rPr>
      <w:szCs w:val="24"/>
    </w:rPr>
  </w:style>
  <w:style w:type="character" w:customStyle="1" w:styleId="82">
    <w:name w:val="fontstyle01"/>
    <w:qFormat/>
    <w:uiPriority w:val="0"/>
    <w:rPr>
      <w:rFonts w:ascii="宋体" w:hAnsi="宋体" w:eastAsia="宋体" w:cs="宋体"/>
      <w:color w:val="000000"/>
      <w:sz w:val="24"/>
      <w:szCs w:val="24"/>
    </w:rPr>
  </w:style>
  <w:style w:type="character" w:customStyle="1" w:styleId="83">
    <w:name w:val="font161"/>
    <w:qFormat/>
    <w:uiPriority w:val="0"/>
    <w:rPr>
      <w:b/>
      <w:bCs/>
      <w:sz w:val="32"/>
      <w:szCs w:val="32"/>
    </w:rPr>
  </w:style>
  <w:style w:type="character" w:customStyle="1" w:styleId="84">
    <w:name w:val="msoins"/>
    <w:qFormat/>
    <w:uiPriority w:val="0"/>
  </w:style>
  <w:style w:type="character" w:customStyle="1" w:styleId="85">
    <w:name w:val="正文文本 字符"/>
    <w:qFormat/>
    <w:uiPriority w:val="0"/>
    <w:rPr>
      <w:rFonts w:eastAsia="宋体"/>
      <w:kern w:val="2"/>
      <w:sz w:val="21"/>
      <w:szCs w:val="24"/>
      <w:lang w:val="en-US" w:eastAsia="zh-CN"/>
    </w:rPr>
  </w:style>
  <w:style w:type="character" w:customStyle="1" w:styleId="86">
    <w:name w:val="文档结构图 字符1"/>
    <w:semiHidden/>
    <w:qFormat/>
    <w:uiPriority w:val="99"/>
    <w:rPr>
      <w:rFonts w:ascii="宋体" w:eastAsia="宋体"/>
      <w:kern w:val="2"/>
      <w:sz w:val="18"/>
      <w:szCs w:val="18"/>
    </w:rPr>
  </w:style>
  <w:style w:type="character" w:customStyle="1" w:styleId="87">
    <w:name w:val="hover36"/>
    <w:qFormat/>
    <w:uiPriority w:val="0"/>
  </w:style>
  <w:style w:type="character" w:customStyle="1" w:styleId="88">
    <w:name w:val="批注主题 Char Char"/>
    <w:link w:val="89"/>
    <w:qFormat/>
    <w:uiPriority w:val="0"/>
    <w:rPr>
      <w:rFonts w:eastAsia="宋体"/>
      <w:b/>
      <w:bCs/>
      <w:kern w:val="2"/>
      <w:sz w:val="21"/>
      <w:szCs w:val="24"/>
    </w:rPr>
  </w:style>
  <w:style w:type="paragraph" w:customStyle="1" w:styleId="89">
    <w:name w:val="批注主题1"/>
    <w:basedOn w:val="15"/>
    <w:next w:val="15"/>
    <w:link w:val="88"/>
    <w:qFormat/>
    <w:uiPriority w:val="0"/>
    <w:pPr>
      <w:jc w:val="both"/>
    </w:pPr>
    <w:rPr>
      <w:b/>
      <w:bCs/>
    </w:rPr>
  </w:style>
  <w:style w:type="character" w:customStyle="1" w:styleId="90">
    <w:name w:val="标题 3 Char1"/>
    <w:qFormat/>
    <w:uiPriority w:val="0"/>
    <w:rPr>
      <w:rFonts w:ascii="黑体" w:hAnsi="宋体" w:eastAsia="黑体"/>
      <w:bCs/>
      <w:kern w:val="2"/>
      <w:sz w:val="28"/>
      <w:szCs w:val="28"/>
      <w:lang w:val="en-US" w:eastAsia="zh-CN"/>
    </w:rPr>
  </w:style>
  <w:style w:type="character" w:customStyle="1" w:styleId="91">
    <w:name w:val="页脚 字符1"/>
    <w:semiHidden/>
    <w:qFormat/>
    <w:uiPriority w:val="99"/>
    <w:rPr>
      <w:kern w:val="2"/>
      <w:sz w:val="18"/>
      <w:szCs w:val="18"/>
    </w:rPr>
  </w:style>
  <w:style w:type="character" w:customStyle="1" w:styleId="92">
    <w:name w:val="times"/>
    <w:qFormat/>
    <w:uiPriority w:val="0"/>
    <w:rPr>
      <w:color w:val="CDCDCD"/>
      <w:bdr w:val="single" w:color="CDCDCD" w:sz="6" w:space="0"/>
      <w:shd w:val="clear" w:color="auto" w:fill="EFEFEF"/>
    </w:rPr>
  </w:style>
  <w:style w:type="character" w:customStyle="1" w:styleId="93">
    <w:name w:val="页码1"/>
    <w:qFormat/>
    <w:uiPriority w:val="0"/>
  </w:style>
  <w:style w:type="character" w:customStyle="1" w:styleId="94">
    <w:name w:val="正文文本首行缩进 字符"/>
    <w:link w:val="95"/>
    <w:qFormat/>
    <w:uiPriority w:val="99"/>
    <w:rPr>
      <w:rFonts w:eastAsia="宋体"/>
      <w:kern w:val="2"/>
      <w:sz w:val="21"/>
      <w:szCs w:val="24"/>
    </w:rPr>
  </w:style>
  <w:style w:type="paragraph" w:customStyle="1" w:styleId="95">
    <w:name w:val="_Style 87"/>
    <w:basedOn w:val="1"/>
    <w:next w:val="39"/>
    <w:link w:val="94"/>
    <w:unhideWhenUsed/>
    <w:qFormat/>
    <w:uiPriority w:val="99"/>
    <w:pPr>
      <w:ind w:firstLine="420" w:firstLineChars="100"/>
    </w:pPr>
    <w:rPr>
      <w:szCs w:val="24"/>
      <w:lang w:val="zh-CN"/>
    </w:rPr>
  </w:style>
  <w:style w:type="character" w:customStyle="1" w:styleId="96">
    <w:name w:val="批注主题 字符1"/>
    <w:semiHidden/>
    <w:qFormat/>
    <w:uiPriority w:val="99"/>
    <w:rPr>
      <w:b/>
      <w:bCs/>
      <w:kern w:val="2"/>
      <w:sz w:val="21"/>
      <w:szCs w:val="22"/>
    </w:rPr>
  </w:style>
  <w:style w:type="character" w:customStyle="1" w:styleId="97">
    <w:name w:val="hover37"/>
    <w:qFormat/>
    <w:uiPriority w:val="0"/>
  </w:style>
  <w:style w:type="character" w:customStyle="1" w:styleId="98">
    <w:name w:val="Char Char11"/>
    <w:qFormat/>
    <w:uiPriority w:val="0"/>
    <w:rPr>
      <w:rFonts w:ascii="Times New Roman" w:hAnsi="Times New Roman" w:eastAsia="宋体" w:cs="Times New Roman"/>
      <w:szCs w:val="24"/>
    </w:rPr>
  </w:style>
  <w:style w:type="character" w:customStyle="1" w:styleId="99">
    <w:name w:val="Char Char12"/>
    <w:qFormat/>
    <w:uiPriority w:val="0"/>
    <w:rPr>
      <w:rFonts w:ascii="Arial" w:hAnsi="Arial" w:eastAsia="黑体" w:cs="Times New Roman"/>
      <w:b/>
      <w:bCs/>
      <w:sz w:val="32"/>
      <w:szCs w:val="32"/>
    </w:rPr>
  </w:style>
  <w:style w:type="character" w:customStyle="1" w:styleId="100">
    <w:name w:val="批注框文本 字符1"/>
    <w:semiHidden/>
    <w:qFormat/>
    <w:uiPriority w:val="99"/>
    <w:rPr>
      <w:kern w:val="2"/>
      <w:sz w:val="18"/>
      <w:szCs w:val="18"/>
    </w:rPr>
  </w:style>
  <w:style w:type="character" w:customStyle="1" w:styleId="101">
    <w:name w:val="页眉 字符1"/>
    <w:semiHidden/>
    <w:qFormat/>
    <w:uiPriority w:val="99"/>
    <w:rPr>
      <w:kern w:val="2"/>
      <w:sz w:val="18"/>
      <w:szCs w:val="18"/>
    </w:rPr>
  </w:style>
  <w:style w:type="character" w:customStyle="1" w:styleId="102">
    <w:name w:val="15"/>
    <w:qFormat/>
    <w:uiPriority w:val="0"/>
    <w:rPr>
      <w:rFonts w:hint="default" w:ascii="Times New Roman" w:hAnsi="Times New Roman" w:cs="Times New Roman"/>
      <w:sz w:val="21"/>
      <w:szCs w:val="21"/>
    </w:rPr>
  </w:style>
  <w:style w:type="character" w:customStyle="1" w:styleId="103">
    <w:name w:val="批注引用1"/>
    <w:qFormat/>
    <w:uiPriority w:val="0"/>
    <w:rPr>
      <w:sz w:val="21"/>
      <w:szCs w:val="21"/>
    </w:rPr>
  </w:style>
  <w:style w:type="character" w:customStyle="1" w:styleId="104">
    <w:name w:val="Char Char13"/>
    <w:qFormat/>
    <w:uiPriority w:val="0"/>
    <w:rPr>
      <w:rFonts w:ascii="Times New Roman" w:hAnsi="Times New Roman" w:eastAsia="宋体" w:cs="Times New Roman"/>
      <w:b/>
      <w:bCs/>
      <w:kern w:val="44"/>
      <w:sz w:val="44"/>
      <w:szCs w:val="44"/>
    </w:rPr>
  </w:style>
  <w:style w:type="character" w:customStyle="1" w:styleId="105">
    <w:name w:val="times1"/>
    <w:qFormat/>
    <w:uiPriority w:val="0"/>
    <w:rPr>
      <w:color w:val="3399FF"/>
      <w:bdr w:val="single" w:color="D1EDF8" w:sz="6" w:space="0"/>
      <w:shd w:val="clear" w:color="auto" w:fill="EAF9FF"/>
    </w:rPr>
  </w:style>
  <w:style w:type="character" w:customStyle="1" w:styleId="106">
    <w:name w:val="title22"/>
    <w:qFormat/>
    <w:uiPriority w:val="0"/>
  </w:style>
  <w:style w:type="character" w:customStyle="1" w:styleId="107">
    <w:name w:val="正文文本首行缩进 字符2"/>
    <w:semiHidden/>
    <w:qFormat/>
    <w:uiPriority w:val="99"/>
  </w:style>
  <w:style w:type="character" w:customStyle="1" w:styleId="108">
    <w:name w:val="批注文字 字符1"/>
    <w:semiHidden/>
    <w:qFormat/>
    <w:uiPriority w:val="99"/>
    <w:rPr>
      <w:kern w:val="2"/>
      <w:sz w:val="21"/>
      <w:szCs w:val="22"/>
    </w:rPr>
  </w:style>
  <w:style w:type="character" w:customStyle="1" w:styleId="109">
    <w:name w:val="纯文本 Char1"/>
    <w:link w:val="110"/>
    <w:qFormat/>
    <w:uiPriority w:val="0"/>
    <w:rPr>
      <w:rFonts w:ascii="宋体" w:hAnsi="Courier New" w:eastAsia="宋体"/>
      <w:kern w:val="2"/>
      <w:sz w:val="21"/>
    </w:rPr>
  </w:style>
  <w:style w:type="paragraph" w:customStyle="1" w:styleId="110">
    <w:name w:val="纯文本1"/>
    <w:basedOn w:val="1"/>
    <w:link w:val="109"/>
    <w:qFormat/>
    <w:uiPriority w:val="0"/>
    <w:rPr>
      <w:rFonts w:ascii="宋体" w:hAnsi="Courier New"/>
      <w:szCs w:val="20"/>
      <w:lang w:val="zh-CN"/>
    </w:rPr>
  </w:style>
  <w:style w:type="character" w:customStyle="1" w:styleId="111">
    <w:name w:val="文档结构图 Char Char"/>
    <w:link w:val="112"/>
    <w:qFormat/>
    <w:uiPriority w:val="0"/>
    <w:rPr>
      <w:rFonts w:eastAsia="宋体"/>
      <w:kern w:val="2"/>
      <w:sz w:val="21"/>
      <w:szCs w:val="24"/>
      <w:shd w:val="clear" w:color="auto" w:fill="000080"/>
    </w:rPr>
  </w:style>
  <w:style w:type="paragraph" w:customStyle="1" w:styleId="112">
    <w:name w:val="文档结构图1"/>
    <w:basedOn w:val="1"/>
    <w:link w:val="111"/>
    <w:qFormat/>
    <w:uiPriority w:val="0"/>
    <w:pPr>
      <w:shd w:val="clear" w:color="auto" w:fill="000080"/>
    </w:pPr>
    <w:rPr>
      <w:szCs w:val="24"/>
      <w:lang w:val="zh-CN"/>
    </w:rPr>
  </w:style>
  <w:style w:type="paragraph" w:customStyle="1" w:styleId="113">
    <w:name w:val="发文落款"/>
    <w:basedOn w:val="114"/>
    <w:qFormat/>
    <w:uiPriority w:val="0"/>
    <w:pPr>
      <w:ind w:left="4094" w:right="607" w:firstLine="0"/>
      <w:jc w:val="center"/>
    </w:pPr>
  </w:style>
  <w:style w:type="paragraph" w:customStyle="1" w:styleId="1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5">
    <w:name w:val="Char Char Char Char"/>
    <w:basedOn w:val="1"/>
    <w:qFormat/>
    <w:uiPriority w:val="0"/>
    <w:pPr>
      <w:spacing w:afterLines="50" w:line="520" w:lineRule="exact"/>
      <w:jc w:val="center"/>
    </w:pPr>
    <w:rPr>
      <w:szCs w:val="24"/>
    </w:rPr>
  </w:style>
  <w:style w:type="paragraph" w:customStyle="1" w:styleId="116">
    <w:name w:val="表头"/>
    <w:basedOn w:val="1"/>
    <w:qFormat/>
    <w:uiPriority w:val="0"/>
    <w:pPr>
      <w:spacing w:line="360" w:lineRule="auto"/>
      <w:jc w:val="center"/>
    </w:pPr>
    <w:rPr>
      <w:rFonts w:ascii="黑体" w:eastAsia="黑体"/>
      <w:kern w:val="0"/>
      <w:sz w:val="24"/>
      <w:szCs w:val="20"/>
    </w:rPr>
  </w:style>
  <w:style w:type="paragraph" w:customStyle="1" w:styleId="117">
    <w:name w:val="修订1"/>
    <w:qFormat/>
    <w:uiPriority w:val="0"/>
    <w:rPr>
      <w:rFonts w:ascii="Times New Roman" w:hAnsi="Times New Roman" w:eastAsia="宋体" w:cs="Times New Roman"/>
      <w:kern w:val="2"/>
      <w:sz w:val="21"/>
      <w:szCs w:val="24"/>
      <w:lang w:val="en-US" w:eastAsia="zh-CN" w:bidi="ar-SA"/>
    </w:rPr>
  </w:style>
  <w:style w:type="paragraph" w:customStyle="1" w:styleId="118">
    <w:name w:val="正文文本 21"/>
    <w:basedOn w:val="1"/>
    <w:qFormat/>
    <w:uiPriority w:val="0"/>
    <w:rPr>
      <w:rFonts w:ascii="宋体" w:hAnsi="宋体"/>
      <w:szCs w:val="24"/>
      <w:u w:val="single"/>
    </w:rPr>
  </w:style>
  <w:style w:type="paragraph" w:customStyle="1" w:styleId="119">
    <w:name w:val="索引 11"/>
    <w:basedOn w:val="1"/>
    <w:next w:val="1"/>
    <w:qFormat/>
    <w:uiPriority w:val="0"/>
    <w:pPr>
      <w:spacing w:line="220" w:lineRule="exact"/>
      <w:jc w:val="center"/>
    </w:pPr>
    <w:rPr>
      <w:rFonts w:ascii="仿宋_GB2312" w:eastAsia="仿宋_GB2312"/>
      <w:szCs w:val="21"/>
    </w:rPr>
  </w:style>
  <w:style w:type="paragraph" w:styleId="120">
    <w:name w:val="List Paragraph"/>
    <w:basedOn w:val="1"/>
    <w:qFormat/>
    <w:uiPriority w:val="0"/>
    <w:pPr>
      <w:ind w:firstLine="420" w:firstLineChars="200"/>
    </w:pPr>
    <w:rPr>
      <w:rFonts w:ascii="Calibri" w:hAnsi="Calibri"/>
    </w:rPr>
  </w:style>
  <w:style w:type="paragraph" w:customStyle="1" w:styleId="121">
    <w:name w:val="封四"/>
    <w:basedOn w:val="122"/>
    <w:next w:val="122"/>
    <w:qFormat/>
    <w:uiPriority w:val="0"/>
    <w:pPr>
      <w:jc w:val="left"/>
    </w:pPr>
    <w:rPr>
      <w:rFonts w:eastAsia="等线"/>
      <w:sz w:val="30"/>
      <w:szCs w:val="30"/>
    </w:rPr>
  </w:style>
  <w:style w:type="paragraph" w:customStyle="1" w:styleId="122">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12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24">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125">
    <w:name w:val="列出段落1"/>
    <w:basedOn w:val="1"/>
    <w:qFormat/>
    <w:uiPriority w:val="0"/>
    <w:pPr>
      <w:ind w:firstLine="420" w:firstLineChars="200"/>
    </w:pPr>
    <w:rPr>
      <w:szCs w:val="21"/>
    </w:rPr>
  </w:style>
  <w:style w:type="paragraph" w:customStyle="1" w:styleId="126">
    <w:name w:val="Char Char Char Char1"/>
    <w:basedOn w:val="1"/>
    <w:qFormat/>
    <w:uiPriority w:val="0"/>
    <w:pPr>
      <w:ind w:left="567" w:hanging="279"/>
    </w:pPr>
    <w:rPr>
      <w:sz w:val="24"/>
      <w:szCs w:val="24"/>
    </w:rPr>
  </w:style>
  <w:style w:type="paragraph" w:styleId="127">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29">
    <w:name w:val="1"/>
    <w:basedOn w:val="1"/>
    <w:qFormat/>
    <w:uiPriority w:val="0"/>
    <w:rPr>
      <w:szCs w:val="24"/>
    </w:rPr>
  </w:style>
  <w:style w:type="paragraph" w:customStyle="1" w:styleId="130">
    <w:name w:val="正文(仿)首缩"/>
    <w:basedOn w:val="1"/>
    <w:qFormat/>
    <w:uiPriority w:val="0"/>
    <w:pPr>
      <w:tabs>
        <w:tab w:val="left" w:pos="1108"/>
      </w:tabs>
      <w:ind w:left="554"/>
    </w:pPr>
    <w:rPr>
      <w:szCs w:val="28"/>
    </w:rPr>
  </w:style>
  <w:style w:type="paragraph" w:customStyle="1" w:styleId="131">
    <w:name w:val="正题"/>
    <w:basedOn w:val="122"/>
    <w:next w:val="122"/>
    <w:link w:val="132"/>
    <w:qFormat/>
    <w:uiPriority w:val="0"/>
    <w:pPr>
      <w:ind w:firstLine="0" w:firstLineChars="0"/>
      <w:jc w:val="center"/>
    </w:pPr>
    <w:rPr>
      <w:rFonts w:eastAsia="黑体"/>
      <w:b/>
      <w:sz w:val="36"/>
      <w:szCs w:val="36"/>
    </w:rPr>
  </w:style>
  <w:style w:type="character" w:customStyle="1" w:styleId="132">
    <w:name w:val="正题 Char"/>
    <w:link w:val="131"/>
    <w:qFormat/>
    <w:uiPriority w:val="0"/>
    <w:rPr>
      <w:rFonts w:eastAsia="黑体"/>
      <w:b/>
      <w:sz w:val="36"/>
      <w:szCs w:val="36"/>
    </w:rPr>
  </w:style>
  <w:style w:type="paragraph" w:customStyle="1" w:styleId="133">
    <w:name w:val="List Paragraph1"/>
    <w:basedOn w:val="1"/>
    <w:qFormat/>
    <w:uiPriority w:val="0"/>
    <w:pPr>
      <w:ind w:firstLine="420" w:firstLineChars="200"/>
    </w:pPr>
    <w:rPr>
      <w:szCs w:val="24"/>
    </w:rPr>
  </w:style>
  <w:style w:type="paragraph" w:customStyle="1" w:styleId="134">
    <w:name w:val="正文文本缩进1"/>
    <w:basedOn w:val="1"/>
    <w:qFormat/>
    <w:uiPriority w:val="0"/>
    <w:pPr>
      <w:spacing w:after="120"/>
      <w:ind w:left="420" w:leftChars="200"/>
    </w:pPr>
    <w:rPr>
      <w:szCs w:val="24"/>
    </w:rPr>
  </w:style>
  <w:style w:type="paragraph" w:customStyle="1" w:styleId="135">
    <w:name w:val="公文抬头"/>
    <w:basedOn w:val="8"/>
    <w:qFormat/>
    <w:uiPriority w:val="0"/>
    <w:pPr>
      <w:ind w:firstLine="0" w:firstLineChars="0"/>
    </w:pPr>
    <w:rPr>
      <w:rFonts w:ascii="仿宋_GB2312" w:eastAsia="仿宋_GB2312"/>
      <w:sz w:val="30"/>
    </w:rPr>
  </w:style>
  <w:style w:type="paragraph" w:customStyle="1" w:styleId="136">
    <w:name w:val="封一"/>
    <w:basedOn w:val="122"/>
    <w:next w:val="122"/>
    <w:qFormat/>
    <w:uiPriority w:val="0"/>
    <w:pPr>
      <w:ind w:firstLine="0" w:firstLineChars="0"/>
      <w:jc w:val="center"/>
    </w:pPr>
    <w:rPr>
      <w:rFonts w:eastAsia="黑体"/>
      <w:b/>
      <w:sz w:val="84"/>
      <w:szCs w:val="84"/>
    </w:rPr>
  </w:style>
  <w:style w:type="paragraph" w:customStyle="1" w:styleId="137">
    <w:name w:val="表格"/>
    <w:basedOn w:val="1"/>
    <w:qFormat/>
    <w:uiPriority w:val="0"/>
    <w:pPr>
      <w:jc w:val="center"/>
      <w:textAlignment w:val="center"/>
    </w:pPr>
    <w:rPr>
      <w:rFonts w:ascii="华文细黑" w:hAnsi="华文细黑"/>
      <w:kern w:val="0"/>
      <w:szCs w:val="20"/>
    </w:rPr>
  </w:style>
  <w:style w:type="paragraph" w:customStyle="1" w:styleId="138">
    <w:name w:val="Char"/>
    <w:basedOn w:val="1"/>
    <w:qFormat/>
    <w:uiPriority w:val="0"/>
    <w:pPr>
      <w:numPr>
        <w:ilvl w:val="0"/>
        <w:numId w:val="1"/>
      </w:numPr>
    </w:pPr>
    <w:rPr>
      <w:sz w:val="24"/>
      <w:szCs w:val="24"/>
    </w:rPr>
  </w:style>
  <w:style w:type="paragraph" w:customStyle="1" w:styleId="139">
    <w:name w:val="Char1"/>
    <w:basedOn w:val="1"/>
    <w:qFormat/>
    <w:uiPriority w:val="0"/>
    <w:pPr>
      <w:tabs>
        <w:tab w:val="left" w:pos="360"/>
      </w:tabs>
    </w:pPr>
    <w:rPr>
      <w:sz w:val="24"/>
      <w:szCs w:val="24"/>
    </w:rPr>
  </w:style>
  <w:style w:type="paragraph" w:customStyle="1" w:styleId="140">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customStyle="1" w:styleId="141">
    <w:name w:val="文字"/>
    <w:basedOn w:val="1"/>
    <w:qFormat/>
    <w:uiPriority w:val="0"/>
    <w:pPr>
      <w:spacing w:line="360" w:lineRule="auto"/>
      <w:ind w:firstLine="200" w:firstLineChars="200"/>
    </w:pPr>
    <w:rPr>
      <w:sz w:val="24"/>
      <w:szCs w:val="24"/>
    </w:rPr>
  </w:style>
  <w:style w:type="paragraph" w:customStyle="1" w:styleId="142">
    <w:name w:val="Char Char Char1 Char"/>
    <w:basedOn w:val="112"/>
    <w:qFormat/>
    <w:uiPriority w:val="0"/>
    <w:rPr>
      <w:rFonts w:ascii="Tahoma" w:hAnsi="Tahoma"/>
      <w:sz w:val="24"/>
    </w:rPr>
  </w:style>
  <w:style w:type="paragraph" w:customStyle="1" w:styleId="143">
    <w:name w:val="Char Char Char1 Char Char Char Char Char Char Char Char Char Char Char Char Char"/>
    <w:basedOn w:val="112"/>
    <w:qFormat/>
    <w:uiPriority w:val="0"/>
    <w:rPr>
      <w:rFonts w:ascii="Tahoma" w:hAnsi="Tahoma"/>
      <w:sz w:val="24"/>
    </w:rPr>
  </w:style>
  <w:style w:type="paragraph" w:customStyle="1" w:styleId="144">
    <w:name w:val="表格文字"/>
    <w:basedOn w:val="1"/>
    <w:qFormat/>
    <w:uiPriority w:val="0"/>
    <w:pPr>
      <w:adjustRightInd w:val="0"/>
      <w:spacing w:line="420" w:lineRule="atLeast"/>
      <w:jc w:val="left"/>
      <w:textAlignment w:val="baseline"/>
    </w:pPr>
    <w:rPr>
      <w:kern w:val="0"/>
      <w:szCs w:val="20"/>
    </w:rPr>
  </w:style>
  <w:style w:type="paragraph" w:customStyle="1" w:styleId="145">
    <w:name w:val="样式 四号 行距: 1.5 倍行距"/>
    <w:basedOn w:val="1"/>
    <w:qFormat/>
    <w:uiPriority w:val="0"/>
    <w:pPr>
      <w:spacing w:line="360" w:lineRule="auto"/>
      <w:ind w:firstLine="560" w:firstLineChars="200"/>
    </w:pPr>
    <w:rPr>
      <w:rFonts w:cs="宋体"/>
      <w:sz w:val="24"/>
      <w:szCs w:val="20"/>
    </w:rPr>
  </w:style>
  <w:style w:type="paragraph" w:customStyle="1" w:styleId="146">
    <w:name w:val="p0"/>
    <w:basedOn w:val="1"/>
    <w:qFormat/>
    <w:uiPriority w:val="0"/>
    <w:pPr>
      <w:widowControl/>
    </w:pPr>
    <w:rPr>
      <w:kern w:val="0"/>
      <w:szCs w:val="21"/>
    </w:rPr>
  </w:style>
  <w:style w:type="paragraph" w:customStyle="1" w:styleId="14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8">
    <w:name w:val="修订2"/>
    <w:qFormat/>
    <w:uiPriority w:val="0"/>
    <w:rPr>
      <w:rFonts w:ascii="Times New Roman" w:hAnsi="Times New Roman" w:eastAsia="宋体" w:cs="Times New Roman"/>
      <w:kern w:val="2"/>
      <w:sz w:val="21"/>
      <w:szCs w:val="24"/>
      <w:lang w:val="en-US" w:eastAsia="zh-CN" w:bidi="ar-SA"/>
    </w:rPr>
  </w:style>
  <w:style w:type="paragraph" w:customStyle="1" w:styleId="149">
    <w:name w:val="样式1"/>
    <w:basedOn w:val="1"/>
    <w:next w:val="6"/>
    <w:qFormat/>
    <w:uiPriority w:val="0"/>
    <w:pPr>
      <w:spacing w:line="360" w:lineRule="auto"/>
      <w:ind w:firstLine="420" w:firstLineChars="200"/>
    </w:pPr>
    <w:rPr>
      <w:rFonts w:ascii="宋体" w:hAnsi="宋体"/>
      <w:szCs w:val="21"/>
    </w:rPr>
  </w:style>
  <w:style w:type="paragraph" w:customStyle="1" w:styleId="150">
    <w:name w:val="正文文本缩进 21"/>
    <w:basedOn w:val="1"/>
    <w:qFormat/>
    <w:uiPriority w:val="0"/>
    <w:pPr>
      <w:spacing w:line="400" w:lineRule="exact"/>
      <w:ind w:left="425"/>
    </w:pPr>
    <w:rPr>
      <w:color w:val="000000"/>
      <w:sz w:val="24"/>
      <w:szCs w:val="20"/>
    </w:rPr>
  </w:style>
  <w:style w:type="paragraph" w:customStyle="1" w:styleId="151">
    <w:name w:val="Char Char Char Char Char Char1 Char"/>
    <w:basedOn w:val="1"/>
    <w:qFormat/>
    <w:uiPriority w:val="0"/>
    <w:pPr>
      <w:widowControl/>
      <w:spacing w:after="160" w:line="240" w:lineRule="exact"/>
      <w:jc w:val="left"/>
    </w:pPr>
    <w:rPr>
      <w:rFonts w:eastAsia="仿宋_GB2312"/>
      <w:sz w:val="32"/>
      <w:szCs w:val="24"/>
    </w:rPr>
  </w:style>
  <w:style w:type="paragraph" w:customStyle="1" w:styleId="152">
    <w:name w:val="封二"/>
    <w:basedOn w:val="122"/>
    <w:next w:val="122"/>
    <w:qFormat/>
    <w:uiPriority w:val="0"/>
    <w:pPr>
      <w:ind w:firstLine="0" w:firstLineChars="0"/>
      <w:jc w:val="center"/>
    </w:pPr>
    <w:rPr>
      <w:rFonts w:eastAsia="黑体"/>
      <w:b/>
      <w:sz w:val="36"/>
      <w:szCs w:val="36"/>
    </w:rPr>
  </w:style>
  <w:style w:type="paragraph" w:customStyle="1" w:styleId="153">
    <w:name w:val="_Style 102"/>
    <w:qFormat/>
    <w:uiPriority w:val="0"/>
    <w:rPr>
      <w:rFonts w:ascii="Times New Roman" w:hAnsi="Times New Roman" w:eastAsia="宋体" w:cs="Times New Roman"/>
      <w:kern w:val="2"/>
      <w:sz w:val="21"/>
      <w:szCs w:val="24"/>
      <w:lang w:val="en-US" w:eastAsia="zh-CN" w:bidi="ar-SA"/>
    </w:rPr>
  </w:style>
  <w:style w:type="paragraph" w:customStyle="1" w:styleId="154">
    <w:name w:val="章节三"/>
    <w:basedOn w:val="122"/>
    <w:next w:val="122"/>
    <w:qFormat/>
    <w:uiPriority w:val="0"/>
    <w:pPr>
      <w:spacing w:beforeLines="50" w:afterLines="50"/>
      <w:jc w:val="left"/>
      <w:outlineLvl w:val="2"/>
    </w:pPr>
    <w:rPr>
      <w:rFonts w:ascii="黑体" w:hAnsi="宋体" w:eastAsia="黑体"/>
      <w:b/>
      <w:snapToGrid w:val="0"/>
    </w:rPr>
  </w:style>
  <w:style w:type="paragraph" w:customStyle="1" w:styleId="155">
    <w:name w:val="正文文本缩进 31"/>
    <w:basedOn w:val="1"/>
    <w:qFormat/>
    <w:uiPriority w:val="0"/>
    <w:pPr>
      <w:spacing w:after="120"/>
      <w:ind w:left="420" w:leftChars="200"/>
    </w:pPr>
    <w:rPr>
      <w:sz w:val="16"/>
      <w:szCs w:val="16"/>
    </w:rPr>
  </w:style>
  <w:style w:type="paragraph" w:customStyle="1" w:styleId="156">
    <w:name w:val="列出段落2"/>
    <w:basedOn w:val="1"/>
    <w:qFormat/>
    <w:uiPriority w:val="0"/>
    <w:pPr>
      <w:ind w:firstLine="420" w:firstLineChars="200"/>
    </w:pPr>
    <w:rPr>
      <w:szCs w:val="21"/>
    </w:rPr>
  </w:style>
  <w:style w:type="paragraph" w:customStyle="1" w:styleId="157">
    <w:name w:val="样式 标题 3 + (中文) 黑体 小四 非加粗 段前: 7.8 磅 段后: 0 磅 行距: 固定值 20 磅"/>
    <w:basedOn w:val="5"/>
    <w:qFormat/>
    <w:uiPriority w:val="0"/>
    <w:pPr>
      <w:spacing w:before="0" w:after="0" w:line="400" w:lineRule="exact"/>
    </w:pPr>
    <w:rPr>
      <w:rFonts w:cs="宋体"/>
      <w:bCs w:val="0"/>
      <w:sz w:val="24"/>
      <w:szCs w:val="20"/>
    </w:rPr>
  </w:style>
  <w:style w:type="paragraph" w:customStyle="1" w:styleId="158">
    <w:name w:val="日期1"/>
    <w:basedOn w:val="1"/>
    <w:next w:val="1"/>
    <w:qFormat/>
    <w:uiPriority w:val="0"/>
    <w:rPr>
      <w:sz w:val="24"/>
      <w:szCs w:val="20"/>
    </w:rPr>
  </w:style>
  <w:style w:type="paragraph" w:customStyle="1" w:styleId="159">
    <w:name w:val="样式2"/>
    <w:basedOn w:val="5"/>
    <w:qFormat/>
    <w:uiPriority w:val="0"/>
    <w:rPr>
      <w:i/>
    </w:rPr>
  </w:style>
  <w:style w:type="paragraph" w:customStyle="1" w:styleId="160">
    <w:name w:val="Char2"/>
    <w:basedOn w:val="1"/>
    <w:qFormat/>
    <w:uiPriority w:val="0"/>
    <w:pPr>
      <w:ind w:left="567" w:hanging="279"/>
    </w:pPr>
    <w:rPr>
      <w:sz w:val="24"/>
      <w:szCs w:val="24"/>
    </w:rPr>
  </w:style>
  <w:style w:type="paragraph" w:customStyle="1" w:styleId="161">
    <w:name w:val="文二"/>
    <w:basedOn w:val="1"/>
    <w:qFormat/>
    <w:uiPriority w:val="0"/>
    <w:pPr>
      <w:jc w:val="left"/>
    </w:pPr>
    <w:rPr>
      <w:rFonts w:ascii="宋体" w:hAnsi="宋体"/>
      <w:szCs w:val="21"/>
    </w:rPr>
  </w:style>
  <w:style w:type="paragraph" w:customStyle="1" w:styleId="162">
    <w:name w:val="段落正文"/>
    <w:basedOn w:val="1"/>
    <w:qFormat/>
    <w:uiPriority w:val="0"/>
    <w:pPr>
      <w:spacing w:line="300" w:lineRule="auto"/>
      <w:ind w:firstLine="482" w:firstLineChars="200"/>
    </w:pPr>
    <w:rPr>
      <w:sz w:val="24"/>
      <w:szCs w:val="24"/>
    </w:rPr>
  </w:style>
  <w:style w:type="paragraph" w:customStyle="1" w:styleId="163">
    <w:name w:val="正文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64">
    <w:name w:val="a1"/>
    <w:basedOn w:val="1"/>
    <w:qFormat/>
    <w:uiPriority w:val="0"/>
    <w:pPr>
      <w:widowControl/>
      <w:tabs>
        <w:tab w:val="left" w:pos="936"/>
        <w:tab w:val="right" w:pos="7416"/>
      </w:tabs>
      <w:overflowPunct w:val="0"/>
      <w:autoSpaceDE w:val="0"/>
      <w:autoSpaceDN w:val="0"/>
      <w:adjustRightInd w:val="0"/>
      <w:textAlignment w:val="baseline"/>
    </w:pPr>
    <w:rPr>
      <w:kern w:val="0"/>
      <w:sz w:val="20"/>
      <w:szCs w:val="20"/>
      <w:lang w:eastAsia="en-US"/>
    </w:rPr>
  </w:style>
  <w:style w:type="paragraph" w:customStyle="1" w:styleId="165">
    <w:name w:val="Table Paragraph"/>
    <w:basedOn w:val="1"/>
    <w:unhideWhenUsed/>
    <w:qFormat/>
    <w:uiPriority w:val="1"/>
    <w:rPr>
      <w:rFonts w:hint="eastAsia"/>
      <w:sz w:val="24"/>
      <w:szCs w:val="24"/>
    </w:rPr>
  </w:style>
  <w:style w:type="paragraph" w:customStyle="1" w:styleId="166">
    <w:name w:val="默认段落字体 Para Char"/>
    <w:basedOn w:val="1"/>
    <w:qFormat/>
    <w:uiPriority w:val="0"/>
    <w:rPr>
      <w:b/>
      <w:sz w:val="24"/>
      <w:szCs w:val="24"/>
    </w:rPr>
  </w:style>
  <w:style w:type="paragraph" w:customStyle="1" w:styleId="16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8">
    <w:name w:val="正文文本 31"/>
    <w:basedOn w:val="1"/>
    <w:qFormat/>
    <w:uiPriority w:val="0"/>
    <w:rPr>
      <w:rFonts w:ascii="宋体"/>
      <w:sz w:val="24"/>
      <w:szCs w:val="20"/>
    </w:rPr>
  </w:style>
  <w:style w:type="paragraph" w:customStyle="1" w:styleId="169">
    <w:name w:val="公文标题"/>
    <w:basedOn w:val="5"/>
    <w:qFormat/>
    <w:uiPriority w:val="0"/>
    <w:pPr>
      <w:spacing w:line="240" w:lineRule="auto"/>
      <w:ind w:left="1469" w:right="1542" w:firstLine="0" w:firstLineChars="0"/>
      <w:jc w:val="center"/>
    </w:pPr>
    <w:rPr>
      <w:rFonts w:ascii="Times New Roman" w:hAnsi="Times New Roman" w:eastAsia="宋体"/>
      <w:b/>
      <w:bCs w:val="0"/>
      <w:sz w:val="44"/>
      <w:szCs w:val="24"/>
    </w:rPr>
  </w:style>
  <w:style w:type="paragraph" w:customStyle="1" w:styleId="170">
    <w:name w:val="_Style 53"/>
    <w:basedOn w:val="1"/>
    <w:next w:val="120"/>
    <w:qFormat/>
    <w:uiPriority w:val="34"/>
    <w:pPr>
      <w:ind w:firstLine="420" w:firstLineChars="200"/>
    </w:pPr>
  </w:style>
  <w:style w:type="paragraph" w:customStyle="1" w:styleId="171">
    <w:name w:val="_Style 3"/>
    <w:basedOn w:val="1"/>
    <w:qFormat/>
    <w:uiPriority w:val="0"/>
    <w:pPr>
      <w:ind w:firstLine="420" w:firstLineChars="200"/>
    </w:pPr>
  </w:style>
  <w:style w:type="paragraph" w:customStyle="1" w:styleId="172">
    <w:name w:val="_Style 166"/>
    <w:unhideWhenUsed/>
    <w:qFormat/>
    <w:uiPriority w:val="99"/>
    <w:rPr>
      <w:rFonts w:ascii="Times New Roman" w:hAnsi="Times New Roman" w:eastAsia="宋体" w:cs="Times New Roman"/>
      <w:kern w:val="2"/>
      <w:sz w:val="21"/>
      <w:szCs w:val="22"/>
      <w:lang w:val="en-US" w:eastAsia="zh-CN" w:bidi="ar-SA"/>
    </w:rPr>
  </w:style>
  <w:style w:type="paragraph" w:customStyle="1" w:styleId="173">
    <w:name w:val="样式 宋体 行距: 1.5 倍行距"/>
    <w:basedOn w:val="1"/>
    <w:qFormat/>
    <w:uiPriority w:val="0"/>
    <w:pPr>
      <w:jc w:val="center"/>
    </w:pPr>
    <w:rPr>
      <w:b/>
    </w:rPr>
  </w:style>
  <w:style w:type="character" w:customStyle="1" w:styleId="174">
    <w:name w:val="font21"/>
    <w:qFormat/>
    <w:uiPriority w:val="0"/>
    <w:rPr>
      <w:rFonts w:hint="eastAsia" w:ascii="宋体" w:hAnsi="宋体" w:eastAsia="宋体" w:cs="宋体"/>
      <w:b/>
      <w:bCs/>
      <w:color w:val="000000"/>
      <w:sz w:val="24"/>
      <w:szCs w:val="24"/>
      <w:u w:val="single"/>
    </w:rPr>
  </w:style>
  <w:style w:type="character" w:customStyle="1" w:styleId="175">
    <w:name w:val="font01"/>
    <w:qFormat/>
    <w:uiPriority w:val="0"/>
    <w:rPr>
      <w:rFonts w:hint="eastAsia" w:ascii="宋体" w:hAnsi="宋体" w:eastAsia="宋体" w:cs="宋体"/>
      <w:b/>
      <w:bCs/>
      <w:color w:val="000000"/>
      <w:sz w:val="24"/>
      <w:szCs w:val="24"/>
      <w:u w:val="none"/>
    </w:rPr>
  </w:style>
  <w:style w:type="character" w:customStyle="1" w:styleId="176">
    <w:name w:val="font31"/>
    <w:qFormat/>
    <w:uiPriority w:val="0"/>
    <w:rPr>
      <w:rFonts w:hint="eastAsia" w:ascii="宋体" w:hAnsi="宋体" w:eastAsia="宋体" w:cs="宋体"/>
      <w:b/>
      <w:bCs/>
      <w:color w:val="000000"/>
      <w:sz w:val="21"/>
      <w:szCs w:val="21"/>
      <w:u w:val="none"/>
    </w:rPr>
  </w:style>
  <w:style w:type="character" w:customStyle="1" w:styleId="177">
    <w:name w:val="font41"/>
    <w:qFormat/>
    <w:uiPriority w:val="0"/>
    <w:rPr>
      <w:rFonts w:hint="eastAsia" w:ascii="宋体" w:hAnsi="宋体" w:eastAsia="宋体" w:cs="宋体"/>
      <w:color w:val="000000"/>
      <w:sz w:val="21"/>
      <w:szCs w:val="21"/>
      <w:u w:val="none"/>
      <w:vertAlign w:val="superscript"/>
    </w:rPr>
  </w:style>
  <w:style w:type="character" w:customStyle="1" w:styleId="178">
    <w:name w:val="font51"/>
    <w:qFormat/>
    <w:uiPriority w:val="0"/>
    <w:rPr>
      <w:rFonts w:hint="eastAsia" w:ascii="宋体" w:hAnsi="宋体" w:eastAsia="宋体" w:cs="宋体"/>
      <w:color w:val="000000"/>
      <w:sz w:val="21"/>
      <w:szCs w:val="21"/>
      <w:u w:val="none"/>
      <w:vertAlign w:val="superscript"/>
    </w:rPr>
  </w:style>
  <w:style w:type="paragraph" w:customStyle="1" w:styleId="179">
    <w:name w:val="修订3"/>
    <w:unhideWhenUsed/>
    <w:qFormat/>
    <w:uiPriority w:val="99"/>
    <w:rPr>
      <w:rFonts w:ascii="Times New Roman" w:hAnsi="Times New Roman" w:eastAsia="宋体" w:cs="Times New Roman"/>
      <w:kern w:val="2"/>
      <w:sz w:val="21"/>
      <w:szCs w:val="22"/>
      <w:lang w:val="en-US" w:eastAsia="zh-CN" w:bidi="ar-SA"/>
    </w:rPr>
  </w:style>
  <w:style w:type="character" w:customStyle="1" w:styleId="180">
    <w:name w:val="纯文本 字符1"/>
    <w:qFormat/>
    <w:uiPriority w:val="0"/>
    <w:rPr>
      <w:rFonts w:ascii="等线" w:hAnsi="Courier New" w:eastAsia="等线" w:cs="Courier New"/>
    </w:rPr>
  </w:style>
  <w:style w:type="paragraph" w:customStyle="1" w:styleId="181">
    <w:name w:val="正文 New New"/>
    <w:qFormat/>
    <w:uiPriority w:val="0"/>
    <w:pPr>
      <w:widowControl w:val="0"/>
      <w:jc w:val="both"/>
    </w:pPr>
    <w:rPr>
      <w:rFonts w:ascii="Calibri" w:hAnsi="Calibri" w:eastAsia="宋体" w:cs="Calibri"/>
      <w:kern w:val="2"/>
      <w:sz w:val="30"/>
      <w:szCs w:val="24"/>
      <w:lang w:val="en-US" w:eastAsia="zh-CN" w:bidi="ar-SA"/>
    </w:rPr>
  </w:style>
  <w:style w:type="paragraph" w:customStyle="1" w:styleId="182">
    <w:name w:val="Body text|3"/>
    <w:basedOn w:val="1"/>
    <w:qFormat/>
    <w:uiPriority w:val="0"/>
    <w:rPr>
      <w:rFonts w:ascii="宋体" w:hAnsi="宋体" w:cs="宋体"/>
      <w:sz w:val="20"/>
      <w:szCs w:val="20"/>
      <w:lang w:val="zh-TW" w:eastAsia="zh-TW" w:bidi="zh-TW"/>
    </w:rPr>
  </w:style>
  <w:style w:type="paragraph" w:customStyle="1" w:styleId="183">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84">
    <w:name w:val="Table"/>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5">
    <w:name w:val="Compact"/>
    <w:basedOn w:val="17"/>
    <w:qFormat/>
    <w:uiPriority w:val="0"/>
    <w:pPr>
      <w:spacing w:before="36" w:after="36"/>
    </w:pPr>
  </w:style>
  <w:style w:type="paragraph" w:customStyle="1" w:styleId="186">
    <w:name w:val="_Style 2"/>
    <w:basedOn w:val="1"/>
    <w:qFormat/>
    <w:uiPriority w:val="0"/>
  </w:style>
  <w:style w:type="paragraph" w:customStyle="1" w:styleId="187">
    <w:name w:val="TOC 标题1"/>
    <w:basedOn w:val="3"/>
    <w:next w:val="1"/>
    <w:unhideWhenUsed/>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customStyle="1" w:styleId="188">
    <w:name w:val="Normal1"/>
    <w:qFormat/>
    <w:uiPriority w:val="0"/>
    <w:pPr>
      <w:jc w:val="both"/>
    </w:pPr>
    <w:rPr>
      <w:rFonts w:ascii="Calibri" w:hAnsi="Calibri" w:eastAsia="宋体" w:cs="Calibri"/>
      <w:kern w:val="2"/>
      <w:sz w:val="21"/>
      <w:szCs w:val="21"/>
      <w:lang w:val="en-US" w:eastAsia="zh-CN" w:bidi="ar-SA"/>
    </w:rPr>
  </w:style>
  <w:style w:type="character" w:customStyle="1" w:styleId="189">
    <w:name w:val="NormalCharacter"/>
    <w:qFormat/>
    <w:uiPriority w:val="0"/>
  </w:style>
  <w:style w:type="paragraph" w:customStyle="1" w:styleId="190">
    <w:name w:val="Revision"/>
    <w:hidden/>
    <w:unhideWhenUsed/>
    <w:qFormat/>
    <w:uiPriority w:val="99"/>
    <w:rPr>
      <w:rFonts w:ascii="Times New Roman" w:hAnsi="Times New Roman" w:eastAsia="宋体" w:cs="Times New Roman"/>
      <w:kern w:val="2"/>
      <w:sz w:val="21"/>
      <w:szCs w:val="22"/>
      <w:lang w:val="en-US" w:eastAsia="zh-CN" w:bidi="ar-SA"/>
    </w:rPr>
  </w:style>
  <w:style w:type="paragraph" w:customStyle="1" w:styleId="191">
    <w:name w:val="小副标题"/>
    <w:qFormat/>
    <w:uiPriority w:val="0"/>
    <w:rPr>
      <w:rFonts w:ascii="Adobe 黑体 Std R" w:hAnsi="Adobe 黑体 Std R" w:eastAsia="Adobe 黑体 Std R" w:cs="Adobe 黑体 Std R"/>
      <w:color w:val="000000"/>
      <w:sz w:val="26"/>
      <w:szCs w:val="26"/>
      <w:lang w:val="en-US" w:eastAsia="zh-CN" w:bidi="ar-SA"/>
    </w:rPr>
  </w:style>
  <w:style w:type="paragraph" w:customStyle="1" w:styleId="192">
    <w:name w:val="无间隔1"/>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7084</Words>
  <Characters>7381</Characters>
  <Lines>1815</Lines>
  <Paragraphs>1505</Paragraphs>
  <TotalTime>51</TotalTime>
  <ScaleCrop>false</ScaleCrop>
  <LinksUpToDate>false</LinksUpToDate>
  <CharactersWithSpaces>7463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2023-11-24T02:54:00Z</dcterms:created>
  <dc:creator>Administrator</dc:creator>
  <cp:lastModifiedBy>姚</cp:lastModifiedBy>
  <cp:lastPrinted>2025-04-16T10:50:00Z</cp:lastPrinted>
  <dcterms:modified xsi:type="dcterms:W3CDTF">2025-06-23T04:35:29Z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DA56B7D201B5488ABE2491D4484C1482_13</vt:lpwstr>
  </property>
  <property fmtid="{D5CDD505-2E9C-101B-9397-08002B2CF9AE}" pid="4" name="KSOTemplateDocerSaveRecord">
    <vt:lpwstr>eyJoZGlkIjoiMTRjNGM1MTk5MjMyZWE5NWY0Y2FmMTNjMjBjNWY0ZDciLCJ1c2VySWQiOiI1NzI0MDIyNTAifQ==</vt:lpwstr>
  </property>
</Properties>
</file>