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18AB2">
      <w:pPr>
        <w:shd w:val="clear"/>
        <w:ind w:firstLine="720" w:firstLineChars="200"/>
        <w:jc w:val="center"/>
        <w:rPr>
          <w:rFonts w:hint="eastAsia" w:ascii="宋体" w:hAnsi="宋体" w:cs="宋体"/>
          <w:color w:val="auto"/>
          <w:sz w:val="36"/>
          <w:szCs w:val="36"/>
          <w:highlight w:val="none"/>
        </w:rPr>
      </w:pPr>
    </w:p>
    <w:p w14:paraId="4024BBBD">
      <w:pPr>
        <w:shd w:val="clear"/>
        <w:ind w:firstLine="720" w:firstLineChars="200"/>
        <w:jc w:val="right"/>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p>
    <w:p w14:paraId="54A44A0F">
      <w:pPr>
        <w:shd w:val="clear"/>
        <w:ind w:firstLine="720" w:firstLineChars="20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p>
    <w:p w14:paraId="51EE707F">
      <w:pPr>
        <w:shd w:val="clear"/>
        <w:jc w:val="center"/>
        <w:rPr>
          <w:rFonts w:hint="eastAsia" w:ascii="宋体" w:hAnsi="宋体" w:eastAsia="宋体" w:cs="宋体"/>
          <w:color w:val="auto"/>
          <w:sz w:val="32"/>
          <w:szCs w:val="32"/>
          <w:highlight w:val="none"/>
          <w:lang w:eastAsia="zh-CN"/>
        </w:rPr>
      </w:pPr>
      <w:r>
        <w:rPr>
          <w:rFonts w:hint="eastAsia" w:ascii="宋体" w:hAnsi="宋体" w:cs="宋体"/>
          <w:color w:val="auto"/>
          <w:sz w:val="44"/>
          <w:szCs w:val="44"/>
          <w:highlight w:val="none"/>
          <w:lang w:eastAsia="zh-CN"/>
        </w:rPr>
        <w:t>知识城低空产业装备智造园监理服务</w:t>
      </w:r>
    </w:p>
    <w:p w14:paraId="467FD54F">
      <w:pPr>
        <w:shd w:val="clear"/>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7FF1DBB1">
      <w:pPr>
        <w:shd w:val="clear"/>
        <w:jc w:val="center"/>
        <w:rPr>
          <w:rFonts w:hint="eastAsia" w:ascii="宋体" w:hAnsi="宋体" w:cs="宋体"/>
          <w:color w:val="auto"/>
          <w:sz w:val="32"/>
          <w:szCs w:val="32"/>
          <w:highlight w:val="none"/>
        </w:rPr>
      </w:pPr>
    </w:p>
    <w:p w14:paraId="7283523F">
      <w:pPr>
        <w:shd w:val="clear"/>
        <w:ind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p>
    <w:p w14:paraId="116B19AD">
      <w:pPr>
        <w:shd w:val="clear"/>
        <w:ind w:firstLine="720" w:firstLineChars="200"/>
        <w:rPr>
          <w:rFonts w:hint="eastAsia" w:ascii="宋体" w:hAnsi="宋体" w:cs="宋体"/>
          <w:b w:val="0"/>
          <w:bCs w:val="0"/>
          <w:i w:val="0"/>
          <w:iCs w:val="0"/>
          <w:color w:val="auto"/>
          <w:sz w:val="36"/>
          <w:szCs w:val="36"/>
          <w:highlight w:val="none"/>
        </w:rPr>
      </w:pPr>
      <w:bookmarkStart w:id="0" w:name="_资格预审文件"/>
      <w:bookmarkEnd w:id="0"/>
      <w:bookmarkStart w:id="1" w:name="_Toc536411629"/>
      <w:bookmarkEnd w:id="1"/>
      <w:bookmarkStart w:id="2" w:name="_Toc5875285"/>
      <w:r>
        <w:rPr>
          <w:rFonts w:hint="eastAsia" w:ascii="宋体" w:hAnsi="宋体" w:cs="宋体"/>
          <w:b w:val="0"/>
          <w:bCs w:val="0"/>
          <w:i w:val="0"/>
          <w:iCs w:val="0"/>
          <w:color w:val="auto"/>
          <w:sz w:val="36"/>
          <w:szCs w:val="36"/>
          <w:highlight w:val="none"/>
        </w:rPr>
        <w:t xml:space="preserve"> </w:t>
      </w:r>
      <w:bookmarkEnd w:id="2"/>
    </w:p>
    <w:p w14:paraId="4CC5C45B">
      <w:pPr>
        <w:shd w:val="clear"/>
        <w:ind w:firstLine="720" w:firstLineChars="200"/>
        <w:rPr>
          <w:rFonts w:hint="eastAsia" w:ascii="宋体" w:hAnsi="宋体" w:cs="宋体"/>
          <w:b w:val="0"/>
          <w:bCs w:val="0"/>
          <w:i w:val="0"/>
          <w:iCs w:val="0"/>
          <w:color w:val="auto"/>
          <w:sz w:val="36"/>
          <w:szCs w:val="36"/>
          <w:highlight w:val="none"/>
        </w:rPr>
      </w:pPr>
      <w:r>
        <w:rPr>
          <w:rFonts w:hint="eastAsia" w:ascii="宋体" w:hAnsi="宋体" w:cs="宋体"/>
          <w:b w:val="0"/>
          <w:bCs w:val="0"/>
          <w:i w:val="0"/>
          <w:iCs w:val="0"/>
          <w:color w:val="auto"/>
          <w:sz w:val="36"/>
          <w:szCs w:val="36"/>
          <w:highlight w:val="none"/>
        </w:rPr>
        <w:t xml:space="preserve"> </w:t>
      </w:r>
    </w:p>
    <w:p w14:paraId="16145E53">
      <w:pPr>
        <w:shd w:val="clear"/>
        <w:jc w:val="center"/>
        <w:rPr>
          <w:rFonts w:hint="eastAsia" w:ascii="宋体" w:hAnsi="宋体" w:cs="宋体"/>
          <w:color w:val="auto"/>
          <w:highlight w:val="none"/>
        </w:rPr>
      </w:pPr>
      <w:r>
        <w:rPr>
          <w:rStyle w:val="59"/>
          <w:rFonts w:hint="eastAsia" w:ascii="宋体" w:hAnsi="宋体" w:cs="宋体"/>
          <w:b/>
          <w:bCs/>
          <w:i w:val="0"/>
          <w:iCs w:val="0"/>
          <w:color w:val="auto"/>
          <w:sz w:val="84"/>
          <w:szCs w:val="84"/>
          <w:highlight w:val="none"/>
        </w:rPr>
        <w:t>招</w:t>
      </w:r>
      <w:r>
        <w:rPr>
          <w:rStyle w:val="59"/>
          <w:rFonts w:hint="eastAsia" w:ascii="宋体" w:hAnsi="宋体" w:cs="宋体"/>
          <w:b/>
          <w:bCs/>
          <w:i w:val="0"/>
          <w:iCs w:val="0"/>
          <w:color w:val="auto"/>
          <w:sz w:val="52"/>
          <w:szCs w:val="52"/>
          <w:highlight w:val="none"/>
        </w:rPr>
        <w:t xml:space="preserve"> </w:t>
      </w:r>
      <w:r>
        <w:rPr>
          <w:rStyle w:val="59"/>
          <w:rFonts w:hint="eastAsia" w:ascii="宋体" w:hAnsi="宋体" w:cs="宋体"/>
          <w:b/>
          <w:bCs/>
          <w:i w:val="0"/>
          <w:iCs w:val="0"/>
          <w:color w:val="auto"/>
          <w:sz w:val="84"/>
          <w:szCs w:val="84"/>
          <w:highlight w:val="none"/>
        </w:rPr>
        <w:t>标</w:t>
      </w:r>
      <w:r>
        <w:rPr>
          <w:rStyle w:val="59"/>
          <w:rFonts w:hint="eastAsia" w:ascii="宋体" w:hAnsi="宋体" w:cs="宋体"/>
          <w:b/>
          <w:bCs/>
          <w:i w:val="0"/>
          <w:iCs w:val="0"/>
          <w:color w:val="auto"/>
          <w:sz w:val="52"/>
          <w:szCs w:val="52"/>
          <w:highlight w:val="none"/>
        </w:rPr>
        <w:t xml:space="preserve"> </w:t>
      </w:r>
      <w:r>
        <w:rPr>
          <w:rStyle w:val="59"/>
          <w:rFonts w:hint="eastAsia" w:ascii="宋体" w:hAnsi="宋体" w:cs="宋体"/>
          <w:b/>
          <w:bCs/>
          <w:i w:val="0"/>
          <w:iCs w:val="0"/>
          <w:color w:val="auto"/>
          <w:sz w:val="84"/>
          <w:szCs w:val="84"/>
          <w:highlight w:val="none"/>
        </w:rPr>
        <w:t>文</w:t>
      </w:r>
      <w:r>
        <w:rPr>
          <w:rStyle w:val="59"/>
          <w:rFonts w:hint="eastAsia" w:ascii="宋体" w:hAnsi="宋体" w:cs="宋体"/>
          <w:b/>
          <w:bCs/>
          <w:i w:val="0"/>
          <w:iCs w:val="0"/>
          <w:color w:val="auto"/>
          <w:sz w:val="52"/>
          <w:szCs w:val="52"/>
          <w:highlight w:val="none"/>
        </w:rPr>
        <w:t xml:space="preserve"> </w:t>
      </w:r>
      <w:r>
        <w:rPr>
          <w:rStyle w:val="59"/>
          <w:rFonts w:hint="eastAsia" w:ascii="宋体" w:hAnsi="宋体" w:cs="宋体"/>
          <w:b/>
          <w:bCs/>
          <w:i w:val="0"/>
          <w:iCs w:val="0"/>
          <w:color w:val="auto"/>
          <w:sz w:val="84"/>
          <w:szCs w:val="84"/>
          <w:highlight w:val="none"/>
        </w:rPr>
        <w:t>件</w:t>
      </w:r>
    </w:p>
    <w:p w14:paraId="5D7D5B29">
      <w:pPr>
        <w:shd w:val="clear"/>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4E8AFAD2">
      <w:pPr>
        <w:shd w:val="clear"/>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65BF3DA5">
      <w:pPr>
        <w:shd w:val="clear"/>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358EB912">
      <w:pPr>
        <w:shd w:val="clear"/>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7C66EB41">
      <w:pPr>
        <w:shd w:val="clear"/>
        <w:ind w:firstLine="643" w:firstLineChars="200"/>
        <w:rPr>
          <w:rFonts w:hint="eastAsia" w:ascii="宋体" w:hAnsi="宋体" w:cs="宋体"/>
          <w:b/>
          <w:bCs/>
          <w:color w:val="auto"/>
          <w:sz w:val="32"/>
          <w:szCs w:val="32"/>
          <w:highlight w:val="none"/>
        </w:rPr>
      </w:pPr>
    </w:p>
    <w:p w14:paraId="3D2CDD6D">
      <w:pPr>
        <w:shd w:val="clear"/>
        <w:ind w:firstLine="643" w:firstLineChars="200"/>
        <w:rPr>
          <w:rFonts w:hint="eastAsia" w:ascii="宋体" w:hAnsi="宋体" w:cs="宋体"/>
          <w:b/>
          <w:bCs/>
          <w:color w:val="auto"/>
          <w:sz w:val="32"/>
          <w:szCs w:val="32"/>
          <w:highlight w:val="none"/>
        </w:rPr>
      </w:pPr>
    </w:p>
    <w:p w14:paraId="7BEA5339">
      <w:pPr>
        <w:shd w:val="clear"/>
        <w:ind w:firstLine="643" w:firstLineChars="200"/>
        <w:rPr>
          <w:rFonts w:hint="eastAsia" w:ascii="宋体" w:hAnsi="宋体" w:cs="宋体"/>
          <w:b/>
          <w:bCs/>
          <w:color w:val="auto"/>
          <w:sz w:val="32"/>
          <w:szCs w:val="32"/>
          <w:highlight w:val="none"/>
        </w:rPr>
      </w:pPr>
    </w:p>
    <w:p w14:paraId="19B11059">
      <w:pPr>
        <w:shd w:val="clear"/>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1C91233D">
      <w:pPr>
        <w:shd w:val="clear"/>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17FCAA26">
      <w:pPr>
        <w:shd w:val="clear"/>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3AAC87C6">
      <w:pPr>
        <w:shd w:val="clear"/>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32F6DDB4">
      <w:pPr>
        <w:shd w:val="clear"/>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6085E046">
      <w:pPr>
        <w:shd w:val="clear"/>
        <w:ind w:firstLine="643" w:firstLineChars="200"/>
        <w:rPr>
          <w:rFonts w:hint="eastAsia" w:ascii="宋体" w:hAnsi="宋体" w:cs="宋体"/>
          <w:bCs/>
          <w:color w:val="auto"/>
          <w:sz w:val="28"/>
          <w:szCs w:val="28"/>
          <w:highlight w:val="none"/>
        </w:rPr>
      </w:pPr>
      <w:r>
        <w:rPr>
          <w:rFonts w:hint="eastAsia" w:ascii="宋体" w:hAnsi="宋体" w:cs="宋体"/>
          <w:b/>
          <w:bCs/>
          <w:color w:val="auto"/>
          <w:sz w:val="32"/>
          <w:szCs w:val="32"/>
          <w:highlight w:val="none"/>
        </w:rPr>
        <w:t xml:space="preserve"> </w:t>
      </w:r>
      <w:r>
        <w:rPr>
          <w:rFonts w:hint="eastAsia" w:ascii="宋体" w:hAnsi="宋体" w:cs="宋体"/>
          <w:bCs/>
          <w:color w:val="auto"/>
          <w:sz w:val="28"/>
          <w:szCs w:val="28"/>
          <w:highlight w:val="none"/>
        </w:rPr>
        <w:t xml:space="preserve"> </w:t>
      </w:r>
    </w:p>
    <w:p w14:paraId="29F7C4F4">
      <w:pPr>
        <w:shd w:val="clear"/>
        <w:snapToGrid w:val="0"/>
        <w:spacing w:line="360" w:lineRule="auto"/>
        <w:jc w:val="center"/>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招标人：</w:t>
      </w:r>
      <w:r>
        <w:rPr>
          <w:rFonts w:hint="eastAsia" w:ascii="宋体" w:hAnsi="宋体" w:cs="宋体"/>
          <w:bCs/>
          <w:color w:val="auto"/>
          <w:sz w:val="28"/>
          <w:szCs w:val="28"/>
          <w:highlight w:val="none"/>
          <w:lang w:eastAsia="zh-CN"/>
        </w:rPr>
        <w:t>广州开发区交投低空产业服务发展有限公司</w:t>
      </w:r>
    </w:p>
    <w:p w14:paraId="4FFDDD0D">
      <w:pPr>
        <w:shd w:val="clear"/>
        <w:snapToGrid w:val="0"/>
        <w:spacing w:line="360" w:lineRule="auto"/>
        <w:jc w:val="center"/>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招标代理机构：</w:t>
      </w:r>
      <w:r>
        <w:rPr>
          <w:rFonts w:hint="eastAsia" w:ascii="宋体" w:hAnsi="宋体" w:cs="宋体"/>
          <w:bCs/>
          <w:color w:val="auto"/>
          <w:sz w:val="28"/>
          <w:szCs w:val="28"/>
          <w:highlight w:val="none"/>
          <w:lang w:eastAsia="zh-CN"/>
        </w:rPr>
        <w:t>广东省机电设备招标有限公司</w:t>
      </w:r>
    </w:p>
    <w:p w14:paraId="4B5765FE">
      <w:pPr>
        <w:shd w:val="clear"/>
        <w:snapToGrid w:val="0"/>
        <w:spacing w:line="36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2025</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06</w:t>
      </w:r>
      <w:r>
        <w:rPr>
          <w:rFonts w:hint="eastAsia" w:ascii="宋体" w:hAnsi="宋体" w:cs="宋体"/>
          <w:bCs/>
          <w:color w:val="auto"/>
          <w:sz w:val="28"/>
          <w:szCs w:val="28"/>
          <w:highlight w:val="none"/>
        </w:rPr>
        <w:t>月</w:t>
      </w:r>
    </w:p>
    <w:p w14:paraId="64AE8D70">
      <w:pPr>
        <w:shd w:val="clear"/>
        <w:snapToGrid w:val="0"/>
        <w:spacing w:line="36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br w:type="page"/>
      </w:r>
    </w:p>
    <w:p w14:paraId="794208C2">
      <w:pPr>
        <w:shd w:val="clear"/>
        <w:jc w:val="center"/>
        <w:rPr>
          <w:rFonts w:hint="eastAsia" w:ascii="宋体" w:hAnsi="宋体" w:cs="宋体"/>
          <w:bCs/>
          <w:color w:val="auto"/>
          <w:sz w:val="52"/>
          <w:highlight w:val="none"/>
        </w:rPr>
      </w:pPr>
      <w:r>
        <w:rPr>
          <w:rFonts w:hint="eastAsia" w:ascii="宋体" w:hAnsi="宋体" w:cs="宋体"/>
          <w:bCs/>
          <w:color w:val="auto"/>
          <w:sz w:val="52"/>
          <w:highlight w:val="none"/>
        </w:rPr>
        <w:t>重要提示</w:t>
      </w:r>
    </w:p>
    <w:p w14:paraId="74162BCA">
      <w:pPr>
        <w:shd w:val="clear"/>
        <w:spacing w:line="360" w:lineRule="auto"/>
        <w:ind w:firstLine="537" w:firstLineChars="224"/>
        <w:jc w:val="center"/>
        <w:rPr>
          <w:rFonts w:hint="eastAsia" w:ascii="宋体" w:hAnsi="宋体" w:cs="宋体"/>
          <w:bCs/>
          <w:color w:val="auto"/>
          <w:sz w:val="24"/>
          <w:highlight w:val="none"/>
        </w:rPr>
      </w:pPr>
    </w:p>
    <w:p w14:paraId="424B6580">
      <w:pPr>
        <w:shd w:val="clear"/>
        <w:snapToGrid w:val="0"/>
        <w:spacing w:line="360" w:lineRule="auto"/>
        <w:jc w:val="center"/>
        <w:rPr>
          <w:rFonts w:hint="eastAsia" w:ascii="宋体" w:hAnsi="宋体" w:cs="宋体"/>
          <w:bCs/>
          <w:color w:val="auto"/>
          <w:sz w:val="28"/>
          <w:szCs w:val="28"/>
          <w:highlight w:val="none"/>
        </w:rPr>
      </w:pPr>
      <w:r>
        <w:rPr>
          <w:rFonts w:hint="eastAsia" w:ascii="宋体" w:hAnsi="宋体" w:cs="宋体"/>
          <w:color w:val="auto"/>
          <w:sz w:val="24"/>
          <w:highlight w:val="none"/>
        </w:rPr>
        <w:t>本项目实施电子招投标，投标人应先认真阅读《</w:t>
      </w:r>
      <w:r>
        <w:rPr>
          <w:rFonts w:hint="eastAsia" w:ascii="宋体" w:hAnsi="宋体" w:cs="宋体"/>
          <w:color w:val="auto"/>
          <w:kern w:val="0"/>
          <w:sz w:val="24"/>
          <w:szCs w:val="24"/>
          <w:highlight w:val="none"/>
        </w:rPr>
        <w:t>房屋建筑和市政基础设施工程全流程电子化项目专章</w:t>
      </w:r>
      <w:r>
        <w:rPr>
          <w:rFonts w:hint="eastAsia" w:ascii="宋体" w:hAnsi="宋体" w:cs="宋体"/>
          <w:color w:val="auto"/>
          <w:sz w:val="24"/>
          <w:highlight w:val="none"/>
        </w:rPr>
        <w:t>》。</w:t>
      </w:r>
    </w:p>
    <w:p w14:paraId="09C8136B">
      <w:pPr>
        <w:widowControl/>
        <w:shd w:val="clear"/>
        <w:spacing w:line="360" w:lineRule="auto"/>
        <w:ind w:firstLine="602" w:firstLineChars="200"/>
        <w:jc w:val="left"/>
        <w:rPr>
          <w:rFonts w:hint="eastAsia" w:ascii="宋体" w:hAnsi="宋体" w:cs="宋体"/>
          <w:b/>
          <w:bCs/>
          <w:color w:val="auto"/>
          <w:sz w:val="30"/>
          <w:szCs w:val="30"/>
          <w:highlight w:val="none"/>
        </w:rPr>
        <w:sectPr>
          <w:footerReference r:id="rId3" w:type="default"/>
          <w:pgSz w:w="11907" w:h="16840"/>
          <w:pgMar w:top="1134" w:right="1134" w:bottom="1134" w:left="1134" w:header="720" w:footer="720" w:gutter="0"/>
          <w:pgBorders>
            <w:top w:val="none" w:sz="0" w:space="0"/>
            <w:left w:val="none" w:sz="0" w:space="0"/>
            <w:bottom w:val="none" w:sz="0" w:space="0"/>
            <w:right w:val="none" w:sz="0" w:space="0"/>
          </w:pgBorders>
          <w:pgNumType w:start="0"/>
          <w:cols w:space="720" w:num="1"/>
          <w:titlePg/>
          <w:docGrid w:linePitch="286" w:charSpace="0"/>
        </w:sectPr>
      </w:pPr>
    </w:p>
    <w:p w14:paraId="484D3002">
      <w:pPr>
        <w:shd w:val="clea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目  录</w:t>
      </w:r>
    </w:p>
    <w:p w14:paraId="6BC81B1A">
      <w:pPr>
        <w:shd w:val="clear"/>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349890D0">
      <w:pPr>
        <w:pStyle w:val="21"/>
        <w:tabs>
          <w:tab w:val="right" w:leader="dot" w:pos="9639"/>
        </w:tabs>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"1-3"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_Toc4103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第一章  招标公告</w:t>
      </w:r>
      <w:r>
        <w:tab/>
      </w:r>
      <w:r>
        <w:fldChar w:fldCharType="begin"/>
      </w:r>
      <w:r>
        <w:instrText xml:space="preserve"> PAGEREF _Toc4103 \h </w:instrText>
      </w:r>
      <w:r>
        <w:fldChar w:fldCharType="separate"/>
      </w:r>
      <w:r>
        <w:t>6</w:t>
      </w:r>
      <w:r>
        <w:fldChar w:fldCharType="end"/>
      </w:r>
      <w:r>
        <w:rPr>
          <w:rFonts w:hint="eastAsia" w:ascii="宋体" w:hAnsi="宋体" w:eastAsia="宋体" w:cs="宋体"/>
          <w:bCs/>
          <w:color w:val="auto"/>
          <w:szCs w:val="24"/>
          <w:highlight w:val="none"/>
        </w:rPr>
        <w:fldChar w:fldCharType="end"/>
      </w:r>
    </w:p>
    <w:p w14:paraId="40FCF544">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_Toc21214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第二章  投标人须知</w:t>
      </w:r>
      <w:r>
        <w:tab/>
      </w:r>
      <w:r>
        <w:fldChar w:fldCharType="begin"/>
      </w:r>
      <w:r>
        <w:instrText xml:space="preserve"> PAGEREF _Toc21214 \h </w:instrText>
      </w:r>
      <w:r>
        <w:fldChar w:fldCharType="separate"/>
      </w:r>
      <w:r>
        <w:t>7</w:t>
      </w:r>
      <w:r>
        <w:fldChar w:fldCharType="end"/>
      </w:r>
      <w:r>
        <w:rPr>
          <w:rFonts w:hint="eastAsia" w:ascii="宋体" w:hAnsi="宋体" w:eastAsia="宋体" w:cs="宋体"/>
          <w:bCs/>
          <w:color w:val="auto"/>
          <w:szCs w:val="24"/>
          <w:highlight w:val="none"/>
        </w:rPr>
        <w:fldChar w:fldCharType="end"/>
      </w:r>
    </w:p>
    <w:p w14:paraId="669A6A8C">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_Toc13893 </w:instrText>
      </w:r>
      <w:r>
        <w:rPr>
          <w:rFonts w:hint="eastAsia" w:ascii="宋体" w:hAnsi="宋体" w:eastAsia="宋体" w:cs="宋体"/>
          <w:bCs/>
          <w:szCs w:val="24"/>
          <w:highlight w:val="none"/>
        </w:rPr>
        <w:fldChar w:fldCharType="separate"/>
      </w:r>
      <w:r>
        <w:rPr>
          <w:rFonts w:hint="eastAsia" w:ascii="宋体" w:hAnsi="宋体" w:cs="宋体"/>
          <w:highlight w:val="none"/>
        </w:rPr>
        <w:t>投标人须知前附表</w:t>
      </w:r>
      <w:r>
        <w:tab/>
      </w:r>
      <w:r>
        <w:fldChar w:fldCharType="begin"/>
      </w:r>
      <w:r>
        <w:instrText xml:space="preserve"> PAGEREF _Toc13893 \h </w:instrText>
      </w:r>
      <w:r>
        <w:fldChar w:fldCharType="separate"/>
      </w:r>
      <w:r>
        <w:t>7</w:t>
      </w:r>
      <w:r>
        <w:fldChar w:fldCharType="end"/>
      </w:r>
      <w:r>
        <w:rPr>
          <w:rFonts w:hint="eastAsia" w:ascii="宋体" w:hAnsi="宋体" w:eastAsia="宋体" w:cs="宋体"/>
          <w:bCs/>
          <w:color w:val="auto"/>
          <w:szCs w:val="24"/>
          <w:highlight w:val="none"/>
        </w:rPr>
        <w:fldChar w:fldCharType="end"/>
      </w:r>
    </w:p>
    <w:p w14:paraId="7D89C816">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_Toc20412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1. 总则</w:t>
      </w:r>
      <w:r>
        <w:tab/>
      </w:r>
      <w:r>
        <w:fldChar w:fldCharType="begin"/>
      </w:r>
      <w:r>
        <w:instrText xml:space="preserve"> PAGEREF _Toc20412 \h </w:instrText>
      </w:r>
      <w:r>
        <w:fldChar w:fldCharType="separate"/>
      </w:r>
      <w:r>
        <w:t>15</w:t>
      </w:r>
      <w:r>
        <w:fldChar w:fldCharType="end"/>
      </w:r>
      <w:r>
        <w:rPr>
          <w:rFonts w:hint="eastAsia" w:ascii="宋体" w:hAnsi="宋体" w:eastAsia="宋体" w:cs="宋体"/>
          <w:bCs/>
          <w:color w:val="auto"/>
          <w:szCs w:val="24"/>
          <w:highlight w:val="none"/>
        </w:rPr>
        <w:fldChar w:fldCharType="end"/>
      </w:r>
      <w:bookmarkStart w:id="517" w:name="_GoBack"/>
      <w:bookmarkEnd w:id="517"/>
    </w:p>
    <w:p w14:paraId="2B49B293">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_Toc8699 </w:instrText>
      </w:r>
      <w:r>
        <w:rPr>
          <w:rFonts w:hint="eastAsia" w:ascii="宋体" w:hAnsi="宋体" w:eastAsia="宋体" w:cs="宋体"/>
          <w:bCs/>
          <w:szCs w:val="24"/>
          <w:highlight w:val="none"/>
        </w:rPr>
        <w:fldChar w:fldCharType="separate"/>
      </w:r>
      <w:r>
        <w:rPr>
          <w:rFonts w:hint="eastAsia" w:ascii="宋体" w:hAnsi="宋体" w:cs="宋体"/>
          <w:highlight w:val="none"/>
        </w:rPr>
        <w:t>1.1 招标项目概况</w:t>
      </w:r>
      <w:r>
        <w:tab/>
      </w:r>
      <w:r>
        <w:fldChar w:fldCharType="begin"/>
      </w:r>
      <w:r>
        <w:instrText xml:space="preserve"> PAGEREF _Toc8699 \h </w:instrText>
      </w:r>
      <w:r>
        <w:fldChar w:fldCharType="separate"/>
      </w:r>
      <w:r>
        <w:t>15</w:t>
      </w:r>
      <w:r>
        <w:fldChar w:fldCharType="end"/>
      </w:r>
      <w:r>
        <w:rPr>
          <w:rFonts w:hint="eastAsia" w:ascii="宋体" w:hAnsi="宋体" w:eastAsia="宋体" w:cs="宋体"/>
          <w:bCs/>
          <w:color w:val="auto"/>
          <w:szCs w:val="24"/>
          <w:highlight w:val="none"/>
        </w:rPr>
        <w:fldChar w:fldCharType="end"/>
      </w:r>
    </w:p>
    <w:p w14:paraId="31C9A32A">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_Toc21059 </w:instrText>
      </w:r>
      <w:r>
        <w:rPr>
          <w:rFonts w:hint="eastAsia" w:ascii="宋体" w:hAnsi="宋体" w:eastAsia="宋体" w:cs="宋体"/>
          <w:bCs/>
          <w:szCs w:val="24"/>
          <w:highlight w:val="none"/>
        </w:rPr>
        <w:fldChar w:fldCharType="separate"/>
      </w:r>
      <w:r>
        <w:rPr>
          <w:rFonts w:hint="eastAsia" w:ascii="宋体" w:hAnsi="宋体" w:cs="宋体"/>
          <w:highlight w:val="none"/>
        </w:rPr>
        <w:t>1.2 招标项目的资金来源和落实情况</w:t>
      </w:r>
      <w:r>
        <w:tab/>
      </w:r>
      <w:r>
        <w:fldChar w:fldCharType="begin"/>
      </w:r>
      <w:r>
        <w:instrText xml:space="preserve"> PAGEREF _Toc21059 \h </w:instrText>
      </w:r>
      <w:r>
        <w:fldChar w:fldCharType="separate"/>
      </w:r>
      <w:r>
        <w:t>15</w:t>
      </w:r>
      <w:r>
        <w:fldChar w:fldCharType="end"/>
      </w:r>
      <w:r>
        <w:rPr>
          <w:rFonts w:hint="eastAsia" w:ascii="宋体" w:hAnsi="宋体" w:eastAsia="宋体" w:cs="宋体"/>
          <w:bCs/>
          <w:color w:val="auto"/>
          <w:szCs w:val="24"/>
          <w:highlight w:val="none"/>
        </w:rPr>
        <w:fldChar w:fldCharType="end"/>
      </w:r>
    </w:p>
    <w:p w14:paraId="47A680E7">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_Toc913 </w:instrText>
      </w:r>
      <w:r>
        <w:rPr>
          <w:rFonts w:hint="eastAsia" w:ascii="宋体" w:hAnsi="宋体" w:eastAsia="宋体" w:cs="宋体"/>
          <w:bCs/>
          <w:szCs w:val="24"/>
          <w:highlight w:val="none"/>
        </w:rPr>
        <w:fldChar w:fldCharType="separate"/>
      </w:r>
      <w:r>
        <w:rPr>
          <w:rFonts w:hint="eastAsia" w:ascii="宋体" w:hAnsi="宋体" w:cs="宋体"/>
          <w:highlight w:val="none"/>
        </w:rPr>
        <w:t>1.3招标范围、工程监理服务期限和质量标准</w:t>
      </w:r>
      <w:r>
        <w:tab/>
      </w:r>
      <w:r>
        <w:fldChar w:fldCharType="begin"/>
      </w:r>
      <w:r>
        <w:instrText xml:space="preserve"> PAGEREF _Toc913 \h </w:instrText>
      </w:r>
      <w:r>
        <w:fldChar w:fldCharType="separate"/>
      </w:r>
      <w:r>
        <w:t>15</w:t>
      </w:r>
      <w:r>
        <w:fldChar w:fldCharType="end"/>
      </w:r>
      <w:r>
        <w:rPr>
          <w:rFonts w:hint="eastAsia" w:ascii="宋体" w:hAnsi="宋体" w:eastAsia="宋体" w:cs="宋体"/>
          <w:bCs/>
          <w:color w:val="auto"/>
          <w:szCs w:val="24"/>
          <w:highlight w:val="none"/>
        </w:rPr>
        <w:fldChar w:fldCharType="end"/>
      </w:r>
    </w:p>
    <w:p w14:paraId="6960D63C">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_Toc17322 </w:instrText>
      </w:r>
      <w:r>
        <w:rPr>
          <w:rFonts w:hint="eastAsia" w:ascii="宋体" w:hAnsi="宋体" w:eastAsia="宋体" w:cs="宋体"/>
          <w:bCs/>
          <w:szCs w:val="24"/>
          <w:highlight w:val="none"/>
        </w:rPr>
        <w:fldChar w:fldCharType="separate"/>
      </w:r>
      <w:r>
        <w:rPr>
          <w:rFonts w:hint="eastAsia" w:ascii="宋体" w:hAnsi="宋体" w:cs="宋体"/>
          <w:highlight w:val="none"/>
        </w:rPr>
        <w:t>1.4投标人资格要求</w:t>
      </w:r>
      <w:r>
        <w:tab/>
      </w:r>
      <w:r>
        <w:fldChar w:fldCharType="begin"/>
      </w:r>
      <w:r>
        <w:instrText xml:space="preserve"> PAGEREF _Toc17322 \h </w:instrText>
      </w:r>
      <w:r>
        <w:fldChar w:fldCharType="separate"/>
      </w:r>
      <w:r>
        <w:t>15</w:t>
      </w:r>
      <w:r>
        <w:fldChar w:fldCharType="end"/>
      </w:r>
      <w:r>
        <w:rPr>
          <w:rFonts w:hint="eastAsia" w:ascii="宋体" w:hAnsi="宋体" w:eastAsia="宋体" w:cs="宋体"/>
          <w:bCs/>
          <w:color w:val="auto"/>
          <w:szCs w:val="24"/>
          <w:highlight w:val="none"/>
        </w:rPr>
        <w:fldChar w:fldCharType="end"/>
      </w:r>
    </w:p>
    <w:p w14:paraId="7C3DE086">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_Toc30722 </w:instrText>
      </w:r>
      <w:r>
        <w:rPr>
          <w:rFonts w:hint="eastAsia" w:ascii="宋体" w:hAnsi="宋体" w:eastAsia="宋体" w:cs="宋体"/>
          <w:bCs/>
          <w:szCs w:val="24"/>
          <w:highlight w:val="none"/>
        </w:rPr>
        <w:fldChar w:fldCharType="separate"/>
      </w:r>
      <w:r>
        <w:rPr>
          <w:rFonts w:hint="eastAsia" w:ascii="宋体" w:hAnsi="宋体" w:cs="宋体"/>
          <w:highlight w:val="none"/>
        </w:rPr>
        <w:t>1.5 费用承担</w:t>
      </w:r>
      <w:r>
        <w:tab/>
      </w:r>
      <w:r>
        <w:fldChar w:fldCharType="begin"/>
      </w:r>
      <w:r>
        <w:instrText xml:space="preserve"> PAGEREF _Toc30722 \h </w:instrText>
      </w:r>
      <w:r>
        <w:fldChar w:fldCharType="separate"/>
      </w:r>
      <w:r>
        <w:t>16</w:t>
      </w:r>
      <w:r>
        <w:fldChar w:fldCharType="end"/>
      </w:r>
      <w:r>
        <w:rPr>
          <w:rFonts w:hint="eastAsia" w:ascii="宋体" w:hAnsi="宋体" w:eastAsia="宋体" w:cs="宋体"/>
          <w:bCs/>
          <w:color w:val="auto"/>
          <w:szCs w:val="24"/>
          <w:highlight w:val="none"/>
        </w:rPr>
        <w:fldChar w:fldCharType="end"/>
      </w:r>
    </w:p>
    <w:p w14:paraId="2276C491">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_Toc27394 </w:instrText>
      </w:r>
      <w:r>
        <w:rPr>
          <w:rFonts w:hint="eastAsia" w:ascii="宋体" w:hAnsi="宋体" w:eastAsia="宋体" w:cs="宋体"/>
          <w:bCs/>
          <w:szCs w:val="24"/>
          <w:highlight w:val="none"/>
        </w:rPr>
        <w:fldChar w:fldCharType="separate"/>
      </w:r>
      <w:r>
        <w:rPr>
          <w:rFonts w:hint="eastAsia" w:ascii="宋体" w:hAnsi="宋体" w:cs="宋体"/>
          <w:highlight w:val="none"/>
        </w:rPr>
        <w:t>1.6保密</w:t>
      </w:r>
      <w:r>
        <w:tab/>
      </w:r>
      <w:r>
        <w:fldChar w:fldCharType="begin"/>
      </w:r>
      <w:r>
        <w:instrText xml:space="preserve"> PAGEREF _Toc27394 \h </w:instrText>
      </w:r>
      <w:r>
        <w:fldChar w:fldCharType="separate"/>
      </w:r>
      <w:r>
        <w:t>16</w:t>
      </w:r>
      <w:r>
        <w:fldChar w:fldCharType="end"/>
      </w:r>
      <w:r>
        <w:rPr>
          <w:rFonts w:hint="eastAsia" w:ascii="宋体" w:hAnsi="宋体" w:eastAsia="宋体" w:cs="宋体"/>
          <w:bCs/>
          <w:color w:val="auto"/>
          <w:szCs w:val="24"/>
          <w:highlight w:val="none"/>
        </w:rPr>
        <w:fldChar w:fldCharType="end"/>
      </w:r>
    </w:p>
    <w:p w14:paraId="6B0A5680">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_Toc22554 </w:instrText>
      </w:r>
      <w:r>
        <w:rPr>
          <w:rFonts w:hint="eastAsia" w:ascii="宋体" w:hAnsi="宋体" w:eastAsia="宋体" w:cs="宋体"/>
          <w:bCs/>
          <w:szCs w:val="24"/>
          <w:highlight w:val="none"/>
        </w:rPr>
        <w:fldChar w:fldCharType="separate"/>
      </w:r>
      <w:r>
        <w:rPr>
          <w:rFonts w:hint="eastAsia" w:ascii="宋体" w:hAnsi="宋体" w:cs="宋体"/>
          <w:highlight w:val="none"/>
        </w:rPr>
        <w:t>1.7语言文字</w:t>
      </w:r>
      <w:r>
        <w:tab/>
      </w:r>
      <w:r>
        <w:fldChar w:fldCharType="begin"/>
      </w:r>
      <w:r>
        <w:instrText xml:space="preserve"> PAGEREF _Toc22554 \h </w:instrText>
      </w:r>
      <w:r>
        <w:fldChar w:fldCharType="separate"/>
      </w:r>
      <w:r>
        <w:t>16</w:t>
      </w:r>
      <w:r>
        <w:fldChar w:fldCharType="end"/>
      </w:r>
      <w:r>
        <w:rPr>
          <w:rFonts w:hint="eastAsia" w:ascii="宋体" w:hAnsi="宋体" w:eastAsia="宋体" w:cs="宋体"/>
          <w:bCs/>
          <w:color w:val="auto"/>
          <w:szCs w:val="24"/>
          <w:highlight w:val="none"/>
        </w:rPr>
        <w:fldChar w:fldCharType="end"/>
      </w:r>
    </w:p>
    <w:p w14:paraId="3FCACF87">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_Toc7159 </w:instrText>
      </w:r>
      <w:r>
        <w:rPr>
          <w:rFonts w:hint="eastAsia" w:ascii="宋体" w:hAnsi="宋体" w:eastAsia="宋体" w:cs="宋体"/>
          <w:bCs/>
          <w:szCs w:val="24"/>
          <w:highlight w:val="none"/>
        </w:rPr>
        <w:fldChar w:fldCharType="separate"/>
      </w:r>
      <w:r>
        <w:rPr>
          <w:rFonts w:hint="eastAsia" w:ascii="宋体" w:hAnsi="宋体" w:cs="宋体"/>
          <w:highlight w:val="none"/>
        </w:rPr>
        <w:t>1.8计量单位</w:t>
      </w:r>
      <w:r>
        <w:tab/>
      </w:r>
      <w:r>
        <w:fldChar w:fldCharType="begin"/>
      </w:r>
      <w:r>
        <w:instrText xml:space="preserve"> PAGEREF _Toc7159 \h </w:instrText>
      </w:r>
      <w:r>
        <w:fldChar w:fldCharType="separate"/>
      </w:r>
      <w:r>
        <w:t>16</w:t>
      </w:r>
      <w:r>
        <w:fldChar w:fldCharType="end"/>
      </w:r>
      <w:r>
        <w:rPr>
          <w:rFonts w:hint="eastAsia" w:ascii="宋体" w:hAnsi="宋体" w:eastAsia="宋体" w:cs="宋体"/>
          <w:bCs/>
          <w:color w:val="auto"/>
          <w:szCs w:val="24"/>
          <w:highlight w:val="none"/>
        </w:rPr>
        <w:fldChar w:fldCharType="end"/>
      </w:r>
    </w:p>
    <w:p w14:paraId="334A6466">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_Toc22174 </w:instrText>
      </w:r>
      <w:r>
        <w:rPr>
          <w:rFonts w:hint="eastAsia" w:ascii="宋体" w:hAnsi="宋体" w:eastAsia="宋体" w:cs="宋体"/>
          <w:bCs/>
          <w:szCs w:val="24"/>
          <w:highlight w:val="none"/>
        </w:rPr>
        <w:fldChar w:fldCharType="separate"/>
      </w:r>
      <w:r>
        <w:rPr>
          <w:rFonts w:hint="eastAsia" w:ascii="宋体" w:hAnsi="宋体" w:cs="宋体"/>
          <w:highlight w:val="none"/>
        </w:rPr>
        <w:t>1.9 踏勘现场</w:t>
      </w:r>
      <w:r>
        <w:tab/>
      </w:r>
      <w:r>
        <w:fldChar w:fldCharType="begin"/>
      </w:r>
      <w:r>
        <w:instrText xml:space="preserve"> PAGEREF _Toc22174 \h </w:instrText>
      </w:r>
      <w:r>
        <w:fldChar w:fldCharType="separate"/>
      </w:r>
      <w:r>
        <w:t>16</w:t>
      </w:r>
      <w:r>
        <w:fldChar w:fldCharType="end"/>
      </w:r>
      <w:r>
        <w:rPr>
          <w:rFonts w:hint="eastAsia" w:ascii="宋体" w:hAnsi="宋体" w:eastAsia="宋体" w:cs="宋体"/>
          <w:bCs/>
          <w:color w:val="auto"/>
          <w:szCs w:val="24"/>
          <w:highlight w:val="none"/>
        </w:rPr>
        <w:fldChar w:fldCharType="end"/>
      </w:r>
    </w:p>
    <w:p w14:paraId="68A01090">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_Toc23779 </w:instrText>
      </w:r>
      <w:r>
        <w:rPr>
          <w:rFonts w:hint="eastAsia" w:ascii="宋体" w:hAnsi="宋体" w:eastAsia="宋体" w:cs="宋体"/>
          <w:bCs/>
          <w:szCs w:val="24"/>
          <w:highlight w:val="none"/>
        </w:rPr>
        <w:fldChar w:fldCharType="separate"/>
      </w:r>
      <w:r>
        <w:rPr>
          <w:rFonts w:hint="eastAsia" w:ascii="宋体" w:hAnsi="宋体" w:cs="宋体"/>
          <w:highlight w:val="none"/>
        </w:rPr>
        <w:t>1.10投标预备会</w:t>
      </w:r>
      <w:r>
        <w:tab/>
      </w:r>
      <w:r>
        <w:fldChar w:fldCharType="begin"/>
      </w:r>
      <w:r>
        <w:instrText xml:space="preserve"> PAGEREF _Toc23779 \h </w:instrText>
      </w:r>
      <w:r>
        <w:fldChar w:fldCharType="separate"/>
      </w:r>
      <w:r>
        <w:t>16</w:t>
      </w:r>
      <w:r>
        <w:fldChar w:fldCharType="end"/>
      </w:r>
      <w:r>
        <w:rPr>
          <w:rFonts w:hint="eastAsia" w:ascii="宋体" w:hAnsi="宋体" w:eastAsia="宋体" w:cs="宋体"/>
          <w:bCs/>
          <w:color w:val="auto"/>
          <w:szCs w:val="24"/>
          <w:highlight w:val="none"/>
        </w:rPr>
        <w:fldChar w:fldCharType="end"/>
      </w:r>
    </w:p>
    <w:p w14:paraId="4583E6EE">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_Toc3229 </w:instrText>
      </w:r>
      <w:r>
        <w:rPr>
          <w:rFonts w:hint="eastAsia" w:ascii="宋体" w:hAnsi="宋体" w:eastAsia="宋体" w:cs="宋体"/>
          <w:bCs/>
          <w:szCs w:val="24"/>
          <w:highlight w:val="none"/>
        </w:rPr>
        <w:fldChar w:fldCharType="separate"/>
      </w:r>
      <w:r>
        <w:rPr>
          <w:rFonts w:hint="eastAsia" w:ascii="宋体" w:hAnsi="宋体" w:cs="宋体"/>
          <w:highlight w:val="none"/>
        </w:rPr>
        <w:t>1.11 分包</w:t>
      </w:r>
      <w:r>
        <w:tab/>
      </w:r>
      <w:r>
        <w:fldChar w:fldCharType="begin"/>
      </w:r>
      <w:r>
        <w:instrText xml:space="preserve"> PAGEREF _Toc3229 \h </w:instrText>
      </w:r>
      <w:r>
        <w:fldChar w:fldCharType="separate"/>
      </w:r>
      <w:r>
        <w:t>17</w:t>
      </w:r>
      <w:r>
        <w:fldChar w:fldCharType="end"/>
      </w:r>
      <w:r>
        <w:rPr>
          <w:rFonts w:hint="eastAsia" w:ascii="宋体" w:hAnsi="宋体" w:eastAsia="宋体" w:cs="宋体"/>
          <w:bCs/>
          <w:color w:val="auto"/>
          <w:szCs w:val="24"/>
          <w:highlight w:val="none"/>
        </w:rPr>
        <w:fldChar w:fldCharType="end"/>
      </w:r>
    </w:p>
    <w:p w14:paraId="1AF675DE">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_Toc17986 </w:instrText>
      </w:r>
      <w:r>
        <w:rPr>
          <w:rFonts w:hint="eastAsia" w:ascii="宋体" w:hAnsi="宋体" w:eastAsia="宋体" w:cs="宋体"/>
          <w:bCs/>
          <w:szCs w:val="24"/>
          <w:highlight w:val="none"/>
        </w:rPr>
        <w:fldChar w:fldCharType="separate"/>
      </w:r>
      <w:r>
        <w:rPr>
          <w:rFonts w:hint="eastAsia" w:ascii="宋体" w:hAnsi="宋体" w:cs="宋体"/>
          <w:highlight w:val="none"/>
        </w:rPr>
        <w:t>1.12响应和偏差</w:t>
      </w:r>
      <w:r>
        <w:tab/>
      </w:r>
      <w:r>
        <w:fldChar w:fldCharType="begin"/>
      </w:r>
      <w:r>
        <w:instrText xml:space="preserve"> PAGEREF _Toc17986 \h </w:instrText>
      </w:r>
      <w:r>
        <w:fldChar w:fldCharType="separate"/>
      </w:r>
      <w:r>
        <w:t>17</w:t>
      </w:r>
      <w:r>
        <w:fldChar w:fldCharType="end"/>
      </w:r>
      <w:r>
        <w:rPr>
          <w:rFonts w:hint="eastAsia" w:ascii="宋体" w:hAnsi="宋体" w:eastAsia="宋体" w:cs="宋体"/>
          <w:bCs/>
          <w:color w:val="auto"/>
          <w:szCs w:val="24"/>
          <w:highlight w:val="none"/>
        </w:rPr>
        <w:fldChar w:fldCharType="end"/>
      </w:r>
    </w:p>
    <w:p w14:paraId="07D5CD72">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_Toc19848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2. 招标文件</w:t>
      </w:r>
      <w:r>
        <w:tab/>
      </w:r>
      <w:r>
        <w:fldChar w:fldCharType="begin"/>
      </w:r>
      <w:r>
        <w:instrText xml:space="preserve"> PAGEREF _Toc19848 \h </w:instrText>
      </w:r>
      <w:r>
        <w:fldChar w:fldCharType="separate"/>
      </w:r>
      <w:r>
        <w:t>17</w:t>
      </w:r>
      <w:r>
        <w:fldChar w:fldCharType="end"/>
      </w:r>
      <w:r>
        <w:rPr>
          <w:rFonts w:hint="eastAsia" w:ascii="宋体" w:hAnsi="宋体" w:eastAsia="宋体" w:cs="宋体"/>
          <w:bCs/>
          <w:color w:val="auto"/>
          <w:szCs w:val="24"/>
          <w:highlight w:val="none"/>
        </w:rPr>
        <w:fldChar w:fldCharType="end"/>
      </w:r>
    </w:p>
    <w:p w14:paraId="57F6668A">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_Toc12040 </w:instrText>
      </w:r>
      <w:r>
        <w:rPr>
          <w:rFonts w:hint="eastAsia" w:ascii="宋体" w:hAnsi="宋体" w:eastAsia="宋体" w:cs="宋体"/>
          <w:bCs/>
          <w:szCs w:val="24"/>
          <w:highlight w:val="none"/>
        </w:rPr>
        <w:fldChar w:fldCharType="separate"/>
      </w:r>
      <w:r>
        <w:rPr>
          <w:rFonts w:hint="eastAsia" w:ascii="宋体" w:hAnsi="宋体" w:cs="宋体"/>
          <w:highlight w:val="none"/>
        </w:rPr>
        <w:t>2.1 招标文件的组成</w:t>
      </w:r>
      <w:r>
        <w:tab/>
      </w:r>
      <w:r>
        <w:fldChar w:fldCharType="begin"/>
      </w:r>
      <w:r>
        <w:instrText xml:space="preserve"> PAGEREF _Toc12040 \h </w:instrText>
      </w:r>
      <w:r>
        <w:fldChar w:fldCharType="separate"/>
      </w:r>
      <w:r>
        <w:t>17</w:t>
      </w:r>
      <w:r>
        <w:fldChar w:fldCharType="end"/>
      </w:r>
      <w:r>
        <w:rPr>
          <w:rFonts w:hint="eastAsia" w:ascii="宋体" w:hAnsi="宋体" w:eastAsia="宋体" w:cs="宋体"/>
          <w:bCs/>
          <w:color w:val="auto"/>
          <w:szCs w:val="24"/>
          <w:highlight w:val="none"/>
        </w:rPr>
        <w:fldChar w:fldCharType="end"/>
      </w:r>
    </w:p>
    <w:p w14:paraId="445F3B91">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_Toc5229 </w:instrText>
      </w:r>
      <w:r>
        <w:rPr>
          <w:rFonts w:hint="eastAsia" w:ascii="宋体" w:hAnsi="宋体" w:eastAsia="宋体" w:cs="宋体"/>
          <w:bCs/>
          <w:szCs w:val="24"/>
          <w:highlight w:val="none"/>
        </w:rPr>
        <w:fldChar w:fldCharType="separate"/>
      </w:r>
      <w:r>
        <w:rPr>
          <w:rFonts w:hint="eastAsia" w:ascii="宋体" w:hAnsi="宋体" w:cs="宋体"/>
          <w:highlight w:val="none"/>
        </w:rPr>
        <w:t>2.2 招标文件的澄清</w:t>
      </w:r>
      <w:r>
        <w:tab/>
      </w:r>
      <w:r>
        <w:fldChar w:fldCharType="begin"/>
      </w:r>
      <w:r>
        <w:instrText xml:space="preserve"> PAGEREF _Toc5229 \h </w:instrText>
      </w:r>
      <w:r>
        <w:fldChar w:fldCharType="separate"/>
      </w:r>
      <w:r>
        <w:t>17</w:t>
      </w:r>
      <w:r>
        <w:fldChar w:fldCharType="end"/>
      </w:r>
      <w:r>
        <w:rPr>
          <w:rFonts w:hint="eastAsia" w:ascii="宋体" w:hAnsi="宋体" w:eastAsia="宋体" w:cs="宋体"/>
          <w:bCs/>
          <w:color w:val="auto"/>
          <w:szCs w:val="24"/>
          <w:highlight w:val="none"/>
        </w:rPr>
        <w:fldChar w:fldCharType="end"/>
      </w:r>
    </w:p>
    <w:p w14:paraId="01402BD8">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_Toc27812 </w:instrText>
      </w:r>
      <w:r>
        <w:rPr>
          <w:rFonts w:hint="eastAsia" w:ascii="宋体" w:hAnsi="宋体" w:eastAsia="宋体" w:cs="宋体"/>
          <w:bCs/>
          <w:szCs w:val="24"/>
          <w:highlight w:val="none"/>
        </w:rPr>
        <w:fldChar w:fldCharType="separate"/>
      </w:r>
      <w:r>
        <w:rPr>
          <w:rFonts w:hint="eastAsia" w:ascii="宋体" w:hAnsi="宋体" w:cs="宋体"/>
          <w:highlight w:val="none"/>
        </w:rPr>
        <w:t>2.3 招标文件的修改</w:t>
      </w:r>
      <w:r>
        <w:tab/>
      </w:r>
      <w:r>
        <w:fldChar w:fldCharType="begin"/>
      </w:r>
      <w:r>
        <w:instrText xml:space="preserve"> PAGEREF _Toc27812 \h </w:instrText>
      </w:r>
      <w:r>
        <w:fldChar w:fldCharType="separate"/>
      </w:r>
      <w:r>
        <w:t>18</w:t>
      </w:r>
      <w:r>
        <w:fldChar w:fldCharType="end"/>
      </w:r>
      <w:r>
        <w:rPr>
          <w:rFonts w:hint="eastAsia" w:ascii="宋体" w:hAnsi="宋体" w:eastAsia="宋体" w:cs="宋体"/>
          <w:bCs/>
          <w:color w:val="auto"/>
          <w:szCs w:val="24"/>
          <w:highlight w:val="none"/>
        </w:rPr>
        <w:fldChar w:fldCharType="end"/>
      </w:r>
    </w:p>
    <w:p w14:paraId="5652385B">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_Toc24857 </w:instrText>
      </w:r>
      <w:r>
        <w:rPr>
          <w:rFonts w:hint="eastAsia" w:ascii="宋体" w:hAnsi="宋体" w:eastAsia="宋体" w:cs="宋体"/>
          <w:bCs/>
          <w:szCs w:val="24"/>
          <w:highlight w:val="none"/>
        </w:rPr>
        <w:fldChar w:fldCharType="separate"/>
      </w:r>
      <w:r>
        <w:rPr>
          <w:rFonts w:hint="eastAsia" w:ascii="宋体" w:hAnsi="宋体" w:cs="宋体"/>
          <w:highlight w:val="none"/>
        </w:rPr>
        <w:t>2.4 招标文件的异议</w:t>
      </w:r>
      <w:r>
        <w:tab/>
      </w:r>
      <w:r>
        <w:fldChar w:fldCharType="begin"/>
      </w:r>
      <w:r>
        <w:instrText xml:space="preserve"> PAGEREF _Toc24857 \h </w:instrText>
      </w:r>
      <w:r>
        <w:fldChar w:fldCharType="separate"/>
      </w:r>
      <w:r>
        <w:t>18</w:t>
      </w:r>
      <w:r>
        <w:fldChar w:fldCharType="end"/>
      </w:r>
      <w:r>
        <w:rPr>
          <w:rFonts w:hint="eastAsia" w:ascii="宋体" w:hAnsi="宋体" w:eastAsia="宋体" w:cs="宋体"/>
          <w:bCs/>
          <w:color w:val="auto"/>
          <w:szCs w:val="24"/>
          <w:highlight w:val="none"/>
        </w:rPr>
        <w:fldChar w:fldCharType="end"/>
      </w:r>
    </w:p>
    <w:p w14:paraId="77333D4C">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_Toc24475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3. 投标文件</w:t>
      </w:r>
      <w:r>
        <w:tab/>
      </w:r>
      <w:r>
        <w:fldChar w:fldCharType="begin"/>
      </w:r>
      <w:r>
        <w:instrText xml:space="preserve"> PAGEREF _Toc24475 \h </w:instrText>
      </w:r>
      <w:r>
        <w:fldChar w:fldCharType="separate"/>
      </w:r>
      <w:r>
        <w:t>18</w:t>
      </w:r>
      <w:r>
        <w:fldChar w:fldCharType="end"/>
      </w:r>
      <w:r>
        <w:rPr>
          <w:rFonts w:hint="eastAsia" w:ascii="宋体" w:hAnsi="宋体" w:eastAsia="宋体" w:cs="宋体"/>
          <w:bCs/>
          <w:color w:val="auto"/>
          <w:szCs w:val="24"/>
          <w:highlight w:val="none"/>
        </w:rPr>
        <w:fldChar w:fldCharType="end"/>
      </w:r>
    </w:p>
    <w:p w14:paraId="6D22C588">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_Toc5864 </w:instrText>
      </w:r>
      <w:r>
        <w:rPr>
          <w:rFonts w:hint="eastAsia" w:ascii="宋体" w:hAnsi="宋体" w:eastAsia="宋体" w:cs="宋体"/>
          <w:bCs/>
          <w:szCs w:val="24"/>
          <w:highlight w:val="none"/>
        </w:rPr>
        <w:fldChar w:fldCharType="separate"/>
      </w:r>
      <w:r>
        <w:rPr>
          <w:rFonts w:hint="eastAsia" w:ascii="宋体" w:hAnsi="宋体" w:cs="宋体"/>
          <w:highlight w:val="none"/>
        </w:rPr>
        <w:t>3.1 投标文件的组成</w:t>
      </w:r>
      <w:r>
        <w:tab/>
      </w:r>
      <w:r>
        <w:fldChar w:fldCharType="begin"/>
      </w:r>
      <w:r>
        <w:instrText xml:space="preserve"> PAGEREF _Toc5864 \h </w:instrText>
      </w:r>
      <w:r>
        <w:fldChar w:fldCharType="separate"/>
      </w:r>
      <w:r>
        <w:t>18</w:t>
      </w:r>
      <w:r>
        <w:fldChar w:fldCharType="end"/>
      </w:r>
      <w:r>
        <w:rPr>
          <w:rFonts w:hint="eastAsia" w:ascii="宋体" w:hAnsi="宋体" w:eastAsia="宋体" w:cs="宋体"/>
          <w:bCs/>
          <w:color w:val="auto"/>
          <w:szCs w:val="24"/>
          <w:highlight w:val="none"/>
        </w:rPr>
        <w:fldChar w:fldCharType="end"/>
      </w:r>
    </w:p>
    <w:p w14:paraId="29D9F924">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_Toc17717 </w:instrText>
      </w:r>
      <w:r>
        <w:rPr>
          <w:rFonts w:hint="eastAsia" w:ascii="宋体" w:hAnsi="宋体" w:eastAsia="宋体" w:cs="宋体"/>
          <w:bCs/>
          <w:szCs w:val="24"/>
          <w:highlight w:val="none"/>
        </w:rPr>
        <w:fldChar w:fldCharType="separate"/>
      </w:r>
      <w:r>
        <w:rPr>
          <w:rFonts w:hint="eastAsia" w:ascii="宋体" w:hAnsi="宋体" w:cs="宋体"/>
          <w:highlight w:val="none"/>
        </w:rPr>
        <w:t>3.2 投标报价</w:t>
      </w:r>
      <w:r>
        <w:tab/>
      </w:r>
      <w:r>
        <w:fldChar w:fldCharType="begin"/>
      </w:r>
      <w:r>
        <w:instrText xml:space="preserve"> PAGEREF _Toc17717 \h </w:instrText>
      </w:r>
      <w:r>
        <w:fldChar w:fldCharType="separate"/>
      </w:r>
      <w:r>
        <w:t>18</w:t>
      </w:r>
      <w:r>
        <w:fldChar w:fldCharType="end"/>
      </w:r>
      <w:r>
        <w:rPr>
          <w:rFonts w:hint="eastAsia" w:ascii="宋体" w:hAnsi="宋体" w:eastAsia="宋体" w:cs="宋体"/>
          <w:bCs/>
          <w:color w:val="auto"/>
          <w:szCs w:val="24"/>
          <w:highlight w:val="none"/>
        </w:rPr>
        <w:fldChar w:fldCharType="end"/>
      </w:r>
    </w:p>
    <w:p w14:paraId="0E8D88B2">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_Toc14238 </w:instrText>
      </w:r>
      <w:r>
        <w:rPr>
          <w:rFonts w:hint="eastAsia" w:ascii="宋体" w:hAnsi="宋体" w:eastAsia="宋体" w:cs="宋体"/>
          <w:bCs/>
          <w:szCs w:val="24"/>
          <w:highlight w:val="none"/>
        </w:rPr>
        <w:fldChar w:fldCharType="separate"/>
      </w:r>
      <w:r>
        <w:rPr>
          <w:rFonts w:hint="eastAsia" w:ascii="宋体" w:hAnsi="宋体" w:cs="宋体"/>
          <w:highlight w:val="none"/>
        </w:rPr>
        <w:t>3.3 投标有效期</w:t>
      </w:r>
      <w:r>
        <w:tab/>
      </w:r>
      <w:r>
        <w:fldChar w:fldCharType="begin"/>
      </w:r>
      <w:r>
        <w:instrText xml:space="preserve"> PAGEREF _Toc14238 \h </w:instrText>
      </w:r>
      <w:r>
        <w:fldChar w:fldCharType="separate"/>
      </w:r>
      <w:r>
        <w:t>19</w:t>
      </w:r>
      <w:r>
        <w:fldChar w:fldCharType="end"/>
      </w:r>
      <w:r>
        <w:rPr>
          <w:rFonts w:hint="eastAsia" w:ascii="宋体" w:hAnsi="宋体" w:eastAsia="宋体" w:cs="宋体"/>
          <w:bCs/>
          <w:color w:val="auto"/>
          <w:szCs w:val="24"/>
          <w:highlight w:val="none"/>
        </w:rPr>
        <w:fldChar w:fldCharType="end"/>
      </w:r>
    </w:p>
    <w:p w14:paraId="09E59DD4">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_Toc15014 </w:instrText>
      </w:r>
      <w:r>
        <w:rPr>
          <w:rFonts w:hint="eastAsia" w:ascii="宋体" w:hAnsi="宋体" w:eastAsia="宋体" w:cs="宋体"/>
          <w:bCs/>
          <w:szCs w:val="24"/>
          <w:highlight w:val="none"/>
        </w:rPr>
        <w:fldChar w:fldCharType="separate"/>
      </w:r>
      <w:r>
        <w:rPr>
          <w:rFonts w:hint="eastAsia" w:ascii="宋体" w:hAnsi="宋体" w:cs="宋体"/>
          <w:highlight w:val="none"/>
        </w:rPr>
        <w:t>3.4 投标保证金</w:t>
      </w:r>
      <w:r>
        <w:tab/>
      </w:r>
      <w:r>
        <w:fldChar w:fldCharType="begin"/>
      </w:r>
      <w:r>
        <w:instrText xml:space="preserve"> PAGEREF _Toc15014 \h </w:instrText>
      </w:r>
      <w:r>
        <w:fldChar w:fldCharType="separate"/>
      </w:r>
      <w:r>
        <w:t>19</w:t>
      </w:r>
      <w:r>
        <w:fldChar w:fldCharType="end"/>
      </w:r>
      <w:r>
        <w:rPr>
          <w:rFonts w:hint="eastAsia" w:ascii="宋体" w:hAnsi="宋体" w:eastAsia="宋体" w:cs="宋体"/>
          <w:bCs/>
          <w:color w:val="auto"/>
          <w:szCs w:val="24"/>
          <w:highlight w:val="none"/>
        </w:rPr>
        <w:fldChar w:fldCharType="end"/>
      </w:r>
    </w:p>
    <w:p w14:paraId="2F144D7F">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_Toc27699 </w:instrText>
      </w:r>
      <w:r>
        <w:rPr>
          <w:rFonts w:hint="eastAsia" w:ascii="宋体" w:hAnsi="宋体" w:eastAsia="宋体" w:cs="宋体"/>
          <w:bCs/>
          <w:szCs w:val="24"/>
          <w:highlight w:val="none"/>
        </w:rPr>
        <w:fldChar w:fldCharType="separate"/>
      </w:r>
      <w:r>
        <w:rPr>
          <w:rFonts w:hint="eastAsia" w:ascii="宋体" w:hAnsi="宋体" w:cs="宋体"/>
          <w:highlight w:val="none"/>
        </w:rPr>
        <w:t>3.5 资格审查资料（适用于未进行资格预审的）</w:t>
      </w:r>
      <w:r>
        <w:tab/>
      </w:r>
      <w:r>
        <w:fldChar w:fldCharType="begin"/>
      </w:r>
      <w:r>
        <w:instrText xml:space="preserve"> PAGEREF _Toc27699 \h </w:instrText>
      </w:r>
      <w:r>
        <w:fldChar w:fldCharType="separate"/>
      </w:r>
      <w:r>
        <w:t>19</w:t>
      </w:r>
      <w:r>
        <w:fldChar w:fldCharType="end"/>
      </w:r>
      <w:r>
        <w:rPr>
          <w:rFonts w:hint="eastAsia" w:ascii="宋体" w:hAnsi="宋体" w:eastAsia="宋体" w:cs="宋体"/>
          <w:bCs/>
          <w:color w:val="auto"/>
          <w:szCs w:val="24"/>
          <w:highlight w:val="none"/>
        </w:rPr>
        <w:fldChar w:fldCharType="end"/>
      </w:r>
    </w:p>
    <w:p w14:paraId="05C640BE">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_Toc2894 </w:instrText>
      </w:r>
      <w:r>
        <w:rPr>
          <w:rFonts w:hint="eastAsia" w:ascii="宋体" w:hAnsi="宋体" w:eastAsia="宋体" w:cs="宋体"/>
          <w:bCs/>
          <w:szCs w:val="24"/>
          <w:highlight w:val="none"/>
        </w:rPr>
        <w:fldChar w:fldCharType="separate"/>
      </w:r>
      <w:r>
        <w:rPr>
          <w:rFonts w:hint="eastAsia" w:ascii="宋体" w:hAnsi="宋体" w:cs="宋体"/>
          <w:highlight w:val="none"/>
        </w:rPr>
        <w:t>3.6 备选投标方案</w:t>
      </w:r>
      <w:r>
        <w:tab/>
      </w:r>
      <w:r>
        <w:fldChar w:fldCharType="begin"/>
      </w:r>
      <w:r>
        <w:instrText xml:space="preserve"> PAGEREF _Toc2894 \h </w:instrText>
      </w:r>
      <w:r>
        <w:fldChar w:fldCharType="separate"/>
      </w:r>
      <w:r>
        <w:t>19</w:t>
      </w:r>
      <w:r>
        <w:fldChar w:fldCharType="end"/>
      </w:r>
      <w:r>
        <w:rPr>
          <w:rFonts w:hint="eastAsia" w:ascii="宋体" w:hAnsi="宋体" w:eastAsia="宋体" w:cs="宋体"/>
          <w:bCs/>
          <w:color w:val="auto"/>
          <w:szCs w:val="24"/>
          <w:highlight w:val="none"/>
        </w:rPr>
        <w:fldChar w:fldCharType="end"/>
      </w:r>
    </w:p>
    <w:p w14:paraId="6D5A8A31">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_Toc10156 </w:instrText>
      </w:r>
      <w:r>
        <w:rPr>
          <w:rFonts w:hint="eastAsia" w:ascii="宋体" w:hAnsi="宋体" w:eastAsia="宋体" w:cs="宋体"/>
          <w:bCs/>
          <w:szCs w:val="24"/>
          <w:highlight w:val="none"/>
        </w:rPr>
        <w:fldChar w:fldCharType="separate"/>
      </w:r>
      <w:r>
        <w:rPr>
          <w:rFonts w:hint="eastAsia" w:ascii="宋体" w:hAnsi="宋体" w:cs="宋体"/>
          <w:highlight w:val="none"/>
        </w:rPr>
        <w:t>3.7 投标文件的编制</w:t>
      </w:r>
      <w:r>
        <w:tab/>
      </w:r>
      <w:r>
        <w:fldChar w:fldCharType="begin"/>
      </w:r>
      <w:r>
        <w:instrText xml:space="preserve"> PAGEREF _Toc10156 \h </w:instrText>
      </w:r>
      <w:r>
        <w:fldChar w:fldCharType="separate"/>
      </w:r>
      <w:r>
        <w:t>20</w:t>
      </w:r>
      <w:r>
        <w:fldChar w:fldCharType="end"/>
      </w:r>
      <w:r>
        <w:rPr>
          <w:rFonts w:hint="eastAsia" w:ascii="宋体" w:hAnsi="宋体" w:eastAsia="宋体" w:cs="宋体"/>
          <w:bCs/>
          <w:color w:val="auto"/>
          <w:szCs w:val="24"/>
          <w:highlight w:val="none"/>
        </w:rPr>
        <w:fldChar w:fldCharType="end"/>
      </w:r>
    </w:p>
    <w:p w14:paraId="0B7F1183">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_Toc26293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4. 投标</w:t>
      </w:r>
      <w:r>
        <w:tab/>
      </w:r>
      <w:r>
        <w:fldChar w:fldCharType="begin"/>
      </w:r>
      <w:r>
        <w:instrText xml:space="preserve"> PAGEREF _Toc26293 \h </w:instrText>
      </w:r>
      <w:r>
        <w:fldChar w:fldCharType="separate"/>
      </w:r>
      <w:r>
        <w:t>20</w:t>
      </w:r>
      <w:r>
        <w:fldChar w:fldCharType="end"/>
      </w:r>
      <w:r>
        <w:rPr>
          <w:rFonts w:hint="eastAsia" w:ascii="宋体" w:hAnsi="宋体" w:eastAsia="宋体" w:cs="宋体"/>
          <w:bCs/>
          <w:color w:val="auto"/>
          <w:szCs w:val="24"/>
          <w:highlight w:val="none"/>
        </w:rPr>
        <w:fldChar w:fldCharType="end"/>
      </w:r>
    </w:p>
    <w:p w14:paraId="51E626D9">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_Toc10654 </w:instrText>
      </w:r>
      <w:r>
        <w:rPr>
          <w:rFonts w:hint="eastAsia" w:ascii="宋体" w:hAnsi="宋体" w:eastAsia="宋体" w:cs="宋体"/>
          <w:bCs/>
          <w:szCs w:val="24"/>
          <w:highlight w:val="none"/>
        </w:rPr>
        <w:fldChar w:fldCharType="separate"/>
      </w:r>
      <w:r>
        <w:rPr>
          <w:rFonts w:hint="eastAsia" w:ascii="宋体" w:hAnsi="宋体" w:cs="宋体"/>
          <w:highlight w:val="none"/>
        </w:rPr>
        <w:t>4.1 投标文件的密封和标记</w:t>
      </w:r>
      <w:r>
        <w:tab/>
      </w:r>
      <w:r>
        <w:fldChar w:fldCharType="begin"/>
      </w:r>
      <w:r>
        <w:instrText xml:space="preserve"> PAGEREF _Toc10654 \h </w:instrText>
      </w:r>
      <w:r>
        <w:fldChar w:fldCharType="separate"/>
      </w:r>
      <w:r>
        <w:t>20</w:t>
      </w:r>
      <w:r>
        <w:fldChar w:fldCharType="end"/>
      </w:r>
      <w:r>
        <w:rPr>
          <w:rFonts w:hint="eastAsia" w:ascii="宋体" w:hAnsi="宋体" w:eastAsia="宋体" w:cs="宋体"/>
          <w:bCs/>
          <w:color w:val="auto"/>
          <w:szCs w:val="24"/>
          <w:highlight w:val="none"/>
        </w:rPr>
        <w:fldChar w:fldCharType="end"/>
      </w:r>
    </w:p>
    <w:p w14:paraId="767E4437">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_Toc27529 </w:instrText>
      </w:r>
      <w:r>
        <w:rPr>
          <w:rFonts w:hint="eastAsia" w:ascii="宋体" w:hAnsi="宋体" w:eastAsia="宋体" w:cs="宋体"/>
          <w:bCs/>
          <w:szCs w:val="24"/>
          <w:highlight w:val="none"/>
        </w:rPr>
        <w:fldChar w:fldCharType="separate"/>
      </w:r>
      <w:r>
        <w:rPr>
          <w:rFonts w:hint="eastAsia" w:ascii="宋体" w:hAnsi="宋体" w:cs="宋体"/>
          <w:highlight w:val="none"/>
        </w:rPr>
        <w:t>4.2 投标文件的递交</w:t>
      </w:r>
      <w:r>
        <w:tab/>
      </w:r>
      <w:r>
        <w:fldChar w:fldCharType="begin"/>
      </w:r>
      <w:r>
        <w:instrText xml:space="preserve"> PAGEREF _Toc27529 \h </w:instrText>
      </w:r>
      <w:r>
        <w:fldChar w:fldCharType="separate"/>
      </w:r>
      <w:r>
        <w:t>20</w:t>
      </w:r>
      <w:r>
        <w:fldChar w:fldCharType="end"/>
      </w:r>
      <w:r>
        <w:rPr>
          <w:rFonts w:hint="eastAsia" w:ascii="宋体" w:hAnsi="宋体" w:eastAsia="宋体" w:cs="宋体"/>
          <w:bCs/>
          <w:color w:val="auto"/>
          <w:szCs w:val="24"/>
          <w:highlight w:val="none"/>
        </w:rPr>
        <w:fldChar w:fldCharType="end"/>
      </w:r>
    </w:p>
    <w:p w14:paraId="149A3797">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_Toc9668 </w:instrText>
      </w:r>
      <w:r>
        <w:rPr>
          <w:rFonts w:hint="eastAsia" w:ascii="宋体" w:hAnsi="宋体" w:eastAsia="宋体" w:cs="宋体"/>
          <w:bCs/>
          <w:szCs w:val="24"/>
          <w:highlight w:val="none"/>
        </w:rPr>
        <w:fldChar w:fldCharType="separate"/>
      </w:r>
      <w:r>
        <w:rPr>
          <w:rFonts w:hint="eastAsia" w:ascii="宋体" w:hAnsi="宋体" w:cs="宋体"/>
          <w:highlight w:val="none"/>
        </w:rPr>
        <w:t>4.3 投标文件的修改与撤回</w:t>
      </w:r>
      <w:r>
        <w:tab/>
      </w:r>
      <w:r>
        <w:fldChar w:fldCharType="begin"/>
      </w:r>
      <w:r>
        <w:instrText xml:space="preserve"> PAGEREF _Toc9668 \h </w:instrText>
      </w:r>
      <w:r>
        <w:fldChar w:fldCharType="separate"/>
      </w:r>
      <w:r>
        <w:t>20</w:t>
      </w:r>
      <w:r>
        <w:fldChar w:fldCharType="end"/>
      </w:r>
      <w:r>
        <w:rPr>
          <w:rFonts w:hint="eastAsia" w:ascii="宋体" w:hAnsi="宋体" w:eastAsia="宋体" w:cs="宋体"/>
          <w:bCs/>
          <w:color w:val="auto"/>
          <w:szCs w:val="24"/>
          <w:highlight w:val="none"/>
        </w:rPr>
        <w:fldChar w:fldCharType="end"/>
      </w:r>
    </w:p>
    <w:p w14:paraId="2C02276C">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_Toc22355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5. 开标</w:t>
      </w:r>
      <w:r>
        <w:tab/>
      </w:r>
      <w:r>
        <w:fldChar w:fldCharType="begin"/>
      </w:r>
      <w:r>
        <w:instrText xml:space="preserve"> PAGEREF _Toc22355 \h </w:instrText>
      </w:r>
      <w:r>
        <w:fldChar w:fldCharType="separate"/>
      </w:r>
      <w:r>
        <w:t>21</w:t>
      </w:r>
      <w:r>
        <w:fldChar w:fldCharType="end"/>
      </w:r>
      <w:r>
        <w:rPr>
          <w:rFonts w:hint="eastAsia" w:ascii="宋体" w:hAnsi="宋体" w:eastAsia="宋体" w:cs="宋体"/>
          <w:bCs/>
          <w:color w:val="auto"/>
          <w:szCs w:val="24"/>
          <w:highlight w:val="none"/>
        </w:rPr>
        <w:fldChar w:fldCharType="end"/>
      </w:r>
    </w:p>
    <w:p w14:paraId="1380268F">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_Toc16724 </w:instrText>
      </w:r>
      <w:r>
        <w:rPr>
          <w:rFonts w:hint="eastAsia" w:ascii="宋体" w:hAnsi="宋体" w:eastAsia="宋体" w:cs="宋体"/>
          <w:bCs/>
          <w:szCs w:val="24"/>
          <w:highlight w:val="none"/>
        </w:rPr>
        <w:fldChar w:fldCharType="separate"/>
      </w:r>
      <w:r>
        <w:rPr>
          <w:rFonts w:hint="eastAsia" w:ascii="宋体" w:hAnsi="宋体" w:cs="宋体"/>
          <w:highlight w:val="none"/>
        </w:rPr>
        <w:t>5.1 开标时间和地点</w:t>
      </w:r>
      <w:r>
        <w:tab/>
      </w:r>
      <w:r>
        <w:fldChar w:fldCharType="begin"/>
      </w:r>
      <w:r>
        <w:instrText xml:space="preserve"> PAGEREF _Toc16724 \h </w:instrText>
      </w:r>
      <w:r>
        <w:fldChar w:fldCharType="separate"/>
      </w:r>
      <w:r>
        <w:t>21</w:t>
      </w:r>
      <w:r>
        <w:fldChar w:fldCharType="end"/>
      </w:r>
      <w:r>
        <w:rPr>
          <w:rFonts w:hint="eastAsia" w:ascii="宋体" w:hAnsi="宋体" w:eastAsia="宋体" w:cs="宋体"/>
          <w:bCs/>
          <w:color w:val="auto"/>
          <w:szCs w:val="24"/>
          <w:highlight w:val="none"/>
        </w:rPr>
        <w:fldChar w:fldCharType="end"/>
      </w:r>
    </w:p>
    <w:p w14:paraId="2309219F">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_Toc26874 </w:instrText>
      </w:r>
      <w:r>
        <w:rPr>
          <w:rFonts w:hint="eastAsia" w:ascii="宋体" w:hAnsi="宋体" w:eastAsia="宋体" w:cs="宋体"/>
          <w:bCs/>
          <w:szCs w:val="24"/>
          <w:highlight w:val="none"/>
        </w:rPr>
        <w:fldChar w:fldCharType="separate"/>
      </w:r>
      <w:r>
        <w:rPr>
          <w:rFonts w:hint="eastAsia" w:ascii="宋体" w:hAnsi="宋体" w:cs="宋体"/>
          <w:highlight w:val="none"/>
        </w:rPr>
        <w:t>5.2 开标程序</w:t>
      </w:r>
      <w:r>
        <w:tab/>
      </w:r>
      <w:r>
        <w:fldChar w:fldCharType="begin"/>
      </w:r>
      <w:r>
        <w:instrText xml:space="preserve"> PAGEREF _Toc26874 \h </w:instrText>
      </w:r>
      <w:r>
        <w:fldChar w:fldCharType="separate"/>
      </w:r>
      <w:r>
        <w:t>21</w:t>
      </w:r>
      <w:r>
        <w:fldChar w:fldCharType="end"/>
      </w:r>
      <w:r>
        <w:rPr>
          <w:rFonts w:hint="eastAsia" w:ascii="宋体" w:hAnsi="宋体" w:eastAsia="宋体" w:cs="宋体"/>
          <w:bCs/>
          <w:color w:val="auto"/>
          <w:szCs w:val="24"/>
          <w:highlight w:val="none"/>
        </w:rPr>
        <w:fldChar w:fldCharType="end"/>
      </w:r>
    </w:p>
    <w:p w14:paraId="22C751C1">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_Toc23544 </w:instrText>
      </w:r>
      <w:r>
        <w:rPr>
          <w:rFonts w:hint="eastAsia" w:ascii="宋体" w:hAnsi="宋体" w:eastAsia="宋体" w:cs="宋体"/>
          <w:bCs/>
          <w:szCs w:val="24"/>
          <w:highlight w:val="none"/>
        </w:rPr>
        <w:fldChar w:fldCharType="separate"/>
      </w:r>
      <w:r>
        <w:rPr>
          <w:rFonts w:hint="eastAsia" w:ascii="宋体" w:hAnsi="宋体" w:cs="宋体"/>
          <w:highlight w:val="none"/>
        </w:rPr>
        <w:t>5.3 开标异议</w:t>
      </w:r>
      <w:r>
        <w:tab/>
      </w:r>
      <w:r>
        <w:fldChar w:fldCharType="begin"/>
      </w:r>
      <w:r>
        <w:instrText xml:space="preserve"> PAGEREF _Toc23544 \h </w:instrText>
      </w:r>
      <w:r>
        <w:fldChar w:fldCharType="separate"/>
      </w:r>
      <w:r>
        <w:t>21</w:t>
      </w:r>
      <w:r>
        <w:fldChar w:fldCharType="end"/>
      </w:r>
      <w:r>
        <w:rPr>
          <w:rFonts w:hint="eastAsia" w:ascii="宋体" w:hAnsi="宋体" w:eastAsia="宋体" w:cs="宋体"/>
          <w:bCs/>
          <w:color w:val="auto"/>
          <w:szCs w:val="24"/>
          <w:highlight w:val="none"/>
        </w:rPr>
        <w:fldChar w:fldCharType="end"/>
      </w:r>
    </w:p>
    <w:p w14:paraId="4B09C28D">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_Toc13401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6. 评标</w:t>
      </w:r>
      <w:r>
        <w:tab/>
      </w:r>
      <w:r>
        <w:fldChar w:fldCharType="begin"/>
      </w:r>
      <w:r>
        <w:instrText xml:space="preserve"> PAGEREF _Toc13401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6A78F49E">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_Toc2455 </w:instrText>
      </w:r>
      <w:r>
        <w:rPr>
          <w:rFonts w:hint="eastAsia" w:ascii="宋体" w:hAnsi="宋体" w:eastAsia="宋体" w:cs="宋体"/>
          <w:bCs/>
          <w:szCs w:val="24"/>
          <w:highlight w:val="none"/>
        </w:rPr>
        <w:fldChar w:fldCharType="separate"/>
      </w:r>
      <w:r>
        <w:rPr>
          <w:rFonts w:hint="eastAsia" w:ascii="宋体" w:hAnsi="宋体" w:cs="宋体"/>
          <w:highlight w:val="none"/>
        </w:rPr>
        <w:t>6.1 评标委员会</w:t>
      </w:r>
      <w:r>
        <w:tab/>
      </w:r>
      <w:r>
        <w:fldChar w:fldCharType="begin"/>
      </w:r>
      <w:r>
        <w:instrText xml:space="preserve"> PAGEREF _Toc2455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3D023352">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_Toc22374 </w:instrText>
      </w:r>
      <w:r>
        <w:rPr>
          <w:rFonts w:hint="eastAsia" w:ascii="宋体" w:hAnsi="宋体" w:eastAsia="宋体" w:cs="宋体"/>
          <w:bCs/>
          <w:szCs w:val="24"/>
          <w:highlight w:val="none"/>
        </w:rPr>
        <w:fldChar w:fldCharType="separate"/>
      </w:r>
      <w:r>
        <w:rPr>
          <w:rFonts w:hint="eastAsia" w:ascii="宋体" w:hAnsi="宋体" w:cs="宋体"/>
          <w:highlight w:val="none"/>
        </w:rPr>
        <w:t>6.2 评标原则</w:t>
      </w:r>
      <w:r>
        <w:tab/>
      </w:r>
      <w:r>
        <w:fldChar w:fldCharType="begin"/>
      </w:r>
      <w:r>
        <w:instrText xml:space="preserve"> PAGEREF _Toc22374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5813E24A">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_Toc2895 </w:instrText>
      </w:r>
      <w:r>
        <w:rPr>
          <w:rFonts w:hint="eastAsia" w:ascii="宋体" w:hAnsi="宋体" w:eastAsia="宋体" w:cs="宋体"/>
          <w:bCs/>
          <w:szCs w:val="24"/>
          <w:highlight w:val="none"/>
        </w:rPr>
        <w:fldChar w:fldCharType="separate"/>
      </w:r>
      <w:r>
        <w:rPr>
          <w:rFonts w:hint="eastAsia" w:ascii="宋体" w:hAnsi="宋体" w:cs="宋体"/>
          <w:highlight w:val="none"/>
        </w:rPr>
        <w:t>6.3 评标</w:t>
      </w:r>
      <w:r>
        <w:tab/>
      </w:r>
      <w:r>
        <w:fldChar w:fldCharType="begin"/>
      </w:r>
      <w:r>
        <w:instrText xml:space="preserve"> PAGEREF _Toc2895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6ED50CA5">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_Toc17859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7. 合同授予</w:t>
      </w:r>
      <w:r>
        <w:tab/>
      </w:r>
      <w:r>
        <w:fldChar w:fldCharType="begin"/>
      </w:r>
      <w:r>
        <w:instrText xml:space="preserve"> PAGEREF _Toc17859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7EBE9DBA">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_Toc18765 </w:instrText>
      </w:r>
      <w:r>
        <w:rPr>
          <w:rFonts w:hint="eastAsia" w:ascii="宋体" w:hAnsi="宋体" w:eastAsia="宋体" w:cs="宋体"/>
          <w:bCs/>
          <w:szCs w:val="24"/>
          <w:highlight w:val="none"/>
        </w:rPr>
        <w:fldChar w:fldCharType="separate"/>
      </w:r>
      <w:r>
        <w:rPr>
          <w:rFonts w:hint="eastAsia" w:ascii="宋体" w:hAnsi="宋体" w:cs="宋体"/>
          <w:highlight w:val="none"/>
        </w:rPr>
        <w:t>7.1 中标候选人公示</w:t>
      </w:r>
      <w:r>
        <w:tab/>
      </w:r>
      <w:r>
        <w:fldChar w:fldCharType="begin"/>
      </w:r>
      <w:r>
        <w:instrText xml:space="preserve"> PAGEREF _Toc18765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2888F447">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_Toc17841 </w:instrText>
      </w:r>
      <w:r>
        <w:rPr>
          <w:rFonts w:hint="eastAsia" w:ascii="宋体" w:hAnsi="宋体" w:eastAsia="宋体" w:cs="宋体"/>
          <w:bCs/>
          <w:szCs w:val="24"/>
          <w:highlight w:val="none"/>
        </w:rPr>
        <w:fldChar w:fldCharType="separate"/>
      </w:r>
      <w:r>
        <w:rPr>
          <w:rFonts w:hint="eastAsia" w:ascii="宋体" w:hAnsi="宋体" w:cs="宋体"/>
          <w:highlight w:val="none"/>
        </w:rPr>
        <w:t>7.2 评标结果异议</w:t>
      </w:r>
      <w:r>
        <w:tab/>
      </w:r>
      <w:r>
        <w:fldChar w:fldCharType="begin"/>
      </w:r>
      <w:r>
        <w:instrText xml:space="preserve"> PAGEREF _Toc17841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1D522D6F">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_Toc7275 </w:instrText>
      </w:r>
      <w:r>
        <w:rPr>
          <w:rFonts w:hint="eastAsia" w:ascii="宋体" w:hAnsi="宋体" w:eastAsia="宋体" w:cs="宋体"/>
          <w:bCs/>
          <w:szCs w:val="24"/>
          <w:highlight w:val="none"/>
        </w:rPr>
        <w:fldChar w:fldCharType="separate"/>
      </w:r>
      <w:r>
        <w:rPr>
          <w:rFonts w:hint="eastAsia" w:ascii="宋体" w:hAnsi="宋体" w:cs="宋体"/>
          <w:highlight w:val="none"/>
        </w:rPr>
        <w:t>7.3 中标候选人履约能力审查</w:t>
      </w:r>
      <w:r>
        <w:tab/>
      </w:r>
      <w:r>
        <w:fldChar w:fldCharType="begin"/>
      </w:r>
      <w:r>
        <w:instrText xml:space="preserve"> PAGEREF _Toc7275 \h </w:instrText>
      </w:r>
      <w:r>
        <w:fldChar w:fldCharType="separate"/>
      </w:r>
      <w:r>
        <w:t>22</w:t>
      </w:r>
      <w:r>
        <w:fldChar w:fldCharType="end"/>
      </w:r>
      <w:r>
        <w:rPr>
          <w:rFonts w:hint="eastAsia" w:ascii="宋体" w:hAnsi="宋体" w:eastAsia="宋体" w:cs="宋体"/>
          <w:bCs/>
          <w:color w:val="auto"/>
          <w:szCs w:val="24"/>
          <w:highlight w:val="none"/>
        </w:rPr>
        <w:fldChar w:fldCharType="end"/>
      </w:r>
    </w:p>
    <w:p w14:paraId="3996C1E3">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_Toc20924 </w:instrText>
      </w:r>
      <w:r>
        <w:rPr>
          <w:rFonts w:hint="eastAsia" w:ascii="宋体" w:hAnsi="宋体" w:eastAsia="宋体" w:cs="宋体"/>
          <w:bCs/>
          <w:szCs w:val="24"/>
          <w:highlight w:val="none"/>
        </w:rPr>
        <w:fldChar w:fldCharType="separate"/>
      </w:r>
      <w:r>
        <w:rPr>
          <w:rFonts w:hint="eastAsia" w:ascii="宋体" w:hAnsi="宋体" w:cs="宋体"/>
          <w:highlight w:val="none"/>
        </w:rPr>
        <w:t>7.4 定标</w:t>
      </w:r>
      <w:r>
        <w:tab/>
      </w:r>
      <w:r>
        <w:fldChar w:fldCharType="begin"/>
      </w:r>
      <w:r>
        <w:instrText xml:space="preserve"> PAGEREF _Toc20924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486270C5">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_Toc28092 </w:instrText>
      </w:r>
      <w:r>
        <w:rPr>
          <w:rFonts w:hint="eastAsia" w:ascii="宋体" w:hAnsi="宋体" w:eastAsia="宋体" w:cs="宋体"/>
          <w:bCs/>
          <w:szCs w:val="24"/>
          <w:highlight w:val="none"/>
        </w:rPr>
        <w:fldChar w:fldCharType="separate"/>
      </w:r>
      <w:r>
        <w:rPr>
          <w:rFonts w:hint="eastAsia" w:ascii="宋体" w:hAnsi="宋体" w:cs="宋体"/>
          <w:highlight w:val="none"/>
        </w:rPr>
        <w:t>7.5 中标通知</w:t>
      </w:r>
      <w:r>
        <w:tab/>
      </w:r>
      <w:r>
        <w:fldChar w:fldCharType="begin"/>
      </w:r>
      <w:r>
        <w:instrText xml:space="preserve"> PAGEREF _Toc28092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57D92F93">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_Toc27798 </w:instrText>
      </w:r>
      <w:r>
        <w:rPr>
          <w:rFonts w:hint="eastAsia" w:ascii="宋体" w:hAnsi="宋体" w:eastAsia="宋体" w:cs="宋体"/>
          <w:bCs/>
          <w:szCs w:val="24"/>
          <w:highlight w:val="none"/>
        </w:rPr>
        <w:fldChar w:fldCharType="separate"/>
      </w:r>
      <w:r>
        <w:rPr>
          <w:rFonts w:hint="eastAsia" w:ascii="宋体" w:hAnsi="宋体" w:cs="宋体"/>
          <w:highlight w:val="none"/>
        </w:rPr>
        <w:t>7.6 履约保证金</w:t>
      </w:r>
      <w:r>
        <w:tab/>
      </w:r>
      <w:r>
        <w:fldChar w:fldCharType="begin"/>
      </w:r>
      <w:r>
        <w:instrText xml:space="preserve"> PAGEREF _Toc27798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2020BE0B">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_Toc9065 </w:instrText>
      </w:r>
      <w:r>
        <w:rPr>
          <w:rFonts w:hint="eastAsia" w:ascii="宋体" w:hAnsi="宋体" w:eastAsia="宋体" w:cs="宋体"/>
          <w:bCs/>
          <w:szCs w:val="24"/>
          <w:highlight w:val="none"/>
        </w:rPr>
        <w:fldChar w:fldCharType="separate"/>
      </w:r>
      <w:r>
        <w:rPr>
          <w:rFonts w:hint="eastAsia" w:ascii="宋体" w:hAnsi="宋体" w:cs="宋体"/>
          <w:highlight w:val="none"/>
        </w:rPr>
        <w:t>7.7 签订合同</w:t>
      </w:r>
      <w:r>
        <w:tab/>
      </w:r>
      <w:r>
        <w:fldChar w:fldCharType="begin"/>
      </w:r>
      <w:r>
        <w:instrText xml:space="preserve"> PAGEREF _Toc9065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0609AA9C">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_Toc8443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8.纪律和监督</w:t>
      </w:r>
      <w:r>
        <w:tab/>
      </w:r>
      <w:r>
        <w:fldChar w:fldCharType="begin"/>
      </w:r>
      <w:r>
        <w:instrText xml:space="preserve"> PAGEREF _Toc8443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63C4DFD8">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_Toc19858 </w:instrText>
      </w:r>
      <w:r>
        <w:rPr>
          <w:rFonts w:hint="eastAsia" w:ascii="宋体" w:hAnsi="宋体" w:eastAsia="宋体" w:cs="宋体"/>
          <w:bCs/>
          <w:szCs w:val="24"/>
          <w:highlight w:val="none"/>
        </w:rPr>
        <w:fldChar w:fldCharType="separate"/>
      </w:r>
      <w:r>
        <w:rPr>
          <w:rFonts w:hint="eastAsia" w:ascii="宋体" w:hAnsi="宋体" w:cs="宋体"/>
          <w:highlight w:val="none"/>
        </w:rPr>
        <w:t>8.1 对招标人的纪律要求</w:t>
      </w:r>
      <w:r>
        <w:tab/>
      </w:r>
      <w:r>
        <w:fldChar w:fldCharType="begin"/>
      </w:r>
      <w:r>
        <w:instrText xml:space="preserve"> PAGEREF _Toc19858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40B84E75">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_Toc30107 </w:instrText>
      </w:r>
      <w:r>
        <w:rPr>
          <w:rFonts w:hint="eastAsia" w:ascii="宋体" w:hAnsi="宋体" w:eastAsia="宋体" w:cs="宋体"/>
          <w:bCs/>
          <w:szCs w:val="24"/>
          <w:highlight w:val="none"/>
        </w:rPr>
        <w:fldChar w:fldCharType="separate"/>
      </w:r>
      <w:r>
        <w:rPr>
          <w:rFonts w:hint="eastAsia" w:ascii="宋体" w:hAnsi="宋体" w:cs="宋体"/>
          <w:highlight w:val="none"/>
        </w:rPr>
        <w:t>8.2 对投标人的纪律要求</w:t>
      </w:r>
      <w:r>
        <w:tab/>
      </w:r>
      <w:r>
        <w:fldChar w:fldCharType="begin"/>
      </w:r>
      <w:r>
        <w:instrText xml:space="preserve"> PAGEREF _Toc30107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5021744A">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_Toc23305 </w:instrText>
      </w:r>
      <w:r>
        <w:rPr>
          <w:rFonts w:hint="eastAsia" w:ascii="宋体" w:hAnsi="宋体" w:eastAsia="宋体" w:cs="宋体"/>
          <w:bCs/>
          <w:szCs w:val="24"/>
          <w:highlight w:val="none"/>
        </w:rPr>
        <w:fldChar w:fldCharType="separate"/>
      </w:r>
      <w:r>
        <w:rPr>
          <w:rFonts w:hint="eastAsia" w:ascii="宋体" w:hAnsi="宋体" w:cs="宋体"/>
          <w:highlight w:val="none"/>
        </w:rPr>
        <w:t>8.3 对评标委员会成员的纪律要求</w:t>
      </w:r>
      <w:r>
        <w:tab/>
      </w:r>
      <w:r>
        <w:fldChar w:fldCharType="begin"/>
      </w:r>
      <w:r>
        <w:instrText xml:space="preserve"> PAGEREF _Toc23305 \h </w:instrText>
      </w:r>
      <w:r>
        <w:fldChar w:fldCharType="separate"/>
      </w:r>
      <w:r>
        <w:t>23</w:t>
      </w:r>
      <w:r>
        <w:fldChar w:fldCharType="end"/>
      </w:r>
      <w:r>
        <w:rPr>
          <w:rFonts w:hint="eastAsia" w:ascii="宋体" w:hAnsi="宋体" w:eastAsia="宋体" w:cs="宋体"/>
          <w:bCs/>
          <w:color w:val="auto"/>
          <w:szCs w:val="24"/>
          <w:highlight w:val="none"/>
        </w:rPr>
        <w:fldChar w:fldCharType="end"/>
      </w:r>
    </w:p>
    <w:p w14:paraId="5FDE9AAC">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_Toc7506 </w:instrText>
      </w:r>
      <w:r>
        <w:rPr>
          <w:rFonts w:hint="eastAsia" w:ascii="宋体" w:hAnsi="宋体" w:eastAsia="宋体" w:cs="宋体"/>
          <w:bCs/>
          <w:szCs w:val="24"/>
          <w:highlight w:val="none"/>
        </w:rPr>
        <w:fldChar w:fldCharType="separate"/>
      </w:r>
      <w:r>
        <w:rPr>
          <w:rFonts w:hint="eastAsia" w:ascii="宋体" w:hAnsi="宋体" w:cs="宋体"/>
          <w:highlight w:val="none"/>
        </w:rPr>
        <w:t>8.4 对与评标活动有关的工作人员的纪律要求</w:t>
      </w:r>
      <w:r>
        <w:tab/>
      </w:r>
      <w:r>
        <w:fldChar w:fldCharType="begin"/>
      </w:r>
      <w:r>
        <w:instrText xml:space="preserve"> PAGEREF _Toc7506 \h </w:instrText>
      </w:r>
      <w:r>
        <w:fldChar w:fldCharType="separate"/>
      </w:r>
      <w:r>
        <w:t>24</w:t>
      </w:r>
      <w:r>
        <w:fldChar w:fldCharType="end"/>
      </w:r>
      <w:r>
        <w:rPr>
          <w:rFonts w:hint="eastAsia" w:ascii="宋体" w:hAnsi="宋体" w:eastAsia="宋体" w:cs="宋体"/>
          <w:bCs/>
          <w:color w:val="auto"/>
          <w:szCs w:val="24"/>
          <w:highlight w:val="none"/>
        </w:rPr>
        <w:fldChar w:fldCharType="end"/>
      </w:r>
    </w:p>
    <w:p w14:paraId="488C3FAF">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_Toc7464 </w:instrText>
      </w:r>
      <w:r>
        <w:rPr>
          <w:rFonts w:hint="eastAsia" w:ascii="宋体" w:hAnsi="宋体" w:eastAsia="宋体" w:cs="宋体"/>
          <w:bCs/>
          <w:szCs w:val="24"/>
          <w:highlight w:val="none"/>
        </w:rPr>
        <w:fldChar w:fldCharType="separate"/>
      </w:r>
      <w:r>
        <w:rPr>
          <w:rFonts w:hint="eastAsia" w:ascii="宋体" w:hAnsi="宋体" w:cs="宋体"/>
          <w:highlight w:val="none"/>
        </w:rPr>
        <w:t>8.5 投诉</w:t>
      </w:r>
      <w:r>
        <w:tab/>
      </w:r>
      <w:r>
        <w:fldChar w:fldCharType="begin"/>
      </w:r>
      <w:r>
        <w:instrText xml:space="preserve"> PAGEREF _Toc7464 \h </w:instrText>
      </w:r>
      <w:r>
        <w:fldChar w:fldCharType="separate"/>
      </w:r>
      <w:r>
        <w:t>24</w:t>
      </w:r>
      <w:r>
        <w:fldChar w:fldCharType="end"/>
      </w:r>
      <w:r>
        <w:rPr>
          <w:rFonts w:hint="eastAsia" w:ascii="宋体" w:hAnsi="宋体" w:eastAsia="宋体" w:cs="宋体"/>
          <w:bCs/>
          <w:color w:val="auto"/>
          <w:szCs w:val="24"/>
          <w:highlight w:val="none"/>
        </w:rPr>
        <w:fldChar w:fldCharType="end"/>
      </w:r>
    </w:p>
    <w:p w14:paraId="4600372F">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_Toc11843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9. 是否采用电子招标投标</w:t>
      </w:r>
      <w:r>
        <w:tab/>
      </w:r>
      <w:r>
        <w:fldChar w:fldCharType="begin"/>
      </w:r>
      <w:r>
        <w:instrText xml:space="preserve"> PAGEREF _Toc11843 \h </w:instrText>
      </w:r>
      <w:r>
        <w:fldChar w:fldCharType="separate"/>
      </w:r>
      <w:r>
        <w:t>24</w:t>
      </w:r>
      <w:r>
        <w:fldChar w:fldCharType="end"/>
      </w:r>
      <w:r>
        <w:rPr>
          <w:rFonts w:hint="eastAsia" w:ascii="宋体" w:hAnsi="宋体" w:eastAsia="宋体" w:cs="宋体"/>
          <w:bCs/>
          <w:color w:val="auto"/>
          <w:szCs w:val="24"/>
          <w:highlight w:val="none"/>
        </w:rPr>
        <w:fldChar w:fldCharType="end"/>
      </w:r>
    </w:p>
    <w:p w14:paraId="0217773A">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_Toc23311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10. 需要补充的其他内容</w:t>
      </w:r>
      <w:r>
        <w:tab/>
      </w:r>
      <w:r>
        <w:fldChar w:fldCharType="begin"/>
      </w:r>
      <w:r>
        <w:instrText xml:space="preserve"> PAGEREF _Toc23311 \h </w:instrText>
      </w:r>
      <w:r>
        <w:fldChar w:fldCharType="separate"/>
      </w:r>
      <w:r>
        <w:t>24</w:t>
      </w:r>
      <w:r>
        <w:fldChar w:fldCharType="end"/>
      </w:r>
      <w:r>
        <w:rPr>
          <w:rFonts w:hint="eastAsia" w:ascii="宋体" w:hAnsi="宋体" w:eastAsia="宋体" w:cs="宋体"/>
          <w:bCs/>
          <w:color w:val="auto"/>
          <w:szCs w:val="24"/>
          <w:highlight w:val="none"/>
        </w:rPr>
        <w:fldChar w:fldCharType="end"/>
      </w:r>
    </w:p>
    <w:p w14:paraId="2F4BFEB5">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_Toc16004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第三章  评标办法（综合评估法）</w:t>
      </w:r>
      <w:r>
        <w:tab/>
      </w:r>
      <w:r>
        <w:fldChar w:fldCharType="begin"/>
      </w:r>
      <w:r>
        <w:instrText xml:space="preserve"> PAGEREF _Toc16004 \h </w:instrText>
      </w:r>
      <w:r>
        <w:fldChar w:fldCharType="separate"/>
      </w:r>
      <w:r>
        <w:t>27</w:t>
      </w:r>
      <w:r>
        <w:fldChar w:fldCharType="end"/>
      </w:r>
      <w:r>
        <w:rPr>
          <w:rFonts w:hint="eastAsia" w:ascii="宋体" w:hAnsi="宋体" w:eastAsia="宋体" w:cs="宋体"/>
          <w:bCs/>
          <w:color w:val="auto"/>
          <w:szCs w:val="24"/>
          <w:highlight w:val="none"/>
        </w:rPr>
        <w:fldChar w:fldCharType="end"/>
      </w:r>
    </w:p>
    <w:p w14:paraId="66152828">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_Toc30727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评标办法前附表</w:t>
      </w:r>
      <w:r>
        <w:tab/>
      </w:r>
      <w:r>
        <w:fldChar w:fldCharType="begin"/>
      </w:r>
      <w:r>
        <w:instrText xml:space="preserve"> PAGEREF _Toc30727 \h </w:instrText>
      </w:r>
      <w:r>
        <w:fldChar w:fldCharType="separate"/>
      </w:r>
      <w:r>
        <w:t>27</w:t>
      </w:r>
      <w:r>
        <w:fldChar w:fldCharType="end"/>
      </w:r>
      <w:r>
        <w:rPr>
          <w:rFonts w:hint="eastAsia" w:ascii="宋体" w:hAnsi="宋体" w:eastAsia="宋体" w:cs="宋体"/>
          <w:bCs/>
          <w:color w:val="auto"/>
          <w:szCs w:val="24"/>
          <w:highlight w:val="none"/>
        </w:rPr>
        <w:fldChar w:fldCharType="end"/>
      </w:r>
    </w:p>
    <w:p w14:paraId="25905538">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_Toc31621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1. 评标方法</w:t>
      </w:r>
      <w:r>
        <w:tab/>
      </w:r>
      <w:r>
        <w:fldChar w:fldCharType="begin"/>
      </w:r>
      <w:r>
        <w:instrText xml:space="preserve"> PAGEREF _Toc31621 \h </w:instrText>
      </w:r>
      <w:r>
        <w:fldChar w:fldCharType="separate"/>
      </w:r>
      <w:r>
        <w:t>35</w:t>
      </w:r>
      <w:r>
        <w:fldChar w:fldCharType="end"/>
      </w:r>
      <w:r>
        <w:rPr>
          <w:rFonts w:hint="eastAsia" w:ascii="宋体" w:hAnsi="宋体" w:eastAsia="宋体" w:cs="宋体"/>
          <w:bCs/>
          <w:color w:val="auto"/>
          <w:szCs w:val="24"/>
          <w:highlight w:val="none"/>
        </w:rPr>
        <w:fldChar w:fldCharType="end"/>
      </w:r>
    </w:p>
    <w:p w14:paraId="0CDEC497">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_Toc3561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2. 评审标准</w:t>
      </w:r>
      <w:r>
        <w:tab/>
      </w:r>
      <w:r>
        <w:fldChar w:fldCharType="begin"/>
      </w:r>
      <w:r>
        <w:instrText xml:space="preserve"> PAGEREF _Toc3561 \h </w:instrText>
      </w:r>
      <w:r>
        <w:fldChar w:fldCharType="separate"/>
      </w:r>
      <w:r>
        <w:t>35</w:t>
      </w:r>
      <w:r>
        <w:fldChar w:fldCharType="end"/>
      </w:r>
      <w:r>
        <w:rPr>
          <w:rFonts w:hint="eastAsia" w:ascii="宋体" w:hAnsi="宋体" w:eastAsia="宋体" w:cs="宋体"/>
          <w:bCs/>
          <w:color w:val="auto"/>
          <w:szCs w:val="24"/>
          <w:highlight w:val="none"/>
        </w:rPr>
        <w:fldChar w:fldCharType="end"/>
      </w:r>
    </w:p>
    <w:p w14:paraId="7B0DE945">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_Toc14680 </w:instrText>
      </w:r>
      <w:r>
        <w:rPr>
          <w:rFonts w:hint="eastAsia" w:ascii="宋体" w:hAnsi="宋体" w:eastAsia="宋体" w:cs="宋体"/>
          <w:bCs/>
          <w:szCs w:val="24"/>
          <w:highlight w:val="none"/>
        </w:rPr>
        <w:fldChar w:fldCharType="separate"/>
      </w:r>
      <w:r>
        <w:rPr>
          <w:rFonts w:hint="eastAsia" w:ascii="宋体" w:hAnsi="宋体" w:cs="宋体"/>
          <w:highlight w:val="none"/>
        </w:rPr>
        <w:t>2.1 初步评审标准</w:t>
      </w:r>
      <w:r>
        <w:tab/>
      </w:r>
      <w:r>
        <w:fldChar w:fldCharType="begin"/>
      </w:r>
      <w:r>
        <w:instrText xml:space="preserve"> PAGEREF _Toc14680 \h </w:instrText>
      </w:r>
      <w:r>
        <w:fldChar w:fldCharType="separate"/>
      </w:r>
      <w:r>
        <w:t>35</w:t>
      </w:r>
      <w:r>
        <w:fldChar w:fldCharType="end"/>
      </w:r>
      <w:r>
        <w:rPr>
          <w:rFonts w:hint="eastAsia" w:ascii="宋体" w:hAnsi="宋体" w:eastAsia="宋体" w:cs="宋体"/>
          <w:bCs/>
          <w:color w:val="auto"/>
          <w:szCs w:val="24"/>
          <w:highlight w:val="none"/>
        </w:rPr>
        <w:fldChar w:fldCharType="end"/>
      </w:r>
    </w:p>
    <w:p w14:paraId="027DE53F">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_Toc9132 </w:instrText>
      </w:r>
      <w:r>
        <w:rPr>
          <w:rFonts w:hint="eastAsia" w:ascii="宋体" w:hAnsi="宋体" w:eastAsia="宋体" w:cs="宋体"/>
          <w:bCs/>
          <w:szCs w:val="24"/>
          <w:highlight w:val="none"/>
        </w:rPr>
        <w:fldChar w:fldCharType="separate"/>
      </w:r>
      <w:r>
        <w:rPr>
          <w:rFonts w:hint="eastAsia" w:ascii="宋体" w:hAnsi="宋体" w:cs="宋体"/>
          <w:highlight w:val="none"/>
        </w:rPr>
        <w:t>2.2 分值构成与评分标准</w:t>
      </w:r>
      <w:r>
        <w:tab/>
      </w:r>
      <w:r>
        <w:fldChar w:fldCharType="begin"/>
      </w:r>
      <w:r>
        <w:instrText xml:space="preserve"> PAGEREF _Toc9132 \h </w:instrText>
      </w:r>
      <w:r>
        <w:fldChar w:fldCharType="separate"/>
      </w:r>
      <w:r>
        <w:t>35</w:t>
      </w:r>
      <w:r>
        <w:fldChar w:fldCharType="end"/>
      </w:r>
      <w:r>
        <w:rPr>
          <w:rFonts w:hint="eastAsia" w:ascii="宋体" w:hAnsi="宋体" w:eastAsia="宋体" w:cs="宋体"/>
          <w:bCs/>
          <w:color w:val="auto"/>
          <w:szCs w:val="24"/>
          <w:highlight w:val="none"/>
        </w:rPr>
        <w:fldChar w:fldCharType="end"/>
      </w:r>
    </w:p>
    <w:p w14:paraId="275E4CAF">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_Toc8573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3. 评标程序</w:t>
      </w:r>
      <w:r>
        <w:tab/>
      </w:r>
      <w:r>
        <w:fldChar w:fldCharType="begin"/>
      </w:r>
      <w:r>
        <w:instrText xml:space="preserve"> PAGEREF _Toc8573 \h </w:instrText>
      </w:r>
      <w:r>
        <w:fldChar w:fldCharType="separate"/>
      </w:r>
      <w:r>
        <w:t>35</w:t>
      </w:r>
      <w:r>
        <w:fldChar w:fldCharType="end"/>
      </w:r>
      <w:r>
        <w:rPr>
          <w:rFonts w:hint="eastAsia" w:ascii="宋体" w:hAnsi="宋体" w:eastAsia="宋体" w:cs="宋体"/>
          <w:bCs/>
          <w:color w:val="auto"/>
          <w:szCs w:val="24"/>
          <w:highlight w:val="none"/>
        </w:rPr>
        <w:fldChar w:fldCharType="end"/>
      </w:r>
    </w:p>
    <w:p w14:paraId="43FCA62C">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_Toc10641 </w:instrText>
      </w:r>
      <w:r>
        <w:rPr>
          <w:rFonts w:hint="eastAsia" w:ascii="宋体" w:hAnsi="宋体" w:eastAsia="宋体" w:cs="宋体"/>
          <w:bCs/>
          <w:szCs w:val="24"/>
          <w:highlight w:val="none"/>
        </w:rPr>
        <w:fldChar w:fldCharType="separate"/>
      </w:r>
      <w:r>
        <w:rPr>
          <w:rFonts w:hint="eastAsia" w:ascii="宋体" w:hAnsi="宋体" w:cs="宋体"/>
          <w:highlight w:val="none"/>
        </w:rPr>
        <w:t>3.1 初步评审</w:t>
      </w:r>
      <w:r>
        <w:tab/>
      </w:r>
      <w:r>
        <w:fldChar w:fldCharType="begin"/>
      </w:r>
      <w:r>
        <w:instrText xml:space="preserve"> PAGEREF _Toc10641 \h </w:instrText>
      </w:r>
      <w:r>
        <w:fldChar w:fldCharType="separate"/>
      </w:r>
      <w:r>
        <w:t>35</w:t>
      </w:r>
      <w:r>
        <w:fldChar w:fldCharType="end"/>
      </w:r>
      <w:r>
        <w:rPr>
          <w:rFonts w:hint="eastAsia" w:ascii="宋体" w:hAnsi="宋体" w:eastAsia="宋体" w:cs="宋体"/>
          <w:bCs/>
          <w:color w:val="auto"/>
          <w:szCs w:val="24"/>
          <w:highlight w:val="none"/>
        </w:rPr>
        <w:fldChar w:fldCharType="end"/>
      </w:r>
    </w:p>
    <w:p w14:paraId="637FBE32">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_Toc9451 </w:instrText>
      </w:r>
      <w:r>
        <w:rPr>
          <w:rFonts w:hint="eastAsia" w:ascii="宋体" w:hAnsi="宋体" w:eastAsia="宋体" w:cs="宋体"/>
          <w:bCs/>
          <w:szCs w:val="24"/>
          <w:highlight w:val="none"/>
        </w:rPr>
        <w:fldChar w:fldCharType="separate"/>
      </w:r>
      <w:r>
        <w:rPr>
          <w:rFonts w:hint="eastAsia" w:ascii="宋体" w:hAnsi="宋体" w:cs="宋体"/>
          <w:highlight w:val="none"/>
        </w:rPr>
        <w:t>3.2 详细评审</w:t>
      </w:r>
      <w:r>
        <w:tab/>
      </w:r>
      <w:r>
        <w:fldChar w:fldCharType="begin"/>
      </w:r>
      <w:r>
        <w:instrText xml:space="preserve"> PAGEREF _Toc9451 \h </w:instrText>
      </w:r>
      <w:r>
        <w:fldChar w:fldCharType="separate"/>
      </w:r>
      <w:r>
        <w:t>36</w:t>
      </w:r>
      <w:r>
        <w:fldChar w:fldCharType="end"/>
      </w:r>
      <w:r>
        <w:rPr>
          <w:rFonts w:hint="eastAsia" w:ascii="宋体" w:hAnsi="宋体" w:eastAsia="宋体" w:cs="宋体"/>
          <w:bCs/>
          <w:color w:val="auto"/>
          <w:szCs w:val="24"/>
          <w:highlight w:val="none"/>
        </w:rPr>
        <w:fldChar w:fldCharType="end"/>
      </w:r>
    </w:p>
    <w:p w14:paraId="54AF4F09">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_Toc28552 </w:instrText>
      </w:r>
      <w:r>
        <w:rPr>
          <w:rFonts w:hint="eastAsia" w:ascii="宋体" w:hAnsi="宋体" w:eastAsia="宋体" w:cs="宋体"/>
          <w:bCs/>
          <w:szCs w:val="24"/>
          <w:highlight w:val="none"/>
        </w:rPr>
        <w:fldChar w:fldCharType="separate"/>
      </w:r>
      <w:r>
        <w:rPr>
          <w:rFonts w:hint="eastAsia" w:ascii="宋体" w:hAnsi="宋体" w:cs="宋体"/>
          <w:highlight w:val="none"/>
        </w:rPr>
        <w:t>3.3 投标文件的澄清</w:t>
      </w:r>
      <w:r>
        <w:tab/>
      </w:r>
      <w:r>
        <w:fldChar w:fldCharType="begin"/>
      </w:r>
      <w:r>
        <w:instrText xml:space="preserve"> PAGEREF _Toc28552 \h </w:instrText>
      </w:r>
      <w:r>
        <w:fldChar w:fldCharType="separate"/>
      </w:r>
      <w:r>
        <w:t>36</w:t>
      </w:r>
      <w:r>
        <w:fldChar w:fldCharType="end"/>
      </w:r>
      <w:r>
        <w:rPr>
          <w:rFonts w:hint="eastAsia" w:ascii="宋体" w:hAnsi="宋体" w:eastAsia="宋体" w:cs="宋体"/>
          <w:bCs/>
          <w:color w:val="auto"/>
          <w:szCs w:val="24"/>
          <w:highlight w:val="none"/>
        </w:rPr>
        <w:fldChar w:fldCharType="end"/>
      </w:r>
    </w:p>
    <w:p w14:paraId="7CBF7DEB">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_Toc13154 </w:instrText>
      </w:r>
      <w:r>
        <w:rPr>
          <w:rFonts w:hint="eastAsia" w:ascii="宋体" w:hAnsi="宋体" w:eastAsia="宋体" w:cs="宋体"/>
          <w:bCs/>
          <w:szCs w:val="24"/>
          <w:highlight w:val="none"/>
        </w:rPr>
        <w:fldChar w:fldCharType="separate"/>
      </w:r>
      <w:r>
        <w:rPr>
          <w:rFonts w:hint="eastAsia" w:ascii="宋体" w:hAnsi="宋体" w:cs="宋体"/>
          <w:highlight w:val="none"/>
        </w:rPr>
        <w:t>3.4 评标结果</w:t>
      </w:r>
      <w:r>
        <w:tab/>
      </w:r>
      <w:r>
        <w:fldChar w:fldCharType="begin"/>
      </w:r>
      <w:r>
        <w:instrText xml:space="preserve"> PAGEREF _Toc13154 \h </w:instrText>
      </w:r>
      <w:r>
        <w:fldChar w:fldCharType="separate"/>
      </w:r>
      <w:r>
        <w:t>36</w:t>
      </w:r>
      <w:r>
        <w:fldChar w:fldCharType="end"/>
      </w:r>
      <w:r>
        <w:rPr>
          <w:rFonts w:hint="eastAsia" w:ascii="宋体" w:hAnsi="宋体" w:eastAsia="宋体" w:cs="宋体"/>
          <w:bCs/>
          <w:color w:val="auto"/>
          <w:szCs w:val="24"/>
          <w:highlight w:val="none"/>
        </w:rPr>
        <w:fldChar w:fldCharType="end"/>
      </w:r>
    </w:p>
    <w:p w14:paraId="0696103B">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_Toc12213 </w:instrText>
      </w:r>
      <w:r>
        <w:rPr>
          <w:rFonts w:hint="eastAsia" w:ascii="宋体" w:hAnsi="宋体" w:eastAsia="宋体" w:cs="宋体"/>
          <w:bCs/>
          <w:szCs w:val="24"/>
          <w:highlight w:val="none"/>
        </w:rPr>
        <w:fldChar w:fldCharType="separate"/>
      </w:r>
      <w:r>
        <w:rPr>
          <w:rFonts w:hint="eastAsia" w:ascii="宋体" w:hAnsi="宋体" w:eastAsia="宋体" w:cs="宋体"/>
          <w:bCs/>
          <w:highlight w:val="none"/>
        </w:rPr>
        <w:t>第四章  合同条款及格式</w:t>
      </w:r>
      <w:r>
        <w:tab/>
      </w:r>
      <w:r>
        <w:fldChar w:fldCharType="begin"/>
      </w:r>
      <w:r>
        <w:instrText xml:space="preserve"> PAGEREF _Toc12213 \h </w:instrText>
      </w:r>
      <w:r>
        <w:fldChar w:fldCharType="separate"/>
      </w:r>
      <w:r>
        <w:t>38</w:t>
      </w:r>
      <w:r>
        <w:fldChar w:fldCharType="end"/>
      </w:r>
      <w:r>
        <w:rPr>
          <w:rFonts w:hint="eastAsia" w:ascii="宋体" w:hAnsi="宋体" w:eastAsia="宋体" w:cs="宋体"/>
          <w:bCs/>
          <w:color w:val="auto"/>
          <w:szCs w:val="24"/>
          <w:highlight w:val="none"/>
        </w:rPr>
        <w:fldChar w:fldCharType="end"/>
      </w:r>
    </w:p>
    <w:p w14:paraId="2FAD8E84">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_Toc2634 </w:instrText>
      </w:r>
      <w:r>
        <w:rPr>
          <w:rFonts w:hint="eastAsia" w:ascii="宋体" w:hAnsi="宋体" w:eastAsia="宋体" w:cs="宋体"/>
          <w:bCs/>
          <w:szCs w:val="24"/>
          <w:highlight w:val="none"/>
        </w:rPr>
        <w:fldChar w:fldCharType="separate"/>
      </w:r>
      <w:r>
        <w:rPr>
          <w:rFonts w:hint="eastAsia" w:ascii="宋体" w:hAnsi="宋体" w:eastAsia="宋体" w:cs="宋体"/>
          <w:bCs/>
          <w:highlight w:val="none"/>
        </w:rPr>
        <w:t>第五章  委托人要求</w:t>
      </w:r>
      <w:r>
        <w:tab/>
      </w:r>
      <w:r>
        <w:fldChar w:fldCharType="begin"/>
      </w:r>
      <w:r>
        <w:instrText xml:space="preserve"> PAGEREF _Toc2634 \h </w:instrText>
      </w:r>
      <w:r>
        <w:fldChar w:fldCharType="separate"/>
      </w:r>
      <w:r>
        <w:t>40</w:t>
      </w:r>
      <w:r>
        <w:fldChar w:fldCharType="end"/>
      </w:r>
      <w:r>
        <w:rPr>
          <w:rFonts w:hint="eastAsia" w:ascii="宋体" w:hAnsi="宋体" w:eastAsia="宋体" w:cs="宋体"/>
          <w:bCs/>
          <w:color w:val="auto"/>
          <w:szCs w:val="24"/>
          <w:highlight w:val="none"/>
        </w:rPr>
        <w:fldChar w:fldCharType="end"/>
      </w:r>
    </w:p>
    <w:p w14:paraId="045A32F4">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_Toc22091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第六章  投标文件格式</w:t>
      </w:r>
      <w:r>
        <w:tab/>
      </w:r>
      <w:r>
        <w:fldChar w:fldCharType="begin"/>
      </w:r>
      <w:r>
        <w:instrText xml:space="preserve"> PAGEREF _Toc22091 \h </w:instrText>
      </w:r>
      <w:r>
        <w:fldChar w:fldCharType="separate"/>
      </w:r>
      <w:r>
        <w:t>44</w:t>
      </w:r>
      <w:r>
        <w:fldChar w:fldCharType="end"/>
      </w:r>
      <w:r>
        <w:rPr>
          <w:rFonts w:hint="eastAsia" w:ascii="宋体" w:hAnsi="宋体" w:eastAsia="宋体" w:cs="宋体"/>
          <w:bCs/>
          <w:color w:val="auto"/>
          <w:szCs w:val="24"/>
          <w:highlight w:val="none"/>
        </w:rPr>
        <w:fldChar w:fldCharType="end"/>
      </w:r>
    </w:p>
    <w:p w14:paraId="02B8A5A2">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_Toc16312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格式一：投标函及投标函附录</w:t>
      </w:r>
      <w:r>
        <w:tab/>
      </w:r>
      <w:r>
        <w:fldChar w:fldCharType="begin"/>
      </w:r>
      <w:r>
        <w:instrText xml:space="preserve"> PAGEREF _Toc16312 \h </w:instrText>
      </w:r>
      <w:r>
        <w:fldChar w:fldCharType="separate"/>
      </w:r>
      <w:r>
        <w:t>47</w:t>
      </w:r>
      <w:r>
        <w:fldChar w:fldCharType="end"/>
      </w:r>
      <w:r>
        <w:rPr>
          <w:rFonts w:hint="eastAsia" w:ascii="宋体" w:hAnsi="宋体" w:eastAsia="宋体" w:cs="宋体"/>
          <w:bCs/>
          <w:color w:val="auto"/>
          <w:szCs w:val="24"/>
          <w:highlight w:val="none"/>
        </w:rPr>
        <w:fldChar w:fldCharType="end"/>
      </w:r>
    </w:p>
    <w:p w14:paraId="748B83D8">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_Toc14614 </w:instrText>
      </w:r>
      <w:r>
        <w:rPr>
          <w:rFonts w:hint="eastAsia" w:ascii="宋体" w:hAnsi="宋体" w:eastAsia="宋体" w:cs="宋体"/>
          <w:bCs/>
          <w:szCs w:val="24"/>
          <w:highlight w:val="none"/>
        </w:rPr>
        <w:fldChar w:fldCharType="separate"/>
      </w:r>
      <w:r>
        <w:rPr>
          <w:rFonts w:hint="eastAsia" w:ascii="宋体" w:hAnsi="宋体" w:cs="宋体"/>
          <w:szCs w:val="20"/>
          <w:highlight w:val="none"/>
        </w:rPr>
        <w:t>（一）投标函</w:t>
      </w:r>
      <w:r>
        <w:tab/>
      </w:r>
      <w:r>
        <w:fldChar w:fldCharType="begin"/>
      </w:r>
      <w:r>
        <w:instrText xml:space="preserve"> PAGEREF _Toc14614 \h </w:instrText>
      </w:r>
      <w:r>
        <w:fldChar w:fldCharType="separate"/>
      </w:r>
      <w:r>
        <w:t>47</w:t>
      </w:r>
      <w:r>
        <w:fldChar w:fldCharType="end"/>
      </w:r>
      <w:r>
        <w:rPr>
          <w:rFonts w:hint="eastAsia" w:ascii="宋体" w:hAnsi="宋体" w:eastAsia="宋体" w:cs="宋体"/>
          <w:bCs/>
          <w:color w:val="auto"/>
          <w:szCs w:val="24"/>
          <w:highlight w:val="none"/>
        </w:rPr>
        <w:fldChar w:fldCharType="end"/>
      </w:r>
    </w:p>
    <w:p w14:paraId="348FECBC">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_Toc4672 </w:instrText>
      </w:r>
      <w:r>
        <w:rPr>
          <w:rFonts w:hint="eastAsia" w:ascii="宋体" w:hAnsi="宋体" w:eastAsia="宋体" w:cs="宋体"/>
          <w:bCs/>
          <w:szCs w:val="24"/>
          <w:highlight w:val="none"/>
        </w:rPr>
        <w:fldChar w:fldCharType="separate"/>
      </w:r>
      <w:r>
        <w:rPr>
          <w:rFonts w:hint="eastAsia" w:ascii="宋体" w:hAnsi="宋体" w:cs="宋体"/>
          <w:szCs w:val="20"/>
          <w:highlight w:val="none"/>
        </w:rPr>
        <w:t>（二）投标函附录</w:t>
      </w:r>
      <w:r>
        <w:tab/>
      </w:r>
      <w:r>
        <w:fldChar w:fldCharType="begin"/>
      </w:r>
      <w:r>
        <w:instrText xml:space="preserve"> PAGEREF _Toc4672 \h </w:instrText>
      </w:r>
      <w:r>
        <w:fldChar w:fldCharType="separate"/>
      </w:r>
      <w:r>
        <w:t>48</w:t>
      </w:r>
      <w:r>
        <w:fldChar w:fldCharType="end"/>
      </w:r>
      <w:r>
        <w:rPr>
          <w:rFonts w:hint="eastAsia" w:ascii="宋体" w:hAnsi="宋体" w:eastAsia="宋体" w:cs="宋体"/>
          <w:bCs/>
          <w:color w:val="auto"/>
          <w:szCs w:val="24"/>
          <w:highlight w:val="none"/>
        </w:rPr>
        <w:fldChar w:fldCharType="end"/>
      </w:r>
    </w:p>
    <w:p w14:paraId="2010BACA">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_Toc17506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格式二：</w:t>
      </w:r>
      <w:r>
        <w:rPr>
          <w:rFonts w:hint="eastAsia" w:ascii="宋体" w:hAnsi="宋体" w:cs="宋体"/>
          <w:szCs w:val="20"/>
          <w:highlight w:val="none"/>
        </w:rPr>
        <w:t>法定代表人身份证明</w:t>
      </w:r>
      <w:r>
        <w:tab/>
      </w:r>
      <w:r>
        <w:fldChar w:fldCharType="begin"/>
      </w:r>
      <w:r>
        <w:instrText xml:space="preserve"> PAGEREF _Toc17506 \h </w:instrText>
      </w:r>
      <w:r>
        <w:fldChar w:fldCharType="separate"/>
      </w:r>
      <w:r>
        <w:t>49</w:t>
      </w:r>
      <w:r>
        <w:fldChar w:fldCharType="end"/>
      </w:r>
      <w:r>
        <w:rPr>
          <w:rFonts w:hint="eastAsia" w:ascii="宋体" w:hAnsi="宋体" w:eastAsia="宋体" w:cs="宋体"/>
          <w:bCs/>
          <w:color w:val="auto"/>
          <w:szCs w:val="24"/>
          <w:highlight w:val="none"/>
        </w:rPr>
        <w:fldChar w:fldCharType="end"/>
      </w:r>
    </w:p>
    <w:p w14:paraId="37FAC13F">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_Toc3270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w:t>
      </w:r>
      <w:r>
        <w:rPr>
          <w:rFonts w:hint="eastAsia" w:ascii="宋体" w:hAnsi="宋体" w:eastAsia="宋体" w:cs="宋体"/>
          <w:szCs w:val="20"/>
          <w:highlight w:val="none"/>
          <w:lang w:eastAsia="zh-CN"/>
        </w:rPr>
        <w:t>三：授权委</w:t>
      </w:r>
      <w:r>
        <w:rPr>
          <w:rFonts w:hint="eastAsia" w:ascii="宋体" w:hAnsi="宋体" w:cs="宋体"/>
          <w:szCs w:val="20"/>
          <w:highlight w:val="none"/>
        </w:rPr>
        <w:t>托书</w:t>
      </w:r>
      <w:r>
        <w:tab/>
      </w:r>
      <w:r>
        <w:fldChar w:fldCharType="begin"/>
      </w:r>
      <w:r>
        <w:instrText xml:space="preserve"> PAGEREF _Toc3270 \h </w:instrText>
      </w:r>
      <w:r>
        <w:fldChar w:fldCharType="separate"/>
      </w:r>
      <w:r>
        <w:t>50</w:t>
      </w:r>
      <w:r>
        <w:fldChar w:fldCharType="end"/>
      </w:r>
      <w:r>
        <w:rPr>
          <w:rFonts w:hint="eastAsia" w:ascii="宋体" w:hAnsi="宋体" w:eastAsia="宋体" w:cs="宋体"/>
          <w:bCs/>
          <w:color w:val="auto"/>
          <w:szCs w:val="24"/>
          <w:highlight w:val="none"/>
        </w:rPr>
        <w:fldChar w:fldCharType="end"/>
      </w:r>
    </w:p>
    <w:p w14:paraId="2AEF2F2A">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_Toc4142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w:t>
      </w:r>
      <w:r>
        <w:rPr>
          <w:rFonts w:hint="eastAsia" w:ascii="宋体" w:hAnsi="宋体" w:cs="宋体"/>
          <w:szCs w:val="20"/>
          <w:highlight w:val="none"/>
          <w:lang w:val="en-US" w:eastAsia="zh-CN"/>
        </w:rPr>
        <w:t>四</w:t>
      </w:r>
      <w:r>
        <w:rPr>
          <w:rFonts w:hint="eastAsia" w:ascii="宋体" w:hAnsi="宋体" w:eastAsia="宋体" w:cs="宋体"/>
          <w:szCs w:val="20"/>
          <w:highlight w:val="none"/>
          <w:lang w:val="en-US" w:eastAsia="zh-CN"/>
        </w:rPr>
        <w:t>：监理报酬清单</w:t>
      </w:r>
      <w:r>
        <w:tab/>
      </w:r>
      <w:r>
        <w:fldChar w:fldCharType="begin"/>
      </w:r>
      <w:r>
        <w:instrText xml:space="preserve"> PAGEREF _Toc4142 \h </w:instrText>
      </w:r>
      <w:r>
        <w:fldChar w:fldCharType="separate"/>
      </w:r>
      <w:r>
        <w:t>51</w:t>
      </w:r>
      <w:r>
        <w:fldChar w:fldCharType="end"/>
      </w:r>
      <w:r>
        <w:rPr>
          <w:rFonts w:hint="eastAsia" w:ascii="宋体" w:hAnsi="宋体" w:eastAsia="宋体" w:cs="宋体"/>
          <w:bCs/>
          <w:color w:val="auto"/>
          <w:szCs w:val="24"/>
          <w:highlight w:val="none"/>
        </w:rPr>
        <w:fldChar w:fldCharType="end"/>
      </w:r>
    </w:p>
    <w:p w14:paraId="25C88F44">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_Toc17773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格式五：资格审查资料</w:t>
      </w:r>
      <w:r>
        <w:tab/>
      </w:r>
      <w:r>
        <w:fldChar w:fldCharType="begin"/>
      </w:r>
      <w:r>
        <w:instrText xml:space="preserve"> PAGEREF _Toc17773 \h </w:instrText>
      </w:r>
      <w:r>
        <w:fldChar w:fldCharType="separate"/>
      </w:r>
      <w:r>
        <w:t>52</w:t>
      </w:r>
      <w:r>
        <w:fldChar w:fldCharType="end"/>
      </w:r>
      <w:r>
        <w:rPr>
          <w:rFonts w:hint="eastAsia" w:ascii="宋体" w:hAnsi="宋体" w:eastAsia="宋体" w:cs="宋体"/>
          <w:bCs/>
          <w:color w:val="auto"/>
          <w:szCs w:val="24"/>
          <w:highlight w:val="none"/>
        </w:rPr>
        <w:fldChar w:fldCharType="end"/>
      </w:r>
    </w:p>
    <w:p w14:paraId="3E0D070B">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_Toc10174 </w:instrText>
      </w:r>
      <w:r>
        <w:rPr>
          <w:rFonts w:hint="eastAsia" w:ascii="宋体" w:hAnsi="宋体" w:eastAsia="宋体" w:cs="宋体"/>
          <w:bCs/>
          <w:szCs w:val="24"/>
          <w:highlight w:val="none"/>
        </w:rPr>
        <w:fldChar w:fldCharType="separate"/>
      </w:r>
      <w:r>
        <w:rPr>
          <w:rFonts w:hint="eastAsia" w:ascii="宋体" w:hAnsi="宋体" w:cs="宋体"/>
          <w:szCs w:val="20"/>
          <w:highlight w:val="none"/>
        </w:rPr>
        <w:t>（一）基本情况表</w:t>
      </w:r>
      <w:r>
        <w:tab/>
      </w:r>
      <w:r>
        <w:fldChar w:fldCharType="begin"/>
      </w:r>
      <w:r>
        <w:instrText xml:space="preserve"> PAGEREF _Toc10174 \h </w:instrText>
      </w:r>
      <w:r>
        <w:fldChar w:fldCharType="separate"/>
      </w:r>
      <w:r>
        <w:t>52</w:t>
      </w:r>
      <w:r>
        <w:fldChar w:fldCharType="end"/>
      </w:r>
      <w:r>
        <w:rPr>
          <w:rFonts w:hint="eastAsia" w:ascii="宋体" w:hAnsi="宋体" w:eastAsia="宋体" w:cs="宋体"/>
          <w:bCs/>
          <w:color w:val="auto"/>
          <w:szCs w:val="24"/>
          <w:highlight w:val="none"/>
        </w:rPr>
        <w:fldChar w:fldCharType="end"/>
      </w:r>
    </w:p>
    <w:p w14:paraId="4174A36B">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_Toc31051 </w:instrText>
      </w:r>
      <w:r>
        <w:rPr>
          <w:rFonts w:hint="eastAsia" w:ascii="宋体" w:hAnsi="宋体" w:eastAsia="宋体" w:cs="宋体"/>
          <w:bCs/>
          <w:szCs w:val="24"/>
          <w:highlight w:val="none"/>
        </w:rPr>
        <w:fldChar w:fldCharType="separate"/>
      </w:r>
      <w:r>
        <w:rPr>
          <w:rFonts w:hint="eastAsia" w:ascii="宋体" w:hAnsi="宋体" w:cs="宋体"/>
          <w:szCs w:val="20"/>
          <w:highlight w:val="none"/>
        </w:rPr>
        <w:t>（</w:t>
      </w:r>
      <w:r>
        <w:rPr>
          <w:rFonts w:hint="eastAsia" w:ascii="宋体" w:hAnsi="宋体" w:cs="宋体"/>
          <w:szCs w:val="20"/>
          <w:highlight w:val="none"/>
          <w:lang w:val="en-US" w:eastAsia="zh-CN"/>
        </w:rPr>
        <w:t>二</w:t>
      </w:r>
      <w:r>
        <w:rPr>
          <w:rFonts w:hint="eastAsia" w:ascii="宋体" w:hAnsi="宋体" w:cs="宋体"/>
          <w:szCs w:val="20"/>
          <w:highlight w:val="none"/>
        </w:rPr>
        <w:t>）主要人员简历表</w:t>
      </w:r>
      <w:r>
        <w:tab/>
      </w:r>
      <w:r>
        <w:fldChar w:fldCharType="begin"/>
      </w:r>
      <w:r>
        <w:instrText xml:space="preserve"> PAGEREF _Toc31051 \h </w:instrText>
      </w:r>
      <w:r>
        <w:fldChar w:fldCharType="separate"/>
      </w:r>
      <w:r>
        <w:t>53</w:t>
      </w:r>
      <w:r>
        <w:fldChar w:fldCharType="end"/>
      </w:r>
      <w:r>
        <w:rPr>
          <w:rFonts w:hint="eastAsia" w:ascii="宋体" w:hAnsi="宋体" w:eastAsia="宋体" w:cs="宋体"/>
          <w:bCs/>
          <w:color w:val="auto"/>
          <w:szCs w:val="24"/>
          <w:highlight w:val="none"/>
        </w:rPr>
        <w:fldChar w:fldCharType="end"/>
      </w:r>
    </w:p>
    <w:p w14:paraId="7254E5E0">
      <w:pPr>
        <w:pStyle w:val="13"/>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_Toc24341 </w:instrText>
      </w:r>
      <w:r>
        <w:rPr>
          <w:rFonts w:hint="eastAsia" w:ascii="宋体" w:hAnsi="宋体" w:eastAsia="宋体" w:cs="宋体"/>
          <w:bCs/>
          <w:szCs w:val="24"/>
          <w:highlight w:val="none"/>
        </w:rPr>
        <w:fldChar w:fldCharType="separate"/>
      </w:r>
      <w:r>
        <w:rPr>
          <w:rFonts w:hint="eastAsia" w:ascii="宋体" w:hAnsi="宋体" w:cs="宋体"/>
          <w:szCs w:val="20"/>
          <w:highlight w:val="none"/>
        </w:rPr>
        <w:t>（</w:t>
      </w:r>
      <w:r>
        <w:rPr>
          <w:rFonts w:hint="eastAsia" w:ascii="宋体" w:hAnsi="宋体" w:cs="宋体"/>
          <w:szCs w:val="20"/>
          <w:highlight w:val="none"/>
          <w:lang w:val="en-US" w:eastAsia="zh-CN"/>
        </w:rPr>
        <w:t>三</w:t>
      </w:r>
      <w:r>
        <w:rPr>
          <w:rFonts w:hint="eastAsia" w:ascii="宋体" w:hAnsi="宋体" w:cs="宋体"/>
          <w:szCs w:val="20"/>
          <w:highlight w:val="none"/>
        </w:rPr>
        <w:t>）投标人声明格式</w:t>
      </w:r>
      <w:r>
        <w:tab/>
      </w:r>
      <w:r>
        <w:fldChar w:fldCharType="begin"/>
      </w:r>
      <w:r>
        <w:instrText xml:space="preserve"> PAGEREF _Toc24341 \h </w:instrText>
      </w:r>
      <w:r>
        <w:fldChar w:fldCharType="separate"/>
      </w:r>
      <w:r>
        <w:t>54</w:t>
      </w:r>
      <w:r>
        <w:fldChar w:fldCharType="end"/>
      </w:r>
      <w:r>
        <w:rPr>
          <w:rFonts w:hint="eastAsia" w:ascii="宋体" w:hAnsi="宋体" w:eastAsia="宋体" w:cs="宋体"/>
          <w:bCs/>
          <w:color w:val="auto"/>
          <w:szCs w:val="24"/>
          <w:highlight w:val="none"/>
        </w:rPr>
        <w:fldChar w:fldCharType="end"/>
      </w:r>
    </w:p>
    <w:p w14:paraId="52B56A8D">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_Toc4760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格式六：</w:t>
      </w:r>
      <w:r>
        <w:rPr>
          <w:rFonts w:hint="eastAsia" w:ascii="宋体" w:hAnsi="宋体" w:eastAsia="宋体" w:cs="宋体"/>
          <w:szCs w:val="20"/>
          <w:highlight w:val="none"/>
        </w:rPr>
        <w:t>拟委任的主要人员汇总</w:t>
      </w:r>
      <w:r>
        <w:rPr>
          <w:rFonts w:hint="eastAsia" w:ascii="宋体" w:hAnsi="宋体" w:eastAsia="宋体" w:cs="宋体"/>
          <w:bCs/>
          <w:szCs w:val="21"/>
          <w:highlight w:val="none"/>
        </w:rPr>
        <w:t>表</w:t>
      </w:r>
      <w:r>
        <w:tab/>
      </w:r>
      <w:r>
        <w:fldChar w:fldCharType="begin"/>
      </w:r>
      <w:r>
        <w:instrText xml:space="preserve"> PAGEREF _Toc4760 \h </w:instrText>
      </w:r>
      <w:r>
        <w:fldChar w:fldCharType="separate"/>
      </w:r>
      <w:r>
        <w:t>55</w:t>
      </w:r>
      <w:r>
        <w:fldChar w:fldCharType="end"/>
      </w:r>
      <w:r>
        <w:rPr>
          <w:rFonts w:hint="eastAsia" w:ascii="宋体" w:hAnsi="宋体" w:eastAsia="宋体" w:cs="宋体"/>
          <w:bCs/>
          <w:color w:val="auto"/>
          <w:szCs w:val="24"/>
          <w:highlight w:val="none"/>
        </w:rPr>
        <w:fldChar w:fldCharType="end"/>
      </w:r>
    </w:p>
    <w:p w14:paraId="348CE514">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_Toc11480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格式七：监理大纲</w:t>
      </w:r>
      <w:r>
        <w:tab/>
      </w:r>
      <w:r>
        <w:fldChar w:fldCharType="begin"/>
      </w:r>
      <w:r>
        <w:instrText xml:space="preserve"> PAGEREF _Toc11480 \h </w:instrText>
      </w:r>
      <w:r>
        <w:fldChar w:fldCharType="separate"/>
      </w:r>
      <w:r>
        <w:t>56</w:t>
      </w:r>
      <w:r>
        <w:fldChar w:fldCharType="end"/>
      </w:r>
      <w:r>
        <w:rPr>
          <w:rFonts w:hint="eastAsia" w:ascii="宋体" w:hAnsi="宋体" w:eastAsia="宋体" w:cs="宋体"/>
          <w:bCs/>
          <w:color w:val="auto"/>
          <w:szCs w:val="24"/>
          <w:highlight w:val="none"/>
        </w:rPr>
        <w:fldChar w:fldCharType="end"/>
      </w:r>
    </w:p>
    <w:p w14:paraId="44819DFA">
      <w:pPr>
        <w:pStyle w:val="21"/>
        <w:tabs>
          <w:tab w:val="right" w:leader="dot" w:pos="9639"/>
        </w:tabs>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_Toc21869 </w:instrText>
      </w:r>
      <w:r>
        <w:rPr>
          <w:rFonts w:hint="eastAsia" w:ascii="宋体" w:hAnsi="宋体" w:eastAsia="宋体" w:cs="宋体"/>
          <w:bCs/>
          <w:szCs w:val="24"/>
          <w:highlight w:val="none"/>
        </w:rPr>
        <w:fldChar w:fldCharType="separate"/>
      </w:r>
      <w:r>
        <w:rPr>
          <w:rFonts w:hint="eastAsia" w:ascii="宋体" w:hAnsi="宋体" w:eastAsia="宋体" w:cs="宋体"/>
          <w:szCs w:val="20"/>
          <w:highlight w:val="none"/>
          <w:lang w:val="en-US" w:eastAsia="zh-CN"/>
        </w:rPr>
        <w:t>格式八</w:t>
      </w:r>
      <w:r>
        <w:rPr>
          <w:rFonts w:hint="eastAsia" w:ascii="宋体" w:hAnsi="宋体" w:cs="宋体"/>
          <w:szCs w:val="20"/>
          <w:highlight w:val="none"/>
          <w:lang w:val="en-US" w:eastAsia="zh-CN"/>
        </w:rPr>
        <w:t>：</w:t>
      </w:r>
      <w:r>
        <w:rPr>
          <w:rFonts w:hint="eastAsia" w:ascii="宋体" w:hAnsi="宋体" w:cs="宋体"/>
          <w:szCs w:val="20"/>
          <w:highlight w:val="none"/>
        </w:rPr>
        <w:t>其他资料</w:t>
      </w:r>
      <w:r>
        <w:tab/>
      </w:r>
      <w:r>
        <w:fldChar w:fldCharType="begin"/>
      </w:r>
      <w:r>
        <w:instrText xml:space="preserve"> PAGEREF _Toc21869 \h </w:instrText>
      </w:r>
      <w:r>
        <w:fldChar w:fldCharType="separate"/>
      </w:r>
      <w:r>
        <w:t>57</w:t>
      </w:r>
      <w:r>
        <w:fldChar w:fldCharType="end"/>
      </w:r>
      <w:r>
        <w:rPr>
          <w:rFonts w:hint="eastAsia" w:ascii="宋体" w:hAnsi="宋体" w:eastAsia="宋体" w:cs="宋体"/>
          <w:bCs/>
          <w:color w:val="auto"/>
          <w:szCs w:val="24"/>
          <w:highlight w:val="none"/>
        </w:rPr>
        <w:fldChar w:fldCharType="end"/>
      </w:r>
    </w:p>
    <w:p w14:paraId="7BB8B157">
      <w:pPr>
        <w:shd w:val="clear"/>
        <w:ind w:firstLine="420" w:firstLineChars="200"/>
        <w:jc w:val="center"/>
        <w:rPr>
          <w:rFonts w:hint="eastAsia" w:ascii="宋体" w:hAnsi="宋体" w:cs="宋体"/>
          <w:b/>
          <w:bCs/>
          <w:color w:val="auto"/>
          <w:sz w:val="24"/>
          <w:szCs w:val="24"/>
          <w:highlight w:val="none"/>
        </w:rPr>
      </w:pPr>
      <w:r>
        <w:rPr>
          <w:rFonts w:hint="eastAsia" w:ascii="宋体" w:hAnsi="宋体" w:eastAsia="宋体" w:cs="宋体"/>
          <w:bCs/>
          <w:color w:val="auto"/>
          <w:szCs w:val="24"/>
          <w:highlight w:val="none"/>
        </w:rPr>
        <w:fldChar w:fldCharType="end"/>
      </w:r>
      <w:r>
        <w:rPr>
          <w:rFonts w:hint="eastAsia" w:ascii="宋体" w:hAnsi="宋体" w:cs="宋体"/>
          <w:b/>
          <w:bCs/>
          <w:color w:val="auto"/>
          <w:sz w:val="24"/>
          <w:szCs w:val="24"/>
          <w:highlight w:val="none"/>
        </w:rPr>
        <w:br w:type="page"/>
      </w:r>
    </w:p>
    <w:p w14:paraId="01DC825A">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792D241C">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08018FE9">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2D8F676E">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3C095B72">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79C201AD">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57419BBF">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61027B14">
      <w:pPr>
        <w:shd w:val="clear"/>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11E2554B">
      <w:pPr>
        <w:shd w:val="clear"/>
        <w:jc w:val="center"/>
        <w:rPr>
          <w:rFonts w:hint="eastAsia" w:ascii="宋体" w:hAnsi="宋体" w:cs="宋体"/>
          <w:b/>
          <w:bCs/>
          <w:color w:val="auto"/>
          <w:sz w:val="30"/>
          <w:szCs w:val="30"/>
          <w:highlight w:val="none"/>
        </w:rPr>
      </w:pPr>
      <w:r>
        <w:rPr>
          <w:rFonts w:hint="eastAsia" w:ascii="宋体" w:hAnsi="宋体" w:cs="宋体"/>
          <w:b/>
          <w:bCs/>
          <w:color w:val="auto"/>
          <w:sz w:val="52"/>
          <w:szCs w:val="52"/>
          <w:highlight w:val="none"/>
        </w:rPr>
        <w:t>第一卷</w:t>
      </w:r>
      <w:r>
        <w:rPr>
          <w:rFonts w:hint="eastAsia" w:ascii="宋体" w:hAnsi="宋体" w:cs="宋体"/>
          <w:b/>
          <w:bCs/>
          <w:color w:val="auto"/>
          <w:sz w:val="52"/>
          <w:szCs w:val="52"/>
          <w:highlight w:val="none"/>
        </w:rPr>
        <w:br w:type="page"/>
      </w:r>
    </w:p>
    <w:p w14:paraId="3B089C2B">
      <w:pPr>
        <w:shd w:val="clear"/>
        <w:ind w:firstLine="420" w:firstLineChars="200"/>
        <w:rPr>
          <w:rFonts w:hint="eastAsia" w:ascii="宋体" w:hAnsi="宋体" w:cs="宋体"/>
          <w:color w:val="auto"/>
          <w:highlight w:val="none"/>
        </w:rPr>
      </w:pPr>
      <w:bookmarkStart w:id="3" w:name="_Toc9309"/>
      <w:bookmarkEnd w:id="3"/>
      <w:bookmarkStart w:id="4" w:name="_Toc393961862"/>
      <w:bookmarkEnd w:id="4"/>
      <w:bookmarkStart w:id="5" w:name="_Toc26914"/>
      <w:r>
        <w:rPr>
          <w:rFonts w:hint="eastAsia" w:ascii="宋体" w:hAnsi="宋体" w:cs="宋体"/>
          <w:color w:val="auto"/>
          <w:highlight w:val="none"/>
        </w:rPr>
        <w:t xml:space="preserve"> </w:t>
      </w:r>
      <w:bookmarkEnd w:id="5"/>
    </w:p>
    <w:p w14:paraId="41D636C5">
      <w:pPr>
        <w:pStyle w:val="4"/>
        <w:shd w:val="clear"/>
        <w:jc w:val="center"/>
        <w:rPr>
          <w:rFonts w:hint="eastAsia" w:ascii="宋体" w:hAnsi="宋体" w:eastAsia="宋体" w:cs="宋体"/>
          <w:color w:val="auto"/>
          <w:highlight w:val="none"/>
        </w:rPr>
      </w:pPr>
      <w:bookmarkStart w:id="6" w:name="_Toc514170118"/>
      <w:bookmarkEnd w:id="6"/>
      <w:bookmarkStart w:id="7" w:name="_Toc610"/>
      <w:bookmarkEnd w:id="7"/>
      <w:bookmarkStart w:id="8" w:name="_Toc2170"/>
      <w:bookmarkEnd w:id="8"/>
      <w:bookmarkStart w:id="9" w:name="_Toc16720"/>
      <w:bookmarkEnd w:id="9"/>
      <w:bookmarkStart w:id="10" w:name="_Toc1036"/>
      <w:bookmarkEnd w:id="10"/>
      <w:bookmarkStart w:id="11" w:name="_Toc530640826"/>
      <w:bookmarkStart w:id="12" w:name="_Toc4103"/>
      <w:bookmarkStart w:id="13" w:name="_Toc13962"/>
      <w:r>
        <w:rPr>
          <w:rFonts w:hint="eastAsia" w:ascii="宋体" w:hAnsi="宋体" w:eastAsia="宋体" w:cs="宋体"/>
          <w:color w:val="auto"/>
          <w:highlight w:val="none"/>
        </w:rPr>
        <w:t>第一章</w:t>
      </w:r>
      <w:bookmarkEnd w:id="11"/>
      <w:bookmarkStart w:id="14" w:name="_Toc530640827"/>
      <w:r>
        <w:rPr>
          <w:rFonts w:hint="eastAsia" w:ascii="宋体" w:hAnsi="宋体" w:eastAsia="宋体" w:cs="宋体"/>
          <w:color w:val="auto"/>
          <w:highlight w:val="none"/>
        </w:rPr>
        <w:t xml:space="preserve">  招标公告</w:t>
      </w:r>
      <w:bookmarkEnd w:id="12"/>
      <w:bookmarkEnd w:id="14"/>
    </w:p>
    <w:bookmarkEnd w:id="13"/>
    <w:p w14:paraId="30E6F224">
      <w:pPr>
        <w:shd w:val="clear"/>
        <w:spacing w:before="240" w:beforeLines="100" w:line="300" w:lineRule="exact"/>
        <w:ind w:right="840" w:firstLine="420" w:firstLineChars="200"/>
        <w:jc w:val="center"/>
        <w:rPr>
          <w:rFonts w:hint="eastAsia" w:ascii="宋体" w:hAnsi="宋体" w:cs="宋体"/>
          <w:b/>
          <w:bCs/>
          <w:color w:val="auto"/>
          <w:sz w:val="30"/>
          <w:szCs w:val="30"/>
          <w:highlight w:val="none"/>
        </w:rPr>
      </w:pPr>
      <w:bookmarkStart w:id="15" w:name="_Toc6636"/>
      <w:bookmarkEnd w:id="15"/>
      <w:r>
        <w:rPr>
          <w:rFonts w:hint="eastAsia" w:ascii="宋体" w:hAnsi="宋体" w:cs="宋体"/>
          <w:color w:val="auto"/>
          <w:highlight w:val="none"/>
        </w:rPr>
        <w:t xml:space="preserve">    另册</w:t>
      </w:r>
    </w:p>
    <w:p w14:paraId="431C6BEB">
      <w:pPr>
        <w:pStyle w:val="4"/>
        <w:shd w:val="clear"/>
        <w:jc w:val="center"/>
        <w:rPr>
          <w:rFonts w:hint="eastAsia" w:ascii="宋体" w:hAnsi="宋体" w:eastAsia="宋体" w:cs="宋体"/>
          <w:color w:val="auto"/>
          <w:highlight w:val="none"/>
        </w:rPr>
      </w:pPr>
      <w:bookmarkStart w:id="16" w:name="_Toc393961863"/>
      <w:bookmarkEnd w:id="16"/>
      <w:r>
        <w:rPr>
          <w:rFonts w:hint="eastAsia" w:ascii="宋体" w:hAnsi="宋体" w:eastAsia="宋体" w:cs="宋体"/>
          <w:color w:val="auto"/>
          <w:highlight w:val="none"/>
        </w:rPr>
        <w:br w:type="page"/>
      </w:r>
      <w:bookmarkStart w:id="17" w:name="_Toc15805"/>
      <w:bookmarkEnd w:id="17"/>
      <w:bookmarkStart w:id="18" w:name="_Toc514170119"/>
      <w:bookmarkEnd w:id="18"/>
      <w:bookmarkStart w:id="19" w:name="_Toc9935"/>
      <w:bookmarkEnd w:id="19"/>
      <w:bookmarkStart w:id="20" w:name="_Toc22940"/>
      <w:bookmarkEnd w:id="20"/>
      <w:bookmarkStart w:id="21" w:name="_Toc19352"/>
      <w:bookmarkEnd w:id="21"/>
      <w:bookmarkStart w:id="22" w:name="_Toc27380"/>
      <w:bookmarkEnd w:id="22"/>
      <w:bookmarkStart w:id="23" w:name="_Toc5915"/>
      <w:bookmarkEnd w:id="23"/>
      <w:bookmarkStart w:id="24" w:name="_Toc530640828"/>
      <w:bookmarkStart w:id="25" w:name="_Toc174"/>
      <w:bookmarkStart w:id="26" w:name="_Toc21214"/>
      <w:r>
        <w:rPr>
          <w:rFonts w:hint="eastAsia" w:ascii="宋体" w:hAnsi="宋体" w:eastAsia="宋体" w:cs="宋体"/>
          <w:color w:val="auto"/>
          <w:highlight w:val="none"/>
        </w:rPr>
        <w:t>第二章  投标人须知</w:t>
      </w:r>
      <w:bookmarkEnd w:id="24"/>
      <w:bookmarkEnd w:id="25"/>
      <w:bookmarkEnd w:id="26"/>
    </w:p>
    <w:p w14:paraId="78BB3DB0">
      <w:pPr>
        <w:pStyle w:val="5"/>
        <w:shd w:val="clear"/>
        <w:jc w:val="center"/>
        <w:rPr>
          <w:rFonts w:hint="eastAsia" w:ascii="宋体" w:hAnsi="宋体" w:cs="宋体"/>
          <w:color w:val="auto"/>
          <w:highlight w:val="none"/>
        </w:rPr>
      </w:pPr>
      <w:bookmarkStart w:id="27" w:name="_Toc7336"/>
      <w:bookmarkEnd w:id="27"/>
      <w:bookmarkStart w:id="28" w:name="_Toc2375"/>
      <w:bookmarkEnd w:id="28"/>
      <w:bookmarkStart w:id="29" w:name="_Toc514170120"/>
      <w:bookmarkEnd w:id="29"/>
      <w:bookmarkStart w:id="30" w:name="_Toc32677"/>
      <w:bookmarkEnd w:id="30"/>
      <w:bookmarkStart w:id="31" w:name="_Toc393961864"/>
      <w:bookmarkEnd w:id="31"/>
      <w:bookmarkStart w:id="32" w:name="_Toc14233"/>
      <w:bookmarkEnd w:id="32"/>
      <w:bookmarkStart w:id="33" w:name="_Toc24793"/>
      <w:bookmarkEnd w:id="33"/>
      <w:bookmarkStart w:id="34" w:name="_Toc12460"/>
      <w:bookmarkStart w:id="35" w:name="_Toc13893"/>
      <w:bookmarkStart w:id="36" w:name="_Toc530640829"/>
      <w:r>
        <w:rPr>
          <w:rFonts w:hint="eastAsia" w:ascii="宋体" w:hAnsi="宋体" w:cs="宋体"/>
          <w:color w:val="auto"/>
          <w:highlight w:val="none"/>
        </w:rPr>
        <w:t>投标人须知前附表</w:t>
      </w:r>
      <w:bookmarkEnd w:id="34"/>
      <w:bookmarkEnd w:id="35"/>
      <w:bookmarkEnd w:id="36"/>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551"/>
        <w:gridCol w:w="6224"/>
      </w:tblGrid>
      <w:tr w14:paraId="48C8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3EAD433">
            <w:pPr>
              <w:shd w:val="clear"/>
              <w:jc w:val="center"/>
              <w:rPr>
                <w:rFonts w:hint="eastAsia" w:ascii="宋体" w:hAnsi="宋体" w:cs="宋体"/>
                <w:color w:val="auto"/>
                <w:highlight w:val="none"/>
              </w:rPr>
            </w:pPr>
            <w:r>
              <w:rPr>
                <w:rFonts w:hint="eastAsia" w:ascii="宋体" w:hAnsi="宋体" w:cs="宋体"/>
                <w:color w:val="auto"/>
                <w:highlight w:val="none"/>
              </w:rPr>
              <w:t>条款号</w:t>
            </w:r>
          </w:p>
        </w:tc>
        <w:tc>
          <w:tcPr>
            <w:tcW w:w="2551" w:type="dxa"/>
            <w:tcBorders>
              <w:top w:val="single" w:color="auto" w:sz="4" w:space="0"/>
              <w:left w:val="nil"/>
              <w:bottom w:val="single" w:color="auto" w:sz="4" w:space="0"/>
              <w:right w:val="single" w:color="auto" w:sz="4" w:space="0"/>
            </w:tcBorders>
            <w:noWrap w:val="0"/>
            <w:vAlign w:val="center"/>
          </w:tcPr>
          <w:p w14:paraId="4826E4B8">
            <w:pPr>
              <w:shd w:val="clear"/>
              <w:jc w:val="center"/>
              <w:rPr>
                <w:rFonts w:hint="eastAsia" w:ascii="宋体" w:hAnsi="宋体" w:cs="宋体"/>
                <w:color w:val="auto"/>
                <w:highlight w:val="none"/>
              </w:rPr>
            </w:pPr>
            <w:r>
              <w:rPr>
                <w:rFonts w:hint="eastAsia" w:ascii="宋体" w:hAnsi="宋体" w:cs="宋体"/>
                <w:color w:val="auto"/>
                <w:highlight w:val="none"/>
              </w:rPr>
              <w:t>条  款  名  称</w:t>
            </w:r>
          </w:p>
        </w:tc>
        <w:tc>
          <w:tcPr>
            <w:tcW w:w="6224" w:type="dxa"/>
            <w:tcBorders>
              <w:top w:val="single" w:color="auto" w:sz="4" w:space="0"/>
              <w:left w:val="nil"/>
              <w:bottom w:val="single" w:color="auto" w:sz="4" w:space="0"/>
              <w:right w:val="single" w:color="auto" w:sz="4" w:space="0"/>
            </w:tcBorders>
            <w:noWrap w:val="0"/>
            <w:vAlign w:val="center"/>
          </w:tcPr>
          <w:p w14:paraId="6053D9EB">
            <w:pPr>
              <w:shd w:val="clear"/>
              <w:jc w:val="center"/>
              <w:rPr>
                <w:rFonts w:hint="eastAsia" w:ascii="宋体" w:hAnsi="宋体" w:cs="宋体"/>
                <w:color w:val="auto"/>
                <w:highlight w:val="none"/>
              </w:rPr>
            </w:pPr>
            <w:r>
              <w:rPr>
                <w:rFonts w:hint="eastAsia" w:ascii="宋体" w:hAnsi="宋体" w:cs="宋体"/>
                <w:color w:val="auto"/>
                <w:highlight w:val="none"/>
              </w:rPr>
              <w:t>编  列  内  容</w:t>
            </w:r>
          </w:p>
        </w:tc>
      </w:tr>
      <w:tr w14:paraId="1904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BE85E9B">
            <w:pPr>
              <w:shd w:val="clear"/>
              <w:jc w:val="center"/>
              <w:rPr>
                <w:rFonts w:hint="eastAsia" w:ascii="宋体" w:hAnsi="宋体" w:cs="宋体"/>
                <w:color w:val="auto"/>
                <w:highlight w:val="none"/>
              </w:rPr>
            </w:pPr>
            <w:r>
              <w:rPr>
                <w:rFonts w:hint="eastAsia" w:ascii="宋体" w:hAnsi="宋体" w:cs="宋体"/>
                <w:color w:val="auto"/>
                <w:highlight w:val="none"/>
              </w:rPr>
              <w:t>1.1.2</w:t>
            </w:r>
          </w:p>
        </w:tc>
        <w:tc>
          <w:tcPr>
            <w:tcW w:w="2551" w:type="dxa"/>
            <w:tcBorders>
              <w:top w:val="single" w:color="auto" w:sz="4" w:space="0"/>
              <w:left w:val="nil"/>
              <w:bottom w:val="single" w:color="auto" w:sz="4" w:space="0"/>
              <w:right w:val="single" w:color="auto" w:sz="4" w:space="0"/>
            </w:tcBorders>
            <w:noWrap w:val="0"/>
            <w:vAlign w:val="center"/>
          </w:tcPr>
          <w:p w14:paraId="64308A5C">
            <w:pPr>
              <w:shd w:val="clear"/>
              <w:jc w:val="center"/>
              <w:rPr>
                <w:rFonts w:hint="eastAsia" w:ascii="宋体" w:hAnsi="宋体" w:cs="宋体"/>
                <w:color w:val="auto"/>
                <w:highlight w:val="none"/>
              </w:rPr>
            </w:pPr>
            <w:r>
              <w:rPr>
                <w:rFonts w:hint="eastAsia" w:ascii="宋体" w:hAnsi="宋体" w:cs="宋体"/>
                <w:color w:val="auto"/>
                <w:highlight w:val="none"/>
              </w:rPr>
              <w:t>招标人</w:t>
            </w:r>
          </w:p>
        </w:tc>
        <w:tc>
          <w:tcPr>
            <w:tcW w:w="6224" w:type="dxa"/>
            <w:tcBorders>
              <w:top w:val="single" w:color="auto" w:sz="4" w:space="0"/>
              <w:left w:val="nil"/>
              <w:bottom w:val="single" w:color="auto" w:sz="4" w:space="0"/>
              <w:right w:val="single" w:color="auto" w:sz="4" w:space="0"/>
            </w:tcBorders>
            <w:noWrap w:val="0"/>
            <w:vAlign w:val="center"/>
          </w:tcPr>
          <w:p w14:paraId="5153AA0D">
            <w:pPr>
              <w:shd w:val="clear"/>
              <w:rPr>
                <w:rFonts w:hint="eastAsia" w:ascii="宋体" w:hAnsi="宋体" w:eastAsia="宋体" w:cs="宋体"/>
                <w:color w:val="auto"/>
                <w:highlight w:val="none"/>
                <w:u w:val="single"/>
                <w:lang w:eastAsia="zh-CN"/>
              </w:rPr>
            </w:pPr>
            <w:r>
              <w:rPr>
                <w:rFonts w:hint="eastAsia" w:ascii="宋体" w:hAnsi="宋体" w:cs="宋体"/>
                <w:color w:val="auto"/>
                <w:highlight w:val="none"/>
              </w:rPr>
              <w:t>名称：</w:t>
            </w:r>
            <w:r>
              <w:rPr>
                <w:rFonts w:hint="eastAsia" w:ascii="宋体" w:hAnsi="宋体" w:cs="宋体"/>
                <w:color w:val="auto"/>
                <w:highlight w:val="none"/>
                <w:u w:val="single"/>
                <w:lang w:eastAsia="zh-CN"/>
              </w:rPr>
              <w:t>广州开发区交投低空产业服务发展有限公司</w:t>
            </w:r>
          </w:p>
          <w:p w14:paraId="0AD482A4">
            <w:pPr>
              <w:shd w:val="clear"/>
              <w:rPr>
                <w:rFonts w:hint="default" w:ascii="宋体" w:hAnsi="宋体" w:eastAsia="宋体" w:cs="宋体"/>
                <w:color w:val="auto"/>
                <w:highlight w:val="none"/>
                <w:u w:val="single"/>
                <w:lang w:val="en-US" w:eastAsia="zh-CN"/>
              </w:rPr>
            </w:pPr>
            <w:r>
              <w:rPr>
                <w:rFonts w:hint="eastAsia" w:ascii="宋体" w:hAnsi="宋体" w:cs="宋体"/>
                <w:color w:val="auto"/>
                <w:highlight w:val="none"/>
              </w:rPr>
              <w:t>地址：</w:t>
            </w:r>
            <w:r>
              <w:rPr>
                <w:rFonts w:hint="eastAsia" w:ascii="宋体" w:hAnsi="宋体" w:cs="宋体"/>
                <w:color w:val="auto"/>
                <w:highlight w:val="none"/>
                <w:u w:val="single"/>
                <w:lang w:val="en-US" w:eastAsia="zh-CN"/>
              </w:rPr>
              <w:t>广州市黄埔区香雪大道西 321号智慧交通综合运营中心401-402室</w:t>
            </w:r>
          </w:p>
          <w:p w14:paraId="25B98A2D">
            <w:pPr>
              <w:shd w:val="clear"/>
              <w:rPr>
                <w:rFonts w:hint="default"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u w:val="single"/>
                <w:lang w:val="en-US" w:eastAsia="zh-CN"/>
              </w:rPr>
              <w:t>王工</w:t>
            </w:r>
          </w:p>
          <w:p w14:paraId="42E4FFC3">
            <w:pPr>
              <w:shd w:val="clear"/>
              <w:rPr>
                <w:rFonts w:hint="default" w:ascii="宋体" w:hAnsi="宋体" w:eastAsia="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u w:val="single"/>
                <w:lang w:val="en-US" w:eastAsia="zh-CN"/>
              </w:rPr>
              <w:t>020-89856995</w:t>
            </w:r>
          </w:p>
        </w:tc>
      </w:tr>
      <w:tr w14:paraId="7AAD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B60F97E">
            <w:pPr>
              <w:shd w:val="clear"/>
              <w:jc w:val="center"/>
              <w:rPr>
                <w:rFonts w:hint="eastAsia" w:ascii="宋体" w:hAnsi="宋体" w:cs="宋体"/>
                <w:color w:val="auto"/>
                <w:highlight w:val="none"/>
              </w:rPr>
            </w:pPr>
            <w:r>
              <w:rPr>
                <w:rFonts w:hint="eastAsia" w:ascii="宋体" w:hAnsi="宋体" w:cs="宋体"/>
                <w:color w:val="auto"/>
                <w:highlight w:val="none"/>
              </w:rPr>
              <w:t>1.1.3</w:t>
            </w:r>
          </w:p>
        </w:tc>
        <w:tc>
          <w:tcPr>
            <w:tcW w:w="2551" w:type="dxa"/>
            <w:tcBorders>
              <w:top w:val="single" w:color="auto" w:sz="4" w:space="0"/>
              <w:left w:val="nil"/>
              <w:bottom w:val="single" w:color="auto" w:sz="4" w:space="0"/>
              <w:right w:val="single" w:color="auto" w:sz="4" w:space="0"/>
            </w:tcBorders>
            <w:noWrap w:val="0"/>
            <w:vAlign w:val="center"/>
          </w:tcPr>
          <w:p w14:paraId="2E74A9F8">
            <w:pPr>
              <w:shd w:val="clear"/>
              <w:jc w:val="center"/>
              <w:rPr>
                <w:rFonts w:hint="eastAsia" w:ascii="宋体" w:hAnsi="宋体" w:cs="宋体"/>
                <w:color w:val="auto"/>
                <w:highlight w:val="none"/>
              </w:rPr>
            </w:pPr>
            <w:r>
              <w:rPr>
                <w:rFonts w:hint="eastAsia" w:ascii="宋体" w:hAnsi="宋体" w:cs="宋体"/>
                <w:color w:val="auto"/>
                <w:highlight w:val="none"/>
              </w:rPr>
              <w:t>招标代理机构</w:t>
            </w:r>
          </w:p>
        </w:tc>
        <w:tc>
          <w:tcPr>
            <w:tcW w:w="6224" w:type="dxa"/>
            <w:tcBorders>
              <w:top w:val="single" w:color="auto" w:sz="4" w:space="0"/>
              <w:left w:val="nil"/>
              <w:bottom w:val="single" w:color="auto" w:sz="4" w:space="0"/>
              <w:right w:val="single" w:color="auto" w:sz="4" w:space="0"/>
            </w:tcBorders>
            <w:noWrap w:val="0"/>
            <w:vAlign w:val="center"/>
          </w:tcPr>
          <w:p w14:paraId="62675E73">
            <w:pPr>
              <w:shd w:val="clear"/>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u w:val="single"/>
                <w:lang w:eastAsia="zh-CN"/>
              </w:rPr>
              <w:t>广东省机电设备招标有限公司</w:t>
            </w:r>
          </w:p>
          <w:p w14:paraId="4A7A868B">
            <w:pPr>
              <w:shd w:val="clear"/>
              <w:rPr>
                <w:rFonts w:hint="eastAsia" w:ascii="宋体" w:hAnsi="宋体" w:eastAsia="宋体" w:cs="宋体"/>
                <w:color w:val="auto"/>
                <w:highlight w:val="none"/>
                <w:u w:val="single"/>
                <w:lang w:eastAsia="zh-CN"/>
              </w:rPr>
            </w:pPr>
            <w:r>
              <w:rPr>
                <w:rFonts w:hint="eastAsia" w:ascii="宋体" w:hAnsi="宋体" w:cs="宋体"/>
                <w:color w:val="auto"/>
                <w:highlight w:val="none"/>
              </w:rPr>
              <w:t>地址：</w:t>
            </w:r>
            <w:r>
              <w:rPr>
                <w:rFonts w:hint="eastAsia" w:ascii="宋体" w:hAnsi="宋体" w:cs="宋体"/>
                <w:color w:val="auto"/>
                <w:highlight w:val="none"/>
                <w:u w:val="single"/>
                <w:lang w:eastAsia="zh-CN"/>
              </w:rPr>
              <w:t>广东省广州市越秀区环市中路316号金鹰大厦10楼</w:t>
            </w:r>
          </w:p>
          <w:p w14:paraId="68B90901">
            <w:pPr>
              <w:shd w:val="clear"/>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u w:val="single"/>
                <w:lang w:val="en-US" w:eastAsia="zh-CN"/>
              </w:rPr>
              <w:t>张工</w:t>
            </w:r>
          </w:p>
          <w:p w14:paraId="301681E8">
            <w:pPr>
              <w:shd w:val="clear"/>
              <w:rPr>
                <w:rFonts w:hint="eastAsia" w:ascii="宋体" w:hAnsi="宋体" w:eastAsia="宋体" w:cs="宋体"/>
                <w:color w:val="auto"/>
                <w:highlight w:val="none"/>
                <w:lang w:eastAsia="zh-CN"/>
              </w:rPr>
            </w:pPr>
            <w:r>
              <w:rPr>
                <w:rFonts w:hint="eastAsia" w:ascii="宋体" w:hAnsi="宋体" w:cs="宋体"/>
                <w:color w:val="auto"/>
                <w:highlight w:val="none"/>
              </w:rPr>
              <w:t>电话：</w:t>
            </w:r>
            <w:r>
              <w:rPr>
                <w:rFonts w:hint="eastAsia" w:ascii="宋体" w:hAnsi="宋体" w:cs="宋体"/>
                <w:color w:val="auto"/>
                <w:highlight w:val="none"/>
                <w:u w:val="single"/>
                <w:lang w:eastAsia="zh-CN"/>
              </w:rPr>
              <w:t>020-83544117</w:t>
            </w:r>
          </w:p>
        </w:tc>
      </w:tr>
      <w:tr w14:paraId="01F9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814818C">
            <w:pPr>
              <w:shd w:val="clear"/>
              <w:jc w:val="center"/>
              <w:rPr>
                <w:rFonts w:hint="eastAsia" w:ascii="宋体" w:hAnsi="宋体" w:cs="宋体"/>
                <w:color w:val="auto"/>
                <w:highlight w:val="none"/>
              </w:rPr>
            </w:pPr>
            <w:r>
              <w:rPr>
                <w:rFonts w:hint="eastAsia" w:ascii="宋体" w:hAnsi="宋体" w:cs="宋体"/>
                <w:color w:val="auto"/>
                <w:highlight w:val="none"/>
              </w:rPr>
              <w:t>1.1.4</w:t>
            </w:r>
          </w:p>
        </w:tc>
        <w:tc>
          <w:tcPr>
            <w:tcW w:w="2551" w:type="dxa"/>
            <w:tcBorders>
              <w:top w:val="single" w:color="auto" w:sz="4" w:space="0"/>
              <w:left w:val="nil"/>
              <w:bottom w:val="single" w:color="auto" w:sz="4" w:space="0"/>
              <w:right w:val="single" w:color="auto" w:sz="4" w:space="0"/>
            </w:tcBorders>
            <w:noWrap w:val="0"/>
            <w:vAlign w:val="center"/>
          </w:tcPr>
          <w:p w14:paraId="078CE0DC">
            <w:pPr>
              <w:shd w:val="clear"/>
              <w:jc w:val="center"/>
              <w:rPr>
                <w:rFonts w:hint="eastAsia" w:ascii="宋体" w:hAnsi="宋体" w:cs="宋体"/>
                <w:color w:val="auto"/>
                <w:highlight w:val="none"/>
              </w:rPr>
            </w:pPr>
            <w:r>
              <w:rPr>
                <w:rFonts w:hint="eastAsia" w:ascii="宋体" w:hAnsi="宋体" w:cs="宋体"/>
                <w:color w:val="auto"/>
                <w:highlight w:val="none"/>
              </w:rPr>
              <w:t>招标项目名称</w:t>
            </w:r>
          </w:p>
        </w:tc>
        <w:tc>
          <w:tcPr>
            <w:tcW w:w="6224" w:type="dxa"/>
            <w:tcBorders>
              <w:top w:val="single" w:color="auto" w:sz="4" w:space="0"/>
              <w:left w:val="nil"/>
              <w:bottom w:val="single" w:color="auto" w:sz="4" w:space="0"/>
              <w:right w:val="single" w:color="auto" w:sz="4" w:space="0"/>
            </w:tcBorders>
            <w:noWrap w:val="0"/>
            <w:vAlign w:val="center"/>
          </w:tcPr>
          <w:p w14:paraId="7C3B3FC7">
            <w:pPr>
              <w:shd w:val="clear"/>
              <w:rPr>
                <w:rFonts w:hint="eastAsia" w:ascii="宋体" w:hAnsi="宋体" w:eastAsia="宋体" w:cs="宋体"/>
                <w:color w:val="auto"/>
                <w:highlight w:val="none"/>
                <w:lang w:eastAsia="zh-CN"/>
              </w:rPr>
            </w:pPr>
            <w:r>
              <w:rPr>
                <w:rFonts w:hint="eastAsia" w:ascii="宋体" w:hAnsi="宋体" w:cs="宋体"/>
                <w:color w:val="auto"/>
                <w:highlight w:val="none"/>
                <w:lang w:eastAsia="zh-CN"/>
              </w:rPr>
              <w:t>知识城低空产业装备智造园监理服务</w:t>
            </w:r>
          </w:p>
        </w:tc>
      </w:tr>
      <w:tr w14:paraId="3902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C2C24B4">
            <w:pPr>
              <w:shd w:val="clear"/>
              <w:jc w:val="center"/>
              <w:rPr>
                <w:rFonts w:hint="eastAsia" w:ascii="宋体" w:hAnsi="宋体" w:cs="宋体"/>
                <w:color w:val="auto"/>
                <w:highlight w:val="none"/>
              </w:rPr>
            </w:pPr>
            <w:r>
              <w:rPr>
                <w:rFonts w:hint="eastAsia" w:ascii="宋体" w:hAnsi="宋体" w:cs="宋体"/>
                <w:color w:val="auto"/>
                <w:highlight w:val="none"/>
              </w:rPr>
              <w:t>1.1.5</w:t>
            </w:r>
          </w:p>
        </w:tc>
        <w:tc>
          <w:tcPr>
            <w:tcW w:w="2551" w:type="dxa"/>
            <w:tcBorders>
              <w:top w:val="single" w:color="auto" w:sz="4" w:space="0"/>
              <w:left w:val="nil"/>
              <w:bottom w:val="single" w:color="auto" w:sz="4" w:space="0"/>
              <w:right w:val="single" w:color="auto" w:sz="4" w:space="0"/>
            </w:tcBorders>
            <w:noWrap w:val="0"/>
            <w:vAlign w:val="center"/>
          </w:tcPr>
          <w:p w14:paraId="1CB1095A">
            <w:pPr>
              <w:shd w:val="clear"/>
              <w:jc w:val="center"/>
              <w:rPr>
                <w:rFonts w:hint="eastAsia" w:ascii="宋体" w:hAnsi="宋体" w:cs="宋体"/>
                <w:color w:val="auto"/>
                <w:highlight w:val="none"/>
              </w:rPr>
            </w:pPr>
            <w:r>
              <w:rPr>
                <w:rFonts w:hint="eastAsia" w:ascii="宋体" w:hAnsi="宋体" w:cs="宋体"/>
                <w:color w:val="auto"/>
                <w:highlight w:val="none"/>
              </w:rPr>
              <w:t>项目建设地点</w:t>
            </w:r>
          </w:p>
        </w:tc>
        <w:tc>
          <w:tcPr>
            <w:tcW w:w="6224" w:type="dxa"/>
            <w:tcBorders>
              <w:top w:val="single" w:color="auto" w:sz="4" w:space="0"/>
              <w:left w:val="nil"/>
              <w:bottom w:val="single" w:color="auto" w:sz="4" w:space="0"/>
              <w:right w:val="single" w:color="auto" w:sz="4" w:space="0"/>
            </w:tcBorders>
            <w:noWrap w:val="0"/>
            <w:vAlign w:val="center"/>
          </w:tcPr>
          <w:p w14:paraId="6C8412CC">
            <w:pPr>
              <w:shd w:val="clear"/>
              <w:rPr>
                <w:rFonts w:hint="eastAsia" w:ascii="宋体" w:hAnsi="宋体" w:cs="宋体"/>
                <w:color w:val="auto"/>
                <w:highlight w:val="none"/>
              </w:rPr>
            </w:pPr>
            <w:r>
              <w:rPr>
                <w:rFonts w:hint="eastAsia" w:ascii="宋体" w:hAnsi="宋体" w:cs="宋体"/>
                <w:color w:val="auto"/>
                <w:highlight w:val="none"/>
              </w:rPr>
              <w:t>详见招标公告</w:t>
            </w:r>
          </w:p>
        </w:tc>
      </w:tr>
      <w:tr w14:paraId="61F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27D5462">
            <w:pPr>
              <w:shd w:val="clear"/>
              <w:jc w:val="center"/>
              <w:rPr>
                <w:rFonts w:hint="eastAsia" w:ascii="宋体" w:hAnsi="宋体" w:cs="宋体"/>
                <w:color w:val="auto"/>
                <w:highlight w:val="none"/>
              </w:rPr>
            </w:pPr>
            <w:r>
              <w:rPr>
                <w:rFonts w:hint="eastAsia" w:ascii="宋体" w:hAnsi="宋体" w:cs="宋体"/>
                <w:color w:val="auto"/>
                <w:highlight w:val="none"/>
              </w:rPr>
              <w:t>1.1.6</w:t>
            </w:r>
          </w:p>
        </w:tc>
        <w:tc>
          <w:tcPr>
            <w:tcW w:w="2551" w:type="dxa"/>
            <w:tcBorders>
              <w:top w:val="single" w:color="auto" w:sz="4" w:space="0"/>
              <w:left w:val="nil"/>
              <w:bottom w:val="single" w:color="auto" w:sz="4" w:space="0"/>
              <w:right w:val="single" w:color="auto" w:sz="4" w:space="0"/>
            </w:tcBorders>
            <w:noWrap w:val="0"/>
            <w:vAlign w:val="center"/>
          </w:tcPr>
          <w:p w14:paraId="7C8D5FA9">
            <w:pPr>
              <w:shd w:val="clear"/>
              <w:jc w:val="center"/>
              <w:rPr>
                <w:rFonts w:hint="eastAsia" w:ascii="宋体" w:hAnsi="宋体" w:cs="宋体"/>
                <w:color w:val="auto"/>
                <w:highlight w:val="none"/>
              </w:rPr>
            </w:pPr>
            <w:r>
              <w:rPr>
                <w:rFonts w:hint="eastAsia" w:ascii="宋体" w:hAnsi="宋体" w:cs="宋体"/>
                <w:color w:val="auto"/>
                <w:highlight w:val="none"/>
              </w:rPr>
              <w:t>项目建设规模</w:t>
            </w:r>
          </w:p>
        </w:tc>
        <w:tc>
          <w:tcPr>
            <w:tcW w:w="6224" w:type="dxa"/>
            <w:tcBorders>
              <w:top w:val="single" w:color="auto" w:sz="4" w:space="0"/>
              <w:left w:val="nil"/>
              <w:bottom w:val="single" w:color="auto" w:sz="4" w:space="0"/>
              <w:right w:val="single" w:color="auto" w:sz="4" w:space="0"/>
            </w:tcBorders>
            <w:noWrap w:val="0"/>
            <w:vAlign w:val="center"/>
          </w:tcPr>
          <w:p w14:paraId="2F862FB1">
            <w:pPr>
              <w:shd w:val="clear"/>
              <w:rPr>
                <w:rFonts w:hint="eastAsia" w:ascii="宋体" w:hAnsi="宋体" w:cs="宋体"/>
                <w:color w:val="auto"/>
                <w:highlight w:val="none"/>
              </w:rPr>
            </w:pPr>
            <w:r>
              <w:rPr>
                <w:rFonts w:hint="eastAsia" w:ascii="宋体" w:hAnsi="宋体" w:cs="宋体"/>
                <w:color w:val="auto"/>
                <w:highlight w:val="none"/>
              </w:rPr>
              <w:t>详见招标公告</w:t>
            </w:r>
          </w:p>
        </w:tc>
      </w:tr>
      <w:tr w14:paraId="19BA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A7552AD">
            <w:pPr>
              <w:shd w:val="clear"/>
              <w:jc w:val="center"/>
              <w:rPr>
                <w:rFonts w:hint="eastAsia" w:ascii="宋体" w:hAnsi="宋体" w:eastAsia="宋体" w:cs="宋体"/>
                <w:color w:val="auto"/>
                <w:highlight w:val="none"/>
                <w:lang w:eastAsia="zh-CN"/>
              </w:rPr>
            </w:pPr>
            <w:r>
              <w:rPr>
                <w:rFonts w:hint="eastAsia" w:ascii="宋体" w:hAnsi="宋体" w:cs="宋体"/>
                <w:color w:val="auto"/>
                <w:highlight w:val="none"/>
              </w:rPr>
              <w:t>1.1.</w:t>
            </w:r>
            <w:r>
              <w:rPr>
                <w:rFonts w:hint="eastAsia" w:ascii="宋体" w:hAnsi="宋体" w:cs="宋体"/>
                <w:color w:val="auto"/>
                <w:highlight w:val="none"/>
                <w:lang w:val="en-US" w:eastAsia="zh-CN"/>
              </w:rPr>
              <w:t>7</w:t>
            </w:r>
          </w:p>
        </w:tc>
        <w:tc>
          <w:tcPr>
            <w:tcW w:w="2551" w:type="dxa"/>
            <w:tcBorders>
              <w:top w:val="single" w:color="auto" w:sz="4" w:space="0"/>
              <w:left w:val="nil"/>
              <w:bottom w:val="single" w:color="auto" w:sz="4" w:space="0"/>
              <w:right w:val="single" w:color="auto" w:sz="4" w:space="0"/>
            </w:tcBorders>
            <w:noWrap w:val="0"/>
            <w:vAlign w:val="center"/>
          </w:tcPr>
          <w:p w14:paraId="6284FB9A">
            <w:pPr>
              <w:shd w:val="clear"/>
              <w:jc w:val="center"/>
              <w:rPr>
                <w:rFonts w:hint="eastAsia" w:ascii="宋体" w:hAnsi="宋体" w:cs="宋体"/>
                <w:color w:val="auto"/>
                <w:highlight w:val="none"/>
              </w:rPr>
            </w:pPr>
            <w:r>
              <w:rPr>
                <w:rFonts w:hint="eastAsia" w:ascii="宋体" w:hAnsi="宋体" w:cs="宋体"/>
                <w:color w:val="auto"/>
                <w:highlight w:val="none"/>
              </w:rPr>
              <w:t>建筑安装工程费</w:t>
            </w:r>
          </w:p>
        </w:tc>
        <w:tc>
          <w:tcPr>
            <w:tcW w:w="6224" w:type="dxa"/>
            <w:tcBorders>
              <w:top w:val="single" w:color="auto" w:sz="4" w:space="0"/>
              <w:left w:val="nil"/>
              <w:bottom w:val="single" w:color="auto" w:sz="4" w:space="0"/>
              <w:right w:val="single" w:color="auto" w:sz="4" w:space="0"/>
            </w:tcBorders>
            <w:noWrap w:val="0"/>
            <w:vAlign w:val="center"/>
          </w:tcPr>
          <w:p w14:paraId="381FC914">
            <w:pPr>
              <w:shd w:val="clear"/>
              <w:rPr>
                <w:rFonts w:hint="eastAsia" w:ascii="宋体" w:hAnsi="宋体" w:cs="宋体"/>
                <w:color w:val="auto"/>
                <w:highlight w:val="none"/>
              </w:rPr>
            </w:pPr>
            <w:r>
              <w:rPr>
                <w:rFonts w:hint="eastAsia" w:ascii="宋体" w:hAnsi="宋体" w:cs="宋体"/>
                <w:color w:val="auto"/>
                <w:highlight w:val="none"/>
              </w:rPr>
              <w:t>详见招标公告。</w:t>
            </w:r>
          </w:p>
        </w:tc>
      </w:tr>
      <w:tr w14:paraId="77AB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1D345E4">
            <w:pPr>
              <w:shd w:val="clear"/>
              <w:jc w:val="center"/>
              <w:rPr>
                <w:rFonts w:hint="eastAsia" w:ascii="宋体" w:hAnsi="宋体" w:cs="宋体"/>
                <w:color w:val="auto"/>
                <w:highlight w:val="none"/>
              </w:rPr>
            </w:pPr>
            <w:r>
              <w:rPr>
                <w:rFonts w:hint="eastAsia" w:ascii="宋体" w:hAnsi="宋体" w:cs="宋体"/>
                <w:color w:val="auto"/>
                <w:highlight w:val="none"/>
              </w:rPr>
              <w:t>1.2.1</w:t>
            </w:r>
          </w:p>
        </w:tc>
        <w:tc>
          <w:tcPr>
            <w:tcW w:w="2551" w:type="dxa"/>
            <w:tcBorders>
              <w:top w:val="single" w:color="auto" w:sz="4" w:space="0"/>
              <w:left w:val="nil"/>
              <w:bottom w:val="single" w:color="auto" w:sz="4" w:space="0"/>
              <w:right w:val="single" w:color="auto" w:sz="4" w:space="0"/>
            </w:tcBorders>
            <w:noWrap w:val="0"/>
            <w:vAlign w:val="center"/>
          </w:tcPr>
          <w:p w14:paraId="4C8F6488">
            <w:pPr>
              <w:shd w:val="clear"/>
              <w:jc w:val="center"/>
              <w:rPr>
                <w:rFonts w:hint="eastAsia" w:ascii="宋体" w:hAnsi="宋体" w:cs="宋体"/>
                <w:color w:val="auto"/>
                <w:highlight w:val="none"/>
              </w:rPr>
            </w:pPr>
            <w:r>
              <w:rPr>
                <w:rFonts w:hint="eastAsia" w:ascii="宋体" w:hAnsi="宋体" w:cs="宋体"/>
                <w:color w:val="auto"/>
                <w:highlight w:val="none"/>
              </w:rPr>
              <w:t>资金来源及比例</w:t>
            </w:r>
          </w:p>
        </w:tc>
        <w:tc>
          <w:tcPr>
            <w:tcW w:w="6224" w:type="dxa"/>
            <w:tcBorders>
              <w:top w:val="single" w:color="auto" w:sz="4" w:space="0"/>
              <w:left w:val="nil"/>
              <w:bottom w:val="single" w:color="auto" w:sz="4" w:space="0"/>
              <w:right w:val="single" w:color="auto" w:sz="4" w:space="0"/>
            </w:tcBorders>
            <w:noWrap w:val="0"/>
            <w:vAlign w:val="center"/>
          </w:tcPr>
          <w:p w14:paraId="5E2B438E">
            <w:pPr>
              <w:shd w:val="clear"/>
              <w:rPr>
                <w:rFonts w:hint="eastAsia" w:ascii="宋体" w:hAnsi="宋体" w:cs="宋体"/>
                <w:color w:val="auto"/>
                <w:highlight w:val="none"/>
                <w:u w:val="single"/>
              </w:rPr>
            </w:pPr>
            <w:r>
              <w:rPr>
                <w:rFonts w:hint="eastAsia" w:ascii="宋体" w:hAnsi="宋体" w:cs="宋体"/>
                <w:color w:val="auto"/>
                <w:highlight w:val="none"/>
              </w:rPr>
              <w:t>建设资金来自</w:t>
            </w:r>
            <w:r>
              <w:rPr>
                <w:rFonts w:hint="eastAsia" w:ascii="宋体" w:hAnsi="宋体" w:cs="宋体"/>
                <w:color w:val="auto"/>
                <w:highlight w:val="none"/>
                <w:lang w:eastAsia="zh-CN"/>
              </w:rPr>
              <w:t>企业自筹资金</w:t>
            </w:r>
            <w:r>
              <w:rPr>
                <w:rFonts w:hint="eastAsia" w:ascii="宋体" w:hAnsi="宋体" w:cs="宋体"/>
                <w:color w:val="auto"/>
                <w:highlight w:val="none"/>
              </w:rPr>
              <w:t>，出资比例为100%。</w:t>
            </w:r>
          </w:p>
        </w:tc>
      </w:tr>
      <w:tr w14:paraId="053B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38C3CB8">
            <w:pPr>
              <w:shd w:val="clear"/>
              <w:jc w:val="center"/>
              <w:rPr>
                <w:rFonts w:hint="eastAsia" w:ascii="宋体" w:hAnsi="宋体" w:cs="宋体"/>
                <w:color w:val="auto"/>
                <w:highlight w:val="none"/>
              </w:rPr>
            </w:pPr>
            <w:r>
              <w:rPr>
                <w:rFonts w:hint="eastAsia" w:ascii="宋体" w:hAnsi="宋体" w:cs="宋体"/>
                <w:color w:val="auto"/>
                <w:highlight w:val="none"/>
              </w:rPr>
              <w:t>1.2.2</w:t>
            </w:r>
          </w:p>
        </w:tc>
        <w:tc>
          <w:tcPr>
            <w:tcW w:w="2551" w:type="dxa"/>
            <w:tcBorders>
              <w:top w:val="single" w:color="auto" w:sz="4" w:space="0"/>
              <w:left w:val="nil"/>
              <w:bottom w:val="single" w:color="auto" w:sz="4" w:space="0"/>
              <w:right w:val="single" w:color="auto" w:sz="4" w:space="0"/>
            </w:tcBorders>
            <w:noWrap w:val="0"/>
            <w:vAlign w:val="center"/>
          </w:tcPr>
          <w:p w14:paraId="14800ACB">
            <w:pPr>
              <w:shd w:val="clear"/>
              <w:jc w:val="center"/>
              <w:rPr>
                <w:rFonts w:hint="eastAsia" w:ascii="宋体" w:hAnsi="宋体" w:cs="宋体"/>
                <w:color w:val="auto"/>
                <w:highlight w:val="none"/>
              </w:rPr>
            </w:pPr>
            <w:r>
              <w:rPr>
                <w:rFonts w:hint="eastAsia" w:ascii="宋体" w:hAnsi="宋体" w:cs="宋体"/>
                <w:color w:val="auto"/>
                <w:highlight w:val="none"/>
              </w:rPr>
              <w:t>资金落实情况</w:t>
            </w:r>
          </w:p>
        </w:tc>
        <w:tc>
          <w:tcPr>
            <w:tcW w:w="6224" w:type="dxa"/>
            <w:tcBorders>
              <w:top w:val="single" w:color="auto" w:sz="4" w:space="0"/>
              <w:left w:val="nil"/>
              <w:bottom w:val="single" w:color="auto" w:sz="4" w:space="0"/>
              <w:right w:val="single" w:color="auto" w:sz="4" w:space="0"/>
            </w:tcBorders>
            <w:noWrap w:val="0"/>
            <w:vAlign w:val="center"/>
          </w:tcPr>
          <w:p w14:paraId="758CCB4F">
            <w:pPr>
              <w:shd w:val="clear"/>
              <w:rPr>
                <w:rFonts w:hint="eastAsia" w:ascii="宋体" w:hAnsi="宋体" w:cs="宋体"/>
                <w:color w:val="auto"/>
                <w:highlight w:val="none"/>
              </w:rPr>
            </w:pPr>
            <w:r>
              <w:rPr>
                <w:rFonts w:hint="eastAsia" w:ascii="宋体" w:hAnsi="宋体" w:cs="宋体"/>
                <w:color w:val="auto"/>
                <w:highlight w:val="none"/>
              </w:rPr>
              <w:t>已落实。</w:t>
            </w:r>
          </w:p>
        </w:tc>
      </w:tr>
      <w:tr w14:paraId="4608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E47DCDA">
            <w:pPr>
              <w:shd w:val="clear"/>
              <w:jc w:val="center"/>
              <w:rPr>
                <w:rFonts w:hint="eastAsia" w:ascii="宋体" w:hAnsi="宋体" w:cs="宋体"/>
                <w:color w:val="auto"/>
                <w:highlight w:val="none"/>
              </w:rPr>
            </w:pPr>
            <w:r>
              <w:rPr>
                <w:rFonts w:hint="eastAsia" w:ascii="宋体" w:hAnsi="宋体" w:cs="宋体"/>
                <w:color w:val="auto"/>
                <w:highlight w:val="none"/>
              </w:rPr>
              <w:t>1.3.1</w:t>
            </w:r>
          </w:p>
        </w:tc>
        <w:tc>
          <w:tcPr>
            <w:tcW w:w="2551" w:type="dxa"/>
            <w:tcBorders>
              <w:top w:val="single" w:color="auto" w:sz="4" w:space="0"/>
              <w:left w:val="nil"/>
              <w:bottom w:val="single" w:color="auto" w:sz="4" w:space="0"/>
              <w:right w:val="single" w:color="auto" w:sz="4" w:space="0"/>
            </w:tcBorders>
            <w:noWrap w:val="0"/>
            <w:vAlign w:val="center"/>
          </w:tcPr>
          <w:p w14:paraId="3C5B2F14">
            <w:pPr>
              <w:shd w:val="clear"/>
              <w:jc w:val="center"/>
              <w:rPr>
                <w:rFonts w:hint="eastAsia" w:ascii="宋体" w:hAnsi="宋体" w:cs="宋体"/>
                <w:color w:val="auto"/>
                <w:highlight w:val="none"/>
              </w:rPr>
            </w:pPr>
            <w:r>
              <w:rPr>
                <w:rFonts w:hint="eastAsia" w:ascii="宋体" w:hAnsi="宋体" w:cs="宋体"/>
                <w:color w:val="auto"/>
                <w:highlight w:val="none"/>
              </w:rPr>
              <w:t>招标范围</w:t>
            </w:r>
          </w:p>
        </w:tc>
        <w:tc>
          <w:tcPr>
            <w:tcW w:w="6224" w:type="dxa"/>
            <w:tcBorders>
              <w:top w:val="single" w:color="auto" w:sz="4" w:space="0"/>
              <w:left w:val="nil"/>
              <w:bottom w:val="single" w:color="auto" w:sz="4" w:space="0"/>
              <w:right w:val="single" w:color="auto" w:sz="4" w:space="0"/>
            </w:tcBorders>
            <w:noWrap w:val="0"/>
            <w:vAlign w:val="center"/>
          </w:tcPr>
          <w:p w14:paraId="546B69C9">
            <w:pPr>
              <w:shd w:val="clear"/>
              <w:rPr>
                <w:rFonts w:hint="eastAsia" w:ascii="宋体" w:hAnsi="宋体" w:cs="宋体"/>
                <w:color w:val="auto"/>
                <w:highlight w:val="none"/>
              </w:rPr>
            </w:pPr>
            <w:r>
              <w:rPr>
                <w:rFonts w:hint="eastAsia" w:ascii="宋体" w:hAnsi="宋体" w:cs="宋体"/>
                <w:color w:val="auto"/>
                <w:highlight w:val="none"/>
              </w:rPr>
              <w:t>详见招标公告。</w:t>
            </w:r>
          </w:p>
        </w:tc>
      </w:tr>
      <w:tr w14:paraId="575E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4BDD246">
            <w:pPr>
              <w:shd w:val="clear"/>
              <w:jc w:val="center"/>
              <w:rPr>
                <w:rFonts w:hint="eastAsia" w:ascii="宋体" w:hAnsi="宋体" w:cs="宋体"/>
                <w:color w:val="auto"/>
                <w:highlight w:val="none"/>
              </w:rPr>
            </w:pPr>
            <w:r>
              <w:rPr>
                <w:rFonts w:hint="eastAsia" w:ascii="宋体" w:hAnsi="宋体" w:cs="宋体"/>
                <w:color w:val="auto"/>
                <w:highlight w:val="none"/>
              </w:rPr>
              <w:t>1.3.2</w:t>
            </w:r>
          </w:p>
        </w:tc>
        <w:tc>
          <w:tcPr>
            <w:tcW w:w="2551" w:type="dxa"/>
            <w:tcBorders>
              <w:top w:val="single" w:color="auto" w:sz="4" w:space="0"/>
              <w:left w:val="nil"/>
              <w:bottom w:val="single" w:color="auto" w:sz="4" w:space="0"/>
              <w:right w:val="single" w:color="auto" w:sz="4" w:space="0"/>
            </w:tcBorders>
            <w:noWrap w:val="0"/>
            <w:vAlign w:val="center"/>
          </w:tcPr>
          <w:p w14:paraId="7E8BFC73">
            <w:pPr>
              <w:shd w:val="clear"/>
              <w:jc w:val="center"/>
              <w:rPr>
                <w:rFonts w:hint="eastAsia" w:ascii="宋体" w:hAnsi="宋体" w:cs="宋体"/>
                <w:color w:val="auto"/>
                <w:highlight w:val="none"/>
                <w:u w:val="single"/>
              </w:rPr>
            </w:pPr>
            <w:r>
              <w:rPr>
                <w:rFonts w:hint="eastAsia" w:ascii="宋体" w:hAnsi="宋体" w:cs="宋体"/>
                <w:color w:val="auto"/>
                <w:highlight w:val="none"/>
                <w:u w:val="single"/>
              </w:rPr>
              <w:t>监理服务期限</w:t>
            </w:r>
          </w:p>
        </w:tc>
        <w:tc>
          <w:tcPr>
            <w:tcW w:w="6224" w:type="dxa"/>
            <w:tcBorders>
              <w:top w:val="single" w:color="auto" w:sz="4" w:space="0"/>
              <w:left w:val="nil"/>
              <w:bottom w:val="single" w:color="auto" w:sz="4" w:space="0"/>
              <w:right w:val="single" w:color="auto" w:sz="4" w:space="0"/>
            </w:tcBorders>
            <w:noWrap w:val="0"/>
            <w:vAlign w:val="center"/>
          </w:tcPr>
          <w:p w14:paraId="0B88F01A">
            <w:pPr>
              <w:shd w:val="clear"/>
              <w:jc w:val="left"/>
              <w:rPr>
                <w:rFonts w:hint="eastAsia" w:ascii="宋体" w:hAnsi="宋体" w:cs="宋体"/>
                <w:color w:val="auto"/>
                <w:highlight w:val="none"/>
              </w:rPr>
            </w:pPr>
            <w:r>
              <w:rPr>
                <w:rFonts w:hint="eastAsia" w:ascii="宋体" w:hAnsi="宋体" w:cs="宋体"/>
                <w:color w:val="auto"/>
                <w:highlight w:val="none"/>
              </w:rPr>
              <w:t>详见招标公告。</w:t>
            </w:r>
          </w:p>
        </w:tc>
      </w:tr>
      <w:tr w14:paraId="78F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442336A">
            <w:pPr>
              <w:shd w:val="clear"/>
              <w:jc w:val="center"/>
              <w:rPr>
                <w:rFonts w:hint="eastAsia" w:ascii="宋体" w:hAnsi="宋体" w:cs="宋体"/>
                <w:color w:val="auto"/>
                <w:highlight w:val="none"/>
              </w:rPr>
            </w:pPr>
            <w:r>
              <w:rPr>
                <w:rFonts w:hint="eastAsia" w:ascii="宋体" w:hAnsi="宋体" w:cs="宋体"/>
                <w:color w:val="auto"/>
                <w:highlight w:val="none"/>
              </w:rPr>
              <w:t>1.3.3</w:t>
            </w:r>
          </w:p>
        </w:tc>
        <w:tc>
          <w:tcPr>
            <w:tcW w:w="2551" w:type="dxa"/>
            <w:tcBorders>
              <w:top w:val="single" w:color="auto" w:sz="4" w:space="0"/>
              <w:left w:val="nil"/>
              <w:bottom w:val="single" w:color="auto" w:sz="4" w:space="0"/>
              <w:right w:val="single" w:color="auto" w:sz="4" w:space="0"/>
            </w:tcBorders>
            <w:noWrap w:val="0"/>
            <w:vAlign w:val="center"/>
          </w:tcPr>
          <w:p w14:paraId="7104BE47">
            <w:pPr>
              <w:shd w:val="clear"/>
              <w:jc w:val="center"/>
              <w:rPr>
                <w:rFonts w:hint="eastAsia" w:ascii="宋体" w:hAnsi="宋体" w:cs="宋体"/>
                <w:color w:val="auto"/>
                <w:highlight w:val="none"/>
              </w:rPr>
            </w:pPr>
            <w:r>
              <w:rPr>
                <w:rFonts w:hint="eastAsia" w:ascii="宋体" w:hAnsi="宋体" w:cs="宋体"/>
                <w:color w:val="auto"/>
                <w:highlight w:val="none"/>
              </w:rPr>
              <w:t>质量标准</w:t>
            </w:r>
          </w:p>
        </w:tc>
        <w:tc>
          <w:tcPr>
            <w:tcW w:w="6224" w:type="dxa"/>
            <w:tcBorders>
              <w:top w:val="single" w:color="auto" w:sz="4" w:space="0"/>
              <w:left w:val="nil"/>
              <w:bottom w:val="single" w:color="auto" w:sz="4" w:space="0"/>
              <w:right w:val="single" w:color="auto" w:sz="4" w:space="0"/>
            </w:tcBorders>
            <w:noWrap w:val="0"/>
            <w:vAlign w:val="center"/>
          </w:tcPr>
          <w:p w14:paraId="3FC18982">
            <w:pPr>
              <w:shd w:val="clear"/>
              <w:jc w:val="left"/>
              <w:rPr>
                <w:rFonts w:hint="eastAsia" w:ascii="宋体" w:hAnsi="宋体" w:cs="宋体"/>
                <w:color w:val="auto"/>
                <w:highlight w:val="none"/>
                <w:u w:val="single"/>
              </w:rPr>
            </w:pPr>
            <w:r>
              <w:rPr>
                <w:rFonts w:hint="eastAsia" w:ascii="宋体" w:hAnsi="宋体" w:cs="宋体"/>
                <w:color w:val="auto"/>
                <w:highlight w:val="none"/>
                <w:u w:val="single"/>
              </w:rPr>
              <w:t>详见合同约定为准。</w:t>
            </w:r>
          </w:p>
        </w:tc>
      </w:tr>
      <w:tr w14:paraId="6313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9B792EF">
            <w:pPr>
              <w:shd w:val="clear"/>
              <w:jc w:val="center"/>
              <w:rPr>
                <w:rFonts w:hint="eastAsia" w:ascii="宋体" w:hAnsi="宋体" w:cs="宋体"/>
                <w:color w:val="auto"/>
                <w:highlight w:val="none"/>
              </w:rPr>
            </w:pPr>
            <w:r>
              <w:rPr>
                <w:rFonts w:hint="eastAsia" w:ascii="宋体" w:hAnsi="宋体" w:cs="宋体"/>
                <w:color w:val="auto"/>
                <w:highlight w:val="none"/>
              </w:rPr>
              <w:t>1.4.1</w:t>
            </w:r>
          </w:p>
        </w:tc>
        <w:tc>
          <w:tcPr>
            <w:tcW w:w="2551" w:type="dxa"/>
            <w:tcBorders>
              <w:top w:val="single" w:color="auto" w:sz="4" w:space="0"/>
              <w:left w:val="nil"/>
              <w:bottom w:val="single" w:color="auto" w:sz="4" w:space="0"/>
              <w:right w:val="single" w:color="auto" w:sz="4" w:space="0"/>
            </w:tcBorders>
            <w:noWrap w:val="0"/>
            <w:vAlign w:val="center"/>
          </w:tcPr>
          <w:p w14:paraId="71CA52DC">
            <w:pPr>
              <w:shd w:val="clear"/>
              <w:jc w:val="center"/>
              <w:rPr>
                <w:rFonts w:hint="eastAsia" w:ascii="宋体" w:hAnsi="宋体" w:cs="宋体"/>
                <w:color w:val="auto"/>
                <w:highlight w:val="none"/>
              </w:rPr>
            </w:pPr>
            <w:r>
              <w:rPr>
                <w:rFonts w:hint="eastAsia" w:ascii="宋体" w:hAnsi="宋体" w:cs="宋体"/>
                <w:color w:val="auto"/>
                <w:highlight w:val="none"/>
              </w:rPr>
              <w:t>投标人资质条件、能力、信誉</w:t>
            </w:r>
          </w:p>
        </w:tc>
        <w:tc>
          <w:tcPr>
            <w:tcW w:w="6224" w:type="dxa"/>
            <w:tcBorders>
              <w:top w:val="single" w:color="auto" w:sz="4" w:space="0"/>
              <w:left w:val="nil"/>
              <w:bottom w:val="single" w:color="auto" w:sz="4" w:space="0"/>
              <w:right w:val="single" w:color="auto" w:sz="4" w:space="0"/>
            </w:tcBorders>
            <w:noWrap w:val="0"/>
            <w:vAlign w:val="center"/>
          </w:tcPr>
          <w:p w14:paraId="5D43B942">
            <w:pPr>
              <w:shd w:val="clear"/>
              <w:rPr>
                <w:rFonts w:hint="eastAsia" w:ascii="宋体" w:hAnsi="宋体" w:cs="宋体"/>
                <w:color w:val="auto"/>
                <w:highlight w:val="none"/>
              </w:rPr>
            </w:pPr>
            <w:r>
              <w:rPr>
                <w:rFonts w:hint="eastAsia" w:ascii="宋体" w:hAnsi="宋体" w:cs="宋体"/>
                <w:color w:val="auto"/>
                <w:highlight w:val="none"/>
              </w:rPr>
              <w:t>（1）资质要求：</w:t>
            </w:r>
            <w:r>
              <w:rPr>
                <w:rFonts w:hint="eastAsia" w:ascii="宋体" w:hAnsi="宋体" w:cs="宋体"/>
                <w:color w:val="auto"/>
                <w:highlight w:val="none"/>
                <w:u w:val="single"/>
              </w:rPr>
              <w:t>见招标公告投标人资格要求</w:t>
            </w:r>
            <w:r>
              <w:rPr>
                <w:rFonts w:hint="eastAsia" w:ascii="宋体" w:hAnsi="宋体" w:cs="宋体"/>
                <w:color w:val="auto"/>
                <w:highlight w:val="none"/>
              </w:rPr>
              <w:t>。</w:t>
            </w:r>
          </w:p>
          <w:p w14:paraId="7350A352">
            <w:pPr>
              <w:shd w:val="clear"/>
              <w:rPr>
                <w:rFonts w:hint="eastAsia" w:ascii="宋体" w:hAnsi="宋体" w:cs="宋体"/>
                <w:color w:val="auto"/>
                <w:highlight w:val="none"/>
              </w:rPr>
            </w:pPr>
            <w:r>
              <w:rPr>
                <w:rFonts w:hint="eastAsia" w:ascii="宋体" w:hAnsi="宋体" w:cs="宋体"/>
                <w:color w:val="auto"/>
                <w:highlight w:val="none"/>
              </w:rPr>
              <w:t>（2）财务要求：不要求。</w:t>
            </w:r>
          </w:p>
          <w:p w14:paraId="7C5947DA">
            <w:pPr>
              <w:shd w:val="clear"/>
              <w:rPr>
                <w:rFonts w:hint="eastAsia" w:ascii="宋体" w:hAnsi="宋体" w:cs="宋体"/>
                <w:color w:val="auto"/>
                <w:highlight w:val="none"/>
              </w:rPr>
            </w:pPr>
            <w:r>
              <w:rPr>
                <w:rFonts w:hint="eastAsia" w:ascii="宋体" w:hAnsi="宋体" w:cs="宋体"/>
                <w:color w:val="auto"/>
                <w:highlight w:val="none"/>
              </w:rPr>
              <w:t>（3）业绩要求：不要求。</w:t>
            </w:r>
          </w:p>
          <w:p w14:paraId="1CCC2187">
            <w:pPr>
              <w:shd w:val="clear"/>
              <w:rPr>
                <w:rFonts w:hint="eastAsia" w:ascii="宋体" w:hAnsi="宋体" w:cs="宋体"/>
                <w:color w:val="auto"/>
                <w:highlight w:val="none"/>
              </w:rPr>
            </w:pPr>
            <w:r>
              <w:rPr>
                <w:rFonts w:hint="eastAsia" w:ascii="宋体" w:hAnsi="宋体" w:cs="宋体"/>
                <w:color w:val="auto"/>
                <w:highlight w:val="none"/>
              </w:rPr>
              <w:t>（4）信誉要求：不要求。</w:t>
            </w:r>
          </w:p>
          <w:p w14:paraId="36CF064A">
            <w:pPr>
              <w:shd w:val="clear"/>
              <w:snapToGrid w:val="0"/>
              <w:spacing w:line="400" w:lineRule="exact"/>
              <w:ind w:right="106"/>
              <w:jc w:val="left"/>
              <w:rPr>
                <w:rFonts w:hint="eastAsia" w:ascii="宋体" w:hAnsi="宋体" w:cs="宋体"/>
                <w:color w:val="auto"/>
                <w:highlight w:val="none"/>
              </w:rPr>
            </w:pPr>
            <w:r>
              <w:rPr>
                <w:rFonts w:hint="eastAsia" w:ascii="宋体" w:hAnsi="宋体" w:cs="宋体"/>
                <w:color w:val="auto"/>
                <w:highlight w:val="none"/>
              </w:rPr>
              <w:t>（5）总监理工程师的资格要求：</w:t>
            </w:r>
            <w:r>
              <w:rPr>
                <w:rFonts w:hint="eastAsia" w:ascii="宋体" w:hAnsi="宋体" w:cs="宋体"/>
                <w:color w:val="auto"/>
                <w:highlight w:val="none"/>
                <w:u w:val="single"/>
              </w:rPr>
              <w:t>见招标公告投标人资格要求；</w:t>
            </w:r>
          </w:p>
          <w:p w14:paraId="32AF6FB1">
            <w:pPr>
              <w:shd w:val="clear"/>
              <w:rPr>
                <w:rFonts w:hint="eastAsia" w:ascii="宋体" w:hAnsi="宋体" w:cs="宋体"/>
                <w:color w:val="auto"/>
                <w:highlight w:val="none"/>
              </w:rPr>
            </w:pPr>
            <w:r>
              <w:rPr>
                <w:rFonts w:hint="eastAsia" w:ascii="宋体" w:hAnsi="宋体" w:cs="宋体"/>
                <w:color w:val="auto"/>
                <w:highlight w:val="none"/>
              </w:rPr>
              <w:t>（6）其他主要人员要求：不要求。</w:t>
            </w:r>
          </w:p>
          <w:p w14:paraId="6EE6A442">
            <w:pPr>
              <w:shd w:val="clear"/>
              <w:rPr>
                <w:rFonts w:hint="eastAsia" w:ascii="宋体" w:hAnsi="宋体" w:cs="宋体"/>
                <w:color w:val="auto"/>
                <w:highlight w:val="none"/>
              </w:rPr>
            </w:pPr>
            <w:r>
              <w:rPr>
                <w:rFonts w:hint="eastAsia" w:ascii="宋体" w:hAnsi="宋体" w:cs="宋体"/>
                <w:color w:val="auto"/>
                <w:highlight w:val="none"/>
              </w:rPr>
              <w:t>（7）试验检测仪器设备要求：不要求。</w:t>
            </w:r>
          </w:p>
          <w:p w14:paraId="2E04A443">
            <w:pPr>
              <w:shd w:val="clear"/>
              <w:rPr>
                <w:rFonts w:hint="eastAsia" w:ascii="宋体" w:hAnsi="宋体" w:cs="宋体"/>
                <w:color w:val="auto"/>
                <w:highlight w:val="none"/>
              </w:rPr>
            </w:pPr>
            <w:r>
              <w:rPr>
                <w:rFonts w:hint="eastAsia" w:ascii="宋体" w:hAnsi="宋体" w:cs="宋体"/>
                <w:color w:val="auto"/>
                <w:highlight w:val="none"/>
              </w:rPr>
              <w:t>（8）其他要求：</w:t>
            </w:r>
            <w:r>
              <w:rPr>
                <w:rFonts w:hint="eastAsia" w:ascii="宋体" w:hAnsi="宋体" w:cs="宋体"/>
                <w:color w:val="auto"/>
                <w:highlight w:val="none"/>
                <w:u w:val="single"/>
              </w:rPr>
              <w:t>见招标公告投标人资格要求。</w:t>
            </w:r>
          </w:p>
        </w:tc>
      </w:tr>
      <w:tr w14:paraId="6471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402A0CB">
            <w:pPr>
              <w:shd w:val="clear"/>
              <w:jc w:val="center"/>
              <w:rPr>
                <w:rFonts w:hint="eastAsia" w:ascii="宋体" w:hAnsi="宋体" w:cs="宋体"/>
                <w:color w:val="auto"/>
                <w:highlight w:val="none"/>
              </w:rPr>
            </w:pPr>
            <w:r>
              <w:rPr>
                <w:rFonts w:hint="eastAsia" w:ascii="宋体" w:hAnsi="宋体" w:cs="宋体"/>
                <w:color w:val="auto"/>
                <w:highlight w:val="none"/>
              </w:rPr>
              <w:t>1.4.2</w:t>
            </w:r>
          </w:p>
        </w:tc>
        <w:tc>
          <w:tcPr>
            <w:tcW w:w="2551" w:type="dxa"/>
            <w:tcBorders>
              <w:top w:val="single" w:color="auto" w:sz="4" w:space="0"/>
              <w:left w:val="nil"/>
              <w:bottom w:val="single" w:color="auto" w:sz="4" w:space="0"/>
              <w:right w:val="single" w:color="auto" w:sz="4" w:space="0"/>
            </w:tcBorders>
            <w:noWrap w:val="0"/>
            <w:vAlign w:val="center"/>
          </w:tcPr>
          <w:p w14:paraId="0EB6B4B2">
            <w:pPr>
              <w:shd w:val="clear"/>
              <w:jc w:val="center"/>
              <w:rPr>
                <w:rFonts w:hint="eastAsia" w:ascii="宋体" w:hAnsi="宋体" w:cs="宋体"/>
                <w:color w:val="auto"/>
                <w:highlight w:val="none"/>
              </w:rPr>
            </w:pPr>
            <w:r>
              <w:rPr>
                <w:rFonts w:hint="eastAsia" w:ascii="宋体" w:hAnsi="宋体" w:cs="宋体"/>
                <w:color w:val="auto"/>
                <w:highlight w:val="none"/>
              </w:rPr>
              <w:t>是否接受联合体投标</w:t>
            </w:r>
          </w:p>
        </w:tc>
        <w:tc>
          <w:tcPr>
            <w:tcW w:w="6224" w:type="dxa"/>
            <w:tcBorders>
              <w:top w:val="single" w:color="auto" w:sz="4" w:space="0"/>
              <w:left w:val="nil"/>
              <w:bottom w:val="single" w:color="auto" w:sz="4" w:space="0"/>
              <w:right w:val="single" w:color="auto" w:sz="4" w:space="0"/>
            </w:tcBorders>
            <w:noWrap w:val="0"/>
            <w:vAlign w:val="center"/>
          </w:tcPr>
          <w:p w14:paraId="21F76E94">
            <w:pPr>
              <w:shd w:val="clear"/>
              <w:snapToGrid w:val="0"/>
              <w:spacing w:line="400" w:lineRule="exact"/>
              <w:ind w:right="-238"/>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position w:val="3"/>
                <w:highlight w:val="none"/>
              </w:rPr>
              <w:t>不接受</w:t>
            </w:r>
          </w:p>
          <w:p w14:paraId="62971BF3">
            <w:pPr>
              <w:shd w:val="clear"/>
              <w:rPr>
                <w:rFonts w:hint="eastAsia" w:ascii="宋体" w:hAnsi="宋体" w:cs="宋体"/>
                <w:color w:val="auto"/>
                <w:highlight w:val="none"/>
              </w:rPr>
            </w:pPr>
            <w:r>
              <w:rPr>
                <w:rFonts w:hint="eastAsia" w:ascii="宋体" w:hAnsi="宋体" w:cs="宋体"/>
                <w:color w:val="auto"/>
                <w:highlight w:val="none"/>
              </w:rPr>
              <w:t>□接受，应满足下列要求：</w:t>
            </w:r>
            <w:r>
              <w:rPr>
                <w:rFonts w:hint="eastAsia" w:ascii="宋体" w:hAnsi="宋体" w:cs="宋体"/>
                <w:color w:val="auto"/>
                <w:highlight w:val="none"/>
                <w:u w:val="single"/>
              </w:rPr>
              <w:t>/</w:t>
            </w:r>
          </w:p>
        </w:tc>
      </w:tr>
      <w:tr w14:paraId="42D3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70C60655">
            <w:pPr>
              <w:shd w:val="clear"/>
              <w:jc w:val="center"/>
              <w:rPr>
                <w:rFonts w:hint="eastAsia" w:ascii="宋体" w:hAnsi="宋体" w:cs="宋体"/>
                <w:color w:val="auto"/>
                <w:highlight w:val="none"/>
              </w:rPr>
            </w:pPr>
            <w:r>
              <w:rPr>
                <w:rFonts w:hint="eastAsia" w:ascii="宋体" w:hAnsi="宋体" w:cs="宋体"/>
                <w:color w:val="auto"/>
                <w:highlight w:val="none"/>
              </w:rPr>
              <w:t>1.4.3</w:t>
            </w:r>
          </w:p>
        </w:tc>
        <w:tc>
          <w:tcPr>
            <w:tcW w:w="2551" w:type="dxa"/>
            <w:tcBorders>
              <w:top w:val="single" w:color="auto" w:sz="4" w:space="0"/>
              <w:left w:val="nil"/>
              <w:bottom w:val="single" w:color="auto" w:sz="4" w:space="0"/>
              <w:right w:val="single" w:color="auto" w:sz="4" w:space="0"/>
            </w:tcBorders>
            <w:noWrap w:val="0"/>
            <w:vAlign w:val="center"/>
          </w:tcPr>
          <w:p w14:paraId="398481E3">
            <w:pPr>
              <w:shd w:val="clear"/>
              <w:jc w:val="center"/>
              <w:rPr>
                <w:rFonts w:hint="eastAsia" w:ascii="宋体" w:hAnsi="宋体" w:cs="宋体"/>
                <w:color w:val="auto"/>
                <w:highlight w:val="none"/>
              </w:rPr>
            </w:pPr>
            <w:r>
              <w:rPr>
                <w:rFonts w:hint="eastAsia" w:ascii="宋体" w:hAnsi="宋体" w:cs="宋体"/>
                <w:color w:val="auto"/>
                <w:highlight w:val="none"/>
              </w:rPr>
              <w:t>投标人不得存在的其他情形</w:t>
            </w:r>
          </w:p>
        </w:tc>
        <w:tc>
          <w:tcPr>
            <w:tcW w:w="6224" w:type="dxa"/>
            <w:tcBorders>
              <w:top w:val="single" w:color="auto" w:sz="4" w:space="0"/>
              <w:left w:val="nil"/>
              <w:bottom w:val="single" w:color="auto" w:sz="4" w:space="0"/>
              <w:right w:val="single" w:color="auto" w:sz="4" w:space="0"/>
            </w:tcBorders>
            <w:noWrap w:val="0"/>
            <w:vAlign w:val="top"/>
          </w:tcPr>
          <w:p w14:paraId="717E106D">
            <w:pPr>
              <w:shd w:val="clear"/>
              <w:spacing w:line="320" w:lineRule="exact"/>
              <w:rPr>
                <w:rFonts w:hint="eastAsia" w:ascii="宋体" w:hAnsi="宋体" w:cs="宋体"/>
                <w:color w:val="auto"/>
                <w:highlight w:val="none"/>
              </w:rPr>
            </w:pPr>
            <w:r>
              <w:rPr>
                <w:rFonts w:hint="eastAsia" w:ascii="宋体" w:hAnsi="宋体" w:cs="宋体"/>
                <w:color w:val="auto"/>
                <w:highlight w:val="none"/>
              </w:rPr>
              <w:t>1.4.3投标人不得存在下列情形之一：</w:t>
            </w:r>
          </w:p>
          <w:p w14:paraId="3889B099">
            <w:pPr>
              <w:shd w:val="clear"/>
              <w:spacing w:line="320" w:lineRule="exact"/>
              <w:rPr>
                <w:rFonts w:hint="eastAsia" w:ascii="宋体" w:hAnsi="宋体" w:cs="宋体"/>
                <w:color w:val="auto"/>
                <w:highlight w:val="none"/>
              </w:rPr>
            </w:pPr>
            <w:r>
              <w:rPr>
                <w:rFonts w:hint="eastAsia" w:ascii="宋体" w:hAnsi="宋体" w:cs="宋体"/>
                <w:color w:val="auto"/>
                <w:highlight w:val="none"/>
              </w:rPr>
              <w:t>(1) 为招标人不具有独立法人资格的附属机构(单位)；</w:t>
            </w:r>
          </w:p>
          <w:p w14:paraId="63FF6574">
            <w:pPr>
              <w:shd w:val="clear"/>
              <w:spacing w:line="320" w:lineRule="exact"/>
              <w:rPr>
                <w:rFonts w:hint="eastAsia" w:ascii="宋体" w:hAnsi="宋体" w:cs="宋体"/>
                <w:color w:val="auto"/>
                <w:highlight w:val="none"/>
              </w:rPr>
            </w:pPr>
            <w:r>
              <w:rPr>
                <w:rFonts w:hint="eastAsia" w:ascii="宋体" w:hAnsi="宋体" w:cs="宋体"/>
                <w:color w:val="auto"/>
                <w:highlight w:val="none"/>
              </w:rPr>
              <w:t>(2) 与招标人存在利害关系且可能影响招标公正性；</w:t>
            </w:r>
          </w:p>
          <w:p w14:paraId="0483476E">
            <w:pPr>
              <w:shd w:val="clear"/>
              <w:spacing w:line="320" w:lineRule="exact"/>
              <w:rPr>
                <w:rFonts w:hint="eastAsia" w:ascii="宋体" w:hAnsi="宋体" w:cs="宋体"/>
                <w:color w:val="auto"/>
                <w:highlight w:val="none"/>
              </w:rPr>
            </w:pPr>
            <w:r>
              <w:rPr>
                <w:rFonts w:hint="eastAsia" w:ascii="宋体" w:hAnsi="宋体" w:cs="宋体"/>
                <w:color w:val="auto"/>
                <w:highlight w:val="none"/>
              </w:rPr>
              <w:t>(3) 与本招标项目的其他投标人为同一个单位负责人；</w:t>
            </w:r>
          </w:p>
          <w:p w14:paraId="0A4E76A5">
            <w:pPr>
              <w:shd w:val="clear"/>
              <w:spacing w:line="320" w:lineRule="exact"/>
              <w:rPr>
                <w:rFonts w:hint="eastAsia" w:ascii="宋体" w:hAnsi="宋体" w:cs="宋体"/>
                <w:color w:val="auto"/>
                <w:highlight w:val="none"/>
              </w:rPr>
            </w:pPr>
            <w:r>
              <w:rPr>
                <w:rFonts w:hint="eastAsia" w:ascii="宋体" w:hAnsi="宋体" w:cs="宋体"/>
                <w:color w:val="auto"/>
                <w:highlight w:val="none"/>
              </w:rPr>
              <w:t>(4) 与本招标项目的其他投标人存在控股、管理关系；</w:t>
            </w:r>
          </w:p>
          <w:p w14:paraId="259370A3">
            <w:pPr>
              <w:shd w:val="clear"/>
              <w:spacing w:line="320" w:lineRule="exact"/>
              <w:rPr>
                <w:rFonts w:hint="eastAsia" w:ascii="宋体" w:hAnsi="宋体" w:cs="宋体"/>
                <w:color w:val="auto"/>
                <w:highlight w:val="none"/>
              </w:rPr>
            </w:pPr>
            <w:r>
              <w:rPr>
                <w:rFonts w:hint="eastAsia" w:ascii="宋体" w:hAnsi="宋体" w:cs="宋体"/>
                <w:color w:val="auto"/>
                <w:highlight w:val="none"/>
              </w:rPr>
              <w:t>(5) 为本招标项目的代建人；</w:t>
            </w:r>
          </w:p>
          <w:p w14:paraId="35198B42">
            <w:pPr>
              <w:shd w:val="clear"/>
              <w:spacing w:line="320" w:lineRule="exact"/>
              <w:rPr>
                <w:rFonts w:hint="eastAsia" w:ascii="宋体" w:hAnsi="宋体" w:cs="宋体"/>
                <w:color w:val="auto"/>
                <w:highlight w:val="none"/>
              </w:rPr>
            </w:pPr>
            <w:r>
              <w:rPr>
                <w:rFonts w:hint="eastAsia" w:ascii="宋体" w:hAnsi="宋体" w:cs="宋体"/>
                <w:color w:val="auto"/>
                <w:highlight w:val="none"/>
              </w:rPr>
              <w:t>(6) 为本招标项目的招标代理机构；</w:t>
            </w:r>
          </w:p>
          <w:p w14:paraId="55BAF75C">
            <w:pPr>
              <w:shd w:val="clear"/>
              <w:spacing w:line="320" w:lineRule="exact"/>
              <w:rPr>
                <w:rFonts w:hint="eastAsia" w:ascii="宋体" w:hAnsi="宋体" w:cs="宋体"/>
                <w:color w:val="auto"/>
                <w:highlight w:val="none"/>
              </w:rPr>
            </w:pPr>
            <w:r>
              <w:rPr>
                <w:rFonts w:hint="eastAsia" w:ascii="宋体" w:hAnsi="宋体" w:cs="宋体"/>
                <w:color w:val="auto"/>
                <w:highlight w:val="none"/>
              </w:rPr>
              <w:t>(7) 与本招标项目的代建人或招标代理机构同为一个法定代表人；</w:t>
            </w:r>
          </w:p>
          <w:p w14:paraId="22F8B210">
            <w:pPr>
              <w:shd w:val="clear"/>
              <w:spacing w:line="320" w:lineRule="exact"/>
              <w:rPr>
                <w:rFonts w:hint="eastAsia" w:ascii="宋体" w:hAnsi="宋体" w:cs="宋体"/>
                <w:color w:val="auto"/>
                <w:highlight w:val="none"/>
              </w:rPr>
            </w:pPr>
            <w:r>
              <w:rPr>
                <w:rFonts w:hint="eastAsia" w:ascii="宋体" w:hAnsi="宋体" w:cs="宋体"/>
                <w:color w:val="auto"/>
                <w:highlight w:val="none"/>
              </w:rPr>
              <w:t>(8) 与本招标项目的代建人或招标代理机构存在控股或参股关系；</w:t>
            </w:r>
          </w:p>
          <w:p w14:paraId="2F50A44B">
            <w:pPr>
              <w:shd w:val="clear"/>
              <w:spacing w:line="320" w:lineRule="exact"/>
              <w:rPr>
                <w:rFonts w:hint="eastAsia" w:ascii="宋体" w:hAnsi="宋体" w:cs="宋体"/>
                <w:color w:val="auto"/>
                <w:highlight w:val="none"/>
              </w:rPr>
            </w:pPr>
            <w:r>
              <w:rPr>
                <w:rFonts w:hint="eastAsia" w:ascii="宋体" w:hAnsi="宋体" w:cs="宋体"/>
                <w:color w:val="auto"/>
                <w:highlight w:val="none"/>
              </w:rPr>
              <w:t>(9) 与本招标项目的施工承包人以及建筑材料、建筑构配件和设备供应商有隶属关系或者其他利害关系；</w:t>
            </w:r>
          </w:p>
          <w:p w14:paraId="1DE37724">
            <w:pPr>
              <w:shd w:val="clear"/>
              <w:spacing w:line="320" w:lineRule="exact"/>
              <w:rPr>
                <w:rFonts w:hint="eastAsia" w:ascii="宋体" w:hAnsi="宋体" w:cs="宋体"/>
                <w:color w:val="auto"/>
                <w:highlight w:val="none"/>
              </w:rPr>
            </w:pPr>
            <w:r>
              <w:rPr>
                <w:rFonts w:hint="eastAsia" w:ascii="宋体" w:hAnsi="宋体" w:cs="宋体"/>
                <w:color w:val="auto"/>
                <w:highlight w:val="none"/>
              </w:rPr>
              <w:t>(10) 被依法暂停或者取消投标资格；</w:t>
            </w:r>
            <w:r>
              <w:rPr>
                <w:rFonts w:hint="eastAsia" w:ascii="宋体" w:hAnsi="宋体" w:cs="宋体"/>
                <w:color w:val="auto"/>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5C96117">
            <w:pPr>
              <w:shd w:val="clear"/>
              <w:spacing w:line="320" w:lineRule="exact"/>
              <w:rPr>
                <w:rFonts w:hint="eastAsia" w:ascii="宋体" w:hAnsi="宋体" w:cs="宋体"/>
                <w:color w:val="auto"/>
                <w:highlight w:val="none"/>
              </w:rPr>
            </w:pPr>
            <w:r>
              <w:rPr>
                <w:rFonts w:hint="eastAsia" w:ascii="宋体" w:hAnsi="宋体" w:cs="宋体"/>
                <w:color w:val="auto"/>
                <w:highlight w:val="none"/>
              </w:rPr>
              <w:t>(11) 被责令停产停业、暂扣或者吊销许可证、暂扣或者吊销执照；</w:t>
            </w:r>
            <w:r>
              <w:rPr>
                <w:rFonts w:hint="eastAsia" w:ascii="宋体" w:hAnsi="宋体" w:cs="宋体"/>
                <w:color w:val="auto"/>
                <w:highlight w:val="none"/>
                <w:u w:val="single"/>
              </w:rPr>
              <w:t>（本项事实应当以根据《中华人民共和国行政处罚法》依法作出并已经生效的行政处罚决定为认定依据。）</w:t>
            </w:r>
          </w:p>
          <w:p w14:paraId="59468E12">
            <w:pPr>
              <w:shd w:val="clear"/>
              <w:spacing w:line="320" w:lineRule="exact"/>
              <w:rPr>
                <w:rFonts w:hint="eastAsia" w:ascii="宋体" w:hAnsi="宋体" w:cs="宋体"/>
                <w:color w:val="auto"/>
                <w:highlight w:val="none"/>
              </w:rPr>
            </w:pPr>
            <w:r>
              <w:rPr>
                <w:rFonts w:hint="eastAsia" w:ascii="宋体" w:hAnsi="宋体" w:cs="宋体"/>
                <w:color w:val="auto"/>
                <w:highlight w:val="none"/>
              </w:rPr>
              <w:t>(12) 进入清算程序，或被宣告破产，或其他丧失履约能力的情形；</w:t>
            </w:r>
          </w:p>
          <w:p w14:paraId="48C7A9B6">
            <w:pPr>
              <w:shd w:val="clear"/>
              <w:spacing w:line="320" w:lineRule="exact"/>
              <w:rPr>
                <w:rFonts w:hint="eastAsia" w:ascii="宋体" w:hAnsi="宋体" w:cs="宋体"/>
                <w:color w:val="auto"/>
                <w:highlight w:val="none"/>
                <w:u w:val="single"/>
              </w:rPr>
            </w:pPr>
            <w:r>
              <w:rPr>
                <w:rFonts w:hint="eastAsia" w:ascii="宋体" w:hAnsi="宋体" w:cs="宋体"/>
                <w:color w:val="auto"/>
                <w:highlight w:val="none"/>
              </w:rPr>
              <w:t>(13) 在最近三年内发生重大监理质量问题；</w:t>
            </w:r>
            <w:r>
              <w:rPr>
                <w:rFonts w:hint="eastAsia" w:ascii="宋体" w:hAnsi="宋体" w:cs="宋体"/>
                <w:color w:val="auto"/>
                <w:highlight w:val="none"/>
                <w:u w:val="single"/>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22DFDCE">
            <w:pPr>
              <w:shd w:val="clear"/>
              <w:spacing w:line="320" w:lineRule="exact"/>
              <w:rPr>
                <w:rFonts w:hint="eastAsia" w:ascii="宋体" w:hAnsi="宋体" w:cs="宋体"/>
                <w:color w:val="auto"/>
                <w:highlight w:val="none"/>
              </w:rPr>
            </w:pPr>
            <w:r>
              <w:rPr>
                <w:rFonts w:hint="eastAsia" w:ascii="宋体" w:hAnsi="宋体" w:cs="宋体"/>
                <w:color w:val="auto"/>
                <w:highlight w:val="none"/>
              </w:rPr>
              <w:t>(14) 法律法规或投标人须知前附表规定的其他情形。</w:t>
            </w:r>
          </w:p>
        </w:tc>
      </w:tr>
      <w:tr w14:paraId="5DEB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6407A62">
            <w:pPr>
              <w:shd w:val="clear"/>
              <w:jc w:val="center"/>
              <w:rPr>
                <w:rFonts w:hint="eastAsia" w:ascii="宋体" w:hAnsi="宋体" w:cs="宋体"/>
                <w:color w:val="auto"/>
                <w:highlight w:val="none"/>
              </w:rPr>
            </w:pPr>
            <w:r>
              <w:rPr>
                <w:rFonts w:hint="eastAsia" w:ascii="宋体" w:hAnsi="宋体" w:cs="宋体"/>
                <w:color w:val="auto"/>
                <w:highlight w:val="none"/>
              </w:rPr>
              <w:t>1.9.1</w:t>
            </w:r>
          </w:p>
        </w:tc>
        <w:tc>
          <w:tcPr>
            <w:tcW w:w="2551" w:type="dxa"/>
            <w:tcBorders>
              <w:top w:val="single" w:color="auto" w:sz="4" w:space="0"/>
              <w:left w:val="nil"/>
              <w:bottom w:val="single" w:color="auto" w:sz="4" w:space="0"/>
              <w:right w:val="single" w:color="auto" w:sz="4" w:space="0"/>
            </w:tcBorders>
            <w:noWrap w:val="0"/>
            <w:vAlign w:val="center"/>
          </w:tcPr>
          <w:p w14:paraId="2C984AC8">
            <w:pPr>
              <w:shd w:val="clear"/>
              <w:jc w:val="center"/>
              <w:rPr>
                <w:rFonts w:hint="eastAsia" w:ascii="宋体" w:hAnsi="宋体" w:cs="宋体"/>
                <w:color w:val="auto"/>
                <w:highlight w:val="none"/>
              </w:rPr>
            </w:pPr>
            <w:r>
              <w:rPr>
                <w:rFonts w:hint="eastAsia" w:ascii="宋体" w:hAnsi="宋体" w:cs="宋体"/>
                <w:color w:val="auto"/>
                <w:highlight w:val="none"/>
              </w:rPr>
              <w:t>踏勘现场</w:t>
            </w:r>
          </w:p>
        </w:tc>
        <w:tc>
          <w:tcPr>
            <w:tcW w:w="6224" w:type="dxa"/>
            <w:tcBorders>
              <w:top w:val="single" w:color="auto" w:sz="4" w:space="0"/>
              <w:left w:val="nil"/>
              <w:bottom w:val="single" w:color="auto" w:sz="4" w:space="0"/>
              <w:right w:val="single" w:color="auto" w:sz="4" w:space="0"/>
            </w:tcBorders>
            <w:noWrap w:val="0"/>
            <w:vAlign w:val="center"/>
          </w:tcPr>
          <w:p w14:paraId="174410FC">
            <w:pPr>
              <w:shd w:val="clear"/>
              <w:ind w:right="174" w:rightChars="83"/>
              <w:rPr>
                <w:rFonts w:hint="eastAsia" w:ascii="宋体" w:hAnsi="宋体" w:cs="宋体"/>
                <w:color w:val="auto"/>
                <w:spacing w:val="-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pacing w:val="-1"/>
                <w:highlight w:val="none"/>
              </w:rPr>
              <w:t>不组织，由投标人自行现场考察。</w:t>
            </w:r>
          </w:p>
          <w:p w14:paraId="696D2DD8">
            <w:pPr>
              <w:shd w:val="clear"/>
              <w:ind w:right="174" w:rightChars="83"/>
              <w:rPr>
                <w:rFonts w:hint="eastAsia" w:ascii="宋体" w:hAnsi="宋体" w:cs="宋体"/>
                <w:color w:val="auto"/>
                <w:spacing w:val="-1"/>
                <w:highlight w:val="none"/>
              </w:rPr>
            </w:pPr>
            <w:r>
              <w:rPr>
                <w:rFonts w:hint="eastAsia" w:ascii="宋体" w:hAnsi="宋体" w:cs="宋体"/>
                <w:color w:val="auto"/>
                <w:spacing w:val="-1"/>
                <w:highlight w:val="none"/>
              </w:rPr>
              <w:t>补充说明如下：</w:t>
            </w:r>
          </w:p>
          <w:p w14:paraId="5CA9D646">
            <w:pPr>
              <w:shd w:val="clear"/>
              <w:ind w:right="174" w:rightChars="83"/>
              <w:rPr>
                <w:rFonts w:hint="eastAsia" w:ascii="宋体" w:hAnsi="宋体" w:cs="宋体"/>
                <w:color w:val="auto"/>
                <w:spacing w:val="-1"/>
                <w:highlight w:val="none"/>
              </w:rPr>
            </w:pPr>
            <w:r>
              <w:rPr>
                <w:rFonts w:hint="eastAsia" w:ascii="宋体" w:hAnsi="宋体" w:cs="宋体"/>
                <w:color w:val="auto"/>
                <w:spacing w:val="-1"/>
                <w:highlight w:val="non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5F3BA3A1">
            <w:pPr>
              <w:shd w:val="clear"/>
              <w:ind w:right="174" w:rightChars="83"/>
              <w:rPr>
                <w:rFonts w:hint="eastAsia" w:ascii="宋体" w:hAnsi="宋体" w:cs="宋体"/>
                <w:color w:val="auto"/>
                <w:spacing w:val="-1"/>
                <w:highlight w:val="none"/>
              </w:rPr>
            </w:pPr>
            <w:r>
              <w:rPr>
                <w:rFonts w:hint="eastAsia" w:ascii="宋体" w:hAnsi="宋体" w:cs="宋体"/>
                <w:color w:val="auto"/>
                <w:spacing w:val="-1"/>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3B1770E7">
            <w:pPr>
              <w:shd w:val="clear"/>
              <w:ind w:right="174" w:rightChars="83"/>
              <w:rPr>
                <w:rFonts w:hint="eastAsia" w:ascii="宋体" w:hAnsi="宋体" w:cs="宋体"/>
                <w:color w:val="auto"/>
                <w:spacing w:val="-1"/>
                <w:highlight w:val="none"/>
              </w:rPr>
            </w:pPr>
            <w:r>
              <w:rPr>
                <w:rFonts w:hint="eastAsia" w:ascii="宋体" w:hAnsi="宋体" w:cs="宋体"/>
                <w:color w:val="auto"/>
                <w:spacing w:val="-1"/>
                <w:highlight w:val="none"/>
              </w:rPr>
              <w:t>（3）在现场考察中由招标人提供的资料和数据，只是为了使投标人能够利用招标人现有的资料。招标人对投标人由此而作出的推论、解释和结论概不负责。</w:t>
            </w:r>
          </w:p>
          <w:p w14:paraId="4F60C9E0">
            <w:pPr>
              <w:shd w:val="clear"/>
              <w:ind w:right="174" w:rightChars="83"/>
              <w:rPr>
                <w:rFonts w:hint="eastAsia" w:ascii="宋体" w:hAnsi="宋体" w:cs="宋体"/>
                <w:color w:val="auto"/>
                <w:spacing w:val="-1"/>
                <w:highlight w:val="none"/>
              </w:rPr>
            </w:pPr>
            <w:r>
              <w:rPr>
                <w:rFonts w:hint="eastAsia" w:ascii="宋体" w:hAnsi="宋体" w:cs="宋体"/>
                <w:color w:val="auto"/>
                <w:spacing w:val="-1"/>
                <w:highlight w:val="none"/>
              </w:rPr>
              <w:t>□组织，踏勘时间：/</w:t>
            </w:r>
          </w:p>
          <w:p w14:paraId="12783E5F">
            <w:pPr>
              <w:shd w:val="clear"/>
              <w:ind w:right="174" w:rightChars="83"/>
              <w:rPr>
                <w:rFonts w:hint="eastAsia" w:ascii="宋体" w:hAnsi="宋体" w:cs="宋体"/>
                <w:color w:val="auto"/>
                <w:spacing w:val="-1"/>
                <w:highlight w:val="none"/>
              </w:rPr>
            </w:pPr>
            <w:r>
              <w:rPr>
                <w:rFonts w:hint="eastAsia" w:ascii="宋体" w:hAnsi="宋体" w:cs="宋体"/>
                <w:color w:val="auto"/>
                <w:spacing w:val="-1"/>
                <w:highlight w:val="none"/>
              </w:rPr>
              <w:t>踏勘集中地点：/</w:t>
            </w:r>
          </w:p>
        </w:tc>
      </w:tr>
      <w:tr w14:paraId="4C1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E4317C1">
            <w:pPr>
              <w:shd w:val="clear"/>
              <w:jc w:val="center"/>
              <w:rPr>
                <w:rFonts w:hint="eastAsia" w:ascii="宋体" w:hAnsi="宋体" w:cs="宋体"/>
                <w:color w:val="auto"/>
                <w:highlight w:val="none"/>
              </w:rPr>
            </w:pPr>
            <w:r>
              <w:rPr>
                <w:rFonts w:hint="eastAsia" w:ascii="宋体" w:hAnsi="宋体" w:cs="宋体"/>
                <w:color w:val="auto"/>
                <w:highlight w:val="none"/>
              </w:rPr>
              <w:t>1.10.1</w:t>
            </w:r>
          </w:p>
        </w:tc>
        <w:tc>
          <w:tcPr>
            <w:tcW w:w="2551" w:type="dxa"/>
            <w:tcBorders>
              <w:top w:val="single" w:color="auto" w:sz="4" w:space="0"/>
              <w:left w:val="nil"/>
              <w:bottom w:val="single" w:color="auto" w:sz="4" w:space="0"/>
              <w:right w:val="single" w:color="auto" w:sz="4" w:space="0"/>
            </w:tcBorders>
            <w:noWrap w:val="0"/>
            <w:vAlign w:val="center"/>
          </w:tcPr>
          <w:p w14:paraId="141C2C69">
            <w:pPr>
              <w:shd w:val="clear"/>
              <w:jc w:val="center"/>
              <w:rPr>
                <w:rFonts w:hint="eastAsia" w:ascii="宋体" w:hAnsi="宋体" w:cs="宋体"/>
                <w:color w:val="auto"/>
                <w:highlight w:val="none"/>
              </w:rPr>
            </w:pPr>
            <w:r>
              <w:rPr>
                <w:rFonts w:hint="eastAsia" w:ascii="宋体" w:hAnsi="宋体" w:cs="宋体"/>
                <w:color w:val="auto"/>
                <w:highlight w:val="none"/>
              </w:rPr>
              <w:t>投标预备会</w:t>
            </w:r>
          </w:p>
        </w:tc>
        <w:tc>
          <w:tcPr>
            <w:tcW w:w="6224" w:type="dxa"/>
            <w:tcBorders>
              <w:top w:val="single" w:color="auto" w:sz="4" w:space="0"/>
              <w:left w:val="nil"/>
              <w:bottom w:val="single" w:color="auto" w:sz="4" w:space="0"/>
              <w:right w:val="single" w:color="auto" w:sz="4" w:space="0"/>
            </w:tcBorders>
            <w:noWrap w:val="0"/>
            <w:vAlign w:val="center"/>
          </w:tcPr>
          <w:p w14:paraId="11FD0884">
            <w:pPr>
              <w:shd w:val="clear"/>
              <w:ind w:right="174" w:rightChars="83"/>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pacing w:val="-1"/>
                <w:highlight w:val="none"/>
              </w:rPr>
              <w:t>不召开</w:t>
            </w:r>
          </w:p>
          <w:p w14:paraId="51C7CD9C">
            <w:pPr>
              <w:shd w:val="clear"/>
              <w:ind w:right="174" w:rightChars="83"/>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pacing w:val="-1"/>
                <w:highlight w:val="none"/>
              </w:rPr>
              <w:t>召开</w:t>
            </w:r>
            <w:r>
              <w:rPr>
                <w:rFonts w:hint="eastAsia" w:ascii="宋体" w:hAnsi="宋体" w:cs="宋体"/>
                <w:color w:val="auto"/>
                <w:highlight w:val="none"/>
              </w:rPr>
              <w:t>，召开时间：</w:t>
            </w:r>
            <w:r>
              <w:rPr>
                <w:rFonts w:hint="eastAsia" w:ascii="宋体" w:hAnsi="宋体" w:cs="宋体"/>
                <w:color w:val="auto"/>
                <w:highlight w:val="none"/>
                <w:u w:val="single"/>
              </w:rPr>
              <w:t xml:space="preserve">   </w:t>
            </w:r>
          </w:p>
          <w:p w14:paraId="6FD7E013">
            <w:pPr>
              <w:shd w:val="clear"/>
              <w:ind w:right="174" w:rightChars="83"/>
              <w:rPr>
                <w:rFonts w:hint="eastAsia" w:ascii="宋体" w:hAnsi="宋体" w:cs="宋体"/>
                <w:color w:val="auto"/>
                <w:highlight w:val="none"/>
              </w:rPr>
            </w:pPr>
            <w:r>
              <w:rPr>
                <w:rFonts w:hint="eastAsia" w:ascii="宋体" w:hAnsi="宋体" w:cs="宋体"/>
                <w:color w:val="auto"/>
                <w:highlight w:val="none"/>
              </w:rPr>
              <w:t xml:space="preserve">        召开地点：</w:t>
            </w:r>
            <w:r>
              <w:rPr>
                <w:rFonts w:hint="eastAsia" w:ascii="宋体" w:hAnsi="宋体" w:cs="宋体"/>
                <w:color w:val="auto"/>
                <w:highlight w:val="none"/>
                <w:u w:val="single"/>
              </w:rPr>
              <w:t xml:space="preserve">   </w:t>
            </w:r>
          </w:p>
        </w:tc>
      </w:tr>
      <w:tr w14:paraId="7AC0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FC7B018">
            <w:pPr>
              <w:shd w:val="clear"/>
              <w:jc w:val="center"/>
              <w:rPr>
                <w:rFonts w:hint="eastAsia" w:ascii="宋体" w:hAnsi="宋体" w:cs="宋体"/>
                <w:color w:val="auto"/>
                <w:highlight w:val="none"/>
              </w:rPr>
            </w:pPr>
            <w:r>
              <w:rPr>
                <w:rFonts w:hint="eastAsia" w:ascii="宋体" w:hAnsi="宋体" w:cs="宋体"/>
                <w:color w:val="auto"/>
                <w:highlight w:val="none"/>
              </w:rPr>
              <w:t>1.10.2</w:t>
            </w:r>
          </w:p>
        </w:tc>
        <w:tc>
          <w:tcPr>
            <w:tcW w:w="2551" w:type="dxa"/>
            <w:tcBorders>
              <w:top w:val="single" w:color="auto" w:sz="4" w:space="0"/>
              <w:left w:val="nil"/>
              <w:bottom w:val="single" w:color="auto" w:sz="4" w:space="0"/>
              <w:right w:val="single" w:color="auto" w:sz="4" w:space="0"/>
            </w:tcBorders>
            <w:noWrap w:val="0"/>
            <w:vAlign w:val="center"/>
          </w:tcPr>
          <w:p w14:paraId="282D1879">
            <w:pPr>
              <w:shd w:val="clear"/>
              <w:jc w:val="center"/>
              <w:rPr>
                <w:rFonts w:hint="eastAsia" w:ascii="宋体" w:hAnsi="宋体" w:cs="宋体"/>
                <w:color w:val="auto"/>
                <w:highlight w:val="none"/>
              </w:rPr>
            </w:pPr>
            <w:r>
              <w:rPr>
                <w:rFonts w:hint="eastAsia" w:ascii="宋体" w:hAnsi="宋体" w:cs="宋体"/>
                <w:color w:val="auto"/>
                <w:highlight w:val="none"/>
              </w:rPr>
              <w:t>投标人在投标预备会前提出问题</w:t>
            </w:r>
          </w:p>
        </w:tc>
        <w:tc>
          <w:tcPr>
            <w:tcW w:w="6224" w:type="dxa"/>
            <w:tcBorders>
              <w:top w:val="single" w:color="auto" w:sz="4" w:space="0"/>
              <w:left w:val="nil"/>
              <w:bottom w:val="single" w:color="auto" w:sz="4" w:space="0"/>
              <w:right w:val="single" w:color="auto" w:sz="4" w:space="0"/>
            </w:tcBorders>
            <w:noWrap w:val="0"/>
            <w:vAlign w:val="center"/>
          </w:tcPr>
          <w:p w14:paraId="66CB8BC4">
            <w:pPr>
              <w:shd w:val="clear"/>
              <w:rPr>
                <w:rFonts w:hint="eastAsia" w:ascii="宋体" w:hAnsi="宋体" w:cs="宋体"/>
                <w:color w:val="auto"/>
                <w:highlight w:val="none"/>
              </w:rPr>
            </w:pPr>
            <w:r>
              <w:rPr>
                <w:rFonts w:hint="eastAsia" w:ascii="宋体" w:hAnsi="宋体" w:cs="宋体"/>
                <w:color w:val="auto"/>
                <w:highlight w:val="none"/>
                <w:u w:val="single"/>
              </w:rPr>
              <w:t>本项目不召开投标预备会</w:t>
            </w:r>
            <w:r>
              <w:rPr>
                <w:rFonts w:hint="eastAsia" w:ascii="宋体" w:hAnsi="宋体" w:cs="宋体"/>
                <w:color w:val="auto"/>
                <w:highlight w:val="none"/>
              </w:rPr>
              <w:t>。</w:t>
            </w:r>
          </w:p>
        </w:tc>
      </w:tr>
      <w:tr w14:paraId="518D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01D3E38">
            <w:pPr>
              <w:shd w:val="clear"/>
              <w:jc w:val="center"/>
              <w:rPr>
                <w:rFonts w:hint="eastAsia" w:ascii="宋体" w:hAnsi="宋体" w:cs="宋体"/>
                <w:color w:val="auto"/>
                <w:highlight w:val="none"/>
              </w:rPr>
            </w:pPr>
            <w:r>
              <w:rPr>
                <w:rFonts w:hint="eastAsia" w:ascii="宋体" w:hAnsi="宋体" w:cs="宋体"/>
                <w:color w:val="auto"/>
                <w:highlight w:val="none"/>
              </w:rPr>
              <w:t>1.10.3</w:t>
            </w:r>
          </w:p>
        </w:tc>
        <w:tc>
          <w:tcPr>
            <w:tcW w:w="2551" w:type="dxa"/>
            <w:tcBorders>
              <w:top w:val="single" w:color="auto" w:sz="4" w:space="0"/>
              <w:left w:val="nil"/>
              <w:bottom w:val="single" w:color="auto" w:sz="4" w:space="0"/>
              <w:right w:val="single" w:color="auto" w:sz="4" w:space="0"/>
            </w:tcBorders>
            <w:noWrap w:val="0"/>
            <w:vAlign w:val="center"/>
          </w:tcPr>
          <w:p w14:paraId="06112C25">
            <w:pPr>
              <w:shd w:val="clear"/>
              <w:jc w:val="center"/>
              <w:rPr>
                <w:rFonts w:hint="eastAsia" w:ascii="宋体" w:hAnsi="宋体" w:cs="宋体"/>
                <w:color w:val="auto"/>
                <w:highlight w:val="none"/>
              </w:rPr>
            </w:pPr>
            <w:r>
              <w:rPr>
                <w:rFonts w:hint="eastAsia" w:ascii="宋体" w:hAnsi="宋体" w:cs="宋体"/>
                <w:color w:val="auto"/>
                <w:highlight w:val="none"/>
              </w:rPr>
              <w:t>招标文件澄清发出的形式</w:t>
            </w:r>
          </w:p>
        </w:tc>
        <w:tc>
          <w:tcPr>
            <w:tcW w:w="6224" w:type="dxa"/>
            <w:tcBorders>
              <w:top w:val="single" w:color="auto" w:sz="4" w:space="0"/>
              <w:left w:val="nil"/>
              <w:bottom w:val="single" w:color="auto" w:sz="4" w:space="0"/>
              <w:right w:val="single" w:color="auto" w:sz="4" w:space="0"/>
            </w:tcBorders>
            <w:noWrap w:val="0"/>
            <w:vAlign w:val="center"/>
          </w:tcPr>
          <w:p w14:paraId="69EAC9A5">
            <w:pPr>
              <w:shd w:val="clear"/>
              <w:rPr>
                <w:rFonts w:hint="eastAsia" w:ascii="宋体" w:hAnsi="宋体" w:cs="宋体"/>
                <w:color w:val="auto"/>
                <w:highlight w:val="none"/>
              </w:rPr>
            </w:pPr>
            <w:r>
              <w:rPr>
                <w:rFonts w:hint="eastAsia" w:ascii="宋体" w:hAnsi="宋体" w:cs="宋体"/>
                <w:color w:val="auto"/>
                <w:highlight w:val="none"/>
              </w:rPr>
              <w:t>在广州交易集团有限公司（广州公共资源交易中心）网站“招标答疑”专区发布，一经在发布，视作已发放给所有投标人。</w:t>
            </w:r>
          </w:p>
        </w:tc>
      </w:tr>
      <w:tr w14:paraId="1084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73FE486">
            <w:pPr>
              <w:shd w:val="clear"/>
              <w:jc w:val="center"/>
              <w:rPr>
                <w:rFonts w:hint="eastAsia" w:ascii="宋体" w:hAnsi="宋体" w:cs="宋体"/>
                <w:color w:val="auto"/>
                <w:highlight w:val="none"/>
              </w:rPr>
            </w:pPr>
            <w:r>
              <w:rPr>
                <w:rFonts w:hint="eastAsia" w:ascii="宋体" w:hAnsi="宋体" w:cs="宋体"/>
                <w:color w:val="auto"/>
                <w:highlight w:val="none"/>
              </w:rPr>
              <w:t>1.12.1</w:t>
            </w:r>
          </w:p>
        </w:tc>
        <w:tc>
          <w:tcPr>
            <w:tcW w:w="2551" w:type="dxa"/>
            <w:tcBorders>
              <w:top w:val="single" w:color="auto" w:sz="4" w:space="0"/>
              <w:left w:val="nil"/>
              <w:bottom w:val="single" w:color="auto" w:sz="4" w:space="0"/>
              <w:right w:val="single" w:color="auto" w:sz="4" w:space="0"/>
            </w:tcBorders>
            <w:noWrap w:val="0"/>
            <w:vAlign w:val="center"/>
          </w:tcPr>
          <w:p w14:paraId="1B8F4F8D">
            <w:pPr>
              <w:shd w:val="clear"/>
              <w:jc w:val="center"/>
              <w:rPr>
                <w:rFonts w:hint="eastAsia" w:ascii="宋体" w:hAnsi="宋体" w:cs="宋体"/>
                <w:color w:val="auto"/>
                <w:highlight w:val="none"/>
              </w:rPr>
            </w:pPr>
            <w:r>
              <w:rPr>
                <w:rFonts w:hint="eastAsia" w:ascii="宋体" w:hAnsi="宋体" w:cs="宋体"/>
                <w:color w:val="auto"/>
                <w:highlight w:val="none"/>
              </w:rPr>
              <w:t>实质性要求和条件</w:t>
            </w:r>
          </w:p>
        </w:tc>
        <w:tc>
          <w:tcPr>
            <w:tcW w:w="6224" w:type="dxa"/>
            <w:tcBorders>
              <w:top w:val="single" w:color="auto" w:sz="4" w:space="0"/>
              <w:left w:val="nil"/>
              <w:bottom w:val="single" w:color="auto" w:sz="4" w:space="0"/>
              <w:right w:val="single" w:color="auto" w:sz="4" w:space="0"/>
            </w:tcBorders>
            <w:noWrap w:val="0"/>
            <w:vAlign w:val="center"/>
          </w:tcPr>
          <w:p w14:paraId="449EBE23">
            <w:pPr>
              <w:shd w:val="clear"/>
              <w:rPr>
                <w:rFonts w:hint="eastAsia" w:ascii="宋体" w:hAnsi="宋体" w:cs="宋体"/>
                <w:color w:val="auto"/>
                <w:highlight w:val="none"/>
              </w:rPr>
            </w:pPr>
            <w:r>
              <w:rPr>
                <w:rFonts w:hint="eastAsia" w:ascii="宋体" w:hAnsi="宋体" w:cs="宋体"/>
                <w:color w:val="auto"/>
                <w:highlight w:val="none"/>
              </w:rPr>
              <w:t>/</w:t>
            </w:r>
          </w:p>
        </w:tc>
      </w:tr>
      <w:tr w14:paraId="5E7E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E7C9730">
            <w:pPr>
              <w:shd w:val="clear"/>
              <w:jc w:val="center"/>
              <w:rPr>
                <w:rFonts w:hint="eastAsia" w:ascii="宋体" w:hAnsi="宋体" w:cs="宋体"/>
                <w:color w:val="auto"/>
                <w:highlight w:val="none"/>
              </w:rPr>
            </w:pPr>
            <w:r>
              <w:rPr>
                <w:rFonts w:hint="eastAsia" w:ascii="宋体" w:hAnsi="宋体" w:cs="宋体"/>
                <w:color w:val="auto"/>
                <w:highlight w:val="none"/>
              </w:rPr>
              <w:t>1.12.3</w:t>
            </w:r>
          </w:p>
        </w:tc>
        <w:tc>
          <w:tcPr>
            <w:tcW w:w="2551" w:type="dxa"/>
            <w:tcBorders>
              <w:top w:val="single" w:color="auto" w:sz="4" w:space="0"/>
              <w:left w:val="nil"/>
              <w:bottom w:val="single" w:color="auto" w:sz="4" w:space="0"/>
              <w:right w:val="single" w:color="auto" w:sz="4" w:space="0"/>
            </w:tcBorders>
            <w:noWrap w:val="0"/>
            <w:vAlign w:val="center"/>
          </w:tcPr>
          <w:p w14:paraId="11019C87">
            <w:pPr>
              <w:shd w:val="clear"/>
              <w:jc w:val="center"/>
              <w:rPr>
                <w:rFonts w:hint="eastAsia" w:ascii="宋体" w:hAnsi="宋体" w:cs="宋体"/>
                <w:color w:val="auto"/>
                <w:highlight w:val="none"/>
              </w:rPr>
            </w:pPr>
            <w:r>
              <w:rPr>
                <w:rFonts w:hint="eastAsia" w:ascii="宋体" w:hAnsi="宋体" w:cs="宋体"/>
                <w:color w:val="auto"/>
                <w:highlight w:val="none"/>
              </w:rPr>
              <w:t>偏差</w:t>
            </w:r>
          </w:p>
        </w:tc>
        <w:tc>
          <w:tcPr>
            <w:tcW w:w="6224" w:type="dxa"/>
            <w:tcBorders>
              <w:top w:val="single" w:color="auto" w:sz="4" w:space="0"/>
              <w:left w:val="nil"/>
              <w:bottom w:val="single" w:color="auto" w:sz="4" w:space="0"/>
              <w:right w:val="single" w:color="auto" w:sz="4" w:space="0"/>
            </w:tcBorders>
            <w:noWrap w:val="0"/>
            <w:vAlign w:val="center"/>
          </w:tcPr>
          <w:p w14:paraId="4E59DF8F">
            <w:pPr>
              <w:shd w:val="clear"/>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不允许</w:t>
            </w:r>
          </w:p>
          <w:p w14:paraId="0AEE83D7">
            <w:pPr>
              <w:shd w:val="clear"/>
              <w:rPr>
                <w:rFonts w:hint="eastAsia" w:ascii="宋体" w:hAnsi="宋体" w:cs="宋体"/>
                <w:color w:val="auto"/>
                <w:highlight w:val="none"/>
              </w:rPr>
            </w:pPr>
            <w:r>
              <w:rPr>
                <w:rFonts w:hint="eastAsia" w:ascii="宋体" w:hAnsi="宋体" w:cs="宋体"/>
                <w:color w:val="auto"/>
                <w:highlight w:val="none"/>
              </w:rPr>
              <w:t>□允许，偏差范围：</w:t>
            </w:r>
            <w:r>
              <w:rPr>
                <w:rFonts w:hint="eastAsia" w:ascii="宋体" w:hAnsi="宋体" w:cs="宋体"/>
                <w:color w:val="auto"/>
                <w:highlight w:val="none"/>
                <w:u w:val="single"/>
              </w:rPr>
              <w:t xml:space="preserve">       </w:t>
            </w:r>
            <w:r>
              <w:rPr>
                <w:rFonts w:hint="eastAsia" w:ascii="宋体" w:hAnsi="宋体" w:cs="宋体"/>
                <w:color w:val="auto"/>
                <w:highlight w:val="none"/>
              </w:rPr>
              <w:t>，偏差幅度：</w:t>
            </w:r>
            <w:r>
              <w:rPr>
                <w:rFonts w:hint="eastAsia" w:ascii="宋体" w:hAnsi="宋体" w:cs="宋体"/>
                <w:color w:val="auto"/>
                <w:highlight w:val="none"/>
                <w:u w:val="single"/>
              </w:rPr>
              <w:t xml:space="preserve">       </w:t>
            </w:r>
            <w:r>
              <w:rPr>
                <w:rFonts w:hint="eastAsia" w:ascii="宋体" w:hAnsi="宋体" w:cs="宋体"/>
                <w:color w:val="auto"/>
                <w:highlight w:val="none"/>
              </w:rPr>
              <w:t>。</w:t>
            </w:r>
          </w:p>
        </w:tc>
      </w:tr>
      <w:tr w14:paraId="510E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77A2779C">
            <w:pPr>
              <w:shd w:val="clear"/>
              <w:jc w:val="center"/>
              <w:rPr>
                <w:rFonts w:hint="eastAsia" w:ascii="宋体" w:hAnsi="宋体" w:cs="宋体"/>
                <w:color w:val="auto"/>
                <w:highlight w:val="none"/>
              </w:rPr>
            </w:pPr>
            <w:r>
              <w:rPr>
                <w:rFonts w:hint="eastAsia" w:ascii="宋体" w:hAnsi="宋体" w:cs="宋体"/>
                <w:color w:val="auto"/>
                <w:highlight w:val="none"/>
              </w:rPr>
              <w:t>2.1</w:t>
            </w:r>
          </w:p>
        </w:tc>
        <w:tc>
          <w:tcPr>
            <w:tcW w:w="2551" w:type="dxa"/>
            <w:tcBorders>
              <w:top w:val="single" w:color="auto" w:sz="4" w:space="0"/>
              <w:left w:val="nil"/>
              <w:bottom w:val="single" w:color="auto" w:sz="4" w:space="0"/>
              <w:right w:val="single" w:color="auto" w:sz="4" w:space="0"/>
            </w:tcBorders>
            <w:noWrap w:val="0"/>
            <w:vAlign w:val="center"/>
          </w:tcPr>
          <w:p w14:paraId="728DB718">
            <w:pPr>
              <w:shd w:val="clear"/>
              <w:jc w:val="center"/>
              <w:rPr>
                <w:rFonts w:hint="eastAsia" w:ascii="宋体" w:hAnsi="宋体" w:cs="宋体"/>
                <w:color w:val="auto"/>
                <w:highlight w:val="none"/>
              </w:rPr>
            </w:pPr>
            <w:r>
              <w:rPr>
                <w:rFonts w:hint="eastAsia" w:ascii="宋体" w:hAnsi="宋体" w:cs="宋体"/>
                <w:color w:val="auto"/>
                <w:highlight w:val="none"/>
              </w:rPr>
              <w:t>构成招标文件的其他资料</w:t>
            </w:r>
          </w:p>
        </w:tc>
        <w:tc>
          <w:tcPr>
            <w:tcW w:w="6224" w:type="dxa"/>
            <w:tcBorders>
              <w:top w:val="single" w:color="auto" w:sz="4" w:space="0"/>
              <w:left w:val="nil"/>
              <w:bottom w:val="single" w:color="auto" w:sz="4" w:space="0"/>
              <w:right w:val="single" w:color="auto" w:sz="4" w:space="0"/>
            </w:tcBorders>
            <w:noWrap w:val="0"/>
            <w:vAlign w:val="center"/>
          </w:tcPr>
          <w:p w14:paraId="7190ADF8">
            <w:pPr>
              <w:shd w:val="clear"/>
              <w:rPr>
                <w:rFonts w:hint="eastAsia" w:ascii="宋体" w:hAnsi="宋体" w:cs="宋体"/>
                <w:color w:val="auto"/>
                <w:highlight w:val="none"/>
              </w:rPr>
            </w:pPr>
            <w:r>
              <w:rPr>
                <w:rFonts w:hint="eastAsia" w:ascii="宋体" w:hAnsi="宋体" w:cs="宋体"/>
                <w:color w:val="auto"/>
                <w:highlight w:val="none"/>
              </w:rPr>
              <w:t>/</w:t>
            </w:r>
          </w:p>
        </w:tc>
      </w:tr>
      <w:tr w14:paraId="1129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26F3BF3E">
            <w:pPr>
              <w:shd w:val="clear"/>
              <w:jc w:val="center"/>
              <w:rPr>
                <w:rFonts w:hint="eastAsia" w:ascii="宋体" w:hAnsi="宋体" w:cs="宋体"/>
                <w:color w:val="auto"/>
                <w:highlight w:val="none"/>
              </w:rPr>
            </w:pPr>
            <w:r>
              <w:rPr>
                <w:rFonts w:hint="eastAsia" w:ascii="宋体" w:hAnsi="宋体" w:cs="宋体"/>
                <w:color w:val="auto"/>
                <w:highlight w:val="none"/>
              </w:rPr>
              <w:t>2.2.1</w:t>
            </w:r>
          </w:p>
        </w:tc>
        <w:tc>
          <w:tcPr>
            <w:tcW w:w="2551" w:type="dxa"/>
            <w:vMerge w:val="restart"/>
            <w:tcBorders>
              <w:top w:val="single" w:color="auto" w:sz="4" w:space="0"/>
              <w:left w:val="nil"/>
              <w:right w:val="single" w:color="auto" w:sz="4" w:space="0"/>
            </w:tcBorders>
            <w:noWrap w:val="0"/>
            <w:vAlign w:val="center"/>
          </w:tcPr>
          <w:p w14:paraId="232A06EF">
            <w:pPr>
              <w:shd w:val="clear"/>
              <w:jc w:val="center"/>
              <w:rPr>
                <w:rFonts w:hint="eastAsia" w:ascii="宋体" w:hAnsi="宋体" w:cs="宋体"/>
                <w:color w:val="auto"/>
                <w:highlight w:val="none"/>
              </w:rPr>
            </w:pPr>
            <w:r>
              <w:rPr>
                <w:rFonts w:hint="eastAsia" w:ascii="宋体" w:hAnsi="宋体" w:cs="宋体"/>
                <w:color w:val="auto"/>
                <w:highlight w:val="none"/>
              </w:rPr>
              <w:t>投标人要求澄清招标文件</w:t>
            </w:r>
          </w:p>
        </w:tc>
        <w:tc>
          <w:tcPr>
            <w:tcW w:w="6224" w:type="dxa"/>
            <w:tcBorders>
              <w:top w:val="single" w:color="auto" w:sz="4" w:space="0"/>
              <w:left w:val="nil"/>
              <w:bottom w:val="single" w:color="auto" w:sz="4" w:space="0"/>
              <w:right w:val="single" w:color="auto" w:sz="4" w:space="0"/>
            </w:tcBorders>
            <w:noWrap w:val="0"/>
            <w:vAlign w:val="center"/>
          </w:tcPr>
          <w:p w14:paraId="57A4E292">
            <w:pPr>
              <w:pStyle w:val="9"/>
              <w:shd w:val="clear"/>
              <w:topLinePunct/>
              <w:spacing w:line="400" w:lineRule="exact"/>
              <w:rPr>
                <w:rFonts w:hint="eastAsia" w:ascii="宋体" w:hAnsi="宋体" w:cs="宋体"/>
                <w:color w:val="auto"/>
                <w:highlight w:val="none"/>
              </w:rPr>
            </w:pPr>
            <w:r>
              <w:rPr>
                <w:rFonts w:hint="eastAsia" w:ascii="宋体" w:hAnsi="宋体" w:cs="宋体"/>
                <w:color w:val="auto"/>
                <w:sz w:val="21"/>
                <w:szCs w:val="21"/>
                <w:highlight w:val="none"/>
              </w:rPr>
              <w:t>疑问提交时间：</w:t>
            </w:r>
            <w:r>
              <w:rPr>
                <w:rFonts w:hint="eastAsia" w:ascii="宋体" w:hAnsi="宋体" w:cs="宋体"/>
                <w:color w:val="auto"/>
                <w:sz w:val="21"/>
                <w:szCs w:val="21"/>
                <w:highlight w:val="none"/>
                <w:u w:val="single"/>
              </w:rPr>
              <w:t>在提交投标文件截止时间18天前提出</w:t>
            </w:r>
            <w:r>
              <w:rPr>
                <w:rFonts w:hint="eastAsia" w:ascii="宋体" w:hAnsi="宋体" w:cs="宋体"/>
                <w:color w:val="auto"/>
                <w:sz w:val="21"/>
                <w:szCs w:val="21"/>
                <w:highlight w:val="none"/>
              </w:rPr>
              <w:t>。</w:t>
            </w:r>
          </w:p>
        </w:tc>
      </w:tr>
      <w:tr w14:paraId="0B91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87" w:type="dxa"/>
            <w:vMerge w:val="continue"/>
            <w:tcBorders>
              <w:left w:val="single" w:color="auto" w:sz="4" w:space="0"/>
              <w:right w:val="single" w:color="auto" w:sz="4" w:space="0"/>
            </w:tcBorders>
            <w:noWrap w:val="0"/>
            <w:vAlign w:val="center"/>
          </w:tcPr>
          <w:p w14:paraId="209C3035">
            <w:pPr>
              <w:shd w:val="clear"/>
              <w:jc w:val="center"/>
              <w:rPr>
                <w:rFonts w:hint="eastAsia" w:ascii="宋体" w:hAnsi="宋体" w:cs="宋体"/>
                <w:color w:val="auto"/>
                <w:highlight w:val="none"/>
              </w:rPr>
            </w:pPr>
          </w:p>
        </w:tc>
        <w:tc>
          <w:tcPr>
            <w:tcW w:w="2551" w:type="dxa"/>
            <w:vMerge w:val="continue"/>
            <w:tcBorders>
              <w:left w:val="nil"/>
              <w:right w:val="single" w:color="auto" w:sz="4" w:space="0"/>
            </w:tcBorders>
            <w:noWrap w:val="0"/>
            <w:vAlign w:val="center"/>
          </w:tcPr>
          <w:p w14:paraId="60C425EF">
            <w:pPr>
              <w:shd w:val="clear"/>
              <w:jc w:val="center"/>
              <w:rPr>
                <w:rFonts w:hint="eastAsia" w:ascii="宋体" w:hAnsi="宋体" w:cs="宋体"/>
                <w:color w:val="auto"/>
                <w:highlight w:val="none"/>
              </w:rPr>
            </w:pPr>
          </w:p>
        </w:tc>
        <w:tc>
          <w:tcPr>
            <w:tcW w:w="6224" w:type="dxa"/>
            <w:tcBorders>
              <w:top w:val="single" w:color="auto" w:sz="4" w:space="0"/>
              <w:left w:val="nil"/>
              <w:bottom w:val="single" w:color="auto" w:sz="4" w:space="0"/>
              <w:right w:val="single" w:color="auto" w:sz="4" w:space="0"/>
            </w:tcBorders>
            <w:noWrap w:val="0"/>
            <w:vAlign w:val="center"/>
          </w:tcPr>
          <w:p w14:paraId="06B9E008">
            <w:pPr>
              <w:shd w:val="clear"/>
              <w:snapToGrid w:val="0"/>
              <w:rPr>
                <w:rFonts w:hint="eastAsia" w:ascii="宋体" w:hAnsi="宋体" w:cs="宋体"/>
                <w:color w:val="auto"/>
                <w:highlight w:val="none"/>
                <w:u w:val="single"/>
              </w:rPr>
            </w:pPr>
            <w:r>
              <w:rPr>
                <w:rFonts w:hint="eastAsia" w:ascii="宋体" w:hAnsi="宋体" w:cs="宋体"/>
                <w:color w:val="auto"/>
                <w:highlight w:val="none"/>
                <w:u w:val="single"/>
              </w:rPr>
              <w:t>1.方式：网上答疑。</w:t>
            </w:r>
          </w:p>
          <w:p w14:paraId="2BAE5A70">
            <w:pPr>
              <w:shd w:val="clear"/>
              <w:snapToGrid w:val="0"/>
              <w:rPr>
                <w:rFonts w:hint="eastAsia" w:ascii="宋体" w:hAnsi="宋体" w:cs="宋体"/>
                <w:color w:val="auto"/>
                <w:highlight w:val="none"/>
                <w:u w:val="single"/>
              </w:rPr>
            </w:pPr>
            <w:r>
              <w:rPr>
                <w:rFonts w:hint="eastAsia" w:ascii="宋体" w:hAnsi="宋体" w:cs="宋体"/>
                <w:color w:val="auto"/>
                <w:highlight w:val="none"/>
                <w:u w:val="single"/>
              </w:rPr>
              <w:t>2.投标人提出问题期限：在递交投标文件截止日期前18日。</w:t>
            </w:r>
          </w:p>
          <w:p w14:paraId="6E16A588">
            <w:pPr>
              <w:shd w:val="clear"/>
              <w:snapToGrid w:val="0"/>
              <w:rPr>
                <w:rFonts w:hint="eastAsia" w:ascii="宋体" w:hAnsi="宋体" w:cs="宋体"/>
                <w:color w:val="auto"/>
                <w:highlight w:val="none"/>
              </w:rPr>
            </w:pPr>
            <w:r>
              <w:rPr>
                <w:rFonts w:hint="eastAsia" w:ascii="宋体" w:hAnsi="宋体" w:cs="宋体"/>
                <w:color w:val="auto"/>
                <w:highlight w:val="none"/>
                <w:u w:val="single"/>
              </w:rPr>
              <w:t>网上答疑的操作指南为：登陆广州交易集团有限公司（广州公共资源交易中心）网站（http://www.gzggzy.cn）→进入“建设工程”专区→进入“招标答疑提问”专区→通过项目编号或项目名称找到所需的项目→在上述的答疑时间内点击“答疑提问”→“新建问题”→提出问题(提问一律不得署名)以及查看所有的问题。</w:t>
            </w:r>
          </w:p>
        </w:tc>
      </w:tr>
      <w:tr w14:paraId="653D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21865AD">
            <w:pPr>
              <w:shd w:val="clear"/>
              <w:jc w:val="center"/>
              <w:rPr>
                <w:rFonts w:hint="eastAsia" w:ascii="宋体" w:hAnsi="宋体" w:cs="宋体"/>
                <w:color w:val="auto"/>
                <w:highlight w:val="none"/>
              </w:rPr>
            </w:pPr>
            <w:r>
              <w:rPr>
                <w:rFonts w:hint="eastAsia" w:ascii="宋体" w:hAnsi="宋体" w:cs="宋体"/>
                <w:color w:val="auto"/>
                <w:highlight w:val="none"/>
              </w:rPr>
              <w:t>2.2.2</w:t>
            </w:r>
          </w:p>
        </w:tc>
        <w:tc>
          <w:tcPr>
            <w:tcW w:w="2551" w:type="dxa"/>
            <w:tcBorders>
              <w:top w:val="single" w:color="auto" w:sz="4" w:space="0"/>
              <w:left w:val="nil"/>
              <w:bottom w:val="single" w:color="auto" w:sz="4" w:space="0"/>
              <w:right w:val="single" w:color="auto" w:sz="4" w:space="0"/>
            </w:tcBorders>
            <w:noWrap w:val="0"/>
            <w:vAlign w:val="center"/>
          </w:tcPr>
          <w:p w14:paraId="12CFC9B4">
            <w:pPr>
              <w:shd w:val="clear"/>
              <w:jc w:val="center"/>
              <w:rPr>
                <w:rFonts w:hint="eastAsia" w:ascii="宋体" w:hAnsi="宋体" w:cs="宋体"/>
                <w:color w:val="auto"/>
                <w:highlight w:val="none"/>
              </w:rPr>
            </w:pPr>
            <w:r>
              <w:rPr>
                <w:rFonts w:hint="eastAsia" w:ascii="宋体" w:hAnsi="宋体" w:cs="宋体"/>
                <w:color w:val="auto"/>
                <w:highlight w:val="none"/>
              </w:rPr>
              <w:t>招标文件澄清发出的形式</w:t>
            </w:r>
          </w:p>
        </w:tc>
        <w:tc>
          <w:tcPr>
            <w:tcW w:w="6224" w:type="dxa"/>
            <w:tcBorders>
              <w:top w:val="single" w:color="auto" w:sz="4" w:space="0"/>
              <w:left w:val="nil"/>
              <w:bottom w:val="single" w:color="auto" w:sz="4" w:space="0"/>
              <w:right w:val="single" w:color="auto" w:sz="4" w:space="0"/>
            </w:tcBorders>
            <w:noWrap w:val="0"/>
            <w:vAlign w:val="center"/>
          </w:tcPr>
          <w:p w14:paraId="7654A891">
            <w:pPr>
              <w:shd w:val="clear"/>
              <w:rPr>
                <w:rFonts w:hint="eastAsia" w:ascii="宋体" w:hAnsi="宋体" w:cs="宋体"/>
                <w:color w:val="auto"/>
                <w:highlight w:val="none"/>
              </w:rPr>
            </w:pPr>
            <w:r>
              <w:rPr>
                <w:rFonts w:hint="eastAsia" w:ascii="宋体" w:hAnsi="宋体" w:cs="宋体"/>
                <w:color w:val="auto"/>
                <w:highlight w:val="none"/>
              </w:rPr>
              <w:t>在递交投标文件截止时间15天前，在广州交易集团有限公司（广州公共资源交易中心）网站通过答疑纪要专区网上公开发布。（具体操作详见广州公共资源交易中心网站发布的最新版操作指引）</w:t>
            </w:r>
          </w:p>
        </w:tc>
      </w:tr>
      <w:tr w14:paraId="55BF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260DC1E5">
            <w:pPr>
              <w:shd w:val="clear"/>
              <w:jc w:val="center"/>
              <w:rPr>
                <w:rFonts w:hint="eastAsia" w:ascii="宋体" w:hAnsi="宋体" w:cs="宋体"/>
                <w:color w:val="auto"/>
                <w:highlight w:val="none"/>
              </w:rPr>
            </w:pPr>
            <w:r>
              <w:rPr>
                <w:rFonts w:hint="eastAsia" w:ascii="宋体" w:hAnsi="宋体" w:cs="宋体"/>
                <w:color w:val="auto"/>
                <w:highlight w:val="none"/>
              </w:rPr>
              <w:t>2.2.3</w:t>
            </w:r>
          </w:p>
        </w:tc>
        <w:tc>
          <w:tcPr>
            <w:tcW w:w="2551" w:type="dxa"/>
            <w:vMerge w:val="restart"/>
            <w:tcBorders>
              <w:top w:val="single" w:color="auto" w:sz="4" w:space="0"/>
              <w:left w:val="nil"/>
              <w:right w:val="single" w:color="auto" w:sz="4" w:space="0"/>
            </w:tcBorders>
            <w:noWrap w:val="0"/>
            <w:vAlign w:val="center"/>
          </w:tcPr>
          <w:p w14:paraId="05B37074">
            <w:pPr>
              <w:shd w:val="clear"/>
              <w:jc w:val="center"/>
              <w:rPr>
                <w:rFonts w:hint="eastAsia" w:ascii="宋体" w:hAnsi="宋体" w:cs="宋体"/>
                <w:color w:val="auto"/>
                <w:highlight w:val="none"/>
              </w:rPr>
            </w:pPr>
            <w:r>
              <w:rPr>
                <w:rFonts w:hint="eastAsia" w:ascii="宋体" w:hAnsi="宋体" w:cs="宋体"/>
                <w:color w:val="auto"/>
                <w:highlight w:val="none"/>
              </w:rPr>
              <w:t>投标人确认收到招标文件澄清</w:t>
            </w:r>
          </w:p>
        </w:tc>
        <w:tc>
          <w:tcPr>
            <w:tcW w:w="6224" w:type="dxa"/>
            <w:tcBorders>
              <w:top w:val="single" w:color="auto" w:sz="4" w:space="0"/>
              <w:left w:val="nil"/>
              <w:bottom w:val="single" w:color="auto" w:sz="4" w:space="0"/>
              <w:right w:val="single" w:color="auto" w:sz="4" w:space="0"/>
            </w:tcBorders>
            <w:noWrap w:val="0"/>
            <w:vAlign w:val="center"/>
          </w:tcPr>
          <w:p w14:paraId="0955C677">
            <w:pPr>
              <w:shd w:val="clear"/>
              <w:rPr>
                <w:rFonts w:hint="eastAsia" w:ascii="宋体" w:hAnsi="宋体" w:cs="宋体"/>
                <w:color w:val="auto"/>
                <w:highlight w:val="none"/>
              </w:rPr>
            </w:pPr>
            <w:r>
              <w:rPr>
                <w:rFonts w:hint="eastAsia" w:ascii="宋体" w:hAnsi="宋体" w:cs="宋体"/>
                <w:color w:val="auto"/>
                <w:highlight w:val="none"/>
              </w:rPr>
              <w:t xml:space="preserve">时间：发出即视作收到 </w:t>
            </w:r>
          </w:p>
        </w:tc>
      </w:tr>
      <w:tr w14:paraId="0D4A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7" w:type="dxa"/>
            <w:vMerge w:val="continue"/>
            <w:tcBorders>
              <w:left w:val="single" w:color="auto" w:sz="4" w:space="0"/>
              <w:bottom w:val="single" w:color="auto" w:sz="4" w:space="0"/>
              <w:right w:val="single" w:color="auto" w:sz="4" w:space="0"/>
            </w:tcBorders>
            <w:noWrap w:val="0"/>
            <w:vAlign w:val="center"/>
          </w:tcPr>
          <w:p w14:paraId="0DADC594">
            <w:pPr>
              <w:shd w:val="clear"/>
              <w:jc w:val="center"/>
              <w:rPr>
                <w:rFonts w:hint="eastAsia" w:ascii="宋体" w:hAnsi="宋体" w:cs="宋体"/>
                <w:color w:val="auto"/>
                <w:highlight w:val="none"/>
              </w:rPr>
            </w:pPr>
          </w:p>
        </w:tc>
        <w:tc>
          <w:tcPr>
            <w:tcW w:w="2551" w:type="dxa"/>
            <w:vMerge w:val="continue"/>
            <w:tcBorders>
              <w:left w:val="nil"/>
              <w:bottom w:val="single" w:color="auto" w:sz="4" w:space="0"/>
              <w:right w:val="single" w:color="auto" w:sz="4" w:space="0"/>
            </w:tcBorders>
            <w:noWrap w:val="0"/>
            <w:vAlign w:val="center"/>
          </w:tcPr>
          <w:p w14:paraId="43E07E52">
            <w:pPr>
              <w:shd w:val="clear"/>
              <w:jc w:val="center"/>
              <w:rPr>
                <w:rFonts w:hint="eastAsia" w:ascii="宋体" w:hAnsi="宋体" w:cs="宋体"/>
                <w:color w:val="auto"/>
                <w:highlight w:val="none"/>
              </w:rPr>
            </w:pPr>
          </w:p>
        </w:tc>
        <w:tc>
          <w:tcPr>
            <w:tcW w:w="6224" w:type="dxa"/>
            <w:tcBorders>
              <w:top w:val="single" w:color="auto" w:sz="4" w:space="0"/>
              <w:left w:val="nil"/>
              <w:bottom w:val="single" w:color="auto" w:sz="4" w:space="0"/>
              <w:right w:val="single" w:color="auto" w:sz="4" w:space="0"/>
            </w:tcBorders>
            <w:noWrap w:val="0"/>
            <w:vAlign w:val="center"/>
          </w:tcPr>
          <w:p w14:paraId="00675B45">
            <w:pPr>
              <w:shd w:val="clear"/>
              <w:rPr>
                <w:rFonts w:hint="eastAsia" w:ascii="宋体" w:hAnsi="宋体" w:cs="宋体"/>
                <w:color w:val="auto"/>
                <w:highlight w:val="none"/>
              </w:rPr>
            </w:pPr>
            <w:r>
              <w:rPr>
                <w:rFonts w:hint="eastAsia" w:ascii="宋体" w:hAnsi="宋体" w:cs="宋体"/>
                <w:color w:val="auto"/>
                <w:highlight w:val="none"/>
              </w:rPr>
              <w:t>形式：</w:t>
            </w:r>
            <w:r>
              <w:rPr>
                <w:rFonts w:hint="eastAsia" w:ascii="宋体" w:hAnsi="宋体" w:cs="宋体"/>
                <w:color w:val="auto"/>
                <w:highlight w:val="none"/>
                <w:u w:val="single"/>
              </w:rPr>
              <w:t>招标文件澄清（招标答疑纪要）一经在广州交易集团有限公司（广州公共资源交易中心）网站发布，视作已发放给所有投标人。</w:t>
            </w:r>
          </w:p>
        </w:tc>
      </w:tr>
      <w:tr w14:paraId="5737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D95E44A">
            <w:pPr>
              <w:shd w:val="clear"/>
              <w:jc w:val="center"/>
              <w:rPr>
                <w:rFonts w:hint="eastAsia" w:ascii="宋体" w:hAnsi="宋体" w:cs="宋体"/>
                <w:color w:val="auto"/>
                <w:highlight w:val="none"/>
              </w:rPr>
            </w:pPr>
            <w:r>
              <w:rPr>
                <w:rFonts w:hint="eastAsia" w:ascii="宋体" w:hAnsi="宋体" w:cs="宋体"/>
                <w:color w:val="auto"/>
                <w:highlight w:val="none"/>
              </w:rPr>
              <w:t>2.3.1</w:t>
            </w:r>
          </w:p>
        </w:tc>
        <w:tc>
          <w:tcPr>
            <w:tcW w:w="2551" w:type="dxa"/>
            <w:tcBorders>
              <w:top w:val="single" w:color="auto" w:sz="4" w:space="0"/>
              <w:left w:val="nil"/>
              <w:bottom w:val="single" w:color="auto" w:sz="4" w:space="0"/>
              <w:right w:val="single" w:color="auto" w:sz="4" w:space="0"/>
            </w:tcBorders>
            <w:noWrap w:val="0"/>
            <w:vAlign w:val="center"/>
          </w:tcPr>
          <w:p w14:paraId="70EE0724">
            <w:pPr>
              <w:shd w:val="clear"/>
              <w:jc w:val="center"/>
              <w:rPr>
                <w:rFonts w:hint="eastAsia" w:ascii="宋体" w:hAnsi="宋体" w:cs="宋体"/>
                <w:color w:val="auto"/>
                <w:highlight w:val="none"/>
              </w:rPr>
            </w:pPr>
            <w:r>
              <w:rPr>
                <w:rFonts w:hint="eastAsia" w:ascii="宋体" w:hAnsi="宋体" w:cs="宋体"/>
                <w:color w:val="auto"/>
                <w:highlight w:val="none"/>
              </w:rPr>
              <w:t>招标文件修改发出的形式</w:t>
            </w:r>
          </w:p>
        </w:tc>
        <w:tc>
          <w:tcPr>
            <w:tcW w:w="6224" w:type="dxa"/>
            <w:tcBorders>
              <w:top w:val="single" w:color="auto" w:sz="4" w:space="0"/>
              <w:left w:val="nil"/>
              <w:bottom w:val="single" w:color="auto" w:sz="4" w:space="0"/>
              <w:right w:val="single" w:color="auto" w:sz="4" w:space="0"/>
            </w:tcBorders>
            <w:noWrap w:val="0"/>
            <w:vAlign w:val="center"/>
          </w:tcPr>
          <w:p w14:paraId="2C56532B">
            <w:pPr>
              <w:shd w:val="clear"/>
              <w:rPr>
                <w:rFonts w:hint="eastAsia" w:ascii="宋体" w:hAnsi="宋体" w:cs="宋体"/>
                <w:color w:val="auto"/>
                <w:highlight w:val="none"/>
              </w:rPr>
            </w:pPr>
            <w:r>
              <w:rPr>
                <w:rFonts w:hint="eastAsia" w:ascii="宋体" w:hAnsi="宋体" w:cs="宋体"/>
                <w:color w:val="auto"/>
                <w:highlight w:val="none"/>
              </w:rPr>
              <w:t>本项目的招标文件澄清及答疑文件将在</w:t>
            </w:r>
            <w:r>
              <w:rPr>
                <w:rFonts w:hint="eastAsia" w:ascii="宋体" w:hAnsi="宋体" w:cs="宋体"/>
                <w:color w:val="auto"/>
                <w:highlight w:val="none"/>
                <w:u w:val="single"/>
              </w:rPr>
              <w:t>广州交易集团有限公司（广州公共资源交易中心）</w:t>
            </w:r>
            <w:r>
              <w:rPr>
                <w:rFonts w:hint="eastAsia" w:ascii="宋体" w:hAnsi="宋体" w:cs="宋体"/>
                <w:color w:val="auto"/>
                <w:highlight w:val="none"/>
              </w:rPr>
              <w:t>网上发布，投标人自行下载。从招标文件澄清及答疑文件发布之日起即视为投标人已确认收到。</w:t>
            </w:r>
          </w:p>
        </w:tc>
      </w:tr>
      <w:tr w14:paraId="171B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05AA743B">
            <w:pPr>
              <w:shd w:val="clear"/>
              <w:jc w:val="center"/>
              <w:rPr>
                <w:rFonts w:hint="eastAsia" w:ascii="宋体" w:hAnsi="宋体" w:cs="宋体"/>
                <w:color w:val="auto"/>
                <w:highlight w:val="none"/>
              </w:rPr>
            </w:pPr>
            <w:r>
              <w:rPr>
                <w:rFonts w:hint="eastAsia" w:ascii="宋体" w:hAnsi="宋体" w:cs="宋体"/>
                <w:color w:val="auto"/>
                <w:highlight w:val="none"/>
              </w:rPr>
              <w:t>2.3.2</w:t>
            </w:r>
          </w:p>
        </w:tc>
        <w:tc>
          <w:tcPr>
            <w:tcW w:w="2551" w:type="dxa"/>
            <w:vMerge w:val="restart"/>
            <w:tcBorders>
              <w:top w:val="single" w:color="auto" w:sz="4" w:space="0"/>
              <w:left w:val="nil"/>
              <w:right w:val="single" w:color="auto" w:sz="4" w:space="0"/>
            </w:tcBorders>
            <w:noWrap w:val="0"/>
            <w:vAlign w:val="center"/>
          </w:tcPr>
          <w:p w14:paraId="23446D82">
            <w:pPr>
              <w:shd w:val="clear"/>
              <w:jc w:val="center"/>
              <w:rPr>
                <w:rFonts w:hint="eastAsia" w:ascii="宋体" w:hAnsi="宋体" w:cs="宋体"/>
                <w:color w:val="auto"/>
                <w:highlight w:val="none"/>
              </w:rPr>
            </w:pPr>
            <w:r>
              <w:rPr>
                <w:rFonts w:hint="eastAsia" w:ascii="宋体" w:hAnsi="宋体" w:cs="宋体"/>
                <w:color w:val="auto"/>
                <w:highlight w:val="none"/>
              </w:rPr>
              <w:t>投标人确认收到招标文件修改</w:t>
            </w:r>
          </w:p>
        </w:tc>
        <w:tc>
          <w:tcPr>
            <w:tcW w:w="6224" w:type="dxa"/>
            <w:tcBorders>
              <w:top w:val="single" w:color="auto" w:sz="4" w:space="0"/>
              <w:left w:val="nil"/>
              <w:bottom w:val="single" w:color="auto" w:sz="4" w:space="0"/>
              <w:right w:val="single" w:color="auto" w:sz="4" w:space="0"/>
            </w:tcBorders>
            <w:noWrap w:val="0"/>
            <w:vAlign w:val="center"/>
          </w:tcPr>
          <w:p w14:paraId="7FED65AE">
            <w:pPr>
              <w:shd w:val="clear"/>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发出即视作收到。</w:t>
            </w:r>
          </w:p>
        </w:tc>
      </w:tr>
      <w:tr w14:paraId="24B3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 w:type="dxa"/>
            <w:vMerge w:val="continue"/>
            <w:tcBorders>
              <w:left w:val="single" w:color="auto" w:sz="4" w:space="0"/>
              <w:bottom w:val="single" w:color="auto" w:sz="4" w:space="0"/>
              <w:right w:val="single" w:color="auto" w:sz="4" w:space="0"/>
            </w:tcBorders>
            <w:noWrap w:val="0"/>
            <w:vAlign w:val="center"/>
          </w:tcPr>
          <w:p w14:paraId="7D986493">
            <w:pPr>
              <w:shd w:val="clear"/>
              <w:jc w:val="center"/>
              <w:rPr>
                <w:rFonts w:hint="eastAsia" w:ascii="宋体" w:hAnsi="宋体" w:cs="宋体"/>
                <w:color w:val="auto"/>
                <w:highlight w:val="none"/>
              </w:rPr>
            </w:pPr>
          </w:p>
        </w:tc>
        <w:tc>
          <w:tcPr>
            <w:tcW w:w="2551" w:type="dxa"/>
            <w:vMerge w:val="continue"/>
            <w:tcBorders>
              <w:left w:val="nil"/>
              <w:bottom w:val="single" w:color="auto" w:sz="4" w:space="0"/>
              <w:right w:val="single" w:color="auto" w:sz="4" w:space="0"/>
            </w:tcBorders>
            <w:noWrap w:val="0"/>
            <w:vAlign w:val="center"/>
          </w:tcPr>
          <w:p w14:paraId="5239CAA2">
            <w:pPr>
              <w:shd w:val="clear"/>
              <w:jc w:val="center"/>
              <w:rPr>
                <w:rFonts w:hint="eastAsia" w:ascii="宋体" w:hAnsi="宋体" w:cs="宋体"/>
                <w:color w:val="auto"/>
                <w:highlight w:val="none"/>
              </w:rPr>
            </w:pPr>
          </w:p>
        </w:tc>
        <w:tc>
          <w:tcPr>
            <w:tcW w:w="6224" w:type="dxa"/>
            <w:tcBorders>
              <w:top w:val="single" w:color="auto" w:sz="4" w:space="0"/>
              <w:left w:val="nil"/>
              <w:bottom w:val="single" w:color="auto" w:sz="4" w:space="0"/>
              <w:right w:val="single" w:color="auto" w:sz="4" w:space="0"/>
            </w:tcBorders>
            <w:noWrap w:val="0"/>
            <w:vAlign w:val="center"/>
          </w:tcPr>
          <w:p w14:paraId="36CD6983">
            <w:pPr>
              <w:shd w:val="clear"/>
              <w:rPr>
                <w:rFonts w:hint="eastAsia" w:ascii="宋体" w:hAnsi="宋体" w:cs="宋体"/>
                <w:color w:val="auto"/>
                <w:highlight w:val="none"/>
              </w:rPr>
            </w:pPr>
            <w:r>
              <w:rPr>
                <w:rFonts w:hint="eastAsia" w:ascii="宋体" w:hAnsi="宋体" w:cs="宋体"/>
                <w:color w:val="auto"/>
                <w:highlight w:val="none"/>
              </w:rPr>
              <w:t>形式：</w:t>
            </w:r>
            <w:r>
              <w:rPr>
                <w:rFonts w:hint="eastAsia" w:ascii="宋体" w:hAnsi="宋体" w:cs="宋体"/>
                <w:color w:val="auto"/>
                <w:highlight w:val="none"/>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7847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79FBCA0">
            <w:pPr>
              <w:shd w:val="clear"/>
              <w:jc w:val="center"/>
              <w:rPr>
                <w:rFonts w:hint="eastAsia" w:ascii="宋体" w:hAnsi="宋体" w:cs="宋体"/>
                <w:color w:val="auto"/>
                <w:highlight w:val="none"/>
              </w:rPr>
            </w:pPr>
            <w:r>
              <w:rPr>
                <w:rFonts w:hint="eastAsia" w:ascii="宋体" w:hAnsi="宋体" w:cs="宋体"/>
                <w:color w:val="auto"/>
                <w:highlight w:val="none"/>
              </w:rPr>
              <w:t>3.1.1</w:t>
            </w:r>
          </w:p>
        </w:tc>
        <w:tc>
          <w:tcPr>
            <w:tcW w:w="2551" w:type="dxa"/>
            <w:tcBorders>
              <w:top w:val="single" w:color="auto" w:sz="4" w:space="0"/>
              <w:left w:val="nil"/>
              <w:bottom w:val="single" w:color="auto" w:sz="4" w:space="0"/>
              <w:right w:val="single" w:color="auto" w:sz="4" w:space="0"/>
            </w:tcBorders>
            <w:noWrap w:val="0"/>
            <w:vAlign w:val="center"/>
          </w:tcPr>
          <w:p w14:paraId="06C40787">
            <w:pPr>
              <w:shd w:val="clear"/>
              <w:jc w:val="center"/>
              <w:rPr>
                <w:rFonts w:hint="eastAsia" w:ascii="宋体" w:hAnsi="宋体" w:cs="宋体"/>
                <w:color w:val="auto"/>
                <w:highlight w:val="none"/>
              </w:rPr>
            </w:pPr>
            <w:r>
              <w:rPr>
                <w:rFonts w:hint="eastAsia" w:ascii="宋体" w:hAnsi="宋体" w:cs="宋体"/>
                <w:color w:val="auto"/>
                <w:highlight w:val="none"/>
              </w:rPr>
              <w:t>构成投标文件的其他资料</w:t>
            </w:r>
          </w:p>
        </w:tc>
        <w:tc>
          <w:tcPr>
            <w:tcW w:w="6224" w:type="dxa"/>
            <w:tcBorders>
              <w:top w:val="single" w:color="auto" w:sz="4" w:space="0"/>
              <w:left w:val="nil"/>
              <w:bottom w:val="single" w:color="auto" w:sz="4" w:space="0"/>
              <w:right w:val="single" w:color="auto" w:sz="4" w:space="0"/>
            </w:tcBorders>
            <w:noWrap w:val="0"/>
            <w:vAlign w:val="center"/>
          </w:tcPr>
          <w:p w14:paraId="7D606BC1">
            <w:pPr>
              <w:shd w:val="clear"/>
              <w:rPr>
                <w:rFonts w:hint="eastAsia" w:ascii="宋体" w:hAnsi="宋体" w:cs="宋体"/>
                <w:color w:val="auto"/>
                <w:highlight w:val="none"/>
              </w:rPr>
            </w:pPr>
            <w:r>
              <w:rPr>
                <w:rFonts w:hint="eastAsia" w:ascii="宋体" w:hAnsi="宋体" w:cs="宋体"/>
                <w:color w:val="auto"/>
                <w:highlight w:val="none"/>
              </w:rPr>
              <w:t>（1）按本招标文件规定，需提交的其它所有资料；</w:t>
            </w:r>
          </w:p>
          <w:p w14:paraId="0E505D2A">
            <w:pPr>
              <w:shd w:val="clear"/>
              <w:rPr>
                <w:rFonts w:hint="eastAsia" w:ascii="宋体" w:hAnsi="宋体" w:cs="宋体"/>
                <w:color w:val="auto"/>
                <w:highlight w:val="none"/>
              </w:rPr>
            </w:pPr>
            <w:r>
              <w:rPr>
                <w:rFonts w:hint="eastAsia" w:ascii="宋体" w:hAnsi="宋体" w:cs="宋体"/>
                <w:color w:val="auto"/>
                <w:highlight w:val="none"/>
              </w:rPr>
              <w:t>（2）投标人认为需要提交的其他资料。</w:t>
            </w:r>
          </w:p>
          <w:p w14:paraId="27241BE4">
            <w:pPr>
              <w:shd w:val="clear"/>
              <w:rPr>
                <w:rFonts w:hint="eastAsia" w:ascii="宋体" w:hAnsi="宋体" w:cs="宋体"/>
                <w:color w:val="auto"/>
                <w:highlight w:val="none"/>
              </w:rPr>
            </w:pPr>
            <w:r>
              <w:rPr>
                <w:rFonts w:hint="eastAsia" w:ascii="宋体" w:hAnsi="宋体" w:cs="宋体"/>
                <w:color w:val="auto"/>
                <w:highlight w:val="none"/>
              </w:rPr>
              <w:t>具体内容要求按投标文件格式填写，并按要求用单位数字证书加盖电子印章。</w:t>
            </w:r>
          </w:p>
          <w:p w14:paraId="5BF9984B">
            <w:pPr>
              <w:shd w:val="clear"/>
              <w:rPr>
                <w:rFonts w:hint="eastAsia" w:ascii="宋体" w:hAnsi="宋体" w:cs="宋体"/>
                <w:color w:val="auto"/>
                <w:highlight w:val="none"/>
              </w:rPr>
            </w:pPr>
            <w:r>
              <w:rPr>
                <w:rFonts w:hint="eastAsia" w:ascii="宋体" w:hAnsi="宋体" w:cs="宋体"/>
                <w:color w:val="auto"/>
                <w:highlight w:val="none"/>
              </w:rPr>
              <w:t>投标人按照招标文件提供的投标文件格式的要求如实填写（表格可以按同样格式扩展、缩小，内容项目不能变化）。</w:t>
            </w:r>
          </w:p>
        </w:tc>
      </w:tr>
      <w:tr w14:paraId="7EB5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EB5DD1B">
            <w:pPr>
              <w:shd w:val="clear"/>
              <w:jc w:val="center"/>
              <w:rPr>
                <w:rFonts w:hint="eastAsia" w:ascii="宋体" w:hAnsi="宋体" w:cs="宋体"/>
                <w:color w:val="auto"/>
                <w:highlight w:val="none"/>
              </w:rPr>
            </w:pPr>
            <w:r>
              <w:rPr>
                <w:rFonts w:hint="eastAsia" w:ascii="宋体" w:hAnsi="宋体" w:cs="宋体"/>
                <w:color w:val="auto"/>
                <w:highlight w:val="none"/>
              </w:rPr>
              <w:t>3.2.1</w:t>
            </w:r>
          </w:p>
        </w:tc>
        <w:tc>
          <w:tcPr>
            <w:tcW w:w="2551" w:type="dxa"/>
            <w:tcBorders>
              <w:top w:val="single" w:color="auto" w:sz="4" w:space="0"/>
              <w:left w:val="nil"/>
              <w:bottom w:val="single" w:color="auto" w:sz="4" w:space="0"/>
              <w:right w:val="single" w:color="auto" w:sz="4" w:space="0"/>
            </w:tcBorders>
            <w:noWrap w:val="0"/>
            <w:vAlign w:val="center"/>
          </w:tcPr>
          <w:p w14:paraId="14F0D6A7">
            <w:pPr>
              <w:shd w:val="clear"/>
              <w:jc w:val="center"/>
              <w:rPr>
                <w:rFonts w:hint="eastAsia" w:ascii="宋体" w:hAnsi="宋体" w:cs="宋体"/>
                <w:color w:val="auto"/>
                <w:highlight w:val="none"/>
              </w:rPr>
            </w:pPr>
            <w:r>
              <w:rPr>
                <w:rFonts w:hint="eastAsia" w:ascii="宋体" w:hAnsi="宋体" w:cs="宋体"/>
                <w:color w:val="auto"/>
                <w:highlight w:val="none"/>
              </w:rPr>
              <w:t>增值税税金的计算方法</w:t>
            </w:r>
          </w:p>
        </w:tc>
        <w:tc>
          <w:tcPr>
            <w:tcW w:w="6224" w:type="dxa"/>
            <w:tcBorders>
              <w:top w:val="single" w:color="auto" w:sz="4" w:space="0"/>
              <w:left w:val="nil"/>
              <w:bottom w:val="single" w:color="auto" w:sz="4" w:space="0"/>
              <w:right w:val="single" w:color="auto" w:sz="4" w:space="0"/>
            </w:tcBorders>
            <w:noWrap w:val="0"/>
            <w:vAlign w:val="center"/>
          </w:tcPr>
          <w:p w14:paraId="5791E855">
            <w:pPr>
              <w:shd w:val="clear"/>
              <w:rPr>
                <w:rFonts w:hint="eastAsia" w:ascii="宋体" w:hAnsi="宋体" w:cs="宋体"/>
                <w:color w:val="auto"/>
                <w:highlight w:val="none"/>
              </w:rPr>
            </w:pPr>
            <w:r>
              <w:rPr>
                <w:rFonts w:hint="eastAsia" w:ascii="宋体" w:hAnsi="宋体" w:cs="宋体"/>
                <w:color w:val="auto"/>
                <w:highlight w:val="none"/>
                <w:u w:val="single"/>
              </w:rPr>
              <w:t>按国家税务机关的规定执行。</w:t>
            </w:r>
          </w:p>
        </w:tc>
      </w:tr>
      <w:tr w14:paraId="02E7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83F4DB8">
            <w:pPr>
              <w:shd w:val="clear"/>
              <w:jc w:val="center"/>
              <w:rPr>
                <w:rFonts w:hint="eastAsia" w:ascii="宋体" w:hAnsi="宋体" w:cs="宋体"/>
                <w:color w:val="auto"/>
                <w:highlight w:val="none"/>
              </w:rPr>
            </w:pPr>
            <w:r>
              <w:rPr>
                <w:rFonts w:hint="eastAsia" w:ascii="宋体" w:hAnsi="宋体" w:cs="宋体"/>
                <w:color w:val="auto"/>
                <w:highlight w:val="none"/>
              </w:rPr>
              <w:t>3.2.3</w:t>
            </w:r>
          </w:p>
        </w:tc>
        <w:tc>
          <w:tcPr>
            <w:tcW w:w="2551" w:type="dxa"/>
            <w:tcBorders>
              <w:top w:val="single" w:color="auto" w:sz="4" w:space="0"/>
              <w:left w:val="nil"/>
              <w:bottom w:val="single" w:color="auto" w:sz="4" w:space="0"/>
              <w:right w:val="single" w:color="auto" w:sz="4" w:space="0"/>
            </w:tcBorders>
            <w:noWrap w:val="0"/>
            <w:vAlign w:val="center"/>
          </w:tcPr>
          <w:p w14:paraId="3DFC4E50">
            <w:pPr>
              <w:shd w:val="clear"/>
              <w:jc w:val="center"/>
              <w:rPr>
                <w:rFonts w:hint="eastAsia" w:ascii="宋体" w:hAnsi="宋体" w:cs="宋体"/>
                <w:color w:val="auto"/>
                <w:highlight w:val="none"/>
              </w:rPr>
            </w:pPr>
            <w:r>
              <w:rPr>
                <w:rFonts w:hint="eastAsia" w:ascii="宋体" w:hAnsi="宋体" w:cs="宋体"/>
                <w:color w:val="auto"/>
                <w:highlight w:val="none"/>
              </w:rPr>
              <w:t>报价方式</w:t>
            </w:r>
          </w:p>
        </w:tc>
        <w:tc>
          <w:tcPr>
            <w:tcW w:w="6224" w:type="dxa"/>
            <w:tcBorders>
              <w:top w:val="single" w:color="auto" w:sz="4" w:space="0"/>
              <w:left w:val="nil"/>
              <w:bottom w:val="single" w:color="auto" w:sz="4" w:space="0"/>
              <w:right w:val="single" w:color="auto" w:sz="4" w:space="0"/>
            </w:tcBorders>
            <w:noWrap w:val="0"/>
            <w:vAlign w:val="center"/>
          </w:tcPr>
          <w:p w14:paraId="6885F997">
            <w:pPr>
              <w:shd w:val="clear"/>
              <w:rPr>
                <w:rFonts w:hint="eastAsia" w:ascii="宋体" w:hAnsi="宋体" w:cs="宋体"/>
                <w:color w:val="auto"/>
                <w:highlight w:val="none"/>
              </w:rPr>
            </w:pPr>
            <w:r>
              <w:rPr>
                <w:rFonts w:hint="eastAsia" w:ascii="宋体" w:hAnsi="宋体" w:cs="宋体"/>
                <w:color w:val="auto"/>
                <w:highlight w:val="none"/>
                <w:u w:val="single"/>
              </w:rPr>
              <w:t>投标人自行报价，以万元为单位，精确到小数位后2位。投标报价不得高于最高投标限价，由投标人根据招标文件要求以及企业自身情况填写报价。结算方式：按合同约定执行。</w:t>
            </w:r>
          </w:p>
        </w:tc>
      </w:tr>
      <w:tr w14:paraId="6B14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789BF304">
            <w:pPr>
              <w:shd w:val="clear"/>
              <w:jc w:val="center"/>
              <w:rPr>
                <w:rFonts w:hint="eastAsia" w:ascii="宋体" w:hAnsi="宋体" w:cs="宋体"/>
                <w:color w:val="auto"/>
                <w:highlight w:val="none"/>
              </w:rPr>
            </w:pPr>
            <w:r>
              <w:rPr>
                <w:rFonts w:hint="eastAsia" w:ascii="宋体" w:hAnsi="宋体" w:cs="宋体"/>
                <w:color w:val="auto"/>
                <w:highlight w:val="none"/>
              </w:rPr>
              <w:t>3.2.4</w:t>
            </w:r>
          </w:p>
        </w:tc>
        <w:tc>
          <w:tcPr>
            <w:tcW w:w="2551" w:type="dxa"/>
            <w:tcBorders>
              <w:top w:val="single" w:color="auto" w:sz="4" w:space="0"/>
              <w:left w:val="nil"/>
              <w:bottom w:val="single" w:color="auto" w:sz="4" w:space="0"/>
              <w:right w:val="single" w:color="auto" w:sz="4" w:space="0"/>
            </w:tcBorders>
            <w:noWrap w:val="0"/>
            <w:vAlign w:val="center"/>
          </w:tcPr>
          <w:p w14:paraId="60613708">
            <w:pPr>
              <w:shd w:val="clear"/>
              <w:jc w:val="center"/>
              <w:rPr>
                <w:rFonts w:hint="eastAsia" w:ascii="宋体" w:hAnsi="宋体" w:cs="宋体"/>
                <w:color w:val="auto"/>
                <w:highlight w:val="none"/>
              </w:rPr>
            </w:pPr>
            <w:r>
              <w:rPr>
                <w:rFonts w:hint="eastAsia" w:ascii="宋体" w:hAnsi="宋体" w:cs="宋体"/>
                <w:color w:val="auto"/>
                <w:highlight w:val="none"/>
              </w:rPr>
              <w:t>最高投标限价</w:t>
            </w:r>
          </w:p>
        </w:tc>
        <w:tc>
          <w:tcPr>
            <w:tcW w:w="6224" w:type="dxa"/>
            <w:tcBorders>
              <w:top w:val="single" w:color="auto" w:sz="4" w:space="0"/>
              <w:left w:val="nil"/>
              <w:bottom w:val="single" w:color="auto" w:sz="4" w:space="0"/>
              <w:right w:val="single" w:color="auto" w:sz="4" w:space="0"/>
            </w:tcBorders>
            <w:noWrap w:val="0"/>
            <w:vAlign w:val="center"/>
          </w:tcPr>
          <w:p w14:paraId="439F743D">
            <w:pPr>
              <w:shd w:val="clear"/>
              <w:rPr>
                <w:rFonts w:hint="eastAsia" w:ascii="宋体" w:hAnsi="宋体" w:cs="宋体"/>
                <w:color w:val="auto"/>
                <w:highlight w:val="none"/>
              </w:rPr>
            </w:pPr>
            <w:r>
              <w:rPr>
                <w:rFonts w:hint="eastAsia" w:ascii="宋体" w:hAnsi="宋体" w:cs="宋体"/>
                <w:color w:val="auto"/>
                <w:highlight w:val="none"/>
              </w:rPr>
              <w:t>□无</w:t>
            </w:r>
          </w:p>
          <w:p w14:paraId="7E87B71B">
            <w:pPr>
              <w:shd w:val="clear"/>
              <w:rPr>
                <w:rFonts w:hint="eastAsia" w:ascii="宋体" w:hAnsi="宋体" w:cs="宋体"/>
                <w:color w:val="auto"/>
                <w:highlight w:val="none"/>
              </w:rPr>
            </w:pPr>
            <w:r>
              <w:rPr>
                <w:rFonts w:hint="eastAsia" w:ascii="宋体" w:hAnsi="宋体" w:cs="宋体"/>
                <w:color w:val="auto"/>
                <w:highlight w:val="none"/>
              </w:rPr>
              <w:t>■有，最高投标限价：</w:t>
            </w:r>
            <w:r>
              <w:rPr>
                <w:rFonts w:hint="eastAsia" w:ascii="宋体" w:hAnsi="宋体" w:cs="宋体"/>
                <w:color w:val="auto"/>
                <w:highlight w:val="none"/>
                <w:u w:val="single"/>
                <w:lang w:val="en-US" w:eastAsia="zh-CN"/>
              </w:rPr>
              <w:t>472.81</w:t>
            </w:r>
            <w:r>
              <w:rPr>
                <w:rFonts w:hint="eastAsia" w:ascii="宋体" w:hAnsi="宋体" w:cs="宋体"/>
                <w:color w:val="auto"/>
                <w:highlight w:val="none"/>
              </w:rPr>
              <w:t>万元。</w:t>
            </w:r>
          </w:p>
          <w:p w14:paraId="61AB2284">
            <w:pPr>
              <w:shd w:val="clear"/>
              <w:rPr>
                <w:rFonts w:hint="default" w:ascii="宋体" w:hAnsi="宋体" w:eastAsia="宋体" w:cs="宋体"/>
                <w:color w:val="auto"/>
                <w:highlight w:val="none"/>
                <w:lang w:val="en-US" w:eastAsia="zh-CN"/>
              </w:rPr>
            </w:pPr>
            <w:r>
              <w:rPr>
                <w:rFonts w:hint="eastAsia" w:ascii="宋体" w:hAnsi="宋体" w:cs="宋体"/>
                <w:color w:val="auto"/>
                <w:highlight w:val="none"/>
                <w:u w:val="single"/>
              </w:rPr>
              <w:t>投标人应结合自身因素进行投标报价，投标报价不得超出最高投标限价，否则投标无效。</w:t>
            </w:r>
          </w:p>
        </w:tc>
      </w:tr>
      <w:tr w14:paraId="2F84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7DB828C">
            <w:pPr>
              <w:shd w:val="clear"/>
              <w:jc w:val="center"/>
              <w:rPr>
                <w:rFonts w:hint="eastAsia" w:ascii="宋体" w:hAnsi="宋体" w:cs="宋体"/>
                <w:color w:val="auto"/>
                <w:highlight w:val="none"/>
              </w:rPr>
            </w:pPr>
            <w:r>
              <w:rPr>
                <w:rFonts w:hint="eastAsia" w:ascii="宋体" w:hAnsi="宋体" w:cs="宋体"/>
                <w:color w:val="auto"/>
                <w:highlight w:val="none"/>
              </w:rPr>
              <w:t>3.2.5</w:t>
            </w:r>
          </w:p>
        </w:tc>
        <w:tc>
          <w:tcPr>
            <w:tcW w:w="2551" w:type="dxa"/>
            <w:tcBorders>
              <w:top w:val="single" w:color="auto" w:sz="4" w:space="0"/>
              <w:left w:val="nil"/>
              <w:bottom w:val="single" w:color="auto" w:sz="4" w:space="0"/>
              <w:right w:val="single" w:color="auto" w:sz="4" w:space="0"/>
            </w:tcBorders>
            <w:noWrap w:val="0"/>
            <w:vAlign w:val="center"/>
          </w:tcPr>
          <w:p w14:paraId="4C5BDAB0">
            <w:pPr>
              <w:shd w:val="clear"/>
              <w:jc w:val="center"/>
              <w:rPr>
                <w:rFonts w:hint="eastAsia" w:ascii="宋体" w:hAnsi="宋体" w:cs="宋体"/>
                <w:color w:val="auto"/>
                <w:highlight w:val="none"/>
              </w:rPr>
            </w:pPr>
            <w:r>
              <w:rPr>
                <w:rFonts w:hint="eastAsia" w:ascii="宋体" w:hAnsi="宋体" w:cs="宋体"/>
                <w:color w:val="auto"/>
                <w:highlight w:val="none"/>
              </w:rPr>
              <w:t>投标报价的其他要求</w:t>
            </w:r>
          </w:p>
        </w:tc>
        <w:tc>
          <w:tcPr>
            <w:tcW w:w="6224" w:type="dxa"/>
            <w:tcBorders>
              <w:top w:val="single" w:color="auto" w:sz="4" w:space="0"/>
              <w:left w:val="nil"/>
              <w:bottom w:val="single" w:color="auto" w:sz="4" w:space="0"/>
              <w:right w:val="single" w:color="auto" w:sz="4" w:space="0"/>
            </w:tcBorders>
            <w:noWrap w:val="0"/>
            <w:vAlign w:val="center"/>
          </w:tcPr>
          <w:p w14:paraId="07DFF748">
            <w:pPr>
              <w:numPr>
                <w:ilvl w:val="0"/>
                <w:numId w:val="1"/>
              </w:numPr>
              <w:shd w:val="clear"/>
              <w:rPr>
                <w:rFonts w:hint="eastAsia" w:ascii="宋体" w:hAnsi="宋体" w:cs="宋体"/>
                <w:color w:val="auto"/>
                <w:highlight w:val="none"/>
              </w:rPr>
            </w:pPr>
            <w:r>
              <w:rPr>
                <w:rFonts w:hint="eastAsia" w:ascii="宋体" w:hAnsi="宋体" w:cs="宋体"/>
                <w:color w:val="auto"/>
                <w:highlight w:val="none"/>
              </w:rPr>
              <w:t>投标人必须详细审阅全部招标文件及有关资料,充分考虑职责和义务,全面地理解招标文件对投标报价的要求,并按招标人提出的条件及内容进行报价。</w:t>
            </w:r>
          </w:p>
          <w:p w14:paraId="0C46F78B">
            <w:pPr>
              <w:pStyle w:val="60"/>
              <w:numPr>
                <w:ilvl w:val="0"/>
                <w:numId w:val="1"/>
              </w:numPr>
              <w:shd w:val="clear"/>
              <w:rPr>
                <w:rFonts w:hint="eastAsia" w:ascii="宋体" w:hAnsi="宋体" w:cs="宋体"/>
                <w:color w:val="auto"/>
                <w:szCs w:val="21"/>
                <w:highlight w:val="none"/>
              </w:rPr>
            </w:pPr>
            <w:r>
              <w:rPr>
                <w:rFonts w:hint="eastAsia"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14:paraId="6FADAC50">
            <w:pPr>
              <w:pStyle w:val="60"/>
              <w:shd w:val="clear"/>
              <w:rPr>
                <w:rFonts w:hint="eastAsia" w:ascii="宋体" w:hAnsi="宋体" w:cs="宋体"/>
                <w:color w:val="auto"/>
                <w:szCs w:val="21"/>
                <w:highlight w:val="none"/>
              </w:rPr>
            </w:pPr>
            <w:r>
              <w:rPr>
                <w:rFonts w:hint="eastAsia" w:ascii="宋体" w:hAnsi="宋体" w:cs="宋体"/>
                <w:color w:val="auto"/>
                <w:szCs w:val="21"/>
                <w:highlight w:val="none"/>
              </w:rPr>
              <w:t>①投标文件中的大写金额与小写金额不一致的，以大写金额为准；</w:t>
            </w:r>
          </w:p>
          <w:p w14:paraId="2ED345B6">
            <w:pPr>
              <w:pStyle w:val="60"/>
              <w:shd w:val="clear"/>
              <w:rPr>
                <w:rFonts w:hint="eastAsia" w:ascii="宋体" w:hAnsi="宋体" w:cs="宋体"/>
                <w:color w:val="auto"/>
                <w:szCs w:val="21"/>
                <w:highlight w:val="none"/>
              </w:rPr>
            </w:pPr>
            <w:r>
              <w:rPr>
                <w:rFonts w:hint="eastAsia" w:ascii="宋体" w:hAnsi="宋体" w:cs="宋体"/>
                <w:color w:val="auto"/>
                <w:szCs w:val="21"/>
                <w:highlight w:val="none"/>
              </w:rPr>
              <w:t>②总价金额与单价金额不一致的，以单价金额为准，但单价金额小数点有明显错误的除外。</w:t>
            </w:r>
          </w:p>
          <w:p w14:paraId="57C6E538">
            <w:pPr>
              <w:pStyle w:val="60"/>
              <w:shd w:val="clear"/>
              <w:rPr>
                <w:rFonts w:hint="eastAsia" w:ascii="宋体" w:hAnsi="宋体" w:cs="宋体"/>
                <w:color w:val="auto"/>
                <w:szCs w:val="21"/>
                <w:highlight w:val="none"/>
              </w:rPr>
            </w:pPr>
            <w:r>
              <w:rPr>
                <w:rFonts w:hint="eastAsia" w:ascii="宋体" w:hAnsi="宋体" w:cs="宋体"/>
                <w:color w:val="auto"/>
                <w:szCs w:val="21"/>
                <w:highlight w:val="none"/>
              </w:rPr>
              <w:t>③当修正后的报价小于原投标报价，中标价按修正后的报价执行；当修正后的报价大于原投标报价，中标价按原报价执行。</w:t>
            </w:r>
          </w:p>
          <w:p w14:paraId="5B24B92C">
            <w:pPr>
              <w:pStyle w:val="60"/>
              <w:shd w:val="clear"/>
              <w:rPr>
                <w:rFonts w:hint="eastAsia" w:ascii="宋体" w:hAnsi="宋体" w:cs="宋体"/>
                <w:color w:val="auto"/>
                <w:szCs w:val="21"/>
                <w:highlight w:val="none"/>
              </w:rPr>
            </w:pPr>
            <w:r>
              <w:rPr>
                <w:rFonts w:hint="eastAsia" w:ascii="宋体" w:hAnsi="宋体" w:cs="宋体"/>
                <w:color w:val="auto"/>
                <w:szCs w:val="21"/>
                <w:highlight w:val="none"/>
              </w:rPr>
              <w:t>④投标报价评分以投标人修正后的价格进行计算。</w:t>
            </w:r>
          </w:p>
          <w:p w14:paraId="5FA55665">
            <w:pPr>
              <w:pStyle w:val="60"/>
              <w:shd w:val="clear"/>
              <w:rPr>
                <w:rFonts w:hint="eastAsia" w:ascii="宋体" w:hAnsi="宋体" w:cs="宋体"/>
                <w:color w:val="auto"/>
                <w:highlight w:val="none"/>
              </w:rPr>
            </w:pPr>
            <w:r>
              <w:rPr>
                <w:rFonts w:hint="eastAsia" w:ascii="宋体" w:hAnsi="宋体" w:cs="宋体"/>
                <w:color w:val="auto"/>
                <w:szCs w:val="21"/>
                <w:highlight w:val="none"/>
              </w:rPr>
              <w:t>⑤如果投标人不接受修正后的价格，评标委员会应当否决其投标。</w:t>
            </w:r>
          </w:p>
        </w:tc>
      </w:tr>
      <w:tr w14:paraId="0480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DDC6628">
            <w:pPr>
              <w:shd w:val="clear"/>
              <w:jc w:val="center"/>
              <w:rPr>
                <w:rFonts w:hint="eastAsia" w:ascii="宋体" w:hAnsi="宋体" w:cs="宋体"/>
                <w:color w:val="auto"/>
                <w:highlight w:val="none"/>
              </w:rPr>
            </w:pPr>
            <w:r>
              <w:rPr>
                <w:rFonts w:hint="eastAsia" w:ascii="宋体" w:hAnsi="宋体" w:cs="宋体"/>
                <w:color w:val="auto"/>
                <w:highlight w:val="none"/>
              </w:rPr>
              <w:t>3.3.1</w:t>
            </w:r>
          </w:p>
        </w:tc>
        <w:tc>
          <w:tcPr>
            <w:tcW w:w="2551" w:type="dxa"/>
            <w:tcBorders>
              <w:top w:val="single" w:color="auto" w:sz="4" w:space="0"/>
              <w:left w:val="nil"/>
              <w:bottom w:val="single" w:color="auto" w:sz="4" w:space="0"/>
              <w:right w:val="single" w:color="auto" w:sz="4" w:space="0"/>
            </w:tcBorders>
            <w:noWrap w:val="0"/>
            <w:vAlign w:val="center"/>
          </w:tcPr>
          <w:p w14:paraId="76A59D17">
            <w:pPr>
              <w:shd w:val="clear"/>
              <w:jc w:val="center"/>
              <w:rPr>
                <w:rFonts w:hint="eastAsia" w:ascii="宋体" w:hAnsi="宋体" w:cs="宋体"/>
                <w:color w:val="auto"/>
                <w:highlight w:val="none"/>
              </w:rPr>
            </w:pPr>
            <w:r>
              <w:rPr>
                <w:rFonts w:hint="eastAsia" w:ascii="宋体" w:hAnsi="宋体" w:cs="宋体"/>
                <w:color w:val="auto"/>
                <w:highlight w:val="none"/>
              </w:rPr>
              <w:t>投标有效期</w:t>
            </w:r>
          </w:p>
        </w:tc>
        <w:tc>
          <w:tcPr>
            <w:tcW w:w="6224" w:type="dxa"/>
            <w:tcBorders>
              <w:top w:val="single" w:color="auto" w:sz="4" w:space="0"/>
              <w:left w:val="nil"/>
              <w:bottom w:val="single" w:color="auto" w:sz="4" w:space="0"/>
              <w:right w:val="single" w:color="auto" w:sz="4" w:space="0"/>
            </w:tcBorders>
            <w:noWrap w:val="0"/>
            <w:vAlign w:val="center"/>
          </w:tcPr>
          <w:p w14:paraId="2DA9853D">
            <w:pPr>
              <w:shd w:val="clear"/>
              <w:rPr>
                <w:rFonts w:hint="eastAsia" w:ascii="宋体" w:hAnsi="宋体" w:cs="宋体"/>
                <w:color w:val="auto"/>
                <w:highlight w:val="none"/>
              </w:rPr>
            </w:pPr>
            <w:r>
              <w:rPr>
                <w:rFonts w:hint="eastAsia" w:ascii="宋体" w:hAnsi="宋体" w:cs="宋体"/>
                <w:color w:val="auto"/>
                <w:highlight w:val="none"/>
                <w:u w:val="single"/>
                <w:lang w:val="en-US" w:eastAsia="zh-CN"/>
              </w:rPr>
              <w:t>120</w:t>
            </w:r>
            <w:r>
              <w:rPr>
                <w:rFonts w:hint="eastAsia" w:ascii="宋体" w:hAnsi="宋体" w:cs="宋体"/>
                <w:color w:val="auto"/>
                <w:highlight w:val="none"/>
              </w:rPr>
              <w:t>日历天（从投标截止之日算起）。</w:t>
            </w:r>
          </w:p>
        </w:tc>
      </w:tr>
      <w:tr w14:paraId="1B29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2D5BBC7">
            <w:pPr>
              <w:shd w:val="clear"/>
              <w:jc w:val="center"/>
              <w:rPr>
                <w:rFonts w:hint="eastAsia" w:ascii="宋体" w:hAnsi="宋体" w:cs="宋体"/>
                <w:color w:val="auto"/>
                <w:highlight w:val="none"/>
              </w:rPr>
            </w:pPr>
            <w:r>
              <w:rPr>
                <w:rFonts w:hint="eastAsia" w:ascii="宋体" w:hAnsi="宋体" w:cs="宋体"/>
                <w:color w:val="auto"/>
                <w:highlight w:val="none"/>
              </w:rPr>
              <w:t>3.4.1</w:t>
            </w:r>
          </w:p>
        </w:tc>
        <w:tc>
          <w:tcPr>
            <w:tcW w:w="2551" w:type="dxa"/>
            <w:tcBorders>
              <w:top w:val="single" w:color="auto" w:sz="4" w:space="0"/>
              <w:left w:val="nil"/>
              <w:bottom w:val="single" w:color="auto" w:sz="4" w:space="0"/>
              <w:right w:val="single" w:color="auto" w:sz="4" w:space="0"/>
            </w:tcBorders>
            <w:noWrap w:val="0"/>
            <w:vAlign w:val="center"/>
          </w:tcPr>
          <w:p w14:paraId="01D0B147">
            <w:pPr>
              <w:pStyle w:val="69"/>
              <w:shd w:val="clear"/>
              <w:spacing w:line="360" w:lineRule="auto"/>
              <w:jc w:val="center"/>
              <w:rPr>
                <w:rFonts w:hint="eastAsia"/>
                <w:color w:val="auto"/>
                <w:highlight w:val="none"/>
              </w:rPr>
            </w:pPr>
            <w:r>
              <w:rPr>
                <w:rFonts w:hint="eastAsia"/>
                <w:color w:val="auto"/>
                <w:highlight w:val="none"/>
              </w:rPr>
              <w:t>投标保证金</w:t>
            </w:r>
          </w:p>
        </w:tc>
        <w:tc>
          <w:tcPr>
            <w:tcW w:w="6224" w:type="dxa"/>
            <w:tcBorders>
              <w:top w:val="single" w:color="auto" w:sz="4" w:space="0"/>
              <w:left w:val="nil"/>
              <w:bottom w:val="single" w:color="auto" w:sz="4" w:space="0"/>
              <w:right w:val="single" w:color="auto" w:sz="4" w:space="0"/>
            </w:tcBorders>
            <w:noWrap w:val="0"/>
            <w:vAlign w:val="center"/>
          </w:tcPr>
          <w:p w14:paraId="1E238CBC">
            <w:pPr>
              <w:pStyle w:val="69"/>
              <w:shd w:val="clear"/>
              <w:spacing w:line="360" w:lineRule="auto"/>
              <w:rPr>
                <w:rFonts w:hint="eastAsia"/>
                <w:color w:val="auto"/>
                <w:highlight w:val="none"/>
              </w:rPr>
            </w:pPr>
            <w:r>
              <w:rPr>
                <w:rFonts w:hint="eastAsia"/>
                <w:color w:val="auto"/>
                <w:highlight w:val="none"/>
              </w:rPr>
              <w:t>是否要求投标人递交投标保证金：</w:t>
            </w:r>
          </w:p>
          <w:p w14:paraId="72730A66">
            <w:pPr>
              <w:pStyle w:val="69"/>
              <w:shd w:val="clear"/>
              <w:spacing w:line="360" w:lineRule="auto"/>
              <w:rPr>
                <w:rFonts w:hint="eastAsia"/>
                <w:color w:val="auto"/>
                <w:highlight w:val="none"/>
              </w:rPr>
            </w:pPr>
            <w:r>
              <w:rPr>
                <w:rFonts w:hint="eastAsia"/>
                <w:color w:val="auto"/>
                <w:highlight w:val="none"/>
              </w:rPr>
              <w:t>□不要求</w:t>
            </w:r>
          </w:p>
          <w:p w14:paraId="25ED5028">
            <w:pPr>
              <w:pStyle w:val="69"/>
              <w:shd w:val="clear"/>
              <w:spacing w:line="360" w:lineRule="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color w:val="auto"/>
                <w:highlight w:val="none"/>
              </w:rPr>
              <w:t>要求</w:t>
            </w:r>
          </w:p>
          <w:p w14:paraId="77D6538F">
            <w:pPr>
              <w:pStyle w:val="69"/>
              <w:shd w:val="clear"/>
              <w:spacing w:line="360" w:lineRule="auto"/>
              <w:rPr>
                <w:rFonts w:hint="eastAsia" w:eastAsia="宋体"/>
                <w:color w:val="auto"/>
                <w:highlight w:val="none"/>
                <w:lang w:eastAsia="zh-CN"/>
              </w:rPr>
            </w:pPr>
            <w:r>
              <w:rPr>
                <w:rFonts w:hint="eastAsia"/>
                <w:color w:val="auto"/>
                <w:highlight w:val="none"/>
              </w:rPr>
              <w:t>投标保证金的金额：人民币5万元</w:t>
            </w:r>
            <w:r>
              <w:rPr>
                <w:rFonts w:hint="eastAsia"/>
                <w:color w:val="auto"/>
                <w:highlight w:val="none"/>
                <w:lang w:eastAsia="zh-CN"/>
              </w:rPr>
              <w:t>。</w:t>
            </w:r>
          </w:p>
          <w:p w14:paraId="4098D887">
            <w:pPr>
              <w:pStyle w:val="69"/>
              <w:shd w:val="clear"/>
              <w:spacing w:line="360" w:lineRule="auto"/>
              <w:rPr>
                <w:rFonts w:hint="eastAsia"/>
                <w:color w:val="auto"/>
                <w:highlight w:val="none"/>
              </w:rPr>
            </w:pPr>
            <w:r>
              <w:rPr>
                <w:rFonts w:hint="eastAsia"/>
                <w:color w:val="auto"/>
                <w:highlight w:val="none"/>
              </w:rPr>
              <w:t>投标保证金有效期：大于或等于投标有效期。</w:t>
            </w:r>
          </w:p>
          <w:p w14:paraId="6FFD91C5">
            <w:pPr>
              <w:pStyle w:val="69"/>
              <w:shd w:val="clear"/>
              <w:spacing w:line="360" w:lineRule="auto"/>
              <w:rPr>
                <w:rFonts w:hint="eastAsia"/>
                <w:color w:val="auto"/>
                <w:highlight w:val="none"/>
              </w:rPr>
            </w:pPr>
            <w:r>
              <w:rPr>
                <w:rFonts w:hint="eastAsia"/>
                <w:color w:val="auto"/>
                <w:highlight w:val="none"/>
              </w:rPr>
              <w:t>缴纳时间：投标保证金须在递交投标文件截止时间前完成缴纳。</w:t>
            </w:r>
          </w:p>
          <w:p w14:paraId="3575AC6A">
            <w:pPr>
              <w:pStyle w:val="69"/>
              <w:shd w:val="clear"/>
              <w:spacing w:line="360" w:lineRule="auto"/>
              <w:rPr>
                <w:rFonts w:hint="eastAsia"/>
                <w:color w:val="auto"/>
                <w:highlight w:val="none"/>
              </w:rPr>
            </w:pPr>
            <w:r>
              <w:rPr>
                <w:rFonts w:hint="eastAsia"/>
                <w:color w:val="auto"/>
                <w:highlight w:val="none"/>
              </w:rPr>
              <w:t>1、投标保证金可采用现金、支票、汇票、信用证、保函、保险等能够实现保证目的的方式。</w:t>
            </w:r>
          </w:p>
          <w:p w14:paraId="294DE554">
            <w:pPr>
              <w:pStyle w:val="69"/>
              <w:shd w:val="clear"/>
              <w:spacing w:line="360" w:lineRule="auto"/>
              <w:rPr>
                <w:rFonts w:hint="eastAsia"/>
                <w:color w:val="auto"/>
                <w:highlight w:val="none"/>
              </w:rPr>
            </w:pPr>
            <w:r>
              <w:rPr>
                <w:rFonts w:hint="eastAsia"/>
                <w:color w:val="auto"/>
                <w:highlight w:val="none"/>
              </w:rPr>
              <w:t>2、如采用现金、支票或汇票形式提交的，由广州交易集团有限公司（广州公共资源交易中心）代收（保证金从投标人基本账户转账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7251E490">
            <w:pPr>
              <w:pStyle w:val="69"/>
              <w:shd w:val="clear"/>
              <w:spacing w:line="360" w:lineRule="auto"/>
              <w:rPr>
                <w:rFonts w:hint="eastAsia"/>
                <w:color w:val="auto"/>
                <w:highlight w:val="none"/>
              </w:rPr>
            </w:pPr>
            <w:r>
              <w:rPr>
                <w:rFonts w:hint="eastAsia"/>
                <w:color w:val="auto"/>
                <w:highlight w:val="none"/>
              </w:rPr>
              <w:t>3、如采用非电子形式的投标保函或投标保证保险【银行保函或保险需开具给招标人（受益人也必须是招标人）】。提交投标保证金的，在开标前不强制要求投标人提交纸质原件，由中标候选人在中标候选人公示前提交并在网上公示，投标人应在投标文件中提交投标保函或投标保证保险扫描件并加盖投标人公章。</w:t>
            </w:r>
          </w:p>
          <w:p w14:paraId="62EDB2FA">
            <w:pPr>
              <w:pStyle w:val="69"/>
              <w:shd w:val="clear"/>
              <w:spacing w:line="360" w:lineRule="auto"/>
              <w:rPr>
                <w:rFonts w:hint="eastAsia"/>
                <w:color w:val="auto"/>
                <w:highlight w:val="none"/>
              </w:rPr>
            </w:pPr>
            <w:r>
              <w:rPr>
                <w:rFonts w:hint="eastAsia"/>
                <w:color w:val="auto"/>
                <w:highlight w:val="none"/>
              </w:rPr>
              <w:t>4、采用电子保函提交投标保证金的，具体操作要求详见广州交易集团有限公司（广州公共资源交易中心）有关指引，递交事宜请自行咨询交易中心。</w:t>
            </w:r>
          </w:p>
        </w:tc>
      </w:tr>
      <w:tr w14:paraId="1B78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CE83116">
            <w:pPr>
              <w:shd w:val="clear"/>
              <w:jc w:val="center"/>
              <w:rPr>
                <w:rFonts w:hint="eastAsia" w:ascii="宋体" w:hAnsi="宋体" w:cs="宋体"/>
                <w:color w:val="auto"/>
                <w:highlight w:val="none"/>
              </w:rPr>
            </w:pPr>
            <w:r>
              <w:rPr>
                <w:rFonts w:hint="eastAsia" w:ascii="宋体" w:hAnsi="宋体" w:cs="宋体"/>
                <w:color w:val="auto"/>
                <w:highlight w:val="none"/>
              </w:rPr>
              <w:t>3.4.4</w:t>
            </w:r>
          </w:p>
        </w:tc>
        <w:tc>
          <w:tcPr>
            <w:tcW w:w="2551" w:type="dxa"/>
            <w:tcBorders>
              <w:top w:val="single" w:color="auto" w:sz="4" w:space="0"/>
              <w:left w:val="nil"/>
              <w:bottom w:val="single" w:color="auto" w:sz="4" w:space="0"/>
              <w:right w:val="single" w:color="auto" w:sz="4" w:space="0"/>
            </w:tcBorders>
            <w:noWrap w:val="0"/>
            <w:vAlign w:val="center"/>
          </w:tcPr>
          <w:p w14:paraId="01F85DD5">
            <w:pPr>
              <w:shd w:val="clear"/>
              <w:jc w:val="center"/>
              <w:rPr>
                <w:rFonts w:hint="eastAsia" w:ascii="宋体" w:hAnsi="宋体" w:cs="宋体"/>
                <w:color w:val="auto"/>
                <w:highlight w:val="none"/>
              </w:rPr>
            </w:pPr>
            <w:r>
              <w:rPr>
                <w:rFonts w:hint="eastAsia" w:ascii="宋体" w:hAnsi="宋体" w:cs="宋体"/>
                <w:color w:val="auto"/>
                <w:highlight w:val="none"/>
              </w:rPr>
              <w:t>其他可以不予退还投标保证金的情形</w:t>
            </w:r>
          </w:p>
        </w:tc>
        <w:tc>
          <w:tcPr>
            <w:tcW w:w="6224" w:type="dxa"/>
            <w:tcBorders>
              <w:top w:val="single" w:color="auto" w:sz="4" w:space="0"/>
              <w:left w:val="nil"/>
              <w:bottom w:val="single" w:color="auto" w:sz="4" w:space="0"/>
              <w:right w:val="single" w:color="auto" w:sz="4" w:space="0"/>
            </w:tcBorders>
            <w:noWrap w:val="0"/>
            <w:vAlign w:val="center"/>
          </w:tcPr>
          <w:p w14:paraId="42251575">
            <w:pPr>
              <w:shd w:val="clear"/>
              <w:rPr>
                <w:rFonts w:hint="eastAsia" w:ascii="宋体" w:hAnsi="宋体" w:cs="宋体"/>
                <w:color w:val="auto"/>
                <w:highlight w:val="none"/>
              </w:rPr>
            </w:pPr>
            <w:r>
              <w:rPr>
                <w:rFonts w:hint="eastAsia" w:ascii="宋体" w:hAnsi="宋体" w:cs="宋体"/>
                <w:color w:val="auto"/>
                <w:highlight w:val="none"/>
                <w:u w:val="single"/>
              </w:rPr>
              <w:t>/</w:t>
            </w:r>
          </w:p>
        </w:tc>
      </w:tr>
      <w:tr w14:paraId="0EDD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A6544E9">
            <w:pPr>
              <w:shd w:val="clear"/>
              <w:jc w:val="center"/>
              <w:rPr>
                <w:rFonts w:hint="eastAsia" w:ascii="宋体" w:hAnsi="宋体" w:cs="宋体"/>
                <w:color w:val="auto"/>
                <w:highlight w:val="none"/>
              </w:rPr>
            </w:pPr>
            <w:r>
              <w:rPr>
                <w:rFonts w:hint="eastAsia" w:ascii="宋体" w:hAnsi="宋体" w:cs="宋体"/>
                <w:color w:val="auto"/>
                <w:highlight w:val="none"/>
              </w:rPr>
              <w:t>3.5</w:t>
            </w:r>
          </w:p>
        </w:tc>
        <w:tc>
          <w:tcPr>
            <w:tcW w:w="2551" w:type="dxa"/>
            <w:tcBorders>
              <w:top w:val="single" w:color="auto" w:sz="4" w:space="0"/>
              <w:left w:val="nil"/>
              <w:bottom w:val="single" w:color="auto" w:sz="4" w:space="0"/>
              <w:right w:val="single" w:color="auto" w:sz="4" w:space="0"/>
            </w:tcBorders>
            <w:noWrap w:val="0"/>
            <w:vAlign w:val="center"/>
          </w:tcPr>
          <w:p w14:paraId="459494F7">
            <w:pPr>
              <w:shd w:val="clear"/>
              <w:jc w:val="center"/>
              <w:rPr>
                <w:rFonts w:hint="eastAsia" w:ascii="宋体" w:hAnsi="宋体" w:cs="宋体"/>
                <w:color w:val="auto"/>
                <w:highlight w:val="none"/>
              </w:rPr>
            </w:pPr>
            <w:r>
              <w:rPr>
                <w:rFonts w:hint="eastAsia" w:ascii="宋体" w:hAnsi="宋体" w:cs="宋体"/>
                <w:color w:val="auto"/>
                <w:highlight w:val="none"/>
              </w:rPr>
              <w:t>资格审查资料的特殊要求</w:t>
            </w:r>
          </w:p>
        </w:tc>
        <w:tc>
          <w:tcPr>
            <w:tcW w:w="6224" w:type="dxa"/>
            <w:tcBorders>
              <w:top w:val="single" w:color="auto" w:sz="4" w:space="0"/>
              <w:left w:val="nil"/>
              <w:bottom w:val="single" w:color="auto" w:sz="4" w:space="0"/>
              <w:right w:val="single" w:color="auto" w:sz="4" w:space="0"/>
            </w:tcBorders>
            <w:noWrap w:val="0"/>
            <w:vAlign w:val="center"/>
          </w:tcPr>
          <w:p w14:paraId="28E6D067">
            <w:pPr>
              <w:shd w:val="clear"/>
              <w:rPr>
                <w:rFonts w:hint="eastAsia" w:ascii="宋体" w:hAnsi="宋体" w:cs="宋体"/>
                <w:color w:val="auto"/>
                <w:szCs w:val="24"/>
                <w:highlight w:val="none"/>
                <w:u w:val="singl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4"/>
                <w:highlight w:val="none"/>
                <w:u w:val="single"/>
              </w:rPr>
              <w:t>无</w:t>
            </w:r>
          </w:p>
          <w:p w14:paraId="300248C6">
            <w:pPr>
              <w:shd w:val="clea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Cs w:val="24"/>
                <w:highlight w:val="none"/>
                <w:u w:val="single"/>
              </w:rPr>
              <w:t>有，具体要求：</w:t>
            </w:r>
          </w:p>
        </w:tc>
      </w:tr>
      <w:tr w14:paraId="6852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0170246">
            <w:pPr>
              <w:shd w:val="clear"/>
              <w:jc w:val="center"/>
              <w:rPr>
                <w:rFonts w:hint="eastAsia" w:ascii="宋体" w:hAnsi="宋体" w:cs="宋体"/>
                <w:color w:val="auto"/>
                <w:highlight w:val="none"/>
              </w:rPr>
            </w:pPr>
            <w:r>
              <w:rPr>
                <w:rFonts w:hint="eastAsia" w:ascii="宋体" w:hAnsi="宋体" w:cs="宋体"/>
                <w:color w:val="auto"/>
                <w:highlight w:val="none"/>
              </w:rPr>
              <w:t>3.5.2</w:t>
            </w:r>
          </w:p>
        </w:tc>
        <w:tc>
          <w:tcPr>
            <w:tcW w:w="2551" w:type="dxa"/>
            <w:tcBorders>
              <w:top w:val="single" w:color="auto" w:sz="4" w:space="0"/>
              <w:left w:val="nil"/>
              <w:bottom w:val="single" w:color="auto" w:sz="4" w:space="0"/>
              <w:right w:val="single" w:color="auto" w:sz="4" w:space="0"/>
            </w:tcBorders>
            <w:noWrap w:val="0"/>
            <w:vAlign w:val="center"/>
          </w:tcPr>
          <w:p w14:paraId="7133C4C9">
            <w:pPr>
              <w:shd w:val="clear"/>
              <w:jc w:val="center"/>
              <w:rPr>
                <w:rFonts w:hint="eastAsia" w:ascii="宋体" w:hAnsi="宋体" w:cs="宋体"/>
                <w:color w:val="auto"/>
                <w:highlight w:val="none"/>
              </w:rPr>
            </w:pPr>
            <w:r>
              <w:rPr>
                <w:rFonts w:hint="eastAsia" w:ascii="宋体" w:hAnsi="宋体" w:cs="宋体"/>
                <w:color w:val="auto"/>
                <w:highlight w:val="none"/>
              </w:rPr>
              <w:t>近年财务状况的年份要求</w:t>
            </w:r>
          </w:p>
        </w:tc>
        <w:tc>
          <w:tcPr>
            <w:tcW w:w="6224" w:type="dxa"/>
            <w:tcBorders>
              <w:top w:val="single" w:color="auto" w:sz="4" w:space="0"/>
              <w:left w:val="nil"/>
              <w:bottom w:val="single" w:color="auto" w:sz="4" w:space="0"/>
              <w:right w:val="single" w:color="auto" w:sz="4" w:space="0"/>
            </w:tcBorders>
            <w:noWrap w:val="0"/>
            <w:vAlign w:val="center"/>
          </w:tcPr>
          <w:p w14:paraId="7683BA56">
            <w:pPr>
              <w:shd w:val="clear"/>
              <w:rPr>
                <w:rFonts w:hint="eastAsia" w:ascii="宋体" w:hAnsi="宋体" w:cs="宋体"/>
                <w:color w:val="auto"/>
                <w:highlight w:val="none"/>
              </w:rPr>
            </w:pPr>
            <w:r>
              <w:rPr>
                <w:rFonts w:hint="eastAsia" w:ascii="宋体" w:hAnsi="宋体" w:cs="宋体"/>
                <w:color w:val="auto"/>
                <w:szCs w:val="24"/>
                <w:highlight w:val="none"/>
                <w:u w:val="single"/>
              </w:rPr>
              <w:t>/</w:t>
            </w:r>
          </w:p>
        </w:tc>
      </w:tr>
      <w:tr w14:paraId="6C9A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21DBEEC">
            <w:pPr>
              <w:shd w:val="clear"/>
              <w:jc w:val="center"/>
              <w:rPr>
                <w:rFonts w:hint="eastAsia" w:ascii="宋体" w:hAnsi="宋体" w:cs="宋体"/>
                <w:color w:val="auto"/>
                <w:highlight w:val="none"/>
              </w:rPr>
            </w:pPr>
            <w:r>
              <w:rPr>
                <w:rFonts w:hint="eastAsia" w:ascii="宋体" w:hAnsi="宋体" w:cs="宋体"/>
                <w:color w:val="auto"/>
                <w:highlight w:val="none"/>
              </w:rPr>
              <w:t>3.5.3</w:t>
            </w:r>
          </w:p>
        </w:tc>
        <w:tc>
          <w:tcPr>
            <w:tcW w:w="2551" w:type="dxa"/>
            <w:tcBorders>
              <w:top w:val="single" w:color="auto" w:sz="4" w:space="0"/>
              <w:left w:val="nil"/>
              <w:bottom w:val="single" w:color="auto" w:sz="4" w:space="0"/>
              <w:right w:val="single" w:color="auto" w:sz="4" w:space="0"/>
            </w:tcBorders>
            <w:noWrap w:val="0"/>
            <w:vAlign w:val="center"/>
          </w:tcPr>
          <w:p w14:paraId="70EDBA0B">
            <w:pPr>
              <w:shd w:val="clear"/>
              <w:jc w:val="center"/>
              <w:rPr>
                <w:rFonts w:hint="eastAsia" w:ascii="宋体" w:hAnsi="宋体" w:cs="宋体"/>
                <w:color w:val="auto"/>
                <w:highlight w:val="none"/>
              </w:rPr>
            </w:pPr>
            <w:r>
              <w:rPr>
                <w:rFonts w:hint="eastAsia" w:ascii="宋体" w:hAnsi="宋体" w:cs="宋体"/>
                <w:color w:val="auto"/>
                <w:highlight w:val="none"/>
              </w:rPr>
              <w:t>近年完成的类似项目情况的时间要求</w:t>
            </w:r>
          </w:p>
        </w:tc>
        <w:tc>
          <w:tcPr>
            <w:tcW w:w="6224" w:type="dxa"/>
            <w:tcBorders>
              <w:top w:val="single" w:color="auto" w:sz="4" w:space="0"/>
              <w:left w:val="nil"/>
              <w:bottom w:val="single" w:color="auto" w:sz="4" w:space="0"/>
              <w:right w:val="single" w:color="auto" w:sz="4" w:space="0"/>
            </w:tcBorders>
            <w:noWrap w:val="0"/>
            <w:vAlign w:val="center"/>
          </w:tcPr>
          <w:p w14:paraId="6F06DCDB">
            <w:pPr>
              <w:shd w:val="clear"/>
              <w:rPr>
                <w:rFonts w:hint="eastAsia" w:ascii="宋体" w:hAnsi="宋体" w:cs="宋体"/>
                <w:color w:val="auto"/>
                <w:highlight w:val="none"/>
              </w:rPr>
            </w:pPr>
            <w:r>
              <w:rPr>
                <w:rFonts w:hint="eastAsia" w:ascii="宋体" w:hAnsi="宋体" w:cs="宋体"/>
                <w:color w:val="auto"/>
                <w:szCs w:val="24"/>
                <w:highlight w:val="none"/>
                <w:u w:val="single"/>
              </w:rPr>
              <w:t>/</w:t>
            </w:r>
          </w:p>
        </w:tc>
      </w:tr>
      <w:tr w14:paraId="352E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1027CC2">
            <w:pPr>
              <w:shd w:val="clear"/>
              <w:jc w:val="center"/>
              <w:rPr>
                <w:rFonts w:hint="eastAsia" w:ascii="宋体" w:hAnsi="宋体" w:cs="宋体"/>
                <w:color w:val="auto"/>
                <w:highlight w:val="none"/>
              </w:rPr>
            </w:pPr>
            <w:r>
              <w:rPr>
                <w:rFonts w:hint="eastAsia" w:ascii="宋体" w:hAnsi="宋体" w:cs="宋体"/>
                <w:color w:val="auto"/>
                <w:highlight w:val="none"/>
              </w:rPr>
              <w:t>3.5.4</w:t>
            </w:r>
          </w:p>
        </w:tc>
        <w:tc>
          <w:tcPr>
            <w:tcW w:w="2551" w:type="dxa"/>
            <w:tcBorders>
              <w:top w:val="single" w:color="auto" w:sz="4" w:space="0"/>
              <w:left w:val="nil"/>
              <w:bottom w:val="single" w:color="auto" w:sz="4" w:space="0"/>
              <w:right w:val="single" w:color="auto" w:sz="4" w:space="0"/>
            </w:tcBorders>
            <w:noWrap w:val="0"/>
            <w:vAlign w:val="center"/>
          </w:tcPr>
          <w:p w14:paraId="4092C156">
            <w:pPr>
              <w:shd w:val="clear"/>
              <w:jc w:val="center"/>
              <w:rPr>
                <w:rFonts w:hint="eastAsia" w:ascii="宋体" w:hAnsi="宋体" w:cs="宋体"/>
                <w:color w:val="auto"/>
                <w:highlight w:val="none"/>
              </w:rPr>
            </w:pPr>
            <w:r>
              <w:rPr>
                <w:rFonts w:hint="eastAsia" w:ascii="宋体" w:hAnsi="宋体" w:cs="宋体"/>
                <w:color w:val="auto"/>
                <w:highlight w:val="none"/>
              </w:rPr>
              <w:t>正在实施和新承接的项目情况</w:t>
            </w:r>
          </w:p>
        </w:tc>
        <w:tc>
          <w:tcPr>
            <w:tcW w:w="6224" w:type="dxa"/>
            <w:tcBorders>
              <w:top w:val="single" w:color="auto" w:sz="4" w:space="0"/>
              <w:left w:val="nil"/>
              <w:bottom w:val="single" w:color="auto" w:sz="4" w:space="0"/>
              <w:right w:val="single" w:color="auto" w:sz="4" w:space="0"/>
            </w:tcBorders>
            <w:noWrap w:val="0"/>
            <w:vAlign w:val="center"/>
          </w:tcPr>
          <w:p w14:paraId="5BE48131">
            <w:pPr>
              <w:shd w:val="clear"/>
              <w:rPr>
                <w:rFonts w:hint="eastAsia" w:ascii="宋体" w:hAnsi="宋体" w:cs="宋体"/>
                <w:color w:val="auto"/>
                <w:highlight w:val="none"/>
              </w:rPr>
            </w:pPr>
            <w:r>
              <w:rPr>
                <w:rFonts w:hint="eastAsia" w:ascii="宋体" w:hAnsi="宋体" w:cs="宋体"/>
                <w:color w:val="auto"/>
                <w:highlight w:val="none"/>
              </w:rPr>
              <w:t>/</w:t>
            </w:r>
          </w:p>
        </w:tc>
      </w:tr>
      <w:tr w14:paraId="22AA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D7C3178">
            <w:pPr>
              <w:shd w:val="clear"/>
              <w:jc w:val="center"/>
              <w:rPr>
                <w:rFonts w:hint="eastAsia" w:ascii="宋体" w:hAnsi="宋体" w:cs="宋体"/>
                <w:color w:val="auto"/>
                <w:highlight w:val="none"/>
              </w:rPr>
            </w:pPr>
            <w:r>
              <w:rPr>
                <w:rFonts w:hint="eastAsia" w:ascii="宋体" w:hAnsi="宋体" w:cs="宋体"/>
                <w:color w:val="auto"/>
                <w:highlight w:val="none"/>
              </w:rPr>
              <w:t>3.5.5</w:t>
            </w:r>
          </w:p>
        </w:tc>
        <w:tc>
          <w:tcPr>
            <w:tcW w:w="2551" w:type="dxa"/>
            <w:tcBorders>
              <w:top w:val="single" w:color="auto" w:sz="4" w:space="0"/>
              <w:left w:val="nil"/>
              <w:bottom w:val="single" w:color="auto" w:sz="4" w:space="0"/>
              <w:right w:val="single" w:color="auto" w:sz="4" w:space="0"/>
            </w:tcBorders>
            <w:noWrap w:val="0"/>
            <w:vAlign w:val="center"/>
          </w:tcPr>
          <w:p w14:paraId="360C7CFB">
            <w:pPr>
              <w:shd w:val="clear"/>
              <w:jc w:val="center"/>
              <w:rPr>
                <w:rFonts w:hint="eastAsia" w:ascii="宋体" w:hAnsi="宋体" w:cs="宋体"/>
                <w:color w:val="auto"/>
                <w:highlight w:val="none"/>
              </w:rPr>
            </w:pPr>
            <w:r>
              <w:rPr>
                <w:rFonts w:hint="eastAsia" w:ascii="宋体" w:hAnsi="宋体" w:cs="宋体"/>
                <w:color w:val="auto"/>
                <w:highlight w:val="none"/>
              </w:rPr>
              <w:t>近年发生的诉讼及仲裁情况的时间要求</w:t>
            </w:r>
          </w:p>
        </w:tc>
        <w:tc>
          <w:tcPr>
            <w:tcW w:w="6224" w:type="dxa"/>
            <w:tcBorders>
              <w:top w:val="single" w:color="auto" w:sz="4" w:space="0"/>
              <w:left w:val="nil"/>
              <w:bottom w:val="single" w:color="auto" w:sz="4" w:space="0"/>
              <w:right w:val="single" w:color="auto" w:sz="4" w:space="0"/>
            </w:tcBorders>
            <w:noWrap w:val="0"/>
            <w:vAlign w:val="center"/>
          </w:tcPr>
          <w:p w14:paraId="505EDCBD">
            <w:pPr>
              <w:shd w:val="clear"/>
              <w:rPr>
                <w:rFonts w:hint="eastAsia" w:ascii="宋体" w:hAnsi="宋体" w:cs="宋体"/>
                <w:color w:val="auto"/>
                <w:highlight w:val="none"/>
              </w:rPr>
            </w:pPr>
            <w:r>
              <w:rPr>
                <w:rFonts w:hint="eastAsia" w:ascii="宋体" w:hAnsi="宋体" w:cs="宋体"/>
                <w:color w:val="auto"/>
                <w:szCs w:val="24"/>
                <w:highlight w:val="none"/>
                <w:u w:val="single"/>
              </w:rPr>
              <w:t>/</w:t>
            </w:r>
          </w:p>
        </w:tc>
      </w:tr>
      <w:tr w14:paraId="0E58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E86E688">
            <w:pPr>
              <w:shd w:val="clear"/>
              <w:jc w:val="center"/>
              <w:rPr>
                <w:rFonts w:hint="eastAsia" w:ascii="宋体" w:hAnsi="宋体" w:cs="宋体"/>
                <w:color w:val="auto"/>
                <w:highlight w:val="none"/>
              </w:rPr>
            </w:pPr>
            <w:r>
              <w:rPr>
                <w:rFonts w:hint="eastAsia" w:ascii="宋体" w:hAnsi="宋体" w:cs="宋体"/>
                <w:color w:val="auto"/>
                <w:highlight w:val="none"/>
              </w:rPr>
              <w:t>3.5.6</w:t>
            </w:r>
          </w:p>
        </w:tc>
        <w:tc>
          <w:tcPr>
            <w:tcW w:w="2551" w:type="dxa"/>
            <w:tcBorders>
              <w:top w:val="single" w:color="auto" w:sz="4" w:space="0"/>
              <w:left w:val="nil"/>
              <w:bottom w:val="single" w:color="auto" w:sz="4" w:space="0"/>
              <w:right w:val="single" w:color="auto" w:sz="4" w:space="0"/>
            </w:tcBorders>
            <w:noWrap w:val="0"/>
            <w:vAlign w:val="center"/>
          </w:tcPr>
          <w:p w14:paraId="4EA304CF">
            <w:pPr>
              <w:shd w:val="clear"/>
              <w:jc w:val="center"/>
              <w:rPr>
                <w:rFonts w:hint="eastAsia" w:ascii="宋体" w:hAnsi="宋体" w:cs="宋体"/>
                <w:color w:val="auto"/>
                <w:highlight w:val="none"/>
              </w:rPr>
            </w:pPr>
            <w:r>
              <w:rPr>
                <w:rFonts w:hint="eastAsia" w:ascii="宋体" w:hAnsi="宋体" w:cs="宋体"/>
                <w:color w:val="auto"/>
                <w:highlight w:val="none"/>
              </w:rPr>
              <w:t>拟委任的主要人员汇总表</w:t>
            </w:r>
          </w:p>
        </w:tc>
        <w:tc>
          <w:tcPr>
            <w:tcW w:w="6224" w:type="dxa"/>
            <w:tcBorders>
              <w:top w:val="single" w:color="auto" w:sz="4" w:space="0"/>
              <w:left w:val="nil"/>
              <w:bottom w:val="single" w:color="auto" w:sz="4" w:space="0"/>
              <w:right w:val="single" w:color="auto" w:sz="4" w:space="0"/>
            </w:tcBorders>
            <w:noWrap w:val="0"/>
            <w:vAlign w:val="center"/>
          </w:tcPr>
          <w:p w14:paraId="489008AB">
            <w:pPr>
              <w:shd w:val="clear"/>
              <w:rPr>
                <w:rFonts w:hint="eastAsia" w:ascii="宋体" w:hAnsi="宋体" w:cs="宋体"/>
                <w:color w:val="auto"/>
                <w:szCs w:val="24"/>
                <w:highlight w:val="none"/>
                <w:u w:val="single"/>
              </w:rPr>
            </w:pPr>
            <w:r>
              <w:rPr>
                <w:rFonts w:hint="eastAsia" w:ascii="宋体" w:hAnsi="宋体" w:cs="宋体"/>
                <w:color w:val="auto"/>
                <w:szCs w:val="24"/>
                <w:highlight w:val="none"/>
                <w:u w:val="single"/>
              </w:rPr>
              <w:t>本招标项目要求提供“拟委任的主要人员汇总表”资料，但不作为资格审查内容，只作为详细评审资料。</w:t>
            </w:r>
          </w:p>
        </w:tc>
      </w:tr>
      <w:tr w14:paraId="3945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120FF83">
            <w:pPr>
              <w:shd w:val="clear"/>
              <w:jc w:val="center"/>
              <w:rPr>
                <w:rFonts w:hint="eastAsia" w:ascii="宋体" w:hAnsi="宋体" w:cs="宋体"/>
                <w:color w:val="auto"/>
                <w:highlight w:val="none"/>
              </w:rPr>
            </w:pPr>
            <w:r>
              <w:rPr>
                <w:rFonts w:hint="eastAsia" w:ascii="宋体" w:hAnsi="宋体" w:cs="宋体"/>
                <w:color w:val="auto"/>
                <w:highlight w:val="none"/>
              </w:rPr>
              <w:t>3.5.7</w:t>
            </w:r>
          </w:p>
        </w:tc>
        <w:tc>
          <w:tcPr>
            <w:tcW w:w="2551" w:type="dxa"/>
            <w:tcBorders>
              <w:top w:val="single" w:color="auto" w:sz="4" w:space="0"/>
              <w:left w:val="nil"/>
              <w:bottom w:val="single" w:color="auto" w:sz="4" w:space="0"/>
              <w:right w:val="single" w:color="auto" w:sz="4" w:space="0"/>
            </w:tcBorders>
            <w:noWrap w:val="0"/>
            <w:vAlign w:val="center"/>
          </w:tcPr>
          <w:p w14:paraId="4FBEA561">
            <w:pPr>
              <w:shd w:val="clear"/>
              <w:jc w:val="center"/>
              <w:rPr>
                <w:rFonts w:hint="eastAsia" w:ascii="宋体" w:hAnsi="宋体" w:cs="宋体"/>
                <w:color w:val="auto"/>
                <w:highlight w:val="none"/>
              </w:rPr>
            </w:pPr>
            <w:r>
              <w:rPr>
                <w:rFonts w:hint="eastAsia" w:ascii="宋体" w:hAnsi="宋体" w:cs="宋体"/>
                <w:color w:val="auto"/>
                <w:highlight w:val="none"/>
              </w:rPr>
              <w:t>拟投入本项目的主要试验检测仪器设备</w:t>
            </w:r>
          </w:p>
        </w:tc>
        <w:tc>
          <w:tcPr>
            <w:tcW w:w="6224" w:type="dxa"/>
            <w:tcBorders>
              <w:top w:val="single" w:color="auto" w:sz="4" w:space="0"/>
              <w:left w:val="nil"/>
              <w:bottom w:val="single" w:color="auto" w:sz="4" w:space="0"/>
              <w:right w:val="single" w:color="auto" w:sz="4" w:space="0"/>
            </w:tcBorders>
            <w:noWrap w:val="0"/>
            <w:vAlign w:val="center"/>
          </w:tcPr>
          <w:p w14:paraId="520E0B02">
            <w:pPr>
              <w:shd w:val="clear"/>
              <w:rPr>
                <w:rFonts w:hint="eastAsia" w:ascii="宋体" w:hAnsi="宋体" w:cs="宋体"/>
                <w:color w:val="auto"/>
                <w:highlight w:val="none"/>
              </w:rPr>
            </w:pPr>
            <w:r>
              <w:rPr>
                <w:rFonts w:hint="eastAsia" w:ascii="宋体" w:hAnsi="宋体" w:cs="宋体"/>
                <w:color w:val="auto"/>
                <w:szCs w:val="24"/>
                <w:highlight w:val="none"/>
                <w:u w:val="single"/>
              </w:rPr>
              <w:t>/</w:t>
            </w:r>
          </w:p>
        </w:tc>
      </w:tr>
      <w:tr w14:paraId="25A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75CCD9DB">
            <w:pPr>
              <w:shd w:val="clear"/>
              <w:jc w:val="center"/>
              <w:rPr>
                <w:rFonts w:hint="eastAsia" w:ascii="宋体" w:hAnsi="宋体" w:cs="宋体"/>
                <w:color w:val="auto"/>
                <w:highlight w:val="none"/>
              </w:rPr>
            </w:pPr>
            <w:r>
              <w:rPr>
                <w:rFonts w:hint="eastAsia" w:ascii="宋体" w:hAnsi="宋体" w:cs="宋体"/>
                <w:color w:val="auto"/>
                <w:highlight w:val="none"/>
              </w:rPr>
              <w:t>3.5.8</w:t>
            </w:r>
          </w:p>
        </w:tc>
        <w:tc>
          <w:tcPr>
            <w:tcW w:w="2551" w:type="dxa"/>
            <w:tcBorders>
              <w:top w:val="single" w:color="auto" w:sz="4" w:space="0"/>
              <w:left w:val="nil"/>
              <w:bottom w:val="single" w:color="auto" w:sz="4" w:space="0"/>
              <w:right w:val="single" w:color="auto" w:sz="4" w:space="0"/>
            </w:tcBorders>
            <w:noWrap w:val="0"/>
            <w:vAlign w:val="center"/>
          </w:tcPr>
          <w:p w14:paraId="34FCBBBA">
            <w:pPr>
              <w:shd w:val="clear"/>
              <w:jc w:val="center"/>
              <w:rPr>
                <w:rFonts w:hint="eastAsia" w:ascii="宋体" w:hAnsi="宋体" w:cs="宋体"/>
                <w:color w:val="auto"/>
                <w:highlight w:val="none"/>
              </w:rPr>
            </w:pPr>
            <w:r>
              <w:rPr>
                <w:rFonts w:hint="eastAsia" w:ascii="宋体" w:hAnsi="宋体" w:cs="宋体"/>
                <w:color w:val="auto"/>
                <w:highlight w:val="none"/>
              </w:rPr>
              <w:t>关于联合体投标</w:t>
            </w:r>
          </w:p>
        </w:tc>
        <w:tc>
          <w:tcPr>
            <w:tcW w:w="6224" w:type="dxa"/>
            <w:tcBorders>
              <w:top w:val="single" w:color="auto" w:sz="4" w:space="0"/>
              <w:left w:val="nil"/>
              <w:bottom w:val="single" w:color="auto" w:sz="4" w:space="0"/>
              <w:right w:val="single" w:color="auto" w:sz="4" w:space="0"/>
            </w:tcBorders>
            <w:noWrap w:val="0"/>
            <w:vAlign w:val="center"/>
          </w:tcPr>
          <w:p w14:paraId="7674F9B4">
            <w:pPr>
              <w:shd w:val="clear"/>
              <w:rPr>
                <w:rFonts w:hint="eastAsia" w:ascii="宋体" w:hAnsi="宋体" w:cs="宋体"/>
                <w:color w:val="auto"/>
                <w:highlight w:val="none"/>
                <w:u w:val="single"/>
              </w:rPr>
            </w:pPr>
            <w:r>
              <w:rPr>
                <w:rFonts w:hint="eastAsia" w:ascii="宋体" w:hAnsi="宋体" w:cs="宋体"/>
                <w:color w:val="auto"/>
                <w:highlight w:val="none"/>
                <w:u w:val="single"/>
              </w:rPr>
              <w:t>本次招标不接受联合体投标。</w:t>
            </w:r>
          </w:p>
        </w:tc>
      </w:tr>
      <w:tr w14:paraId="728E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15469027">
            <w:pPr>
              <w:shd w:val="clear"/>
              <w:jc w:val="center"/>
              <w:rPr>
                <w:rFonts w:hint="eastAsia" w:ascii="宋体" w:hAnsi="宋体" w:cs="宋体"/>
                <w:color w:val="auto"/>
                <w:highlight w:val="none"/>
              </w:rPr>
            </w:pPr>
            <w:r>
              <w:rPr>
                <w:rFonts w:hint="eastAsia" w:ascii="宋体" w:hAnsi="宋体" w:cs="宋体"/>
                <w:color w:val="auto"/>
                <w:highlight w:val="none"/>
              </w:rPr>
              <w:t>3.6.1</w:t>
            </w:r>
          </w:p>
        </w:tc>
        <w:tc>
          <w:tcPr>
            <w:tcW w:w="2551" w:type="dxa"/>
            <w:tcBorders>
              <w:top w:val="single" w:color="auto" w:sz="4" w:space="0"/>
              <w:left w:val="nil"/>
              <w:bottom w:val="single" w:color="auto" w:sz="4" w:space="0"/>
              <w:right w:val="single" w:color="auto" w:sz="4" w:space="0"/>
            </w:tcBorders>
            <w:noWrap w:val="0"/>
            <w:vAlign w:val="center"/>
          </w:tcPr>
          <w:p w14:paraId="6CE8F19E">
            <w:pPr>
              <w:shd w:val="clear"/>
              <w:jc w:val="center"/>
              <w:rPr>
                <w:rFonts w:hint="eastAsia" w:ascii="宋体" w:hAnsi="宋体" w:cs="宋体"/>
                <w:color w:val="auto"/>
                <w:highlight w:val="none"/>
              </w:rPr>
            </w:pPr>
            <w:r>
              <w:rPr>
                <w:rFonts w:hint="eastAsia" w:ascii="宋体" w:hAnsi="宋体" w:cs="宋体"/>
                <w:color w:val="auto"/>
                <w:highlight w:val="none"/>
              </w:rPr>
              <w:t>是否允许递交备选投标方案</w:t>
            </w:r>
          </w:p>
        </w:tc>
        <w:tc>
          <w:tcPr>
            <w:tcW w:w="6224" w:type="dxa"/>
            <w:tcBorders>
              <w:top w:val="single" w:color="auto" w:sz="4" w:space="0"/>
              <w:left w:val="nil"/>
              <w:bottom w:val="single" w:color="auto" w:sz="4" w:space="0"/>
              <w:right w:val="single" w:color="auto" w:sz="4" w:space="0"/>
            </w:tcBorders>
            <w:noWrap w:val="0"/>
            <w:vAlign w:val="center"/>
          </w:tcPr>
          <w:p w14:paraId="45103FBE">
            <w:pPr>
              <w:shd w:val="clear"/>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不允许</w:t>
            </w:r>
          </w:p>
          <w:p w14:paraId="606CF07C">
            <w:pPr>
              <w:shd w:val="clear"/>
              <w:rPr>
                <w:rFonts w:hint="eastAsia" w:ascii="宋体" w:hAnsi="宋体" w:cs="宋体"/>
                <w:color w:val="auto"/>
                <w:highlight w:val="none"/>
              </w:rPr>
            </w:pPr>
            <w:r>
              <w:rPr>
                <w:rFonts w:hint="eastAsia" w:ascii="宋体" w:hAnsi="宋体" w:cs="宋体"/>
                <w:color w:val="auto"/>
                <w:highlight w:val="none"/>
              </w:rPr>
              <w:t>□允许</w:t>
            </w:r>
          </w:p>
        </w:tc>
      </w:tr>
      <w:tr w14:paraId="4FBE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EA6632C">
            <w:pPr>
              <w:shd w:val="clear"/>
              <w:jc w:val="center"/>
              <w:rPr>
                <w:rFonts w:hint="eastAsia" w:ascii="宋体" w:hAnsi="宋体" w:cs="宋体"/>
                <w:color w:val="auto"/>
                <w:highlight w:val="none"/>
              </w:rPr>
            </w:pPr>
            <w:r>
              <w:rPr>
                <w:rFonts w:hint="eastAsia" w:ascii="宋体" w:hAnsi="宋体" w:cs="宋体"/>
                <w:color w:val="auto"/>
                <w:highlight w:val="none"/>
              </w:rPr>
              <w:t>3.7.3A（2）</w:t>
            </w:r>
          </w:p>
        </w:tc>
        <w:tc>
          <w:tcPr>
            <w:tcW w:w="2551" w:type="dxa"/>
            <w:tcBorders>
              <w:top w:val="single" w:color="auto" w:sz="4" w:space="0"/>
              <w:left w:val="nil"/>
              <w:bottom w:val="single" w:color="auto" w:sz="4" w:space="0"/>
              <w:right w:val="single" w:color="auto" w:sz="4" w:space="0"/>
            </w:tcBorders>
            <w:noWrap w:val="0"/>
            <w:vAlign w:val="center"/>
          </w:tcPr>
          <w:p w14:paraId="736E768C">
            <w:pPr>
              <w:shd w:val="clear"/>
              <w:jc w:val="center"/>
              <w:rPr>
                <w:rFonts w:hint="eastAsia" w:ascii="宋体" w:hAnsi="宋体" w:cs="宋体"/>
                <w:color w:val="auto"/>
                <w:highlight w:val="none"/>
              </w:rPr>
            </w:pPr>
            <w:r>
              <w:rPr>
                <w:rFonts w:hint="eastAsia" w:ascii="宋体" w:hAnsi="宋体" w:cs="宋体"/>
                <w:color w:val="auto"/>
                <w:highlight w:val="none"/>
              </w:rPr>
              <w:t>投标文件副本份数及其他要求</w:t>
            </w:r>
          </w:p>
        </w:tc>
        <w:tc>
          <w:tcPr>
            <w:tcW w:w="6224" w:type="dxa"/>
            <w:tcBorders>
              <w:top w:val="single" w:color="auto" w:sz="4" w:space="0"/>
              <w:left w:val="nil"/>
              <w:bottom w:val="single" w:color="auto" w:sz="4" w:space="0"/>
              <w:right w:val="single" w:color="auto" w:sz="4" w:space="0"/>
            </w:tcBorders>
            <w:noWrap w:val="0"/>
            <w:vAlign w:val="center"/>
          </w:tcPr>
          <w:p w14:paraId="6D01D540">
            <w:pPr>
              <w:shd w:val="clear"/>
              <w:rPr>
                <w:rFonts w:hint="eastAsia" w:ascii="宋体" w:hAnsi="宋体" w:cs="宋体"/>
                <w:color w:val="auto"/>
                <w:highlight w:val="none"/>
              </w:rPr>
            </w:pPr>
            <w:r>
              <w:rPr>
                <w:rFonts w:hint="eastAsia" w:ascii="宋体" w:hAnsi="宋体" w:cs="宋体"/>
                <w:color w:val="auto"/>
                <w:highlight w:val="none"/>
                <w:u w:val="single"/>
              </w:rPr>
              <w:t>/</w:t>
            </w:r>
          </w:p>
          <w:p w14:paraId="7875DBC0">
            <w:pPr>
              <w:shd w:val="clear"/>
              <w:rPr>
                <w:rFonts w:hint="eastAsia" w:ascii="宋体" w:hAnsi="宋体" w:cs="宋体"/>
                <w:color w:val="auto"/>
                <w:highlight w:val="none"/>
              </w:rPr>
            </w:pPr>
          </w:p>
        </w:tc>
      </w:tr>
      <w:tr w14:paraId="5E9B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2B023EB">
            <w:pPr>
              <w:shd w:val="clear"/>
              <w:jc w:val="center"/>
              <w:rPr>
                <w:rFonts w:hint="eastAsia" w:ascii="宋体" w:hAnsi="宋体" w:cs="宋体"/>
                <w:color w:val="auto"/>
                <w:highlight w:val="none"/>
              </w:rPr>
            </w:pPr>
            <w:r>
              <w:rPr>
                <w:rFonts w:hint="eastAsia" w:ascii="宋体" w:hAnsi="宋体" w:cs="宋体"/>
                <w:color w:val="auto"/>
                <w:highlight w:val="none"/>
              </w:rPr>
              <w:t>3.7.3A（3）</w:t>
            </w:r>
          </w:p>
        </w:tc>
        <w:tc>
          <w:tcPr>
            <w:tcW w:w="2551" w:type="dxa"/>
            <w:tcBorders>
              <w:top w:val="single" w:color="auto" w:sz="4" w:space="0"/>
              <w:left w:val="nil"/>
              <w:bottom w:val="single" w:color="auto" w:sz="4" w:space="0"/>
              <w:right w:val="single" w:color="auto" w:sz="4" w:space="0"/>
            </w:tcBorders>
            <w:noWrap w:val="0"/>
            <w:vAlign w:val="center"/>
          </w:tcPr>
          <w:p w14:paraId="67B033DF">
            <w:pPr>
              <w:shd w:val="clear"/>
              <w:jc w:val="center"/>
              <w:rPr>
                <w:rFonts w:hint="eastAsia" w:ascii="宋体" w:hAnsi="宋体" w:cs="宋体"/>
                <w:color w:val="auto"/>
                <w:highlight w:val="none"/>
              </w:rPr>
            </w:pPr>
            <w:r>
              <w:rPr>
                <w:rFonts w:hint="eastAsia" w:ascii="宋体" w:hAnsi="宋体" w:cs="宋体"/>
                <w:color w:val="auto"/>
                <w:highlight w:val="none"/>
              </w:rPr>
              <w:t>投标文件是否需分册装订</w:t>
            </w:r>
          </w:p>
        </w:tc>
        <w:tc>
          <w:tcPr>
            <w:tcW w:w="6224" w:type="dxa"/>
            <w:tcBorders>
              <w:top w:val="single" w:color="auto" w:sz="4" w:space="0"/>
              <w:left w:val="nil"/>
              <w:bottom w:val="single" w:color="auto" w:sz="4" w:space="0"/>
              <w:right w:val="single" w:color="auto" w:sz="4" w:space="0"/>
            </w:tcBorders>
            <w:noWrap w:val="0"/>
            <w:vAlign w:val="center"/>
          </w:tcPr>
          <w:p w14:paraId="71B6B1CA">
            <w:pPr>
              <w:shd w:val="clear"/>
              <w:rPr>
                <w:rFonts w:hint="eastAsia" w:ascii="宋体" w:hAnsi="宋体" w:cs="宋体"/>
                <w:color w:val="auto"/>
                <w:highlight w:val="none"/>
              </w:rPr>
            </w:pPr>
            <w:r>
              <w:rPr>
                <w:rFonts w:hint="eastAsia" w:ascii="宋体" w:hAnsi="宋体" w:cs="宋体"/>
                <w:color w:val="auto"/>
                <w:highlight w:val="none"/>
                <w:u w:val="single"/>
              </w:rPr>
              <w:t>/</w:t>
            </w:r>
          </w:p>
        </w:tc>
      </w:tr>
      <w:tr w14:paraId="53C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92D6D4D">
            <w:pPr>
              <w:shd w:val="clear"/>
              <w:jc w:val="center"/>
              <w:rPr>
                <w:rFonts w:hint="eastAsia" w:ascii="宋体" w:hAnsi="宋体" w:cs="宋体"/>
                <w:color w:val="auto"/>
                <w:highlight w:val="none"/>
              </w:rPr>
            </w:pPr>
            <w:r>
              <w:rPr>
                <w:rFonts w:hint="eastAsia" w:ascii="宋体" w:hAnsi="宋体" w:cs="宋体"/>
                <w:color w:val="auto"/>
                <w:highlight w:val="none"/>
              </w:rPr>
              <w:t xml:space="preserve">3.7.3 </w:t>
            </w:r>
          </w:p>
        </w:tc>
        <w:tc>
          <w:tcPr>
            <w:tcW w:w="2551" w:type="dxa"/>
            <w:tcBorders>
              <w:top w:val="single" w:color="auto" w:sz="4" w:space="0"/>
              <w:left w:val="nil"/>
              <w:bottom w:val="single" w:color="auto" w:sz="4" w:space="0"/>
              <w:right w:val="single" w:color="auto" w:sz="4" w:space="0"/>
            </w:tcBorders>
            <w:noWrap w:val="0"/>
            <w:vAlign w:val="center"/>
          </w:tcPr>
          <w:p w14:paraId="3A67473A">
            <w:pPr>
              <w:shd w:val="clear"/>
              <w:jc w:val="center"/>
              <w:rPr>
                <w:rFonts w:hint="eastAsia" w:ascii="宋体" w:hAnsi="宋体" w:cs="宋体"/>
                <w:color w:val="auto"/>
                <w:highlight w:val="none"/>
              </w:rPr>
            </w:pPr>
            <w:r>
              <w:rPr>
                <w:rFonts w:hint="eastAsia" w:ascii="宋体" w:hAnsi="宋体" w:cs="宋体"/>
                <w:color w:val="auto"/>
                <w:highlight w:val="none"/>
              </w:rPr>
              <w:t>投标文件所附证书证件要求</w:t>
            </w:r>
          </w:p>
        </w:tc>
        <w:tc>
          <w:tcPr>
            <w:tcW w:w="6224" w:type="dxa"/>
            <w:tcBorders>
              <w:top w:val="single" w:color="auto" w:sz="4" w:space="0"/>
              <w:left w:val="nil"/>
              <w:bottom w:val="single" w:color="auto" w:sz="4" w:space="0"/>
              <w:right w:val="single" w:color="auto" w:sz="4" w:space="0"/>
            </w:tcBorders>
            <w:noWrap w:val="0"/>
            <w:vAlign w:val="center"/>
          </w:tcPr>
          <w:p w14:paraId="5986DF1B">
            <w:pPr>
              <w:shd w:val="clear"/>
              <w:rPr>
                <w:rFonts w:hint="eastAsia" w:ascii="宋体" w:hAnsi="宋体" w:cs="宋体"/>
                <w:color w:val="auto"/>
                <w:highlight w:val="none"/>
              </w:rPr>
            </w:pPr>
            <w:r>
              <w:rPr>
                <w:rFonts w:hint="eastAsia" w:ascii="宋体" w:hAnsi="宋体" w:cs="宋体"/>
                <w:color w:val="auto"/>
                <w:highlight w:val="none"/>
              </w:rPr>
              <w:t>证书证件需为原件清晰彩色扫描件，并采用单位数字证书，按照招标文件要求在相应位置加盖电子印章。具体详见第六章的投标文件格式编制要求。</w:t>
            </w:r>
          </w:p>
        </w:tc>
      </w:tr>
      <w:tr w14:paraId="0847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B17401F">
            <w:pPr>
              <w:shd w:val="clear"/>
              <w:jc w:val="center"/>
              <w:rPr>
                <w:rFonts w:hint="eastAsia" w:ascii="宋体" w:hAnsi="宋体" w:cs="宋体"/>
                <w:color w:val="auto"/>
                <w:highlight w:val="none"/>
              </w:rPr>
            </w:pPr>
            <w:r>
              <w:rPr>
                <w:rFonts w:hint="eastAsia" w:ascii="宋体" w:hAnsi="宋体" w:cs="宋体"/>
                <w:color w:val="auto"/>
                <w:highlight w:val="none"/>
              </w:rPr>
              <w:t xml:space="preserve">3.7.3 </w:t>
            </w:r>
          </w:p>
        </w:tc>
        <w:tc>
          <w:tcPr>
            <w:tcW w:w="2551" w:type="dxa"/>
            <w:tcBorders>
              <w:top w:val="single" w:color="auto" w:sz="4" w:space="0"/>
              <w:left w:val="nil"/>
              <w:bottom w:val="single" w:color="auto" w:sz="4" w:space="0"/>
              <w:right w:val="single" w:color="auto" w:sz="4" w:space="0"/>
            </w:tcBorders>
            <w:noWrap w:val="0"/>
            <w:vAlign w:val="center"/>
          </w:tcPr>
          <w:p w14:paraId="66F43035">
            <w:pPr>
              <w:shd w:val="clear"/>
              <w:jc w:val="center"/>
              <w:rPr>
                <w:rFonts w:hint="eastAsia" w:ascii="宋体" w:hAnsi="宋体" w:cs="宋体"/>
                <w:color w:val="auto"/>
                <w:highlight w:val="none"/>
              </w:rPr>
            </w:pPr>
            <w:r>
              <w:rPr>
                <w:rFonts w:hint="eastAsia" w:ascii="宋体" w:hAnsi="宋体" w:cs="宋体"/>
                <w:color w:val="auto"/>
                <w:highlight w:val="none"/>
              </w:rPr>
              <w:t>投标文件签字或盖章要求</w:t>
            </w:r>
          </w:p>
        </w:tc>
        <w:tc>
          <w:tcPr>
            <w:tcW w:w="6224" w:type="dxa"/>
            <w:tcBorders>
              <w:top w:val="single" w:color="auto" w:sz="4" w:space="0"/>
              <w:left w:val="nil"/>
              <w:bottom w:val="single" w:color="auto" w:sz="4" w:space="0"/>
              <w:right w:val="single" w:color="auto" w:sz="4" w:space="0"/>
            </w:tcBorders>
            <w:noWrap w:val="0"/>
            <w:vAlign w:val="center"/>
          </w:tcPr>
          <w:p w14:paraId="194C8051">
            <w:pPr>
              <w:shd w:val="clear"/>
              <w:rPr>
                <w:rFonts w:hint="eastAsia" w:ascii="宋体" w:hAnsi="宋体" w:cs="宋体"/>
                <w:color w:val="auto"/>
                <w:highlight w:val="none"/>
              </w:rPr>
            </w:pPr>
            <w:r>
              <w:rPr>
                <w:rFonts w:hint="eastAsia" w:ascii="宋体" w:hAnsi="宋体" w:cs="宋体"/>
                <w:color w:val="auto"/>
                <w:highlight w:val="none"/>
              </w:rPr>
              <w:t>投标文件全部采用电子文档，投标文件所附证书证件均为原件彩色扫描件，并采用单位数字证书，按招标文件要求在相应位置加盖电子印章。投标文件中需个人签字或盖章的，应加盖个人电子印章或在线下完成后扫描上传。</w:t>
            </w:r>
          </w:p>
          <w:p w14:paraId="1AA7DCE0">
            <w:pPr>
              <w:shd w:val="clear"/>
              <w:rPr>
                <w:rFonts w:hint="eastAsia" w:ascii="宋体" w:hAnsi="宋体" w:cs="宋体"/>
                <w:color w:val="auto"/>
                <w:highlight w:val="none"/>
                <w:u w:val="single"/>
              </w:rPr>
            </w:pPr>
            <w:r>
              <w:rPr>
                <w:rFonts w:hint="eastAsia" w:ascii="宋体" w:hAnsi="宋体" w:cs="宋体"/>
                <w:b/>
                <w:bCs/>
                <w:color w:val="auto"/>
                <w:highlight w:val="none"/>
              </w:rPr>
              <w:t>具体操作详见交易平台发布的相关操作指引。</w:t>
            </w:r>
          </w:p>
        </w:tc>
      </w:tr>
      <w:tr w14:paraId="2370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AB18FD5">
            <w:pPr>
              <w:shd w:val="clear"/>
              <w:jc w:val="center"/>
              <w:rPr>
                <w:rFonts w:hint="eastAsia" w:ascii="宋体" w:hAnsi="宋体" w:cs="宋体"/>
                <w:color w:val="auto"/>
                <w:highlight w:val="none"/>
              </w:rPr>
            </w:pPr>
            <w:r>
              <w:rPr>
                <w:rFonts w:hint="eastAsia" w:ascii="宋体" w:hAnsi="宋体" w:cs="宋体"/>
                <w:color w:val="auto"/>
                <w:highlight w:val="none"/>
              </w:rPr>
              <w:t>4.1.1</w:t>
            </w:r>
          </w:p>
        </w:tc>
        <w:tc>
          <w:tcPr>
            <w:tcW w:w="2551" w:type="dxa"/>
            <w:tcBorders>
              <w:top w:val="single" w:color="auto" w:sz="4" w:space="0"/>
              <w:left w:val="nil"/>
              <w:bottom w:val="single" w:color="auto" w:sz="4" w:space="0"/>
              <w:right w:val="single" w:color="auto" w:sz="4" w:space="0"/>
            </w:tcBorders>
            <w:noWrap w:val="0"/>
            <w:vAlign w:val="center"/>
          </w:tcPr>
          <w:p w14:paraId="75F8514A">
            <w:pPr>
              <w:shd w:val="clear"/>
              <w:jc w:val="center"/>
              <w:rPr>
                <w:rFonts w:hint="eastAsia" w:ascii="宋体" w:hAnsi="宋体" w:cs="宋体"/>
                <w:color w:val="auto"/>
                <w:highlight w:val="none"/>
              </w:rPr>
            </w:pPr>
            <w:r>
              <w:rPr>
                <w:rFonts w:hint="eastAsia" w:ascii="宋体" w:hAnsi="宋体" w:cs="宋体"/>
                <w:color w:val="auto"/>
                <w:highlight w:val="none"/>
              </w:rPr>
              <w:t>投标文件加密要求</w:t>
            </w:r>
          </w:p>
        </w:tc>
        <w:tc>
          <w:tcPr>
            <w:tcW w:w="6224" w:type="dxa"/>
            <w:tcBorders>
              <w:top w:val="single" w:color="auto" w:sz="4" w:space="0"/>
              <w:left w:val="nil"/>
              <w:bottom w:val="single" w:color="auto" w:sz="4" w:space="0"/>
              <w:right w:val="single" w:color="auto" w:sz="4" w:space="0"/>
            </w:tcBorders>
            <w:noWrap w:val="0"/>
            <w:vAlign w:val="center"/>
          </w:tcPr>
          <w:p w14:paraId="03B6F666">
            <w:pPr>
              <w:shd w:val="clear"/>
              <w:rPr>
                <w:rFonts w:hint="eastAsia" w:ascii="宋体" w:hAnsi="宋体" w:cs="宋体"/>
                <w:color w:val="auto"/>
                <w:highlight w:val="none"/>
              </w:rPr>
            </w:pPr>
            <w:r>
              <w:rPr>
                <w:rFonts w:hint="eastAsia" w:ascii="宋体" w:hAnsi="宋体" w:cs="宋体"/>
                <w:color w:val="auto"/>
                <w:highlight w:val="none"/>
              </w:rPr>
              <w:t>网上递交的电子投标文件须进行加密。具体操作详见交易平台发布的相关操作指引。</w:t>
            </w:r>
          </w:p>
        </w:tc>
      </w:tr>
      <w:tr w14:paraId="6D2E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489F472">
            <w:pPr>
              <w:shd w:val="clear"/>
              <w:jc w:val="center"/>
              <w:rPr>
                <w:rFonts w:hint="eastAsia" w:ascii="宋体" w:hAnsi="宋体" w:cs="宋体"/>
                <w:color w:val="auto"/>
                <w:highlight w:val="none"/>
              </w:rPr>
            </w:pPr>
            <w:r>
              <w:rPr>
                <w:rFonts w:hint="eastAsia" w:ascii="宋体" w:hAnsi="宋体" w:cs="宋体"/>
                <w:color w:val="auto"/>
                <w:highlight w:val="none"/>
              </w:rPr>
              <w:t>4.1.2</w:t>
            </w:r>
          </w:p>
        </w:tc>
        <w:tc>
          <w:tcPr>
            <w:tcW w:w="2551" w:type="dxa"/>
            <w:tcBorders>
              <w:top w:val="single" w:color="auto" w:sz="4" w:space="0"/>
              <w:left w:val="nil"/>
              <w:bottom w:val="single" w:color="auto" w:sz="4" w:space="0"/>
              <w:right w:val="single" w:color="auto" w:sz="4" w:space="0"/>
            </w:tcBorders>
            <w:noWrap w:val="0"/>
            <w:vAlign w:val="center"/>
          </w:tcPr>
          <w:p w14:paraId="0E131642">
            <w:pPr>
              <w:shd w:val="clear"/>
              <w:jc w:val="center"/>
              <w:rPr>
                <w:rFonts w:hint="eastAsia" w:ascii="宋体" w:hAnsi="宋体" w:cs="宋体"/>
                <w:color w:val="auto"/>
                <w:highlight w:val="none"/>
              </w:rPr>
            </w:pPr>
            <w:r>
              <w:rPr>
                <w:rFonts w:hint="eastAsia" w:ascii="宋体" w:hAnsi="宋体" w:cs="宋体"/>
                <w:color w:val="auto"/>
                <w:highlight w:val="none"/>
              </w:rPr>
              <w:t>封套上应载明的信息</w:t>
            </w:r>
          </w:p>
        </w:tc>
        <w:tc>
          <w:tcPr>
            <w:tcW w:w="6224" w:type="dxa"/>
            <w:tcBorders>
              <w:top w:val="single" w:color="auto" w:sz="4" w:space="0"/>
              <w:left w:val="nil"/>
              <w:bottom w:val="single" w:color="auto" w:sz="4" w:space="0"/>
              <w:right w:val="single" w:color="auto" w:sz="4" w:space="0"/>
            </w:tcBorders>
            <w:noWrap w:val="0"/>
            <w:vAlign w:val="center"/>
          </w:tcPr>
          <w:p w14:paraId="273CAC01">
            <w:pPr>
              <w:shd w:val="clear"/>
              <w:rPr>
                <w:rFonts w:hint="eastAsia" w:ascii="宋体" w:hAnsi="宋体" w:cs="宋体"/>
                <w:color w:val="auto"/>
                <w:highlight w:val="none"/>
              </w:rPr>
            </w:pPr>
            <w:r>
              <w:rPr>
                <w:rFonts w:hint="eastAsia" w:ascii="宋体" w:hAnsi="宋体" w:cs="宋体"/>
                <w:color w:val="auto"/>
                <w:highlight w:val="none"/>
              </w:rPr>
              <w:t>对递交的备用投标文件电子光盘要求封装。</w:t>
            </w:r>
          </w:p>
          <w:p w14:paraId="33E79972">
            <w:pPr>
              <w:shd w:val="clear"/>
              <w:rPr>
                <w:rFonts w:hint="eastAsia" w:ascii="宋体" w:hAnsi="宋体" w:eastAsia="宋体" w:cs="宋体"/>
                <w:color w:val="auto"/>
                <w:highlight w:val="none"/>
                <w:u w:val="single"/>
                <w:lang w:eastAsia="zh-CN"/>
              </w:rPr>
            </w:pPr>
            <w:r>
              <w:rPr>
                <w:rFonts w:hint="eastAsia" w:ascii="宋体" w:hAnsi="宋体" w:cs="宋体"/>
                <w:color w:val="auto"/>
                <w:highlight w:val="none"/>
              </w:rPr>
              <w:t>招标人名称：</w:t>
            </w:r>
            <w:r>
              <w:rPr>
                <w:rFonts w:hint="eastAsia" w:ascii="宋体" w:hAnsi="宋体" w:cs="宋体"/>
                <w:color w:val="auto"/>
                <w:highlight w:val="none"/>
                <w:u w:val="single"/>
                <w:lang w:eastAsia="zh-CN"/>
              </w:rPr>
              <w:t>广州开发区交投低空产业服务发展有限公司</w:t>
            </w:r>
          </w:p>
          <w:p w14:paraId="00598BD2">
            <w:pPr>
              <w:shd w:val="clear"/>
              <w:rPr>
                <w:rFonts w:hint="default" w:ascii="宋体" w:hAnsi="宋体" w:eastAsia="宋体" w:cs="宋体"/>
                <w:color w:val="auto"/>
                <w:highlight w:val="none"/>
                <w:u w:val="single"/>
                <w:lang w:val="en-US" w:eastAsia="zh-CN"/>
              </w:rPr>
            </w:pPr>
            <w:r>
              <w:rPr>
                <w:rFonts w:hint="eastAsia" w:ascii="宋体" w:hAnsi="宋体" w:cs="宋体"/>
                <w:color w:val="auto"/>
                <w:highlight w:val="none"/>
              </w:rPr>
              <w:t>招标人地址：</w:t>
            </w:r>
            <w:r>
              <w:rPr>
                <w:rFonts w:hint="eastAsia" w:ascii="宋体" w:hAnsi="宋体" w:cs="宋体"/>
                <w:color w:val="auto"/>
                <w:highlight w:val="none"/>
                <w:u w:val="single"/>
                <w:lang w:val="en-US" w:eastAsia="zh-CN"/>
              </w:rPr>
              <w:t>广州市黄埔区香雪大道西 321号智慧交通综合运营中心401-402室</w:t>
            </w:r>
          </w:p>
          <w:p w14:paraId="041A2F89">
            <w:pPr>
              <w:shd w:val="clear"/>
              <w:rPr>
                <w:rFonts w:hint="eastAsia" w:ascii="宋体" w:hAnsi="宋体" w:cs="宋体"/>
                <w:color w:val="auto"/>
                <w:highlight w:val="none"/>
              </w:rPr>
            </w:pPr>
            <w:r>
              <w:rPr>
                <w:rFonts w:hint="eastAsia" w:ascii="宋体" w:hAnsi="宋体" w:cs="宋体"/>
                <w:color w:val="auto"/>
                <w:highlight w:val="none"/>
                <w:u w:val="single"/>
                <w:lang w:eastAsia="zh-CN"/>
              </w:rPr>
              <w:t>知识城低空产业装备智造园监理服务</w:t>
            </w:r>
            <w:r>
              <w:rPr>
                <w:rFonts w:hint="eastAsia" w:ascii="宋体" w:hAnsi="宋体" w:cs="宋体"/>
                <w:color w:val="auto"/>
                <w:highlight w:val="none"/>
              </w:rPr>
              <w:t>投标文件</w:t>
            </w:r>
          </w:p>
          <w:p w14:paraId="76498E45">
            <w:pPr>
              <w:shd w:val="clear"/>
              <w:rPr>
                <w:rFonts w:hint="default" w:ascii="宋体" w:hAnsi="宋体" w:eastAsia="宋体" w:cs="宋体"/>
                <w:color w:val="auto"/>
                <w:highlight w:val="none"/>
                <w:lang w:val="en-US" w:eastAsia="zh-CN"/>
              </w:rPr>
            </w:pPr>
            <w:r>
              <w:rPr>
                <w:rFonts w:hint="eastAsia" w:ascii="宋体" w:hAnsi="宋体" w:cs="宋体"/>
                <w:color w:val="auto"/>
                <w:highlight w:val="none"/>
              </w:rPr>
              <w:t>招标项目编号：</w:t>
            </w:r>
            <w:r>
              <w:rPr>
                <w:rFonts w:hint="eastAsia" w:ascii="宋体" w:hAnsi="宋体" w:cs="宋体"/>
                <w:color w:val="auto"/>
                <w:highlight w:val="none"/>
                <w:u w:val="single"/>
                <w:lang w:val="en-US" w:eastAsia="zh-CN"/>
              </w:rPr>
              <w:t xml:space="preserve">    </w:t>
            </w:r>
          </w:p>
          <w:p w14:paraId="3F77F0B0">
            <w:pPr>
              <w:shd w:val="clear"/>
              <w:rPr>
                <w:rFonts w:hint="eastAsia" w:ascii="宋体" w:hAnsi="宋体" w:cs="宋体"/>
                <w:color w:val="auto"/>
                <w:highlight w:val="none"/>
              </w:rPr>
            </w:pPr>
            <w:r>
              <w:rPr>
                <w:rFonts w:hint="eastAsia" w:ascii="宋体" w:hAnsi="宋体" w:cs="宋体"/>
                <w:color w:val="auto"/>
                <w:highlight w:val="none"/>
              </w:rPr>
              <w:t>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时前不得开启</w:t>
            </w:r>
          </w:p>
        </w:tc>
      </w:tr>
      <w:tr w14:paraId="1356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7C23826E">
            <w:pPr>
              <w:shd w:val="clear"/>
              <w:jc w:val="center"/>
              <w:rPr>
                <w:rFonts w:hint="eastAsia" w:ascii="宋体" w:hAnsi="宋体" w:cs="宋体"/>
                <w:color w:val="auto"/>
                <w:highlight w:val="none"/>
              </w:rPr>
            </w:pPr>
            <w:r>
              <w:rPr>
                <w:rFonts w:hint="eastAsia" w:ascii="宋体" w:hAnsi="宋体" w:cs="宋体"/>
                <w:color w:val="auto"/>
                <w:highlight w:val="none"/>
              </w:rPr>
              <w:t>4.2.1</w:t>
            </w:r>
          </w:p>
        </w:tc>
        <w:tc>
          <w:tcPr>
            <w:tcW w:w="2551" w:type="dxa"/>
            <w:tcBorders>
              <w:top w:val="single" w:color="auto" w:sz="4" w:space="0"/>
              <w:left w:val="nil"/>
              <w:bottom w:val="single" w:color="auto" w:sz="4" w:space="0"/>
              <w:right w:val="single" w:color="auto" w:sz="4" w:space="0"/>
            </w:tcBorders>
            <w:noWrap w:val="0"/>
            <w:vAlign w:val="center"/>
          </w:tcPr>
          <w:p w14:paraId="66D9FB8D">
            <w:pPr>
              <w:shd w:val="clear"/>
              <w:jc w:val="center"/>
              <w:rPr>
                <w:rFonts w:hint="eastAsia" w:ascii="宋体" w:hAnsi="宋体" w:cs="宋体"/>
                <w:color w:val="auto"/>
                <w:highlight w:val="none"/>
              </w:rPr>
            </w:pPr>
            <w:r>
              <w:rPr>
                <w:rFonts w:hint="eastAsia" w:ascii="宋体" w:hAnsi="宋体" w:cs="宋体"/>
                <w:color w:val="auto"/>
                <w:highlight w:val="none"/>
              </w:rPr>
              <w:t>投标截止时间</w:t>
            </w:r>
          </w:p>
        </w:tc>
        <w:tc>
          <w:tcPr>
            <w:tcW w:w="6224" w:type="dxa"/>
            <w:tcBorders>
              <w:top w:val="single" w:color="auto" w:sz="4" w:space="0"/>
              <w:left w:val="nil"/>
              <w:bottom w:val="single" w:color="auto" w:sz="4" w:space="0"/>
              <w:right w:val="single" w:color="auto" w:sz="4" w:space="0"/>
            </w:tcBorders>
            <w:noWrap w:val="0"/>
            <w:vAlign w:val="center"/>
          </w:tcPr>
          <w:p w14:paraId="53DE494E">
            <w:pPr>
              <w:shd w:val="clear"/>
              <w:rPr>
                <w:rFonts w:hint="eastAsia" w:ascii="宋体" w:hAnsi="宋体" w:cs="宋体"/>
                <w:color w:val="auto"/>
                <w:highlight w:val="none"/>
              </w:rPr>
            </w:pPr>
            <w:r>
              <w:rPr>
                <w:rFonts w:hint="eastAsia" w:ascii="宋体" w:hAnsi="宋体" w:cs="宋体"/>
                <w:color w:val="auto"/>
                <w:highlight w:val="none"/>
              </w:rPr>
              <w:t>详见第一章招标公告。</w:t>
            </w:r>
          </w:p>
        </w:tc>
      </w:tr>
      <w:tr w14:paraId="00FD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5E5D08E">
            <w:pPr>
              <w:shd w:val="clear"/>
              <w:jc w:val="center"/>
              <w:rPr>
                <w:rFonts w:hint="eastAsia" w:ascii="宋体" w:hAnsi="宋体" w:cs="宋体"/>
                <w:color w:val="auto"/>
                <w:highlight w:val="none"/>
              </w:rPr>
            </w:pPr>
            <w:r>
              <w:rPr>
                <w:rFonts w:hint="eastAsia" w:ascii="宋体" w:hAnsi="宋体" w:cs="宋体"/>
                <w:color w:val="auto"/>
                <w:highlight w:val="none"/>
              </w:rPr>
              <w:t>4.2.2（A）</w:t>
            </w:r>
          </w:p>
        </w:tc>
        <w:tc>
          <w:tcPr>
            <w:tcW w:w="2551" w:type="dxa"/>
            <w:tcBorders>
              <w:top w:val="single" w:color="auto" w:sz="4" w:space="0"/>
              <w:left w:val="nil"/>
              <w:bottom w:val="single" w:color="auto" w:sz="4" w:space="0"/>
              <w:right w:val="single" w:color="auto" w:sz="4" w:space="0"/>
            </w:tcBorders>
            <w:noWrap w:val="0"/>
            <w:vAlign w:val="center"/>
          </w:tcPr>
          <w:p w14:paraId="649A5663">
            <w:pPr>
              <w:shd w:val="clear"/>
              <w:jc w:val="center"/>
              <w:rPr>
                <w:rFonts w:hint="eastAsia" w:ascii="宋体" w:hAnsi="宋体" w:cs="宋体"/>
                <w:color w:val="auto"/>
                <w:highlight w:val="none"/>
              </w:rPr>
            </w:pPr>
            <w:r>
              <w:rPr>
                <w:rFonts w:hint="eastAsia" w:ascii="宋体" w:hAnsi="宋体" w:cs="宋体"/>
                <w:color w:val="auto"/>
                <w:highlight w:val="none"/>
              </w:rPr>
              <w:t>递交投标文件地点</w:t>
            </w:r>
          </w:p>
        </w:tc>
        <w:tc>
          <w:tcPr>
            <w:tcW w:w="6224" w:type="dxa"/>
            <w:tcBorders>
              <w:top w:val="single" w:color="auto" w:sz="4" w:space="0"/>
              <w:left w:val="nil"/>
              <w:bottom w:val="single" w:color="auto" w:sz="4" w:space="0"/>
              <w:right w:val="single" w:color="auto" w:sz="4" w:space="0"/>
            </w:tcBorders>
            <w:noWrap w:val="0"/>
            <w:vAlign w:val="center"/>
          </w:tcPr>
          <w:p w14:paraId="6269517B">
            <w:pPr>
              <w:shd w:val="clear"/>
              <w:snapToGrid w:val="0"/>
              <w:spacing w:line="240" w:lineRule="auto"/>
              <w:rPr>
                <w:rFonts w:hint="eastAsia" w:ascii="宋体" w:hAnsi="宋体" w:cs="宋体"/>
                <w:color w:val="auto"/>
                <w:highlight w:val="none"/>
                <w:u w:val="single"/>
              </w:rPr>
            </w:pPr>
            <w:r>
              <w:rPr>
                <w:rFonts w:hint="eastAsia" w:ascii="宋体" w:hAnsi="宋体" w:cs="宋体"/>
                <w:color w:val="auto"/>
                <w:highlight w:val="none"/>
                <w:u w:val="single"/>
              </w:rPr>
              <w:t>1.递交方式：网上递交投标文件</w:t>
            </w:r>
          </w:p>
          <w:p w14:paraId="096AE470">
            <w:pPr>
              <w:shd w:val="clear"/>
              <w:snapToGrid w:val="0"/>
              <w:spacing w:line="240" w:lineRule="auto"/>
              <w:rPr>
                <w:rFonts w:hint="eastAsia" w:ascii="宋体" w:hAnsi="宋体" w:cs="宋体"/>
                <w:color w:val="auto"/>
                <w:highlight w:val="none"/>
                <w:u w:val="single"/>
              </w:rPr>
            </w:pPr>
            <w:r>
              <w:rPr>
                <w:rFonts w:hint="eastAsia" w:ascii="宋体" w:hAnsi="宋体" w:cs="宋体"/>
                <w:color w:val="auto"/>
                <w:highlight w:val="none"/>
                <w:u w:val="single"/>
              </w:rPr>
              <w:t>2.递交投标文件的起始时间：（详见广州交易集团有限公司（广州公共资源交易中心）网站信息）。</w:t>
            </w:r>
          </w:p>
          <w:p w14:paraId="1E8B57F5">
            <w:pPr>
              <w:shd w:val="clear"/>
              <w:snapToGrid w:val="0"/>
              <w:spacing w:line="240" w:lineRule="auto"/>
              <w:rPr>
                <w:rFonts w:hint="eastAsia" w:ascii="宋体" w:hAnsi="宋体" w:cs="宋体"/>
                <w:color w:val="auto"/>
                <w:highlight w:val="none"/>
                <w:u w:val="single"/>
              </w:rPr>
            </w:pPr>
            <w:r>
              <w:rPr>
                <w:rFonts w:hint="eastAsia" w:ascii="宋体" w:hAnsi="宋体" w:cs="宋体"/>
                <w:color w:val="auto"/>
                <w:highlight w:val="none"/>
                <w:u w:val="single"/>
              </w:rPr>
              <w:t>截止时间：（详见广州交易集团有限公司（广州公共资源交易中心）网站信息）</w:t>
            </w:r>
          </w:p>
          <w:p w14:paraId="1D1AFB5F">
            <w:pPr>
              <w:shd w:val="clear"/>
              <w:snapToGrid w:val="0"/>
              <w:spacing w:line="240" w:lineRule="auto"/>
              <w:rPr>
                <w:rFonts w:hint="eastAsia" w:ascii="宋体" w:hAnsi="宋体" w:cs="宋体"/>
                <w:color w:val="auto"/>
                <w:highlight w:val="none"/>
                <w:u w:val="single"/>
              </w:rPr>
            </w:pPr>
            <w:r>
              <w:rPr>
                <w:rFonts w:hint="eastAsia" w:ascii="宋体" w:hAnsi="宋体" w:cs="宋体"/>
                <w:color w:val="auto"/>
                <w:highlight w:val="none"/>
                <w:u w:val="single"/>
              </w:rPr>
              <w:t>3.地点：广州交易集团有限公司（广州公共资源交易中心）网站。</w:t>
            </w:r>
          </w:p>
          <w:p w14:paraId="6B2BEBEC">
            <w:pPr>
              <w:shd w:val="clear"/>
              <w:rPr>
                <w:rFonts w:hint="eastAsia" w:ascii="宋体" w:hAnsi="宋体" w:cs="宋体"/>
                <w:color w:val="auto"/>
                <w:highlight w:val="none"/>
              </w:rPr>
            </w:pPr>
            <w:r>
              <w:rPr>
                <w:rFonts w:hint="eastAsia" w:ascii="宋体" w:hAnsi="宋体" w:cs="宋体"/>
                <w:color w:val="auto"/>
                <w:highlight w:val="none"/>
                <w:u w:val="single"/>
              </w:rPr>
              <w:t>4.上述时间及地点是否有改变，请密切留意答疑澄清或补充公告（如有）中的相关信息，具体时间及场地安排请各投标人密切留意广州交易集团有限公司（广州公共资源交易中心）公布本项目的日程安排，投标人也可登录广州交易集团有限公司（广州公共资源交易中心）网站首页，点击“项目查询（日程安排、答疑纪要）”专栏中的“项目查询”，输入项目编号或项目名称查询最新信息。</w:t>
            </w:r>
          </w:p>
        </w:tc>
      </w:tr>
      <w:tr w14:paraId="2907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EC03C42">
            <w:pPr>
              <w:shd w:val="clear"/>
              <w:jc w:val="center"/>
              <w:rPr>
                <w:rFonts w:hint="eastAsia" w:ascii="宋体" w:hAnsi="宋体" w:cs="宋体"/>
                <w:color w:val="auto"/>
                <w:highlight w:val="none"/>
              </w:rPr>
            </w:pPr>
            <w:r>
              <w:rPr>
                <w:rFonts w:hint="eastAsia" w:ascii="宋体" w:hAnsi="宋体" w:cs="宋体"/>
                <w:color w:val="auto"/>
                <w:highlight w:val="none"/>
              </w:rPr>
              <w:t>4.2.3</w:t>
            </w:r>
          </w:p>
        </w:tc>
        <w:tc>
          <w:tcPr>
            <w:tcW w:w="2551" w:type="dxa"/>
            <w:tcBorders>
              <w:top w:val="single" w:color="auto" w:sz="4" w:space="0"/>
              <w:left w:val="nil"/>
              <w:bottom w:val="single" w:color="auto" w:sz="4" w:space="0"/>
              <w:right w:val="single" w:color="auto" w:sz="4" w:space="0"/>
            </w:tcBorders>
            <w:noWrap w:val="0"/>
            <w:vAlign w:val="center"/>
          </w:tcPr>
          <w:p w14:paraId="4A29C0F1">
            <w:pPr>
              <w:shd w:val="clear"/>
              <w:jc w:val="center"/>
              <w:rPr>
                <w:rFonts w:hint="eastAsia" w:ascii="宋体" w:hAnsi="宋体" w:cs="宋体"/>
                <w:color w:val="auto"/>
                <w:highlight w:val="none"/>
              </w:rPr>
            </w:pPr>
            <w:r>
              <w:rPr>
                <w:rFonts w:hint="eastAsia" w:ascii="宋体" w:hAnsi="宋体" w:cs="宋体"/>
                <w:color w:val="auto"/>
                <w:highlight w:val="none"/>
              </w:rPr>
              <w:t>投标文件是否退还</w:t>
            </w:r>
          </w:p>
        </w:tc>
        <w:tc>
          <w:tcPr>
            <w:tcW w:w="6224" w:type="dxa"/>
            <w:tcBorders>
              <w:top w:val="single" w:color="auto" w:sz="4" w:space="0"/>
              <w:left w:val="nil"/>
              <w:bottom w:val="single" w:color="auto" w:sz="4" w:space="0"/>
              <w:right w:val="single" w:color="auto" w:sz="4" w:space="0"/>
            </w:tcBorders>
            <w:noWrap w:val="0"/>
            <w:vAlign w:val="center"/>
          </w:tcPr>
          <w:p w14:paraId="33A3F13E">
            <w:pPr>
              <w:shd w:val="clear"/>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否</w:t>
            </w:r>
          </w:p>
          <w:p w14:paraId="7B9683FB">
            <w:pPr>
              <w:shd w:val="clear"/>
              <w:rPr>
                <w:rFonts w:hint="eastAsia" w:ascii="宋体" w:hAnsi="宋体" w:cs="宋体"/>
                <w:color w:val="auto"/>
                <w:highlight w:val="none"/>
              </w:rPr>
            </w:pPr>
            <w:r>
              <w:rPr>
                <w:rFonts w:hint="eastAsia" w:ascii="宋体" w:hAnsi="宋体" w:cs="宋体"/>
                <w:color w:val="auto"/>
                <w:highlight w:val="none"/>
              </w:rPr>
              <w:t>□是，退还时间：</w:t>
            </w:r>
          </w:p>
        </w:tc>
      </w:tr>
      <w:tr w14:paraId="3BDB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572B143">
            <w:pPr>
              <w:shd w:val="clear"/>
              <w:jc w:val="center"/>
              <w:rPr>
                <w:rFonts w:hint="eastAsia" w:ascii="宋体" w:hAnsi="宋体" w:cs="宋体"/>
                <w:color w:val="auto"/>
                <w:highlight w:val="none"/>
              </w:rPr>
            </w:pPr>
            <w:r>
              <w:rPr>
                <w:rFonts w:hint="eastAsia" w:ascii="宋体" w:hAnsi="宋体" w:cs="宋体"/>
                <w:color w:val="auto"/>
                <w:highlight w:val="none"/>
              </w:rPr>
              <w:t>5.1</w:t>
            </w:r>
          </w:p>
        </w:tc>
        <w:tc>
          <w:tcPr>
            <w:tcW w:w="2551" w:type="dxa"/>
            <w:tcBorders>
              <w:top w:val="single" w:color="auto" w:sz="4" w:space="0"/>
              <w:left w:val="nil"/>
              <w:bottom w:val="single" w:color="auto" w:sz="4" w:space="0"/>
              <w:right w:val="single" w:color="auto" w:sz="4" w:space="0"/>
            </w:tcBorders>
            <w:noWrap w:val="0"/>
            <w:vAlign w:val="center"/>
          </w:tcPr>
          <w:p w14:paraId="1A2D4158">
            <w:pPr>
              <w:shd w:val="clear"/>
              <w:jc w:val="center"/>
              <w:rPr>
                <w:rFonts w:hint="eastAsia" w:ascii="宋体" w:hAnsi="宋体" w:cs="宋体"/>
                <w:color w:val="auto"/>
                <w:highlight w:val="none"/>
              </w:rPr>
            </w:pPr>
            <w:r>
              <w:rPr>
                <w:rFonts w:hint="eastAsia" w:ascii="宋体" w:hAnsi="宋体" w:cs="宋体"/>
                <w:color w:val="auto"/>
                <w:highlight w:val="none"/>
              </w:rPr>
              <w:t>开标时间和地点</w:t>
            </w:r>
          </w:p>
        </w:tc>
        <w:tc>
          <w:tcPr>
            <w:tcW w:w="6224" w:type="dxa"/>
            <w:tcBorders>
              <w:top w:val="single" w:color="auto" w:sz="4" w:space="0"/>
              <w:left w:val="nil"/>
              <w:bottom w:val="single" w:color="auto" w:sz="4" w:space="0"/>
              <w:right w:val="single" w:color="auto" w:sz="4" w:space="0"/>
            </w:tcBorders>
            <w:noWrap w:val="0"/>
            <w:vAlign w:val="center"/>
          </w:tcPr>
          <w:p w14:paraId="07CBDE8C">
            <w:pPr>
              <w:shd w:val="clear"/>
              <w:rPr>
                <w:rFonts w:hint="eastAsia" w:ascii="宋体" w:hAnsi="宋体" w:cs="宋体"/>
                <w:color w:val="auto"/>
                <w:highlight w:val="none"/>
              </w:rPr>
            </w:pPr>
            <w:r>
              <w:rPr>
                <w:rFonts w:hint="eastAsia" w:ascii="宋体" w:hAnsi="宋体" w:cs="宋体"/>
                <w:color w:val="auto"/>
                <w:highlight w:val="none"/>
              </w:rPr>
              <w:t>开标时间：同投标截止时间。</w:t>
            </w:r>
          </w:p>
          <w:p w14:paraId="0E492F02">
            <w:pPr>
              <w:shd w:val="clear"/>
              <w:rPr>
                <w:rFonts w:hint="eastAsia" w:ascii="宋体" w:hAnsi="宋体" w:cs="宋体"/>
                <w:color w:val="auto"/>
                <w:highlight w:val="none"/>
              </w:rPr>
            </w:pPr>
            <w:r>
              <w:rPr>
                <w:rFonts w:hint="eastAsia" w:ascii="宋体" w:hAnsi="宋体" w:cs="宋体"/>
                <w:color w:val="auto"/>
                <w:highlight w:val="none"/>
              </w:rPr>
              <w:t>开标地点：</w:t>
            </w:r>
            <w:r>
              <w:rPr>
                <w:rFonts w:hint="eastAsia" w:ascii="宋体" w:hAnsi="宋体" w:cs="宋体"/>
                <w:color w:val="auto"/>
                <w:highlight w:val="none"/>
                <w:u w:val="single"/>
              </w:rPr>
              <w:t>广州交易集团有限公司（广州公共资源交易中心）黄埔交易部指定开标室</w:t>
            </w:r>
            <w:r>
              <w:rPr>
                <w:rFonts w:hint="eastAsia" w:ascii="宋体" w:hAnsi="宋体" w:cs="宋体"/>
                <w:color w:val="auto"/>
                <w:highlight w:val="none"/>
              </w:rPr>
              <w:t>。</w:t>
            </w:r>
          </w:p>
          <w:p w14:paraId="4B22DE53">
            <w:pPr>
              <w:shd w:val="clear"/>
              <w:rPr>
                <w:rFonts w:hint="eastAsia" w:ascii="宋体" w:hAnsi="宋体" w:cs="宋体"/>
                <w:b/>
                <w:color w:val="auto"/>
                <w:highlight w:val="none"/>
              </w:rPr>
            </w:pPr>
            <w:r>
              <w:rPr>
                <w:rFonts w:hint="eastAsia" w:ascii="宋体" w:hAnsi="宋体" w:cs="宋体"/>
                <w:b/>
                <w:color w:val="auto"/>
                <w:highlight w:val="none"/>
              </w:rPr>
              <w:t>投标人也可选择参加在线开标，具体按照交易平台相关指南进行操作。</w:t>
            </w:r>
          </w:p>
          <w:p w14:paraId="2C2AC71D">
            <w:pPr>
              <w:shd w:val="clear"/>
              <w:spacing w:line="240" w:lineRule="auto"/>
              <w:rPr>
                <w:rFonts w:hint="eastAsia" w:ascii="宋体" w:hAnsi="宋体" w:cs="宋体"/>
                <w:color w:val="auto"/>
                <w:highlight w:val="none"/>
                <w:u w:val="single"/>
              </w:rPr>
            </w:pPr>
            <w:r>
              <w:rPr>
                <w:rFonts w:hint="eastAsia" w:ascii="宋体" w:hAnsi="宋体" w:cs="宋体"/>
                <w:b/>
                <w:color w:val="auto"/>
                <w:highlight w:val="none"/>
              </w:rPr>
              <w:t>（具体开标室以</w:t>
            </w:r>
            <w:r>
              <w:rPr>
                <w:rFonts w:hint="eastAsia" w:ascii="宋体" w:hAnsi="宋体" w:cs="宋体"/>
                <w:color w:val="auto"/>
                <w:highlight w:val="none"/>
                <w:u w:val="single"/>
              </w:rPr>
              <w:t>广州交易集团有限公司（广州公共资源交易中心）</w:t>
            </w:r>
            <w:r>
              <w:rPr>
                <w:rFonts w:hint="eastAsia" w:ascii="宋体" w:hAnsi="宋体" w:cs="宋体"/>
                <w:b/>
                <w:color w:val="auto"/>
                <w:highlight w:val="none"/>
              </w:rPr>
              <w:t>日程安排系统信息为准）</w:t>
            </w:r>
          </w:p>
        </w:tc>
      </w:tr>
      <w:tr w14:paraId="0468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906A4AA">
            <w:pPr>
              <w:shd w:val="clear"/>
              <w:jc w:val="center"/>
              <w:rPr>
                <w:rFonts w:hint="eastAsia" w:ascii="宋体" w:hAnsi="宋体" w:cs="宋体"/>
                <w:color w:val="auto"/>
                <w:highlight w:val="none"/>
              </w:rPr>
            </w:pPr>
            <w:r>
              <w:rPr>
                <w:rFonts w:hint="eastAsia" w:ascii="宋体" w:hAnsi="宋体" w:cs="宋体"/>
                <w:color w:val="auto"/>
                <w:highlight w:val="none"/>
              </w:rPr>
              <w:t>5.2</w:t>
            </w:r>
          </w:p>
        </w:tc>
        <w:tc>
          <w:tcPr>
            <w:tcW w:w="2551" w:type="dxa"/>
            <w:tcBorders>
              <w:top w:val="single" w:color="auto" w:sz="4" w:space="0"/>
              <w:left w:val="nil"/>
              <w:bottom w:val="single" w:color="auto" w:sz="4" w:space="0"/>
              <w:right w:val="single" w:color="auto" w:sz="4" w:space="0"/>
            </w:tcBorders>
            <w:noWrap w:val="0"/>
            <w:vAlign w:val="center"/>
          </w:tcPr>
          <w:p w14:paraId="6FAE84ED">
            <w:pPr>
              <w:shd w:val="clear"/>
              <w:jc w:val="center"/>
              <w:rPr>
                <w:rFonts w:hint="eastAsia" w:ascii="宋体" w:hAnsi="宋体" w:cs="宋体"/>
                <w:color w:val="auto"/>
                <w:highlight w:val="none"/>
              </w:rPr>
            </w:pPr>
            <w:r>
              <w:rPr>
                <w:rFonts w:hint="eastAsia" w:ascii="宋体" w:hAnsi="宋体" w:cs="宋体"/>
                <w:color w:val="auto"/>
                <w:highlight w:val="none"/>
              </w:rPr>
              <w:t>开标程序</w:t>
            </w:r>
          </w:p>
        </w:tc>
        <w:tc>
          <w:tcPr>
            <w:tcW w:w="6224" w:type="dxa"/>
            <w:tcBorders>
              <w:top w:val="single" w:color="auto" w:sz="4" w:space="0"/>
              <w:left w:val="nil"/>
              <w:bottom w:val="single" w:color="auto" w:sz="4" w:space="0"/>
              <w:right w:val="single" w:color="auto" w:sz="4" w:space="0"/>
            </w:tcBorders>
            <w:noWrap w:val="0"/>
            <w:vAlign w:val="center"/>
          </w:tcPr>
          <w:p w14:paraId="5A91EF66">
            <w:pPr>
              <w:shd w:val="clear"/>
              <w:rPr>
                <w:rFonts w:hint="eastAsia" w:ascii="宋体" w:hAnsi="宋体" w:cs="宋体"/>
                <w:color w:val="auto"/>
                <w:highlight w:val="none"/>
              </w:rPr>
            </w:pPr>
            <w:r>
              <w:rPr>
                <w:rFonts w:hint="eastAsia" w:ascii="宋体" w:hAnsi="宋体" w:cs="宋体"/>
                <w:color w:val="auto"/>
                <w:highlight w:val="none"/>
              </w:rPr>
              <w:t>5.2.1主持人按下列程序进行开标：</w:t>
            </w:r>
          </w:p>
          <w:p w14:paraId="254327D6">
            <w:pPr>
              <w:shd w:val="clear"/>
              <w:rPr>
                <w:rFonts w:hint="eastAsia" w:ascii="宋体" w:hAnsi="宋体" w:cs="宋体"/>
                <w:color w:val="auto"/>
                <w:highlight w:val="none"/>
              </w:rPr>
            </w:pPr>
            <w:r>
              <w:rPr>
                <w:rFonts w:hint="eastAsia" w:ascii="宋体" w:hAnsi="宋体" w:cs="宋体"/>
                <w:color w:val="auto"/>
                <w:highlight w:val="none"/>
              </w:rPr>
              <w:t>（1）宣布开标纪律；</w:t>
            </w:r>
          </w:p>
          <w:p w14:paraId="2612CBA1">
            <w:pPr>
              <w:shd w:val="clear"/>
              <w:rPr>
                <w:rFonts w:hint="eastAsia" w:ascii="宋体" w:hAnsi="宋体" w:cs="宋体"/>
                <w:color w:val="auto"/>
                <w:highlight w:val="none"/>
              </w:rPr>
            </w:pPr>
            <w:r>
              <w:rPr>
                <w:rFonts w:hint="eastAsia" w:ascii="宋体" w:hAnsi="宋体" w:cs="宋体"/>
                <w:color w:val="auto"/>
                <w:highlight w:val="none"/>
              </w:rPr>
              <w:t>（2）宣布开标人、唱标人、记录人、监标人等有关人员姓名；</w:t>
            </w:r>
          </w:p>
          <w:p w14:paraId="33D521EB">
            <w:pPr>
              <w:shd w:val="clear"/>
              <w:rPr>
                <w:rFonts w:hint="eastAsia" w:ascii="宋体" w:hAnsi="宋体" w:cs="宋体"/>
                <w:color w:val="auto"/>
                <w:highlight w:val="none"/>
              </w:rPr>
            </w:pPr>
            <w:r>
              <w:rPr>
                <w:rFonts w:hint="eastAsia" w:ascii="宋体" w:hAnsi="宋体" w:cs="宋体"/>
                <w:color w:val="auto"/>
                <w:highlight w:val="none"/>
              </w:rPr>
              <w:t>（3）投标人登录交易平台-数字开标系统，对已递交的电子投标文件进行解密，所有投标人需要在招标时设定的投标文件解密截止时间内进行解密，投标文件解密截止时间后不能再进行解密操作；</w:t>
            </w:r>
          </w:p>
          <w:p w14:paraId="4ACF6438">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所有投标人都已解密完成，或到了投标文件解密截止时间后，招标代理（招标人）可进行“招标人解密操作”，解密操作同样需要进行CA验证；</w:t>
            </w:r>
          </w:p>
          <w:p w14:paraId="42A81454">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投标人、招标代理（招标人）完成解密后，招标代理开启电子唱标，公布招标项目名称、投标人名称、投标报价、服务期限及其他内容，并记录在案；</w:t>
            </w:r>
          </w:p>
          <w:p w14:paraId="41E28370">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唱标结束后，招标代理须开启“开始异议”，开启后，投标人若需要提问的可在15分钟内进行提问，招标代理（招标人）需要回答所有的投标人提问或等待15分钟才能结束异议，若所有投标人都回复了“无异议”，招标代理（招标人）可提前结束异议；投标人未参加开标或在规定的时间内未提出异议的，视为对开标无异议。</w:t>
            </w:r>
          </w:p>
          <w:p w14:paraId="3DD5906C">
            <w:pPr>
              <w:shd w:val="clea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）唱标环节结束后，招标代理、投标人都可以同时查看到“开标报表”；投标人代表、招标人代表、监标人、记录人等有关人员在开标记录上签名确认；若有关人员不签名的，不影响开标程序；</w:t>
            </w:r>
          </w:p>
          <w:p w14:paraId="0744BD47">
            <w:pPr>
              <w:shd w:val="clea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）开标结束。</w:t>
            </w:r>
          </w:p>
          <w:p w14:paraId="19CEF10F">
            <w:pPr>
              <w:shd w:val="clear"/>
              <w:rPr>
                <w:rFonts w:hint="eastAsia" w:ascii="宋体" w:hAnsi="宋体" w:cs="宋体"/>
                <w:color w:val="auto"/>
                <w:highlight w:val="none"/>
              </w:rPr>
            </w:pPr>
            <w:r>
              <w:rPr>
                <w:rFonts w:hint="eastAsia" w:ascii="宋体" w:hAnsi="宋体" w:cs="宋体"/>
                <w:color w:val="auto"/>
                <w:highlight w:val="none"/>
              </w:rPr>
              <w:t>5.2.2投标截止时间前未完成投标文件传输的或因投标人之外的原因造成投标文件未解密的或未在投标截止时间后半小时解密的，视为投标人撤回其投标文件。因投标人原因造成投标文件未解密的，视为撤销其投标文件。</w:t>
            </w:r>
          </w:p>
          <w:p w14:paraId="2F628C20">
            <w:pPr>
              <w:shd w:val="clear"/>
              <w:rPr>
                <w:rFonts w:hint="eastAsia" w:ascii="宋体" w:hAnsi="宋体" w:cs="宋体"/>
                <w:color w:val="auto"/>
                <w:highlight w:val="none"/>
              </w:rPr>
            </w:pPr>
            <w:r>
              <w:rPr>
                <w:rFonts w:hint="eastAsia" w:ascii="宋体" w:hAnsi="宋体" w:cs="宋体"/>
                <w:color w:val="auto"/>
                <w:highlight w:val="none"/>
              </w:rPr>
              <w:t>5.2.3开标时，两个（含两个）以上的投标人加密打包投标文件电脑机器特征码一致的，不参与下一程序，并由评标委员会否决其投标。</w:t>
            </w:r>
          </w:p>
        </w:tc>
      </w:tr>
      <w:tr w14:paraId="4793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1951D8F">
            <w:pPr>
              <w:shd w:val="clear"/>
              <w:jc w:val="center"/>
              <w:rPr>
                <w:rFonts w:hint="eastAsia" w:ascii="宋体" w:hAnsi="宋体" w:cs="宋体"/>
                <w:color w:val="auto"/>
                <w:highlight w:val="none"/>
              </w:rPr>
            </w:pPr>
            <w:r>
              <w:rPr>
                <w:rFonts w:hint="eastAsia" w:ascii="宋体" w:hAnsi="宋体" w:cs="宋体"/>
                <w:color w:val="auto"/>
                <w:highlight w:val="none"/>
              </w:rPr>
              <w:t>6.1.1</w:t>
            </w:r>
          </w:p>
        </w:tc>
        <w:tc>
          <w:tcPr>
            <w:tcW w:w="2551" w:type="dxa"/>
            <w:tcBorders>
              <w:top w:val="single" w:color="auto" w:sz="4" w:space="0"/>
              <w:left w:val="nil"/>
              <w:bottom w:val="single" w:color="auto" w:sz="4" w:space="0"/>
              <w:right w:val="single" w:color="auto" w:sz="4" w:space="0"/>
            </w:tcBorders>
            <w:noWrap w:val="0"/>
            <w:vAlign w:val="center"/>
          </w:tcPr>
          <w:p w14:paraId="2C2EE029">
            <w:pPr>
              <w:shd w:val="clear"/>
              <w:ind w:firstLine="420" w:firstLineChars="200"/>
              <w:rPr>
                <w:rFonts w:hint="eastAsia" w:ascii="宋体" w:hAnsi="宋体" w:cs="宋体"/>
                <w:color w:val="auto"/>
                <w:highlight w:val="none"/>
              </w:rPr>
            </w:pPr>
            <w:r>
              <w:rPr>
                <w:rFonts w:hint="eastAsia" w:ascii="宋体" w:hAnsi="宋体" w:cs="宋体"/>
                <w:color w:val="auto"/>
                <w:highlight w:val="none"/>
              </w:rPr>
              <w:t>评标委员会的组建</w:t>
            </w:r>
          </w:p>
        </w:tc>
        <w:tc>
          <w:tcPr>
            <w:tcW w:w="6224" w:type="dxa"/>
            <w:tcBorders>
              <w:top w:val="single" w:color="auto" w:sz="4" w:space="0"/>
              <w:left w:val="nil"/>
              <w:bottom w:val="single" w:color="auto" w:sz="4" w:space="0"/>
              <w:right w:val="single" w:color="auto" w:sz="4" w:space="0"/>
            </w:tcBorders>
            <w:noWrap w:val="0"/>
            <w:vAlign w:val="center"/>
          </w:tcPr>
          <w:p w14:paraId="17A2C4FA">
            <w:pPr>
              <w:pStyle w:val="8"/>
              <w:shd w:val="clear"/>
              <w:rPr>
                <w:rFonts w:hint="eastAsia" w:ascii="宋体" w:hAnsi="宋体" w:cs="宋体"/>
                <w:color w:val="auto"/>
                <w:highlight w:val="none"/>
              </w:rPr>
            </w:pPr>
            <w:r>
              <w:rPr>
                <w:rFonts w:hint="eastAsia" w:ascii="宋体" w:hAnsi="宋体" w:cs="宋体"/>
                <w:color w:val="auto"/>
                <w:highlight w:val="none"/>
                <w:u w:val="single"/>
              </w:rPr>
              <w:t>由招标人依法组建。</w:t>
            </w:r>
          </w:p>
        </w:tc>
      </w:tr>
      <w:tr w14:paraId="6FFC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18D58308">
            <w:pPr>
              <w:shd w:val="clear"/>
              <w:jc w:val="center"/>
              <w:rPr>
                <w:rFonts w:hint="eastAsia" w:ascii="宋体" w:hAnsi="宋体" w:cs="宋体"/>
                <w:color w:val="auto"/>
                <w:highlight w:val="none"/>
              </w:rPr>
            </w:pPr>
            <w:r>
              <w:rPr>
                <w:rFonts w:hint="eastAsia" w:ascii="宋体" w:hAnsi="宋体" w:cs="宋体"/>
                <w:color w:val="auto"/>
                <w:highlight w:val="none"/>
              </w:rPr>
              <w:t>6.3.2</w:t>
            </w:r>
          </w:p>
        </w:tc>
        <w:tc>
          <w:tcPr>
            <w:tcW w:w="2551" w:type="dxa"/>
            <w:tcBorders>
              <w:top w:val="single" w:color="auto" w:sz="4" w:space="0"/>
              <w:left w:val="nil"/>
              <w:bottom w:val="single" w:color="auto" w:sz="4" w:space="0"/>
              <w:right w:val="single" w:color="auto" w:sz="4" w:space="0"/>
            </w:tcBorders>
            <w:noWrap w:val="0"/>
            <w:vAlign w:val="center"/>
          </w:tcPr>
          <w:p w14:paraId="4E8A7540">
            <w:pPr>
              <w:shd w:val="clear"/>
              <w:jc w:val="center"/>
              <w:rPr>
                <w:rFonts w:hint="eastAsia" w:ascii="宋体" w:hAnsi="宋体" w:cs="宋体"/>
                <w:color w:val="auto"/>
                <w:highlight w:val="none"/>
              </w:rPr>
            </w:pPr>
            <w:r>
              <w:rPr>
                <w:rFonts w:hint="eastAsia" w:ascii="宋体" w:hAnsi="宋体" w:cs="宋体"/>
                <w:color w:val="auto"/>
                <w:highlight w:val="none"/>
              </w:rPr>
              <w:t>评标委员会推荐中标候选人的人数</w:t>
            </w:r>
          </w:p>
        </w:tc>
        <w:tc>
          <w:tcPr>
            <w:tcW w:w="6224" w:type="dxa"/>
            <w:tcBorders>
              <w:top w:val="single" w:color="auto" w:sz="4" w:space="0"/>
              <w:left w:val="nil"/>
              <w:bottom w:val="single" w:color="auto" w:sz="4" w:space="0"/>
              <w:right w:val="single" w:color="auto" w:sz="4" w:space="0"/>
            </w:tcBorders>
            <w:noWrap w:val="0"/>
            <w:vAlign w:val="center"/>
          </w:tcPr>
          <w:p w14:paraId="07CC5C63">
            <w:pPr>
              <w:shd w:val="clear"/>
              <w:rPr>
                <w:rFonts w:hint="eastAsia" w:ascii="宋体" w:hAnsi="宋体" w:cs="宋体"/>
                <w:color w:val="auto"/>
                <w:highlight w:val="none"/>
              </w:rPr>
            </w:pPr>
            <w:r>
              <w:rPr>
                <w:rFonts w:hint="eastAsia" w:ascii="宋体" w:hAnsi="宋体" w:cs="宋体"/>
                <w:color w:val="auto"/>
                <w:highlight w:val="none"/>
              </w:rPr>
              <w:t>推荐的中标候选人数：</w:t>
            </w:r>
            <w:r>
              <w:rPr>
                <w:rFonts w:hint="eastAsia" w:ascii="宋体" w:hAnsi="宋体" w:cs="宋体"/>
                <w:color w:val="auto"/>
                <w:highlight w:val="none"/>
                <w:u w:val="single"/>
              </w:rPr>
              <w:t xml:space="preserve"> 3 </w:t>
            </w:r>
            <w:r>
              <w:rPr>
                <w:rFonts w:hint="eastAsia" w:ascii="宋体" w:hAnsi="宋体" w:cs="宋体"/>
                <w:color w:val="auto"/>
                <w:highlight w:val="none"/>
              </w:rPr>
              <w:t>人。</w:t>
            </w:r>
          </w:p>
        </w:tc>
      </w:tr>
      <w:tr w14:paraId="65F8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B9EBD42">
            <w:pPr>
              <w:shd w:val="clear"/>
              <w:jc w:val="center"/>
              <w:rPr>
                <w:rFonts w:hint="eastAsia" w:ascii="宋体" w:hAnsi="宋体" w:cs="宋体"/>
                <w:color w:val="auto"/>
                <w:highlight w:val="none"/>
              </w:rPr>
            </w:pPr>
            <w:r>
              <w:rPr>
                <w:rFonts w:hint="eastAsia" w:ascii="宋体" w:hAnsi="宋体" w:cs="宋体"/>
                <w:color w:val="auto"/>
                <w:highlight w:val="none"/>
              </w:rPr>
              <w:t>7.1</w:t>
            </w:r>
          </w:p>
        </w:tc>
        <w:tc>
          <w:tcPr>
            <w:tcW w:w="2551" w:type="dxa"/>
            <w:tcBorders>
              <w:top w:val="single" w:color="auto" w:sz="4" w:space="0"/>
              <w:left w:val="nil"/>
              <w:bottom w:val="single" w:color="auto" w:sz="4" w:space="0"/>
              <w:right w:val="single" w:color="auto" w:sz="4" w:space="0"/>
            </w:tcBorders>
            <w:noWrap w:val="0"/>
            <w:vAlign w:val="center"/>
          </w:tcPr>
          <w:p w14:paraId="779BB55C">
            <w:pPr>
              <w:shd w:val="clear"/>
              <w:jc w:val="center"/>
              <w:rPr>
                <w:rFonts w:hint="eastAsia" w:ascii="宋体" w:hAnsi="宋体" w:cs="宋体"/>
                <w:color w:val="auto"/>
                <w:highlight w:val="none"/>
              </w:rPr>
            </w:pPr>
            <w:r>
              <w:rPr>
                <w:rFonts w:hint="eastAsia" w:ascii="宋体" w:hAnsi="宋体" w:cs="宋体"/>
                <w:color w:val="auto"/>
                <w:highlight w:val="none"/>
              </w:rPr>
              <w:t>中标候选人公示媒介及期限</w:t>
            </w:r>
          </w:p>
        </w:tc>
        <w:tc>
          <w:tcPr>
            <w:tcW w:w="6224" w:type="dxa"/>
            <w:tcBorders>
              <w:top w:val="single" w:color="auto" w:sz="4" w:space="0"/>
              <w:left w:val="nil"/>
              <w:bottom w:val="single" w:color="auto" w:sz="4" w:space="0"/>
              <w:right w:val="single" w:color="auto" w:sz="4" w:space="0"/>
            </w:tcBorders>
            <w:noWrap w:val="0"/>
            <w:vAlign w:val="center"/>
          </w:tcPr>
          <w:p w14:paraId="78AAE316">
            <w:pPr>
              <w:shd w:val="clear"/>
              <w:spacing w:line="240" w:lineRule="auto"/>
              <w:rPr>
                <w:rFonts w:hint="eastAsia" w:ascii="宋体" w:hAnsi="宋体" w:cs="宋体"/>
                <w:color w:val="auto"/>
                <w:highlight w:val="none"/>
              </w:rPr>
            </w:pPr>
            <w:r>
              <w:rPr>
                <w:rFonts w:hint="eastAsia" w:ascii="宋体" w:hAnsi="宋体" w:cs="宋体"/>
                <w:color w:val="auto"/>
                <w:highlight w:val="none"/>
              </w:rPr>
              <w:t>公示媒介：</w:t>
            </w:r>
            <w:r>
              <w:rPr>
                <w:rFonts w:hint="eastAsia" w:ascii="宋体" w:hAnsi="宋体" w:cs="宋体"/>
                <w:color w:val="auto"/>
                <w:highlight w:val="none"/>
                <w:u w:val="single"/>
              </w:rPr>
              <w:t>中国招标投标公共服务平台、广东省招标投标监管网、广州国企阳光采购信息发布平台、广州交易集团有限公司（广州公共资源交易中心）网</w:t>
            </w:r>
            <w:r>
              <w:rPr>
                <w:rFonts w:hint="eastAsia" w:ascii="宋体" w:hAnsi="宋体" w:cs="宋体"/>
                <w:color w:val="auto"/>
                <w:highlight w:val="none"/>
              </w:rPr>
              <w:t>。</w:t>
            </w:r>
          </w:p>
          <w:p w14:paraId="5A6FCDD9">
            <w:pPr>
              <w:shd w:val="clear"/>
              <w:rPr>
                <w:rFonts w:hint="eastAsia" w:ascii="宋体" w:hAnsi="宋体" w:cs="宋体"/>
                <w:color w:val="auto"/>
                <w:highlight w:val="none"/>
              </w:rPr>
            </w:pPr>
            <w:r>
              <w:rPr>
                <w:rFonts w:hint="eastAsia" w:ascii="宋体" w:hAnsi="宋体" w:cs="宋体"/>
                <w:color w:val="auto"/>
                <w:highlight w:val="none"/>
              </w:rPr>
              <w:t>公示期限：3日。</w:t>
            </w:r>
          </w:p>
          <w:p w14:paraId="77A8A500">
            <w:pPr>
              <w:shd w:val="clear"/>
              <w:rPr>
                <w:rFonts w:hint="eastAsia" w:ascii="宋体" w:hAnsi="宋体" w:cs="宋体"/>
                <w:color w:val="auto"/>
                <w:highlight w:val="none"/>
              </w:rPr>
            </w:pPr>
            <w:r>
              <w:rPr>
                <w:rFonts w:hint="eastAsia" w:ascii="宋体" w:hAnsi="宋体" w:cs="宋体"/>
                <w:color w:val="auto"/>
                <w:highlight w:val="none"/>
                <w:u w:val="single"/>
              </w:rPr>
              <w:t>备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21D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1638F8AC">
            <w:pPr>
              <w:shd w:val="clear"/>
              <w:jc w:val="center"/>
              <w:rPr>
                <w:rFonts w:hint="eastAsia" w:ascii="宋体" w:hAnsi="宋体" w:cs="宋体"/>
                <w:color w:val="auto"/>
                <w:highlight w:val="none"/>
              </w:rPr>
            </w:pPr>
            <w:r>
              <w:rPr>
                <w:rFonts w:hint="eastAsia" w:ascii="宋体" w:hAnsi="宋体" w:cs="宋体"/>
                <w:color w:val="auto"/>
                <w:highlight w:val="none"/>
              </w:rPr>
              <w:t>7.4</w:t>
            </w:r>
          </w:p>
        </w:tc>
        <w:tc>
          <w:tcPr>
            <w:tcW w:w="2551" w:type="dxa"/>
            <w:tcBorders>
              <w:top w:val="single" w:color="auto" w:sz="4" w:space="0"/>
              <w:left w:val="nil"/>
              <w:bottom w:val="single" w:color="auto" w:sz="4" w:space="0"/>
              <w:right w:val="single" w:color="auto" w:sz="4" w:space="0"/>
            </w:tcBorders>
            <w:noWrap w:val="0"/>
            <w:vAlign w:val="center"/>
          </w:tcPr>
          <w:p w14:paraId="4020F56C">
            <w:pPr>
              <w:shd w:val="clear"/>
              <w:jc w:val="center"/>
              <w:rPr>
                <w:rFonts w:hint="eastAsia" w:ascii="宋体" w:hAnsi="宋体" w:cs="宋体"/>
                <w:color w:val="auto"/>
                <w:highlight w:val="none"/>
              </w:rPr>
            </w:pPr>
            <w:r>
              <w:rPr>
                <w:rFonts w:hint="eastAsia" w:ascii="宋体" w:hAnsi="宋体" w:cs="宋体"/>
                <w:color w:val="auto"/>
                <w:highlight w:val="none"/>
              </w:rPr>
              <w:t>是否授权评标委员会确定中标人</w:t>
            </w:r>
          </w:p>
        </w:tc>
        <w:tc>
          <w:tcPr>
            <w:tcW w:w="6224" w:type="dxa"/>
            <w:tcBorders>
              <w:top w:val="single" w:color="auto" w:sz="4" w:space="0"/>
              <w:left w:val="nil"/>
              <w:bottom w:val="single" w:color="auto" w:sz="4" w:space="0"/>
              <w:right w:val="single" w:color="auto" w:sz="4" w:space="0"/>
            </w:tcBorders>
            <w:noWrap w:val="0"/>
            <w:vAlign w:val="center"/>
          </w:tcPr>
          <w:p w14:paraId="1443B0B6">
            <w:pPr>
              <w:shd w:val="clear"/>
              <w:rPr>
                <w:rFonts w:hint="eastAsia" w:ascii="宋体" w:hAnsi="宋体" w:cs="宋体"/>
                <w:color w:val="auto"/>
                <w:highlight w:val="none"/>
              </w:rPr>
            </w:pPr>
            <w:r>
              <w:rPr>
                <w:rFonts w:hint="eastAsia" w:ascii="宋体" w:hAnsi="宋体" w:cs="宋体"/>
                <w:color w:val="auto"/>
                <w:highlight w:val="none"/>
              </w:rPr>
              <w:t>□是</w:t>
            </w:r>
          </w:p>
          <w:p w14:paraId="04C84613">
            <w:pPr>
              <w:shd w:val="clear"/>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否</w:t>
            </w:r>
          </w:p>
        </w:tc>
      </w:tr>
      <w:tr w14:paraId="37D1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47FE84D">
            <w:pPr>
              <w:shd w:val="clear"/>
              <w:jc w:val="center"/>
              <w:rPr>
                <w:rFonts w:hint="eastAsia" w:ascii="宋体" w:hAnsi="宋体" w:cs="宋体"/>
                <w:color w:val="auto"/>
                <w:highlight w:val="none"/>
              </w:rPr>
            </w:pPr>
            <w:r>
              <w:rPr>
                <w:rFonts w:hint="eastAsia" w:ascii="宋体" w:hAnsi="宋体" w:cs="宋体"/>
                <w:color w:val="auto"/>
                <w:highlight w:val="none"/>
              </w:rPr>
              <w:t>7.6.1</w:t>
            </w:r>
          </w:p>
        </w:tc>
        <w:tc>
          <w:tcPr>
            <w:tcW w:w="2551" w:type="dxa"/>
            <w:tcBorders>
              <w:top w:val="single" w:color="auto" w:sz="4" w:space="0"/>
              <w:left w:val="nil"/>
              <w:bottom w:val="single" w:color="auto" w:sz="4" w:space="0"/>
              <w:right w:val="single" w:color="auto" w:sz="4" w:space="0"/>
            </w:tcBorders>
            <w:noWrap w:val="0"/>
            <w:vAlign w:val="center"/>
          </w:tcPr>
          <w:p w14:paraId="2F839AF9">
            <w:pPr>
              <w:shd w:val="clear"/>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224" w:type="dxa"/>
            <w:tcBorders>
              <w:top w:val="single" w:color="auto" w:sz="4" w:space="0"/>
              <w:left w:val="nil"/>
              <w:bottom w:val="single" w:color="auto" w:sz="4" w:space="0"/>
              <w:right w:val="single" w:color="auto" w:sz="4" w:space="0"/>
            </w:tcBorders>
            <w:noWrap w:val="0"/>
            <w:vAlign w:val="center"/>
          </w:tcPr>
          <w:p w14:paraId="6F2C012E">
            <w:pPr>
              <w:shd w:val="clear"/>
              <w:rPr>
                <w:rFonts w:hint="eastAsia" w:ascii="宋体" w:hAnsi="宋体" w:cs="宋体"/>
                <w:color w:val="auto"/>
                <w:highlight w:val="none"/>
              </w:rPr>
            </w:pPr>
            <w:r>
              <w:rPr>
                <w:rFonts w:hint="eastAsia" w:ascii="宋体" w:hAnsi="宋体" w:cs="宋体"/>
                <w:color w:val="auto"/>
                <w:highlight w:val="none"/>
              </w:rPr>
              <w:t>是否要求中标人提交履约保证金：</w:t>
            </w:r>
          </w:p>
          <w:p w14:paraId="071E4ABA">
            <w:pPr>
              <w:shd w:val="clear"/>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要求，履约保证金的形式：</w:t>
            </w:r>
            <w:r>
              <w:rPr>
                <w:rFonts w:hint="eastAsia" w:ascii="宋体" w:hAnsi="宋体" w:cs="宋体"/>
                <w:color w:val="auto"/>
                <w:highlight w:val="none"/>
                <w:u w:val="single"/>
              </w:rPr>
              <w:t>具体见合同相关条款。</w:t>
            </w:r>
          </w:p>
          <w:p w14:paraId="2B80FBD5">
            <w:pPr>
              <w:shd w:val="clear"/>
              <w:ind w:firstLine="840" w:firstLineChars="400"/>
              <w:rPr>
                <w:rFonts w:hint="eastAsia" w:ascii="宋体" w:hAnsi="宋体" w:cs="宋体"/>
                <w:color w:val="auto"/>
                <w:highlight w:val="none"/>
              </w:rPr>
            </w:pPr>
            <w:r>
              <w:rPr>
                <w:rFonts w:hint="eastAsia" w:ascii="宋体" w:hAnsi="宋体" w:cs="宋体"/>
                <w:color w:val="auto"/>
                <w:highlight w:val="none"/>
              </w:rPr>
              <w:t>履约保证金的金额：</w:t>
            </w:r>
            <w:r>
              <w:rPr>
                <w:rFonts w:hint="eastAsia" w:ascii="宋体" w:hAnsi="宋体" w:cs="宋体"/>
                <w:color w:val="auto"/>
                <w:highlight w:val="none"/>
                <w:u w:val="single"/>
              </w:rPr>
              <w:t>中标价款的10%，具体见合同相关条款。</w:t>
            </w:r>
          </w:p>
          <w:p w14:paraId="48D19587">
            <w:pPr>
              <w:shd w:val="clear"/>
              <w:rPr>
                <w:rFonts w:hint="eastAsia" w:ascii="宋体" w:hAnsi="宋体" w:cs="宋体"/>
                <w:color w:val="auto"/>
                <w:highlight w:val="none"/>
              </w:rPr>
            </w:pPr>
            <w:r>
              <w:rPr>
                <w:rFonts w:hint="eastAsia" w:ascii="宋体" w:hAnsi="宋体" w:cs="宋体"/>
                <w:color w:val="auto"/>
                <w:highlight w:val="none"/>
              </w:rPr>
              <w:t>□不要求</w:t>
            </w:r>
          </w:p>
        </w:tc>
      </w:tr>
      <w:tr w14:paraId="591B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587F0955">
            <w:pPr>
              <w:shd w:val="clear"/>
              <w:jc w:val="center"/>
              <w:rPr>
                <w:rFonts w:hint="eastAsia" w:ascii="宋体" w:hAnsi="宋体" w:cs="宋体"/>
                <w:color w:val="auto"/>
                <w:highlight w:val="none"/>
              </w:rPr>
            </w:pPr>
            <w:r>
              <w:rPr>
                <w:rFonts w:hint="eastAsia" w:ascii="宋体" w:hAnsi="宋体" w:cs="宋体"/>
                <w:color w:val="auto"/>
                <w:highlight w:val="none"/>
              </w:rPr>
              <w:t>9</w:t>
            </w:r>
          </w:p>
        </w:tc>
        <w:tc>
          <w:tcPr>
            <w:tcW w:w="2551" w:type="dxa"/>
            <w:tcBorders>
              <w:top w:val="single" w:color="auto" w:sz="4" w:space="0"/>
              <w:left w:val="nil"/>
              <w:bottom w:val="single" w:color="auto" w:sz="4" w:space="0"/>
              <w:right w:val="single" w:color="auto" w:sz="4" w:space="0"/>
            </w:tcBorders>
            <w:noWrap w:val="0"/>
            <w:vAlign w:val="center"/>
          </w:tcPr>
          <w:p w14:paraId="103500A8">
            <w:pPr>
              <w:shd w:val="clear"/>
              <w:jc w:val="center"/>
              <w:rPr>
                <w:rFonts w:hint="eastAsia" w:ascii="宋体" w:hAnsi="宋体" w:cs="宋体"/>
                <w:color w:val="auto"/>
                <w:highlight w:val="none"/>
              </w:rPr>
            </w:pPr>
            <w:r>
              <w:rPr>
                <w:rFonts w:hint="eastAsia" w:ascii="宋体" w:hAnsi="宋体" w:cs="宋体"/>
                <w:color w:val="auto"/>
                <w:highlight w:val="none"/>
              </w:rPr>
              <w:t>是否采用电子招标投标</w:t>
            </w:r>
          </w:p>
        </w:tc>
        <w:tc>
          <w:tcPr>
            <w:tcW w:w="6224" w:type="dxa"/>
            <w:tcBorders>
              <w:top w:val="single" w:color="auto" w:sz="4" w:space="0"/>
              <w:left w:val="nil"/>
              <w:bottom w:val="single" w:color="auto" w:sz="4" w:space="0"/>
              <w:right w:val="single" w:color="auto" w:sz="4" w:space="0"/>
            </w:tcBorders>
            <w:noWrap w:val="0"/>
            <w:vAlign w:val="center"/>
          </w:tcPr>
          <w:p w14:paraId="2B3D2DA9">
            <w:pPr>
              <w:shd w:val="clear"/>
              <w:rPr>
                <w:rFonts w:hint="eastAsia" w:ascii="宋体" w:hAnsi="宋体" w:cs="宋体"/>
                <w:color w:val="auto"/>
                <w:highlight w:val="none"/>
              </w:rPr>
            </w:pPr>
            <w:r>
              <w:rPr>
                <w:rFonts w:hint="eastAsia" w:ascii="宋体" w:hAnsi="宋体" w:cs="宋体"/>
                <w:color w:val="auto"/>
                <w:highlight w:val="none"/>
              </w:rPr>
              <w:t>□否</w:t>
            </w:r>
          </w:p>
          <w:p w14:paraId="71F53494">
            <w:pPr>
              <w:shd w:val="clear"/>
              <w:rPr>
                <w:rFonts w:hint="eastAsia" w:ascii="宋体" w:hAnsi="宋体" w:cs="宋体"/>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是，具体要求：</w:t>
            </w:r>
          </w:p>
          <w:p w14:paraId="1767FE59">
            <w:pPr>
              <w:shd w:val="clear"/>
              <w:rPr>
                <w:rFonts w:hint="eastAsia" w:ascii="宋体" w:hAnsi="宋体" w:cs="宋体"/>
                <w:color w:val="auto"/>
                <w:highlight w:val="none"/>
              </w:rPr>
            </w:pPr>
            <w:r>
              <w:rPr>
                <w:rFonts w:hint="eastAsia" w:ascii="宋体" w:hAnsi="宋体" w:cs="宋体"/>
                <w:color w:val="auto"/>
                <w:highlight w:val="none"/>
              </w:rPr>
              <w:t>具体操作详见附件《房屋建筑和市政基础设施工程全流程电子化项目操作专章》。</w:t>
            </w:r>
          </w:p>
        </w:tc>
      </w:tr>
      <w:tr w14:paraId="44E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0A8FCC9">
            <w:pPr>
              <w:shd w:val="clear"/>
              <w:jc w:val="center"/>
              <w:rPr>
                <w:rFonts w:hint="eastAsia" w:ascii="宋体" w:hAnsi="宋体" w:cs="宋体"/>
                <w:color w:val="auto"/>
                <w:highlight w:val="none"/>
              </w:rPr>
            </w:pPr>
            <w:r>
              <w:rPr>
                <w:rFonts w:hint="eastAsia" w:ascii="宋体" w:hAnsi="宋体" w:cs="宋体"/>
                <w:color w:val="auto"/>
                <w:highlight w:val="none"/>
              </w:rPr>
              <w:t>10</w:t>
            </w:r>
          </w:p>
        </w:tc>
        <w:tc>
          <w:tcPr>
            <w:tcW w:w="8775" w:type="dxa"/>
            <w:gridSpan w:val="2"/>
            <w:tcBorders>
              <w:top w:val="single" w:color="auto" w:sz="4" w:space="0"/>
              <w:left w:val="nil"/>
              <w:bottom w:val="single" w:color="auto" w:sz="4" w:space="0"/>
              <w:right w:val="single" w:color="auto" w:sz="4" w:space="0"/>
            </w:tcBorders>
            <w:noWrap w:val="0"/>
            <w:vAlign w:val="center"/>
          </w:tcPr>
          <w:p w14:paraId="50573D4F">
            <w:pPr>
              <w:shd w:val="clear"/>
              <w:rPr>
                <w:rFonts w:hint="eastAsia" w:ascii="宋体" w:hAnsi="宋体" w:cs="宋体"/>
                <w:color w:val="auto"/>
                <w:highlight w:val="none"/>
              </w:rPr>
            </w:pPr>
            <w:r>
              <w:rPr>
                <w:rFonts w:hint="eastAsia" w:ascii="宋体" w:hAnsi="宋体" w:cs="宋体"/>
                <w:color w:val="auto"/>
                <w:highlight w:val="none"/>
              </w:rPr>
              <w:t>需要补充的其他内容</w:t>
            </w:r>
          </w:p>
        </w:tc>
      </w:tr>
      <w:tr w14:paraId="53B7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447E08E6">
            <w:pPr>
              <w:shd w:val="clear"/>
              <w:jc w:val="center"/>
              <w:rPr>
                <w:rFonts w:hint="eastAsia" w:ascii="宋体" w:hAnsi="宋体" w:cs="宋体"/>
                <w:color w:val="auto"/>
                <w:highlight w:val="none"/>
              </w:rPr>
            </w:pPr>
            <w:r>
              <w:rPr>
                <w:rFonts w:hint="eastAsia" w:ascii="宋体" w:hAnsi="宋体" w:cs="宋体"/>
                <w:color w:val="auto"/>
                <w:highlight w:val="none"/>
              </w:rPr>
              <w:t>10.1</w:t>
            </w:r>
          </w:p>
        </w:tc>
        <w:tc>
          <w:tcPr>
            <w:tcW w:w="2551" w:type="dxa"/>
            <w:tcBorders>
              <w:top w:val="single" w:color="auto" w:sz="4" w:space="0"/>
              <w:left w:val="nil"/>
              <w:bottom w:val="single" w:color="auto" w:sz="4" w:space="0"/>
              <w:right w:val="single" w:color="auto" w:sz="4" w:space="0"/>
            </w:tcBorders>
            <w:noWrap w:val="0"/>
            <w:vAlign w:val="center"/>
          </w:tcPr>
          <w:p w14:paraId="6CFC2F1C">
            <w:pPr>
              <w:shd w:val="clear"/>
              <w:jc w:val="center"/>
              <w:rPr>
                <w:rFonts w:hint="eastAsia" w:ascii="宋体" w:hAnsi="宋体" w:cs="宋体"/>
                <w:color w:val="auto"/>
                <w:highlight w:val="none"/>
              </w:rPr>
            </w:pPr>
            <w:r>
              <w:rPr>
                <w:rFonts w:hint="eastAsia" w:ascii="宋体" w:hAnsi="宋体" w:cs="宋体"/>
                <w:color w:val="auto"/>
                <w:highlight w:val="none"/>
              </w:rPr>
              <w:t>评标方法及标准</w:t>
            </w:r>
          </w:p>
        </w:tc>
        <w:tc>
          <w:tcPr>
            <w:tcW w:w="6224" w:type="dxa"/>
            <w:tcBorders>
              <w:top w:val="single" w:color="auto" w:sz="4" w:space="0"/>
              <w:left w:val="nil"/>
              <w:bottom w:val="single" w:color="auto" w:sz="4" w:space="0"/>
              <w:right w:val="single" w:color="auto" w:sz="4" w:space="0"/>
            </w:tcBorders>
            <w:noWrap w:val="0"/>
            <w:vAlign w:val="center"/>
          </w:tcPr>
          <w:p w14:paraId="5AB9E0EC">
            <w:pPr>
              <w:shd w:val="clear"/>
              <w:autoSpaceDE w:val="0"/>
              <w:rPr>
                <w:rFonts w:hint="eastAsia" w:ascii="宋体" w:hAnsi="宋体" w:cs="宋体"/>
                <w:color w:val="auto"/>
                <w:highlight w:val="none"/>
              </w:rPr>
            </w:pPr>
            <w:r>
              <w:rPr>
                <w:rFonts w:hint="eastAsia" w:ascii="宋体" w:hAnsi="宋体" w:cs="宋体"/>
                <w:color w:val="auto"/>
                <w:highlight w:val="none"/>
              </w:rPr>
              <w:t>综合评估法。</w:t>
            </w:r>
          </w:p>
        </w:tc>
      </w:tr>
      <w:tr w14:paraId="60CE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4CF07EB">
            <w:pPr>
              <w:shd w:val="clear"/>
              <w:jc w:val="center"/>
              <w:rPr>
                <w:rFonts w:hint="eastAsia" w:ascii="宋体" w:hAnsi="宋体" w:cs="宋体"/>
                <w:color w:val="auto"/>
                <w:highlight w:val="none"/>
              </w:rPr>
            </w:pPr>
            <w:r>
              <w:rPr>
                <w:rFonts w:hint="eastAsia" w:ascii="宋体" w:hAnsi="宋体" w:cs="宋体"/>
                <w:color w:val="auto"/>
                <w:highlight w:val="none"/>
              </w:rPr>
              <w:t>10.2</w:t>
            </w:r>
          </w:p>
        </w:tc>
        <w:tc>
          <w:tcPr>
            <w:tcW w:w="2551" w:type="dxa"/>
            <w:tcBorders>
              <w:top w:val="single" w:color="auto" w:sz="4" w:space="0"/>
              <w:left w:val="nil"/>
              <w:bottom w:val="single" w:color="auto" w:sz="4" w:space="0"/>
              <w:right w:val="single" w:color="auto" w:sz="4" w:space="0"/>
            </w:tcBorders>
            <w:noWrap w:val="0"/>
            <w:vAlign w:val="center"/>
          </w:tcPr>
          <w:p w14:paraId="765C9DB6">
            <w:pPr>
              <w:shd w:val="clear"/>
              <w:jc w:val="center"/>
              <w:rPr>
                <w:rFonts w:hint="eastAsia" w:ascii="宋体" w:hAnsi="宋体" w:cs="宋体"/>
                <w:color w:val="auto"/>
                <w:highlight w:val="none"/>
              </w:rPr>
            </w:pPr>
            <w:r>
              <w:rPr>
                <w:rFonts w:hint="eastAsia" w:ascii="宋体" w:hAnsi="宋体" w:cs="宋体"/>
                <w:color w:val="auto"/>
                <w:highlight w:val="none"/>
              </w:rPr>
              <w:t>特别提示</w:t>
            </w:r>
          </w:p>
        </w:tc>
        <w:tc>
          <w:tcPr>
            <w:tcW w:w="6224" w:type="dxa"/>
            <w:tcBorders>
              <w:top w:val="single" w:color="auto" w:sz="4" w:space="0"/>
              <w:left w:val="nil"/>
              <w:bottom w:val="single" w:color="auto" w:sz="4" w:space="0"/>
              <w:right w:val="single" w:color="auto" w:sz="4" w:space="0"/>
            </w:tcBorders>
            <w:noWrap w:val="0"/>
            <w:vAlign w:val="center"/>
          </w:tcPr>
          <w:p w14:paraId="5FC7D542">
            <w:pPr>
              <w:shd w:val="clear"/>
              <w:spacing w:line="240" w:lineRule="auto"/>
              <w:rPr>
                <w:rFonts w:hint="eastAsia" w:ascii="宋体" w:hAnsi="宋体" w:cs="宋体"/>
                <w:color w:val="auto"/>
                <w:highlight w:val="none"/>
              </w:rPr>
            </w:pPr>
            <w:r>
              <w:rPr>
                <w:rFonts w:hint="eastAsia" w:ascii="宋体" w:hAnsi="宋体" w:cs="宋体"/>
                <w:color w:val="auto"/>
                <w:highlight w:val="none"/>
              </w:rPr>
              <w:t>特别提示：投标人在本项目招标人的工程项目中存在下列行为的，将被拒绝1年内参与我单位后续工程投标。（注：拒绝投标时限由招标人视严重程度确定，最低三个月起，自招标人发出通知之日起计）：</w:t>
            </w:r>
          </w:p>
          <w:p w14:paraId="61A23735">
            <w:pPr>
              <w:shd w:val="clear"/>
              <w:spacing w:line="240" w:lineRule="auto"/>
              <w:rPr>
                <w:rFonts w:hint="eastAsia" w:ascii="宋体" w:hAnsi="宋体" w:cs="宋体"/>
                <w:color w:val="auto"/>
                <w:highlight w:val="none"/>
              </w:rPr>
            </w:pPr>
            <w:r>
              <w:rPr>
                <w:rFonts w:hint="eastAsia" w:ascii="宋体" w:hAnsi="宋体" w:cs="宋体"/>
                <w:color w:val="auto"/>
                <w:highlight w:val="none"/>
              </w:rPr>
              <w:t>（1）将中标工程转包或者违法分包的；</w:t>
            </w:r>
          </w:p>
          <w:p w14:paraId="7B494CFF">
            <w:pPr>
              <w:shd w:val="clear"/>
              <w:spacing w:line="240" w:lineRule="auto"/>
              <w:rPr>
                <w:rFonts w:hint="eastAsia" w:ascii="宋体" w:hAnsi="宋体" w:cs="宋体"/>
                <w:color w:val="auto"/>
                <w:highlight w:val="none"/>
              </w:rPr>
            </w:pPr>
            <w:r>
              <w:rPr>
                <w:rFonts w:hint="eastAsia" w:ascii="宋体" w:hAnsi="宋体" w:cs="宋体"/>
                <w:color w:val="auto"/>
                <w:highlight w:val="none"/>
              </w:rPr>
              <w:t>（2）在中标工程中不执行质量、安全生产相关规定的，造成质量或安全事故的；</w:t>
            </w:r>
          </w:p>
          <w:p w14:paraId="53C1FF47">
            <w:pPr>
              <w:shd w:val="clear"/>
              <w:spacing w:line="240" w:lineRule="auto"/>
              <w:rPr>
                <w:rFonts w:hint="eastAsia" w:ascii="宋体" w:hAnsi="宋体" w:cs="宋体"/>
                <w:color w:val="auto"/>
                <w:highlight w:val="none"/>
              </w:rPr>
            </w:pPr>
            <w:r>
              <w:rPr>
                <w:rFonts w:hint="eastAsia" w:ascii="宋体" w:hAnsi="宋体" w:cs="宋体"/>
                <w:color w:val="auto"/>
                <w:highlight w:val="none"/>
              </w:rPr>
              <w:t>（3）存在围标或串标情形的；</w:t>
            </w:r>
          </w:p>
          <w:p w14:paraId="539104A5">
            <w:pPr>
              <w:shd w:val="clear"/>
              <w:spacing w:line="240" w:lineRule="auto"/>
              <w:rPr>
                <w:rFonts w:hint="eastAsia" w:ascii="宋体" w:hAnsi="宋体" w:cs="宋体"/>
                <w:color w:val="auto"/>
                <w:highlight w:val="none"/>
              </w:rPr>
            </w:pPr>
            <w:r>
              <w:rPr>
                <w:rFonts w:hint="eastAsia" w:ascii="宋体" w:hAnsi="宋体" w:cs="宋体"/>
                <w:color w:val="auto"/>
                <w:highlight w:val="none"/>
              </w:rPr>
              <w:t>（4）存在弄虚作假骗取中标情形的。</w:t>
            </w:r>
          </w:p>
        </w:tc>
      </w:tr>
      <w:tr w14:paraId="09BF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6D058CF2">
            <w:pPr>
              <w:shd w:val="clear"/>
              <w:jc w:val="center"/>
              <w:rPr>
                <w:rFonts w:hint="eastAsia" w:ascii="宋体" w:hAnsi="宋体" w:cs="宋体"/>
                <w:color w:val="auto"/>
                <w:highlight w:val="none"/>
              </w:rPr>
            </w:pPr>
            <w:r>
              <w:rPr>
                <w:rFonts w:hint="eastAsia" w:ascii="宋体" w:hAnsi="宋体" w:cs="宋体"/>
                <w:color w:val="auto"/>
                <w:highlight w:val="none"/>
              </w:rPr>
              <w:t>10.3</w:t>
            </w:r>
          </w:p>
        </w:tc>
        <w:tc>
          <w:tcPr>
            <w:tcW w:w="2551" w:type="dxa"/>
            <w:tcBorders>
              <w:top w:val="single" w:color="auto" w:sz="4" w:space="0"/>
              <w:left w:val="nil"/>
              <w:bottom w:val="single" w:color="auto" w:sz="4" w:space="0"/>
              <w:right w:val="single" w:color="auto" w:sz="4" w:space="0"/>
            </w:tcBorders>
            <w:noWrap w:val="0"/>
            <w:vAlign w:val="center"/>
          </w:tcPr>
          <w:p w14:paraId="66ACFE87">
            <w:pPr>
              <w:shd w:val="clear"/>
              <w:jc w:val="center"/>
              <w:rPr>
                <w:rFonts w:hint="eastAsia" w:ascii="宋体" w:hAnsi="宋体" w:cs="宋体"/>
                <w:color w:val="auto"/>
                <w:highlight w:val="none"/>
              </w:rPr>
            </w:pPr>
            <w:r>
              <w:rPr>
                <w:rFonts w:hint="eastAsia" w:ascii="宋体" w:hAnsi="宋体" w:cs="宋体"/>
                <w:color w:val="auto"/>
                <w:highlight w:val="none"/>
              </w:rPr>
              <w:t>招标失败情形</w:t>
            </w:r>
          </w:p>
        </w:tc>
        <w:tc>
          <w:tcPr>
            <w:tcW w:w="6224" w:type="dxa"/>
            <w:tcBorders>
              <w:top w:val="single" w:color="auto" w:sz="4" w:space="0"/>
              <w:left w:val="nil"/>
              <w:bottom w:val="single" w:color="auto" w:sz="4" w:space="0"/>
              <w:right w:val="single" w:color="auto" w:sz="4" w:space="0"/>
            </w:tcBorders>
            <w:noWrap w:val="0"/>
            <w:vAlign w:val="center"/>
          </w:tcPr>
          <w:p w14:paraId="6E10AA33">
            <w:pPr>
              <w:shd w:val="clear"/>
              <w:spacing w:line="240" w:lineRule="auto"/>
              <w:rPr>
                <w:rFonts w:hint="eastAsia" w:ascii="宋体" w:hAnsi="宋体" w:cs="宋体"/>
                <w:color w:val="auto"/>
                <w:highlight w:val="none"/>
              </w:rPr>
            </w:pPr>
            <w:r>
              <w:rPr>
                <w:rFonts w:hint="eastAsia" w:ascii="宋体" w:hAnsi="宋体" w:cs="宋体"/>
                <w:color w:val="auto"/>
                <w:highlight w:val="none"/>
              </w:rPr>
              <w:t>本项目采用资格后审方式，满足资格审查合格条件或通过初步评审的投标人不足3名时为招标失败。招标人分析招标失败原因，修正招标方案，报有关管理部门核准后，重新组织招标。</w:t>
            </w:r>
          </w:p>
        </w:tc>
      </w:tr>
      <w:tr w14:paraId="17D7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39B6EC35">
            <w:pPr>
              <w:shd w:val="clear"/>
              <w:jc w:val="center"/>
              <w:rPr>
                <w:rFonts w:hint="eastAsia" w:ascii="宋体" w:hAnsi="宋体" w:cs="宋体"/>
                <w:color w:val="auto"/>
                <w:highlight w:val="none"/>
              </w:rPr>
            </w:pPr>
            <w:r>
              <w:rPr>
                <w:rFonts w:hint="eastAsia" w:ascii="宋体" w:hAnsi="宋体" w:cs="宋体"/>
                <w:color w:val="auto"/>
                <w:highlight w:val="none"/>
              </w:rPr>
              <w:t>10.4</w:t>
            </w:r>
          </w:p>
        </w:tc>
        <w:tc>
          <w:tcPr>
            <w:tcW w:w="2551" w:type="dxa"/>
            <w:tcBorders>
              <w:top w:val="single" w:color="auto" w:sz="4" w:space="0"/>
              <w:left w:val="nil"/>
              <w:bottom w:val="single" w:color="auto" w:sz="4" w:space="0"/>
              <w:right w:val="single" w:color="auto" w:sz="4" w:space="0"/>
            </w:tcBorders>
            <w:noWrap w:val="0"/>
            <w:vAlign w:val="center"/>
          </w:tcPr>
          <w:p w14:paraId="044E2E63">
            <w:pPr>
              <w:shd w:val="clear"/>
              <w:spacing w:line="400" w:lineRule="exact"/>
              <w:ind w:right="174" w:rightChars="83"/>
              <w:jc w:val="center"/>
              <w:rPr>
                <w:rFonts w:hint="eastAsia" w:ascii="宋体" w:hAnsi="宋体" w:cs="宋体"/>
                <w:color w:val="auto"/>
                <w:highlight w:val="none"/>
              </w:rPr>
            </w:pPr>
            <w:r>
              <w:rPr>
                <w:rFonts w:hint="eastAsia" w:ascii="宋体" w:hAnsi="宋体" w:cs="宋体"/>
                <w:color w:val="auto"/>
                <w:highlight w:val="none"/>
              </w:rPr>
              <w:t>否决投标条款</w:t>
            </w:r>
          </w:p>
        </w:tc>
        <w:tc>
          <w:tcPr>
            <w:tcW w:w="6224" w:type="dxa"/>
            <w:tcBorders>
              <w:top w:val="single" w:color="auto" w:sz="4" w:space="0"/>
              <w:left w:val="nil"/>
              <w:bottom w:val="single" w:color="auto" w:sz="4" w:space="0"/>
              <w:right w:val="single" w:color="auto" w:sz="4" w:space="0"/>
            </w:tcBorders>
            <w:noWrap w:val="0"/>
            <w:vAlign w:val="center"/>
          </w:tcPr>
          <w:p w14:paraId="2DA712E3">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否决投标条款：</w:t>
            </w:r>
          </w:p>
          <w:p w14:paraId="30A8EE97">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1、在投标截止期后逾期或未在广州交易集团有限公司（广州公共资源交易中心）数字交易平台（http://www.gzggzy.cn/）递交电子投标文件的，电子招标投标交易平台将拒绝接收其投标文件。</w:t>
            </w:r>
          </w:p>
          <w:p w14:paraId="6B9A8248">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2、投标人未按招标文件要求提供附件或未按要求加盖电子印章及签名的，经评标委员会认定后，其投标文件将被否决。</w:t>
            </w:r>
          </w:p>
          <w:p w14:paraId="570BA05C">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3、投标人没有按要求提供投标担保的，投标文件不予解密、开启，并由招标人作无效标处理。</w:t>
            </w:r>
          </w:p>
          <w:p w14:paraId="085F61DF">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4、投标文件中投标报价高于最高投标限价的，其投标文件将被否决。</w:t>
            </w:r>
          </w:p>
          <w:p w14:paraId="73B95023">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5、按投标报价的算术校核原则及方法调整或修正投标文件的投标报价，调整后的投标报价对投标人起约束作用。如果投标人不接受修正后的报价，则取消其中标资格，并且其投标担保也将被没收。</w:t>
            </w:r>
          </w:p>
          <w:p w14:paraId="1216D381">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6、资审合格后，投标人的资格发生变化而不满足投标人合格条件，在发出中标通知书前，资格问题仍未解决的，招标人将取消其中标资格。</w:t>
            </w:r>
          </w:p>
          <w:p w14:paraId="47E3B0DA">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7、中标人未按本招标文件第二章 投标人须知 第7.6.1项规定提交履约担保，视为放弃中标，其投标担保不予退还，给招标人造成的损失超过投标担保数额的，中标人还应当对超过部分予以赔偿。</w:t>
            </w:r>
          </w:p>
          <w:p w14:paraId="64244348">
            <w:pPr>
              <w:shd w:val="clear"/>
              <w:spacing w:line="300" w:lineRule="exact"/>
              <w:rPr>
                <w:rFonts w:hint="eastAsia" w:ascii="宋体" w:hAnsi="宋体" w:cs="宋体"/>
                <w:color w:val="auto"/>
                <w:highlight w:val="none"/>
                <w:u w:val="single"/>
              </w:rPr>
            </w:pPr>
            <w:r>
              <w:rPr>
                <w:rFonts w:hint="eastAsia" w:ascii="宋体" w:hAnsi="宋体" w:cs="宋体"/>
                <w:color w:val="auto"/>
                <w:highlight w:val="none"/>
                <w:u w:val="single"/>
              </w:rPr>
              <w:t>8、投标人如在本项目中存在串通投标、弄虚作假、行贿情形的，中标无效，该投标人将被招标人列入黑名单并限制其投标。行政监督部门将对其违法行为进行政处罚并通报。</w:t>
            </w:r>
          </w:p>
          <w:p w14:paraId="77818A1B">
            <w:pPr>
              <w:shd w:val="clear"/>
              <w:spacing w:line="300" w:lineRule="exact"/>
              <w:ind w:left="38" w:leftChars="17" w:hanging="2" w:hangingChars="1"/>
              <w:rPr>
                <w:rFonts w:hint="eastAsia" w:ascii="宋体" w:hAnsi="宋体" w:cs="宋体"/>
                <w:color w:val="auto"/>
                <w:highlight w:val="none"/>
                <w:u w:val="single"/>
              </w:rPr>
            </w:pPr>
            <w:r>
              <w:rPr>
                <w:rFonts w:hint="eastAsia" w:ascii="宋体" w:hAnsi="宋体" w:cs="宋体"/>
                <w:color w:val="auto"/>
                <w:highlight w:val="none"/>
                <w:u w:val="single"/>
              </w:rPr>
              <w:t>9、投标文件符合列于《评标办法前附表》“形式评审标准”“资格评审标准”“响应性评审标准”中所有情形的，为有效投标文件。任一情形不符合均为无效投标文件，经评标委员会认定后，其投标文件将被否决。</w:t>
            </w:r>
          </w:p>
          <w:p w14:paraId="5FD8A432">
            <w:pPr>
              <w:shd w:val="clear"/>
              <w:spacing w:line="300" w:lineRule="exact"/>
              <w:ind w:left="38" w:leftChars="17" w:hanging="2" w:hangingChars="1"/>
              <w:rPr>
                <w:rFonts w:hint="eastAsia" w:ascii="宋体" w:hAnsi="宋体" w:cs="宋体"/>
                <w:color w:val="auto"/>
                <w:highlight w:val="none"/>
                <w:u w:val="single"/>
              </w:rPr>
            </w:pPr>
            <w:r>
              <w:rPr>
                <w:rFonts w:hint="eastAsia" w:ascii="宋体" w:hAnsi="宋体" w:cs="宋体"/>
                <w:color w:val="auto"/>
                <w:highlight w:val="none"/>
                <w:u w:val="single"/>
              </w:rPr>
              <w:t>注:评委发现投标文件中含义不明确、对同类问题表述不一致、有明显文字和计算错误的，应当要求投标人作必要的澄清、说明后再判定投标人是否通过有效性审查，不得直接否决投标。</w:t>
            </w:r>
          </w:p>
        </w:tc>
      </w:tr>
      <w:tr w14:paraId="606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1012CF1">
            <w:pPr>
              <w:shd w:val="clear"/>
              <w:jc w:val="center"/>
              <w:rPr>
                <w:rFonts w:hint="eastAsia" w:ascii="宋体" w:hAnsi="宋体" w:cs="宋体"/>
                <w:color w:val="auto"/>
                <w:highlight w:val="none"/>
              </w:rPr>
            </w:pPr>
            <w:r>
              <w:rPr>
                <w:rFonts w:hint="eastAsia" w:ascii="宋体" w:hAnsi="宋体" w:cs="宋体"/>
                <w:color w:val="auto"/>
                <w:highlight w:val="none"/>
              </w:rPr>
              <w:t>10.5</w:t>
            </w:r>
          </w:p>
        </w:tc>
        <w:tc>
          <w:tcPr>
            <w:tcW w:w="2551" w:type="dxa"/>
            <w:tcBorders>
              <w:top w:val="single" w:color="auto" w:sz="4" w:space="0"/>
              <w:left w:val="nil"/>
              <w:bottom w:val="single" w:color="auto" w:sz="4" w:space="0"/>
              <w:right w:val="single" w:color="auto" w:sz="4" w:space="0"/>
            </w:tcBorders>
            <w:noWrap w:val="0"/>
            <w:vAlign w:val="center"/>
          </w:tcPr>
          <w:p w14:paraId="193FE1A6">
            <w:pPr>
              <w:shd w:val="clear"/>
              <w:jc w:val="center"/>
              <w:rPr>
                <w:rFonts w:hint="eastAsia" w:ascii="宋体" w:hAnsi="宋体" w:cs="宋体"/>
                <w:color w:val="auto"/>
                <w:highlight w:val="none"/>
              </w:rPr>
            </w:pPr>
            <w:r>
              <w:rPr>
                <w:rFonts w:hint="eastAsia" w:ascii="宋体" w:hAnsi="宋体" w:cs="宋体"/>
                <w:color w:val="auto"/>
                <w:highlight w:val="none"/>
              </w:rPr>
              <w:t>招标人拒绝接收其投标文件情况</w:t>
            </w:r>
          </w:p>
        </w:tc>
        <w:tc>
          <w:tcPr>
            <w:tcW w:w="6224" w:type="dxa"/>
            <w:tcBorders>
              <w:top w:val="single" w:color="auto" w:sz="4" w:space="0"/>
              <w:left w:val="nil"/>
              <w:bottom w:val="single" w:color="auto" w:sz="4" w:space="0"/>
              <w:right w:val="single" w:color="auto" w:sz="4" w:space="0"/>
            </w:tcBorders>
            <w:noWrap w:val="0"/>
            <w:vAlign w:val="center"/>
          </w:tcPr>
          <w:p w14:paraId="6E666067">
            <w:pPr>
              <w:pStyle w:val="69"/>
              <w:shd w:val="clear"/>
              <w:snapToGrid w:val="0"/>
              <w:rPr>
                <w:rFonts w:hint="eastAsia"/>
                <w:color w:val="auto"/>
                <w:highlight w:val="none"/>
              </w:rPr>
            </w:pPr>
            <w:r>
              <w:rPr>
                <w:rFonts w:hint="eastAsia"/>
                <w:color w:val="auto"/>
                <w:highlight w:val="none"/>
              </w:rPr>
              <w:t>1、在投标截止期后逾期上传递交电子投标文件的；</w:t>
            </w:r>
          </w:p>
          <w:p w14:paraId="2B8FAFED">
            <w:pPr>
              <w:pStyle w:val="69"/>
              <w:shd w:val="clear"/>
              <w:snapToGrid w:val="0"/>
              <w:rPr>
                <w:rFonts w:hint="eastAsia"/>
                <w:color w:val="auto"/>
                <w:highlight w:val="none"/>
              </w:rPr>
            </w:pPr>
            <w:r>
              <w:rPr>
                <w:rFonts w:hint="eastAsia"/>
                <w:color w:val="auto"/>
                <w:highlight w:val="none"/>
              </w:rPr>
              <w:t>2、在投标截止期前投标人没有按要求提供投标担保的。</w:t>
            </w:r>
          </w:p>
        </w:tc>
      </w:tr>
      <w:tr w14:paraId="2A4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2CB4F75F">
            <w:pPr>
              <w:shd w:val="clear"/>
              <w:jc w:val="center"/>
              <w:rPr>
                <w:rFonts w:hint="eastAsia" w:ascii="宋体" w:hAnsi="宋体" w:cs="宋体"/>
                <w:color w:val="auto"/>
                <w:highlight w:val="none"/>
              </w:rPr>
            </w:pPr>
            <w:r>
              <w:rPr>
                <w:rFonts w:hint="eastAsia" w:ascii="宋体" w:hAnsi="宋体" w:cs="宋体"/>
                <w:color w:val="auto"/>
                <w:highlight w:val="none"/>
              </w:rPr>
              <w:t>10.6</w:t>
            </w:r>
          </w:p>
        </w:tc>
        <w:tc>
          <w:tcPr>
            <w:tcW w:w="2551" w:type="dxa"/>
            <w:tcBorders>
              <w:top w:val="single" w:color="auto" w:sz="4" w:space="0"/>
              <w:left w:val="nil"/>
              <w:bottom w:val="single" w:color="auto" w:sz="4" w:space="0"/>
              <w:right w:val="single" w:color="auto" w:sz="4" w:space="0"/>
            </w:tcBorders>
            <w:noWrap w:val="0"/>
            <w:vAlign w:val="center"/>
          </w:tcPr>
          <w:p w14:paraId="330D4154">
            <w:pPr>
              <w:shd w:val="clear"/>
              <w:jc w:val="center"/>
              <w:rPr>
                <w:rFonts w:hint="eastAsia" w:ascii="宋体" w:hAnsi="宋体" w:cs="宋体"/>
                <w:color w:val="auto"/>
                <w:highlight w:val="none"/>
              </w:rPr>
            </w:pPr>
            <w:r>
              <w:rPr>
                <w:rFonts w:hint="eastAsia" w:ascii="宋体" w:hAnsi="宋体" w:cs="宋体"/>
                <w:color w:val="auto"/>
                <w:highlight w:val="none"/>
              </w:rPr>
              <w:t>其他</w:t>
            </w:r>
          </w:p>
        </w:tc>
        <w:tc>
          <w:tcPr>
            <w:tcW w:w="6224" w:type="dxa"/>
            <w:tcBorders>
              <w:top w:val="single" w:color="auto" w:sz="4" w:space="0"/>
              <w:left w:val="nil"/>
              <w:bottom w:val="single" w:color="auto" w:sz="4" w:space="0"/>
              <w:right w:val="single" w:color="auto" w:sz="4" w:space="0"/>
            </w:tcBorders>
            <w:noWrap w:val="0"/>
            <w:vAlign w:val="center"/>
          </w:tcPr>
          <w:p w14:paraId="6940228A">
            <w:pPr>
              <w:pStyle w:val="69"/>
              <w:shd w:val="clear"/>
              <w:snapToGrid w:val="0"/>
              <w:rPr>
                <w:rFonts w:hint="eastAsia"/>
                <w:color w:val="auto"/>
                <w:highlight w:val="none"/>
              </w:rPr>
            </w:pPr>
            <w:r>
              <w:rPr>
                <w:rFonts w:hint="eastAsia"/>
                <w:color w:val="auto"/>
                <w:highlight w:val="none"/>
              </w:rPr>
              <w:t>1、在产生中标候选人后，招标人将中标候选人的投标文件商务部分的电子版（报价清单、方案等涉及商业秘密的内容除外）在</w:t>
            </w:r>
            <w:r>
              <w:rPr>
                <w:rFonts w:hint="eastAsia"/>
                <w:color w:val="auto"/>
                <w:highlight w:val="none"/>
                <w:u w:val="single"/>
              </w:rPr>
              <w:t>广州交易集团有限公司（广州公共资源交易中心）</w:t>
            </w:r>
            <w:r>
              <w:rPr>
                <w:rFonts w:hint="eastAsia"/>
                <w:color w:val="auto"/>
                <w:highlight w:val="none"/>
              </w:rPr>
              <w:t>网站公开。</w:t>
            </w:r>
          </w:p>
          <w:p w14:paraId="09E7E929">
            <w:pPr>
              <w:pStyle w:val="69"/>
              <w:shd w:val="clear"/>
              <w:snapToGrid w:val="0"/>
              <w:rPr>
                <w:rFonts w:hint="eastAsia"/>
                <w:color w:val="auto"/>
                <w:highlight w:val="none"/>
              </w:rPr>
            </w:pPr>
            <w:r>
              <w:rPr>
                <w:rFonts w:hint="eastAsia"/>
                <w:color w:val="auto"/>
                <w:highlight w:val="none"/>
                <w:lang w:val="en-US" w:eastAsia="zh-CN"/>
              </w:rPr>
              <w:t>2</w:t>
            </w:r>
            <w:r>
              <w:rPr>
                <w:rFonts w:hint="eastAsia"/>
                <w:color w:val="auto"/>
                <w:highlight w:val="none"/>
              </w:rPr>
              <w:t>、招标公告、招标文件、答疑纪要、图纸等招标资料全部发布在</w:t>
            </w:r>
            <w:r>
              <w:rPr>
                <w:rFonts w:hint="eastAsia"/>
                <w:color w:val="auto"/>
                <w:highlight w:val="none"/>
                <w:u w:val="single"/>
              </w:rPr>
              <w:t>广州交易集团有限公司（广州公共资源交易中心）</w:t>
            </w:r>
            <w:r>
              <w:rPr>
                <w:rFonts w:hint="eastAsia"/>
                <w:color w:val="auto"/>
                <w:highlight w:val="none"/>
              </w:rPr>
              <w:t>网站，由投标人自行下载查阅。</w:t>
            </w:r>
          </w:p>
          <w:p w14:paraId="6F5C7EC2">
            <w:pPr>
              <w:pStyle w:val="69"/>
              <w:shd w:val="clear"/>
              <w:snapToGrid w:val="0"/>
              <w:rPr>
                <w:rFonts w:hint="eastAsia"/>
                <w:color w:val="auto"/>
                <w:highlight w:val="none"/>
              </w:rPr>
            </w:pPr>
            <w:r>
              <w:rPr>
                <w:rFonts w:hint="eastAsia"/>
                <w:color w:val="auto"/>
                <w:highlight w:val="none"/>
                <w:lang w:val="en-US" w:eastAsia="zh-CN"/>
              </w:rPr>
              <w:t>3</w:t>
            </w:r>
            <w:r>
              <w:rPr>
                <w:rFonts w:hint="eastAsia"/>
                <w:color w:val="auto"/>
                <w:highlight w:val="none"/>
              </w:rPr>
              <w:t>、投标截止时间、开标时间和地点：发布在</w:t>
            </w:r>
            <w:r>
              <w:rPr>
                <w:rFonts w:hint="eastAsia"/>
                <w:color w:val="auto"/>
                <w:highlight w:val="none"/>
                <w:u w:val="single"/>
              </w:rPr>
              <w:t>广州交易集团有限公司（广州公共资源交易中心）</w:t>
            </w:r>
            <w:r>
              <w:rPr>
                <w:rFonts w:hint="eastAsia"/>
                <w:color w:val="auto"/>
                <w:highlight w:val="none"/>
              </w:rPr>
              <w:t>网站（具体在网站主页“服务指南”中“交易活动安排”栏目上以“项目名称”或“项目编号”进行查询）。</w:t>
            </w:r>
          </w:p>
          <w:p w14:paraId="07F91A17">
            <w:pPr>
              <w:pStyle w:val="69"/>
              <w:shd w:val="clear"/>
              <w:autoSpaceDE w:val="0"/>
              <w:snapToGrid w:val="0"/>
              <w:rPr>
                <w:rFonts w:hint="eastAsia"/>
                <w:color w:val="auto"/>
                <w:highlight w:val="none"/>
              </w:rPr>
            </w:pPr>
            <w:r>
              <w:rPr>
                <w:rFonts w:hint="eastAsia"/>
                <w:color w:val="auto"/>
                <w:highlight w:val="none"/>
                <w:lang w:val="en-US" w:eastAsia="zh-CN"/>
              </w:rPr>
              <w:t>4</w:t>
            </w:r>
            <w:r>
              <w:rPr>
                <w:rFonts w:hint="eastAsia"/>
                <w:color w:val="auto"/>
                <w:highlight w:val="none"/>
              </w:rPr>
              <w:t>、招标人根据评标委员会递交的评标报告，最终依法审定中标人。但在签订合同前的任何时候，评委、招标人以及其他人员发现投标人在招标过程有弄虚作假、虚报资料情况的，一经查实，立即取消其中标人资格。</w:t>
            </w:r>
          </w:p>
          <w:p w14:paraId="3E1289E3">
            <w:pPr>
              <w:pStyle w:val="69"/>
              <w:shd w:val="clear"/>
              <w:autoSpaceDE w:val="0"/>
              <w:snapToGrid w:val="0"/>
              <w:rPr>
                <w:rFonts w:hint="eastAsia"/>
                <w:color w:val="auto"/>
                <w:highlight w:val="none"/>
              </w:rPr>
            </w:pPr>
            <w:r>
              <w:rPr>
                <w:rFonts w:hint="eastAsia"/>
                <w:color w:val="auto"/>
                <w:highlight w:val="none"/>
                <w:lang w:val="en-US" w:eastAsia="zh-CN"/>
              </w:rPr>
              <w:t>5</w:t>
            </w:r>
            <w:r>
              <w:rPr>
                <w:rFonts w:hint="eastAsia"/>
                <w:color w:val="auto"/>
                <w:highlight w:val="none"/>
              </w:rPr>
              <w:t>、中标人缴纳广州交易集团有限公司交易服务费，由广州交易集团有限公司向中标人开具发票。</w:t>
            </w:r>
          </w:p>
          <w:p w14:paraId="083842D6">
            <w:pPr>
              <w:pStyle w:val="69"/>
              <w:shd w:val="clear"/>
              <w:autoSpaceDE w:val="0"/>
              <w:snapToGrid w:val="0"/>
              <w:rPr>
                <w:rFonts w:hint="eastAsia"/>
                <w:color w:val="auto"/>
                <w:highlight w:val="none"/>
              </w:rPr>
            </w:pPr>
            <w:r>
              <w:rPr>
                <w:rFonts w:hint="eastAsia"/>
                <w:color w:val="auto"/>
                <w:highlight w:val="none"/>
                <w:lang w:val="en-US" w:eastAsia="zh-CN"/>
              </w:rPr>
              <w:t>6</w:t>
            </w:r>
            <w:r>
              <w:rPr>
                <w:rFonts w:hint="eastAsia"/>
                <w:color w:val="auto"/>
                <w:highlight w:val="none"/>
              </w:rPr>
              <w:t>、本项目招标代理费由中标人支付</w:t>
            </w:r>
            <w:r>
              <w:rPr>
                <w:rFonts w:hint="eastAsia"/>
                <w:color w:val="auto"/>
                <w:highlight w:val="none"/>
                <w:lang w:eastAsia="zh-CN"/>
              </w:rPr>
              <w:t>。</w:t>
            </w:r>
            <w:r>
              <w:rPr>
                <w:rFonts w:hint="eastAsia" w:ascii="宋体" w:hAnsi="宋体" w:eastAsia="宋体" w:cs="宋体"/>
                <w:color w:val="auto"/>
                <w:szCs w:val="24"/>
                <w:highlight w:val="none"/>
                <w:lang w:val="en-US"/>
              </w:rPr>
              <w:t>招标代理服务费</w:t>
            </w:r>
            <w:r>
              <w:rPr>
                <w:rFonts w:hint="eastAsia"/>
                <w:color w:val="auto"/>
                <w:highlight w:val="none"/>
                <w:lang w:val="en-US" w:eastAsia="zh-CN"/>
              </w:rPr>
              <w:t>参照</w:t>
            </w:r>
            <w:r>
              <w:rPr>
                <w:rFonts w:hint="eastAsia" w:ascii="宋体" w:hAnsi="宋体" w:eastAsia="宋体" w:cs="宋体"/>
                <w:color w:val="auto"/>
                <w:szCs w:val="24"/>
                <w:highlight w:val="none"/>
                <w:lang w:val="en-US"/>
              </w:rPr>
              <w:t>《招标代理服务收费管理暂行办法》（计价格[2002]1980号）、《关于招标代理服务收费有关问题的通知》（发改办价格［2003］857号）及《国家发展改革委关于降低部分建设项目收费标准规范收费行为等有关问题的通知》（发改价格［2011］534号）规定，以中标金额为基数，按差额定率累进法计算后下浮67%收取。</w:t>
            </w:r>
            <w:r>
              <w:rPr>
                <w:rFonts w:hint="eastAsia" w:eastAsia="宋体" w:cs="宋体"/>
                <w:color w:val="auto"/>
                <w:szCs w:val="24"/>
                <w:highlight w:val="none"/>
                <w:lang w:val="en-US" w:eastAsia="zh-CN"/>
              </w:rPr>
              <w:t>由</w:t>
            </w:r>
            <w:r>
              <w:rPr>
                <w:rFonts w:hint="eastAsia"/>
                <w:color w:val="auto"/>
                <w:highlight w:val="none"/>
              </w:rPr>
              <w:t>中标人在领取中标通知书前缴纳。</w:t>
            </w:r>
          </w:p>
        </w:tc>
      </w:tr>
    </w:tbl>
    <w:p w14:paraId="41B5A2AF">
      <w:pPr>
        <w:shd w:val="clear"/>
        <w:spacing w:line="5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ECA4B5B">
      <w:pPr>
        <w:pStyle w:val="4"/>
        <w:shd w:val="clear"/>
        <w:spacing w:line="360" w:lineRule="auto"/>
        <w:rPr>
          <w:rFonts w:hint="eastAsia" w:ascii="宋体" w:hAnsi="宋体" w:eastAsia="宋体" w:cs="宋体"/>
          <w:color w:val="auto"/>
          <w:highlight w:val="none"/>
        </w:rPr>
      </w:pPr>
      <w:bookmarkStart w:id="37" w:name="_Toc492300564"/>
      <w:bookmarkStart w:id="38" w:name="_Toc20412"/>
      <w:r>
        <w:rPr>
          <w:rFonts w:hint="eastAsia" w:ascii="宋体" w:hAnsi="宋体" w:eastAsia="宋体" w:cs="宋体"/>
          <w:color w:val="auto"/>
          <w:highlight w:val="none"/>
        </w:rPr>
        <w:t>1. 总则</w:t>
      </w:r>
      <w:bookmarkEnd w:id="37"/>
      <w:bookmarkEnd w:id="38"/>
    </w:p>
    <w:p w14:paraId="3443F8D0">
      <w:pPr>
        <w:pStyle w:val="5"/>
        <w:shd w:val="clear"/>
        <w:ind w:firstLine="137"/>
        <w:rPr>
          <w:rFonts w:hint="eastAsia" w:ascii="宋体" w:hAnsi="宋体" w:cs="宋体"/>
          <w:color w:val="auto"/>
          <w:highlight w:val="none"/>
        </w:rPr>
      </w:pPr>
      <w:bookmarkStart w:id="39" w:name="_Toc492300565"/>
      <w:bookmarkStart w:id="40" w:name="_Toc8699"/>
      <w:r>
        <w:rPr>
          <w:rFonts w:hint="eastAsia" w:ascii="宋体" w:hAnsi="宋体" w:cs="宋体"/>
          <w:color w:val="auto"/>
          <w:highlight w:val="none"/>
        </w:rPr>
        <w:t>1.1 招标项目概况</w:t>
      </w:r>
      <w:bookmarkEnd w:id="39"/>
      <w:bookmarkEnd w:id="40"/>
    </w:p>
    <w:p w14:paraId="348ABC2D">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1.1.1根据《中华人民共和国招标投标法》、《中华人民共和国招标投标法实施条例》等有关法律、法规和规章的规定，本招标项目已具备招标条件，现对</w:t>
      </w:r>
      <w:r>
        <w:rPr>
          <w:rFonts w:hint="eastAsia" w:ascii="宋体" w:hAnsi="宋体" w:cs="宋体"/>
          <w:color w:val="auto"/>
          <w:highlight w:val="none"/>
          <w:lang w:val="en-US" w:eastAsia="zh-CN"/>
        </w:rPr>
        <w:t>该项目的监理服务</w:t>
      </w:r>
      <w:r>
        <w:rPr>
          <w:rFonts w:hint="eastAsia" w:ascii="宋体" w:hAnsi="宋体" w:cs="宋体"/>
          <w:color w:val="auto"/>
          <w:highlight w:val="none"/>
        </w:rPr>
        <w:t>进行</w:t>
      </w:r>
      <w:r>
        <w:rPr>
          <w:rFonts w:hint="eastAsia" w:ascii="宋体" w:hAnsi="宋体" w:cs="宋体"/>
          <w:color w:val="auto"/>
          <w:highlight w:val="none"/>
          <w:lang w:val="en-US" w:eastAsia="zh-CN"/>
        </w:rPr>
        <w:t>公开</w:t>
      </w:r>
      <w:r>
        <w:rPr>
          <w:rFonts w:hint="eastAsia" w:ascii="宋体" w:hAnsi="宋体" w:cs="宋体"/>
          <w:color w:val="auto"/>
          <w:highlight w:val="none"/>
        </w:rPr>
        <w:t>招标。</w:t>
      </w:r>
    </w:p>
    <w:p w14:paraId="73E44F9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1.1.2招标人：见投标人须知前附表。</w:t>
      </w:r>
    </w:p>
    <w:p w14:paraId="008AE322">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1.1.3招标代理机构：见投标人须知前附表。</w:t>
      </w:r>
    </w:p>
    <w:p w14:paraId="29802DB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1.1.4 招标项目名称：见投标人须知前附表。</w:t>
      </w:r>
    </w:p>
    <w:p w14:paraId="1455C22D">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1.1.5项目建设地点：见投标人须知前附表。</w:t>
      </w:r>
    </w:p>
    <w:p w14:paraId="01A8164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1.1.6 项目建设规模：见投标人须知前附表。</w:t>
      </w:r>
    </w:p>
    <w:p w14:paraId="340A579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highlight w:val="none"/>
          <w:lang w:val="en-US" w:eastAsia="zh-CN"/>
        </w:rPr>
        <w:t>7</w:t>
      </w:r>
      <w:r>
        <w:rPr>
          <w:rFonts w:hint="eastAsia" w:ascii="宋体" w:hAnsi="宋体" w:cs="宋体"/>
          <w:color w:val="auto"/>
          <w:highlight w:val="none"/>
        </w:rPr>
        <w:t xml:space="preserve"> 建筑安装工程费/工程概算：见投标人须知前附表。</w:t>
      </w:r>
    </w:p>
    <w:p w14:paraId="0513E8C7">
      <w:pPr>
        <w:pStyle w:val="5"/>
        <w:shd w:val="clear"/>
        <w:ind w:firstLine="137"/>
        <w:rPr>
          <w:rFonts w:hint="eastAsia" w:ascii="宋体" w:hAnsi="宋体" w:cs="宋体"/>
          <w:color w:val="auto"/>
          <w:highlight w:val="none"/>
        </w:rPr>
      </w:pPr>
      <w:bookmarkStart w:id="41" w:name="_Toc21059"/>
      <w:bookmarkStart w:id="42" w:name="_Toc492300566"/>
      <w:r>
        <w:rPr>
          <w:rFonts w:hint="eastAsia" w:ascii="宋体" w:hAnsi="宋体" w:cs="宋体"/>
          <w:color w:val="auto"/>
          <w:highlight w:val="none"/>
        </w:rPr>
        <w:t>1.2 招标项目的资金来源和落实情况</w:t>
      </w:r>
      <w:bookmarkEnd w:id="41"/>
      <w:bookmarkEnd w:id="42"/>
    </w:p>
    <w:p w14:paraId="7976606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1.2.1资金来源及比例：见投标人须知前附表。</w:t>
      </w:r>
    </w:p>
    <w:p w14:paraId="6F4947D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1.2.2资金落实情况：见投标人须知前附表。</w:t>
      </w:r>
    </w:p>
    <w:p w14:paraId="231A9A39">
      <w:pPr>
        <w:pStyle w:val="5"/>
        <w:shd w:val="clear"/>
        <w:ind w:firstLine="137"/>
        <w:rPr>
          <w:rFonts w:hint="eastAsia" w:ascii="宋体" w:hAnsi="宋体" w:cs="宋体"/>
          <w:color w:val="auto"/>
          <w:highlight w:val="none"/>
        </w:rPr>
      </w:pPr>
      <w:bookmarkStart w:id="43" w:name="_Toc492300567"/>
      <w:bookmarkStart w:id="44" w:name="_Toc913"/>
      <w:r>
        <w:rPr>
          <w:rFonts w:hint="eastAsia" w:ascii="宋体" w:hAnsi="宋体" w:cs="宋体"/>
          <w:color w:val="auto"/>
          <w:highlight w:val="none"/>
        </w:rPr>
        <w:t>1.3招标范围、工程监理服务期限和质量标准</w:t>
      </w:r>
      <w:bookmarkEnd w:id="43"/>
      <w:bookmarkEnd w:id="44"/>
    </w:p>
    <w:p w14:paraId="16BAC2E3">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1.3.1招标范围：见投标人须知前附表。</w:t>
      </w:r>
    </w:p>
    <w:p w14:paraId="17650BE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1.3.2监理服务期限：见投标人须知前附表。</w:t>
      </w:r>
    </w:p>
    <w:p w14:paraId="5DADF69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1.3.3 质量标准：见投标人须知前附表。</w:t>
      </w:r>
    </w:p>
    <w:p w14:paraId="30BB7765">
      <w:pPr>
        <w:pStyle w:val="5"/>
        <w:shd w:val="clear"/>
        <w:ind w:firstLine="137"/>
        <w:rPr>
          <w:rFonts w:hint="eastAsia" w:ascii="宋体" w:hAnsi="宋体" w:cs="宋体"/>
          <w:color w:val="auto"/>
          <w:highlight w:val="none"/>
        </w:rPr>
      </w:pPr>
      <w:bookmarkStart w:id="45" w:name="_Toc492300568"/>
      <w:bookmarkStart w:id="46" w:name="_Toc17322"/>
      <w:r>
        <w:rPr>
          <w:rFonts w:hint="eastAsia" w:ascii="宋体" w:hAnsi="宋体" w:cs="宋体"/>
          <w:color w:val="auto"/>
          <w:highlight w:val="none"/>
        </w:rPr>
        <w:t>1.4投标人资格要求</w:t>
      </w:r>
      <w:bookmarkEnd w:id="45"/>
      <w:bookmarkEnd w:id="46"/>
    </w:p>
    <w:p w14:paraId="049E2E93">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1.4.1 投标人应具备承担本招标项目资质条件、能力和信誉：</w:t>
      </w:r>
    </w:p>
    <w:p w14:paraId="5662708A">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（1）资质要求：见投标人须知前附表；</w:t>
      </w:r>
    </w:p>
    <w:p w14:paraId="008D4351">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（2）财务要求：见投标人须知前附表；</w:t>
      </w:r>
    </w:p>
    <w:p w14:paraId="454A9ACC">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（3）业绩要求：见投标人须知前附表；</w:t>
      </w:r>
    </w:p>
    <w:p w14:paraId="077BEA48">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（4）信誉要求：见投标人须知前附表；</w:t>
      </w:r>
    </w:p>
    <w:p w14:paraId="745C698F">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（5）总监理工程师的资格要求：具体要求见投标人须知前附表；</w:t>
      </w:r>
    </w:p>
    <w:p w14:paraId="7A867A3B">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（6）其他主要人员要求：见投标人须知前附表。</w:t>
      </w:r>
    </w:p>
    <w:p w14:paraId="37898020">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（7）试验检测仪器设备要求：见投标人须知前附表。</w:t>
      </w:r>
    </w:p>
    <w:p w14:paraId="6EF28742">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（8）其他要求：见投标人须知前附表。</w:t>
      </w:r>
    </w:p>
    <w:p w14:paraId="6ECDAD4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需要提交的相关证明材料见本章第3.5款的规定。</w:t>
      </w:r>
    </w:p>
    <w:p w14:paraId="16339C4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w:t>
      </w:r>
      <w:r>
        <w:rPr>
          <w:rFonts w:hint="eastAsia" w:ascii="宋体" w:hAnsi="宋体" w:cs="宋体"/>
          <w:color w:val="auto"/>
          <w:highlight w:val="none"/>
          <w:lang w:val="en-US" w:eastAsia="zh-CN"/>
        </w:rPr>
        <w:t>2</w:t>
      </w:r>
      <w:r>
        <w:rPr>
          <w:rFonts w:hint="eastAsia" w:ascii="宋体" w:hAnsi="宋体" w:cs="宋体"/>
          <w:color w:val="auto"/>
          <w:highlight w:val="none"/>
        </w:rPr>
        <w:t>投标人不得存在下列情形之一：</w:t>
      </w:r>
    </w:p>
    <w:p w14:paraId="76F52373">
      <w:pPr>
        <w:shd w:val="clear"/>
        <w:spacing w:line="400" w:lineRule="exact"/>
        <w:ind w:firstLine="420" w:firstLineChars="200"/>
        <w:rPr>
          <w:rFonts w:hint="eastAsia" w:ascii="宋体" w:hAnsi="宋体" w:cs="宋体"/>
          <w:color w:val="auto"/>
          <w:highlight w:val="none"/>
        </w:rPr>
      </w:pPr>
      <w:bookmarkStart w:id="47" w:name="_Toc492300569"/>
      <w:r>
        <w:rPr>
          <w:rFonts w:hint="eastAsia" w:ascii="宋体" w:hAnsi="宋体" w:cs="宋体"/>
          <w:color w:val="auto"/>
          <w:highlight w:val="none"/>
        </w:rPr>
        <w:t>(1) 为招标人不具有独立法人资格的附属机构(单位)；</w:t>
      </w:r>
    </w:p>
    <w:p w14:paraId="64A5D53A">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 与招标人存在利害关系且可能影响招标公正性；</w:t>
      </w:r>
    </w:p>
    <w:p w14:paraId="4A2EC30E">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 与本招标项目的其他投标人为同一个单位负责人；</w:t>
      </w:r>
    </w:p>
    <w:p w14:paraId="5042B2CB">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 与本招标项目的其他投标人存在控股、管理关系；</w:t>
      </w:r>
    </w:p>
    <w:p w14:paraId="11BF0F8F">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 为本招标项目的代建人；</w:t>
      </w:r>
    </w:p>
    <w:p w14:paraId="7DB0A8F1">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 为本招标项目的招标代理机构；</w:t>
      </w:r>
    </w:p>
    <w:p w14:paraId="5D0F7EB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 与本招标项目的代建人或招标代理机构同为一个法定代表人；</w:t>
      </w:r>
    </w:p>
    <w:p w14:paraId="5FD25439">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(8) 与本招标项目的代建人或招标代理机构存在控股或参股关系；</w:t>
      </w:r>
    </w:p>
    <w:p w14:paraId="137CD1D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(9) 与本招标项目的施工承包人以及建筑材料、建筑构配件和设备供应商有隶属关系或者其他利害关系；</w:t>
      </w:r>
    </w:p>
    <w:p w14:paraId="36369F01">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(10) 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59ACC2D">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 被责令停产停业、暂扣或者吊销许可证、暂扣或者吊销执照；（本项事实应当以根据《中华人民共和国行政处罚法》依法作出并已经生效的行政处罚决定为认定依据。）</w:t>
      </w:r>
    </w:p>
    <w:p w14:paraId="2A134145">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 进入清算程序，或被宣告破产，或其他丧失履约能力的情形；</w:t>
      </w:r>
    </w:p>
    <w:p w14:paraId="5140B86D">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 在最近三年内发生重大监理质量问题；（“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3135341">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 法律法规或投标人须知前附表规定的其他情形。 </w:t>
      </w:r>
    </w:p>
    <w:p w14:paraId="24439A16">
      <w:pPr>
        <w:pStyle w:val="5"/>
        <w:shd w:val="clear"/>
        <w:ind w:firstLine="137"/>
        <w:rPr>
          <w:rFonts w:hint="eastAsia" w:ascii="宋体" w:hAnsi="宋体" w:cs="宋体"/>
          <w:color w:val="auto"/>
          <w:highlight w:val="none"/>
        </w:rPr>
      </w:pPr>
      <w:bookmarkStart w:id="48" w:name="_Toc30722"/>
      <w:r>
        <w:rPr>
          <w:rFonts w:hint="eastAsia" w:ascii="宋体" w:hAnsi="宋体" w:cs="宋体"/>
          <w:color w:val="auto"/>
          <w:highlight w:val="none"/>
        </w:rPr>
        <w:t>1.5 费用承担</w:t>
      </w:r>
      <w:bookmarkEnd w:id="47"/>
      <w:bookmarkEnd w:id="48"/>
    </w:p>
    <w:p w14:paraId="1820919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投标人准备和参加投标活动发生的费用自理。</w:t>
      </w:r>
    </w:p>
    <w:p w14:paraId="1ED41D00">
      <w:pPr>
        <w:pStyle w:val="5"/>
        <w:shd w:val="clear"/>
        <w:ind w:firstLine="137"/>
        <w:rPr>
          <w:rFonts w:hint="eastAsia" w:ascii="宋体" w:hAnsi="宋体" w:cs="宋体"/>
          <w:color w:val="auto"/>
          <w:highlight w:val="none"/>
        </w:rPr>
      </w:pPr>
      <w:bookmarkStart w:id="49" w:name="_Toc27394"/>
      <w:bookmarkStart w:id="50" w:name="_Toc492300570"/>
      <w:r>
        <w:rPr>
          <w:rFonts w:hint="eastAsia" w:ascii="宋体" w:hAnsi="宋体" w:cs="宋体"/>
          <w:color w:val="auto"/>
          <w:highlight w:val="none"/>
        </w:rPr>
        <w:t>1.6保密</w:t>
      </w:r>
      <w:bookmarkEnd w:id="49"/>
      <w:bookmarkEnd w:id="50"/>
    </w:p>
    <w:p w14:paraId="1528456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参与招标投标活动的各方应对招标文件和投标文件中</w:t>
      </w:r>
      <w:bookmarkStart w:id="51" w:name="_Toc384308214"/>
      <w:bookmarkStart w:id="52" w:name="_Toc369531519"/>
      <w:bookmarkStart w:id="53" w:name="_Toc352691477"/>
      <w:bookmarkStart w:id="54" w:name="_Toc5326"/>
      <w:bookmarkStart w:id="55" w:name="_Toc361508589"/>
      <w:r>
        <w:rPr>
          <w:rFonts w:hint="eastAsia" w:ascii="宋体" w:hAnsi="宋体" w:cs="宋体"/>
          <w:color w:val="auto"/>
          <w:highlight w:val="none"/>
        </w:rPr>
        <w:t>的商业和技术等秘密保密</w:t>
      </w:r>
      <w:bookmarkEnd w:id="51"/>
      <w:bookmarkEnd w:id="52"/>
      <w:bookmarkEnd w:id="53"/>
      <w:bookmarkEnd w:id="54"/>
      <w:bookmarkEnd w:id="55"/>
      <w:r>
        <w:rPr>
          <w:rFonts w:hint="eastAsia" w:ascii="宋体" w:hAnsi="宋体" w:cs="宋体"/>
          <w:color w:val="auto"/>
          <w:highlight w:val="none"/>
        </w:rPr>
        <w:t>，否则应承担相应的法律责任。</w:t>
      </w:r>
    </w:p>
    <w:p w14:paraId="34956539">
      <w:pPr>
        <w:pStyle w:val="5"/>
        <w:shd w:val="clear"/>
        <w:ind w:firstLine="137"/>
        <w:rPr>
          <w:rFonts w:hint="eastAsia" w:ascii="宋体" w:hAnsi="宋体" w:cs="宋体"/>
          <w:color w:val="auto"/>
          <w:highlight w:val="none"/>
        </w:rPr>
      </w:pPr>
      <w:bookmarkStart w:id="56" w:name="_Toc22554"/>
      <w:bookmarkStart w:id="57" w:name="_Toc492300571"/>
      <w:r>
        <w:rPr>
          <w:rFonts w:hint="eastAsia" w:ascii="宋体" w:hAnsi="宋体" w:cs="宋体"/>
          <w:color w:val="auto"/>
          <w:highlight w:val="none"/>
        </w:rPr>
        <w:t>1.7语言文字</w:t>
      </w:r>
      <w:bookmarkEnd w:id="56"/>
      <w:bookmarkEnd w:id="57"/>
    </w:p>
    <w:p w14:paraId="2E3D8BD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14:paraId="5C543C2F">
      <w:pPr>
        <w:pStyle w:val="5"/>
        <w:shd w:val="clear"/>
        <w:ind w:firstLine="137"/>
        <w:rPr>
          <w:rFonts w:hint="eastAsia" w:ascii="宋体" w:hAnsi="宋体" w:cs="宋体"/>
          <w:color w:val="auto"/>
          <w:highlight w:val="none"/>
        </w:rPr>
      </w:pPr>
      <w:bookmarkStart w:id="58" w:name="_Toc492300572"/>
      <w:bookmarkStart w:id="59" w:name="_Toc7159"/>
      <w:r>
        <w:rPr>
          <w:rFonts w:hint="eastAsia" w:ascii="宋体" w:hAnsi="宋体" w:cs="宋体"/>
          <w:color w:val="auto"/>
          <w:highlight w:val="none"/>
        </w:rPr>
        <w:t>1.8计量单位</w:t>
      </w:r>
      <w:bookmarkEnd w:id="58"/>
      <w:bookmarkEnd w:id="59"/>
    </w:p>
    <w:p w14:paraId="572E1D2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所有计量均采用中华人民共和国法定计量单位。</w:t>
      </w:r>
    </w:p>
    <w:p w14:paraId="29201A52">
      <w:pPr>
        <w:pStyle w:val="5"/>
        <w:shd w:val="clear"/>
        <w:ind w:firstLine="137"/>
        <w:rPr>
          <w:rFonts w:hint="eastAsia" w:ascii="宋体" w:hAnsi="宋体" w:cs="宋体"/>
          <w:color w:val="auto"/>
          <w:highlight w:val="none"/>
        </w:rPr>
      </w:pPr>
      <w:bookmarkStart w:id="60" w:name="_Toc361508594"/>
      <w:bookmarkStart w:id="61" w:name="_Toc482188480"/>
      <w:bookmarkStart w:id="62" w:name="_Toc247527563"/>
      <w:bookmarkStart w:id="63" w:name="_Toc152045539"/>
      <w:bookmarkStart w:id="64" w:name="_Toc247513962"/>
      <w:bookmarkStart w:id="65" w:name="_Toc492300573"/>
      <w:bookmarkStart w:id="66" w:name="_Toc391393967"/>
      <w:bookmarkStart w:id="67" w:name="_Toc300834959"/>
      <w:bookmarkStart w:id="68" w:name="_Toc152042315"/>
      <w:bookmarkStart w:id="69" w:name="_Toc370676289"/>
      <w:bookmarkStart w:id="70" w:name="_Toc22174"/>
      <w:bookmarkStart w:id="71" w:name="_Toc144974507"/>
      <w:bookmarkStart w:id="72" w:name="_Toc384308219"/>
      <w:r>
        <w:rPr>
          <w:rFonts w:hint="eastAsia" w:ascii="宋体" w:hAnsi="宋体" w:cs="宋体"/>
          <w:color w:val="auto"/>
          <w:highlight w:val="none"/>
        </w:rPr>
        <w:t>1.9 踏勘现场</w:t>
      </w:r>
      <w:bookmarkEnd w:id="60"/>
      <w:bookmarkEnd w:id="61"/>
      <w:bookmarkEnd w:id="62"/>
      <w:bookmarkEnd w:id="63"/>
      <w:bookmarkEnd w:id="64"/>
      <w:bookmarkEnd w:id="65"/>
      <w:bookmarkEnd w:id="66"/>
      <w:bookmarkEnd w:id="67"/>
      <w:bookmarkEnd w:id="68"/>
      <w:bookmarkEnd w:id="69"/>
      <w:bookmarkEnd w:id="70"/>
      <w:bookmarkEnd w:id="71"/>
      <w:bookmarkEnd w:id="72"/>
    </w:p>
    <w:p w14:paraId="7F7EBCDE">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1.9.1 投标人须知前附表规定组织踏勘现场的，招标人按投标人须知前附表规定的时间、地点组织投标人踏勘项目现场。部分投标人未按时参加踏勘现场的，不影响踏勘现场的正常进行。</w:t>
      </w:r>
    </w:p>
    <w:p w14:paraId="76BE6E9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1.9.2 投标人踏勘现场发生的费用自理。</w:t>
      </w:r>
    </w:p>
    <w:p w14:paraId="5A7FE8C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14:paraId="1309F43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1.9.4 招标人在踏勘现场中介绍的工程场地和相关的周边环境情况，供投标人在编制投标文件时参考，招标人不对投标人据此作出的判断和决策负责。</w:t>
      </w:r>
    </w:p>
    <w:p w14:paraId="61386002">
      <w:pPr>
        <w:pStyle w:val="5"/>
        <w:shd w:val="clear"/>
        <w:ind w:firstLine="137"/>
        <w:rPr>
          <w:rFonts w:hint="eastAsia" w:ascii="宋体" w:hAnsi="宋体" w:cs="宋体"/>
          <w:color w:val="auto"/>
          <w:highlight w:val="none"/>
        </w:rPr>
      </w:pPr>
      <w:bookmarkStart w:id="73" w:name="_Toc23779"/>
      <w:bookmarkStart w:id="74" w:name="_Toc492300574"/>
      <w:r>
        <w:rPr>
          <w:rFonts w:hint="eastAsia" w:ascii="宋体" w:hAnsi="宋体" w:cs="宋体"/>
          <w:color w:val="auto"/>
          <w:highlight w:val="none"/>
        </w:rPr>
        <w:t>1.10投标预备会</w:t>
      </w:r>
      <w:bookmarkEnd w:id="73"/>
      <w:bookmarkEnd w:id="74"/>
    </w:p>
    <w:p w14:paraId="54797E5C">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1.10.1 投标人须知前附表规定召开投标预备会的，招标人按投标人须知前附表规定的时间和地点召开投标预备会，澄清投标人提出的问题。</w:t>
      </w:r>
    </w:p>
    <w:p w14:paraId="1445E48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1.10.2 投标人应按投标人须知前附表规定的时间和形式将提出的问题送达招标人，以便招标人在会议期间澄清。</w:t>
      </w:r>
    </w:p>
    <w:p w14:paraId="2E17C5A1">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1.10.3 投标预备会后，招标人将对投标人所提问题的澄清，以投标人须知前附表规定的形式通知所有购买招标文件的投标人。该澄清内容为招标文件的组成部分。</w:t>
      </w:r>
    </w:p>
    <w:p w14:paraId="515BF0AB">
      <w:pPr>
        <w:pStyle w:val="5"/>
        <w:shd w:val="clear"/>
        <w:ind w:firstLine="137"/>
        <w:rPr>
          <w:rFonts w:hint="eastAsia" w:ascii="宋体" w:hAnsi="宋体" w:cs="宋体"/>
          <w:color w:val="auto"/>
          <w:highlight w:val="none"/>
        </w:rPr>
      </w:pPr>
      <w:bookmarkStart w:id="75" w:name="_Toc492300575"/>
      <w:bookmarkStart w:id="76" w:name="_Toc3229"/>
      <w:r>
        <w:rPr>
          <w:rFonts w:hint="eastAsia" w:ascii="宋体" w:hAnsi="宋体" w:cs="宋体"/>
          <w:color w:val="auto"/>
          <w:highlight w:val="none"/>
        </w:rPr>
        <w:t>1.11 分包</w:t>
      </w:r>
      <w:bookmarkEnd w:id="75"/>
      <w:bookmarkEnd w:id="76"/>
    </w:p>
    <w:p w14:paraId="47EEB85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本项目严禁分包。</w:t>
      </w:r>
    </w:p>
    <w:p w14:paraId="0F134F19">
      <w:pPr>
        <w:pStyle w:val="5"/>
        <w:shd w:val="clear"/>
        <w:ind w:firstLine="137"/>
        <w:rPr>
          <w:rFonts w:hint="eastAsia" w:ascii="宋体" w:hAnsi="宋体" w:cs="宋体"/>
          <w:color w:val="auto"/>
          <w:highlight w:val="none"/>
        </w:rPr>
      </w:pPr>
      <w:bookmarkStart w:id="77" w:name="_Toc17986"/>
      <w:bookmarkStart w:id="78" w:name="_Toc492300576"/>
      <w:r>
        <w:rPr>
          <w:rFonts w:hint="eastAsia" w:ascii="宋体" w:hAnsi="宋体" w:cs="宋体"/>
          <w:color w:val="auto"/>
          <w:highlight w:val="none"/>
        </w:rPr>
        <w:t>1.12响应和偏差</w:t>
      </w:r>
      <w:bookmarkEnd w:id="77"/>
      <w:bookmarkEnd w:id="78"/>
    </w:p>
    <w:p w14:paraId="18E53796">
      <w:pPr>
        <w:shd w:val="clear"/>
        <w:spacing w:line="360" w:lineRule="auto"/>
        <w:ind w:firstLine="435"/>
        <w:rPr>
          <w:rFonts w:hint="eastAsia" w:ascii="宋体" w:hAnsi="宋体" w:cs="宋体"/>
          <w:color w:val="auto"/>
          <w:highlight w:val="none"/>
        </w:rPr>
      </w:pPr>
      <w:r>
        <w:rPr>
          <w:rFonts w:hint="eastAsia" w:ascii="宋体" w:hAnsi="宋体" w:cs="宋体"/>
          <w:color w:val="auto"/>
          <w:highlight w:val="none"/>
        </w:rPr>
        <w:t>1.12.1投标文件应当对招标文件的实质性要求和条件作出满足性或更有利于招标人的响应，否则，投标人的投标将被否决。实质性要求和条件见投标人须知前附表。</w:t>
      </w:r>
    </w:p>
    <w:p w14:paraId="35919EA4">
      <w:pPr>
        <w:shd w:val="clear"/>
        <w:spacing w:line="360" w:lineRule="auto"/>
        <w:ind w:firstLine="435"/>
        <w:rPr>
          <w:rFonts w:hint="eastAsia" w:ascii="宋体" w:hAnsi="宋体" w:cs="宋体"/>
          <w:color w:val="auto"/>
          <w:highlight w:val="none"/>
        </w:rPr>
      </w:pPr>
      <w:r>
        <w:rPr>
          <w:rFonts w:hint="eastAsia" w:ascii="宋体" w:hAnsi="宋体" w:cs="宋体"/>
          <w:color w:val="auto"/>
          <w:highlight w:val="none"/>
        </w:rPr>
        <w:t>1.12.2 投标人应根据招标文件的要求提供投标监理大纲等内容以对招标文件作出响应。</w:t>
      </w:r>
    </w:p>
    <w:p w14:paraId="3476F352">
      <w:pPr>
        <w:shd w:val="clear"/>
        <w:spacing w:line="360" w:lineRule="auto"/>
        <w:ind w:firstLine="435"/>
        <w:rPr>
          <w:rFonts w:hint="eastAsia" w:ascii="宋体" w:hAnsi="宋体" w:cs="宋体"/>
          <w:color w:val="auto"/>
          <w:highlight w:val="none"/>
        </w:rPr>
      </w:pPr>
      <w:r>
        <w:rPr>
          <w:rFonts w:hint="eastAsia" w:ascii="宋体" w:hAnsi="宋体" w:cs="宋体"/>
          <w:color w:val="auto"/>
          <w:highlight w:val="none"/>
        </w:rPr>
        <w:t>1.12.3投标人须知前附表允许投标文件偏离招标文件某些要求的，偏差应当符合招标文件规定的偏差范围和幅度。</w:t>
      </w:r>
    </w:p>
    <w:p w14:paraId="7B8ABDE2">
      <w:pPr>
        <w:pStyle w:val="4"/>
        <w:shd w:val="clear"/>
        <w:spacing w:line="360" w:lineRule="auto"/>
        <w:rPr>
          <w:rFonts w:hint="eastAsia" w:ascii="宋体" w:hAnsi="宋体" w:eastAsia="宋体" w:cs="宋体"/>
          <w:color w:val="auto"/>
          <w:highlight w:val="none"/>
        </w:rPr>
      </w:pPr>
      <w:bookmarkStart w:id="79" w:name="_Toc492300577"/>
      <w:bookmarkStart w:id="80" w:name="_Toc19848"/>
      <w:r>
        <w:rPr>
          <w:rFonts w:hint="eastAsia" w:ascii="宋体" w:hAnsi="宋体" w:eastAsia="宋体" w:cs="宋体"/>
          <w:color w:val="auto"/>
          <w:highlight w:val="none"/>
        </w:rPr>
        <w:t>2. 招标文件</w:t>
      </w:r>
      <w:bookmarkEnd w:id="79"/>
      <w:bookmarkEnd w:id="80"/>
    </w:p>
    <w:p w14:paraId="1C098191">
      <w:pPr>
        <w:pStyle w:val="5"/>
        <w:shd w:val="clear"/>
        <w:ind w:firstLine="137"/>
        <w:rPr>
          <w:rFonts w:hint="eastAsia" w:ascii="宋体" w:hAnsi="宋体" w:cs="宋体"/>
          <w:color w:val="auto"/>
          <w:highlight w:val="none"/>
        </w:rPr>
      </w:pPr>
      <w:bookmarkStart w:id="81" w:name="_Toc492300578"/>
      <w:bookmarkStart w:id="82" w:name="_Toc12040"/>
      <w:r>
        <w:rPr>
          <w:rFonts w:hint="eastAsia" w:ascii="宋体" w:hAnsi="宋体" w:cs="宋体"/>
          <w:color w:val="auto"/>
          <w:highlight w:val="none"/>
        </w:rPr>
        <w:t>2.1 招标文件的组成</w:t>
      </w:r>
      <w:bookmarkEnd w:id="81"/>
      <w:bookmarkEnd w:id="82"/>
    </w:p>
    <w:p w14:paraId="4C8387B3">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本招标文件包括：</w:t>
      </w:r>
    </w:p>
    <w:p w14:paraId="74066C9E">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（1）招标公告；</w:t>
      </w:r>
    </w:p>
    <w:p w14:paraId="2229D49F">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（2）投标人须知；</w:t>
      </w:r>
    </w:p>
    <w:p w14:paraId="115E9B43">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（3）评标办法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综合评估法</w:t>
      </w:r>
      <w:r>
        <w:rPr>
          <w:rFonts w:hint="eastAsia" w:ascii="宋体" w:hAnsi="宋体" w:cs="宋体"/>
          <w:color w:val="auto"/>
          <w:highlight w:val="none"/>
          <w:lang w:eastAsia="zh-CN"/>
        </w:rPr>
        <w:t>）</w:t>
      </w:r>
      <w:r>
        <w:rPr>
          <w:rFonts w:hint="eastAsia" w:ascii="宋体" w:hAnsi="宋体" w:cs="宋体"/>
          <w:color w:val="auto"/>
          <w:highlight w:val="none"/>
        </w:rPr>
        <w:t>；</w:t>
      </w:r>
    </w:p>
    <w:p w14:paraId="782EA7B4">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（4）合同条款及格式；</w:t>
      </w:r>
    </w:p>
    <w:p w14:paraId="026F93B0">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（5）委托人要求；</w:t>
      </w:r>
    </w:p>
    <w:p w14:paraId="14EE3BE4">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（6）投标文件格式；</w:t>
      </w:r>
    </w:p>
    <w:p w14:paraId="359BD12C">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（7）投标人须知前附表规定的其他资料。</w:t>
      </w:r>
    </w:p>
    <w:p w14:paraId="49E221FB">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根据本章第1.10款、第2.2款和第2.3款对招标文件所作的澄清、修改，构成招标文件的组成部分。</w:t>
      </w:r>
    </w:p>
    <w:p w14:paraId="0F065139">
      <w:pPr>
        <w:pStyle w:val="5"/>
        <w:shd w:val="clear"/>
        <w:ind w:firstLine="137"/>
        <w:rPr>
          <w:rFonts w:hint="eastAsia" w:ascii="宋体" w:hAnsi="宋体" w:cs="宋体"/>
          <w:color w:val="auto"/>
          <w:highlight w:val="none"/>
        </w:rPr>
      </w:pPr>
      <w:bookmarkStart w:id="83" w:name="_Toc5229"/>
      <w:bookmarkStart w:id="84" w:name="_Toc492300579"/>
      <w:r>
        <w:rPr>
          <w:rFonts w:hint="eastAsia" w:ascii="宋体" w:hAnsi="宋体" w:cs="宋体"/>
          <w:color w:val="auto"/>
          <w:highlight w:val="none"/>
        </w:rPr>
        <w:t>2.2 招标文件的澄清</w:t>
      </w:r>
      <w:bookmarkEnd w:id="83"/>
      <w:bookmarkEnd w:id="84"/>
    </w:p>
    <w:p w14:paraId="3354BEE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4B25579">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68A1673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2.2.3投标人在收到澄清后，应按投标人须知前附表规定的时间和形式通知招标人，确认已收到该澄清。</w:t>
      </w:r>
    </w:p>
    <w:p w14:paraId="7D671FFC">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2.2.4除非招标人认为确有必要答复，否则，招标人有权拒绝回复投标人在本章第2.2.1项规定的时间后的任何澄清要求。</w:t>
      </w:r>
    </w:p>
    <w:p w14:paraId="6506ADF1">
      <w:pPr>
        <w:pStyle w:val="5"/>
        <w:shd w:val="clear"/>
        <w:ind w:firstLine="137"/>
        <w:rPr>
          <w:rFonts w:hint="eastAsia" w:ascii="宋体" w:hAnsi="宋体" w:cs="宋体"/>
          <w:color w:val="auto"/>
          <w:highlight w:val="none"/>
        </w:rPr>
      </w:pPr>
      <w:bookmarkStart w:id="85" w:name="_Toc27812"/>
      <w:bookmarkStart w:id="86" w:name="_Toc492300580"/>
      <w:bookmarkStart w:id="87" w:name="_Toc352691479"/>
      <w:r>
        <w:rPr>
          <w:rFonts w:hint="eastAsia" w:ascii="宋体" w:hAnsi="宋体" w:cs="宋体"/>
          <w:color w:val="auto"/>
          <w:highlight w:val="none"/>
        </w:rPr>
        <w:t>2.3 招标文件的修</w:t>
      </w:r>
      <w:bookmarkStart w:id="88" w:name="_Toc16514"/>
      <w:bookmarkStart w:id="89" w:name="_Toc369531521"/>
      <w:r>
        <w:rPr>
          <w:rFonts w:hint="eastAsia" w:ascii="宋体" w:hAnsi="宋体" w:cs="宋体"/>
          <w:color w:val="auto"/>
          <w:highlight w:val="none"/>
        </w:rPr>
        <w:t>改</w:t>
      </w:r>
      <w:bookmarkEnd w:id="85"/>
      <w:bookmarkEnd w:id="86"/>
    </w:p>
    <w:p w14:paraId="1DA2105E">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87"/>
    <w:bookmarkEnd w:id="88"/>
    <w:bookmarkEnd w:id="89"/>
    <w:p w14:paraId="035A1D77">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2.3.2投标人收到修改内容</w:t>
      </w:r>
      <w:bookmarkStart w:id="90" w:name="_Toc247527562"/>
      <w:bookmarkStart w:id="91" w:name="_Toc152042314"/>
      <w:bookmarkStart w:id="92" w:name="_Toc352691482"/>
      <w:bookmarkStart w:id="93" w:name="_Toc24632"/>
      <w:bookmarkStart w:id="94" w:name="_Toc144974506"/>
      <w:bookmarkStart w:id="95" w:name="_Toc247513961"/>
      <w:bookmarkStart w:id="96" w:name="_Toc369531524"/>
      <w:bookmarkStart w:id="97" w:name="_Toc152045538"/>
      <w:bookmarkStart w:id="98" w:name="_Toc361508593"/>
      <w:bookmarkStart w:id="99" w:name="_Toc384308218"/>
      <w:bookmarkStart w:id="100" w:name="_Toc300834958"/>
      <w:r>
        <w:rPr>
          <w:rFonts w:hint="eastAsia" w:ascii="宋体" w:hAnsi="宋体" w:cs="宋体"/>
          <w:color w:val="auto"/>
          <w:highlight w:val="none"/>
        </w:rPr>
        <w:t>后，</w:t>
      </w:r>
      <w:bookmarkEnd w:id="90"/>
      <w:bookmarkEnd w:id="91"/>
      <w:bookmarkEnd w:id="92"/>
      <w:bookmarkEnd w:id="93"/>
      <w:bookmarkEnd w:id="94"/>
      <w:bookmarkEnd w:id="95"/>
      <w:bookmarkEnd w:id="96"/>
      <w:bookmarkEnd w:id="97"/>
      <w:bookmarkEnd w:id="98"/>
      <w:bookmarkEnd w:id="99"/>
      <w:bookmarkEnd w:id="100"/>
      <w:bookmarkStart w:id="101" w:name="_Toc152042316"/>
      <w:bookmarkStart w:id="102" w:name="_Toc247513963"/>
      <w:bookmarkStart w:id="103" w:name="_Toc384308220"/>
      <w:bookmarkStart w:id="104" w:name="_Toc352691484"/>
      <w:bookmarkStart w:id="105" w:name="_Toc369531526"/>
      <w:bookmarkStart w:id="106" w:name="_Toc300834960"/>
      <w:bookmarkStart w:id="107" w:name="_Toc247527564"/>
      <w:bookmarkStart w:id="108" w:name="_Toc152045540"/>
      <w:bookmarkStart w:id="109" w:name="_Toc361508595"/>
      <w:bookmarkStart w:id="110" w:name="_Toc16623"/>
      <w:bookmarkStart w:id="111" w:name="_Toc144974508"/>
      <w:r>
        <w:rPr>
          <w:rFonts w:hint="eastAsia" w:ascii="宋体" w:hAnsi="宋体" w:cs="宋体"/>
          <w:color w:val="auto"/>
          <w:highlight w:val="none"/>
        </w:rPr>
        <w:t>应按投标人须知前附表规定的时间和形式通知招标人，确认已收到该修改。</w:t>
      </w:r>
    </w:p>
    <w:p w14:paraId="042CAA23">
      <w:pPr>
        <w:pStyle w:val="5"/>
        <w:shd w:val="clear"/>
        <w:ind w:firstLine="137"/>
        <w:rPr>
          <w:rFonts w:hint="eastAsia" w:ascii="宋体" w:hAnsi="宋体" w:cs="宋体"/>
          <w:color w:val="auto"/>
          <w:highlight w:val="none"/>
        </w:rPr>
      </w:pPr>
      <w:bookmarkStart w:id="112" w:name="_Toc24857"/>
      <w:bookmarkStart w:id="113" w:name="_Toc492300581"/>
      <w:r>
        <w:rPr>
          <w:rFonts w:hint="eastAsia" w:ascii="宋体" w:hAnsi="宋体" w:cs="宋体"/>
          <w:color w:val="auto"/>
          <w:highlight w:val="none"/>
        </w:rPr>
        <w:t>2.</w:t>
      </w:r>
      <w:bookmarkEnd w:id="101"/>
      <w:bookmarkEnd w:id="102"/>
      <w:bookmarkEnd w:id="103"/>
      <w:bookmarkEnd w:id="104"/>
      <w:bookmarkEnd w:id="105"/>
      <w:bookmarkEnd w:id="106"/>
      <w:bookmarkEnd w:id="107"/>
      <w:bookmarkEnd w:id="108"/>
      <w:bookmarkEnd w:id="109"/>
      <w:bookmarkEnd w:id="110"/>
      <w:bookmarkEnd w:id="111"/>
      <w:r>
        <w:rPr>
          <w:rFonts w:hint="eastAsia" w:ascii="宋体" w:hAnsi="宋体" w:cs="宋体"/>
          <w:color w:val="auto"/>
          <w:highlight w:val="none"/>
        </w:rPr>
        <w:t>4 招标文件的异议</w:t>
      </w:r>
      <w:bookmarkEnd w:id="112"/>
      <w:bookmarkEnd w:id="113"/>
    </w:p>
    <w:p w14:paraId="36DF5CC3">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投标人或者其他利害关系人对招标文件有异议的，应当在投标截止时间10日前以书面形式提出。招标人将在收到异议之日起3日内作出答复；作出答复前，将暂停招标投标活动。</w:t>
      </w:r>
    </w:p>
    <w:p w14:paraId="5712C034">
      <w:pPr>
        <w:pStyle w:val="4"/>
        <w:shd w:val="clear"/>
        <w:spacing w:line="360" w:lineRule="auto"/>
        <w:rPr>
          <w:rFonts w:hint="eastAsia" w:ascii="宋体" w:hAnsi="宋体" w:eastAsia="宋体" w:cs="宋体"/>
          <w:color w:val="auto"/>
          <w:highlight w:val="none"/>
        </w:rPr>
      </w:pPr>
      <w:bookmarkStart w:id="114" w:name="_Toc492300582"/>
      <w:bookmarkStart w:id="115" w:name="_Toc24475"/>
      <w:r>
        <w:rPr>
          <w:rFonts w:hint="eastAsia" w:ascii="宋体" w:hAnsi="宋体" w:eastAsia="宋体" w:cs="宋体"/>
          <w:color w:val="auto"/>
          <w:highlight w:val="none"/>
        </w:rPr>
        <w:t>3. 投标文件</w:t>
      </w:r>
      <w:bookmarkEnd w:id="114"/>
      <w:bookmarkEnd w:id="115"/>
    </w:p>
    <w:p w14:paraId="2168DAD1">
      <w:pPr>
        <w:pStyle w:val="5"/>
        <w:shd w:val="clear"/>
        <w:ind w:firstLine="137"/>
        <w:rPr>
          <w:rFonts w:hint="eastAsia" w:ascii="宋体" w:hAnsi="宋体" w:cs="宋体"/>
          <w:color w:val="auto"/>
          <w:highlight w:val="none"/>
        </w:rPr>
      </w:pPr>
      <w:bookmarkStart w:id="116" w:name="_Toc492300583"/>
      <w:bookmarkStart w:id="117" w:name="_Toc5864"/>
      <w:r>
        <w:rPr>
          <w:rFonts w:hint="eastAsia" w:ascii="宋体" w:hAnsi="宋体" w:cs="宋体"/>
          <w:color w:val="auto"/>
          <w:highlight w:val="none"/>
        </w:rPr>
        <w:t>3.1 投标文件的组成</w:t>
      </w:r>
      <w:bookmarkEnd w:id="116"/>
      <w:bookmarkEnd w:id="117"/>
    </w:p>
    <w:p w14:paraId="134D6A66">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3.1.1投标文件应包括第六章投标文件格式内容，投标人在评标过程中作出的符合法律法规和招标文件规定的澄清确认，构成投标文件的组成部分。</w:t>
      </w:r>
    </w:p>
    <w:p w14:paraId="0E22CCA1">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（1）投标函及投标函附录；</w:t>
      </w:r>
    </w:p>
    <w:p w14:paraId="7C776B90">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（2）法定代表人身份证明或授权委托书；</w:t>
      </w:r>
    </w:p>
    <w:p w14:paraId="3521510D">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（3）联合体协议书；</w:t>
      </w:r>
    </w:p>
    <w:p w14:paraId="548BCD33">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（4）投标保证金；</w:t>
      </w:r>
    </w:p>
    <w:p w14:paraId="4610287C">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（5）监理报酬清单；</w:t>
      </w:r>
    </w:p>
    <w:p w14:paraId="68FE3A28">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（6）资格审查资料；</w:t>
      </w:r>
    </w:p>
    <w:p w14:paraId="47118BB5">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（7）拟委任的主要人员汇总表</w:t>
      </w:r>
    </w:p>
    <w:p w14:paraId="00FF48E0">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）监理大纲；</w:t>
      </w:r>
    </w:p>
    <w:p w14:paraId="2E15D2FB">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）投标人须知前附表规定的其他资料。</w:t>
      </w:r>
    </w:p>
    <w:p w14:paraId="217DC03D">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投标人在评标过程中作出的符合法律法规和招标文件规定的澄清确认，构成投标文件的组成部分。</w:t>
      </w:r>
    </w:p>
    <w:p w14:paraId="746C66AD">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3.1.2投标人须知前附表规定不接受联合体投标的，或投标人没有组成联合体的，投标文件不包括本章第3.1.1（3）目所指的联合体协议书。</w:t>
      </w:r>
    </w:p>
    <w:p w14:paraId="7B075D5B">
      <w:pPr>
        <w:shd w:val="clea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3.1.3投标人须知前附表未要求提交投标保证金的，投标文件不包括本章第3.1.1（4）目所指的投标保证金。</w:t>
      </w:r>
    </w:p>
    <w:p w14:paraId="16D2D71A">
      <w:pPr>
        <w:shd w:val="clear"/>
        <w:spacing w:line="360" w:lineRule="auto"/>
        <w:ind w:firstLine="359" w:firstLineChars="171"/>
        <w:rPr>
          <w:rFonts w:hint="eastAsia" w:ascii="宋体" w:hAnsi="宋体" w:cs="宋体"/>
          <w:color w:val="auto"/>
          <w:highlight w:val="none"/>
        </w:rPr>
      </w:pPr>
    </w:p>
    <w:p w14:paraId="17409524">
      <w:pPr>
        <w:pStyle w:val="5"/>
        <w:shd w:val="clear"/>
        <w:ind w:firstLine="137"/>
        <w:rPr>
          <w:rFonts w:hint="eastAsia" w:ascii="宋体" w:hAnsi="宋体" w:cs="宋体"/>
          <w:color w:val="auto"/>
          <w:highlight w:val="none"/>
        </w:rPr>
      </w:pPr>
      <w:bookmarkStart w:id="118" w:name="_Toc492300584"/>
      <w:bookmarkStart w:id="119" w:name="_Toc17717"/>
      <w:r>
        <w:rPr>
          <w:rFonts w:hint="eastAsia" w:ascii="宋体" w:hAnsi="宋体" w:cs="宋体"/>
          <w:color w:val="auto"/>
          <w:highlight w:val="none"/>
        </w:rPr>
        <w:t>3.2 投标报价</w:t>
      </w:r>
      <w:bookmarkEnd w:id="118"/>
      <w:bookmarkEnd w:id="119"/>
    </w:p>
    <w:p w14:paraId="0761EBA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14:paraId="67DCA649">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3.2.2投标人应充分了解该项目的总体情况以及影响投标报价的其他要素。</w:t>
      </w:r>
    </w:p>
    <w:p w14:paraId="66352BBE">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3.2.3</w:t>
      </w:r>
      <w:bookmarkStart w:id="120" w:name="_Toc361508599"/>
      <w:bookmarkEnd w:id="120"/>
      <w:bookmarkStart w:id="121" w:name="_Toc152042319"/>
      <w:bookmarkEnd w:id="121"/>
      <w:bookmarkStart w:id="122" w:name="_Toc152045543"/>
      <w:bookmarkEnd w:id="122"/>
      <w:bookmarkStart w:id="123" w:name="_Toc300834964"/>
      <w:bookmarkEnd w:id="123"/>
      <w:bookmarkStart w:id="124" w:name="_Toc369531530"/>
      <w:bookmarkEnd w:id="124"/>
      <w:bookmarkStart w:id="125" w:name="_Toc247513967"/>
      <w:bookmarkEnd w:id="125"/>
      <w:bookmarkStart w:id="126" w:name="_Toc15242"/>
      <w:bookmarkEnd w:id="126"/>
      <w:bookmarkStart w:id="127" w:name="_Toc247527568"/>
      <w:bookmarkEnd w:id="127"/>
      <w:bookmarkStart w:id="128" w:name="_Toc144974511"/>
      <w:bookmarkEnd w:id="128"/>
      <w:bookmarkStart w:id="129" w:name="_Toc352691487"/>
      <w:bookmarkEnd w:id="129"/>
      <w:bookmarkStart w:id="130" w:name="_Toc384308224"/>
      <w:bookmarkEnd w:id="130"/>
      <w:r>
        <w:rPr>
          <w:rFonts w:hint="eastAsia" w:ascii="宋体" w:hAnsi="宋体" w:cs="宋体"/>
          <w:color w:val="auto"/>
          <w:highlight w:val="none"/>
        </w:rPr>
        <w:t>本项目的报价方式见投标人须知前附表。投标人在投标截止时间前修改投标函中的投标报价总额，应同时修改投标文件“监理报酬清单”中的相应报价。</w:t>
      </w:r>
    </w:p>
    <w:p w14:paraId="6F64097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3.2.4招标人设有最高投标限价的，投标人的投标</w:t>
      </w:r>
      <w:r>
        <w:rPr>
          <w:rFonts w:hint="eastAsia" w:ascii="宋体" w:hAnsi="宋体" w:cs="宋体"/>
          <w:color w:val="auto"/>
          <w:highlight w:val="none"/>
          <w:lang w:val="en-US" w:eastAsia="zh-CN"/>
        </w:rPr>
        <w:t>总</w:t>
      </w:r>
      <w:r>
        <w:rPr>
          <w:rFonts w:hint="eastAsia" w:ascii="宋体" w:hAnsi="宋体" w:cs="宋体"/>
          <w:color w:val="auto"/>
          <w:highlight w:val="none"/>
        </w:rPr>
        <w:t>报价不得超过最高投标限价，分项投标报价不得超</w:t>
      </w:r>
      <w:r>
        <w:rPr>
          <w:rFonts w:hint="eastAsia" w:ascii="宋体" w:hAnsi="宋体" w:cs="宋体"/>
          <w:color w:val="auto"/>
          <w:highlight w:val="none"/>
          <w:lang w:val="en-US" w:eastAsia="zh-CN"/>
        </w:rPr>
        <w:t>过</w:t>
      </w:r>
      <w:r>
        <w:rPr>
          <w:rFonts w:hint="eastAsia" w:ascii="宋体" w:hAnsi="宋体" w:cs="宋体"/>
          <w:color w:val="auto"/>
          <w:highlight w:val="none"/>
        </w:rPr>
        <w:t>分项最高投标限价</w:t>
      </w:r>
      <w:r>
        <w:rPr>
          <w:rFonts w:hint="eastAsia" w:ascii="宋体" w:hAnsi="宋体" w:cs="宋体"/>
          <w:color w:val="auto"/>
          <w:highlight w:val="none"/>
          <w:lang w:eastAsia="zh-CN"/>
        </w:rPr>
        <w:t>，</w:t>
      </w:r>
      <w:r>
        <w:rPr>
          <w:rFonts w:hint="eastAsia" w:ascii="宋体" w:hAnsi="宋体" w:cs="宋体"/>
          <w:color w:val="auto"/>
          <w:highlight w:val="none"/>
        </w:rPr>
        <w:t>最高投标限价在投标</w:t>
      </w:r>
      <w:bookmarkStart w:id="131" w:name="_Toc144974512"/>
      <w:bookmarkStart w:id="132" w:name="_Toc247513968"/>
      <w:bookmarkStart w:id="133" w:name="_Toc352691488"/>
      <w:bookmarkStart w:id="134" w:name="_Toc10429"/>
      <w:bookmarkStart w:id="135" w:name="_Toc152042320"/>
      <w:bookmarkStart w:id="136" w:name="_Toc300834965"/>
      <w:bookmarkStart w:id="137" w:name="_Toc247527569"/>
      <w:bookmarkStart w:id="138" w:name="_Toc384308225"/>
      <w:bookmarkStart w:id="139" w:name="_Toc152045544"/>
      <w:bookmarkStart w:id="140" w:name="_Toc361508600"/>
      <w:bookmarkStart w:id="141" w:name="_Toc369531531"/>
      <w:r>
        <w:rPr>
          <w:rFonts w:hint="eastAsia" w:ascii="宋体" w:hAnsi="宋体" w:cs="宋体"/>
          <w:color w:val="auto"/>
          <w:highlight w:val="none"/>
        </w:rPr>
        <w:t>人须知前附表中载明。</w:t>
      </w:r>
      <w:bookmarkEnd w:id="131"/>
      <w:bookmarkEnd w:id="132"/>
      <w:bookmarkEnd w:id="133"/>
      <w:bookmarkEnd w:id="134"/>
      <w:bookmarkEnd w:id="135"/>
      <w:bookmarkEnd w:id="136"/>
      <w:bookmarkEnd w:id="137"/>
      <w:bookmarkEnd w:id="138"/>
      <w:bookmarkEnd w:id="139"/>
      <w:bookmarkEnd w:id="140"/>
      <w:bookmarkEnd w:id="141"/>
    </w:p>
    <w:p w14:paraId="4CD80D1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3.2.5 投标报价的其他要求见投标人须知前附表。</w:t>
      </w:r>
    </w:p>
    <w:p w14:paraId="26619369">
      <w:pPr>
        <w:pStyle w:val="5"/>
        <w:shd w:val="clear"/>
        <w:ind w:firstLine="137"/>
        <w:rPr>
          <w:rFonts w:hint="eastAsia" w:ascii="宋体" w:hAnsi="宋体" w:cs="宋体"/>
          <w:color w:val="auto"/>
          <w:highlight w:val="none"/>
        </w:rPr>
      </w:pPr>
      <w:bookmarkStart w:id="142" w:name="_Toc14238"/>
      <w:bookmarkStart w:id="143" w:name="_Toc492300585"/>
      <w:r>
        <w:rPr>
          <w:rFonts w:hint="eastAsia" w:ascii="宋体" w:hAnsi="宋体" w:cs="宋体"/>
          <w:color w:val="auto"/>
          <w:highlight w:val="none"/>
        </w:rPr>
        <w:t>3.3 投标有效期</w:t>
      </w:r>
      <w:bookmarkEnd w:id="142"/>
      <w:bookmarkEnd w:id="143"/>
    </w:p>
    <w:p w14:paraId="3170BC8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3.3.1除投标人须知前附表另有规定外，投标有效期为</w:t>
      </w:r>
      <w:r>
        <w:rPr>
          <w:rFonts w:hint="eastAsia" w:ascii="宋体" w:hAnsi="宋体" w:cs="宋体"/>
          <w:color w:val="auto"/>
          <w:highlight w:val="none"/>
          <w:lang w:val="en-US" w:eastAsia="zh-CN"/>
        </w:rPr>
        <w:t>120</w:t>
      </w:r>
      <w:r>
        <w:rPr>
          <w:rFonts w:hint="eastAsia" w:ascii="宋体" w:hAnsi="宋体" w:cs="宋体"/>
          <w:color w:val="auto"/>
          <w:highlight w:val="none"/>
        </w:rPr>
        <w:t>天。</w:t>
      </w:r>
    </w:p>
    <w:p w14:paraId="147AC1A7">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3.3.2在投标有效期内，投标人撤销投标文件的，应承担招标文件和法律规定的责任。</w:t>
      </w:r>
    </w:p>
    <w:p w14:paraId="4A389441">
      <w:pPr>
        <w:shd w:val="clea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3.3.3出现特殊情况需要延长投标有效期的，招标人以书面形式通知所有投标人延长投标有效期。</w:t>
      </w:r>
    </w:p>
    <w:p w14:paraId="4ADD5C45">
      <w:pPr>
        <w:pStyle w:val="5"/>
        <w:shd w:val="clear"/>
        <w:ind w:firstLine="137"/>
        <w:rPr>
          <w:rFonts w:hint="eastAsia" w:ascii="宋体" w:hAnsi="宋体" w:cs="宋体"/>
          <w:color w:val="auto"/>
          <w:highlight w:val="none"/>
        </w:rPr>
      </w:pPr>
      <w:bookmarkStart w:id="144" w:name="_Toc15014"/>
      <w:r>
        <w:rPr>
          <w:rFonts w:hint="eastAsia" w:ascii="宋体" w:hAnsi="宋体" w:cs="宋体"/>
          <w:color w:val="auto"/>
          <w:highlight w:val="none"/>
        </w:rPr>
        <w:t>3.4 投标保证金</w:t>
      </w:r>
      <w:bookmarkEnd w:id="144"/>
    </w:p>
    <w:p w14:paraId="6C658A0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0E75315">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3.4.2 投标人不按本章第3.4.1项要求提交投标保证金的，评标委员会将否决其投标。</w:t>
      </w:r>
    </w:p>
    <w:p w14:paraId="615CFA8D">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3.4.3 招标人最迟将在与中标人签订合同后5日内，向未中标的投标人和中标人退还投标保证金。投标保证金以现金或者支票形式递交的，还应退还银行同期存款利息。</w:t>
      </w:r>
    </w:p>
    <w:p w14:paraId="7A3BAC9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3.4.4 有下列情形之一的，投标保证金将不予退还：</w:t>
      </w:r>
    </w:p>
    <w:p w14:paraId="560D7DA1">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（1）投标人在投标有效期内撤销投标文件；</w:t>
      </w:r>
    </w:p>
    <w:p w14:paraId="65C4D25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（2）中标人在收到中标通知书后，无正当理由不与招标人订立合同，在签订合同时向招标人提出附加条件，或者不按照招标文件要求提交履约保证金；</w:t>
      </w:r>
    </w:p>
    <w:p w14:paraId="15D2AAF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（3）发生投标人须知前附表规定的其他可以不予退还投标保证金的情形。</w:t>
      </w:r>
    </w:p>
    <w:p w14:paraId="6CF8F5E2">
      <w:pPr>
        <w:pStyle w:val="5"/>
        <w:shd w:val="clear"/>
        <w:ind w:firstLine="137"/>
        <w:rPr>
          <w:rFonts w:hint="eastAsia" w:ascii="宋体" w:hAnsi="宋体" w:cs="宋体"/>
          <w:color w:val="auto"/>
          <w:highlight w:val="none"/>
        </w:rPr>
      </w:pPr>
      <w:bookmarkStart w:id="145" w:name="_Toc492300588"/>
      <w:bookmarkStart w:id="146" w:name="_Toc27699"/>
      <w:r>
        <w:rPr>
          <w:rFonts w:hint="eastAsia" w:ascii="宋体" w:hAnsi="宋体" w:cs="宋体"/>
          <w:color w:val="auto"/>
          <w:highlight w:val="none"/>
        </w:rPr>
        <w:t>3.5 资格审查资料（适用于未进行资格预审的）</w:t>
      </w:r>
      <w:bookmarkEnd w:id="145"/>
      <w:bookmarkEnd w:id="146"/>
    </w:p>
    <w:p w14:paraId="695722D1">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除投标人须知前附表另有规定外，投标人应按下列规定提供资格审查资料，以证明其满足本章第1.4款规定的资质、财务、业绩、信誉等要求。</w:t>
      </w:r>
    </w:p>
    <w:p w14:paraId="1FF7D6D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3.5.1 “投标人基本情况表”应附投标人营业执照和组织机构代码证的复印件（按照“三证合一”或“五证合一”登记制度进行登记的，可仅提供营业执照复印件</w:t>
      </w:r>
      <w:r>
        <w:rPr>
          <w:rFonts w:hint="eastAsia" w:ascii="宋体" w:hAnsi="宋体" w:cs="宋体"/>
          <w:color w:val="auto"/>
          <w:highlight w:val="none"/>
          <w:lang w:eastAsia="zh-CN"/>
        </w:rPr>
        <w:t>。香港企业具有在香港公司注册证书及商业登记证。</w:t>
      </w:r>
      <w:r>
        <w:rPr>
          <w:rFonts w:hint="eastAsia" w:ascii="宋体" w:hAnsi="宋体" w:cs="宋体"/>
          <w:color w:val="auto"/>
          <w:highlight w:val="none"/>
        </w:rPr>
        <w:t>）、投标人监理资质证书副本等材料的复印件。</w:t>
      </w:r>
    </w:p>
    <w:p w14:paraId="17BCB55E">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3.5.</w:t>
      </w:r>
      <w:r>
        <w:rPr>
          <w:rFonts w:hint="eastAsia" w:ascii="宋体" w:hAnsi="宋体" w:cs="宋体"/>
          <w:color w:val="auto"/>
          <w:highlight w:val="none"/>
          <w:lang w:val="en-US" w:eastAsia="zh-CN"/>
        </w:rPr>
        <w:t>2</w:t>
      </w:r>
      <w:r>
        <w:rPr>
          <w:rFonts w:hint="eastAsia" w:ascii="宋体" w:hAnsi="宋体" w:cs="宋体"/>
          <w:color w:val="auto"/>
          <w:highlight w:val="none"/>
        </w:rPr>
        <w:t xml:space="preserve"> “主要人员简历表”中总监理工程师应附身份证、学历证、职称证、</w:t>
      </w:r>
      <w:r>
        <w:rPr>
          <w:rFonts w:hint="eastAsia" w:ascii="宋体" w:hAnsi="宋体" w:cs="宋体"/>
          <w:color w:val="auto"/>
          <w:highlight w:val="none"/>
          <w:lang w:val="en-US" w:eastAsia="zh-CN"/>
        </w:rPr>
        <w:t>相关</w:t>
      </w:r>
      <w:r>
        <w:rPr>
          <w:rFonts w:hint="eastAsia" w:ascii="宋体" w:hAnsi="宋体" w:cs="宋体"/>
          <w:color w:val="auto"/>
          <w:highlight w:val="none"/>
        </w:rPr>
        <w:t>证书和社保缴费证明复印件。</w:t>
      </w:r>
    </w:p>
    <w:p w14:paraId="26CE39B5">
      <w:pPr>
        <w:shd w:val="clea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3.5.</w:t>
      </w:r>
      <w:r>
        <w:rPr>
          <w:rFonts w:hint="eastAsia" w:ascii="宋体" w:hAnsi="宋体" w:cs="宋体"/>
          <w:color w:val="auto"/>
          <w:highlight w:val="none"/>
          <w:lang w:val="en-US" w:eastAsia="zh-CN"/>
        </w:rPr>
        <w:t>3</w:t>
      </w:r>
      <w:r>
        <w:rPr>
          <w:rFonts w:hint="eastAsia" w:ascii="宋体" w:hAnsi="宋体" w:cs="宋体"/>
          <w:color w:val="auto"/>
          <w:highlight w:val="none"/>
        </w:rPr>
        <w:t xml:space="preserve"> </w:t>
      </w:r>
      <w:r>
        <w:rPr>
          <w:rFonts w:hint="eastAsia" w:ascii="宋体" w:hAnsi="宋体" w:cs="宋体"/>
          <w:color w:val="auto"/>
          <w:highlight w:val="none"/>
          <w:lang w:val="en-US" w:eastAsia="zh-CN"/>
        </w:rPr>
        <w:t>其他资料：法定代表人身份证明书和授权委托书（如有）；</w:t>
      </w:r>
      <w:r>
        <w:rPr>
          <w:rFonts w:hint="eastAsia" w:ascii="宋体" w:hAnsi="宋体" w:eastAsia="宋体" w:cs="宋体"/>
          <w:color w:val="auto"/>
          <w:highlight w:val="none"/>
          <w:lang w:val="en-US" w:eastAsia="zh-CN"/>
        </w:rPr>
        <w:t>已按规定格式签名盖章《投标人声明》。</w:t>
      </w:r>
    </w:p>
    <w:p w14:paraId="0B848F45">
      <w:pPr>
        <w:pStyle w:val="5"/>
        <w:shd w:val="clear"/>
        <w:ind w:firstLine="137"/>
        <w:rPr>
          <w:rFonts w:hint="eastAsia" w:ascii="宋体" w:hAnsi="宋体" w:cs="宋体"/>
          <w:color w:val="auto"/>
          <w:highlight w:val="none"/>
        </w:rPr>
      </w:pPr>
      <w:bookmarkStart w:id="147" w:name="_Toc492300589"/>
      <w:bookmarkStart w:id="148" w:name="_Toc2894"/>
      <w:r>
        <w:rPr>
          <w:rFonts w:hint="eastAsia" w:ascii="宋体" w:hAnsi="宋体" w:cs="宋体"/>
          <w:color w:val="auto"/>
          <w:highlight w:val="none"/>
        </w:rPr>
        <w:t>3.6 备选投标方案</w:t>
      </w:r>
      <w:bookmarkEnd w:id="147"/>
      <w:bookmarkEnd w:id="148"/>
    </w:p>
    <w:p w14:paraId="7974EB35">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3.6.1除投标人须知前附表规定允许外，投标人不得递交备选投标方案，否则其投标将被否决。</w:t>
      </w:r>
    </w:p>
    <w:p w14:paraId="4009595C">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4A1E6022">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3.6.3投标人提供两个或两个以上投标报价，或者在投标文件中提供一个报价，但同时提供两个或两个以上</w:t>
      </w:r>
      <w:bookmarkStart w:id="149" w:name="_Toc29902"/>
      <w:bookmarkStart w:id="150" w:name="_Toc300834971"/>
      <w:bookmarkStart w:id="151" w:name="_Toc144974518"/>
      <w:bookmarkStart w:id="152" w:name="_Toc247527575"/>
      <w:bookmarkStart w:id="153" w:name="_Toc152042326"/>
      <w:bookmarkStart w:id="154" w:name="_Toc361508607"/>
      <w:bookmarkStart w:id="155" w:name="_Toc384308232"/>
      <w:bookmarkStart w:id="156" w:name="_Toc247513974"/>
      <w:bookmarkStart w:id="157" w:name="_Toc352691495"/>
      <w:bookmarkStart w:id="158" w:name="_Toc369531538"/>
      <w:bookmarkStart w:id="159" w:name="_Toc152045550"/>
      <w:r>
        <w:rPr>
          <w:rFonts w:hint="eastAsia" w:ascii="宋体" w:hAnsi="宋体" w:cs="宋体"/>
          <w:color w:val="auto"/>
          <w:highlight w:val="none"/>
        </w:rPr>
        <w:t>监理方案的</w:t>
      </w:r>
      <w:bookmarkEnd w:id="149"/>
      <w:bookmarkEnd w:id="150"/>
      <w:bookmarkEnd w:id="151"/>
      <w:bookmarkEnd w:id="152"/>
      <w:bookmarkEnd w:id="153"/>
      <w:bookmarkEnd w:id="154"/>
      <w:bookmarkEnd w:id="155"/>
      <w:bookmarkEnd w:id="156"/>
      <w:bookmarkEnd w:id="157"/>
      <w:bookmarkEnd w:id="158"/>
      <w:bookmarkEnd w:id="159"/>
      <w:r>
        <w:rPr>
          <w:rFonts w:hint="eastAsia" w:ascii="宋体" w:hAnsi="宋体" w:cs="宋体"/>
          <w:color w:val="auto"/>
          <w:highlight w:val="none"/>
        </w:rPr>
        <w:t>，视为提供备选方案。</w:t>
      </w:r>
    </w:p>
    <w:p w14:paraId="66B84990">
      <w:pPr>
        <w:pStyle w:val="5"/>
        <w:shd w:val="clear"/>
        <w:ind w:firstLine="137"/>
        <w:rPr>
          <w:rFonts w:hint="eastAsia" w:ascii="宋体" w:hAnsi="宋体" w:cs="宋体"/>
          <w:color w:val="auto"/>
          <w:highlight w:val="none"/>
        </w:rPr>
      </w:pPr>
      <w:bookmarkStart w:id="160" w:name="_Toc492300590"/>
      <w:bookmarkStart w:id="161" w:name="_Toc10156"/>
      <w:r>
        <w:rPr>
          <w:rFonts w:hint="eastAsia" w:ascii="宋体" w:hAnsi="宋体" w:cs="宋体"/>
          <w:color w:val="auto"/>
          <w:highlight w:val="none"/>
        </w:rPr>
        <w:t>3.7 投标文件的编制</w:t>
      </w:r>
      <w:bookmarkEnd w:id="160"/>
      <w:bookmarkEnd w:id="161"/>
    </w:p>
    <w:p w14:paraId="47527D2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607D2F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3.7.2投标文件应当对招标文件有关服务期限、投标有效期、委托人要求、招标范围等实质性内容作出响应。</w:t>
      </w:r>
    </w:p>
    <w:p w14:paraId="3BEE5933">
      <w:pPr>
        <w:shd w:val="clear"/>
        <w:spacing w:line="400" w:lineRule="exact"/>
        <w:ind w:firstLine="420" w:firstLineChars="200"/>
        <w:rPr>
          <w:rFonts w:hint="eastAsia" w:ascii="宋体" w:hAnsi="宋体" w:cs="宋体"/>
          <w:color w:val="auto"/>
          <w:highlight w:val="none"/>
        </w:rPr>
      </w:pPr>
      <w:bookmarkStart w:id="162" w:name="_Toc492300591"/>
      <w:r>
        <w:rPr>
          <w:rFonts w:hint="eastAsia" w:ascii="宋体" w:hAnsi="宋体" w:cs="宋体"/>
          <w:color w:val="auto"/>
          <w:highlight w:val="none"/>
        </w:rPr>
        <w:t>3.7.3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B</w:t>
      </w:r>
      <w:r>
        <w:rPr>
          <w:rFonts w:hint="eastAsia" w:ascii="宋体" w:hAnsi="宋体" w:cs="宋体"/>
          <w:color w:val="auto"/>
          <w:highlight w:val="none"/>
          <w:lang w:eastAsia="zh-CN"/>
        </w:rPr>
        <w:t>）</w:t>
      </w:r>
      <w:r>
        <w:rPr>
          <w:rFonts w:hint="eastAsia" w:ascii="宋体" w:hAnsi="宋体" w:cs="宋体"/>
          <w:color w:val="auto"/>
          <w:highlight w:val="none"/>
        </w:rPr>
        <w:t>投标文件全部采用电子文档，除投标人须知前附表另有规定外，投标文件所附证书证件需为原件清晰扫描件，并采用单位数字证书，按照招标文件要求在相应位置加盖电子印章。取消在招标文件中采用个人数字证书和加盖个人电子印章要求，投标文件中需法定代表人、代理人签字或加盖电子印章的，应手签后扫描上传，对加盖个人电子印章不做要求。投标文件按招标文件要求加盖单位电子印章。具体要求见投标人须知前附表。</w:t>
      </w:r>
    </w:p>
    <w:p w14:paraId="62222DF0">
      <w:pPr>
        <w:pStyle w:val="4"/>
        <w:shd w:val="clear"/>
        <w:spacing w:line="360" w:lineRule="auto"/>
        <w:rPr>
          <w:rFonts w:hint="eastAsia" w:ascii="宋体" w:hAnsi="宋体" w:eastAsia="宋体" w:cs="宋体"/>
          <w:color w:val="auto"/>
          <w:highlight w:val="none"/>
        </w:rPr>
      </w:pPr>
      <w:bookmarkStart w:id="163" w:name="_Toc26293"/>
      <w:r>
        <w:rPr>
          <w:rFonts w:hint="eastAsia" w:ascii="宋体" w:hAnsi="宋体" w:eastAsia="宋体" w:cs="宋体"/>
          <w:color w:val="auto"/>
          <w:highlight w:val="none"/>
        </w:rPr>
        <w:t>4. 投标</w:t>
      </w:r>
      <w:bookmarkEnd w:id="162"/>
      <w:bookmarkEnd w:id="163"/>
    </w:p>
    <w:p w14:paraId="7357C2E4">
      <w:pPr>
        <w:pStyle w:val="5"/>
        <w:shd w:val="clear"/>
        <w:ind w:firstLine="137"/>
        <w:rPr>
          <w:rFonts w:hint="eastAsia" w:ascii="宋体" w:hAnsi="宋体" w:cs="宋体"/>
          <w:color w:val="auto"/>
          <w:highlight w:val="none"/>
        </w:rPr>
      </w:pPr>
      <w:bookmarkStart w:id="164" w:name="_Toc492300592"/>
      <w:bookmarkStart w:id="165" w:name="_Toc10654"/>
      <w:r>
        <w:rPr>
          <w:rFonts w:hint="eastAsia" w:ascii="宋体" w:hAnsi="宋体" w:cs="宋体"/>
          <w:color w:val="auto"/>
          <w:highlight w:val="none"/>
        </w:rPr>
        <w:t>4.1 投标文件的密封和标记</w:t>
      </w:r>
      <w:bookmarkEnd w:id="164"/>
      <w:bookmarkEnd w:id="165"/>
    </w:p>
    <w:p w14:paraId="0D9F04B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4.1.1投标人应当按照招标文件和电子招标投标交易平台的要求加密投标文件，具体要求见投标人须知前附表。</w:t>
      </w:r>
    </w:p>
    <w:p w14:paraId="1D3CE17E">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4.1.2网上递交的电子投标文件须进行加密。</w:t>
      </w:r>
    </w:p>
    <w:p w14:paraId="2061AE3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4.1.3投标文件封套上应写明的内容见投标人须知前附表。</w:t>
      </w:r>
    </w:p>
    <w:p w14:paraId="045F5BFB">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4.1.4未按本章第4.1.1项要求密封的投标文件，招标人将予以拒收。</w:t>
      </w:r>
    </w:p>
    <w:p w14:paraId="5F3FE8C4">
      <w:pPr>
        <w:pStyle w:val="5"/>
        <w:shd w:val="clear"/>
        <w:ind w:firstLine="137"/>
        <w:rPr>
          <w:rFonts w:hint="eastAsia" w:ascii="宋体" w:hAnsi="宋体" w:cs="宋体"/>
          <w:color w:val="auto"/>
          <w:highlight w:val="none"/>
        </w:rPr>
      </w:pPr>
      <w:bookmarkStart w:id="166" w:name="_Toc27529"/>
      <w:bookmarkStart w:id="167" w:name="_Toc492300593"/>
      <w:r>
        <w:rPr>
          <w:rFonts w:hint="eastAsia" w:ascii="宋体" w:hAnsi="宋体" w:cs="宋体"/>
          <w:color w:val="auto"/>
          <w:highlight w:val="none"/>
        </w:rPr>
        <w:t>4.2 投标文件的递交</w:t>
      </w:r>
      <w:bookmarkEnd w:id="166"/>
      <w:bookmarkEnd w:id="167"/>
    </w:p>
    <w:p w14:paraId="4971C3B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4.2.1投标人应在投标人须知前附表规定的投标截止时间前递交投标文件。</w:t>
      </w:r>
    </w:p>
    <w:p w14:paraId="3135DB59">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4.2.2</w:t>
      </w:r>
      <w:r>
        <w:rPr>
          <w:rFonts w:hint="eastAsia" w:ascii="宋体" w:hAnsi="宋体" w:cs="宋体"/>
          <w:bCs/>
          <w:iCs/>
          <w:color w:val="auto"/>
          <w:highlight w:val="none"/>
        </w:rPr>
        <w:t>投标人通过下载招标文件的电子招标投标交易平台递交电子投标文件。</w:t>
      </w:r>
    </w:p>
    <w:p w14:paraId="632FEE51">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4.2.3除投标人须知前附表另有规定外，投标人所递交的投标文件不予退还。</w:t>
      </w:r>
    </w:p>
    <w:p w14:paraId="609FA823">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4.2.4投标人完成电子投标文件上传后，</w:t>
      </w:r>
      <w:r>
        <w:rPr>
          <w:rFonts w:hint="eastAsia" w:ascii="宋体" w:hAnsi="宋体" w:cs="宋体"/>
          <w:bCs/>
          <w:iCs/>
          <w:color w:val="auto"/>
          <w:highlight w:val="none"/>
        </w:rPr>
        <w:t>电子招标投标交易平台</w:t>
      </w:r>
      <w:r>
        <w:rPr>
          <w:rFonts w:hint="eastAsia" w:ascii="宋体" w:hAnsi="宋体" w:cs="宋体"/>
          <w:color w:val="auto"/>
          <w:highlight w:val="none"/>
        </w:rPr>
        <w:t>即时向投标人发出递交回执通知。递交时间以递交回执通知载明的传输完成时间为准。</w:t>
      </w:r>
    </w:p>
    <w:p w14:paraId="1C427E63">
      <w:pPr>
        <w:shd w:val="clea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4.2.5 逾期送达的投标文件，电子招标投标交易平台将予以拒收。</w:t>
      </w:r>
    </w:p>
    <w:p w14:paraId="460D240C">
      <w:pPr>
        <w:shd w:val="clear"/>
        <w:spacing w:line="360" w:lineRule="auto"/>
        <w:ind w:firstLine="420" w:firstLineChars="200"/>
        <w:rPr>
          <w:rFonts w:hint="eastAsia" w:ascii="宋体" w:hAnsi="宋体" w:cs="宋体"/>
          <w:color w:val="auto"/>
          <w:highlight w:val="none"/>
        </w:rPr>
      </w:pPr>
    </w:p>
    <w:p w14:paraId="1AFC8598">
      <w:pPr>
        <w:pStyle w:val="5"/>
        <w:shd w:val="clear"/>
        <w:ind w:firstLine="137"/>
        <w:rPr>
          <w:rFonts w:hint="eastAsia" w:ascii="宋体" w:hAnsi="宋体" w:cs="宋体"/>
          <w:color w:val="auto"/>
          <w:highlight w:val="none"/>
        </w:rPr>
      </w:pPr>
      <w:bookmarkStart w:id="168" w:name="_Toc9668"/>
      <w:bookmarkStart w:id="169" w:name="_Toc492300594"/>
      <w:r>
        <w:rPr>
          <w:rFonts w:hint="eastAsia" w:ascii="宋体" w:hAnsi="宋体" w:cs="宋体"/>
          <w:color w:val="auto"/>
          <w:highlight w:val="none"/>
        </w:rPr>
        <w:t>4.3 投标文件的修改与撤回</w:t>
      </w:r>
      <w:bookmarkEnd w:id="168"/>
      <w:bookmarkEnd w:id="169"/>
    </w:p>
    <w:p w14:paraId="03E1B38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4.3.1在本章第4.2.1项规定的投标截止时间前，投标人可以修改或撤回已递交的投标文件，但应以书面形式通知招标人。</w:t>
      </w:r>
    </w:p>
    <w:p w14:paraId="799B90C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4.3.2投标人修改或撤回已递交投标文件的通知，应按照本章第3.7.3</w:t>
      </w:r>
      <w:r>
        <w:rPr>
          <w:rFonts w:hint="eastAsia" w:ascii="宋体" w:hAnsi="宋体" w:cs="宋体"/>
          <w:strike w:val="0"/>
          <w:dstrike w:val="0"/>
          <w:color w:val="auto"/>
          <w:highlight w:val="none"/>
        </w:rPr>
        <w:t>（B）</w:t>
      </w:r>
      <w:r>
        <w:rPr>
          <w:rFonts w:hint="eastAsia" w:ascii="宋体" w:hAnsi="宋体" w:cs="宋体"/>
          <w:color w:val="auto"/>
          <w:highlight w:val="none"/>
        </w:rPr>
        <w:t>项的要求加盖电子印章。</w:t>
      </w:r>
      <w:r>
        <w:rPr>
          <w:rFonts w:hint="eastAsia" w:ascii="宋体" w:hAnsi="宋体" w:cs="宋体"/>
          <w:bCs/>
          <w:iCs/>
          <w:color w:val="auto"/>
          <w:highlight w:val="none"/>
        </w:rPr>
        <w:t>电子招标投标交易平台收到通知后，</w:t>
      </w:r>
      <w:r>
        <w:rPr>
          <w:rFonts w:hint="eastAsia" w:ascii="宋体" w:hAnsi="宋体" w:cs="宋体"/>
          <w:color w:val="auto"/>
          <w:highlight w:val="none"/>
        </w:rPr>
        <w:t>即时向投标人发出确认回执通知。</w:t>
      </w:r>
    </w:p>
    <w:p w14:paraId="328CA2DD">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4.3.</w:t>
      </w:r>
      <w:bookmarkStart w:id="170" w:name="_Toc369531541"/>
      <w:bookmarkStart w:id="171" w:name="_Toc361508610"/>
      <w:bookmarkStart w:id="172" w:name="_Toc19203"/>
      <w:bookmarkStart w:id="173" w:name="_Toc152045553"/>
      <w:bookmarkStart w:id="174" w:name="_Toc352691497"/>
      <w:bookmarkStart w:id="175" w:name="_Toc247513977"/>
      <w:bookmarkStart w:id="176" w:name="_Toc152042329"/>
      <w:bookmarkStart w:id="177" w:name="_Toc384308235"/>
      <w:bookmarkStart w:id="178" w:name="_Toc300834974"/>
      <w:bookmarkStart w:id="179" w:name="_Toc247527578"/>
      <w:bookmarkStart w:id="180" w:name="_Toc144974521"/>
      <w:r>
        <w:rPr>
          <w:rFonts w:hint="eastAsia" w:ascii="宋体" w:hAnsi="宋体" w:cs="宋体"/>
          <w:color w:val="auto"/>
          <w:highlight w:val="none"/>
          <w:lang w:val="en-US" w:eastAsia="zh-CN"/>
        </w:rPr>
        <w:t>3</w:t>
      </w:r>
      <w:r>
        <w:rPr>
          <w:rFonts w:hint="eastAsia" w:ascii="宋体" w:hAnsi="宋体" w:cs="宋体"/>
          <w:color w:val="auto"/>
          <w:highlight w:val="none"/>
        </w:rPr>
        <w:t>修改的内容为投标</w:t>
      </w:r>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color w:val="auto"/>
          <w:highlight w:val="none"/>
        </w:rPr>
        <w:t>文件的组成部分。修改的投标文件应按照本章第3条、第4条的规定进行编制、密封、标记和递交，并标明“修改”字样。</w:t>
      </w:r>
    </w:p>
    <w:p w14:paraId="0AA08834">
      <w:pPr>
        <w:pStyle w:val="4"/>
        <w:shd w:val="clear"/>
        <w:spacing w:line="360" w:lineRule="auto"/>
        <w:rPr>
          <w:rFonts w:hint="eastAsia" w:ascii="宋体" w:hAnsi="宋体" w:eastAsia="宋体" w:cs="宋体"/>
          <w:color w:val="auto"/>
          <w:highlight w:val="none"/>
        </w:rPr>
      </w:pPr>
      <w:bookmarkStart w:id="181" w:name="_Toc492300595"/>
      <w:bookmarkStart w:id="182" w:name="_Toc22355"/>
      <w:r>
        <w:rPr>
          <w:rFonts w:hint="eastAsia" w:ascii="宋体" w:hAnsi="宋体" w:eastAsia="宋体" w:cs="宋体"/>
          <w:color w:val="auto"/>
          <w:highlight w:val="none"/>
        </w:rPr>
        <w:t>5. 开标</w:t>
      </w:r>
      <w:bookmarkEnd w:id="181"/>
      <w:bookmarkEnd w:id="182"/>
    </w:p>
    <w:p w14:paraId="765F9413">
      <w:pPr>
        <w:pStyle w:val="5"/>
        <w:shd w:val="clear"/>
        <w:ind w:firstLine="137"/>
        <w:rPr>
          <w:rFonts w:hint="eastAsia" w:ascii="宋体" w:hAnsi="宋体" w:cs="宋体"/>
          <w:color w:val="auto"/>
          <w:highlight w:val="none"/>
        </w:rPr>
      </w:pPr>
      <w:bookmarkStart w:id="183" w:name="_Toc492300597"/>
      <w:bookmarkStart w:id="184" w:name="_Toc16724"/>
      <w:r>
        <w:rPr>
          <w:rFonts w:hint="eastAsia" w:ascii="宋体" w:hAnsi="宋体" w:cs="宋体"/>
          <w:color w:val="auto"/>
          <w:highlight w:val="none"/>
        </w:rPr>
        <w:t>5.1 开标时间和地点</w:t>
      </w:r>
      <w:bookmarkEnd w:id="183"/>
      <w:bookmarkEnd w:id="184"/>
    </w:p>
    <w:p w14:paraId="6C472CC3">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招标人在本章第4.2.1项规定的投标截止时间（开标时间）,通过电子招标投标交易平台公开开标</w:t>
      </w:r>
      <w:r>
        <w:rPr>
          <w:rFonts w:hint="eastAsia" w:ascii="宋体" w:hAnsi="宋体" w:cs="宋体"/>
          <w:color w:val="auto"/>
          <w:kern w:val="21"/>
          <w:highlight w:val="none"/>
        </w:rPr>
        <w:t>，</w:t>
      </w:r>
      <w:r>
        <w:rPr>
          <w:rFonts w:hint="eastAsia" w:ascii="宋体" w:hAnsi="宋体" w:cs="宋体"/>
          <w:color w:val="auto"/>
          <w:kern w:val="21"/>
          <w:highlight w:val="none"/>
          <w:u w:val="single"/>
        </w:rPr>
        <w:t>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p w14:paraId="7D162EFF">
      <w:pPr>
        <w:pStyle w:val="5"/>
        <w:shd w:val="clear"/>
        <w:ind w:firstLine="137"/>
        <w:rPr>
          <w:rFonts w:hint="eastAsia" w:ascii="宋体" w:hAnsi="宋体" w:cs="宋体"/>
          <w:color w:val="auto"/>
          <w:highlight w:val="none"/>
        </w:rPr>
      </w:pPr>
      <w:bookmarkStart w:id="185" w:name="_Toc26874"/>
      <w:bookmarkStart w:id="186" w:name="_Toc492300598"/>
      <w:r>
        <w:rPr>
          <w:rFonts w:hint="eastAsia" w:ascii="宋体" w:hAnsi="宋体" w:cs="宋体"/>
          <w:color w:val="auto"/>
          <w:highlight w:val="none"/>
        </w:rPr>
        <w:t>5.2 开标程序</w:t>
      </w:r>
      <w:bookmarkEnd w:id="185"/>
      <w:bookmarkEnd w:id="186"/>
    </w:p>
    <w:p w14:paraId="30B715A9">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主持人按下列程序进行开标：</w:t>
      </w:r>
    </w:p>
    <w:p w14:paraId="0D71906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14:paraId="356D219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（2）宣布开标人、唱标人、记录人、监标人等有关人员姓名；</w:t>
      </w:r>
    </w:p>
    <w:p w14:paraId="0B9FB206">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（3）投标人登录交易平台-数字开标系统，对已递交的电子投标文件进行解密，所有投标人需要在招标时设定的投标文件解密截止时间内进行解密，投标文件解密截止时间后不能再进行解密操作；</w:t>
      </w:r>
    </w:p>
    <w:p w14:paraId="6B4575F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所有投标人都已解密完成，或到了投标文件解密截止时间后，招标代理（招标人）可进行“招标人解密操作”，解密操作同样需要进行CA验证；</w:t>
      </w:r>
    </w:p>
    <w:p w14:paraId="07C3CD3E">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投标人、招标代理（招标人）完成解密后，招标代理开启电子唱标，公布招标项目名称、投标人名称、投标报价、服务期限及其他内容，并记录在案；</w:t>
      </w:r>
    </w:p>
    <w:p w14:paraId="4F2307D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唱标结束后，招标代理须开启“开始异议”，开启后，投标人若需要提问的可在15分钟内进行提问，招标代理（招标人）需要回答所有的投标人提问或等待15分钟才能结束异议，若所有投标人都回复了“无异议”，招标代理（招标人）可提前结束异议；投标人未参加开标或在规定的时间内未提出异议的，视为对开标无异议。</w:t>
      </w:r>
    </w:p>
    <w:p w14:paraId="742CD3C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）唱标环节结束后，招标代理、投标人都可以同时查看到“开标报表”；投标人代表、招标人代表、监标人、记录人等有关人员在开标记录上签名确认；若有关人员不签名的，不影响开标程序；</w:t>
      </w:r>
    </w:p>
    <w:p w14:paraId="64B7E5E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）开标结束。</w:t>
      </w:r>
    </w:p>
    <w:p w14:paraId="61F335BF">
      <w:pPr>
        <w:pStyle w:val="5"/>
        <w:shd w:val="clear"/>
        <w:ind w:firstLine="137"/>
        <w:rPr>
          <w:rFonts w:hint="eastAsia" w:ascii="宋体" w:hAnsi="宋体" w:cs="宋体"/>
          <w:color w:val="auto"/>
          <w:highlight w:val="none"/>
        </w:rPr>
      </w:pPr>
      <w:bookmarkStart w:id="187" w:name="_Toc492300599"/>
      <w:bookmarkStart w:id="188" w:name="_Toc23544"/>
      <w:r>
        <w:rPr>
          <w:rFonts w:hint="eastAsia" w:ascii="宋体" w:hAnsi="宋体" w:cs="宋体"/>
          <w:color w:val="auto"/>
          <w:highlight w:val="none"/>
        </w:rPr>
        <w:t>5.3 开标异议</w:t>
      </w:r>
      <w:bookmarkEnd w:id="187"/>
      <w:bookmarkEnd w:id="188"/>
    </w:p>
    <w:p w14:paraId="64128AC3">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投标人对开标有异议的，应当在开标现场提出，招标人当场作出答复，并制作记录。</w:t>
      </w:r>
    </w:p>
    <w:p w14:paraId="5ECE2E0E">
      <w:pPr>
        <w:shd w:val="clea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u w:val="none"/>
          <w:lang w:bidi="ar"/>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1713543">
      <w:pPr>
        <w:pStyle w:val="4"/>
        <w:shd w:val="clear"/>
        <w:spacing w:line="360" w:lineRule="auto"/>
        <w:rPr>
          <w:rFonts w:hint="eastAsia" w:ascii="宋体" w:hAnsi="宋体" w:eastAsia="宋体" w:cs="宋体"/>
          <w:color w:val="auto"/>
          <w:highlight w:val="none"/>
        </w:rPr>
      </w:pPr>
      <w:bookmarkStart w:id="189" w:name="_Toc492300600"/>
      <w:bookmarkStart w:id="190" w:name="_Toc13401"/>
      <w:r>
        <w:rPr>
          <w:rFonts w:hint="eastAsia" w:ascii="宋体" w:hAnsi="宋体" w:eastAsia="宋体" w:cs="宋体"/>
          <w:color w:val="auto"/>
          <w:highlight w:val="none"/>
        </w:rPr>
        <w:t>6. 评标</w:t>
      </w:r>
      <w:bookmarkEnd w:id="189"/>
      <w:bookmarkEnd w:id="190"/>
    </w:p>
    <w:p w14:paraId="6ABEF175">
      <w:pPr>
        <w:pStyle w:val="5"/>
        <w:shd w:val="clear"/>
        <w:ind w:firstLine="137"/>
        <w:rPr>
          <w:rFonts w:hint="eastAsia" w:ascii="宋体" w:hAnsi="宋体" w:cs="宋体"/>
          <w:color w:val="auto"/>
          <w:highlight w:val="none"/>
        </w:rPr>
      </w:pPr>
      <w:bookmarkStart w:id="191" w:name="_Toc492300601"/>
      <w:bookmarkStart w:id="192" w:name="_Toc2455"/>
      <w:r>
        <w:rPr>
          <w:rFonts w:hint="eastAsia" w:ascii="宋体" w:hAnsi="宋体" w:cs="宋体"/>
          <w:color w:val="auto"/>
          <w:highlight w:val="none"/>
        </w:rPr>
        <w:t>6.1 评标委员会</w:t>
      </w:r>
      <w:bookmarkEnd w:id="191"/>
      <w:bookmarkEnd w:id="192"/>
    </w:p>
    <w:p w14:paraId="6B6B3A8C">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9E096F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6.1.2评标委员会成员有下列情形之一的，应当回避：</w:t>
      </w:r>
    </w:p>
    <w:p w14:paraId="49EF3898">
      <w:pPr>
        <w:shd w:val="clear"/>
        <w:spacing w:line="360" w:lineRule="auto"/>
        <w:ind w:firstLine="718" w:firstLineChars="342"/>
        <w:rPr>
          <w:rFonts w:hint="eastAsia" w:ascii="宋体" w:hAnsi="宋体" w:cs="宋体"/>
          <w:color w:val="auto"/>
          <w:highlight w:val="none"/>
        </w:rPr>
      </w:pPr>
      <w:r>
        <w:rPr>
          <w:rFonts w:hint="eastAsia" w:ascii="宋体" w:hAnsi="宋体" w:cs="宋体"/>
          <w:color w:val="auto"/>
          <w:highlight w:val="none"/>
        </w:rPr>
        <w:t>（1）投标人或投标人主要负责人的近亲属；</w:t>
      </w:r>
    </w:p>
    <w:p w14:paraId="29AE7CAE">
      <w:pPr>
        <w:shd w:val="clear"/>
        <w:spacing w:line="360" w:lineRule="auto"/>
        <w:ind w:firstLine="718" w:firstLineChars="342"/>
        <w:rPr>
          <w:rFonts w:hint="eastAsia" w:ascii="宋体" w:hAnsi="宋体" w:cs="宋体"/>
          <w:color w:val="auto"/>
          <w:highlight w:val="none"/>
        </w:rPr>
      </w:pPr>
      <w:r>
        <w:rPr>
          <w:rFonts w:hint="eastAsia" w:ascii="宋体" w:hAnsi="宋体" w:cs="宋体"/>
          <w:color w:val="auto"/>
          <w:highlight w:val="none"/>
        </w:rPr>
        <w:t>（2）项目主管部门或者行政监督部门的人员；</w:t>
      </w:r>
    </w:p>
    <w:p w14:paraId="303C1FA7">
      <w:pPr>
        <w:shd w:val="clear"/>
        <w:spacing w:line="360" w:lineRule="auto"/>
        <w:ind w:firstLine="718" w:firstLineChars="342"/>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14:paraId="7B7C1647">
      <w:pPr>
        <w:shd w:val="clear"/>
        <w:spacing w:line="360" w:lineRule="auto"/>
        <w:ind w:firstLine="718" w:firstLineChars="342"/>
        <w:rPr>
          <w:rFonts w:hint="eastAsia" w:ascii="宋体" w:hAnsi="宋体" w:cs="宋体"/>
          <w:color w:val="auto"/>
          <w:highlight w:val="none"/>
        </w:rPr>
      </w:pPr>
      <w:r>
        <w:rPr>
          <w:rFonts w:hint="eastAsia" w:ascii="宋体" w:hAnsi="宋体" w:cs="宋体"/>
          <w:color w:val="auto"/>
          <w:highlight w:val="none"/>
        </w:rPr>
        <w:t>（4）曾因在招标、评</w:t>
      </w:r>
      <w:bookmarkStart w:id="193" w:name="_Toc152045555"/>
      <w:bookmarkStart w:id="194" w:name="_Toc152042331"/>
      <w:bookmarkStart w:id="195" w:name="_Toc6230"/>
      <w:bookmarkStart w:id="196" w:name="_Toc247513979"/>
      <w:bookmarkStart w:id="197" w:name="_Toc384308237"/>
      <w:bookmarkStart w:id="198" w:name="_Toc369531543"/>
      <w:bookmarkStart w:id="199" w:name="_Toc247527580"/>
      <w:bookmarkStart w:id="200" w:name="_Toc144974523"/>
      <w:bookmarkStart w:id="201" w:name="_Toc352691499"/>
      <w:bookmarkStart w:id="202" w:name="_Toc300834976"/>
      <w:bookmarkStart w:id="203" w:name="_Toc361508612"/>
      <w:r>
        <w:rPr>
          <w:rFonts w:hint="eastAsia" w:ascii="宋体" w:hAnsi="宋体" w:cs="宋体"/>
          <w:color w:val="auto"/>
          <w:highlight w:val="none"/>
        </w:rPr>
        <w:t>标以及其他</w:t>
      </w:r>
      <w:bookmarkEnd w:id="193"/>
      <w:bookmarkEnd w:id="194"/>
      <w:bookmarkEnd w:id="195"/>
      <w:bookmarkEnd w:id="196"/>
      <w:bookmarkEnd w:id="197"/>
      <w:bookmarkEnd w:id="198"/>
      <w:bookmarkEnd w:id="199"/>
      <w:bookmarkEnd w:id="200"/>
      <w:bookmarkEnd w:id="201"/>
      <w:bookmarkEnd w:id="202"/>
      <w:bookmarkEnd w:id="203"/>
      <w:r>
        <w:rPr>
          <w:rFonts w:hint="eastAsia" w:ascii="宋体" w:hAnsi="宋体" w:cs="宋体"/>
          <w:color w:val="auto"/>
          <w:highlight w:val="none"/>
        </w:rPr>
        <w:t>与</w:t>
      </w:r>
      <w:bookmarkStart w:id="204" w:name="_Toc384308238"/>
      <w:bookmarkStart w:id="205" w:name="_Toc17703"/>
      <w:bookmarkStart w:id="206" w:name="_Toc247513980"/>
      <w:bookmarkStart w:id="207" w:name="_Toc247527581"/>
      <w:bookmarkStart w:id="208" w:name="_Toc369531544"/>
      <w:bookmarkStart w:id="209" w:name="_Toc152042332"/>
      <w:bookmarkStart w:id="210" w:name="_Toc361508613"/>
      <w:bookmarkStart w:id="211" w:name="_Toc352691500"/>
      <w:bookmarkStart w:id="212" w:name="_Toc300834977"/>
      <w:bookmarkStart w:id="213" w:name="_Toc144974524"/>
      <w:bookmarkStart w:id="214" w:name="_Toc152045556"/>
      <w:r>
        <w:rPr>
          <w:rFonts w:hint="eastAsia" w:ascii="宋体" w:hAnsi="宋体" w:cs="宋体"/>
          <w:color w:val="auto"/>
          <w:highlight w:val="none"/>
        </w:rPr>
        <w:t>招标投标有关活动中从事违法行</w:t>
      </w:r>
      <w:bookmarkEnd w:id="204"/>
      <w:bookmarkEnd w:id="205"/>
      <w:bookmarkEnd w:id="206"/>
      <w:bookmarkEnd w:id="207"/>
      <w:bookmarkEnd w:id="208"/>
      <w:bookmarkEnd w:id="209"/>
      <w:bookmarkEnd w:id="210"/>
      <w:bookmarkEnd w:id="211"/>
      <w:bookmarkEnd w:id="212"/>
      <w:bookmarkEnd w:id="213"/>
      <w:bookmarkEnd w:id="214"/>
      <w:r>
        <w:rPr>
          <w:rFonts w:hint="eastAsia" w:ascii="宋体" w:hAnsi="宋体" w:cs="宋体"/>
          <w:color w:val="auto"/>
          <w:highlight w:val="none"/>
        </w:rPr>
        <w:t>为而受过行政处罚或刑事处罚的；</w:t>
      </w:r>
    </w:p>
    <w:p w14:paraId="66EFB8F0">
      <w:pPr>
        <w:shd w:val="clear"/>
        <w:spacing w:line="360" w:lineRule="auto"/>
        <w:ind w:firstLine="718" w:firstLineChars="342"/>
        <w:rPr>
          <w:rFonts w:hint="eastAsia" w:ascii="宋体" w:hAnsi="宋体" w:cs="宋体"/>
          <w:color w:val="auto"/>
          <w:highlight w:val="none"/>
        </w:rPr>
      </w:pPr>
      <w:r>
        <w:rPr>
          <w:rFonts w:hint="eastAsia" w:ascii="宋体" w:hAnsi="宋体" w:cs="宋体"/>
          <w:color w:val="auto"/>
          <w:highlight w:val="none"/>
        </w:rPr>
        <w:t>（5）与投标人有其他利害关系。</w:t>
      </w:r>
    </w:p>
    <w:p w14:paraId="2C69096D">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14:paraId="58410AAC">
      <w:pPr>
        <w:pStyle w:val="5"/>
        <w:shd w:val="clear"/>
        <w:ind w:firstLine="137"/>
        <w:rPr>
          <w:rFonts w:hint="eastAsia" w:ascii="宋体" w:hAnsi="宋体" w:cs="宋体"/>
          <w:color w:val="auto"/>
          <w:highlight w:val="none"/>
        </w:rPr>
      </w:pPr>
      <w:bookmarkStart w:id="215" w:name="_Toc492300602"/>
      <w:bookmarkStart w:id="216" w:name="_Toc22374"/>
      <w:r>
        <w:rPr>
          <w:rFonts w:hint="eastAsia" w:ascii="宋体" w:hAnsi="宋体" w:cs="宋体"/>
          <w:color w:val="auto"/>
          <w:highlight w:val="none"/>
        </w:rPr>
        <w:t>6.2 评标原则</w:t>
      </w:r>
      <w:bookmarkEnd w:id="215"/>
      <w:bookmarkEnd w:id="216"/>
    </w:p>
    <w:p w14:paraId="563135F8">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评标活动遵循公平、公正、科学和择优的原</w:t>
      </w:r>
      <w:bookmarkStart w:id="217" w:name="_Toc144974525"/>
      <w:bookmarkStart w:id="218" w:name="_Toc247527582"/>
      <w:bookmarkStart w:id="219" w:name="_Toc361508614"/>
      <w:bookmarkStart w:id="220" w:name="_Toc152045557"/>
      <w:bookmarkStart w:id="221" w:name="_Toc247513981"/>
      <w:bookmarkStart w:id="222" w:name="_Toc18949"/>
      <w:bookmarkStart w:id="223" w:name="_Toc384308239"/>
      <w:bookmarkStart w:id="224" w:name="_Toc352691501"/>
      <w:bookmarkStart w:id="225" w:name="_Toc300834978"/>
      <w:bookmarkStart w:id="226" w:name="_Toc152042333"/>
      <w:bookmarkStart w:id="227" w:name="_Toc369531545"/>
      <w:r>
        <w:rPr>
          <w:rFonts w:hint="eastAsia" w:ascii="宋体" w:hAnsi="宋体" w:cs="宋体"/>
          <w:color w:val="auto"/>
          <w:highlight w:val="none"/>
        </w:rPr>
        <w:t>则。</w:t>
      </w:r>
    </w:p>
    <w:p w14:paraId="6AE44097">
      <w:pPr>
        <w:pStyle w:val="5"/>
        <w:shd w:val="clear"/>
        <w:ind w:firstLine="137"/>
        <w:rPr>
          <w:rFonts w:hint="eastAsia" w:ascii="宋体" w:hAnsi="宋体" w:cs="宋体"/>
          <w:color w:val="auto"/>
          <w:highlight w:val="none"/>
        </w:rPr>
      </w:pPr>
      <w:bookmarkStart w:id="228" w:name="_Toc2895"/>
      <w:bookmarkStart w:id="229" w:name="_Toc492300603"/>
      <w:r>
        <w:rPr>
          <w:rFonts w:hint="eastAsia" w:ascii="宋体" w:hAnsi="宋体" w:cs="宋体"/>
          <w:color w:val="auto"/>
          <w:highlight w:val="none"/>
        </w:rPr>
        <w:t>6.3 评标</w:t>
      </w:r>
      <w:bookmarkEnd w:id="228"/>
      <w:bookmarkEnd w:id="229"/>
    </w:p>
    <w:p w14:paraId="4BEA8316">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bookmarkEnd w:id="217"/>
      <w:bookmarkEnd w:id="218"/>
      <w:bookmarkEnd w:id="219"/>
      <w:bookmarkEnd w:id="220"/>
      <w:bookmarkEnd w:id="221"/>
      <w:bookmarkEnd w:id="222"/>
      <w:bookmarkEnd w:id="223"/>
      <w:bookmarkEnd w:id="224"/>
      <w:bookmarkEnd w:id="225"/>
      <w:bookmarkEnd w:id="226"/>
      <w:bookmarkEnd w:id="227"/>
      <w:r>
        <w:rPr>
          <w:rFonts w:hint="eastAsia" w:ascii="宋体" w:hAnsi="宋体" w:cs="宋体"/>
          <w:color w:val="auto"/>
          <w:highlight w:val="none"/>
        </w:rPr>
        <w:t>.3.1评标委员会按照第三章“评标办法”规定的方法、评审因素、标准和程序对投标文件进行评审。第三章“评标办法”没有规定的方法、评审因素和标准，不作为评标依据。</w:t>
      </w:r>
    </w:p>
    <w:p w14:paraId="71037F07">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6.3.2评标完成后，评标委员会应当向招标人提交书面评标报告和中标候选人名单。评标委员会推荐中标</w:t>
      </w:r>
      <w:bookmarkStart w:id="230" w:name="_Toc300834979"/>
      <w:bookmarkStart w:id="231" w:name="_Toc152042334"/>
      <w:bookmarkStart w:id="232" w:name="_Toc247513982"/>
      <w:bookmarkStart w:id="233" w:name="_Toc152045558"/>
      <w:bookmarkStart w:id="234" w:name="_Toc369531546"/>
      <w:bookmarkStart w:id="235" w:name="_Toc247527583"/>
      <w:bookmarkStart w:id="236" w:name="_Toc352691502"/>
      <w:bookmarkStart w:id="237" w:name="_Toc384308240"/>
      <w:bookmarkStart w:id="238" w:name="_Toc361508615"/>
      <w:bookmarkStart w:id="239" w:name="_Toc12259"/>
      <w:bookmarkStart w:id="240" w:name="_Toc144974526"/>
      <w:r>
        <w:rPr>
          <w:rFonts w:hint="eastAsia" w:ascii="宋体" w:hAnsi="宋体" w:cs="宋体"/>
          <w:color w:val="auto"/>
          <w:highlight w:val="none"/>
        </w:rPr>
        <w:t>候选人的人数见投标人须知前附</w:t>
      </w:r>
      <w:bookmarkEnd w:id="230"/>
      <w:bookmarkEnd w:id="231"/>
      <w:bookmarkEnd w:id="232"/>
      <w:bookmarkEnd w:id="233"/>
      <w:bookmarkEnd w:id="234"/>
      <w:bookmarkEnd w:id="235"/>
      <w:bookmarkEnd w:id="236"/>
      <w:bookmarkEnd w:id="237"/>
      <w:bookmarkEnd w:id="238"/>
      <w:bookmarkEnd w:id="239"/>
      <w:bookmarkEnd w:id="240"/>
      <w:r>
        <w:rPr>
          <w:rFonts w:hint="eastAsia" w:ascii="宋体" w:hAnsi="宋体" w:cs="宋体"/>
          <w:color w:val="auto"/>
          <w:highlight w:val="none"/>
        </w:rPr>
        <w:t>表。</w:t>
      </w:r>
    </w:p>
    <w:p w14:paraId="718E01FB">
      <w:pPr>
        <w:pStyle w:val="4"/>
        <w:shd w:val="clear"/>
        <w:spacing w:line="360" w:lineRule="auto"/>
        <w:rPr>
          <w:rFonts w:hint="eastAsia" w:ascii="宋体" w:hAnsi="宋体" w:eastAsia="宋体" w:cs="宋体"/>
          <w:color w:val="auto"/>
          <w:highlight w:val="none"/>
        </w:rPr>
      </w:pPr>
      <w:bookmarkStart w:id="241" w:name="_Toc17859"/>
      <w:bookmarkStart w:id="242" w:name="_Toc492300604"/>
      <w:r>
        <w:rPr>
          <w:rFonts w:hint="eastAsia" w:ascii="宋体" w:hAnsi="宋体" w:eastAsia="宋体" w:cs="宋体"/>
          <w:color w:val="auto"/>
          <w:highlight w:val="none"/>
        </w:rPr>
        <w:t>7. 合同授予</w:t>
      </w:r>
      <w:bookmarkEnd w:id="241"/>
      <w:bookmarkEnd w:id="242"/>
    </w:p>
    <w:p w14:paraId="3424C543">
      <w:pPr>
        <w:pStyle w:val="5"/>
        <w:shd w:val="clear"/>
        <w:ind w:firstLine="137"/>
        <w:rPr>
          <w:rFonts w:hint="eastAsia" w:ascii="宋体" w:hAnsi="宋体" w:cs="宋体"/>
          <w:color w:val="auto"/>
          <w:highlight w:val="none"/>
        </w:rPr>
      </w:pPr>
      <w:bookmarkStart w:id="243" w:name="_Toc18765"/>
      <w:bookmarkStart w:id="244" w:name="_Toc492300605"/>
      <w:r>
        <w:rPr>
          <w:rFonts w:hint="eastAsia" w:ascii="宋体" w:hAnsi="宋体" w:cs="宋体"/>
          <w:color w:val="auto"/>
          <w:highlight w:val="none"/>
        </w:rPr>
        <w:t>7.1 中标候选人公示</w:t>
      </w:r>
      <w:bookmarkEnd w:id="243"/>
      <w:bookmarkEnd w:id="244"/>
    </w:p>
    <w:p w14:paraId="640D637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招标人在收到评标报告之日起3日内，按照投标人须知前附表规定的公示媒介和期限公示中标候选人，公示期不得少于3天。</w:t>
      </w:r>
    </w:p>
    <w:p w14:paraId="15985D4C">
      <w:pPr>
        <w:pStyle w:val="5"/>
        <w:shd w:val="clear"/>
        <w:ind w:firstLine="137"/>
        <w:rPr>
          <w:rFonts w:hint="eastAsia" w:ascii="宋体" w:hAnsi="宋体" w:cs="宋体"/>
          <w:color w:val="auto"/>
          <w:highlight w:val="none"/>
        </w:rPr>
      </w:pPr>
      <w:bookmarkStart w:id="245" w:name="_Toc17841"/>
      <w:bookmarkStart w:id="246" w:name="_Toc492300606"/>
      <w:r>
        <w:rPr>
          <w:rFonts w:hint="eastAsia" w:ascii="宋体" w:hAnsi="宋体" w:cs="宋体"/>
          <w:color w:val="auto"/>
          <w:highlight w:val="none"/>
        </w:rPr>
        <w:t>7.2 评标结果异议</w:t>
      </w:r>
      <w:bookmarkEnd w:id="245"/>
      <w:bookmarkEnd w:id="246"/>
    </w:p>
    <w:p w14:paraId="76EA790D">
      <w:pPr>
        <w:shd w:val="clear"/>
        <w:spacing w:line="360" w:lineRule="auto"/>
        <w:ind w:firstLine="420" w:firstLineChars="200"/>
        <w:rPr>
          <w:rFonts w:hint="eastAsia" w:ascii="宋体" w:hAnsi="宋体" w:cs="宋体"/>
          <w:color w:val="auto"/>
          <w:highlight w:val="none"/>
        </w:rPr>
      </w:pPr>
      <w:r>
        <w:rPr>
          <w:rFonts w:hint="default" w:ascii="Arial" w:hAnsi="Arial" w:cs="Arial"/>
          <w:color w:val="auto"/>
          <w:highlight w:val="none"/>
          <w:u w:val="single"/>
          <w:lang w:bidi="ar"/>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w:t>
      </w:r>
      <w:r>
        <w:rPr>
          <w:rFonts w:hint="default" w:ascii="Times New Roman" w:hAnsi="Times New Roman" w:cs="Times New Roman"/>
          <w:color w:val="auto"/>
          <w:highlight w:val="none"/>
          <w:u w:val="single"/>
          <w:lang w:bidi="ar"/>
        </w:rPr>
        <w:t xml:space="preserve"> </w:t>
      </w:r>
      <w:r>
        <w:rPr>
          <w:rFonts w:hint="default" w:ascii="Times New Roman" w:hAnsi="Times New Roman" w:cs="Times New Roman"/>
          <w:color w:val="auto"/>
          <w:highlight w:val="none"/>
          <w:u w:val="single"/>
          <w:lang w:val="en-US" w:eastAsia="zh-CN" w:bidi="ar"/>
        </w:rPr>
        <w:t>3</w:t>
      </w:r>
      <w:r>
        <w:rPr>
          <w:rFonts w:hint="default" w:ascii="Arial" w:hAnsi="Arial" w:cs="Arial"/>
          <w:color w:val="auto"/>
          <w:highlight w:val="none"/>
          <w:u w:val="single"/>
          <w:lang w:bidi="ar"/>
        </w:rPr>
        <w:t>日内作出答复；作出答复前，应当暂停招标投标活动。</w:t>
      </w:r>
    </w:p>
    <w:p w14:paraId="440F5843">
      <w:pPr>
        <w:pStyle w:val="5"/>
        <w:shd w:val="clear"/>
        <w:ind w:firstLine="137"/>
        <w:rPr>
          <w:rFonts w:hint="eastAsia" w:ascii="宋体" w:hAnsi="宋体" w:cs="宋体"/>
          <w:color w:val="auto"/>
          <w:highlight w:val="none"/>
        </w:rPr>
      </w:pPr>
      <w:bookmarkStart w:id="247" w:name="_Toc492300607"/>
      <w:bookmarkStart w:id="248" w:name="_Toc7275"/>
      <w:r>
        <w:rPr>
          <w:rFonts w:hint="eastAsia" w:ascii="宋体" w:hAnsi="宋体" w:cs="宋体"/>
          <w:color w:val="auto"/>
          <w:highlight w:val="none"/>
        </w:rPr>
        <w:t>7.3 中标候选人履约能力审查</w:t>
      </w:r>
      <w:bookmarkEnd w:id="247"/>
      <w:bookmarkEnd w:id="248"/>
    </w:p>
    <w:p w14:paraId="306DFD3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952D549">
      <w:pPr>
        <w:pStyle w:val="5"/>
        <w:shd w:val="clear"/>
        <w:ind w:firstLine="137"/>
        <w:rPr>
          <w:rFonts w:hint="eastAsia" w:ascii="宋体" w:hAnsi="宋体" w:cs="宋体"/>
          <w:color w:val="auto"/>
          <w:highlight w:val="none"/>
        </w:rPr>
      </w:pPr>
      <w:bookmarkStart w:id="249" w:name="_Toc20924"/>
      <w:bookmarkStart w:id="250" w:name="_Toc492300608"/>
      <w:r>
        <w:rPr>
          <w:rFonts w:hint="eastAsia" w:ascii="宋体" w:hAnsi="宋体" w:cs="宋体"/>
          <w:color w:val="auto"/>
          <w:highlight w:val="none"/>
        </w:rPr>
        <w:t>7.4 定标</w:t>
      </w:r>
      <w:bookmarkEnd w:id="249"/>
      <w:bookmarkEnd w:id="250"/>
    </w:p>
    <w:p w14:paraId="6B80FAF5">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按照投标人须知前附表的规定，招标人或招标人授权的评标委员会依法确定中标人。</w:t>
      </w:r>
    </w:p>
    <w:p w14:paraId="37128BBE">
      <w:pPr>
        <w:pStyle w:val="5"/>
        <w:shd w:val="clear"/>
        <w:ind w:firstLine="137"/>
        <w:rPr>
          <w:rFonts w:hint="eastAsia" w:ascii="宋体" w:hAnsi="宋体" w:cs="宋体"/>
          <w:color w:val="auto"/>
          <w:highlight w:val="none"/>
        </w:rPr>
      </w:pPr>
      <w:bookmarkStart w:id="251" w:name="_Toc28092"/>
      <w:bookmarkStart w:id="252" w:name="_Toc492300609"/>
      <w:r>
        <w:rPr>
          <w:rFonts w:hint="eastAsia" w:ascii="宋体" w:hAnsi="宋体" w:cs="宋体"/>
          <w:color w:val="auto"/>
          <w:highlight w:val="none"/>
        </w:rPr>
        <w:t>7.5 中标通知</w:t>
      </w:r>
      <w:bookmarkEnd w:id="251"/>
      <w:bookmarkEnd w:id="252"/>
    </w:p>
    <w:p w14:paraId="3A83F1D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在本章第3.3款规定的投标有效期内，中标人自行于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的，招标人有权取消其中标人资格，并上报建设行政主管部门。</w:t>
      </w:r>
    </w:p>
    <w:p w14:paraId="5FB486AB">
      <w:pPr>
        <w:pStyle w:val="5"/>
        <w:shd w:val="clear"/>
        <w:ind w:firstLine="137"/>
        <w:rPr>
          <w:rFonts w:hint="eastAsia" w:ascii="宋体" w:hAnsi="宋体" w:cs="宋体"/>
          <w:color w:val="auto"/>
          <w:highlight w:val="none"/>
        </w:rPr>
      </w:pPr>
      <w:bookmarkStart w:id="253" w:name="_Toc492300610"/>
      <w:bookmarkStart w:id="254" w:name="_Toc27798"/>
      <w:r>
        <w:rPr>
          <w:rFonts w:hint="eastAsia" w:ascii="宋体" w:hAnsi="宋体" w:cs="宋体"/>
          <w:color w:val="auto"/>
          <w:highlight w:val="none"/>
        </w:rPr>
        <w:t>7.6 履约保证金</w:t>
      </w:r>
      <w:bookmarkEnd w:id="253"/>
      <w:bookmarkEnd w:id="254"/>
    </w:p>
    <w:p w14:paraId="03ADF05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645CA244">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7.6.2中标人不能按本章第7.6.1项要求提交履约保证金的，视为放弃中标，中标人还应当对予以赔偿。</w:t>
      </w:r>
    </w:p>
    <w:p w14:paraId="2B4485E4">
      <w:pPr>
        <w:pStyle w:val="5"/>
        <w:shd w:val="clear"/>
        <w:ind w:firstLine="137"/>
        <w:rPr>
          <w:rFonts w:hint="eastAsia" w:ascii="宋体" w:hAnsi="宋体" w:cs="宋体"/>
          <w:color w:val="auto"/>
          <w:highlight w:val="none"/>
        </w:rPr>
      </w:pPr>
      <w:bookmarkStart w:id="255" w:name="_Toc9065"/>
      <w:bookmarkStart w:id="256" w:name="_Toc492300611"/>
      <w:r>
        <w:rPr>
          <w:rFonts w:hint="eastAsia" w:ascii="宋体" w:hAnsi="宋体" w:cs="宋体"/>
          <w:color w:val="auto"/>
          <w:highlight w:val="none"/>
        </w:rPr>
        <w:t>7.7 签订合同</w:t>
      </w:r>
      <w:bookmarkEnd w:id="255"/>
      <w:bookmarkEnd w:id="256"/>
    </w:p>
    <w:p w14:paraId="14BB6F11">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中标人还应当对予以赔偿。</w:t>
      </w:r>
    </w:p>
    <w:p w14:paraId="422575C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7.7.2发出中标通知书后，招标人无正当理由拒签合同，或者在签订合同时向中标人提出附加条件的，给中标人造成损失的，还应当赔偿损失。</w:t>
      </w:r>
    </w:p>
    <w:p w14:paraId="19434404">
      <w:pPr>
        <w:shd w:val="clear"/>
        <w:spacing w:line="360" w:lineRule="auto"/>
        <w:ind w:firstLine="420" w:firstLineChars="200"/>
        <w:rPr>
          <w:rFonts w:hint="eastAsia" w:ascii="宋体" w:hAnsi="宋体" w:cs="宋体"/>
          <w:strike/>
          <w:color w:val="auto"/>
          <w:highlight w:val="none"/>
        </w:rPr>
      </w:pPr>
    </w:p>
    <w:p w14:paraId="37C2A1A1">
      <w:pPr>
        <w:pStyle w:val="4"/>
        <w:shd w:val="clear"/>
        <w:spacing w:line="360" w:lineRule="auto"/>
        <w:rPr>
          <w:rFonts w:hint="eastAsia" w:ascii="宋体" w:hAnsi="宋体" w:eastAsia="宋体" w:cs="宋体"/>
          <w:color w:val="auto"/>
          <w:highlight w:val="none"/>
        </w:rPr>
      </w:pPr>
      <w:bookmarkStart w:id="257" w:name="_Toc24067"/>
      <w:bookmarkStart w:id="258" w:name="_Toc361508627"/>
      <w:bookmarkStart w:id="259" w:name="_Toc384308252"/>
      <w:bookmarkStart w:id="260" w:name="_Toc492300612"/>
      <w:bookmarkStart w:id="261" w:name="_Toc8443"/>
      <w:bookmarkStart w:id="262" w:name="_Toc300834991"/>
      <w:bookmarkStart w:id="263" w:name="_Toc247513992"/>
      <w:bookmarkStart w:id="264" w:name="_Toc144974536"/>
      <w:bookmarkStart w:id="265" w:name="_Toc152045568"/>
      <w:bookmarkStart w:id="266" w:name="_Toc247527593"/>
      <w:bookmarkStart w:id="267" w:name="_Toc152042344"/>
      <w:r>
        <w:rPr>
          <w:rFonts w:hint="eastAsia" w:ascii="宋体" w:hAnsi="宋体" w:eastAsia="宋体" w:cs="宋体"/>
          <w:color w:val="auto"/>
          <w:highlight w:val="none"/>
        </w:rPr>
        <w:t>8.</w:t>
      </w:r>
      <w:bookmarkEnd w:id="257"/>
      <w:bookmarkEnd w:id="258"/>
      <w:bookmarkEnd w:id="259"/>
      <w:r>
        <w:rPr>
          <w:rFonts w:hint="eastAsia" w:ascii="宋体" w:hAnsi="宋体" w:eastAsia="宋体" w:cs="宋体"/>
          <w:color w:val="auto"/>
          <w:highlight w:val="none"/>
        </w:rPr>
        <w:t>纪律和监督</w:t>
      </w:r>
      <w:bookmarkEnd w:id="260"/>
      <w:bookmarkEnd w:id="261"/>
    </w:p>
    <w:p w14:paraId="39697947">
      <w:pPr>
        <w:pStyle w:val="5"/>
        <w:shd w:val="clear"/>
        <w:ind w:firstLine="137"/>
        <w:rPr>
          <w:rFonts w:hint="eastAsia" w:ascii="宋体" w:hAnsi="宋体" w:cs="宋体"/>
          <w:color w:val="auto"/>
          <w:highlight w:val="none"/>
        </w:rPr>
      </w:pPr>
      <w:bookmarkStart w:id="268" w:name="_Toc492300613"/>
      <w:bookmarkStart w:id="269" w:name="_Toc19858"/>
      <w:r>
        <w:rPr>
          <w:rFonts w:hint="eastAsia" w:ascii="宋体" w:hAnsi="宋体" w:cs="宋体"/>
          <w:color w:val="auto"/>
          <w:highlight w:val="none"/>
        </w:rPr>
        <w:t>8.1 对招标人的纪律要求</w:t>
      </w:r>
      <w:bookmarkEnd w:id="268"/>
      <w:bookmarkEnd w:id="269"/>
    </w:p>
    <w:p w14:paraId="0A09131F">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招标人不得泄露招标投标活动中应当保密的情况和资料，不得与投标人串通损害国家利益、社会公共利益或者他人合法权益。</w:t>
      </w:r>
    </w:p>
    <w:p w14:paraId="234495B8">
      <w:pPr>
        <w:pStyle w:val="5"/>
        <w:shd w:val="clear"/>
        <w:ind w:firstLine="137"/>
        <w:rPr>
          <w:rFonts w:hint="eastAsia" w:ascii="宋体" w:hAnsi="宋体" w:cs="宋体"/>
          <w:color w:val="auto"/>
          <w:highlight w:val="none"/>
        </w:rPr>
      </w:pPr>
      <w:bookmarkStart w:id="270" w:name="_Toc492300614"/>
      <w:bookmarkStart w:id="271" w:name="_Toc30107"/>
      <w:r>
        <w:rPr>
          <w:rFonts w:hint="eastAsia" w:ascii="宋体" w:hAnsi="宋体" w:cs="宋体"/>
          <w:color w:val="auto"/>
          <w:highlight w:val="none"/>
        </w:rPr>
        <w:t>8.2 对投标人的纪律要求</w:t>
      </w:r>
      <w:bookmarkEnd w:id="270"/>
      <w:bookmarkEnd w:id="271"/>
    </w:p>
    <w:p w14:paraId="39DB8E12">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6D1CCB">
      <w:pPr>
        <w:pStyle w:val="5"/>
        <w:shd w:val="clear"/>
        <w:ind w:firstLine="137"/>
        <w:rPr>
          <w:rFonts w:hint="eastAsia" w:ascii="宋体" w:hAnsi="宋体" w:cs="宋体"/>
          <w:color w:val="auto"/>
          <w:highlight w:val="none"/>
        </w:rPr>
      </w:pPr>
      <w:bookmarkStart w:id="272" w:name="_Toc23305"/>
      <w:bookmarkStart w:id="273" w:name="_Toc492300615"/>
      <w:r>
        <w:rPr>
          <w:rFonts w:hint="eastAsia" w:ascii="宋体" w:hAnsi="宋体" w:cs="宋体"/>
          <w:color w:val="auto"/>
          <w:highlight w:val="none"/>
        </w:rPr>
        <w:t>8.3 对评标委员会成员的纪律要求</w:t>
      </w:r>
      <w:bookmarkEnd w:id="272"/>
      <w:bookmarkEnd w:id="273"/>
    </w:p>
    <w:p w14:paraId="5FCCA02B">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评标委员会成员不得收受他人的财物或者其他好处，不得向他人透露对投标文件的评审</w:t>
      </w:r>
      <w:bookmarkStart w:id="274" w:name="_Toc369531559"/>
      <w:bookmarkStart w:id="275" w:name="_Toc352691515"/>
      <w:bookmarkStart w:id="276" w:name="_Toc384308253"/>
      <w:bookmarkStart w:id="277" w:name="_Toc361508628"/>
      <w:bookmarkStart w:id="278" w:name="_Toc13644"/>
      <w:r>
        <w:rPr>
          <w:rFonts w:hint="eastAsia" w:ascii="宋体" w:hAnsi="宋体" w:cs="宋体"/>
          <w:color w:val="auto"/>
          <w:highlight w:val="none"/>
        </w:rPr>
        <w:t>和比较、中标候选人</w:t>
      </w:r>
      <w:bookmarkEnd w:id="262"/>
      <w:bookmarkEnd w:id="263"/>
      <w:bookmarkEnd w:id="264"/>
      <w:bookmarkEnd w:id="265"/>
      <w:bookmarkEnd w:id="266"/>
      <w:bookmarkEnd w:id="267"/>
      <w:bookmarkEnd w:id="274"/>
      <w:bookmarkEnd w:id="275"/>
      <w:bookmarkEnd w:id="276"/>
      <w:bookmarkEnd w:id="277"/>
      <w:bookmarkEnd w:id="278"/>
      <w:r>
        <w:rPr>
          <w:rFonts w:hint="eastAsia" w:ascii="宋体" w:hAnsi="宋体" w:cs="宋体"/>
          <w:color w:val="auto"/>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D253B61">
      <w:pPr>
        <w:pStyle w:val="5"/>
        <w:shd w:val="clear"/>
        <w:ind w:firstLine="137"/>
        <w:rPr>
          <w:rFonts w:hint="eastAsia" w:ascii="宋体" w:hAnsi="宋体" w:cs="宋体"/>
          <w:color w:val="auto"/>
          <w:highlight w:val="none"/>
        </w:rPr>
      </w:pPr>
      <w:bookmarkStart w:id="279" w:name="_Toc492300616"/>
      <w:bookmarkStart w:id="280" w:name="_Toc7506"/>
      <w:r>
        <w:rPr>
          <w:rFonts w:hint="eastAsia" w:ascii="宋体" w:hAnsi="宋体" w:cs="宋体"/>
          <w:color w:val="auto"/>
          <w:highlight w:val="none"/>
        </w:rPr>
        <w:t>8.4 对与评标活动有关的工作人员的纪律要求</w:t>
      </w:r>
      <w:bookmarkEnd w:id="279"/>
      <w:bookmarkEnd w:id="280"/>
    </w:p>
    <w:p w14:paraId="1E230189">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与评标活动有关的工作人员不得收受他人的财物或者其他好处，不得向他人透露对投标文件</w:t>
      </w:r>
      <w:bookmarkStart w:id="281" w:name="_Toc361508629"/>
      <w:bookmarkStart w:id="282" w:name="_Toc152042345"/>
      <w:bookmarkStart w:id="283" w:name="_Toc300834992"/>
      <w:bookmarkStart w:id="284" w:name="_Toc352691516"/>
      <w:bookmarkStart w:id="285" w:name="_Toc19429"/>
      <w:bookmarkStart w:id="286" w:name="_Toc369531560"/>
      <w:bookmarkStart w:id="287" w:name="_Toc247513993"/>
      <w:bookmarkStart w:id="288" w:name="_Toc247527594"/>
      <w:bookmarkStart w:id="289" w:name="_Toc152045569"/>
      <w:bookmarkStart w:id="290" w:name="_Toc144974537"/>
      <w:bookmarkStart w:id="291" w:name="_Toc384308254"/>
      <w:r>
        <w:rPr>
          <w:rFonts w:hint="eastAsia" w:ascii="宋体" w:hAnsi="宋体" w:cs="宋体"/>
          <w:color w:val="auto"/>
          <w:highlight w:val="none"/>
        </w:rPr>
        <w:t>的评审和比较、中标</w:t>
      </w:r>
      <w:bookmarkEnd w:id="281"/>
      <w:bookmarkEnd w:id="282"/>
      <w:bookmarkEnd w:id="283"/>
      <w:bookmarkEnd w:id="284"/>
      <w:bookmarkEnd w:id="285"/>
      <w:bookmarkEnd w:id="286"/>
      <w:bookmarkEnd w:id="287"/>
      <w:bookmarkEnd w:id="288"/>
      <w:bookmarkEnd w:id="289"/>
      <w:bookmarkEnd w:id="290"/>
      <w:bookmarkEnd w:id="291"/>
      <w:r>
        <w:rPr>
          <w:rFonts w:hint="eastAsia" w:ascii="宋体" w:hAnsi="宋体" w:cs="宋体"/>
          <w:color w:val="auto"/>
          <w:highlight w:val="none"/>
        </w:rPr>
        <w:t>候选人的推荐情况以及评标有关的其他情况。在评标活动中，与评标活动有关的工作人员不得擅离职守，影响评标程序正常进行。</w:t>
      </w:r>
    </w:p>
    <w:p w14:paraId="1892E233">
      <w:pPr>
        <w:pStyle w:val="5"/>
        <w:shd w:val="clear"/>
        <w:ind w:firstLine="137"/>
        <w:rPr>
          <w:rFonts w:hint="eastAsia" w:ascii="宋体" w:hAnsi="宋体" w:cs="宋体"/>
          <w:color w:val="auto"/>
          <w:highlight w:val="none"/>
        </w:rPr>
      </w:pPr>
      <w:bookmarkStart w:id="292" w:name="_Toc492300617"/>
      <w:bookmarkStart w:id="293" w:name="_Toc7464"/>
      <w:r>
        <w:rPr>
          <w:rFonts w:hint="eastAsia" w:ascii="宋体" w:hAnsi="宋体" w:cs="宋体"/>
          <w:color w:val="auto"/>
          <w:highlight w:val="none"/>
        </w:rPr>
        <w:t>8.5 投诉</w:t>
      </w:r>
      <w:bookmarkEnd w:id="292"/>
      <w:bookmarkEnd w:id="293"/>
    </w:p>
    <w:p w14:paraId="616BB0F0">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8.5.1投标人或者其他利害关系人认为招标投标活动不符合法律、行政法规规定的，可以自知道或者应当知道之日起10日内向有关行政监督部门投诉。投诉应当有明确的请求和必要的证明材料。</w:t>
      </w:r>
    </w:p>
    <w:p w14:paraId="00D399A1">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8.5.2 投标人或者其他利害关系人对招标文件、开标和评标结果提出投诉的，应当按照投标人须知第2.4款、第5.3款和第7.2款的规定先向招标人提出异议。异议答复期间</w:t>
      </w:r>
      <w:bookmarkStart w:id="294" w:name="_Toc369531561"/>
      <w:bookmarkStart w:id="295" w:name="_Toc152042346"/>
      <w:bookmarkStart w:id="296" w:name="_Toc247527595"/>
      <w:bookmarkStart w:id="297" w:name="_Toc144974538"/>
      <w:bookmarkStart w:id="298" w:name="_Toc247513994"/>
      <w:bookmarkStart w:id="299" w:name="_Toc152045570"/>
      <w:bookmarkStart w:id="300" w:name="_Toc361508630"/>
      <w:bookmarkStart w:id="301" w:name="_Toc300834993"/>
      <w:bookmarkStart w:id="302" w:name="_Toc12776"/>
      <w:bookmarkStart w:id="303" w:name="_Toc352691517"/>
      <w:bookmarkStart w:id="304" w:name="_Toc384308255"/>
      <w:r>
        <w:rPr>
          <w:rFonts w:hint="eastAsia" w:ascii="宋体" w:hAnsi="宋体" w:cs="宋体"/>
          <w:color w:val="auto"/>
          <w:highlight w:val="none"/>
        </w:rPr>
        <w:t>不计算在第8.5.</w:t>
      </w:r>
      <w:bookmarkEnd w:id="294"/>
      <w:bookmarkEnd w:id="295"/>
      <w:bookmarkEnd w:id="296"/>
      <w:bookmarkEnd w:id="297"/>
      <w:bookmarkEnd w:id="298"/>
      <w:bookmarkEnd w:id="299"/>
      <w:bookmarkEnd w:id="300"/>
      <w:bookmarkEnd w:id="301"/>
      <w:bookmarkEnd w:id="302"/>
      <w:bookmarkEnd w:id="303"/>
      <w:bookmarkEnd w:id="304"/>
      <w:r>
        <w:rPr>
          <w:rFonts w:hint="eastAsia" w:ascii="宋体" w:hAnsi="宋体" w:cs="宋体"/>
          <w:color w:val="auto"/>
          <w:highlight w:val="none"/>
        </w:rPr>
        <w:t>1项规定的期限内。</w:t>
      </w:r>
    </w:p>
    <w:p w14:paraId="7C7C90F0">
      <w:pPr>
        <w:pStyle w:val="4"/>
        <w:shd w:val="clear"/>
        <w:spacing w:line="360" w:lineRule="auto"/>
        <w:rPr>
          <w:rFonts w:hint="eastAsia" w:ascii="宋体" w:hAnsi="宋体" w:eastAsia="宋体" w:cs="宋体"/>
          <w:color w:val="auto"/>
          <w:highlight w:val="none"/>
        </w:rPr>
      </w:pPr>
      <w:bookmarkStart w:id="305" w:name="_Toc492300618"/>
      <w:bookmarkStart w:id="306" w:name="_Toc11843"/>
      <w:bookmarkStart w:id="307" w:name="_Toc477134992"/>
      <w:r>
        <w:rPr>
          <w:rFonts w:hint="eastAsia" w:ascii="宋体" w:hAnsi="宋体" w:eastAsia="宋体" w:cs="宋体"/>
          <w:color w:val="auto"/>
          <w:highlight w:val="none"/>
        </w:rPr>
        <w:t>9. 是否采用电子招标投标</w:t>
      </w:r>
      <w:bookmarkEnd w:id="305"/>
      <w:bookmarkEnd w:id="306"/>
      <w:bookmarkEnd w:id="307"/>
    </w:p>
    <w:p w14:paraId="7932602A">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本招标项目是否采用电子招标投标方式，见投标人须知前附表。</w:t>
      </w:r>
    </w:p>
    <w:p w14:paraId="6363E2B9">
      <w:pPr>
        <w:pStyle w:val="4"/>
        <w:shd w:val="clear"/>
        <w:spacing w:line="360" w:lineRule="auto"/>
        <w:rPr>
          <w:rFonts w:hint="eastAsia" w:ascii="宋体" w:hAnsi="宋体" w:eastAsia="宋体" w:cs="宋体"/>
          <w:color w:val="auto"/>
          <w:highlight w:val="none"/>
        </w:rPr>
      </w:pPr>
      <w:bookmarkStart w:id="308" w:name="_Toc23311"/>
      <w:bookmarkStart w:id="309" w:name="_Toc492300619"/>
      <w:r>
        <w:rPr>
          <w:rFonts w:hint="eastAsia" w:ascii="宋体" w:hAnsi="宋体" w:eastAsia="宋体" w:cs="宋体"/>
          <w:color w:val="auto"/>
          <w:highlight w:val="none"/>
        </w:rPr>
        <w:t>10. 需要补充的其他内容</w:t>
      </w:r>
      <w:bookmarkEnd w:id="308"/>
      <w:bookmarkEnd w:id="309"/>
    </w:p>
    <w:p w14:paraId="7F2A5880">
      <w:pPr>
        <w:shd w:val="clear"/>
        <w:spacing w:line="360" w:lineRule="auto"/>
        <w:ind w:firstLine="560"/>
        <w:rPr>
          <w:rFonts w:hint="eastAsia" w:ascii="宋体" w:hAnsi="宋体" w:cs="宋体"/>
          <w:color w:val="auto"/>
          <w:sz w:val="28"/>
          <w:szCs w:val="28"/>
          <w:highlight w:val="none"/>
        </w:rPr>
      </w:pPr>
      <w:r>
        <w:rPr>
          <w:rFonts w:hint="eastAsia" w:ascii="宋体" w:hAnsi="宋体" w:cs="宋体"/>
          <w:color w:val="auto"/>
          <w:highlight w:val="none"/>
        </w:rPr>
        <w:t>需要补充的其他内容：见投标人须知前附表。</w:t>
      </w:r>
    </w:p>
    <w:p w14:paraId="5254B369">
      <w:pPr>
        <w:widowControl/>
        <w:shd w:val="clear"/>
        <w:spacing w:beforeAutospacing="1" w:afterAutospacing="1" w:line="312" w:lineRule="auto"/>
        <w:ind w:firstLine="560" w:firstLineChars="200"/>
        <w:jc w:val="left"/>
        <w:rPr>
          <w:rFonts w:hint="eastAsia" w:ascii="宋体" w:hAnsi="宋体" w:cs="宋体"/>
          <w:color w:val="auto"/>
          <w:sz w:val="28"/>
          <w:szCs w:val="28"/>
          <w:highlight w:val="none"/>
        </w:rPr>
        <w:sectPr>
          <w:pgSz w:w="11907" w:h="16840"/>
          <w:pgMar w:top="1134" w:right="1134" w:bottom="1134" w:left="1134" w:header="720" w:footer="720" w:gutter="0"/>
          <w:pgBorders>
            <w:top w:val="none" w:sz="0" w:space="0"/>
            <w:left w:val="none" w:sz="0" w:space="0"/>
            <w:bottom w:val="none" w:sz="0" w:space="0"/>
            <w:right w:val="none" w:sz="0" w:space="0"/>
          </w:pgBorders>
          <w:cols w:space="720" w:num="1"/>
        </w:sectPr>
      </w:pPr>
      <w:bookmarkStart w:id="310" w:name="_Toc9855"/>
      <w:bookmarkEnd w:id="310"/>
      <w:bookmarkStart w:id="311" w:name="_Toc514170121"/>
      <w:bookmarkEnd w:id="311"/>
      <w:bookmarkStart w:id="312" w:name="_Toc20776"/>
      <w:bookmarkEnd w:id="312"/>
      <w:bookmarkStart w:id="313" w:name="_Toc13444"/>
      <w:bookmarkEnd w:id="313"/>
      <w:bookmarkStart w:id="314" w:name="_Toc30533"/>
      <w:bookmarkEnd w:id="314"/>
      <w:bookmarkStart w:id="315" w:name="_Toc25165"/>
      <w:bookmarkEnd w:id="315"/>
    </w:p>
    <w:p w14:paraId="671F07C4">
      <w:pPr>
        <w:shd w:val="clear"/>
        <w:rPr>
          <w:rFonts w:hint="eastAsia" w:ascii="宋体" w:hAnsi="宋体" w:cs="宋体"/>
          <w:color w:val="auto"/>
          <w:sz w:val="28"/>
          <w:szCs w:val="28"/>
          <w:highlight w:val="none"/>
        </w:rPr>
      </w:pPr>
      <w:r>
        <w:rPr>
          <w:rFonts w:hint="eastAsia" w:ascii="宋体" w:hAnsi="宋体" w:cs="宋体"/>
          <w:color w:val="auto"/>
          <w:sz w:val="28"/>
          <w:szCs w:val="28"/>
          <w:highlight w:val="none"/>
        </w:rPr>
        <w:t>附件一：开标记录表（按广州交易集团有限公司（广州公共资源交易中心）系统导出为准）</w:t>
      </w:r>
    </w:p>
    <w:p w14:paraId="726CD6A6">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CACD7DF">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7B5964D3">
      <w:pPr>
        <w:shd w:val="clear"/>
        <w:spacing w:before="12"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68DBF67E">
      <w:pPr>
        <w:shd w:val="clear"/>
        <w:spacing w:line="373" w:lineRule="exact"/>
        <w:ind w:left="3799" w:right="3400"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开标记录表</w:t>
      </w:r>
    </w:p>
    <w:p w14:paraId="1F99D71B">
      <w:pPr>
        <w:shd w:val="clear"/>
        <w:spacing w:before="7" w:line="140" w:lineRule="exact"/>
        <w:ind w:firstLine="280" w:firstLineChars="200"/>
        <w:jc w:val="left"/>
        <w:rPr>
          <w:rFonts w:hint="eastAsia" w:ascii="宋体" w:hAnsi="宋体" w:cs="宋体"/>
          <w:color w:val="auto"/>
          <w:sz w:val="14"/>
          <w:szCs w:val="14"/>
          <w:highlight w:val="none"/>
        </w:rPr>
      </w:pPr>
      <w:r>
        <w:rPr>
          <w:rFonts w:hint="eastAsia" w:ascii="宋体" w:hAnsi="宋体" w:cs="宋体"/>
          <w:color w:val="auto"/>
          <w:sz w:val="14"/>
          <w:szCs w:val="14"/>
          <w:highlight w:val="none"/>
        </w:rPr>
        <w:t xml:space="preserve"> </w:t>
      </w:r>
    </w:p>
    <w:p w14:paraId="20BA9158">
      <w:pPr>
        <w:shd w:val="clear"/>
        <w:spacing w:line="337" w:lineRule="exact"/>
        <w:ind w:left="1617" w:right="-20" w:firstLine="420" w:firstLineChars="200"/>
        <w:jc w:val="left"/>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分</w:t>
      </w:r>
    </w:p>
    <w:p w14:paraId="670BD4C0">
      <w:pPr>
        <w:shd w:val="clear"/>
        <w:spacing w:before="1" w:line="170" w:lineRule="exact"/>
        <w:ind w:firstLine="340" w:firstLineChars="200"/>
        <w:jc w:val="left"/>
        <w:rPr>
          <w:rFonts w:hint="eastAsia" w:ascii="宋体" w:hAnsi="宋体" w:cs="宋体"/>
          <w:color w:val="auto"/>
          <w:sz w:val="17"/>
          <w:szCs w:val="17"/>
          <w:highlight w:val="none"/>
        </w:rPr>
      </w:pPr>
      <w:r>
        <w:rPr>
          <w:rFonts w:hint="eastAsia" w:ascii="宋体" w:hAnsi="宋体" w:cs="宋体"/>
          <w:color w:val="auto"/>
          <w:sz w:val="17"/>
          <w:szCs w:val="17"/>
          <w:highlight w:val="none"/>
        </w:rPr>
        <w:t xml:space="preserve"> </w:t>
      </w:r>
    </w:p>
    <w:tbl>
      <w:tblPr>
        <w:tblStyle w:val="27"/>
        <w:tblW w:w="0" w:type="auto"/>
        <w:tblInd w:w="210" w:type="dxa"/>
        <w:tblLayout w:type="fixed"/>
        <w:tblCellMar>
          <w:top w:w="0" w:type="dxa"/>
          <w:left w:w="108" w:type="dxa"/>
          <w:bottom w:w="0" w:type="dxa"/>
          <w:right w:w="108" w:type="dxa"/>
        </w:tblCellMar>
      </w:tblPr>
      <w:tblGrid>
        <w:gridCol w:w="648"/>
        <w:gridCol w:w="2258"/>
        <w:gridCol w:w="1674"/>
        <w:gridCol w:w="1133"/>
        <w:gridCol w:w="1134"/>
        <w:gridCol w:w="992"/>
        <w:gridCol w:w="710"/>
        <w:gridCol w:w="992"/>
      </w:tblGrid>
      <w:tr w14:paraId="1B8803C3">
        <w:tblPrEx>
          <w:tblCellMar>
            <w:top w:w="0" w:type="dxa"/>
            <w:left w:w="108" w:type="dxa"/>
            <w:bottom w:w="0" w:type="dxa"/>
            <w:right w:w="108" w:type="dxa"/>
          </w:tblCellMar>
        </w:tblPrEx>
        <w:trPr>
          <w:trHeight w:val="101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2E24A3D6">
            <w:pPr>
              <w:shd w:val="clear"/>
              <w:ind w:right="-20"/>
              <w:jc w:val="center"/>
              <w:rPr>
                <w:rFonts w:hint="eastAsia" w:ascii="宋体" w:hAnsi="宋体" w:cs="宋体"/>
                <w:color w:val="auto"/>
                <w:sz w:val="24"/>
                <w:szCs w:val="24"/>
                <w:highlight w:val="none"/>
              </w:rPr>
            </w:pPr>
            <w:r>
              <w:rPr>
                <w:rFonts w:hint="eastAsia" w:ascii="宋体" w:hAnsi="宋体" w:cs="宋体"/>
                <w:color w:val="auto"/>
                <w:sz w:val="18"/>
                <w:szCs w:val="18"/>
                <w:highlight w:val="none"/>
              </w:rPr>
              <w:t>序号</w:t>
            </w:r>
          </w:p>
        </w:tc>
        <w:tc>
          <w:tcPr>
            <w:tcW w:w="2258" w:type="dxa"/>
            <w:tcBorders>
              <w:top w:val="single" w:color="000000" w:sz="4" w:space="0"/>
              <w:left w:val="nil"/>
              <w:bottom w:val="single" w:color="000000" w:sz="4" w:space="0"/>
              <w:right w:val="single" w:color="000000" w:sz="4" w:space="0"/>
            </w:tcBorders>
            <w:noWrap w:val="0"/>
            <w:vAlign w:val="center"/>
          </w:tcPr>
          <w:p w14:paraId="1D7EAC74">
            <w:pPr>
              <w:shd w:val="clear"/>
              <w:ind w:right="-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投标人</w:t>
            </w:r>
          </w:p>
        </w:tc>
        <w:tc>
          <w:tcPr>
            <w:tcW w:w="1674" w:type="dxa"/>
            <w:tcBorders>
              <w:top w:val="single" w:color="000000" w:sz="4" w:space="0"/>
              <w:left w:val="nil"/>
              <w:bottom w:val="single" w:color="000000" w:sz="4" w:space="0"/>
              <w:right w:val="single" w:color="000000" w:sz="4" w:space="0"/>
            </w:tcBorders>
            <w:noWrap w:val="0"/>
            <w:vAlign w:val="center"/>
          </w:tcPr>
          <w:p w14:paraId="039942C9">
            <w:pPr>
              <w:shd w:val="clear"/>
              <w:ind w:right="-2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密封情况</w:t>
            </w:r>
          </w:p>
        </w:tc>
        <w:tc>
          <w:tcPr>
            <w:tcW w:w="1133" w:type="dxa"/>
            <w:tcBorders>
              <w:top w:val="single" w:color="000000" w:sz="4" w:space="0"/>
              <w:left w:val="nil"/>
              <w:bottom w:val="single" w:color="000000" w:sz="4" w:space="0"/>
              <w:right w:val="single" w:color="000000" w:sz="4" w:space="0"/>
            </w:tcBorders>
            <w:noWrap w:val="0"/>
            <w:vAlign w:val="center"/>
          </w:tcPr>
          <w:p w14:paraId="5E4C9D3B">
            <w:pPr>
              <w:shd w:val="clear"/>
              <w:ind w:right="-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投标报价</w:t>
            </w:r>
          </w:p>
          <w:p w14:paraId="101F53C3">
            <w:pPr>
              <w:shd w:val="clear"/>
              <w:ind w:right="-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（元）</w:t>
            </w:r>
          </w:p>
        </w:tc>
        <w:tc>
          <w:tcPr>
            <w:tcW w:w="1134" w:type="dxa"/>
            <w:tcBorders>
              <w:top w:val="single" w:color="000000" w:sz="4" w:space="0"/>
              <w:left w:val="nil"/>
              <w:bottom w:val="single" w:color="000000" w:sz="4" w:space="0"/>
              <w:right w:val="single" w:color="000000" w:sz="4" w:space="0"/>
            </w:tcBorders>
            <w:noWrap w:val="0"/>
            <w:vAlign w:val="center"/>
          </w:tcPr>
          <w:p w14:paraId="34ACD477">
            <w:pPr>
              <w:shd w:val="clear"/>
              <w:ind w:right="-20"/>
              <w:jc w:val="center"/>
              <w:rPr>
                <w:rFonts w:hint="eastAsia" w:ascii="宋体" w:hAnsi="宋体" w:cs="宋体"/>
                <w:color w:val="auto"/>
                <w:sz w:val="18"/>
                <w:szCs w:val="18"/>
                <w:highlight w:val="none"/>
                <w:u w:val="single"/>
              </w:rPr>
            </w:pPr>
            <w:r>
              <w:rPr>
                <w:rFonts w:hint="eastAsia" w:ascii="宋体" w:hAnsi="宋体" w:cs="宋体"/>
                <w:color w:val="auto"/>
                <w:sz w:val="18"/>
                <w:szCs w:val="18"/>
                <w:highlight w:val="none"/>
                <w:u w:val="single"/>
              </w:rPr>
              <w:t>总监理工程师</w:t>
            </w:r>
          </w:p>
        </w:tc>
        <w:tc>
          <w:tcPr>
            <w:tcW w:w="992" w:type="dxa"/>
            <w:tcBorders>
              <w:top w:val="single" w:color="000000" w:sz="4" w:space="0"/>
              <w:left w:val="nil"/>
              <w:bottom w:val="single" w:color="000000" w:sz="4" w:space="0"/>
              <w:right w:val="single" w:color="000000" w:sz="4" w:space="0"/>
            </w:tcBorders>
            <w:noWrap w:val="0"/>
            <w:vAlign w:val="center"/>
          </w:tcPr>
          <w:p w14:paraId="71DDD09C">
            <w:pPr>
              <w:shd w:val="clear"/>
              <w:jc w:val="center"/>
              <w:rPr>
                <w:rFonts w:hint="eastAsia" w:ascii="宋体" w:hAnsi="宋体" w:cs="宋体"/>
                <w:color w:val="auto"/>
                <w:sz w:val="18"/>
                <w:szCs w:val="18"/>
                <w:highlight w:val="none"/>
                <w:u w:val="single"/>
              </w:rPr>
            </w:pPr>
            <w:r>
              <w:rPr>
                <w:rFonts w:hint="eastAsia" w:ascii="宋体" w:hAnsi="宋体" w:cs="宋体"/>
                <w:color w:val="auto"/>
                <w:sz w:val="18"/>
                <w:szCs w:val="18"/>
                <w:highlight w:val="none"/>
                <w:u w:val="single"/>
              </w:rPr>
              <w:t>监理服务期限</w:t>
            </w:r>
          </w:p>
        </w:tc>
        <w:tc>
          <w:tcPr>
            <w:tcW w:w="710" w:type="dxa"/>
            <w:tcBorders>
              <w:top w:val="single" w:color="000000" w:sz="4" w:space="0"/>
              <w:left w:val="nil"/>
              <w:bottom w:val="single" w:color="000000" w:sz="4" w:space="0"/>
              <w:right w:val="single" w:color="000000" w:sz="4" w:space="0"/>
            </w:tcBorders>
            <w:noWrap w:val="0"/>
            <w:vAlign w:val="center"/>
          </w:tcPr>
          <w:p w14:paraId="3864ACFE">
            <w:pPr>
              <w:shd w:val="clear"/>
              <w:ind w:right="-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备注</w:t>
            </w:r>
          </w:p>
        </w:tc>
        <w:tc>
          <w:tcPr>
            <w:tcW w:w="992" w:type="dxa"/>
            <w:tcBorders>
              <w:top w:val="single" w:color="000000" w:sz="4" w:space="0"/>
              <w:left w:val="nil"/>
              <w:bottom w:val="single" w:color="000000" w:sz="4" w:space="0"/>
              <w:right w:val="single" w:color="000000" w:sz="4" w:space="0"/>
            </w:tcBorders>
            <w:noWrap w:val="0"/>
            <w:vAlign w:val="center"/>
          </w:tcPr>
          <w:p w14:paraId="0ABE2F53">
            <w:pPr>
              <w:shd w:val="clear"/>
              <w:ind w:right="-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投标人代表签名</w:t>
            </w:r>
          </w:p>
        </w:tc>
      </w:tr>
      <w:tr w14:paraId="19A8DC3A">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2E167AA2">
            <w:pPr>
              <w:shd w:val="clear"/>
              <w:ind w:firstLine="480" w:firstLineChars="200"/>
              <w:jc w:val="left"/>
              <w:rPr>
                <w:rFonts w:hint="eastAsia" w:ascii="宋体" w:hAnsi="宋体" w:cs="宋体"/>
                <w:color w:val="auto"/>
                <w:sz w:val="24"/>
                <w:szCs w:val="24"/>
                <w:highlight w:val="none"/>
              </w:rPr>
            </w:pPr>
          </w:p>
          <w:p w14:paraId="454BB80D">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21F6CC67">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3A025C75">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3499FFA1">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3231EAE9">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47114655">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2A0DE38E">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64B261A2">
            <w:pPr>
              <w:shd w:val="clear"/>
              <w:ind w:firstLine="480" w:firstLineChars="200"/>
              <w:jc w:val="left"/>
              <w:rPr>
                <w:rFonts w:hint="eastAsia" w:ascii="宋体" w:hAnsi="宋体" w:cs="宋体"/>
                <w:color w:val="auto"/>
                <w:sz w:val="24"/>
                <w:szCs w:val="24"/>
                <w:highlight w:val="none"/>
              </w:rPr>
            </w:pPr>
          </w:p>
        </w:tc>
      </w:tr>
      <w:tr w14:paraId="53E01A72">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20BFE5EA">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7D2E9365">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37B957D4">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652546F2">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2EB97DC2">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69B071F5">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225A6F29">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BFA671B">
            <w:pPr>
              <w:shd w:val="clear"/>
              <w:ind w:firstLine="480" w:firstLineChars="200"/>
              <w:jc w:val="left"/>
              <w:rPr>
                <w:rFonts w:hint="eastAsia" w:ascii="宋体" w:hAnsi="宋体" w:cs="宋体"/>
                <w:color w:val="auto"/>
                <w:sz w:val="24"/>
                <w:szCs w:val="24"/>
                <w:highlight w:val="none"/>
              </w:rPr>
            </w:pPr>
          </w:p>
        </w:tc>
      </w:tr>
      <w:tr w14:paraId="1639DC5F">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15E1F981">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445C8E96">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4E3D196C">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322C55E9">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1E58441E">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0ABE7D4E">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08C08C1D">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1EBD3B11">
            <w:pPr>
              <w:shd w:val="clear"/>
              <w:ind w:firstLine="480" w:firstLineChars="200"/>
              <w:jc w:val="left"/>
              <w:rPr>
                <w:rFonts w:hint="eastAsia" w:ascii="宋体" w:hAnsi="宋体" w:cs="宋体"/>
                <w:color w:val="auto"/>
                <w:sz w:val="24"/>
                <w:szCs w:val="24"/>
                <w:highlight w:val="none"/>
              </w:rPr>
            </w:pPr>
          </w:p>
        </w:tc>
      </w:tr>
      <w:tr w14:paraId="08CD2227">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339D0EF0">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5BF937A9">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43366DFD">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7323C840">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4B50014F">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23FB147E">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7B8C0AA2">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48EAE39D">
            <w:pPr>
              <w:shd w:val="clear"/>
              <w:ind w:firstLine="480" w:firstLineChars="200"/>
              <w:jc w:val="left"/>
              <w:rPr>
                <w:rFonts w:hint="eastAsia" w:ascii="宋体" w:hAnsi="宋体" w:cs="宋体"/>
                <w:color w:val="auto"/>
                <w:sz w:val="24"/>
                <w:szCs w:val="24"/>
                <w:highlight w:val="none"/>
              </w:rPr>
            </w:pPr>
          </w:p>
        </w:tc>
      </w:tr>
      <w:tr w14:paraId="1286BADD">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678D33A8">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12151750">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28B28596">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19B1CF94">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70979FB3">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4FFD73D7">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4FA569D4">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6AB40616">
            <w:pPr>
              <w:shd w:val="clear"/>
              <w:ind w:firstLine="480" w:firstLineChars="200"/>
              <w:jc w:val="left"/>
              <w:rPr>
                <w:rFonts w:hint="eastAsia" w:ascii="宋体" w:hAnsi="宋体" w:cs="宋体"/>
                <w:color w:val="auto"/>
                <w:sz w:val="24"/>
                <w:szCs w:val="24"/>
                <w:highlight w:val="none"/>
              </w:rPr>
            </w:pPr>
          </w:p>
        </w:tc>
      </w:tr>
      <w:tr w14:paraId="7C79F4EC">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74F21617">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084DB2B0">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62943A85">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1B5D4B1D">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6999CB3F">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416CBD8A">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160662BD">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22F1775C">
            <w:pPr>
              <w:shd w:val="clear"/>
              <w:ind w:firstLine="480" w:firstLineChars="200"/>
              <w:jc w:val="left"/>
              <w:rPr>
                <w:rFonts w:hint="eastAsia" w:ascii="宋体" w:hAnsi="宋体" w:cs="宋体"/>
                <w:color w:val="auto"/>
                <w:sz w:val="24"/>
                <w:szCs w:val="24"/>
                <w:highlight w:val="none"/>
              </w:rPr>
            </w:pPr>
          </w:p>
        </w:tc>
      </w:tr>
      <w:tr w14:paraId="4FFB11A0">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24242708">
            <w:pPr>
              <w:pStyle w:val="2"/>
              <w:shd w:val="clear"/>
              <w:rPr>
                <w:rFonts w:hint="eastAsia"/>
                <w:color w:val="auto"/>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2B996DC4">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78680156">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18C723CF">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71A12BE5">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AD7A549">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13115B74">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0755201F">
            <w:pPr>
              <w:shd w:val="clear"/>
              <w:ind w:firstLine="480" w:firstLineChars="200"/>
              <w:jc w:val="left"/>
              <w:rPr>
                <w:rFonts w:hint="eastAsia" w:ascii="宋体" w:hAnsi="宋体" w:cs="宋体"/>
                <w:color w:val="auto"/>
                <w:sz w:val="24"/>
                <w:szCs w:val="24"/>
                <w:highlight w:val="none"/>
              </w:rPr>
            </w:pPr>
          </w:p>
        </w:tc>
      </w:tr>
      <w:tr w14:paraId="67D2BFC7">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3892B6F7">
            <w:pPr>
              <w:shd w:val="clear"/>
              <w:ind w:firstLine="480" w:firstLineChars="200"/>
              <w:jc w:val="left"/>
              <w:rPr>
                <w:rFonts w:hint="eastAsia" w:ascii="宋体" w:hAnsi="宋体" w:cs="宋体"/>
                <w:color w:val="auto"/>
                <w:sz w:val="24"/>
                <w:szCs w:val="24"/>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579ACE77">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08C4D6D1">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2DCA4F0A">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AD108AF">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57BF58F8">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1F2F53B4">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6ED7AE35">
            <w:pPr>
              <w:shd w:val="clear"/>
              <w:ind w:firstLine="480" w:firstLineChars="200"/>
              <w:jc w:val="left"/>
              <w:rPr>
                <w:rFonts w:hint="eastAsia" w:ascii="宋体" w:hAnsi="宋体" w:cs="宋体"/>
                <w:color w:val="auto"/>
                <w:sz w:val="24"/>
                <w:szCs w:val="24"/>
                <w:highlight w:val="none"/>
              </w:rPr>
            </w:pPr>
          </w:p>
        </w:tc>
      </w:tr>
      <w:tr w14:paraId="538C5250">
        <w:tblPrEx>
          <w:tblCellMar>
            <w:top w:w="0" w:type="dxa"/>
            <w:left w:w="108" w:type="dxa"/>
            <w:bottom w:w="0" w:type="dxa"/>
            <w:right w:w="108" w:type="dxa"/>
          </w:tblCellMar>
        </w:tblPrEx>
        <w:trPr>
          <w:trHeight w:val="509"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14:paraId="3E2FC6FF">
            <w:pPr>
              <w:shd w:val="clear"/>
              <w:ind w:firstLine="480" w:firstLineChars="200"/>
              <w:jc w:val="left"/>
              <w:rPr>
                <w:rFonts w:hint="eastAsia" w:ascii="宋体" w:hAnsi="宋体" w:cs="宋体"/>
                <w:color w:val="auto"/>
                <w:sz w:val="24"/>
                <w:szCs w:val="24"/>
                <w:highlight w:val="none"/>
              </w:rPr>
            </w:pPr>
          </w:p>
        </w:tc>
        <w:tc>
          <w:tcPr>
            <w:tcW w:w="2258" w:type="dxa"/>
            <w:tcBorders>
              <w:top w:val="single" w:color="000000" w:sz="4" w:space="0"/>
              <w:left w:val="nil"/>
              <w:bottom w:val="single" w:color="000000" w:sz="4" w:space="0"/>
              <w:right w:val="single" w:color="000000" w:sz="4" w:space="0"/>
            </w:tcBorders>
            <w:noWrap w:val="0"/>
            <w:vAlign w:val="top"/>
          </w:tcPr>
          <w:p w14:paraId="01C82BD4">
            <w:pPr>
              <w:shd w:val="clear"/>
              <w:ind w:firstLine="480" w:firstLineChars="200"/>
              <w:jc w:val="left"/>
              <w:rPr>
                <w:rFonts w:hint="eastAsia" w:ascii="宋体" w:hAnsi="宋体" w:cs="宋体"/>
                <w:color w:val="auto"/>
                <w:sz w:val="24"/>
                <w:szCs w:val="24"/>
                <w:highlight w:val="none"/>
              </w:rPr>
            </w:pPr>
          </w:p>
        </w:tc>
        <w:tc>
          <w:tcPr>
            <w:tcW w:w="1674" w:type="dxa"/>
            <w:tcBorders>
              <w:top w:val="single" w:color="000000" w:sz="4" w:space="0"/>
              <w:left w:val="nil"/>
              <w:bottom w:val="single" w:color="000000" w:sz="4" w:space="0"/>
              <w:right w:val="single" w:color="000000" w:sz="4" w:space="0"/>
            </w:tcBorders>
            <w:noWrap w:val="0"/>
            <w:vAlign w:val="top"/>
          </w:tcPr>
          <w:p w14:paraId="174398C9">
            <w:pPr>
              <w:shd w:val="clear"/>
              <w:ind w:firstLine="480" w:firstLineChars="200"/>
              <w:jc w:val="left"/>
              <w:rPr>
                <w:rFonts w:hint="eastAsia" w:ascii="宋体" w:hAnsi="宋体" w:cs="宋体"/>
                <w:color w:val="auto"/>
                <w:sz w:val="24"/>
                <w:szCs w:val="24"/>
                <w:highlight w:val="none"/>
              </w:rPr>
            </w:pPr>
          </w:p>
        </w:tc>
        <w:tc>
          <w:tcPr>
            <w:tcW w:w="1133" w:type="dxa"/>
            <w:tcBorders>
              <w:top w:val="single" w:color="000000" w:sz="4" w:space="0"/>
              <w:left w:val="nil"/>
              <w:bottom w:val="single" w:color="000000" w:sz="4" w:space="0"/>
              <w:right w:val="single" w:color="000000" w:sz="4" w:space="0"/>
            </w:tcBorders>
            <w:noWrap w:val="0"/>
            <w:vAlign w:val="top"/>
          </w:tcPr>
          <w:p w14:paraId="1637EE85">
            <w:pPr>
              <w:shd w:val="clear"/>
              <w:ind w:firstLine="480" w:firstLineChars="200"/>
              <w:jc w:val="left"/>
              <w:rPr>
                <w:rFonts w:hint="eastAsia" w:ascii="宋体" w:hAnsi="宋体" w:cs="宋体"/>
                <w:color w:val="auto"/>
                <w:sz w:val="24"/>
                <w:szCs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3F17857A">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7939194">
            <w:pPr>
              <w:shd w:val="clear"/>
              <w:ind w:firstLine="480" w:firstLineChars="200"/>
              <w:jc w:val="left"/>
              <w:rPr>
                <w:rFonts w:hint="eastAsia" w:ascii="宋体" w:hAnsi="宋体" w:cs="宋体"/>
                <w:color w:val="auto"/>
                <w:sz w:val="24"/>
                <w:szCs w:val="24"/>
                <w:highlight w:val="none"/>
              </w:rPr>
            </w:pPr>
          </w:p>
        </w:tc>
        <w:tc>
          <w:tcPr>
            <w:tcW w:w="710" w:type="dxa"/>
            <w:tcBorders>
              <w:top w:val="single" w:color="000000" w:sz="4" w:space="0"/>
              <w:left w:val="nil"/>
              <w:bottom w:val="single" w:color="000000" w:sz="4" w:space="0"/>
              <w:right w:val="single" w:color="000000" w:sz="4" w:space="0"/>
            </w:tcBorders>
            <w:noWrap w:val="0"/>
            <w:vAlign w:val="top"/>
          </w:tcPr>
          <w:p w14:paraId="79A973B5">
            <w:pPr>
              <w:shd w:val="clear"/>
              <w:ind w:firstLine="480" w:firstLineChars="200"/>
              <w:jc w:val="left"/>
              <w:rPr>
                <w:rFonts w:hint="eastAsia" w:ascii="宋体" w:hAnsi="宋体" w:cs="宋体"/>
                <w:color w:val="auto"/>
                <w:sz w:val="24"/>
                <w:szCs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2470BAF2">
            <w:pPr>
              <w:shd w:val="clear"/>
              <w:ind w:firstLine="480" w:firstLineChars="200"/>
              <w:jc w:val="left"/>
              <w:rPr>
                <w:rFonts w:hint="eastAsia" w:ascii="宋体" w:hAnsi="宋体" w:cs="宋体"/>
                <w:color w:val="auto"/>
                <w:sz w:val="24"/>
                <w:szCs w:val="24"/>
                <w:highlight w:val="none"/>
              </w:rPr>
            </w:pPr>
          </w:p>
        </w:tc>
      </w:tr>
      <w:tr w14:paraId="01632140">
        <w:tblPrEx>
          <w:tblCellMar>
            <w:top w:w="0" w:type="dxa"/>
            <w:left w:w="108" w:type="dxa"/>
            <w:bottom w:w="0" w:type="dxa"/>
            <w:right w:w="108" w:type="dxa"/>
          </w:tblCellMar>
        </w:tblPrEx>
        <w:trPr>
          <w:trHeight w:val="511" w:hRule="atLeast"/>
        </w:trPr>
        <w:tc>
          <w:tcPr>
            <w:tcW w:w="2906" w:type="dxa"/>
            <w:gridSpan w:val="2"/>
            <w:tcBorders>
              <w:top w:val="single" w:color="000000" w:sz="4" w:space="0"/>
              <w:left w:val="single" w:color="000000" w:sz="4" w:space="0"/>
              <w:bottom w:val="single" w:color="000000" w:sz="4" w:space="0"/>
              <w:right w:val="single" w:color="000000" w:sz="4" w:space="0"/>
            </w:tcBorders>
            <w:noWrap w:val="0"/>
            <w:vAlign w:val="top"/>
          </w:tcPr>
          <w:p w14:paraId="0D567FC4">
            <w:pPr>
              <w:shd w:val="clear"/>
              <w:spacing w:before="92"/>
              <w:ind w:right="-20"/>
              <w:jc w:val="center"/>
              <w:rPr>
                <w:rFonts w:hint="eastAsia" w:ascii="宋体" w:hAnsi="宋体" w:cs="宋体"/>
                <w:color w:val="auto"/>
                <w:sz w:val="24"/>
                <w:szCs w:val="24"/>
                <w:highlight w:val="none"/>
              </w:rPr>
            </w:pPr>
            <w:r>
              <w:rPr>
                <w:rFonts w:hint="eastAsia" w:ascii="宋体" w:hAnsi="宋体" w:cs="宋体"/>
                <w:color w:val="auto"/>
                <w:highlight w:val="none"/>
              </w:rPr>
              <w:t>最高投标限价：</w:t>
            </w:r>
          </w:p>
        </w:tc>
        <w:tc>
          <w:tcPr>
            <w:tcW w:w="6635" w:type="dxa"/>
            <w:gridSpan w:val="6"/>
            <w:tcBorders>
              <w:top w:val="single" w:color="000000" w:sz="4" w:space="0"/>
              <w:left w:val="nil"/>
              <w:bottom w:val="single" w:color="000000" w:sz="4" w:space="0"/>
              <w:right w:val="single" w:color="000000" w:sz="4" w:space="0"/>
            </w:tcBorders>
            <w:noWrap w:val="0"/>
            <w:vAlign w:val="top"/>
          </w:tcPr>
          <w:p w14:paraId="0B9FBAE9">
            <w:pPr>
              <w:shd w:val="clear"/>
              <w:ind w:firstLine="480" w:firstLineChars="200"/>
              <w:jc w:val="left"/>
              <w:rPr>
                <w:rFonts w:hint="eastAsia" w:ascii="宋体" w:hAnsi="宋体" w:cs="宋体"/>
                <w:color w:val="auto"/>
                <w:sz w:val="24"/>
                <w:szCs w:val="24"/>
                <w:highlight w:val="none"/>
              </w:rPr>
            </w:pPr>
          </w:p>
        </w:tc>
      </w:tr>
    </w:tbl>
    <w:p w14:paraId="057DF723">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8F9522F">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09E5130">
      <w:pPr>
        <w:shd w:val="clear"/>
        <w:spacing w:before="14" w:line="2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1F4617BD">
      <w:pPr>
        <w:shd w:val="clear"/>
        <w:spacing w:line="271" w:lineRule="exact"/>
        <w:ind w:left="220" w:right="-20" w:firstLine="420" w:firstLineChars="200"/>
        <w:jc w:val="left"/>
        <w:rPr>
          <w:rFonts w:hint="eastAsia"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ab/>
      </w:r>
      <w:r>
        <w:rPr>
          <w:rFonts w:hint="eastAsia" w:ascii="宋体" w:hAnsi="宋体" w:cs="宋体"/>
          <w:color w:val="auto"/>
          <w:highlight w:val="none"/>
        </w:rPr>
        <w:t>记录人：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ab/>
      </w:r>
      <w:r>
        <w:rPr>
          <w:rFonts w:hint="eastAsia" w:ascii="宋体" w:hAnsi="宋体" w:cs="宋体"/>
          <w:color w:val="auto"/>
          <w:highlight w:val="none"/>
        </w:rPr>
        <w:t>监标人：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p>
    <w:p w14:paraId="61AE36DC">
      <w:pPr>
        <w:shd w:val="clear"/>
        <w:spacing w:line="150" w:lineRule="exact"/>
        <w:ind w:firstLine="300" w:firstLineChars="200"/>
        <w:jc w:val="left"/>
        <w:rPr>
          <w:rFonts w:hint="eastAsia" w:ascii="宋体" w:hAnsi="宋体" w:cs="宋体"/>
          <w:color w:val="auto"/>
          <w:sz w:val="15"/>
          <w:szCs w:val="15"/>
          <w:highlight w:val="none"/>
        </w:rPr>
      </w:pPr>
      <w:r>
        <w:rPr>
          <w:rFonts w:hint="eastAsia" w:ascii="宋体" w:hAnsi="宋体" w:cs="宋体"/>
          <w:color w:val="auto"/>
          <w:sz w:val="15"/>
          <w:szCs w:val="15"/>
          <w:highlight w:val="none"/>
        </w:rPr>
        <w:t xml:space="preserve"> </w:t>
      </w:r>
    </w:p>
    <w:p w14:paraId="009118D2">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5C302722">
      <w:pPr>
        <w:shd w:val="clear"/>
        <w:spacing w:line="295" w:lineRule="exact"/>
        <w:ind w:right="96" w:firstLine="420" w:firstLineChars="20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日</w:t>
      </w:r>
    </w:p>
    <w:p w14:paraId="660AB8A3">
      <w:pPr>
        <w:shd w:val="clear"/>
        <w:spacing w:line="383" w:lineRule="exact"/>
        <w:ind w:right="-20"/>
        <w:jc w:val="left"/>
        <w:rPr>
          <w:rFonts w:hint="eastAsia" w:ascii="宋体" w:hAnsi="宋体" w:cs="宋体"/>
          <w:color w:val="auto"/>
          <w:sz w:val="28"/>
          <w:szCs w:val="28"/>
          <w:highlight w:val="none"/>
        </w:rPr>
      </w:pPr>
      <w:r>
        <w:rPr>
          <w:rFonts w:hint="eastAsia" w:ascii="宋体" w:hAnsi="宋体" w:cs="宋体"/>
          <w:b/>
          <w:bCs/>
          <w:color w:val="auto"/>
          <w:highlight w:val="none"/>
        </w:rPr>
        <w:t>注：以上格式只供参考，最终以广州交易集团有限公司（广州公共资源交易中心）系统生成格式为准。</w:t>
      </w:r>
      <w:r>
        <w:rPr>
          <w:rFonts w:hint="eastAsia" w:ascii="宋体" w:hAnsi="宋体" w:cs="宋体"/>
          <w:color w:val="auto"/>
          <w:highlight w:val="none"/>
        </w:rPr>
        <w:br w:type="page"/>
      </w:r>
      <w:r>
        <w:rPr>
          <w:rFonts w:hint="eastAsia" w:ascii="宋体" w:hAnsi="宋体" w:cs="宋体"/>
          <w:color w:val="auto"/>
          <w:sz w:val="28"/>
          <w:szCs w:val="28"/>
          <w:highlight w:val="none"/>
        </w:rPr>
        <w:t>附件二：问题澄清通知</w:t>
      </w:r>
    </w:p>
    <w:p w14:paraId="0C8A59F7">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BF325CF">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6C65BBD4">
      <w:pPr>
        <w:shd w:val="clear"/>
        <w:spacing w:line="373" w:lineRule="exact"/>
        <w:ind w:left="2556" w:right="40" w:hanging="2556" w:hangingChars="1278"/>
        <w:jc w:val="center"/>
        <w:rPr>
          <w:rFonts w:hint="eastAsia" w:ascii="宋体" w:hAnsi="宋体" w:cs="宋体"/>
          <w:color w:val="auto"/>
          <w:sz w:val="28"/>
          <w:highlight w:val="none"/>
        </w:rPr>
      </w:pPr>
      <w:r>
        <w:rPr>
          <w:rFonts w:hint="eastAsia" w:ascii="宋体" w:hAnsi="宋体" w:cs="宋体"/>
          <w:color w:val="auto"/>
          <w:sz w:val="20"/>
          <w:szCs w:val="20"/>
          <w:highlight w:val="none"/>
        </w:rPr>
        <w:t xml:space="preserve"> </w:t>
      </w:r>
      <w:r>
        <w:rPr>
          <w:rFonts w:hint="eastAsia" w:ascii="宋体" w:hAnsi="宋体" w:cs="宋体"/>
          <w:color w:val="auto"/>
          <w:sz w:val="28"/>
          <w:highlight w:val="none"/>
        </w:rPr>
        <w:t>以交易中心提供的格式为准</w:t>
      </w:r>
    </w:p>
    <w:p w14:paraId="1BB4B4FC">
      <w:pPr>
        <w:shd w:val="clear"/>
        <w:spacing w:line="383" w:lineRule="exact"/>
        <w:ind w:left="237" w:right="-20" w:firstLine="560" w:firstLineChars="200"/>
        <w:jc w:val="left"/>
        <w:rPr>
          <w:rFonts w:hint="eastAsia" w:ascii="宋体" w:hAnsi="宋体" w:cs="宋体"/>
          <w:color w:val="auto"/>
          <w:sz w:val="28"/>
          <w:szCs w:val="28"/>
          <w:highlight w:val="none"/>
        </w:rPr>
      </w:pPr>
    </w:p>
    <w:p w14:paraId="4848EE54">
      <w:pPr>
        <w:shd w:val="clear"/>
        <w:spacing w:line="383" w:lineRule="exact"/>
        <w:ind w:left="237" w:right="-20" w:firstLine="560" w:firstLineChars="200"/>
        <w:jc w:val="left"/>
        <w:rPr>
          <w:rFonts w:hint="eastAsia" w:ascii="宋体" w:hAnsi="宋体" w:cs="宋体"/>
          <w:color w:val="auto"/>
          <w:sz w:val="28"/>
          <w:szCs w:val="28"/>
          <w:highlight w:val="none"/>
        </w:rPr>
      </w:pPr>
    </w:p>
    <w:p w14:paraId="0CCCBBBE">
      <w:pPr>
        <w:shd w:val="clear"/>
        <w:spacing w:line="383" w:lineRule="exact"/>
        <w:ind w:right="-2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附件三：问题的澄清</w:t>
      </w:r>
    </w:p>
    <w:p w14:paraId="69F68974">
      <w:pPr>
        <w:shd w:val="clear"/>
        <w:spacing w:before="9" w:line="170" w:lineRule="exact"/>
        <w:ind w:firstLine="340" w:firstLineChars="200"/>
        <w:jc w:val="left"/>
        <w:rPr>
          <w:rFonts w:hint="eastAsia" w:ascii="宋体" w:hAnsi="宋体" w:cs="宋体"/>
          <w:color w:val="auto"/>
          <w:sz w:val="17"/>
          <w:szCs w:val="17"/>
          <w:highlight w:val="none"/>
        </w:rPr>
      </w:pPr>
      <w:r>
        <w:rPr>
          <w:rFonts w:hint="eastAsia" w:ascii="宋体" w:hAnsi="宋体" w:cs="宋体"/>
          <w:color w:val="auto"/>
          <w:sz w:val="17"/>
          <w:szCs w:val="17"/>
          <w:highlight w:val="none"/>
        </w:rPr>
        <w:t xml:space="preserve"> </w:t>
      </w:r>
    </w:p>
    <w:p w14:paraId="492F3D90">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535B374D">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9644261">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29C33EEA">
      <w:pPr>
        <w:shd w:val="clear"/>
        <w:spacing w:line="200" w:lineRule="exact"/>
        <w:ind w:firstLine="643" w:firstLineChars="200"/>
        <w:jc w:val="center"/>
        <w:rPr>
          <w:rFonts w:hint="eastAsia" w:ascii="宋体" w:hAnsi="宋体" w:cs="宋体"/>
          <w:b/>
          <w:bCs/>
          <w:color w:val="auto"/>
          <w:sz w:val="32"/>
          <w:szCs w:val="32"/>
          <w:highlight w:val="none"/>
        </w:rPr>
      </w:pPr>
    </w:p>
    <w:p w14:paraId="16442D1E">
      <w:pPr>
        <w:shd w:val="clear"/>
        <w:spacing w:line="463" w:lineRule="exact"/>
        <w:ind w:left="100" w:right="-20" w:firstLine="560" w:firstLineChars="200"/>
        <w:jc w:val="center"/>
        <w:rPr>
          <w:rFonts w:hint="eastAsia" w:ascii="宋体" w:hAnsi="宋体" w:cs="宋体"/>
          <w:color w:val="auto"/>
          <w:sz w:val="24"/>
          <w:szCs w:val="24"/>
          <w:highlight w:val="none"/>
        </w:rPr>
      </w:pPr>
      <w:bookmarkStart w:id="316" w:name="_Toc10780"/>
      <w:bookmarkEnd w:id="316"/>
      <w:bookmarkStart w:id="317" w:name="_Toc19513"/>
      <w:bookmarkEnd w:id="317"/>
      <w:bookmarkStart w:id="318" w:name="_Toc393961876"/>
      <w:bookmarkEnd w:id="318"/>
      <w:bookmarkStart w:id="319" w:name="_Toc514170131"/>
      <w:bookmarkEnd w:id="319"/>
      <w:bookmarkStart w:id="320" w:name="_Toc15544"/>
      <w:bookmarkEnd w:id="320"/>
      <w:bookmarkStart w:id="321" w:name="_Toc10286"/>
      <w:bookmarkEnd w:id="321"/>
      <w:bookmarkStart w:id="322" w:name="_Toc16484"/>
      <w:bookmarkEnd w:id="322"/>
      <w:bookmarkStart w:id="323" w:name="_Toc27162"/>
      <w:bookmarkEnd w:id="323"/>
      <w:bookmarkStart w:id="324" w:name="_Toc2468"/>
      <w:r>
        <w:rPr>
          <w:rFonts w:hint="eastAsia" w:ascii="宋体" w:hAnsi="宋体" w:cs="宋体"/>
          <w:color w:val="auto"/>
          <w:sz w:val="28"/>
          <w:highlight w:val="none"/>
        </w:rPr>
        <w:t>以交易中心提供的格式为准</w:t>
      </w:r>
    </w:p>
    <w:p w14:paraId="061A873A">
      <w:pPr>
        <w:shd w:val="clear"/>
        <w:ind w:firstLine="420" w:firstLineChars="200"/>
        <w:jc w:val="center"/>
        <w:outlineLvl w:val="9"/>
        <w:rPr>
          <w:rFonts w:hint="eastAsia" w:ascii="宋体" w:hAnsi="宋体" w:eastAsia="宋体" w:cs="宋体"/>
          <w:color w:val="auto"/>
          <w:highlight w:val="none"/>
        </w:rPr>
      </w:pPr>
      <w:bookmarkStart w:id="325" w:name="_Toc530640830"/>
      <w:bookmarkStart w:id="326" w:name="_Toc179"/>
    </w:p>
    <w:p w14:paraId="4CCD9767">
      <w:pPr>
        <w:shd w:val="clear"/>
        <w:spacing w:line="383" w:lineRule="exact"/>
        <w:ind w:right="-20"/>
        <w:jc w:val="left"/>
        <w:rPr>
          <w:rFonts w:hint="eastAsia" w:ascii="宋体" w:hAnsi="宋体" w:cs="宋体"/>
          <w:color w:val="auto"/>
          <w:position w:val="-4"/>
          <w:sz w:val="28"/>
          <w:highlight w:val="none"/>
        </w:rPr>
      </w:pPr>
      <w:r>
        <w:rPr>
          <w:rFonts w:hint="eastAsia" w:ascii="宋体" w:hAnsi="宋体" w:cs="宋体"/>
          <w:color w:val="auto"/>
          <w:position w:val="-4"/>
          <w:sz w:val="28"/>
          <w:highlight w:val="none"/>
        </w:rPr>
        <w:t>附件四：中标通知书</w:t>
      </w:r>
    </w:p>
    <w:p w14:paraId="08F75E67">
      <w:pPr>
        <w:shd w:val="clear"/>
        <w:spacing w:line="383" w:lineRule="exact"/>
        <w:ind w:left="237" w:right="-20"/>
        <w:jc w:val="left"/>
        <w:rPr>
          <w:rFonts w:hint="eastAsia" w:ascii="宋体" w:hAnsi="宋体" w:cs="宋体"/>
          <w:color w:val="auto"/>
          <w:position w:val="-4"/>
          <w:sz w:val="28"/>
          <w:highlight w:val="none"/>
        </w:rPr>
      </w:pPr>
    </w:p>
    <w:p w14:paraId="1B9AB33A">
      <w:pPr>
        <w:shd w:val="clear"/>
        <w:spacing w:line="383" w:lineRule="exact"/>
        <w:ind w:left="237" w:right="-20"/>
        <w:jc w:val="center"/>
        <w:rPr>
          <w:rFonts w:hint="eastAsia" w:ascii="宋体" w:hAnsi="宋体" w:cs="宋体"/>
          <w:color w:val="auto"/>
          <w:position w:val="-4"/>
          <w:sz w:val="28"/>
          <w:highlight w:val="none"/>
        </w:rPr>
      </w:pPr>
      <w:r>
        <w:rPr>
          <w:rFonts w:hint="eastAsia" w:ascii="宋体" w:hAnsi="宋体" w:cs="宋体"/>
          <w:color w:val="auto"/>
          <w:position w:val="-4"/>
          <w:sz w:val="28"/>
          <w:highlight w:val="none"/>
        </w:rPr>
        <w:t>中标通知书</w:t>
      </w:r>
    </w:p>
    <w:p w14:paraId="467359EE">
      <w:pPr>
        <w:shd w:val="clear"/>
        <w:spacing w:line="383" w:lineRule="exact"/>
        <w:ind w:left="237" w:right="-20"/>
        <w:jc w:val="left"/>
        <w:rPr>
          <w:rFonts w:hint="eastAsia" w:ascii="宋体" w:hAnsi="宋体" w:cs="宋体"/>
          <w:color w:val="auto"/>
          <w:position w:val="-4"/>
          <w:sz w:val="28"/>
          <w:highlight w:val="none"/>
        </w:rPr>
      </w:pPr>
    </w:p>
    <w:p w14:paraId="4A08A42B">
      <w:pPr>
        <w:shd w:val="clear"/>
        <w:spacing w:line="383" w:lineRule="exact"/>
        <w:ind w:left="237" w:right="-20"/>
        <w:jc w:val="left"/>
        <w:rPr>
          <w:rFonts w:hint="eastAsia" w:ascii="宋体" w:hAnsi="宋体" w:cs="宋体"/>
          <w:color w:val="auto"/>
          <w:position w:val="-4"/>
          <w:sz w:val="28"/>
          <w:szCs w:val="22"/>
          <w:highlight w:val="none"/>
        </w:rPr>
      </w:pPr>
      <w:r>
        <w:rPr>
          <w:rFonts w:hint="eastAsia" w:ascii="宋体" w:hAnsi="宋体" w:cs="宋体"/>
          <w:color w:val="auto"/>
          <w:position w:val="-4"/>
          <w:sz w:val="28"/>
          <w:szCs w:val="22"/>
          <w:highlight w:val="none"/>
        </w:rPr>
        <w:t>以</w:t>
      </w:r>
      <w:r>
        <w:rPr>
          <w:rFonts w:hint="eastAsia" w:ascii="宋体" w:hAnsi="宋体" w:cs="宋体"/>
          <w:color w:val="auto"/>
          <w:sz w:val="28"/>
          <w:szCs w:val="28"/>
          <w:highlight w:val="none"/>
        </w:rPr>
        <w:t>广州交易集团有限公司（广州公共资源交易中心）</w:t>
      </w:r>
      <w:r>
        <w:rPr>
          <w:rFonts w:hint="eastAsia" w:ascii="宋体" w:hAnsi="宋体" w:cs="宋体"/>
          <w:color w:val="auto"/>
          <w:position w:val="-4"/>
          <w:sz w:val="28"/>
          <w:szCs w:val="22"/>
          <w:highlight w:val="none"/>
        </w:rPr>
        <w:t>印制的《广州建设工程中标通知书》为准。</w:t>
      </w:r>
    </w:p>
    <w:p w14:paraId="25160E4D">
      <w:pPr>
        <w:pStyle w:val="4"/>
        <w:shd w:val="clear"/>
        <w:ind w:firstLine="643"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D5EED14">
      <w:pPr>
        <w:pStyle w:val="4"/>
        <w:shd w:val="clear"/>
        <w:ind w:firstLine="643" w:firstLineChars="200"/>
        <w:jc w:val="center"/>
        <w:rPr>
          <w:rFonts w:hint="eastAsia" w:ascii="宋体" w:hAnsi="宋体" w:eastAsia="宋体" w:cs="宋体"/>
          <w:color w:val="auto"/>
          <w:highlight w:val="none"/>
        </w:rPr>
      </w:pPr>
      <w:bookmarkStart w:id="327" w:name="_Toc16004"/>
      <w:r>
        <w:rPr>
          <w:rFonts w:hint="eastAsia" w:ascii="宋体" w:hAnsi="宋体" w:eastAsia="宋体" w:cs="宋体"/>
          <w:color w:val="auto"/>
          <w:highlight w:val="none"/>
        </w:rPr>
        <w:t>第三章  评标办法（综合评估法）</w:t>
      </w:r>
      <w:bookmarkEnd w:id="325"/>
      <w:bookmarkEnd w:id="326"/>
      <w:bookmarkEnd w:id="327"/>
    </w:p>
    <w:p w14:paraId="7AD4C129">
      <w:pPr>
        <w:pStyle w:val="4"/>
        <w:shd w:val="clear"/>
        <w:jc w:val="center"/>
        <w:rPr>
          <w:rFonts w:hint="eastAsia" w:ascii="宋体" w:hAnsi="宋体" w:eastAsia="宋体" w:cs="宋体"/>
          <w:color w:val="auto"/>
          <w:sz w:val="28"/>
          <w:szCs w:val="28"/>
          <w:highlight w:val="none"/>
        </w:rPr>
      </w:pPr>
      <w:bookmarkStart w:id="328" w:name="_Toc32266"/>
      <w:bookmarkEnd w:id="328"/>
      <w:bookmarkStart w:id="329" w:name="_Toc16683"/>
      <w:bookmarkEnd w:id="329"/>
      <w:bookmarkStart w:id="330" w:name="_Toc514170132"/>
      <w:bookmarkEnd w:id="330"/>
      <w:bookmarkStart w:id="331" w:name="_Toc24228"/>
      <w:bookmarkEnd w:id="331"/>
      <w:bookmarkStart w:id="332" w:name="_Toc393961877"/>
      <w:bookmarkEnd w:id="332"/>
      <w:bookmarkStart w:id="333" w:name="_Toc248"/>
      <w:bookmarkEnd w:id="333"/>
      <w:bookmarkStart w:id="334" w:name="_Toc28666"/>
      <w:bookmarkEnd w:id="334"/>
      <w:bookmarkStart w:id="335" w:name="_Toc530640831"/>
      <w:bookmarkStart w:id="336" w:name="_Toc30727"/>
      <w:bookmarkStart w:id="337" w:name="_Toc5818"/>
      <w:r>
        <w:rPr>
          <w:rFonts w:hint="eastAsia" w:ascii="宋体" w:hAnsi="宋体" w:eastAsia="宋体" w:cs="宋体"/>
          <w:color w:val="auto"/>
          <w:highlight w:val="none"/>
        </w:rPr>
        <w:t>评标办法前附表</w:t>
      </w:r>
      <w:bookmarkEnd w:id="335"/>
      <w:bookmarkEnd w:id="336"/>
      <w:bookmarkEnd w:id="337"/>
      <w:bookmarkStart w:id="338" w:name="_Toc514170133"/>
      <w:bookmarkEnd w:id="338"/>
      <w:bookmarkStart w:id="339" w:name="_Toc13470"/>
      <w:bookmarkEnd w:id="339"/>
      <w:bookmarkStart w:id="340" w:name="_Toc22155"/>
      <w:bookmarkEnd w:id="340"/>
      <w:bookmarkStart w:id="341" w:name="_Toc19290"/>
      <w:bookmarkEnd w:id="341"/>
      <w:bookmarkStart w:id="342" w:name="_Toc12886"/>
      <w:bookmarkEnd w:id="342"/>
      <w:bookmarkStart w:id="343" w:name="_Toc24248"/>
      <w:bookmarkEnd w:id="343"/>
    </w:p>
    <w:tbl>
      <w:tblPr>
        <w:tblStyle w:val="27"/>
        <w:tblW w:w="952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1"/>
        <w:gridCol w:w="952"/>
        <w:gridCol w:w="8"/>
        <w:gridCol w:w="2359"/>
        <w:gridCol w:w="5215"/>
      </w:tblGrid>
      <w:tr w14:paraId="4702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gridSpan w:val="3"/>
            <w:noWrap w:val="0"/>
            <w:vAlign w:val="center"/>
          </w:tcPr>
          <w:p w14:paraId="7722BB52">
            <w:pPr>
              <w:shd w:val="clear"/>
              <w:spacing w:line="360" w:lineRule="auto"/>
              <w:jc w:val="center"/>
              <w:rPr>
                <w:rFonts w:hint="eastAsia" w:ascii="宋体" w:hAnsi="宋体" w:cs="宋体"/>
                <w:b/>
                <w:color w:val="auto"/>
                <w:highlight w:val="none"/>
              </w:rPr>
            </w:pPr>
            <w:r>
              <w:rPr>
                <w:rFonts w:hint="eastAsia" w:ascii="宋体" w:hAnsi="宋体" w:cs="宋体"/>
                <w:b/>
                <w:color w:val="auto"/>
                <w:highlight w:val="none"/>
              </w:rPr>
              <w:t>条款号</w:t>
            </w:r>
          </w:p>
        </w:tc>
        <w:tc>
          <w:tcPr>
            <w:tcW w:w="2367" w:type="dxa"/>
            <w:gridSpan w:val="2"/>
            <w:noWrap w:val="0"/>
            <w:vAlign w:val="center"/>
          </w:tcPr>
          <w:p w14:paraId="7CFC3E9F">
            <w:pPr>
              <w:shd w:val="clear"/>
              <w:spacing w:line="360" w:lineRule="auto"/>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15" w:type="dxa"/>
            <w:noWrap w:val="0"/>
            <w:vAlign w:val="center"/>
          </w:tcPr>
          <w:p w14:paraId="5A08BBE6">
            <w:pPr>
              <w:shd w:val="clear"/>
              <w:spacing w:line="360" w:lineRule="auto"/>
              <w:jc w:val="center"/>
              <w:rPr>
                <w:rFonts w:hint="eastAsia" w:ascii="宋体" w:hAnsi="宋体" w:cs="宋体"/>
                <w:b/>
                <w:color w:val="auto"/>
                <w:highlight w:val="none"/>
              </w:rPr>
            </w:pPr>
            <w:r>
              <w:rPr>
                <w:rFonts w:hint="eastAsia" w:ascii="宋体" w:hAnsi="宋体" w:cs="宋体"/>
                <w:b/>
                <w:color w:val="auto"/>
                <w:highlight w:val="none"/>
              </w:rPr>
              <w:t>评审标准</w:t>
            </w:r>
          </w:p>
        </w:tc>
      </w:tr>
      <w:tr w14:paraId="22B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7" w:type="dxa"/>
            <w:noWrap w:val="0"/>
            <w:vAlign w:val="center"/>
          </w:tcPr>
          <w:p w14:paraId="60093B5F">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083" w:type="dxa"/>
            <w:gridSpan w:val="2"/>
            <w:noWrap w:val="0"/>
            <w:vAlign w:val="center"/>
          </w:tcPr>
          <w:p w14:paraId="4BDC78E7">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评标方法</w:t>
            </w:r>
          </w:p>
        </w:tc>
        <w:tc>
          <w:tcPr>
            <w:tcW w:w="2367" w:type="dxa"/>
            <w:gridSpan w:val="2"/>
            <w:noWrap w:val="0"/>
            <w:vAlign w:val="center"/>
          </w:tcPr>
          <w:p w14:paraId="523C3291">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中标候选人排序方法</w:t>
            </w:r>
          </w:p>
        </w:tc>
        <w:tc>
          <w:tcPr>
            <w:tcW w:w="5215" w:type="dxa"/>
            <w:noWrap w:val="0"/>
            <w:vAlign w:val="center"/>
          </w:tcPr>
          <w:p w14:paraId="7A187FBE">
            <w:pPr>
              <w:shd w:val="clear"/>
              <w:rPr>
                <w:rFonts w:hint="eastAsia" w:ascii="宋体" w:hAnsi="宋体" w:cs="宋体"/>
                <w:color w:val="auto"/>
                <w:highlight w:val="none"/>
              </w:rPr>
            </w:pPr>
            <w:r>
              <w:rPr>
                <w:rFonts w:hint="eastAsia" w:ascii="宋体" w:hAnsi="宋体" w:cs="宋体"/>
                <w:color w:val="auto"/>
                <w:highlight w:val="none"/>
              </w:rPr>
              <w:t>本次评标采用综合评估法。评标委员会对满足招标文件实质性要求的投标文件，按照本章第2.2款规定的评分标准进行打分，并按得分由高到低顺序推荐中标候选人。综合评分相等时，以投标报价低的优先；投标报价也相等的，以诚信综合评价排名靠前的排前；如诚信综合评价排名也相等的，以监理大纲得分高的优先；如仍存在相同情况，则对具有相同情况的投标人，按中标候选人数量规定，由评标委员会采用投票表决方式，确定中标候选人的排序。</w:t>
            </w:r>
          </w:p>
          <w:p w14:paraId="1F43EA2B">
            <w:pPr>
              <w:shd w:val="clear"/>
              <w:rPr>
                <w:rFonts w:hint="eastAsia" w:ascii="宋体" w:hAnsi="宋体" w:cs="宋体"/>
                <w:color w:val="auto"/>
                <w:highlight w:val="none"/>
              </w:rPr>
            </w:pPr>
            <w:r>
              <w:rPr>
                <w:rFonts w:hint="eastAsia" w:ascii="宋体" w:hAnsi="宋体" w:cs="宋体"/>
                <w:color w:val="auto"/>
                <w:highlight w:val="none"/>
              </w:rPr>
              <w:t>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tc>
      </w:tr>
      <w:tr w14:paraId="5031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7" w:type="dxa"/>
            <w:vMerge w:val="restart"/>
            <w:noWrap w:val="0"/>
            <w:vAlign w:val="center"/>
          </w:tcPr>
          <w:p w14:paraId="7E75F26C">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2.1.1</w:t>
            </w:r>
          </w:p>
        </w:tc>
        <w:tc>
          <w:tcPr>
            <w:tcW w:w="1083" w:type="dxa"/>
            <w:gridSpan w:val="2"/>
            <w:vMerge w:val="restart"/>
            <w:noWrap w:val="0"/>
            <w:vAlign w:val="center"/>
          </w:tcPr>
          <w:p w14:paraId="44567A8D">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形式评审标准</w:t>
            </w:r>
          </w:p>
        </w:tc>
        <w:tc>
          <w:tcPr>
            <w:tcW w:w="2367" w:type="dxa"/>
            <w:gridSpan w:val="2"/>
            <w:noWrap w:val="0"/>
            <w:vAlign w:val="center"/>
          </w:tcPr>
          <w:p w14:paraId="1B9A4E02">
            <w:pPr>
              <w:shd w:val="clear"/>
              <w:jc w:val="center"/>
              <w:rPr>
                <w:rFonts w:hint="eastAsia" w:ascii="宋体" w:hAnsi="宋体" w:cs="宋体"/>
                <w:color w:val="auto"/>
                <w:highlight w:val="none"/>
              </w:rPr>
            </w:pPr>
            <w:r>
              <w:rPr>
                <w:rFonts w:hint="eastAsia" w:ascii="宋体" w:hAnsi="宋体" w:cs="宋体"/>
                <w:color w:val="auto"/>
                <w:highlight w:val="none"/>
              </w:rPr>
              <w:t>投标人名称</w:t>
            </w:r>
          </w:p>
        </w:tc>
        <w:tc>
          <w:tcPr>
            <w:tcW w:w="5215" w:type="dxa"/>
            <w:noWrap w:val="0"/>
            <w:vAlign w:val="center"/>
          </w:tcPr>
          <w:p w14:paraId="20A57187">
            <w:pPr>
              <w:shd w:val="clear"/>
              <w:rPr>
                <w:rFonts w:hint="eastAsia" w:ascii="宋体" w:hAnsi="宋体" w:cs="宋体"/>
                <w:color w:val="auto"/>
                <w:highlight w:val="none"/>
              </w:rPr>
            </w:pPr>
            <w:r>
              <w:rPr>
                <w:rFonts w:hint="eastAsia" w:ascii="宋体" w:hAnsi="宋体" w:cs="宋体"/>
                <w:color w:val="auto"/>
                <w:highlight w:val="none"/>
              </w:rPr>
              <w:t>与营业执照、资质证书一致；</w:t>
            </w:r>
          </w:p>
        </w:tc>
      </w:tr>
      <w:tr w14:paraId="2FA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023FD2F9">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673D33DF">
            <w:pPr>
              <w:widowControl/>
              <w:shd w:val="clear"/>
              <w:jc w:val="left"/>
              <w:rPr>
                <w:rFonts w:hint="eastAsia" w:ascii="宋体" w:hAnsi="宋体" w:cs="宋体"/>
                <w:color w:val="auto"/>
                <w:highlight w:val="none"/>
              </w:rPr>
            </w:pPr>
          </w:p>
        </w:tc>
        <w:tc>
          <w:tcPr>
            <w:tcW w:w="2367" w:type="dxa"/>
            <w:gridSpan w:val="2"/>
            <w:noWrap w:val="0"/>
            <w:vAlign w:val="center"/>
          </w:tcPr>
          <w:p w14:paraId="69C29138">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投标函及投标函附录签字盖章</w:t>
            </w:r>
          </w:p>
        </w:tc>
        <w:tc>
          <w:tcPr>
            <w:tcW w:w="5215" w:type="dxa"/>
            <w:noWrap w:val="0"/>
            <w:vAlign w:val="center"/>
          </w:tcPr>
          <w:p w14:paraId="231FEBF1">
            <w:pPr>
              <w:shd w:val="clear"/>
              <w:rPr>
                <w:rFonts w:hint="eastAsia" w:ascii="宋体" w:hAnsi="宋体" w:cs="宋体"/>
                <w:color w:val="auto"/>
                <w:highlight w:val="none"/>
              </w:rPr>
            </w:pPr>
            <w:r>
              <w:rPr>
                <w:rFonts w:hint="eastAsia" w:ascii="宋体" w:hAnsi="宋体" w:cs="宋体"/>
                <w:color w:val="auto"/>
                <w:highlight w:val="none"/>
              </w:rPr>
              <w:t>有法定代表人或被授权人签字或盖章或加盖单位章。由法定代表人签字或盖章的，应附法定代表人身份证明，由被授权人签字或盖章的，应附授权委托书，身份证明或授权委托书应符合第六章“投标文件格式”的规定。</w:t>
            </w:r>
          </w:p>
        </w:tc>
      </w:tr>
      <w:tr w14:paraId="63A9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7D1757D4">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1B66EF53">
            <w:pPr>
              <w:widowControl/>
              <w:shd w:val="clear"/>
              <w:jc w:val="left"/>
              <w:rPr>
                <w:rFonts w:hint="eastAsia" w:ascii="宋体" w:hAnsi="宋体" w:cs="宋体"/>
                <w:color w:val="auto"/>
                <w:highlight w:val="none"/>
              </w:rPr>
            </w:pPr>
          </w:p>
        </w:tc>
        <w:tc>
          <w:tcPr>
            <w:tcW w:w="2367" w:type="dxa"/>
            <w:gridSpan w:val="2"/>
            <w:noWrap w:val="0"/>
            <w:vAlign w:val="center"/>
          </w:tcPr>
          <w:p w14:paraId="5532049A">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投标文件格式</w:t>
            </w:r>
          </w:p>
        </w:tc>
        <w:tc>
          <w:tcPr>
            <w:tcW w:w="5215" w:type="dxa"/>
            <w:noWrap w:val="0"/>
            <w:vAlign w:val="center"/>
          </w:tcPr>
          <w:p w14:paraId="341D9350">
            <w:pPr>
              <w:shd w:val="clear"/>
              <w:rPr>
                <w:rFonts w:hint="eastAsia" w:ascii="宋体" w:hAnsi="宋体" w:cs="宋体"/>
                <w:color w:val="auto"/>
                <w:highlight w:val="none"/>
              </w:rPr>
            </w:pPr>
            <w:r>
              <w:rPr>
                <w:rFonts w:hint="eastAsia" w:ascii="宋体" w:hAnsi="宋体" w:cs="宋体"/>
                <w:color w:val="auto"/>
                <w:highlight w:val="none"/>
              </w:rPr>
              <w:t>符合第六章“投标文件格式”格式一“投标函及投标函附录”的规定；</w:t>
            </w:r>
          </w:p>
        </w:tc>
      </w:tr>
      <w:tr w14:paraId="51E7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5C9FA2C6">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65CC9795">
            <w:pPr>
              <w:widowControl/>
              <w:shd w:val="clear"/>
              <w:jc w:val="left"/>
              <w:rPr>
                <w:rFonts w:hint="eastAsia" w:ascii="宋体" w:hAnsi="宋体" w:cs="宋体"/>
                <w:color w:val="auto"/>
                <w:highlight w:val="none"/>
              </w:rPr>
            </w:pPr>
          </w:p>
        </w:tc>
        <w:tc>
          <w:tcPr>
            <w:tcW w:w="2367" w:type="dxa"/>
            <w:gridSpan w:val="2"/>
            <w:noWrap w:val="0"/>
            <w:vAlign w:val="center"/>
          </w:tcPr>
          <w:p w14:paraId="12876E29">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联合体投标人</w:t>
            </w:r>
          </w:p>
        </w:tc>
        <w:tc>
          <w:tcPr>
            <w:tcW w:w="5215" w:type="dxa"/>
            <w:noWrap w:val="0"/>
            <w:vAlign w:val="center"/>
          </w:tcPr>
          <w:p w14:paraId="157324F6">
            <w:pPr>
              <w:shd w:val="clear"/>
              <w:rPr>
                <w:rFonts w:hint="eastAsia" w:ascii="宋体" w:hAnsi="宋体" w:cs="宋体"/>
                <w:color w:val="auto"/>
                <w:highlight w:val="none"/>
              </w:rPr>
            </w:pPr>
            <w:r>
              <w:rPr>
                <w:rFonts w:hint="eastAsia" w:ascii="宋体" w:hAnsi="宋体" w:cs="宋体"/>
                <w:color w:val="auto"/>
                <w:highlight w:val="none"/>
              </w:rPr>
              <w:t>不接受联合体投标；</w:t>
            </w:r>
          </w:p>
        </w:tc>
      </w:tr>
      <w:tr w14:paraId="1A99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2DC3CA25">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305AA96F">
            <w:pPr>
              <w:widowControl/>
              <w:shd w:val="clear"/>
              <w:jc w:val="left"/>
              <w:rPr>
                <w:rFonts w:hint="eastAsia" w:ascii="宋体" w:hAnsi="宋体" w:cs="宋体"/>
                <w:color w:val="auto"/>
                <w:highlight w:val="none"/>
              </w:rPr>
            </w:pPr>
          </w:p>
        </w:tc>
        <w:tc>
          <w:tcPr>
            <w:tcW w:w="2367" w:type="dxa"/>
            <w:gridSpan w:val="2"/>
            <w:noWrap w:val="0"/>
            <w:vAlign w:val="center"/>
          </w:tcPr>
          <w:p w14:paraId="111AC745">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备选投标方案</w:t>
            </w:r>
          </w:p>
        </w:tc>
        <w:tc>
          <w:tcPr>
            <w:tcW w:w="5215" w:type="dxa"/>
            <w:noWrap w:val="0"/>
            <w:vAlign w:val="center"/>
          </w:tcPr>
          <w:p w14:paraId="512225E0">
            <w:pPr>
              <w:shd w:val="clear"/>
              <w:rPr>
                <w:rFonts w:hint="eastAsia" w:ascii="宋体" w:hAnsi="宋体" w:cs="宋体"/>
                <w:color w:val="auto"/>
                <w:highlight w:val="none"/>
              </w:rPr>
            </w:pPr>
            <w:r>
              <w:rPr>
                <w:rFonts w:hint="eastAsia" w:ascii="宋体" w:hAnsi="宋体" w:cs="宋体"/>
                <w:color w:val="auto"/>
                <w:highlight w:val="none"/>
              </w:rPr>
              <w:t>不接受备选投标方案；</w:t>
            </w:r>
          </w:p>
        </w:tc>
      </w:tr>
      <w:tr w14:paraId="3109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74E37F2D">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66668224">
            <w:pPr>
              <w:widowControl/>
              <w:shd w:val="clear"/>
              <w:jc w:val="left"/>
              <w:rPr>
                <w:rFonts w:hint="eastAsia" w:ascii="宋体" w:hAnsi="宋体" w:cs="宋体"/>
                <w:color w:val="auto"/>
                <w:highlight w:val="none"/>
              </w:rPr>
            </w:pPr>
          </w:p>
        </w:tc>
        <w:tc>
          <w:tcPr>
            <w:tcW w:w="2367" w:type="dxa"/>
            <w:gridSpan w:val="2"/>
            <w:noWrap w:val="0"/>
            <w:vAlign w:val="center"/>
          </w:tcPr>
          <w:p w14:paraId="0765AE21">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投标人机器码</w:t>
            </w:r>
          </w:p>
        </w:tc>
        <w:tc>
          <w:tcPr>
            <w:tcW w:w="5215" w:type="dxa"/>
            <w:noWrap w:val="0"/>
            <w:vAlign w:val="center"/>
          </w:tcPr>
          <w:p w14:paraId="04BE8B34">
            <w:pPr>
              <w:shd w:val="clear"/>
              <w:rPr>
                <w:rFonts w:hint="eastAsia" w:ascii="宋体" w:hAnsi="宋体" w:cs="宋体"/>
                <w:color w:val="auto"/>
                <w:highlight w:val="none"/>
              </w:rPr>
            </w:pPr>
            <w:r>
              <w:rPr>
                <w:rFonts w:hint="eastAsia" w:ascii="宋体" w:hAnsi="宋体" w:cs="宋体"/>
                <w:color w:val="auto"/>
                <w:highlight w:val="none"/>
              </w:rPr>
              <w:t>投标人与本项目其他投标人加密打包投标文件电脑机器特征码一致的(以广州公共资源交易中心评标系统的检索信息为准)将被否决。</w:t>
            </w:r>
          </w:p>
        </w:tc>
      </w:tr>
      <w:tr w14:paraId="4B19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noWrap w:val="0"/>
            <w:vAlign w:val="center"/>
          </w:tcPr>
          <w:p w14:paraId="4E559FC9">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2.1.2</w:t>
            </w:r>
          </w:p>
        </w:tc>
        <w:tc>
          <w:tcPr>
            <w:tcW w:w="1083" w:type="dxa"/>
            <w:gridSpan w:val="2"/>
            <w:vMerge w:val="restart"/>
            <w:noWrap w:val="0"/>
            <w:vAlign w:val="center"/>
          </w:tcPr>
          <w:p w14:paraId="2EA27890">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资格评审标准</w:t>
            </w:r>
          </w:p>
        </w:tc>
        <w:tc>
          <w:tcPr>
            <w:tcW w:w="2367" w:type="dxa"/>
            <w:gridSpan w:val="2"/>
            <w:noWrap w:val="0"/>
            <w:vAlign w:val="center"/>
          </w:tcPr>
          <w:p w14:paraId="28A4CBAF">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营业执照和组织机构代码证</w:t>
            </w:r>
          </w:p>
        </w:tc>
        <w:tc>
          <w:tcPr>
            <w:tcW w:w="5215" w:type="dxa"/>
            <w:noWrap w:val="0"/>
            <w:vAlign w:val="center"/>
          </w:tcPr>
          <w:p w14:paraId="4506DBEF">
            <w:pPr>
              <w:shd w:val="clear"/>
              <w:rPr>
                <w:rFonts w:hint="eastAsia" w:ascii="宋体" w:hAnsi="宋体" w:cs="宋体"/>
                <w:color w:val="auto"/>
                <w:highlight w:val="none"/>
              </w:rPr>
            </w:pPr>
            <w:r>
              <w:rPr>
                <w:rFonts w:hint="eastAsia" w:ascii="宋体" w:hAnsi="宋体" w:cs="宋体"/>
                <w:color w:val="auto"/>
                <w:highlight w:val="none"/>
              </w:rPr>
              <w:t>符合第二章“投标人须知”第3.5.1项规定</w:t>
            </w:r>
          </w:p>
        </w:tc>
      </w:tr>
      <w:tr w14:paraId="02FB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11FABC4B">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292A9FA1">
            <w:pPr>
              <w:widowControl/>
              <w:shd w:val="clear"/>
              <w:jc w:val="left"/>
              <w:rPr>
                <w:rFonts w:hint="eastAsia" w:ascii="宋体" w:hAnsi="宋体" w:cs="宋体"/>
                <w:color w:val="auto"/>
                <w:highlight w:val="none"/>
              </w:rPr>
            </w:pPr>
          </w:p>
        </w:tc>
        <w:tc>
          <w:tcPr>
            <w:tcW w:w="2367" w:type="dxa"/>
            <w:gridSpan w:val="2"/>
            <w:noWrap w:val="0"/>
            <w:vAlign w:val="center"/>
          </w:tcPr>
          <w:p w14:paraId="0E6BE4E2">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资质要求</w:t>
            </w:r>
          </w:p>
        </w:tc>
        <w:tc>
          <w:tcPr>
            <w:tcW w:w="5215" w:type="dxa"/>
            <w:noWrap w:val="0"/>
            <w:vAlign w:val="center"/>
          </w:tcPr>
          <w:p w14:paraId="724BDE8B">
            <w:pPr>
              <w:shd w:val="clear"/>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14:paraId="1B8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1F1F2F3D">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036AFC51">
            <w:pPr>
              <w:widowControl/>
              <w:shd w:val="clear"/>
              <w:jc w:val="left"/>
              <w:rPr>
                <w:rFonts w:hint="eastAsia" w:ascii="宋体" w:hAnsi="宋体" w:cs="宋体"/>
                <w:color w:val="auto"/>
                <w:highlight w:val="none"/>
              </w:rPr>
            </w:pPr>
          </w:p>
        </w:tc>
        <w:tc>
          <w:tcPr>
            <w:tcW w:w="2367" w:type="dxa"/>
            <w:gridSpan w:val="2"/>
            <w:noWrap w:val="0"/>
            <w:vAlign w:val="center"/>
          </w:tcPr>
          <w:p w14:paraId="1D93A3B6">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财务要求</w:t>
            </w:r>
          </w:p>
        </w:tc>
        <w:tc>
          <w:tcPr>
            <w:tcW w:w="5215" w:type="dxa"/>
            <w:noWrap w:val="0"/>
            <w:vAlign w:val="center"/>
          </w:tcPr>
          <w:p w14:paraId="2846F2F0">
            <w:pPr>
              <w:shd w:val="clear"/>
              <w:rPr>
                <w:rFonts w:hint="eastAsia" w:ascii="宋体" w:hAnsi="宋体" w:cs="宋体"/>
                <w:color w:val="auto"/>
                <w:highlight w:val="none"/>
              </w:rPr>
            </w:pPr>
            <w:r>
              <w:rPr>
                <w:rFonts w:hint="eastAsia" w:ascii="宋体" w:hAnsi="宋体" w:cs="宋体"/>
                <w:color w:val="auto"/>
                <w:highlight w:val="none"/>
              </w:rPr>
              <w:t>/</w:t>
            </w:r>
          </w:p>
        </w:tc>
      </w:tr>
      <w:tr w14:paraId="186C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64C3C057">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2FB9C1D1">
            <w:pPr>
              <w:widowControl/>
              <w:shd w:val="clear"/>
              <w:jc w:val="left"/>
              <w:rPr>
                <w:rFonts w:hint="eastAsia" w:ascii="宋体" w:hAnsi="宋体" w:cs="宋体"/>
                <w:color w:val="auto"/>
                <w:highlight w:val="none"/>
              </w:rPr>
            </w:pPr>
          </w:p>
        </w:tc>
        <w:tc>
          <w:tcPr>
            <w:tcW w:w="2367" w:type="dxa"/>
            <w:gridSpan w:val="2"/>
            <w:noWrap w:val="0"/>
            <w:vAlign w:val="center"/>
          </w:tcPr>
          <w:p w14:paraId="614B4C4B">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业绩要求</w:t>
            </w:r>
          </w:p>
        </w:tc>
        <w:tc>
          <w:tcPr>
            <w:tcW w:w="5215" w:type="dxa"/>
            <w:noWrap w:val="0"/>
            <w:vAlign w:val="center"/>
          </w:tcPr>
          <w:p w14:paraId="643B003C">
            <w:pPr>
              <w:shd w:val="clear"/>
              <w:rPr>
                <w:rFonts w:hint="eastAsia" w:ascii="宋体" w:hAnsi="宋体" w:cs="宋体"/>
                <w:color w:val="auto"/>
                <w:highlight w:val="none"/>
              </w:rPr>
            </w:pPr>
            <w:r>
              <w:rPr>
                <w:rFonts w:hint="eastAsia" w:ascii="宋体" w:hAnsi="宋体" w:cs="宋体"/>
                <w:color w:val="auto"/>
                <w:highlight w:val="none"/>
              </w:rPr>
              <w:t>/</w:t>
            </w:r>
          </w:p>
        </w:tc>
      </w:tr>
      <w:tr w14:paraId="6DF8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7" w:type="dxa"/>
            <w:vMerge w:val="continue"/>
            <w:noWrap w:val="0"/>
            <w:vAlign w:val="center"/>
          </w:tcPr>
          <w:p w14:paraId="1BAF2718">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083976D4">
            <w:pPr>
              <w:widowControl/>
              <w:shd w:val="clear"/>
              <w:jc w:val="left"/>
              <w:rPr>
                <w:rFonts w:hint="eastAsia" w:ascii="宋体" w:hAnsi="宋体" w:cs="宋体"/>
                <w:color w:val="auto"/>
                <w:highlight w:val="none"/>
              </w:rPr>
            </w:pPr>
          </w:p>
        </w:tc>
        <w:tc>
          <w:tcPr>
            <w:tcW w:w="2367" w:type="dxa"/>
            <w:gridSpan w:val="2"/>
            <w:noWrap w:val="0"/>
            <w:vAlign w:val="center"/>
          </w:tcPr>
          <w:p w14:paraId="0E9E2A20">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信誉要求</w:t>
            </w:r>
          </w:p>
        </w:tc>
        <w:tc>
          <w:tcPr>
            <w:tcW w:w="5215" w:type="dxa"/>
            <w:noWrap w:val="0"/>
            <w:vAlign w:val="center"/>
          </w:tcPr>
          <w:p w14:paraId="187AE800">
            <w:pPr>
              <w:shd w:val="clear"/>
              <w:rPr>
                <w:rFonts w:hint="eastAsia" w:ascii="宋体" w:hAnsi="宋体" w:cs="宋体"/>
                <w:color w:val="auto"/>
                <w:highlight w:val="none"/>
              </w:rPr>
            </w:pPr>
            <w:r>
              <w:rPr>
                <w:rFonts w:hint="eastAsia" w:ascii="宋体" w:hAnsi="宋体" w:cs="宋体"/>
                <w:color w:val="auto"/>
                <w:highlight w:val="none"/>
              </w:rPr>
              <w:t>/</w:t>
            </w:r>
          </w:p>
        </w:tc>
      </w:tr>
      <w:tr w14:paraId="380F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7" w:type="dxa"/>
            <w:vMerge w:val="continue"/>
            <w:noWrap w:val="0"/>
            <w:vAlign w:val="center"/>
          </w:tcPr>
          <w:p w14:paraId="777DF67E">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2C3EA9E8">
            <w:pPr>
              <w:widowControl/>
              <w:shd w:val="clear"/>
              <w:jc w:val="left"/>
              <w:rPr>
                <w:rFonts w:hint="eastAsia" w:ascii="宋体" w:hAnsi="宋体" w:cs="宋体"/>
                <w:color w:val="auto"/>
                <w:highlight w:val="none"/>
              </w:rPr>
            </w:pPr>
          </w:p>
        </w:tc>
        <w:tc>
          <w:tcPr>
            <w:tcW w:w="2367" w:type="dxa"/>
            <w:gridSpan w:val="2"/>
            <w:noWrap w:val="0"/>
            <w:vAlign w:val="center"/>
          </w:tcPr>
          <w:p w14:paraId="5DC78540">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5215" w:type="dxa"/>
            <w:noWrap w:val="0"/>
            <w:vAlign w:val="center"/>
          </w:tcPr>
          <w:p w14:paraId="3CDCDCB2">
            <w:pPr>
              <w:shd w:val="clear"/>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14:paraId="5BDA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7" w:type="dxa"/>
            <w:vMerge w:val="continue"/>
            <w:noWrap w:val="0"/>
            <w:vAlign w:val="center"/>
          </w:tcPr>
          <w:p w14:paraId="4002D0D4">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36EA9188">
            <w:pPr>
              <w:widowControl/>
              <w:shd w:val="clear"/>
              <w:jc w:val="left"/>
              <w:rPr>
                <w:rFonts w:hint="eastAsia" w:ascii="宋体" w:hAnsi="宋体" w:cs="宋体"/>
                <w:color w:val="auto"/>
                <w:highlight w:val="none"/>
              </w:rPr>
            </w:pPr>
          </w:p>
        </w:tc>
        <w:tc>
          <w:tcPr>
            <w:tcW w:w="2367" w:type="dxa"/>
            <w:gridSpan w:val="2"/>
            <w:noWrap w:val="0"/>
            <w:vAlign w:val="center"/>
          </w:tcPr>
          <w:p w14:paraId="26DF85E6">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其他主要人员</w:t>
            </w:r>
          </w:p>
        </w:tc>
        <w:tc>
          <w:tcPr>
            <w:tcW w:w="5215" w:type="dxa"/>
            <w:noWrap w:val="0"/>
            <w:vAlign w:val="center"/>
          </w:tcPr>
          <w:p w14:paraId="0F50D687">
            <w:pPr>
              <w:shd w:val="clear"/>
              <w:rPr>
                <w:rFonts w:hint="eastAsia" w:ascii="宋体" w:hAnsi="宋体" w:cs="宋体"/>
                <w:color w:val="auto"/>
                <w:highlight w:val="none"/>
              </w:rPr>
            </w:pPr>
            <w:r>
              <w:rPr>
                <w:rFonts w:hint="eastAsia" w:ascii="宋体" w:hAnsi="宋体" w:cs="宋体"/>
                <w:color w:val="auto"/>
                <w:highlight w:val="none"/>
              </w:rPr>
              <w:t>/</w:t>
            </w:r>
          </w:p>
        </w:tc>
      </w:tr>
      <w:tr w14:paraId="21EA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7" w:type="dxa"/>
            <w:vMerge w:val="continue"/>
            <w:noWrap w:val="0"/>
            <w:vAlign w:val="center"/>
          </w:tcPr>
          <w:p w14:paraId="045963C8">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697D21ED">
            <w:pPr>
              <w:widowControl/>
              <w:shd w:val="clear"/>
              <w:jc w:val="left"/>
              <w:rPr>
                <w:rFonts w:hint="eastAsia" w:ascii="宋体" w:hAnsi="宋体" w:cs="宋体"/>
                <w:color w:val="auto"/>
                <w:highlight w:val="none"/>
              </w:rPr>
            </w:pPr>
          </w:p>
        </w:tc>
        <w:tc>
          <w:tcPr>
            <w:tcW w:w="2367" w:type="dxa"/>
            <w:gridSpan w:val="2"/>
            <w:noWrap w:val="0"/>
            <w:vAlign w:val="center"/>
          </w:tcPr>
          <w:p w14:paraId="530147A4">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试验检测仪器设备</w:t>
            </w:r>
          </w:p>
        </w:tc>
        <w:tc>
          <w:tcPr>
            <w:tcW w:w="5215" w:type="dxa"/>
            <w:noWrap w:val="0"/>
            <w:vAlign w:val="center"/>
          </w:tcPr>
          <w:p w14:paraId="5C9E23BF">
            <w:pPr>
              <w:shd w:val="clear"/>
              <w:rPr>
                <w:rFonts w:hint="eastAsia" w:ascii="宋体" w:hAnsi="宋体" w:cs="宋体"/>
                <w:color w:val="auto"/>
                <w:highlight w:val="none"/>
              </w:rPr>
            </w:pPr>
            <w:r>
              <w:rPr>
                <w:rFonts w:hint="eastAsia" w:ascii="宋体" w:hAnsi="宋体" w:cs="宋体"/>
                <w:color w:val="auto"/>
                <w:highlight w:val="none"/>
              </w:rPr>
              <w:t>/</w:t>
            </w:r>
          </w:p>
        </w:tc>
      </w:tr>
      <w:tr w14:paraId="3A6C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6BF96038">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4C4A95E3">
            <w:pPr>
              <w:widowControl/>
              <w:shd w:val="clear"/>
              <w:jc w:val="left"/>
              <w:rPr>
                <w:rFonts w:hint="eastAsia" w:ascii="宋体" w:hAnsi="宋体" w:cs="宋体"/>
                <w:color w:val="auto"/>
                <w:highlight w:val="none"/>
              </w:rPr>
            </w:pPr>
          </w:p>
        </w:tc>
        <w:tc>
          <w:tcPr>
            <w:tcW w:w="2367" w:type="dxa"/>
            <w:gridSpan w:val="2"/>
            <w:noWrap w:val="0"/>
            <w:vAlign w:val="center"/>
          </w:tcPr>
          <w:p w14:paraId="3F52C52F">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其他要求</w:t>
            </w:r>
          </w:p>
        </w:tc>
        <w:tc>
          <w:tcPr>
            <w:tcW w:w="5215" w:type="dxa"/>
            <w:noWrap w:val="0"/>
            <w:vAlign w:val="center"/>
          </w:tcPr>
          <w:p w14:paraId="771BF72D">
            <w:pPr>
              <w:shd w:val="clear"/>
              <w:spacing w:line="360" w:lineRule="auto"/>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14:paraId="646B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103FCCEE">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654383A7">
            <w:pPr>
              <w:widowControl/>
              <w:shd w:val="clear"/>
              <w:jc w:val="left"/>
              <w:rPr>
                <w:rFonts w:hint="eastAsia" w:ascii="宋体" w:hAnsi="宋体" w:cs="宋体"/>
                <w:color w:val="auto"/>
                <w:highlight w:val="none"/>
              </w:rPr>
            </w:pPr>
          </w:p>
        </w:tc>
        <w:tc>
          <w:tcPr>
            <w:tcW w:w="2367" w:type="dxa"/>
            <w:gridSpan w:val="2"/>
            <w:noWrap w:val="0"/>
            <w:vAlign w:val="center"/>
          </w:tcPr>
          <w:p w14:paraId="5896B20E">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联合体投标人</w:t>
            </w:r>
          </w:p>
        </w:tc>
        <w:tc>
          <w:tcPr>
            <w:tcW w:w="5215" w:type="dxa"/>
            <w:noWrap w:val="0"/>
            <w:vAlign w:val="center"/>
          </w:tcPr>
          <w:p w14:paraId="20822021">
            <w:pPr>
              <w:shd w:val="clear"/>
              <w:rPr>
                <w:rFonts w:hint="eastAsia" w:ascii="宋体" w:hAnsi="宋体" w:cs="宋体"/>
                <w:color w:val="auto"/>
                <w:highlight w:val="none"/>
              </w:rPr>
            </w:pPr>
            <w:r>
              <w:rPr>
                <w:rFonts w:hint="eastAsia" w:ascii="宋体" w:hAnsi="宋体" w:cs="宋体"/>
                <w:color w:val="auto"/>
                <w:highlight w:val="none"/>
              </w:rPr>
              <w:t>不接受联合体投标</w:t>
            </w:r>
          </w:p>
        </w:tc>
      </w:tr>
      <w:tr w14:paraId="31B4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0D7D645E">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4970A994">
            <w:pPr>
              <w:widowControl/>
              <w:shd w:val="clear"/>
              <w:jc w:val="left"/>
              <w:rPr>
                <w:rFonts w:hint="eastAsia" w:ascii="宋体" w:hAnsi="宋体" w:cs="宋体"/>
                <w:color w:val="auto"/>
                <w:highlight w:val="none"/>
              </w:rPr>
            </w:pPr>
          </w:p>
        </w:tc>
        <w:tc>
          <w:tcPr>
            <w:tcW w:w="2367" w:type="dxa"/>
            <w:gridSpan w:val="2"/>
            <w:noWrap w:val="0"/>
            <w:vAlign w:val="center"/>
          </w:tcPr>
          <w:p w14:paraId="64162DC5">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不存在禁止投标的情形</w:t>
            </w:r>
          </w:p>
        </w:tc>
        <w:tc>
          <w:tcPr>
            <w:tcW w:w="5215" w:type="dxa"/>
            <w:noWrap w:val="0"/>
            <w:vAlign w:val="center"/>
          </w:tcPr>
          <w:p w14:paraId="50F3427C">
            <w:pPr>
              <w:shd w:val="clear"/>
              <w:rPr>
                <w:rFonts w:hint="eastAsia" w:ascii="宋体" w:hAnsi="宋体" w:cs="宋体"/>
                <w:color w:val="auto"/>
                <w:highlight w:val="none"/>
              </w:rPr>
            </w:pPr>
            <w:r>
              <w:rPr>
                <w:rFonts w:hint="eastAsia" w:ascii="宋体" w:hAnsi="宋体" w:cs="宋体"/>
                <w:color w:val="auto"/>
                <w:highlight w:val="none"/>
              </w:rPr>
              <w:t>不存在第二章“投标人须知”第1.4.</w:t>
            </w:r>
            <w:r>
              <w:rPr>
                <w:rFonts w:hint="eastAsia" w:ascii="宋体" w:hAnsi="宋体" w:cs="宋体"/>
                <w:color w:val="auto"/>
                <w:highlight w:val="none"/>
                <w:lang w:val="en-US" w:eastAsia="zh-CN"/>
              </w:rPr>
              <w:t>2</w:t>
            </w:r>
            <w:r>
              <w:rPr>
                <w:rFonts w:hint="eastAsia" w:ascii="宋体" w:hAnsi="宋体" w:cs="宋体"/>
                <w:color w:val="auto"/>
                <w:highlight w:val="none"/>
              </w:rPr>
              <w:t>项规定的任何一种情形</w:t>
            </w:r>
          </w:p>
        </w:tc>
      </w:tr>
      <w:tr w14:paraId="00CF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noWrap w:val="0"/>
            <w:vAlign w:val="center"/>
          </w:tcPr>
          <w:p w14:paraId="69ED565D">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2.1.3</w:t>
            </w:r>
          </w:p>
        </w:tc>
        <w:tc>
          <w:tcPr>
            <w:tcW w:w="1083" w:type="dxa"/>
            <w:gridSpan w:val="2"/>
            <w:vMerge w:val="restart"/>
            <w:noWrap w:val="0"/>
            <w:vAlign w:val="center"/>
          </w:tcPr>
          <w:p w14:paraId="00F8D1C1">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响应性评审标准</w:t>
            </w:r>
          </w:p>
        </w:tc>
        <w:tc>
          <w:tcPr>
            <w:tcW w:w="2367" w:type="dxa"/>
            <w:gridSpan w:val="2"/>
            <w:noWrap w:val="0"/>
            <w:vAlign w:val="center"/>
          </w:tcPr>
          <w:p w14:paraId="023A4653">
            <w:pPr>
              <w:shd w:val="clear"/>
              <w:jc w:val="center"/>
              <w:rPr>
                <w:rFonts w:hint="eastAsia" w:ascii="宋体" w:hAnsi="宋体" w:cs="宋体"/>
                <w:color w:val="auto"/>
                <w:highlight w:val="none"/>
              </w:rPr>
            </w:pPr>
            <w:r>
              <w:rPr>
                <w:rFonts w:hint="eastAsia" w:ascii="宋体" w:hAnsi="宋体" w:cs="宋体"/>
                <w:color w:val="auto"/>
                <w:highlight w:val="none"/>
              </w:rPr>
              <w:t>投标文件</w:t>
            </w:r>
          </w:p>
        </w:tc>
        <w:tc>
          <w:tcPr>
            <w:tcW w:w="5215" w:type="dxa"/>
            <w:noWrap w:val="0"/>
            <w:vAlign w:val="center"/>
          </w:tcPr>
          <w:p w14:paraId="066D5D39">
            <w:pPr>
              <w:shd w:val="clear"/>
              <w:rPr>
                <w:rFonts w:hint="eastAsia" w:ascii="宋体" w:hAnsi="宋体" w:cs="宋体"/>
                <w:color w:val="auto"/>
                <w:highlight w:val="none"/>
              </w:rPr>
            </w:pPr>
            <w:r>
              <w:rPr>
                <w:rFonts w:hint="eastAsia" w:ascii="宋体" w:hAnsi="宋体" w:cs="宋体"/>
                <w:color w:val="auto"/>
                <w:highlight w:val="none"/>
              </w:rPr>
              <w:t>投标文件所列投标人名称、项目负责人（总监）与投标登记时一致；</w:t>
            </w:r>
          </w:p>
        </w:tc>
      </w:tr>
      <w:tr w14:paraId="0AFD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1D6E6932">
            <w:pPr>
              <w:shd w:val="clear"/>
              <w:spacing w:line="360" w:lineRule="auto"/>
              <w:jc w:val="center"/>
              <w:rPr>
                <w:rFonts w:hint="eastAsia" w:ascii="宋体" w:hAnsi="宋体" w:cs="宋体"/>
                <w:color w:val="auto"/>
                <w:highlight w:val="none"/>
              </w:rPr>
            </w:pPr>
          </w:p>
        </w:tc>
        <w:tc>
          <w:tcPr>
            <w:tcW w:w="1083" w:type="dxa"/>
            <w:gridSpan w:val="2"/>
            <w:vMerge w:val="continue"/>
            <w:noWrap w:val="0"/>
            <w:vAlign w:val="center"/>
          </w:tcPr>
          <w:p w14:paraId="08F16028">
            <w:pPr>
              <w:shd w:val="clear"/>
              <w:spacing w:line="360" w:lineRule="auto"/>
              <w:jc w:val="center"/>
              <w:rPr>
                <w:rFonts w:hint="eastAsia" w:ascii="宋体" w:hAnsi="宋体" w:cs="宋体"/>
                <w:color w:val="auto"/>
                <w:highlight w:val="none"/>
              </w:rPr>
            </w:pPr>
          </w:p>
        </w:tc>
        <w:tc>
          <w:tcPr>
            <w:tcW w:w="2367" w:type="dxa"/>
            <w:gridSpan w:val="2"/>
            <w:noWrap w:val="0"/>
            <w:vAlign w:val="center"/>
          </w:tcPr>
          <w:p w14:paraId="437CBB73">
            <w:pPr>
              <w:shd w:val="clear"/>
              <w:jc w:val="center"/>
              <w:rPr>
                <w:rFonts w:hint="eastAsia" w:ascii="宋体" w:hAnsi="宋体" w:cs="宋体"/>
                <w:color w:val="auto"/>
                <w:highlight w:val="none"/>
              </w:rPr>
            </w:pPr>
            <w:r>
              <w:rPr>
                <w:rFonts w:hint="eastAsia" w:ascii="宋体" w:hAnsi="宋体" w:cs="宋体"/>
                <w:color w:val="auto"/>
                <w:highlight w:val="none"/>
              </w:rPr>
              <w:t>投标报价</w:t>
            </w:r>
          </w:p>
        </w:tc>
        <w:tc>
          <w:tcPr>
            <w:tcW w:w="5215" w:type="dxa"/>
            <w:noWrap w:val="0"/>
            <w:vAlign w:val="center"/>
          </w:tcPr>
          <w:p w14:paraId="14BF4B9A">
            <w:pPr>
              <w:shd w:val="clear"/>
              <w:rPr>
                <w:rFonts w:hint="eastAsia" w:ascii="宋体" w:hAnsi="宋体" w:cs="宋体"/>
                <w:color w:val="auto"/>
                <w:highlight w:val="none"/>
              </w:rPr>
            </w:pPr>
            <w:r>
              <w:rPr>
                <w:rFonts w:hint="eastAsia" w:ascii="宋体" w:hAnsi="宋体" w:cs="宋体"/>
                <w:color w:val="auto"/>
                <w:highlight w:val="none"/>
              </w:rPr>
              <w:t>符合第二章“投标人须知”第3.2款规定，对同一招标项目没有出现两个或以上的投标</w:t>
            </w:r>
            <w:r>
              <w:rPr>
                <w:rFonts w:hint="eastAsia" w:ascii="宋体" w:hAnsi="宋体" w:cs="宋体"/>
                <w:color w:val="auto"/>
                <w:highlight w:val="none"/>
                <w:lang w:val="en-US" w:eastAsia="zh-CN"/>
              </w:rPr>
              <w:t>总</w:t>
            </w:r>
            <w:r>
              <w:rPr>
                <w:rFonts w:hint="eastAsia" w:ascii="宋体" w:hAnsi="宋体" w:cs="宋体"/>
                <w:color w:val="auto"/>
                <w:highlight w:val="none"/>
              </w:rPr>
              <w:t>报价，且修正无依据；</w:t>
            </w:r>
          </w:p>
        </w:tc>
      </w:tr>
      <w:tr w14:paraId="0DF1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noWrap w:val="0"/>
            <w:vAlign w:val="center"/>
          </w:tcPr>
          <w:p w14:paraId="1300AA0D">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19B28910">
            <w:pPr>
              <w:widowControl/>
              <w:shd w:val="clear"/>
              <w:jc w:val="left"/>
              <w:rPr>
                <w:rFonts w:hint="eastAsia" w:ascii="宋体" w:hAnsi="宋体" w:cs="宋体"/>
                <w:color w:val="auto"/>
                <w:highlight w:val="none"/>
              </w:rPr>
            </w:pPr>
          </w:p>
        </w:tc>
        <w:tc>
          <w:tcPr>
            <w:tcW w:w="2367" w:type="dxa"/>
            <w:gridSpan w:val="2"/>
            <w:noWrap w:val="0"/>
            <w:vAlign w:val="center"/>
          </w:tcPr>
          <w:p w14:paraId="41DAF682">
            <w:pPr>
              <w:shd w:val="clear"/>
              <w:jc w:val="center"/>
              <w:rPr>
                <w:rFonts w:hint="eastAsia" w:ascii="宋体" w:hAnsi="宋体" w:cs="宋体"/>
                <w:color w:val="auto"/>
                <w:highlight w:val="none"/>
              </w:rPr>
            </w:pPr>
            <w:r>
              <w:rPr>
                <w:rFonts w:hint="eastAsia" w:ascii="宋体" w:hAnsi="宋体" w:cs="宋体"/>
                <w:color w:val="auto"/>
                <w:highlight w:val="none"/>
              </w:rPr>
              <w:t>投标内容</w:t>
            </w:r>
          </w:p>
        </w:tc>
        <w:tc>
          <w:tcPr>
            <w:tcW w:w="5215" w:type="dxa"/>
            <w:noWrap w:val="0"/>
            <w:vAlign w:val="center"/>
          </w:tcPr>
          <w:p w14:paraId="00956708">
            <w:pPr>
              <w:shd w:val="clear"/>
              <w:rPr>
                <w:rFonts w:hint="eastAsia" w:ascii="宋体" w:hAnsi="宋体" w:cs="宋体"/>
                <w:color w:val="auto"/>
                <w:highlight w:val="none"/>
              </w:rPr>
            </w:pPr>
            <w:r>
              <w:rPr>
                <w:rFonts w:hint="eastAsia" w:ascii="宋体" w:hAnsi="宋体" w:cs="宋体"/>
                <w:color w:val="auto"/>
                <w:highlight w:val="none"/>
              </w:rPr>
              <w:t>符合第二章“投标人须知”第1.3.1项规定，投标文件按规定的格式填写，内容齐全或关键字迹清晰、容易辩认；</w:t>
            </w:r>
          </w:p>
        </w:tc>
      </w:tr>
      <w:tr w14:paraId="0E12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7" w:type="dxa"/>
            <w:vMerge w:val="continue"/>
            <w:noWrap w:val="0"/>
            <w:vAlign w:val="center"/>
          </w:tcPr>
          <w:p w14:paraId="4E63179D">
            <w:pPr>
              <w:widowControl/>
              <w:shd w:val="clear"/>
              <w:jc w:val="left"/>
              <w:rPr>
                <w:rFonts w:hint="eastAsia" w:ascii="宋体" w:hAnsi="宋体" w:cs="宋体"/>
                <w:color w:val="auto"/>
                <w:highlight w:val="none"/>
              </w:rPr>
            </w:pPr>
          </w:p>
        </w:tc>
        <w:tc>
          <w:tcPr>
            <w:tcW w:w="1083" w:type="dxa"/>
            <w:gridSpan w:val="2"/>
            <w:vMerge w:val="continue"/>
            <w:noWrap w:val="0"/>
            <w:vAlign w:val="center"/>
          </w:tcPr>
          <w:p w14:paraId="3D4C83D5">
            <w:pPr>
              <w:widowControl/>
              <w:shd w:val="clear"/>
              <w:jc w:val="left"/>
              <w:rPr>
                <w:rFonts w:hint="eastAsia" w:ascii="宋体" w:hAnsi="宋体" w:cs="宋体"/>
                <w:color w:val="auto"/>
                <w:highlight w:val="none"/>
              </w:rPr>
            </w:pPr>
          </w:p>
        </w:tc>
        <w:tc>
          <w:tcPr>
            <w:tcW w:w="2367" w:type="dxa"/>
            <w:gridSpan w:val="2"/>
            <w:tcBorders>
              <w:bottom w:val="single" w:color="auto" w:sz="4" w:space="0"/>
            </w:tcBorders>
            <w:noWrap w:val="0"/>
            <w:vAlign w:val="center"/>
          </w:tcPr>
          <w:p w14:paraId="15BAC2B8">
            <w:pPr>
              <w:shd w:val="clear"/>
              <w:jc w:val="center"/>
              <w:rPr>
                <w:rFonts w:hint="eastAsia" w:ascii="宋体" w:hAnsi="宋体" w:cs="宋体"/>
                <w:color w:val="auto"/>
                <w:highlight w:val="none"/>
              </w:rPr>
            </w:pPr>
            <w:r>
              <w:rPr>
                <w:rFonts w:hint="eastAsia" w:ascii="宋体" w:hAnsi="宋体" w:cs="宋体"/>
                <w:color w:val="auto"/>
                <w:highlight w:val="none"/>
              </w:rPr>
              <w:t>监理服务期限</w:t>
            </w:r>
          </w:p>
        </w:tc>
        <w:tc>
          <w:tcPr>
            <w:tcW w:w="5215" w:type="dxa"/>
            <w:tcBorders>
              <w:bottom w:val="single" w:color="auto" w:sz="4" w:space="0"/>
            </w:tcBorders>
            <w:noWrap w:val="0"/>
            <w:vAlign w:val="center"/>
          </w:tcPr>
          <w:p w14:paraId="4D1410B8">
            <w:pPr>
              <w:shd w:val="clear"/>
              <w:rPr>
                <w:rFonts w:hint="eastAsia" w:ascii="宋体" w:hAnsi="宋体" w:cs="宋体"/>
                <w:color w:val="auto"/>
                <w:highlight w:val="none"/>
              </w:rPr>
            </w:pPr>
            <w:r>
              <w:rPr>
                <w:rFonts w:hint="eastAsia" w:ascii="宋体" w:hAnsi="宋体" w:cs="宋体"/>
                <w:color w:val="auto"/>
                <w:highlight w:val="none"/>
              </w:rPr>
              <w:t>符合第二章“投标人须知”第1.3.2项规定</w:t>
            </w:r>
          </w:p>
        </w:tc>
      </w:tr>
      <w:tr w14:paraId="326D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7" w:type="dxa"/>
            <w:vMerge w:val="continue"/>
            <w:noWrap w:val="0"/>
            <w:vAlign w:val="center"/>
          </w:tcPr>
          <w:p w14:paraId="06993ABE">
            <w:pPr>
              <w:widowControl/>
              <w:shd w:val="clear"/>
              <w:jc w:val="left"/>
              <w:rPr>
                <w:rFonts w:hint="eastAsia" w:ascii="宋体" w:hAnsi="宋体" w:cs="宋体"/>
                <w:color w:val="auto"/>
                <w:highlight w:val="none"/>
              </w:rPr>
            </w:pPr>
          </w:p>
        </w:tc>
        <w:tc>
          <w:tcPr>
            <w:tcW w:w="1083" w:type="dxa"/>
            <w:gridSpan w:val="2"/>
            <w:vMerge w:val="continue"/>
            <w:tcBorders>
              <w:right w:val="single" w:color="auto" w:sz="4" w:space="0"/>
            </w:tcBorders>
            <w:noWrap w:val="0"/>
            <w:vAlign w:val="center"/>
          </w:tcPr>
          <w:p w14:paraId="03817649">
            <w:pPr>
              <w:widowControl/>
              <w:shd w:val="clear"/>
              <w:jc w:val="left"/>
              <w:rPr>
                <w:rFonts w:hint="eastAsia" w:ascii="宋体" w:hAnsi="宋体" w:cs="宋体"/>
                <w:color w:val="auto"/>
                <w:highlight w:val="none"/>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14:paraId="7504C1EB">
            <w:pPr>
              <w:shd w:val="clear"/>
              <w:jc w:val="center"/>
              <w:rPr>
                <w:rFonts w:hint="eastAsia" w:ascii="宋体" w:hAnsi="宋体" w:cs="宋体"/>
                <w:color w:val="auto"/>
                <w:highlight w:val="none"/>
              </w:rPr>
            </w:pPr>
            <w:r>
              <w:rPr>
                <w:rFonts w:hint="eastAsia" w:ascii="宋体" w:hAnsi="宋体" w:cs="宋体"/>
                <w:color w:val="auto"/>
                <w:highlight w:val="none"/>
              </w:rPr>
              <w:t>质量标准</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30144B21">
            <w:pPr>
              <w:shd w:val="clear"/>
              <w:rPr>
                <w:rFonts w:hint="eastAsia" w:ascii="宋体" w:hAnsi="宋体" w:cs="宋体"/>
                <w:color w:val="auto"/>
                <w:highlight w:val="none"/>
              </w:rPr>
            </w:pPr>
            <w:r>
              <w:rPr>
                <w:rFonts w:hint="eastAsia" w:ascii="宋体" w:hAnsi="宋体" w:cs="宋体"/>
                <w:color w:val="auto"/>
                <w:highlight w:val="none"/>
              </w:rPr>
              <w:t>符合第二章“投标人须知”第1.3.3项规定</w:t>
            </w:r>
          </w:p>
        </w:tc>
      </w:tr>
      <w:tr w14:paraId="43C5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7" w:type="dxa"/>
            <w:vMerge w:val="continue"/>
            <w:noWrap w:val="0"/>
            <w:vAlign w:val="center"/>
          </w:tcPr>
          <w:p w14:paraId="0524C35B">
            <w:pPr>
              <w:widowControl/>
              <w:shd w:val="clear"/>
              <w:jc w:val="left"/>
              <w:rPr>
                <w:rFonts w:hint="eastAsia" w:ascii="宋体" w:hAnsi="宋体" w:cs="宋体"/>
                <w:color w:val="auto"/>
                <w:highlight w:val="none"/>
              </w:rPr>
            </w:pPr>
          </w:p>
        </w:tc>
        <w:tc>
          <w:tcPr>
            <w:tcW w:w="1083" w:type="dxa"/>
            <w:gridSpan w:val="2"/>
            <w:vMerge w:val="continue"/>
            <w:tcBorders>
              <w:right w:val="single" w:color="auto" w:sz="4" w:space="0"/>
            </w:tcBorders>
            <w:noWrap w:val="0"/>
            <w:vAlign w:val="center"/>
          </w:tcPr>
          <w:p w14:paraId="056607B1">
            <w:pPr>
              <w:widowControl/>
              <w:shd w:val="clear"/>
              <w:jc w:val="left"/>
              <w:rPr>
                <w:rFonts w:hint="eastAsia" w:ascii="宋体" w:hAnsi="宋体" w:cs="宋体"/>
                <w:color w:val="auto"/>
                <w:highlight w:val="none"/>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14:paraId="4601BE89">
            <w:pPr>
              <w:shd w:val="clear"/>
              <w:jc w:val="center"/>
              <w:rPr>
                <w:rFonts w:hint="eastAsia" w:ascii="宋体" w:hAnsi="宋体" w:cs="宋体"/>
                <w:color w:val="auto"/>
                <w:highlight w:val="none"/>
              </w:rPr>
            </w:pPr>
            <w:r>
              <w:rPr>
                <w:rFonts w:hint="eastAsia" w:ascii="宋体" w:hAnsi="宋体" w:cs="宋体"/>
                <w:color w:val="auto"/>
                <w:highlight w:val="none"/>
              </w:rPr>
              <w:t>投标有效期</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7BBD465A">
            <w:pPr>
              <w:shd w:val="clear"/>
              <w:rPr>
                <w:rFonts w:hint="eastAsia" w:ascii="宋体" w:hAnsi="宋体" w:cs="宋体"/>
                <w:color w:val="auto"/>
                <w:highlight w:val="none"/>
              </w:rPr>
            </w:pPr>
            <w:r>
              <w:rPr>
                <w:rFonts w:hint="eastAsia" w:ascii="宋体" w:hAnsi="宋体" w:cs="宋体"/>
                <w:color w:val="auto"/>
                <w:highlight w:val="none"/>
              </w:rPr>
              <w:t>符合第二章“投标人须知”第3.3.1项规定</w:t>
            </w:r>
          </w:p>
        </w:tc>
      </w:tr>
      <w:tr w14:paraId="21A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7" w:type="dxa"/>
            <w:vMerge w:val="continue"/>
            <w:noWrap w:val="0"/>
            <w:vAlign w:val="center"/>
          </w:tcPr>
          <w:p w14:paraId="1D9C6CC8">
            <w:pPr>
              <w:widowControl/>
              <w:shd w:val="clear"/>
              <w:jc w:val="left"/>
              <w:rPr>
                <w:rFonts w:hint="eastAsia" w:ascii="宋体" w:hAnsi="宋体" w:cs="宋体"/>
                <w:color w:val="auto"/>
                <w:highlight w:val="none"/>
              </w:rPr>
            </w:pPr>
          </w:p>
        </w:tc>
        <w:tc>
          <w:tcPr>
            <w:tcW w:w="1083" w:type="dxa"/>
            <w:gridSpan w:val="2"/>
            <w:vMerge w:val="continue"/>
            <w:tcBorders>
              <w:right w:val="single" w:color="auto" w:sz="4" w:space="0"/>
            </w:tcBorders>
            <w:noWrap w:val="0"/>
            <w:vAlign w:val="center"/>
          </w:tcPr>
          <w:p w14:paraId="0940EB24">
            <w:pPr>
              <w:widowControl/>
              <w:shd w:val="clear"/>
              <w:jc w:val="left"/>
              <w:rPr>
                <w:rFonts w:hint="eastAsia" w:ascii="宋体" w:hAnsi="宋体" w:cs="宋体"/>
                <w:color w:val="auto"/>
                <w:highlight w:val="none"/>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14:paraId="41528A10">
            <w:pPr>
              <w:shd w:val="clea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投标保证金</w:t>
            </w:r>
          </w:p>
        </w:tc>
        <w:tc>
          <w:tcPr>
            <w:tcW w:w="5215" w:type="dxa"/>
            <w:tcBorders>
              <w:top w:val="single" w:color="auto" w:sz="4" w:space="0"/>
              <w:left w:val="single" w:color="auto" w:sz="4" w:space="0"/>
              <w:bottom w:val="single" w:color="auto" w:sz="4" w:space="0"/>
              <w:right w:val="single" w:color="auto" w:sz="4" w:space="0"/>
            </w:tcBorders>
            <w:noWrap w:val="0"/>
            <w:vAlign w:val="center"/>
          </w:tcPr>
          <w:p w14:paraId="66BBA5FD">
            <w:pPr>
              <w:shd w:val="clear"/>
              <w:rPr>
                <w:rFonts w:hint="eastAsia" w:ascii="宋体" w:hAnsi="宋体" w:cs="宋体"/>
                <w:color w:val="auto"/>
                <w:highlight w:val="none"/>
              </w:rPr>
            </w:pPr>
            <w:r>
              <w:rPr>
                <w:rFonts w:hint="eastAsia" w:ascii="宋体" w:hAnsi="宋体" w:cs="宋体"/>
                <w:color w:val="auto"/>
                <w:highlight w:val="none"/>
              </w:rPr>
              <w:t>符合第二章“投标人须知”第3.</w:t>
            </w:r>
            <w:r>
              <w:rPr>
                <w:rFonts w:hint="eastAsia" w:ascii="宋体" w:hAnsi="宋体" w:cs="宋体"/>
                <w:color w:val="auto"/>
                <w:highlight w:val="none"/>
                <w:lang w:val="en-US" w:eastAsia="zh-CN"/>
              </w:rPr>
              <w:t>4</w:t>
            </w:r>
            <w:r>
              <w:rPr>
                <w:rFonts w:hint="eastAsia" w:ascii="宋体" w:hAnsi="宋体" w:cs="宋体"/>
                <w:color w:val="auto"/>
                <w:highlight w:val="none"/>
              </w:rPr>
              <w:t>.1项规定</w:t>
            </w:r>
          </w:p>
        </w:tc>
      </w:tr>
      <w:tr w14:paraId="38DC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7" w:type="dxa"/>
            <w:vMerge w:val="continue"/>
            <w:noWrap w:val="0"/>
            <w:vAlign w:val="center"/>
          </w:tcPr>
          <w:p w14:paraId="622DA8C4">
            <w:pPr>
              <w:widowControl/>
              <w:shd w:val="clear"/>
              <w:jc w:val="left"/>
              <w:rPr>
                <w:rFonts w:hint="eastAsia" w:ascii="宋体" w:hAnsi="宋体" w:cs="宋体"/>
                <w:color w:val="auto"/>
                <w:highlight w:val="none"/>
              </w:rPr>
            </w:pPr>
          </w:p>
        </w:tc>
        <w:tc>
          <w:tcPr>
            <w:tcW w:w="1083" w:type="dxa"/>
            <w:gridSpan w:val="2"/>
            <w:vMerge w:val="continue"/>
            <w:tcBorders>
              <w:right w:val="single" w:color="auto" w:sz="4" w:space="0"/>
            </w:tcBorders>
            <w:noWrap w:val="0"/>
            <w:vAlign w:val="center"/>
          </w:tcPr>
          <w:p w14:paraId="3214F420">
            <w:pPr>
              <w:widowControl/>
              <w:shd w:val="clear"/>
              <w:jc w:val="left"/>
              <w:rPr>
                <w:rFonts w:hint="eastAsia" w:ascii="宋体" w:hAnsi="宋体" w:cs="宋体"/>
                <w:color w:val="auto"/>
                <w:highlight w:val="none"/>
              </w:rPr>
            </w:pPr>
          </w:p>
        </w:tc>
        <w:tc>
          <w:tcPr>
            <w:tcW w:w="2367" w:type="dxa"/>
            <w:gridSpan w:val="2"/>
            <w:tcBorders>
              <w:top w:val="nil"/>
              <w:left w:val="single" w:color="auto" w:sz="4" w:space="0"/>
              <w:bottom w:val="single" w:color="auto" w:sz="4" w:space="0"/>
              <w:right w:val="single" w:color="auto" w:sz="4" w:space="0"/>
            </w:tcBorders>
            <w:noWrap w:val="0"/>
            <w:vAlign w:val="center"/>
          </w:tcPr>
          <w:p w14:paraId="0143C7A2">
            <w:pPr>
              <w:shd w:val="clear"/>
              <w:jc w:val="center"/>
              <w:rPr>
                <w:rFonts w:hint="eastAsia" w:ascii="宋体" w:hAnsi="宋体" w:cs="宋体"/>
                <w:color w:val="auto"/>
                <w:highlight w:val="none"/>
              </w:rPr>
            </w:pPr>
            <w:r>
              <w:rPr>
                <w:rFonts w:hint="eastAsia" w:ascii="宋体" w:hAnsi="宋体" w:cs="宋体"/>
                <w:color w:val="auto"/>
                <w:highlight w:val="none"/>
              </w:rPr>
              <w:t>串通投标情形</w:t>
            </w:r>
          </w:p>
        </w:tc>
        <w:tc>
          <w:tcPr>
            <w:tcW w:w="5215" w:type="dxa"/>
            <w:tcBorders>
              <w:top w:val="nil"/>
              <w:left w:val="single" w:color="auto" w:sz="4" w:space="0"/>
              <w:bottom w:val="single" w:color="auto" w:sz="4" w:space="0"/>
              <w:right w:val="single" w:color="auto" w:sz="4" w:space="0"/>
            </w:tcBorders>
            <w:noWrap w:val="0"/>
            <w:vAlign w:val="center"/>
          </w:tcPr>
          <w:p w14:paraId="7BA916F3">
            <w:pPr>
              <w:shd w:val="clear"/>
              <w:rPr>
                <w:rFonts w:hint="eastAsia" w:ascii="宋体" w:hAnsi="宋体" w:cs="宋体"/>
                <w:color w:val="auto"/>
                <w:highlight w:val="none"/>
              </w:rPr>
            </w:pPr>
            <w:r>
              <w:rPr>
                <w:rFonts w:hint="eastAsia" w:ascii="宋体" w:hAnsi="宋体" w:cs="宋体"/>
                <w:color w:val="auto"/>
                <w:highlight w:val="none"/>
              </w:rPr>
              <w:t>不存在《广东省实施&lt;中华人民共和国招标投标法&gt;办法》第十六条所禁止的情形的；</w:t>
            </w:r>
          </w:p>
        </w:tc>
      </w:tr>
      <w:tr w14:paraId="5E1F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40" w:type="dxa"/>
            <w:gridSpan w:val="3"/>
            <w:noWrap w:val="0"/>
            <w:vAlign w:val="center"/>
          </w:tcPr>
          <w:p w14:paraId="10957B3C">
            <w:pPr>
              <w:shd w:val="clear"/>
              <w:spacing w:line="360" w:lineRule="auto"/>
              <w:jc w:val="center"/>
              <w:rPr>
                <w:rFonts w:hint="eastAsia" w:ascii="宋体" w:hAnsi="宋体" w:cs="宋体"/>
                <w:b/>
                <w:color w:val="auto"/>
                <w:highlight w:val="none"/>
              </w:rPr>
            </w:pPr>
            <w:r>
              <w:rPr>
                <w:rFonts w:hint="eastAsia" w:ascii="宋体" w:hAnsi="宋体" w:cs="宋体"/>
                <w:b/>
                <w:color w:val="auto"/>
                <w:highlight w:val="none"/>
              </w:rPr>
              <w:t>条款号</w:t>
            </w:r>
          </w:p>
        </w:tc>
        <w:tc>
          <w:tcPr>
            <w:tcW w:w="2367" w:type="dxa"/>
            <w:gridSpan w:val="2"/>
            <w:tcBorders>
              <w:top w:val="single" w:color="auto" w:sz="4" w:space="0"/>
            </w:tcBorders>
            <w:noWrap w:val="0"/>
            <w:vAlign w:val="center"/>
          </w:tcPr>
          <w:p w14:paraId="6124287E">
            <w:pPr>
              <w:shd w:val="clear"/>
              <w:spacing w:line="360" w:lineRule="auto"/>
              <w:jc w:val="center"/>
              <w:rPr>
                <w:rFonts w:hint="eastAsia" w:ascii="宋体" w:hAnsi="宋体" w:cs="宋体"/>
                <w:b/>
                <w:color w:val="auto"/>
                <w:highlight w:val="none"/>
              </w:rPr>
            </w:pPr>
            <w:r>
              <w:rPr>
                <w:rFonts w:hint="eastAsia" w:ascii="宋体" w:hAnsi="宋体" w:cs="宋体"/>
                <w:b/>
                <w:color w:val="auto"/>
                <w:highlight w:val="none"/>
              </w:rPr>
              <w:t>条款内容</w:t>
            </w:r>
          </w:p>
        </w:tc>
        <w:tc>
          <w:tcPr>
            <w:tcW w:w="5215" w:type="dxa"/>
            <w:tcBorders>
              <w:top w:val="single" w:color="auto" w:sz="4" w:space="0"/>
            </w:tcBorders>
            <w:noWrap w:val="0"/>
            <w:vAlign w:val="center"/>
          </w:tcPr>
          <w:p w14:paraId="61287FBB">
            <w:pPr>
              <w:shd w:val="clear"/>
              <w:spacing w:line="360" w:lineRule="auto"/>
              <w:jc w:val="center"/>
              <w:rPr>
                <w:rFonts w:hint="eastAsia" w:ascii="宋体" w:hAnsi="宋体" w:cs="宋体"/>
                <w:b/>
                <w:color w:val="auto"/>
                <w:highlight w:val="none"/>
              </w:rPr>
            </w:pPr>
            <w:r>
              <w:rPr>
                <w:rFonts w:hint="eastAsia" w:ascii="宋体" w:hAnsi="宋体" w:cs="宋体"/>
                <w:b/>
                <w:color w:val="auto"/>
                <w:highlight w:val="none"/>
              </w:rPr>
              <w:t>编列内容</w:t>
            </w:r>
          </w:p>
        </w:tc>
      </w:tr>
      <w:tr w14:paraId="79E7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940" w:type="dxa"/>
            <w:gridSpan w:val="3"/>
            <w:noWrap w:val="0"/>
            <w:vAlign w:val="center"/>
          </w:tcPr>
          <w:p w14:paraId="5B588578">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2.2.1</w:t>
            </w:r>
          </w:p>
        </w:tc>
        <w:tc>
          <w:tcPr>
            <w:tcW w:w="2367" w:type="dxa"/>
            <w:gridSpan w:val="2"/>
            <w:noWrap w:val="0"/>
            <w:vAlign w:val="center"/>
          </w:tcPr>
          <w:p w14:paraId="2AE9E3A8">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分值构成</w:t>
            </w:r>
          </w:p>
        </w:tc>
        <w:tc>
          <w:tcPr>
            <w:tcW w:w="5215" w:type="dxa"/>
            <w:noWrap w:val="0"/>
            <w:vAlign w:val="center"/>
          </w:tcPr>
          <w:p w14:paraId="5985F0CC">
            <w:pPr>
              <w:shd w:val="clear"/>
              <w:rPr>
                <w:rFonts w:hint="eastAsia" w:ascii="宋体" w:hAnsi="宋体" w:eastAsia="宋体" w:cs="宋体"/>
                <w:bCs/>
                <w:color w:val="auto"/>
                <w:highlight w:val="none"/>
              </w:rPr>
            </w:pPr>
            <w:r>
              <w:rPr>
                <w:rFonts w:hint="eastAsia" w:ascii="宋体" w:hAnsi="宋体" w:eastAsia="宋体" w:cs="宋体"/>
                <w:bCs/>
                <w:color w:val="auto"/>
                <w:highlight w:val="none"/>
              </w:rPr>
              <w:t>A.资信业绩部分：</w:t>
            </w:r>
            <w:r>
              <w:rPr>
                <w:rFonts w:hint="eastAsia" w:ascii="宋体" w:hAnsi="宋体" w:eastAsia="宋体" w:cs="宋体"/>
                <w:bCs/>
                <w:color w:val="auto"/>
                <w:highlight w:val="none"/>
                <w:lang w:eastAsia="zh-CN"/>
              </w:rPr>
              <w:t>40</w:t>
            </w:r>
            <w:r>
              <w:rPr>
                <w:rFonts w:hint="eastAsia" w:ascii="宋体" w:hAnsi="宋体" w:eastAsia="宋体" w:cs="宋体"/>
                <w:bCs/>
                <w:color w:val="auto"/>
                <w:highlight w:val="none"/>
              </w:rPr>
              <w:t>分</w:t>
            </w:r>
          </w:p>
          <w:p w14:paraId="16078085">
            <w:pPr>
              <w:shd w:val="clear"/>
              <w:rPr>
                <w:rFonts w:hint="eastAsia" w:ascii="宋体" w:hAnsi="宋体" w:eastAsia="宋体" w:cs="宋体"/>
                <w:bCs/>
                <w:color w:val="auto"/>
                <w:highlight w:val="none"/>
              </w:rPr>
            </w:pPr>
            <w:r>
              <w:rPr>
                <w:rFonts w:hint="eastAsia" w:ascii="宋体" w:hAnsi="宋体" w:eastAsia="宋体" w:cs="宋体"/>
                <w:bCs/>
                <w:color w:val="auto"/>
                <w:highlight w:val="none"/>
              </w:rPr>
              <w:t>B.监理大纲部分：</w:t>
            </w:r>
            <w:r>
              <w:rPr>
                <w:rFonts w:hint="eastAsia" w:ascii="宋体" w:hAnsi="宋体" w:eastAsia="宋体" w:cs="宋体"/>
                <w:bCs/>
                <w:color w:val="auto"/>
                <w:highlight w:val="none"/>
                <w:lang w:eastAsia="zh-CN"/>
              </w:rPr>
              <w:t>40</w:t>
            </w:r>
            <w:r>
              <w:rPr>
                <w:rFonts w:hint="eastAsia" w:ascii="宋体" w:hAnsi="宋体" w:eastAsia="宋体" w:cs="宋体"/>
                <w:bCs/>
                <w:color w:val="auto"/>
                <w:highlight w:val="none"/>
              </w:rPr>
              <w:t>分</w:t>
            </w:r>
          </w:p>
          <w:p w14:paraId="5538163B">
            <w:pPr>
              <w:shd w:val="clear"/>
              <w:rPr>
                <w:rFonts w:hint="eastAsia" w:ascii="宋体" w:hAnsi="宋体" w:eastAsia="宋体" w:cs="宋体"/>
                <w:bCs/>
                <w:color w:val="auto"/>
                <w:highlight w:val="none"/>
              </w:rPr>
            </w:pPr>
            <w:r>
              <w:rPr>
                <w:rFonts w:hint="eastAsia" w:ascii="宋体" w:hAnsi="宋体" w:eastAsia="宋体" w:cs="宋体"/>
                <w:bCs/>
                <w:color w:val="auto"/>
                <w:highlight w:val="none"/>
              </w:rPr>
              <w:t>C.投标报价：10分</w:t>
            </w:r>
          </w:p>
          <w:p w14:paraId="1FA71A85">
            <w:pPr>
              <w:shd w:val="clear"/>
              <w:rPr>
                <w:rFonts w:hint="eastAsia" w:ascii="宋体" w:hAnsi="宋体" w:eastAsia="宋体" w:cs="宋体"/>
                <w:bCs/>
                <w:color w:val="auto"/>
                <w:highlight w:val="none"/>
              </w:rPr>
            </w:pPr>
            <w:r>
              <w:rPr>
                <w:rFonts w:hint="eastAsia" w:ascii="宋体" w:hAnsi="宋体" w:eastAsia="宋体" w:cs="宋体"/>
                <w:bCs/>
                <w:color w:val="auto"/>
                <w:highlight w:val="none"/>
              </w:rPr>
              <w:t>D.其他评分因素（诚信综合评价）：</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分</w:t>
            </w:r>
          </w:p>
          <w:p w14:paraId="5EC85107">
            <w:pPr>
              <w:shd w:val="clear"/>
              <w:rPr>
                <w:rFonts w:hint="eastAsia" w:ascii="宋体" w:hAnsi="宋体" w:eastAsia="宋体" w:cs="宋体"/>
                <w:bCs/>
                <w:color w:val="auto"/>
                <w:highlight w:val="none"/>
              </w:rPr>
            </w:pPr>
            <w:r>
              <w:rPr>
                <w:rFonts w:hint="eastAsia" w:ascii="宋体" w:hAnsi="宋体" w:eastAsia="宋体" w:cs="宋体"/>
                <w:bCs/>
                <w:color w:val="auto"/>
                <w:highlight w:val="none"/>
              </w:rPr>
              <w:t>注：1）投标人总得分=综合得分（A+B+C+D)。</w:t>
            </w:r>
          </w:p>
          <w:p w14:paraId="31722A0C">
            <w:pPr>
              <w:shd w:val="clear"/>
              <w:ind w:firstLine="420" w:firstLineChars="200"/>
              <w:rPr>
                <w:rFonts w:hint="eastAsia" w:ascii="宋体" w:hAnsi="宋体" w:cs="宋体"/>
                <w:color w:val="auto"/>
                <w:highlight w:val="none"/>
              </w:rPr>
            </w:pPr>
            <w:r>
              <w:rPr>
                <w:rFonts w:hint="eastAsia" w:ascii="宋体" w:hAnsi="宋体" w:eastAsia="宋体" w:cs="宋体"/>
                <w:bCs/>
                <w:color w:val="auto"/>
                <w:highlight w:val="none"/>
              </w:rPr>
              <w:t>2）投标报价的计算以含税的总报价作为评审价。</w:t>
            </w:r>
          </w:p>
        </w:tc>
      </w:tr>
      <w:tr w14:paraId="5F8C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940" w:type="dxa"/>
            <w:gridSpan w:val="3"/>
            <w:noWrap w:val="0"/>
            <w:vAlign w:val="center"/>
          </w:tcPr>
          <w:p w14:paraId="25923D32">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2.2.2</w:t>
            </w:r>
          </w:p>
        </w:tc>
        <w:tc>
          <w:tcPr>
            <w:tcW w:w="2367" w:type="dxa"/>
            <w:gridSpan w:val="2"/>
            <w:noWrap w:val="0"/>
            <w:vAlign w:val="center"/>
          </w:tcPr>
          <w:p w14:paraId="6E7FB614">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评标基准价计算方法</w:t>
            </w:r>
          </w:p>
        </w:tc>
        <w:tc>
          <w:tcPr>
            <w:tcW w:w="5215" w:type="dxa"/>
            <w:noWrap w:val="0"/>
            <w:vAlign w:val="center"/>
          </w:tcPr>
          <w:p w14:paraId="37D47799">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当通过形式评审、资格评审、响应性评审的有效投标人大于或等于5名且投标报价为有效投标价时，去掉一个最高价和一个最低价，取余下有效投标价的算术平均值作为评标基准价。</w:t>
            </w:r>
          </w:p>
          <w:p w14:paraId="1BE24FB8">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当通过形式评审、资格评审、响应性评审的有效投标人小于5名大于等于3名时，取所有入围的有效投标价的算术平均值作为评标基准价。</w:t>
            </w:r>
          </w:p>
          <w:p w14:paraId="70C96238">
            <w:pPr>
              <w:shd w:val="clear"/>
              <w:rPr>
                <w:rFonts w:hint="eastAsia" w:ascii="宋体" w:hAnsi="宋体" w:cs="宋体"/>
                <w:bCs/>
                <w:color w:val="auto"/>
                <w:highlight w:val="none"/>
              </w:rPr>
            </w:pPr>
            <w:r>
              <w:rPr>
                <w:rFonts w:hint="eastAsia" w:ascii="宋体" w:hAnsi="宋体" w:eastAsia="宋体" w:cs="宋体"/>
                <w:color w:val="auto"/>
                <w:sz w:val="21"/>
                <w:szCs w:val="21"/>
                <w:highlight w:val="none"/>
              </w:rPr>
              <w:t>(有效报价范围为[最高投标限价×</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0%，最高投标限价]，超过此范围的报价不参与评标基准价的计算)。</w:t>
            </w:r>
          </w:p>
        </w:tc>
      </w:tr>
      <w:tr w14:paraId="1FB5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gridSpan w:val="3"/>
            <w:noWrap w:val="0"/>
            <w:vAlign w:val="center"/>
          </w:tcPr>
          <w:p w14:paraId="2F1F09D6">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2.2.3</w:t>
            </w:r>
          </w:p>
        </w:tc>
        <w:tc>
          <w:tcPr>
            <w:tcW w:w="2367" w:type="dxa"/>
            <w:gridSpan w:val="2"/>
            <w:noWrap w:val="0"/>
            <w:vAlign w:val="center"/>
          </w:tcPr>
          <w:p w14:paraId="39CA0F17">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投标报价的偏差率</w:t>
            </w:r>
          </w:p>
          <w:p w14:paraId="460FEE1E">
            <w:pPr>
              <w:shd w:val="clear"/>
              <w:spacing w:line="360" w:lineRule="auto"/>
              <w:jc w:val="center"/>
              <w:rPr>
                <w:rFonts w:hint="eastAsia" w:ascii="宋体" w:hAnsi="宋体" w:cs="宋体"/>
                <w:color w:val="auto"/>
                <w:highlight w:val="none"/>
              </w:rPr>
            </w:pPr>
            <w:r>
              <w:rPr>
                <w:rFonts w:hint="eastAsia" w:ascii="宋体" w:hAnsi="宋体" w:cs="宋体"/>
                <w:color w:val="auto"/>
                <w:highlight w:val="none"/>
              </w:rPr>
              <w:t>计算公式</w:t>
            </w:r>
          </w:p>
        </w:tc>
        <w:tc>
          <w:tcPr>
            <w:tcW w:w="5215" w:type="dxa"/>
            <w:noWrap w:val="0"/>
            <w:vAlign w:val="center"/>
          </w:tcPr>
          <w:p w14:paraId="587A7467">
            <w:pPr>
              <w:shd w:val="clear"/>
              <w:rPr>
                <w:rFonts w:hint="eastAsia" w:ascii="宋体" w:hAnsi="宋体" w:cs="宋体"/>
                <w:color w:val="auto"/>
                <w:highlight w:val="none"/>
              </w:rPr>
            </w:pPr>
            <w:r>
              <w:rPr>
                <w:rFonts w:hint="eastAsia" w:ascii="宋体" w:hAnsi="宋体" w:cs="宋体"/>
                <w:color w:val="auto"/>
                <w:highlight w:val="none"/>
              </w:rPr>
              <w:t>投标报价的偏差率=（有效投标报价-评标基准价）/评标基准价×100%（偏差率出现小数点时，保留小数点后2位，第三位小数四舍五入。）</w:t>
            </w:r>
          </w:p>
        </w:tc>
      </w:tr>
      <w:tr w14:paraId="53EA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gridSpan w:val="3"/>
            <w:noWrap/>
            <w:vAlign w:val="center"/>
          </w:tcPr>
          <w:p w14:paraId="4E474574">
            <w:pPr>
              <w:shd w:val="clear"/>
              <w:spacing w:line="440" w:lineRule="exact"/>
              <w:jc w:val="center"/>
              <w:rPr>
                <w:rFonts w:hint="eastAsia" w:ascii="宋体" w:hAnsi="宋体" w:cs="宋体"/>
                <w:b/>
                <w:color w:val="auto"/>
                <w:highlight w:val="none"/>
              </w:rPr>
            </w:pPr>
            <w:r>
              <w:rPr>
                <w:rFonts w:hint="eastAsia" w:ascii="宋体" w:hAnsi="宋体" w:cs="宋体"/>
                <w:b/>
                <w:color w:val="auto"/>
                <w:highlight w:val="none"/>
              </w:rPr>
              <w:t>条款号</w:t>
            </w:r>
          </w:p>
        </w:tc>
        <w:tc>
          <w:tcPr>
            <w:tcW w:w="2367" w:type="dxa"/>
            <w:gridSpan w:val="2"/>
            <w:noWrap/>
            <w:vAlign w:val="center"/>
          </w:tcPr>
          <w:p w14:paraId="4FC59142">
            <w:pPr>
              <w:shd w:val="clear"/>
              <w:spacing w:line="440" w:lineRule="exact"/>
              <w:jc w:val="center"/>
              <w:rPr>
                <w:rFonts w:hint="eastAsia" w:ascii="宋体" w:hAnsi="宋体" w:cs="宋体"/>
                <w:b/>
                <w:color w:val="auto"/>
                <w:highlight w:val="none"/>
              </w:rPr>
            </w:pPr>
            <w:r>
              <w:rPr>
                <w:rFonts w:hint="eastAsia" w:ascii="宋体" w:hAnsi="宋体" w:cs="宋体"/>
                <w:b/>
                <w:color w:val="auto"/>
                <w:highlight w:val="none"/>
              </w:rPr>
              <w:t>评分因素（偏差率）</w:t>
            </w:r>
          </w:p>
        </w:tc>
        <w:tc>
          <w:tcPr>
            <w:tcW w:w="5215" w:type="dxa"/>
            <w:noWrap/>
            <w:vAlign w:val="center"/>
          </w:tcPr>
          <w:p w14:paraId="50F85F0C">
            <w:pPr>
              <w:shd w:val="clear"/>
              <w:spacing w:line="440" w:lineRule="exact"/>
              <w:jc w:val="center"/>
              <w:rPr>
                <w:rFonts w:hint="eastAsia" w:ascii="宋体" w:hAnsi="宋体" w:cs="宋体"/>
                <w:b/>
                <w:color w:val="auto"/>
                <w:highlight w:val="none"/>
              </w:rPr>
            </w:pPr>
            <w:r>
              <w:rPr>
                <w:rFonts w:hint="eastAsia" w:ascii="宋体" w:hAnsi="宋体" w:cs="宋体"/>
                <w:b/>
                <w:color w:val="auto"/>
                <w:highlight w:val="none"/>
              </w:rPr>
              <w:t>评分标准</w:t>
            </w:r>
          </w:p>
        </w:tc>
      </w:tr>
      <w:tr w14:paraId="44EA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88" w:type="dxa"/>
            <w:gridSpan w:val="2"/>
            <w:vMerge w:val="restart"/>
            <w:noWrap w:val="0"/>
            <w:vAlign w:val="center"/>
          </w:tcPr>
          <w:p w14:paraId="39709117">
            <w:pPr>
              <w:shd w:val="clear"/>
              <w:spacing w:line="340" w:lineRule="exact"/>
              <w:rPr>
                <w:rFonts w:hint="eastAsia" w:ascii="宋体" w:hAnsi="宋体" w:cs="宋体"/>
                <w:color w:val="auto"/>
                <w:highlight w:val="none"/>
              </w:rPr>
            </w:pPr>
            <w:r>
              <w:rPr>
                <w:rFonts w:hint="eastAsia" w:ascii="宋体" w:hAnsi="宋体" w:cs="宋体"/>
                <w:color w:val="auto"/>
                <w:highlight w:val="none"/>
              </w:rPr>
              <w:t>2.2.4（1）</w:t>
            </w:r>
          </w:p>
        </w:tc>
        <w:tc>
          <w:tcPr>
            <w:tcW w:w="960" w:type="dxa"/>
            <w:gridSpan w:val="2"/>
            <w:vMerge w:val="restart"/>
            <w:noWrap w:val="0"/>
            <w:vAlign w:val="center"/>
          </w:tcPr>
          <w:p w14:paraId="09A31D5A">
            <w:pPr>
              <w:shd w:val="clear"/>
              <w:spacing w:line="340" w:lineRule="exact"/>
              <w:rPr>
                <w:rFonts w:hint="eastAsia" w:ascii="宋体" w:hAnsi="宋体" w:cs="宋体"/>
                <w:color w:val="auto"/>
                <w:highlight w:val="none"/>
              </w:rPr>
            </w:pPr>
            <w:r>
              <w:rPr>
                <w:rFonts w:hint="eastAsia" w:ascii="宋体" w:hAnsi="宋体" w:cs="宋体"/>
                <w:color w:val="auto"/>
                <w:highlight w:val="none"/>
              </w:rPr>
              <w:t>资信业绩评分标准（</w:t>
            </w:r>
            <w:r>
              <w:rPr>
                <w:rFonts w:hint="eastAsia" w:ascii="宋体" w:hAnsi="宋体" w:cs="宋体"/>
                <w:color w:val="auto"/>
                <w:highlight w:val="none"/>
                <w:lang w:val="en-US" w:eastAsia="zh-CN"/>
              </w:rPr>
              <w:t>40</w:t>
            </w:r>
            <w:r>
              <w:rPr>
                <w:rFonts w:hint="eastAsia" w:ascii="宋体" w:hAnsi="宋体" w:cs="宋体"/>
                <w:color w:val="auto"/>
                <w:highlight w:val="none"/>
              </w:rPr>
              <w:t>分）</w:t>
            </w:r>
          </w:p>
        </w:tc>
        <w:tc>
          <w:tcPr>
            <w:tcW w:w="2359" w:type="dxa"/>
            <w:noWrap w:val="0"/>
            <w:vAlign w:val="center"/>
          </w:tcPr>
          <w:p w14:paraId="5FD3E080">
            <w:pPr>
              <w:widowControl/>
              <w:shd w:val="clear"/>
              <w:jc w:val="center"/>
              <w:rPr>
                <w:rFonts w:hint="eastAsia" w:ascii="宋体" w:hAnsi="宋体" w:cs="宋体"/>
                <w:color w:val="auto"/>
                <w:highlight w:val="none"/>
              </w:rPr>
            </w:pPr>
            <w:r>
              <w:rPr>
                <w:rFonts w:hint="eastAsia" w:ascii="宋体" w:hAnsi="宋体" w:eastAsia="宋体" w:cs="宋体"/>
                <w:color w:val="auto"/>
                <w:kern w:val="0"/>
                <w:sz w:val="21"/>
                <w:szCs w:val="21"/>
                <w:highlight w:val="none"/>
                <w:u w:val="none"/>
                <w:shd w:val="clear" w:color="auto" w:fill="FFFFFF"/>
                <w:lang w:bidi="ar"/>
              </w:rPr>
              <w:t>企业类似业绩</w:t>
            </w:r>
            <w:r>
              <w:rPr>
                <w:rFonts w:hint="eastAsia" w:ascii="宋体" w:hAnsi="宋体" w:eastAsia="宋体" w:cs="宋体"/>
                <w:color w:val="auto"/>
                <w:sz w:val="21"/>
                <w:szCs w:val="21"/>
                <w:highlight w:val="none"/>
                <w:u w:val="none"/>
              </w:rPr>
              <w:t>（</w:t>
            </w:r>
            <w:r>
              <w:rPr>
                <w:rFonts w:hint="eastAsia" w:ascii="宋体" w:hAnsi="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分）</w:t>
            </w:r>
          </w:p>
        </w:tc>
        <w:tc>
          <w:tcPr>
            <w:tcW w:w="5215" w:type="dxa"/>
            <w:noWrap w:val="0"/>
            <w:vAlign w:val="center"/>
          </w:tcPr>
          <w:p w14:paraId="06E18429">
            <w:pPr>
              <w:shd w:val="clear"/>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投标人自202</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 w:val="21"/>
                <w:szCs w:val="21"/>
                <w:highlight w:val="none"/>
                <w:u w:val="none"/>
              </w:rPr>
              <w:t>年1月1日至今，独立完成</w:t>
            </w:r>
            <w:r>
              <w:rPr>
                <w:rFonts w:hint="eastAsia" w:ascii="宋体" w:hAnsi="宋体" w:eastAsia="宋体" w:cs="宋体"/>
                <w:color w:val="auto"/>
                <w:sz w:val="21"/>
                <w:szCs w:val="21"/>
                <w:highlight w:val="none"/>
                <w:u w:val="none"/>
                <w:lang w:val="en-US" w:eastAsia="zh-CN"/>
              </w:rPr>
              <w:t>的</w:t>
            </w:r>
            <w:r>
              <w:rPr>
                <w:rFonts w:hint="eastAsia" w:ascii="宋体" w:hAnsi="宋体" w:eastAsia="宋体" w:cs="宋体"/>
                <w:color w:val="auto"/>
                <w:sz w:val="21"/>
                <w:szCs w:val="21"/>
                <w:highlight w:val="none"/>
                <w:u w:val="none"/>
              </w:rPr>
              <w:t>质量合格的监理酬金≥</w:t>
            </w:r>
            <w:r>
              <w:rPr>
                <w:rFonts w:hint="eastAsia" w:ascii="宋体" w:hAnsi="宋体" w:cs="宋体"/>
                <w:color w:val="auto"/>
                <w:sz w:val="21"/>
                <w:szCs w:val="21"/>
                <w:highlight w:val="none"/>
                <w:u w:val="single"/>
                <w:lang w:val="en-US" w:eastAsia="zh-CN"/>
              </w:rPr>
              <w:t>400</w:t>
            </w:r>
            <w:r>
              <w:rPr>
                <w:rFonts w:hint="eastAsia" w:ascii="宋体" w:hAnsi="宋体" w:eastAsia="宋体" w:cs="宋体"/>
                <w:color w:val="auto"/>
                <w:sz w:val="21"/>
                <w:szCs w:val="21"/>
                <w:highlight w:val="none"/>
                <w:u w:val="none"/>
              </w:rPr>
              <w:t>万元的房屋建筑工程监理项目，每项得</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分，最</w:t>
            </w:r>
            <w:r>
              <w:rPr>
                <w:rFonts w:hint="eastAsia" w:ascii="宋体" w:hAnsi="宋体" w:eastAsia="宋体" w:cs="宋体"/>
                <w:color w:val="auto"/>
                <w:sz w:val="21"/>
                <w:szCs w:val="21"/>
                <w:highlight w:val="none"/>
                <w:u w:val="none"/>
                <w:lang w:val="en-US" w:eastAsia="zh-CN"/>
              </w:rPr>
              <w:t>高</w:t>
            </w:r>
            <w:r>
              <w:rPr>
                <w:rFonts w:hint="eastAsia" w:ascii="宋体" w:hAnsi="宋体" w:eastAsia="宋体" w:cs="宋体"/>
                <w:color w:val="auto"/>
                <w:sz w:val="21"/>
                <w:szCs w:val="21"/>
                <w:highlight w:val="none"/>
                <w:u w:val="none"/>
              </w:rPr>
              <w:t>得</w:t>
            </w:r>
            <w:r>
              <w:rPr>
                <w:rFonts w:hint="eastAsia" w:ascii="宋体" w:hAnsi="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分。</w:t>
            </w:r>
          </w:p>
          <w:p w14:paraId="799A3FEA">
            <w:pPr>
              <w:shd w:val="clear"/>
              <w:jc w:val="left"/>
              <w:rPr>
                <w:rFonts w:hint="eastAsia" w:ascii="宋体" w:hAnsi="宋体" w:cs="宋体"/>
                <w:color w:val="auto"/>
                <w:highlight w:val="none"/>
              </w:rPr>
            </w:pPr>
            <w:r>
              <w:rPr>
                <w:rFonts w:hint="eastAsia" w:ascii="宋体" w:hAnsi="宋体" w:eastAsia="宋体" w:cs="宋体"/>
                <w:color w:val="auto"/>
                <w:sz w:val="21"/>
                <w:szCs w:val="21"/>
                <w:highlight w:val="none"/>
                <w:u w:val="none"/>
              </w:rPr>
              <w:t>注：需同时提供监理合同关键页、竣工验收证明文件，</w:t>
            </w:r>
            <w:r>
              <w:rPr>
                <w:rFonts w:hint="eastAsia" w:ascii="宋体" w:hAnsi="宋体" w:cs="宋体"/>
                <w:color w:val="auto"/>
                <w:szCs w:val="21"/>
                <w:highlight w:val="none"/>
              </w:rPr>
              <w:t>否则不得分。</w:t>
            </w:r>
            <w:r>
              <w:rPr>
                <w:rFonts w:hint="eastAsia" w:ascii="宋体" w:hAnsi="宋体" w:eastAsia="宋体" w:cs="宋体"/>
                <w:color w:val="auto"/>
                <w:sz w:val="21"/>
                <w:szCs w:val="21"/>
                <w:highlight w:val="none"/>
                <w:u w:val="none"/>
              </w:rPr>
              <w:t>业绩时间以竣工验收日期为准，监理酬金以监理合同上载明为准。</w:t>
            </w:r>
          </w:p>
        </w:tc>
      </w:tr>
      <w:tr w14:paraId="46AC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88" w:type="dxa"/>
            <w:gridSpan w:val="2"/>
            <w:vMerge w:val="continue"/>
            <w:noWrap w:val="0"/>
            <w:vAlign w:val="center"/>
          </w:tcPr>
          <w:p w14:paraId="7747026F">
            <w:pPr>
              <w:shd w:val="clear"/>
              <w:spacing w:line="340" w:lineRule="exact"/>
              <w:rPr>
                <w:rFonts w:hint="eastAsia" w:ascii="宋体" w:hAnsi="宋体" w:cs="宋体"/>
                <w:color w:val="auto"/>
                <w:highlight w:val="none"/>
              </w:rPr>
            </w:pPr>
          </w:p>
        </w:tc>
        <w:tc>
          <w:tcPr>
            <w:tcW w:w="960" w:type="dxa"/>
            <w:gridSpan w:val="2"/>
            <w:vMerge w:val="continue"/>
            <w:noWrap w:val="0"/>
            <w:vAlign w:val="center"/>
          </w:tcPr>
          <w:p w14:paraId="658530AF">
            <w:pPr>
              <w:shd w:val="clear"/>
              <w:spacing w:line="340" w:lineRule="exact"/>
              <w:rPr>
                <w:rFonts w:hint="eastAsia" w:ascii="宋体" w:hAnsi="宋体" w:cs="宋体"/>
                <w:color w:val="auto"/>
                <w:highlight w:val="none"/>
              </w:rPr>
            </w:pPr>
          </w:p>
        </w:tc>
        <w:tc>
          <w:tcPr>
            <w:tcW w:w="2359" w:type="dxa"/>
            <w:noWrap w:val="0"/>
            <w:vAlign w:val="center"/>
          </w:tcPr>
          <w:p w14:paraId="26CBFE32">
            <w:pPr>
              <w:shd w:val="clear"/>
              <w:adjustRightInd w:val="0"/>
              <w:snapToGrid w:val="0"/>
              <w:spacing w:before="46" w:beforeLines="15" w:after="46" w:afterLines="15"/>
              <w:ind w:left="42" w:leftChars="20" w:right="42" w:rightChars="20"/>
              <w:jc w:val="center"/>
              <w:rPr>
                <w:rFonts w:hint="eastAsia" w:ascii="宋体" w:hAnsi="宋体" w:eastAsia="宋体" w:cs="宋体"/>
                <w:color w:val="auto"/>
                <w:kern w:val="0"/>
                <w:sz w:val="21"/>
                <w:szCs w:val="21"/>
                <w:highlight w:val="none"/>
                <w:u w:val="none"/>
                <w:shd w:val="clear" w:color="auto" w:fill="FFFFFF"/>
                <w:lang w:bidi="ar"/>
              </w:rPr>
            </w:pPr>
            <w:r>
              <w:rPr>
                <w:rFonts w:hint="eastAsia"/>
                <w:color w:val="auto"/>
                <w:szCs w:val="21"/>
                <w:highlight w:val="none"/>
              </w:rPr>
              <w:t>企业获奖业绩（6</w:t>
            </w:r>
            <w:r>
              <w:rPr>
                <w:rFonts w:hint="eastAsia"/>
                <w:color w:val="auto"/>
                <w:szCs w:val="21"/>
                <w:highlight w:val="none"/>
                <w:lang w:val="en-US" w:eastAsia="zh-CN"/>
              </w:rPr>
              <w:t>分</w:t>
            </w:r>
            <w:r>
              <w:rPr>
                <w:rFonts w:hint="eastAsia"/>
                <w:color w:val="auto"/>
                <w:szCs w:val="21"/>
                <w:highlight w:val="none"/>
              </w:rPr>
              <w:t>）</w:t>
            </w:r>
          </w:p>
        </w:tc>
        <w:tc>
          <w:tcPr>
            <w:tcW w:w="5215" w:type="dxa"/>
            <w:noWrap w:val="0"/>
            <w:vAlign w:val="center"/>
          </w:tcPr>
          <w:p w14:paraId="3C5F1EB9">
            <w:pPr>
              <w:shd w:val="clear"/>
              <w:wordWrap w:val="0"/>
              <w:adjustRightInd w:val="0"/>
              <w:snapToGrid w:val="0"/>
              <w:spacing w:line="320" w:lineRule="exact"/>
              <w:rPr>
                <w:rFonts w:hint="eastAsia"/>
                <w:color w:val="auto"/>
                <w:szCs w:val="21"/>
                <w:highlight w:val="none"/>
              </w:rPr>
            </w:pPr>
            <w:r>
              <w:rPr>
                <w:rFonts w:hint="eastAsia"/>
                <w:color w:val="auto"/>
                <w:szCs w:val="21"/>
                <w:highlight w:val="none"/>
              </w:rPr>
              <w:t>投标人</w:t>
            </w:r>
            <w:r>
              <w:rPr>
                <w:rFonts w:hint="eastAsia"/>
                <w:color w:val="auto"/>
                <w:szCs w:val="21"/>
                <w:highlight w:val="none"/>
                <w:lang w:val="en-US" w:eastAsia="zh-CN"/>
              </w:rPr>
              <w:t>自</w:t>
            </w:r>
            <w:r>
              <w:rPr>
                <w:rFonts w:hint="eastAsia"/>
                <w:color w:val="auto"/>
                <w:szCs w:val="21"/>
                <w:highlight w:val="none"/>
              </w:rPr>
              <w:t>2020年1月1日至</w:t>
            </w:r>
            <w:r>
              <w:rPr>
                <w:rFonts w:hint="eastAsia"/>
                <w:color w:val="auto"/>
                <w:szCs w:val="21"/>
                <w:highlight w:val="none"/>
                <w:lang w:val="en-US" w:eastAsia="zh-CN"/>
              </w:rPr>
              <w:t>今独立承接</w:t>
            </w:r>
            <w:r>
              <w:rPr>
                <w:rFonts w:hint="eastAsia"/>
                <w:color w:val="auto"/>
                <w:szCs w:val="21"/>
                <w:highlight w:val="none"/>
              </w:rPr>
              <w:t>的</w:t>
            </w:r>
            <w:r>
              <w:rPr>
                <w:rFonts w:hint="eastAsia"/>
                <w:color w:val="auto"/>
                <w:szCs w:val="21"/>
                <w:highlight w:val="none"/>
                <w:lang w:val="en-US" w:eastAsia="zh-CN"/>
              </w:rPr>
              <w:t>房屋建筑工程监理</w:t>
            </w:r>
            <w:r>
              <w:rPr>
                <w:rFonts w:hint="eastAsia"/>
                <w:color w:val="auto"/>
                <w:szCs w:val="21"/>
                <w:highlight w:val="none"/>
              </w:rPr>
              <w:t>项目获得市级</w:t>
            </w:r>
            <w:r>
              <w:rPr>
                <w:rFonts w:hint="eastAsia"/>
                <w:color w:val="auto"/>
                <w:szCs w:val="21"/>
                <w:highlight w:val="none"/>
                <w:lang w:val="en-US" w:eastAsia="zh-CN"/>
              </w:rPr>
              <w:t>或以上</w:t>
            </w:r>
            <w:r>
              <w:rPr>
                <w:rFonts w:hint="eastAsia"/>
                <w:color w:val="auto"/>
                <w:szCs w:val="21"/>
                <w:highlight w:val="none"/>
              </w:rPr>
              <w:t>奖项每项得</w:t>
            </w:r>
            <w:r>
              <w:rPr>
                <w:color w:val="auto"/>
                <w:szCs w:val="21"/>
                <w:highlight w:val="none"/>
              </w:rPr>
              <w:t>1</w:t>
            </w:r>
            <w:r>
              <w:rPr>
                <w:rFonts w:hint="eastAsia"/>
                <w:color w:val="auto"/>
                <w:szCs w:val="21"/>
                <w:highlight w:val="none"/>
                <w:lang w:val="en-US" w:eastAsia="zh-CN"/>
              </w:rPr>
              <w:t>.5</w:t>
            </w:r>
            <w:r>
              <w:rPr>
                <w:rFonts w:hint="eastAsia"/>
                <w:color w:val="auto"/>
                <w:szCs w:val="21"/>
                <w:highlight w:val="none"/>
              </w:rPr>
              <w:t>分。同一项目获</w:t>
            </w:r>
            <w:r>
              <w:rPr>
                <w:rFonts w:hint="eastAsia"/>
                <w:color w:val="auto"/>
                <w:szCs w:val="21"/>
                <w:highlight w:val="none"/>
                <w:lang w:val="en-US" w:eastAsia="zh-CN"/>
              </w:rPr>
              <w:t>得</w:t>
            </w:r>
            <w:r>
              <w:rPr>
                <w:rFonts w:hint="eastAsia"/>
                <w:color w:val="auto"/>
                <w:szCs w:val="21"/>
                <w:highlight w:val="none"/>
              </w:rPr>
              <w:t>多个奖项</w:t>
            </w:r>
            <w:r>
              <w:rPr>
                <w:rFonts w:hint="eastAsia"/>
                <w:color w:val="auto"/>
                <w:szCs w:val="21"/>
                <w:highlight w:val="none"/>
                <w:lang w:val="en-US" w:eastAsia="zh-CN"/>
              </w:rPr>
              <w:t>的</w:t>
            </w:r>
            <w:r>
              <w:rPr>
                <w:rFonts w:hint="eastAsia"/>
                <w:color w:val="auto"/>
                <w:szCs w:val="21"/>
                <w:highlight w:val="none"/>
              </w:rPr>
              <w:t>不叠加，按最高奖项计</w:t>
            </w:r>
            <w:r>
              <w:rPr>
                <w:rFonts w:hint="eastAsia"/>
                <w:color w:val="auto"/>
                <w:szCs w:val="21"/>
                <w:highlight w:val="none"/>
                <w:lang w:val="en-US" w:eastAsia="zh-CN"/>
              </w:rPr>
              <w:t>一次分</w:t>
            </w:r>
            <w:r>
              <w:rPr>
                <w:rFonts w:hint="eastAsia"/>
                <w:color w:val="auto"/>
                <w:szCs w:val="21"/>
                <w:highlight w:val="none"/>
              </w:rPr>
              <w:t>。本项最</w:t>
            </w:r>
            <w:r>
              <w:rPr>
                <w:rFonts w:hint="eastAsia"/>
                <w:color w:val="auto"/>
                <w:szCs w:val="21"/>
                <w:highlight w:val="none"/>
                <w:lang w:val="en-US" w:eastAsia="zh-CN"/>
              </w:rPr>
              <w:t>高</w:t>
            </w:r>
            <w:r>
              <w:rPr>
                <w:rFonts w:hint="eastAsia"/>
                <w:color w:val="auto"/>
                <w:szCs w:val="21"/>
                <w:highlight w:val="none"/>
              </w:rPr>
              <w:t>得6分。</w:t>
            </w:r>
          </w:p>
          <w:p w14:paraId="45214DFB">
            <w:pPr>
              <w:shd w:val="clear"/>
              <w:wordWrap w:val="0"/>
              <w:adjustRightInd w:val="0"/>
              <w:snapToGrid w:val="0"/>
              <w:spacing w:line="320" w:lineRule="exact"/>
              <w:rPr>
                <w:rFonts w:hint="eastAsia" w:ascii="宋体" w:hAnsi="宋体" w:eastAsia="宋体" w:cs="宋体"/>
                <w:color w:val="auto"/>
                <w:sz w:val="21"/>
                <w:szCs w:val="21"/>
                <w:highlight w:val="none"/>
                <w:u w:val="none"/>
                <w:lang w:eastAsia="zh-CN"/>
              </w:rPr>
            </w:pPr>
            <w:r>
              <w:rPr>
                <w:rFonts w:hint="eastAsia"/>
                <w:color w:val="auto"/>
                <w:szCs w:val="21"/>
                <w:highlight w:val="none"/>
                <w:lang w:val="en-US" w:eastAsia="zh-CN"/>
              </w:rPr>
              <w:t>注：</w:t>
            </w:r>
            <w:r>
              <w:rPr>
                <w:rFonts w:hint="eastAsia"/>
                <w:color w:val="auto"/>
                <w:szCs w:val="21"/>
                <w:highlight w:val="none"/>
              </w:rPr>
              <w:t>需提供获奖证书扫描件或证明文件，</w:t>
            </w:r>
            <w:r>
              <w:rPr>
                <w:rFonts w:hint="eastAsia"/>
                <w:color w:val="auto"/>
                <w:szCs w:val="21"/>
                <w:highlight w:val="none"/>
                <w:lang w:val="en-US" w:eastAsia="zh-CN"/>
              </w:rPr>
              <w:t>获奖</w:t>
            </w:r>
            <w:r>
              <w:rPr>
                <w:rFonts w:hint="eastAsia"/>
                <w:color w:val="auto"/>
                <w:szCs w:val="21"/>
                <w:highlight w:val="none"/>
              </w:rPr>
              <w:t>时间以获奖证书或证明文件的时间为准</w:t>
            </w:r>
            <w:r>
              <w:rPr>
                <w:rFonts w:hint="eastAsia"/>
                <w:color w:val="auto"/>
                <w:szCs w:val="21"/>
                <w:highlight w:val="none"/>
                <w:lang w:eastAsia="zh-CN"/>
              </w:rPr>
              <w:t>。</w:t>
            </w:r>
          </w:p>
        </w:tc>
      </w:tr>
      <w:tr w14:paraId="6275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88" w:type="dxa"/>
            <w:gridSpan w:val="2"/>
            <w:vMerge w:val="continue"/>
            <w:noWrap w:val="0"/>
            <w:vAlign w:val="center"/>
          </w:tcPr>
          <w:p w14:paraId="30DBEB7B">
            <w:pPr>
              <w:shd w:val="clear"/>
              <w:spacing w:line="340" w:lineRule="exact"/>
              <w:rPr>
                <w:rFonts w:hint="eastAsia" w:ascii="宋体" w:hAnsi="宋体" w:cs="宋体"/>
                <w:color w:val="auto"/>
                <w:highlight w:val="none"/>
              </w:rPr>
            </w:pPr>
          </w:p>
        </w:tc>
        <w:tc>
          <w:tcPr>
            <w:tcW w:w="960" w:type="dxa"/>
            <w:gridSpan w:val="2"/>
            <w:vMerge w:val="continue"/>
            <w:noWrap w:val="0"/>
            <w:vAlign w:val="center"/>
          </w:tcPr>
          <w:p w14:paraId="2080F219">
            <w:pPr>
              <w:shd w:val="clear"/>
              <w:spacing w:line="340" w:lineRule="exact"/>
              <w:rPr>
                <w:rFonts w:hint="eastAsia" w:ascii="宋体" w:hAnsi="宋体" w:cs="宋体"/>
                <w:color w:val="auto"/>
                <w:highlight w:val="none"/>
              </w:rPr>
            </w:pPr>
          </w:p>
        </w:tc>
        <w:tc>
          <w:tcPr>
            <w:tcW w:w="2359" w:type="dxa"/>
            <w:noWrap w:val="0"/>
            <w:vAlign w:val="center"/>
          </w:tcPr>
          <w:p w14:paraId="2B3F5861">
            <w:pPr>
              <w:shd w:val="clear"/>
              <w:adjustRightInd w:val="0"/>
              <w:snapToGrid w:val="0"/>
              <w:spacing w:before="46" w:beforeLines="15" w:after="46" w:afterLines="15"/>
              <w:ind w:left="42" w:leftChars="20" w:right="42" w:rightChars="20"/>
              <w:jc w:val="center"/>
              <w:rPr>
                <w:rFonts w:hint="eastAsia" w:ascii="宋体" w:hAnsi="宋体" w:cs="宋体"/>
                <w:color w:val="auto"/>
                <w:highlight w:val="none"/>
              </w:rPr>
            </w:pPr>
            <w:r>
              <w:rPr>
                <w:rFonts w:hint="eastAsia"/>
                <w:color w:val="auto"/>
                <w:szCs w:val="21"/>
                <w:highlight w:val="none"/>
              </w:rPr>
              <w:t>总监理工程师资历（</w:t>
            </w:r>
            <w:r>
              <w:rPr>
                <w:rFonts w:hint="default"/>
                <w:color w:val="auto"/>
                <w:szCs w:val="21"/>
                <w:highlight w:val="none"/>
                <w:lang w:val="en-US"/>
              </w:rPr>
              <w:t>4</w:t>
            </w:r>
            <w:r>
              <w:rPr>
                <w:rFonts w:hint="eastAsia"/>
                <w:color w:val="auto"/>
                <w:szCs w:val="21"/>
                <w:highlight w:val="none"/>
                <w:lang w:val="en-US" w:eastAsia="zh-CN"/>
              </w:rPr>
              <w:t>分</w:t>
            </w:r>
            <w:r>
              <w:rPr>
                <w:rFonts w:hint="eastAsia"/>
                <w:color w:val="auto"/>
                <w:szCs w:val="21"/>
                <w:highlight w:val="none"/>
              </w:rPr>
              <w:t>）</w:t>
            </w:r>
          </w:p>
        </w:tc>
        <w:tc>
          <w:tcPr>
            <w:tcW w:w="5215" w:type="dxa"/>
            <w:noWrap w:val="0"/>
            <w:vAlign w:val="center"/>
          </w:tcPr>
          <w:p w14:paraId="7530EA53">
            <w:pPr>
              <w:shd w:val="clear"/>
              <w:adjustRightInd w:val="0"/>
              <w:snapToGrid w:val="0"/>
              <w:spacing w:before="46" w:beforeLines="15" w:after="46" w:afterLines="15"/>
              <w:ind w:left="41" w:leftChars="1" w:right="42" w:rightChars="20" w:hanging="39" w:hangingChars="19"/>
              <w:rPr>
                <w:rFonts w:hint="eastAsia"/>
                <w:color w:val="auto"/>
                <w:szCs w:val="21"/>
                <w:highlight w:val="none"/>
              </w:rPr>
            </w:pPr>
            <w:r>
              <w:rPr>
                <w:rFonts w:hint="eastAsia"/>
                <w:color w:val="auto"/>
                <w:szCs w:val="21"/>
                <w:highlight w:val="none"/>
              </w:rPr>
              <w:t>1、满足招标公告要求，具有高级或以上技术职称的得2分，具有中级技术职称的得1分，本项</w:t>
            </w:r>
            <w:r>
              <w:rPr>
                <w:rFonts w:hint="eastAsia"/>
                <w:color w:val="auto"/>
                <w:szCs w:val="21"/>
                <w:highlight w:val="none"/>
                <w:lang w:val="en-US" w:eastAsia="zh-CN"/>
              </w:rPr>
              <w:t>最高得2分</w:t>
            </w:r>
            <w:r>
              <w:rPr>
                <w:rFonts w:hint="eastAsia"/>
                <w:color w:val="auto"/>
                <w:szCs w:val="21"/>
                <w:highlight w:val="none"/>
              </w:rPr>
              <w:t>。</w:t>
            </w:r>
          </w:p>
          <w:p w14:paraId="66C89245">
            <w:pPr>
              <w:shd w:val="clear"/>
              <w:adjustRightInd w:val="0"/>
              <w:snapToGrid w:val="0"/>
              <w:spacing w:before="46" w:beforeLines="15" w:after="46" w:afterLines="15"/>
              <w:ind w:left="41" w:leftChars="1" w:right="42" w:rightChars="20" w:hanging="39" w:hangingChars="19"/>
              <w:rPr>
                <w:rFonts w:hint="default"/>
                <w:color w:val="auto"/>
                <w:szCs w:val="21"/>
                <w:highlight w:val="none"/>
                <w:lang w:val="en-US"/>
              </w:rPr>
            </w:pPr>
            <w:r>
              <w:rPr>
                <w:rFonts w:hint="eastAsia"/>
                <w:color w:val="auto"/>
                <w:szCs w:val="21"/>
                <w:highlight w:val="none"/>
                <w:lang w:val="en-US" w:eastAsia="zh-CN"/>
              </w:rPr>
              <w:t>注：提供职称证书扫描件。</w:t>
            </w:r>
          </w:p>
          <w:p w14:paraId="54305DA3">
            <w:pPr>
              <w:shd w:val="clear"/>
              <w:adjustRightInd w:val="0"/>
              <w:snapToGrid w:val="0"/>
              <w:spacing w:before="46" w:beforeLines="15" w:after="46" w:afterLines="15"/>
              <w:ind w:left="41" w:leftChars="1" w:right="42" w:rightChars="20" w:hanging="39" w:hangingChars="19"/>
              <w:rPr>
                <w:rFonts w:hint="eastAsia"/>
                <w:color w:val="auto"/>
                <w:szCs w:val="21"/>
                <w:highlight w:val="none"/>
                <w:lang w:eastAsia="zh-CN"/>
              </w:rPr>
            </w:pPr>
            <w:r>
              <w:rPr>
                <w:rFonts w:hint="eastAsia"/>
                <w:color w:val="auto"/>
                <w:szCs w:val="21"/>
                <w:highlight w:val="none"/>
              </w:rPr>
              <w:t>2、取得监理工程师执业资格</w:t>
            </w:r>
            <w:r>
              <w:rPr>
                <w:rFonts w:hint="eastAsia"/>
                <w:color w:val="auto"/>
                <w:szCs w:val="21"/>
                <w:highlight w:val="none"/>
                <w:lang w:val="en-US" w:eastAsia="zh-CN"/>
              </w:rPr>
              <w:t>10</w:t>
            </w:r>
            <w:r>
              <w:rPr>
                <w:rFonts w:hint="eastAsia"/>
                <w:color w:val="auto"/>
                <w:szCs w:val="21"/>
                <w:highlight w:val="none"/>
              </w:rPr>
              <w:t>年(不含</w:t>
            </w:r>
            <w:r>
              <w:rPr>
                <w:rFonts w:hint="eastAsia"/>
                <w:color w:val="auto"/>
                <w:szCs w:val="21"/>
                <w:highlight w:val="none"/>
                <w:lang w:val="en-US" w:eastAsia="zh-CN"/>
              </w:rPr>
              <w:t>10</w:t>
            </w:r>
            <w:r>
              <w:rPr>
                <w:rFonts w:hint="eastAsia"/>
                <w:color w:val="auto"/>
                <w:szCs w:val="21"/>
                <w:highlight w:val="none"/>
              </w:rPr>
              <w:t>年)以上的得</w:t>
            </w:r>
            <w:r>
              <w:rPr>
                <w:rFonts w:hint="default"/>
                <w:color w:val="auto"/>
                <w:szCs w:val="21"/>
                <w:highlight w:val="none"/>
                <w:lang w:val="en-US"/>
              </w:rPr>
              <w:t>2</w:t>
            </w:r>
            <w:r>
              <w:rPr>
                <w:rFonts w:hint="eastAsia"/>
                <w:color w:val="auto"/>
                <w:szCs w:val="21"/>
                <w:highlight w:val="none"/>
              </w:rPr>
              <w:t>分</w:t>
            </w:r>
            <w:r>
              <w:rPr>
                <w:rFonts w:hint="eastAsia"/>
                <w:color w:val="auto"/>
                <w:szCs w:val="21"/>
                <w:highlight w:val="none"/>
                <w:lang w:val="en-US" w:eastAsia="zh-CN"/>
              </w:rPr>
              <w:t>；</w:t>
            </w:r>
            <w:r>
              <w:rPr>
                <w:rFonts w:hint="eastAsia"/>
                <w:color w:val="auto"/>
                <w:szCs w:val="21"/>
                <w:highlight w:val="none"/>
              </w:rPr>
              <w:t>取得监理工程师执业资格</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不</w:t>
            </w:r>
            <w:r>
              <w:rPr>
                <w:rFonts w:hint="eastAsia"/>
                <w:color w:val="auto"/>
                <w:szCs w:val="21"/>
                <w:highlight w:val="none"/>
              </w:rPr>
              <w:t>含</w:t>
            </w:r>
            <w:r>
              <w:rPr>
                <w:rFonts w:hint="eastAsia"/>
                <w:color w:val="auto"/>
                <w:szCs w:val="21"/>
                <w:highlight w:val="none"/>
                <w:lang w:val="en-US" w:eastAsia="zh-CN"/>
              </w:rPr>
              <w:t>5</w:t>
            </w:r>
            <w:r>
              <w:rPr>
                <w:rFonts w:hint="eastAsia"/>
                <w:color w:val="auto"/>
                <w:szCs w:val="21"/>
                <w:highlight w:val="none"/>
              </w:rPr>
              <w:t>年)至</w:t>
            </w:r>
            <w:r>
              <w:rPr>
                <w:rFonts w:hint="eastAsia"/>
                <w:color w:val="auto"/>
                <w:szCs w:val="21"/>
                <w:highlight w:val="none"/>
                <w:lang w:val="en-US" w:eastAsia="zh-CN"/>
              </w:rPr>
              <w:t>10</w:t>
            </w:r>
            <w:r>
              <w:rPr>
                <w:rFonts w:hint="eastAsia"/>
                <w:color w:val="auto"/>
                <w:szCs w:val="21"/>
                <w:highlight w:val="none"/>
              </w:rPr>
              <w:t>年</w:t>
            </w:r>
            <w:r>
              <w:rPr>
                <w:rFonts w:hint="eastAsia"/>
                <w:color w:val="auto"/>
                <w:szCs w:val="21"/>
                <w:highlight w:val="none"/>
                <w:lang w:eastAsia="zh-CN"/>
              </w:rPr>
              <w:t>（</w:t>
            </w:r>
            <w:r>
              <w:rPr>
                <w:rFonts w:hint="eastAsia"/>
                <w:color w:val="auto"/>
                <w:szCs w:val="21"/>
                <w:highlight w:val="none"/>
                <w:lang w:val="en-US" w:eastAsia="zh-CN"/>
              </w:rPr>
              <w:t>含10年）</w:t>
            </w:r>
            <w:r>
              <w:rPr>
                <w:rFonts w:hint="eastAsia"/>
                <w:color w:val="auto"/>
                <w:szCs w:val="21"/>
                <w:highlight w:val="none"/>
              </w:rPr>
              <w:t>的得1分</w:t>
            </w:r>
            <w:r>
              <w:rPr>
                <w:rFonts w:hint="eastAsia"/>
                <w:color w:val="auto"/>
                <w:szCs w:val="21"/>
                <w:highlight w:val="none"/>
                <w:lang w:val="en-US" w:eastAsia="zh-CN"/>
              </w:rPr>
              <w:t>；</w:t>
            </w:r>
            <w:r>
              <w:rPr>
                <w:rFonts w:hint="eastAsia"/>
                <w:color w:val="auto"/>
                <w:szCs w:val="21"/>
                <w:highlight w:val="none"/>
              </w:rPr>
              <w:t>取得监理工程师执业资</w:t>
            </w:r>
            <w:r>
              <w:rPr>
                <w:rFonts w:hint="eastAsia"/>
                <w:color w:val="auto"/>
                <w:szCs w:val="21"/>
                <w:highlight w:val="none"/>
                <w:lang w:val="en-US" w:eastAsia="zh-CN"/>
              </w:rPr>
              <w:t>5</w:t>
            </w:r>
            <w:r>
              <w:rPr>
                <w:rFonts w:hint="eastAsia"/>
                <w:color w:val="auto"/>
                <w:szCs w:val="21"/>
                <w:highlight w:val="none"/>
              </w:rPr>
              <w:t>年以下</w:t>
            </w:r>
            <w:r>
              <w:rPr>
                <w:rFonts w:hint="eastAsia"/>
                <w:color w:val="auto"/>
                <w:szCs w:val="21"/>
                <w:highlight w:val="none"/>
                <w:lang w:eastAsia="zh-CN"/>
              </w:rPr>
              <w:t>（</w:t>
            </w:r>
            <w:r>
              <w:rPr>
                <w:rFonts w:hint="eastAsia"/>
                <w:color w:val="auto"/>
                <w:szCs w:val="21"/>
                <w:highlight w:val="none"/>
                <w:lang w:val="en-US" w:eastAsia="zh-CN"/>
              </w:rPr>
              <w:t>含5年）</w:t>
            </w:r>
            <w:r>
              <w:rPr>
                <w:rFonts w:hint="eastAsia"/>
                <w:color w:val="auto"/>
                <w:szCs w:val="21"/>
                <w:highlight w:val="none"/>
              </w:rPr>
              <w:t>的得0.5分。其余情况不得分。</w:t>
            </w:r>
          </w:p>
          <w:p w14:paraId="2E237ADF">
            <w:pPr>
              <w:shd w:val="clear"/>
              <w:adjustRightInd w:val="0"/>
              <w:snapToGrid w:val="0"/>
              <w:spacing w:before="46" w:beforeLines="15" w:after="46" w:afterLines="15"/>
              <w:ind w:left="41" w:leftChars="1" w:right="42" w:rightChars="20" w:hanging="39" w:hangingChars="19"/>
              <w:rPr>
                <w:rFonts w:hint="eastAsia" w:ascii="宋体" w:hAnsi="宋体" w:eastAsia="宋体" w:cs="宋体"/>
                <w:color w:val="auto"/>
                <w:sz w:val="21"/>
                <w:szCs w:val="21"/>
                <w:highlight w:val="none"/>
                <w:u w:val="none"/>
              </w:rPr>
            </w:pPr>
            <w:r>
              <w:rPr>
                <w:rFonts w:hint="eastAsia"/>
                <w:color w:val="auto"/>
                <w:szCs w:val="21"/>
                <w:highlight w:val="none"/>
                <w:lang w:val="en-US" w:eastAsia="zh-CN"/>
              </w:rPr>
              <w:t>注：提供</w:t>
            </w:r>
            <w:r>
              <w:rPr>
                <w:rFonts w:hint="eastAsia"/>
                <w:color w:val="auto"/>
                <w:szCs w:val="21"/>
                <w:highlight w:val="none"/>
              </w:rPr>
              <w:t>监理工程师执业资格证</w:t>
            </w:r>
            <w:r>
              <w:rPr>
                <w:rFonts w:hint="eastAsia"/>
                <w:color w:val="auto"/>
                <w:szCs w:val="21"/>
                <w:highlight w:val="none"/>
                <w:lang w:val="en-US" w:eastAsia="zh-CN"/>
              </w:rPr>
              <w:t>，时间</w:t>
            </w:r>
            <w:r>
              <w:rPr>
                <w:rFonts w:hint="eastAsia"/>
                <w:color w:val="auto"/>
                <w:szCs w:val="21"/>
                <w:highlight w:val="none"/>
              </w:rPr>
              <w:t>以监理工程师执业资格证的批准日期计算。</w:t>
            </w:r>
          </w:p>
        </w:tc>
      </w:tr>
      <w:tr w14:paraId="40EB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988" w:type="dxa"/>
            <w:gridSpan w:val="2"/>
            <w:vMerge w:val="continue"/>
            <w:noWrap w:val="0"/>
            <w:vAlign w:val="center"/>
          </w:tcPr>
          <w:p w14:paraId="7A116DBD">
            <w:pPr>
              <w:shd w:val="clear"/>
              <w:spacing w:line="340" w:lineRule="exact"/>
              <w:rPr>
                <w:rFonts w:hint="eastAsia" w:ascii="宋体" w:hAnsi="宋体" w:cs="宋体"/>
                <w:color w:val="auto"/>
                <w:highlight w:val="none"/>
              </w:rPr>
            </w:pPr>
          </w:p>
        </w:tc>
        <w:tc>
          <w:tcPr>
            <w:tcW w:w="960" w:type="dxa"/>
            <w:gridSpan w:val="2"/>
            <w:vMerge w:val="continue"/>
            <w:noWrap w:val="0"/>
            <w:vAlign w:val="center"/>
          </w:tcPr>
          <w:p w14:paraId="2E448E91">
            <w:pPr>
              <w:shd w:val="clear"/>
              <w:spacing w:line="340" w:lineRule="exact"/>
              <w:rPr>
                <w:rFonts w:hint="eastAsia" w:ascii="宋体" w:hAnsi="宋体" w:cs="宋体"/>
                <w:color w:val="auto"/>
                <w:highlight w:val="none"/>
              </w:rPr>
            </w:pPr>
          </w:p>
        </w:tc>
        <w:tc>
          <w:tcPr>
            <w:tcW w:w="2359" w:type="dxa"/>
            <w:noWrap w:val="0"/>
            <w:vAlign w:val="center"/>
          </w:tcPr>
          <w:p w14:paraId="49637AE3">
            <w:pPr>
              <w:shd w:val="clear"/>
              <w:contextualSpacing/>
              <w:rPr>
                <w:rFonts w:hint="eastAsia" w:ascii="宋体" w:hAnsi="宋体" w:cs="宋体"/>
                <w:color w:val="auto"/>
                <w:highlight w:val="none"/>
              </w:rPr>
            </w:pPr>
            <w:r>
              <w:rPr>
                <w:rFonts w:hint="eastAsia" w:ascii="宋体" w:hAnsi="宋体"/>
                <w:color w:val="auto"/>
                <w:szCs w:val="21"/>
                <w:highlight w:val="none"/>
              </w:rPr>
              <w:t>拟投入本项目的其他监理人员（</w:t>
            </w:r>
            <w:r>
              <w:rPr>
                <w:rFonts w:hint="default" w:ascii="宋体" w:hAnsi="宋体"/>
                <w:color w:val="auto"/>
                <w:szCs w:val="21"/>
                <w:highlight w:val="none"/>
                <w:lang w:val="en-US"/>
              </w:rPr>
              <w:t>6</w:t>
            </w:r>
            <w:r>
              <w:rPr>
                <w:rFonts w:hint="eastAsia" w:ascii="宋体" w:hAnsi="宋体"/>
                <w:color w:val="auto"/>
                <w:szCs w:val="21"/>
                <w:highlight w:val="none"/>
                <w:lang w:val="en-US" w:eastAsia="zh-CN"/>
              </w:rPr>
              <w:t>分</w:t>
            </w:r>
            <w:r>
              <w:rPr>
                <w:rFonts w:hint="eastAsia" w:ascii="宋体" w:hAnsi="宋体"/>
                <w:color w:val="auto"/>
                <w:szCs w:val="21"/>
                <w:highlight w:val="none"/>
              </w:rPr>
              <w:t>）</w:t>
            </w:r>
          </w:p>
        </w:tc>
        <w:tc>
          <w:tcPr>
            <w:tcW w:w="5215" w:type="dxa"/>
            <w:noWrap w:val="0"/>
            <w:vAlign w:val="center"/>
          </w:tcPr>
          <w:p w14:paraId="26FBDA6C">
            <w:pPr>
              <w:shd w:val="clear"/>
              <w:contextualSpacing/>
              <w:rPr>
                <w:rFonts w:hint="eastAsia" w:ascii="宋体" w:hAnsi="宋体"/>
                <w:color w:val="auto"/>
                <w:szCs w:val="21"/>
                <w:highlight w:val="none"/>
              </w:rPr>
            </w:pPr>
            <w:r>
              <w:rPr>
                <w:rFonts w:hint="eastAsia" w:ascii="宋体" w:hAnsi="宋体"/>
                <w:color w:val="auto"/>
                <w:szCs w:val="21"/>
                <w:highlight w:val="none"/>
              </w:rPr>
              <w:t>配备的人员中（不含总监、总监代表）：</w:t>
            </w:r>
          </w:p>
          <w:p w14:paraId="48110417">
            <w:pPr>
              <w:shd w:val="clear"/>
              <w:autoSpaceDE w:val="0"/>
              <w:autoSpaceDN w:val="0"/>
              <w:adjustRightInd w:val="0"/>
              <w:ind w:right="3" w:firstLine="1"/>
              <w:rPr>
                <w:rFonts w:hint="eastAsia" w:ascii="宋体" w:hAnsi="宋体"/>
                <w:color w:val="auto"/>
                <w:szCs w:val="21"/>
                <w:highlight w:val="none"/>
              </w:rPr>
            </w:pPr>
            <w:r>
              <w:rPr>
                <w:rFonts w:hint="eastAsia" w:ascii="宋体" w:hAnsi="宋体"/>
                <w:color w:val="auto"/>
                <w:szCs w:val="21"/>
                <w:highlight w:val="none"/>
              </w:rPr>
              <w:t>1、满足本项目满足本项目《监理机构人员配备要求表》中各岗位要求的，且专业人员为本公司员工的得</w:t>
            </w:r>
            <w:r>
              <w:rPr>
                <w:rFonts w:hint="default" w:ascii="宋体" w:hAnsi="宋体"/>
                <w:color w:val="auto"/>
                <w:szCs w:val="21"/>
                <w:highlight w:val="none"/>
                <w:lang w:val="en-US"/>
              </w:rPr>
              <w:t>2</w:t>
            </w:r>
            <w:r>
              <w:rPr>
                <w:rFonts w:hint="eastAsia" w:ascii="宋体" w:hAnsi="宋体"/>
                <w:color w:val="auto"/>
                <w:szCs w:val="21"/>
                <w:highlight w:val="none"/>
              </w:rPr>
              <w:t>分，每缺少一个专业扣0.5分，本项最多得</w:t>
            </w:r>
            <w:r>
              <w:rPr>
                <w:rFonts w:hint="default" w:ascii="宋体" w:hAnsi="宋体"/>
                <w:color w:val="auto"/>
                <w:szCs w:val="21"/>
                <w:highlight w:val="none"/>
                <w:lang w:val="en-US"/>
              </w:rPr>
              <w:t>2</w:t>
            </w:r>
            <w:r>
              <w:rPr>
                <w:rFonts w:hint="eastAsia" w:ascii="宋体" w:hAnsi="宋体"/>
                <w:color w:val="auto"/>
                <w:szCs w:val="21"/>
                <w:highlight w:val="none"/>
              </w:rPr>
              <w:t>分。</w:t>
            </w:r>
          </w:p>
          <w:p w14:paraId="3A519C86">
            <w:pPr>
              <w:shd w:val="clear"/>
              <w:autoSpaceDE w:val="0"/>
              <w:autoSpaceDN w:val="0"/>
              <w:adjustRightInd w:val="0"/>
              <w:ind w:right="3" w:firstLine="1"/>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注：提供监理机构人员，和投标人在投标截止时间前三个月（2025年4月至6月）为以上人员购买社保的证明材料。</w:t>
            </w:r>
          </w:p>
          <w:p w14:paraId="18E1650C">
            <w:pPr>
              <w:shd w:val="clear"/>
              <w:contextualSpacing/>
              <w:jc w:val="left"/>
              <w:rPr>
                <w:rFonts w:hint="eastAsia" w:ascii="宋体" w:hAnsi="宋体"/>
                <w:color w:val="auto"/>
                <w:szCs w:val="21"/>
                <w:highlight w:val="none"/>
              </w:rPr>
            </w:pPr>
            <w:r>
              <w:rPr>
                <w:rFonts w:hint="eastAsia" w:ascii="宋体" w:hAnsi="宋体"/>
                <w:color w:val="auto"/>
                <w:szCs w:val="21"/>
                <w:highlight w:val="none"/>
              </w:rPr>
              <w:t>2、满足本项目《监理机构人员配备要求表》中</w:t>
            </w:r>
            <w:r>
              <w:rPr>
                <w:rFonts w:hint="eastAsia" w:ascii="宋体" w:hAnsi="宋体"/>
                <w:color w:val="auto"/>
                <w:szCs w:val="21"/>
                <w:highlight w:val="none"/>
                <w:lang w:val="en-US" w:eastAsia="zh-CN"/>
              </w:rPr>
              <w:t>的</w:t>
            </w:r>
            <w:r>
              <w:rPr>
                <w:rFonts w:hint="eastAsia" w:ascii="宋体" w:hAnsi="宋体"/>
                <w:color w:val="auto"/>
                <w:szCs w:val="21"/>
                <w:highlight w:val="none"/>
              </w:rPr>
              <w:t>房屋建筑专业监理工程师、机电安装专业监理工程师、给排水专业监理工程师、</w:t>
            </w:r>
            <w:r>
              <w:rPr>
                <w:rFonts w:hint="eastAsia" w:ascii="宋体" w:hAnsi="宋体"/>
                <w:color w:val="auto"/>
                <w:szCs w:val="21"/>
                <w:highlight w:val="none"/>
                <w:lang w:val="en-US" w:eastAsia="zh-CN"/>
              </w:rPr>
              <w:t>电气专业</w:t>
            </w:r>
            <w:r>
              <w:rPr>
                <w:rFonts w:hint="eastAsia" w:ascii="宋体" w:hAnsi="宋体"/>
                <w:color w:val="auto"/>
                <w:szCs w:val="21"/>
                <w:highlight w:val="none"/>
              </w:rPr>
              <w:t>监理工程师</w:t>
            </w:r>
            <w:r>
              <w:rPr>
                <w:rFonts w:hint="eastAsia" w:ascii="宋体" w:hAnsi="宋体"/>
                <w:color w:val="auto"/>
                <w:szCs w:val="21"/>
                <w:highlight w:val="none"/>
                <w:lang w:eastAsia="zh-CN"/>
              </w:rPr>
              <w:t>，</w:t>
            </w:r>
            <w:r>
              <w:rPr>
                <w:rFonts w:hint="eastAsia" w:ascii="宋体" w:hAnsi="宋体"/>
                <w:color w:val="auto"/>
                <w:szCs w:val="21"/>
                <w:highlight w:val="none"/>
              </w:rPr>
              <w:t>以上</w:t>
            </w:r>
            <w:r>
              <w:rPr>
                <w:rFonts w:hint="eastAsia" w:ascii="宋体" w:hAnsi="宋体"/>
                <w:color w:val="auto"/>
                <w:szCs w:val="21"/>
                <w:highlight w:val="none"/>
                <w:lang w:eastAsia="zh-CN"/>
              </w:rPr>
              <w:t>4</w:t>
            </w:r>
            <w:r>
              <w:rPr>
                <w:rFonts w:hint="eastAsia" w:ascii="宋体" w:hAnsi="宋体"/>
                <w:color w:val="auto"/>
                <w:szCs w:val="21"/>
                <w:highlight w:val="none"/>
              </w:rPr>
              <w:t>名专业人员的工作年限都在5年或以上的，每</w:t>
            </w:r>
            <w:r>
              <w:rPr>
                <w:rFonts w:hint="eastAsia" w:ascii="宋体" w:hAnsi="宋体"/>
                <w:color w:val="auto"/>
                <w:szCs w:val="21"/>
                <w:highlight w:val="none"/>
                <w:lang w:val="en-US" w:eastAsia="zh-CN"/>
              </w:rPr>
              <w:t>提供</w:t>
            </w:r>
            <w:r>
              <w:rPr>
                <w:rFonts w:hint="eastAsia" w:ascii="宋体" w:hAnsi="宋体"/>
                <w:color w:val="auto"/>
                <w:szCs w:val="21"/>
                <w:highlight w:val="none"/>
              </w:rPr>
              <w:t>1人得</w:t>
            </w:r>
            <w:r>
              <w:rPr>
                <w:rFonts w:hint="eastAsia" w:ascii="宋体" w:hAnsi="宋体"/>
                <w:color w:val="auto"/>
                <w:szCs w:val="21"/>
                <w:highlight w:val="none"/>
                <w:lang w:eastAsia="zh-CN"/>
              </w:rPr>
              <w:t>1</w:t>
            </w:r>
            <w:r>
              <w:rPr>
                <w:rFonts w:hint="eastAsia" w:ascii="宋体" w:hAnsi="宋体"/>
                <w:color w:val="auto"/>
                <w:szCs w:val="21"/>
                <w:highlight w:val="none"/>
              </w:rPr>
              <w:t>分，本项最多得</w:t>
            </w:r>
            <w:r>
              <w:rPr>
                <w:rFonts w:hint="eastAsia" w:ascii="宋体" w:hAnsi="宋体"/>
                <w:color w:val="auto"/>
                <w:szCs w:val="21"/>
                <w:highlight w:val="none"/>
                <w:lang w:eastAsia="zh-CN"/>
              </w:rPr>
              <w:t>4</w:t>
            </w:r>
            <w:r>
              <w:rPr>
                <w:rFonts w:hint="eastAsia" w:ascii="宋体" w:hAnsi="宋体"/>
                <w:color w:val="auto"/>
                <w:szCs w:val="21"/>
                <w:highlight w:val="none"/>
              </w:rPr>
              <w:t>分。</w:t>
            </w:r>
          </w:p>
          <w:p w14:paraId="09FF1216">
            <w:pPr>
              <w:shd w:val="clear"/>
              <w:contextualSpacing/>
              <w:jc w:val="left"/>
              <w:rPr>
                <w:rFonts w:hint="eastAsia" w:ascii="宋体" w:hAnsi="宋体" w:cs="宋体"/>
                <w:color w:val="auto"/>
                <w:highlight w:val="none"/>
              </w:rPr>
            </w:pPr>
            <w:r>
              <w:rPr>
                <w:rFonts w:hint="eastAsia" w:ascii="宋体" w:hAnsi="宋体"/>
                <w:color w:val="auto"/>
                <w:szCs w:val="21"/>
                <w:highlight w:val="none"/>
                <w:lang w:val="en-US" w:eastAsia="zh-CN"/>
              </w:rPr>
              <w:t>注：提供投标人盖章的人员简历表。</w:t>
            </w:r>
          </w:p>
        </w:tc>
      </w:tr>
      <w:tr w14:paraId="2CBF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988" w:type="dxa"/>
            <w:gridSpan w:val="2"/>
            <w:vMerge w:val="continue"/>
            <w:noWrap w:val="0"/>
            <w:vAlign w:val="center"/>
          </w:tcPr>
          <w:p w14:paraId="167D9B58">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5EF5BDC5">
            <w:pPr>
              <w:widowControl/>
              <w:shd w:val="clear"/>
              <w:jc w:val="left"/>
              <w:rPr>
                <w:rFonts w:hint="eastAsia" w:ascii="宋体" w:hAnsi="宋体" w:cs="宋体"/>
                <w:color w:val="auto"/>
                <w:highlight w:val="none"/>
              </w:rPr>
            </w:pPr>
          </w:p>
        </w:tc>
        <w:tc>
          <w:tcPr>
            <w:tcW w:w="2359" w:type="dxa"/>
            <w:noWrap w:val="0"/>
            <w:vAlign w:val="center"/>
          </w:tcPr>
          <w:p w14:paraId="46E52467">
            <w:pPr>
              <w:shd w:val="clear"/>
              <w:contextualSpacing/>
              <w:jc w:val="center"/>
              <w:rPr>
                <w:rFonts w:hint="eastAsia" w:ascii="宋体" w:hAnsi="宋体" w:cs="宋体"/>
                <w:color w:val="auto"/>
                <w:highlight w:val="none"/>
              </w:rPr>
            </w:pPr>
            <w:r>
              <w:rPr>
                <w:rFonts w:hint="eastAsia"/>
                <w:color w:val="auto"/>
                <w:szCs w:val="21"/>
                <w:highlight w:val="none"/>
              </w:rPr>
              <w:t>ISO管理体系认证（3）</w:t>
            </w:r>
          </w:p>
        </w:tc>
        <w:tc>
          <w:tcPr>
            <w:tcW w:w="5215" w:type="dxa"/>
            <w:noWrap w:val="0"/>
            <w:vAlign w:val="center"/>
          </w:tcPr>
          <w:p w14:paraId="0CCAA14F">
            <w:pPr>
              <w:shd w:val="clear"/>
              <w:jc w:val="left"/>
              <w:rPr>
                <w:rFonts w:hint="eastAsia" w:ascii="宋体" w:hAnsi="宋体"/>
                <w:color w:val="auto"/>
                <w:szCs w:val="21"/>
                <w:highlight w:val="none"/>
              </w:rPr>
            </w:pPr>
            <w:r>
              <w:rPr>
                <w:rFonts w:hint="eastAsia" w:ascii="宋体" w:hAnsi="宋体"/>
                <w:color w:val="auto"/>
                <w:szCs w:val="21"/>
                <w:highlight w:val="none"/>
              </w:rPr>
              <w:t>①同时具备以下三项管理体系认证证书（质量管理体系、环境管理体系、职业健康安全管理体系），且在有效期内的得3分；</w:t>
            </w:r>
          </w:p>
          <w:p w14:paraId="525F059C">
            <w:pPr>
              <w:shd w:val="clear"/>
              <w:jc w:val="left"/>
              <w:rPr>
                <w:rFonts w:hint="eastAsia" w:ascii="宋体" w:hAnsi="宋体"/>
                <w:color w:val="auto"/>
                <w:szCs w:val="21"/>
                <w:highlight w:val="none"/>
              </w:rPr>
            </w:pPr>
            <w:r>
              <w:rPr>
                <w:rFonts w:hint="eastAsia" w:ascii="宋体" w:hAnsi="宋体"/>
                <w:color w:val="auto"/>
                <w:szCs w:val="21"/>
                <w:highlight w:val="none"/>
              </w:rPr>
              <w:t>②同时具备两项体系认证证书且在有效期内的得2分；</w:t>
            </w:r>
          </w:p>
          <w:p w14:paraId="7FB0BCAC">
            <w:pPr>
              <w:shd w:val="clear"/>
              <w:jc w:val="left"/>
              <w:rPr>
                <w:rFonts w:hint="eastAsia" w:ascii="宋体" w:hAnsi="宋体"/>
                <w:color w:val="auto"/>
                <w:szCs w:val="21"/>
                <w:highlight w:val="none"/>
              </w:rPr>
            </w:pPr>
            <w:r>
              <w:rPr>
                <w:rFonts w:hint="eastAsia" w:ascii="宋体" w:hAnsi="宋体"/>
                <w:color w:val="auto"/>
                <w:szCs w:val="21"/>
                <w:highlight w:val="none"/>
              </w:rPr>
              <w:t>③具备一项体系认证证书且在有效期内的得1分； 其余不得分。</w:t>
            </w:r>
          </w:p>
          <w:p w14:paraId="613B4BEC">
            <w:pPr>
              <w:shd w:val="clear"/>
              <w:jc w:val="left"/>
              <w:rPr>
                <w:rFonts w:hint="eastAsia" w:ascii="宋体" w:hAnsi="宋体" w:cs="宋体"/>
                <w:color w:val="auto"/>
                <w:highlight w:val="none"/>
              </w:rPr>
            </w:pPr>
            <w:r>
              <w:rPr>
                <w:rFonts w:hint="eastAsia" w:ascii="宋体" w:hAnsi="宋体"/>
                <w:color w:val="auto"/>
                <w:szCs w:val="21"/>
                <w:highlight w:val="none"/>
                <w:lang w:val="en-US" w:eastAsia="zh-CN"/>
              </w:rPr>
              <w:t>注：提供认证证书扫描件。</w:t>
            </w:r>
          </w:p>
        </w:tc>
      </w:tr>
      <w:tr w14:paraId="1FA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88" w:type="dxa"/>
            <w:gridSpan w:val="2"/>
            <w:vMerge w:val="continue"/>
            <w:noWrap w:val="0"/>
            <w:vAlign w:val="center"/>
          </w:tcPr>
          <w:p w14:paraId="58083F80">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49C7721B">
            <w:pPr>
              <w:widowControl/>
              <w:shd w:val="clear"/>
              <w:jc w:val="left"/>
              <w:rPr>
                <w:rFonts w:hint="eastAsia" w:ascii="宋体" w:hAnsi="宋体" w:cs="宋体"/>
                <w:color w:val="auto"/>
                <w:highlight w:val="none"/>
              </w:rPr>
            </w:pPr>
          </w:p>
        </w:tc>
        <w:tc>
          <w:tcPr>
            <w:tcW w:w="2359" w:type="dxa"/>
            <w:noWrap w:val="0"/>
            <w:vAlign w:val="center"/>
          </w:tcPr>
          <w:p w14:paraId="169F5FD7">
            <w:pPr>
              <w:shd w:val="clear"/>
              <w:contextualSpacing/>
              <w:jc w:val="center"/>
              <w:rPr>
                <w:rFonts w:hint="eastAsia" w:ascii="宋体" w:hAnsi="宋体" w:cs="宋体"/>
                <w:color w:val="auto"/>
                <w:highlight w:val="none"/>
              </w:rPr>
            </w:pPr>
            <w:r>
              <w:rPr>
                <w:rFonts w:hint="eastAsia"/>
                <w:color w:val="auto"/>
                <w:szCs w:val="21"/>
                <w:highlight w:val="none"/>
              </w:rPr>
              <w:t>纳税信用等级（5）</w:t>
            </w:r>
          </w:p>
        </w:tc>
        <w:tc>
          <w:tcPr>
            <w:tcW w:w="5215" w:type="dxa"/>
            <w:noWrap w:val="0"/>
            <w:vAlign w:val="center"/>
          </w:tcPr>
          <w:p w14:paraId="313BF3FB">
            <w:pPr>
              <w:shd w:val="clear"/>
              <w:wordWrap w:val="0"/>
              <w:adjustRightInd w:val="0"/>
              <w:snapToGrid w:val="0"/>
              <w:spacing w:line="320" w:lineRule="exact"/>
              <w:rPr>
                <w:rFonts w:hint="default"/>
                <w:color w:val="auto"/>
                <w:highlight w:val="none"/>
                <w:lang w:val="en-US" w:eastAsia="zh-CN"/>
              </w:rPr>
            </w:pPr>
            <w:r>
              <w:rPr>
                <w:rFonts w:hint="eastAsia" w:ascii="宋体" w:hAnsi="宋体"/>
                <w:color w:val="auto"/>
                <w:szCs w:val="21"/>
                <w:highlight w:val="none"/>
                <w:lang w:val="en-US" w:eastAsia="zh-CN"/>
              </w:rPr>
              <w:t>自2019年至今，</w:t>
            </w:r>
            <w:r>
              <w:rPr>
                <w:rFonts w:hint="eastAsia" w:ascii="宋体" w:hAnsi="宋体"/>
                <w:color w:val="auto"/>
                <w:szCs w:val="21"/>
                <w:highlight w:val="none"/>
              </w:rPr>
              <w:t>投标人获得</w:t>
            </w:r>
            <w:r>
              <w:rPr>
                <w:rFonts w:hint="eastAsia"/>
                <w:color w:val="auto"/>
                <w:highlight w:val="none"/>
                <w:lang w:eastAsia="zh-CN"/>
              </w:rPr>
              <w:t>过税务机关评定的“A级纳税人”称号得</w:t>
            </w:r>
            <w:r>
              <w:rPr>
                <w:rFonts w:hint="eastAsia"/>
                <w:color w:val="auto"/>
                <w:highlight w:val="none"/>
                <w:lang w:val="en-US" w:eastAsia="zh-CN"/>
              </w:rPr>
              <w:t>5</w:t>
            </w:r>
            <w:r>
              <w:rPr>
                <w:rFonts w:hint="eastAsia"/>
                <w:color w:val="auto"/>
                <w:highlight w:val="none"/>
                <w:lang w:eastAsia="zh-CN"/>
              </w:rPr>
              <w:t>分；获得过税务机关评定的“B级纳税人”称号得</w:t>
            </w:r>
            <w:r>
              <w:rPr>
                <w:rFonts w:hint="eastAsia"/>
                <w:color w:val="auto"/>
                <w:highlight w:val="none"/>
                <w:lang w:val="en-US" w:eastAsia="zh-CN"/>
              </w:rPr>
              <w:t>3</w:t>
            </w:r>
            <w:r>
              <w:rPr>
                <w:rFonts w:hint="eastAsia"/>
                <w:color w:val="auto"/>
                <w:highlight w:val="none"/>
                <w:lang w:eastAsia="zh-CN"/>
              </w:rPr>
              <w:t>分；获得过税务机关评定的“M级纳税人”称号得</w:t>
            </w:r>
            <w:r>
              <w:rPr>
                <w:rFonts w:hint="eastAsia"/>
                <w:color w:val="auto"/>
                <w:highlight w:val="none"/>
                <w:lang w:val="en-US" w:eastAsia="zh-CN"/>
              </w:rPr>
              <w:t>1</w:t>
            </w:r>
            <w:r>
              <w:rPr>
                <w:rFonts w:hint="eastAsia"/>
                <w:color w:val="auto"/>
                <w:highlight w:val="none"/>
                <w:lang w:eastAsia="zh-CN"/>
              </w:rPr>
              <w:t>分，其他不得分</w:t>
            </w:r>
            <w:r>
              <w:rPr>
                <w:rFonts w:hint="eastAsia"/>
                <w:color w:val="auto"/>
                <w:highlight w:val="none"/>
                <w:lang w:val="en-US" w:eastAsia="zh-CN"/>
              </w:rPr>
              <w:t>。</w:t>
            </w:r>
          </w:p>
          <w:p w14:paraId="2A166D9C">
            <w:pPr>
              <w:shd w:val="clear"/>
              <w:wordWrap w:val="0"/>
              <w:adjustRightInd w:val="0"/>
              <w:snapToGrid w:val="0"/>
              <w:spacing w:line="320" w:lineRule="exact"/>
              <w:rPr>
                <w:rFonts w:hint="eastAsia" w:ascii="宋体" w:hAnsi="宋体" w:cs="宋体"/>
                <w:color w:val="auto"/>
                <w:highlight w:val="none"/>
              </w:rPr>
            </w:pPr>
            <w:r>
              <w:rPr>
                <w:rFonts w:hint="eastAsia" w:ascii="宋体" w:hAnsi="宋体"/>
                <w:color w:val="auto"/>
                <w:szCs w:val="21"/>
                <w:highlight w:val="none"/>
                <w:lang w:val="en-US" w:eastAsia="zh-CN"/>
              </w:rPr>
              <w:t>注：</w:t>
            </w:r>
            <w:r>
              <w:rPr>
                <w:rFonts w:hint="eastAsia" w:ascii="宋体" w:hAnsi="宋体"/>
                <w:color w:val="auto"/>
                <w:szCs w:val="21"/>
                <w:highlight w:val="none"/>
              </w:rPr>
              <w:t>需提供证书扫描件</w:t>
            </w:r>
            <w:r>
              <w:rPr>
                <w:rFonts w:hint="eastAsia" w:ascii="宋体" w:hAnsi="宋体"/>
                <w:color w:val="auto"/>
                <w:szCs w:val="21"/>
                <w:highlight w:val="none"/>
                <w:lang w:eastAsia="zh-CN"/>
              </w:rPr>
              <w:t>，</w:t>
            </w:r>
            <w:r>
              <w:rPr>
                <w:rFonts w:hint="eastAsia" w:ascii="宋体" w:hAnsi="宋体"/>
                <w:color w:val="auto"/>
                <w:szCs w:val="21"/>
                <w:highlight w:val="none"/>
              </w:rPr>
              <w:t>或税务局网站查询路径及查询结果截图</w:t>
            </w:r>
            <w:r>
              <w:rPr>
                <w:rFonts w:hint="eastAsia" w:ascii="宋体" w:hAnsi="宋体"/>
                <w:color w:val="auto"/>
                <w:szCs w:val="21"/>
                <w:highlight w:val="none"/>
                <w:lang w:eastAsia="zh-CN"/>
              </w:rPr>
              <w:t>。</w:t>
            </w:r>
          </w:p>
        </w:tc>
      </w:tr>
      <w:tr w14:paraId="46C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988" w:type="dxa"/>
            <w:gridSpan w:val="2"/>
            <w:vMerge w:val="continue"/>
            <w:noWrap w:val="0"/>
            <w:vAlign w:val="center"/>
          </w:tcPr>
          <w:p w14:paraId="323F6EA7">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2E0935D0">
            <w:pPr>
              <w:widowControl/>
              <w:shd w:val="clear"/>
              <w:jc w:val="left"/>
              <w:rPr>
                <w:rFonts w:hint="eastAsia" w:ascii="宋体" w:hAnsi="宋体" w:cs="宋体"/>
                <w:color w:val="auto"/>
                <w:highlight w:val="none"/>
              </w:rPr>
            </w:pPr>
          </w:p>
        </w:tc>
        <w:tc>
          <w:tcPr>
            <w:tcW w:w="2359" w:type="dxa"/>
            <w:noWrap w:val="0"/>
            <w:vAlign w:val="center"/>
          </w:tcPr>
          <w:p w14:paraId="57ED85AB">
            <w:pPr>
              <w:shd w:val="clear"/>
              <w:contextualSpacing/>
              <w:jc w:val="center"/>
              <w:rPr>
                <w:rFonts w:hint="eastAsia" w:ascii="宋体" w:hAnsi="宋体" w:cs="宋体"/>
                <w:color w:val="auto"/>
                <w:highlight w:val="none"/>
              </w:rPr>
            </w:pPr>
            <w:r>
              <w:rPr>
                <w:rFonts w:hint="eastAsia"/>
                <w:color w:val="auto"/>
                <w:szCs w:val="21"/>
                <w:highlight w:val="none"/>
              </w:rPr>
              <w:t>企业荣誉（8）</w:t>
            </w:r>
          </w:p>
        </w:tc>
        <w:tc>
          <w:tcPr>
            <w:tcW w:w="5215" w:type="dxa"/>
            <w:noWrap w:val="0"/>
            <w:vAlign w:val="center"/>
          </w:tcPr>
          <w:p w14:paraId="32B184BE">
            <w:pPr>
              <w:shd w:val="clear"/>
              <w:rPr>
                <w:rFonts w:ascii="宋体" w:hAnsi="宋体"/>
                <w:color w:val="auto"/>
                <w:szCs w:val="21"/>
                <w:highlight w:val="none"/>
              </w:rPr>
            </w:pPr>
            <w:r>
              <w:rPr>
                <w:rFonts w:hint="eastAsia" w:ascii="宋体" w:hAnsi="宋体"/>
                <w:color w:val="auto"/>
                <w:szCs w:val="21"/>
                <w:highlight w:val="none"/>
              </w:rPr>
              <w:t>自2020年1月1日至今</w:t>
            </w:r>
            <w:r>
              <w:rPr>
                <w:rFonts w:hint="eastAsia" w:ascii="宋体" w:hAnsi="宋体"/>
                <w:color w:val="auto"/>
                <w:szCs w:val="21"/>
                <w:highlight w:val="none"/>
                <w:lang w:eastAsia="zh-CN"/>
              </w:rPr>
              <w:t>，</w:t>
            </w:r>
            <w:r>
              <w:rPr>
                <w:rFonts w:hint="eastAsia" w:ascii="宋体" w:hAnsi="宋体"/>
                <w:color w:val="auto"/>
                <w:szCs w:val="21"/>
                <w:highlight w:val="none"/>
              </w:rPr>
              <w:t>投标人获得过AAA信用企业荣誉的得</w:t>
            </w:r>
            <w:r>
              <w:rPr>
                <w:rFonts w:hint="eastAsia" w:ascii="宋体" w:hAnsi="宋体"/>
                <w:color w:val="auto"/>
                <w:szCs w:val="21"/>
                <w:highlight w:val="none"/>
                <w:lang w:val="en-US" w:eastAsia="zh-CN"/>
              </w:rPr>
              <w:t>8</w:t>
            </w:r>
            <w:r>
              <w:rPr>
                <w:rFonts w:hint="eastAsia" w:ascii="宋体" w:hAnsi="宋体"/>
                <w:color w:val="auto"/>
                <w:szCs w:val="21"/>
                <w:highlight w:val="none"/>
              </w:rPr>
              <w:t>分，获得过AA信用企业荣誉的得</w:t>
            </w:r>
            <w:r>
              <w:rPr>
                <w:rFonts w:hint="eastAsia" w:ascii="宋体" w:hAnsi="宋体"/>
                <w:color w:val="auto"/>
                <w:szCs w:val="21"/>
                <w:highlight w:val="none"/>
                <w:lang w:val="en-US" w:eastAsia="zh-CN"/>
              </w:rPr>
              <w:t>4</w:t>
            </w:r>
            <w:r>
              <w:rPr>
                <w:rFonts w:hint="eastAsia" w:ascii="宋体" w:hAnsi="宋体"/>
                <w:color w:val="auto"/>
                <w:szCs w:val="21"/>
                <w:highlight w:val="none"/>
              </w:rPr>
              <w:t>分，获得过A信用企业荣誉的得1分，没有不得分。</w:t>
            </w:r>
          </w:p>
          <w:p w14:paraId="5CF85C91">
            <w:pPr>
              <w:shd w:val="clear"/>
              <w:rPr>
                <w:rFonts w:hint="default" w:ascii="宋体" w:hAnsi="宋体" w:eastAsia="宋体"/>
                <w:color w:val="auto"/>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提供建设行政主管部门或相关行业协会（学会）颁发的证书扫描件。证书由行业协会颁发的，需同时</w:t>
            </w:r>
            <w:r>
              <w:rPr>
                <w:rFonts w:hint="eastAsia" w:ascii="宋体" w:hAnsi="宋体"/>
                <w:color w:val="auto"/>
                <w:szCs w:val="21"/>
                <w:highlight w:val="none"/>
              </w:rPr>
              <w:t>提供该行业协会在“中国社会组织政务服务平台”的登记信息查询结果网页截图。</w:t>
            </w:r>
            <w:r>
              <w:rPr>
                <w:rFonts w:hint="eastAsia" w:ascii="宋体" w:hAnsi="宋体"/>
                <w:color w:val="auto"/>
                <w:szCs w:val="21"/>
                <w:highlight w:val="none"/>
                <w:lang w:val="en-US" w:eastAsia="zh-CN"/>
              </w:rPr>
              <w:t>时间</w:t>
            </w:r>
            <w:r>
              <w:rPr>
                <w:rFonts w:hint="eastAsia" w:ascii="宋体" w:hAnsi="宋体"/>
                <w:color w:val="auto"/>
                <w:szCs w:val="21"/>
                <w:highlight w:val="none"/>
              </w:rPr>
              <w:t>以颁发时间为准</w:t>
            </w:r>
            <w:r>
              <w:rPr>
                <w:rFonts w:hint="eastAsia" w:ascii="宋体" w:hAnsi="宋体"/>
                <w:color w:val="auto"/>
                <w:szCs w:val="21"/>
                <w:highlight w:val="none"/>
                <w:lang w:eastAsia="zh-CN"/>
              </w:rPr>
              <w:t>。</w:t>
            </w:r>
          </w:p>
        </w:tc>
      </w:tr>
      <w:tr w14:paraId="2139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8" w:type="dxa"/>
            <w:gridSpan w:val="2"/>
            <w:vMerge w:val="restart"/>
            <w:noWrap w:val="0"/>
            <w:vAlign w:val="center"/>
          </w:tcPr>
          <w:p w14:paraId="59DBC5B8">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2.2.4（2）</w:t>
            </w:r>
          </w:p>
        </w:tc>
        <w:tc>
          <w:tcPr>
            <w:tcW w:w="960" w:type="dxa"/>
            <w:gridSpan w:val="2"/>
            <w:vMerge w:val="restart"/>
            <w:noWrap w:val="0"/>
            <w:vAlign w:val="center"/>
          </w:tcPr>
          <w:p w14:paraId="19C78AB8">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监理大纲评分标准（</w:t>
            </w:r>
            <w:r>
              <w:rPr>
                <w:rFonts w:hint="eastAsia" w:ascii="宋体" w:hAnsi="宋体" w:cs="宋体"/>
                <w:color w:val="auto"/>
                <w:highlight w:val="none"/>
                <w:lang w:val="en-US" w:eastAsia="zh-CN"/>
              </w:rPr>
              <w:t>40</w:t>
            </w:r>
            <w:r>
              <w:rPr>
                <w:rFonts w:hint="eastAsia" w:ascii="宋体" w:hAnsi="宋体" w:cs="宋体"/>
                <w:color w:val="auto"/>
                <w:highlight w:val="none"/>
              </w:rPr>
              <w:t>分）</w:t>
            </w:r>
          </w:p>
        </w:tc>
        <w:tc>
          <w:tcPr>
            <w:tcW w:w="2359" w:type="dxa"/>
            <w:noWrap w:val="0"/>
            <w:vAlign w:val="center"/>
          </w:tcPr>
          <w:p w14:paraId="6EE1EEB4">
            <w:pPr>
              <w:shd w:val="clear"/>
              <w:spacing w:before="100" w:beforeAutospacing="1" w:after="100" w:afterAutospacing="1"/>
              <w:jc w:val="center"/>
              <w:rPr>
                <w:rFonts w:hint="eastAsia" w:ascii="宋体" w:hAnsi="宋体" w:cs="宋体"/>
                <w:color w:val="auto"/>
                <w:highlight w:val="none"/>
              </w:rPr>
            </w:pPr>
            <w:r>
              <w:rPr>
                <w:rFonts w:hint="eastAsia"/>
                <w:color w:val="auto"/>
                <w:szCs w:val="21"/>
                <w:highlight w:val="none"/>
              </w:rPr>
              <w:t>监理范围与内容、监理依据与工作目标（2</w:t>
            </w:r>
            <w:r>
              <w:rPr>
                <w:rFonts w:hint="eastAsia"/>
                <w:color w:val="auto"/>
                <w:szCs w:val="21"/>
                <w:highlight w:val="none"/>
                <w:lang w:val="en-US" w:eastAsia="zh-CN"/>
              </w:rPr>
              <w:t>分</w:t>
            </w:r>
            <w:r>
              <w:rPr>
                <w:rFonts w:hint="eastAsia"/>
                <w:color w:val="auto"/>
                <w:szCs w:val="21"/>
                <w:highlight w:val="none"/>
              </w:rPr>
              <w:t>）</w:t>
            </w:r>
          </w:p>
        </w:tc>
        <w:tc>
          <w:tcPr>
            <w:tcW w:w="5215" w:type="dxa"/>
            <w:noWrap w:val="0"/>
            <w:vAlign w:val="center"/>
          </w:tcPr>
          <w:p w14:paraId="4E719B3F">
            <w:pPr>
              <w:shd w:val="clear"/>
              <w:snapToGrid w:val="0"/>
              <w:rPr>
                <w:rFonts w:hint="eastAsia" w:ascii="宋体" w:hAnsi="宋体" w:cs="宋体"/>
                <w:color w:val="auto"/>
                <w:highlight w:val="none"/>
              </w:rPr>
            </w:pPr>
            <w:r>
              <w:rPr>
                <w:rFonts w:hint="eastAsia"/>
                <w:color w:val="auto"/>
                <w:szCs w:val="21"/>
                <w:highlight w:val="none"/>
              </w:rPr>
              <w:t>全面覆盖招标文件所述监理范围与内容，监理依据</w:t>
            </w:r>
            <w:r>
              <w:rPr>
                <w:rFonts w:hint="eastAsia"/>
                <w:color w:val="auto"/>
                <w:szCs w:val="21"/>
                <w:highlight w:val="none"/>
                <w:lang w:val="en-US" w:eastAsia="zh-CN"/>
              </w:rPr>
              <w:t>合规且充分，</w:t>
            </w:r>
            <w:r>
              <w:rPr>
                <w:rFonts w:hint="eastAsia"/>
                <w:color w:val="auto"/>
                <w:szCs w:val="21"/>
                <w:highlight w:val="none"/>
              </w:rPr>
              <w:t>工作目标与要求的工期/质量指标完全响应并满足招标文件要求的</w:t>
            </w:r>
            <w:r>
              <w:rPr>
                <w:rFonts w:hint="eastAsia"/>
                <w:bCs/>
                <w:color w:val="auto"/>
                <w:szCs w:val="21"/>
                <w:highlight w:val="none"/>
              </w:rPr>
              <w:t>得2分</w:t>
            </w:r>
            <w:r>
              <w:rPr>
                <w:rFonts w:hint="eastAsia"/>
                <w:color w:val="auto"/>
                <w:szCs w:val="21"/>
                <w:highlight w:val="none"/>
              </w:rPr>
              <w:t>；不满足</w:t>
            </w:r>
            <w:r>
              <w:rPr>
                <w:rFonts w:hint="eastAsia"/>
                <w:color w:val="auto"/>
                <w:szCs w:val="21"/>
                <w:highlight w:val="none"/>
                <w:lang w:val="en-US" w:eastAsia="zh-CN"/>
              </w:rPr>
              <w:t>前述要求</w:t>
            </w:r>
            <w:r>
              <w:rPr>
                <w:rFonts w:hint="eastAsia"/>
                <w:color w:val="auto"/>
                <w:szCs w:val="21"/>
                <w:highlight w:val="none"/>
              </w:rPr>
              <w:t>的</w:t>
            </w:r>
            <w:r>
              <w:rPr>
                <w:rFonts w:hint="eastAsia"/>
                <w:bCs/>
                <w:color w:val="auto"/>
                <w:szCs w:val="21"/>
                <w:highlight w:val="none"/>
              </w:rPr>
              <w:t>不得分。</w:t>
            </w:r>
          </w:p>
        </w:tc>
      </w:tr>
      <w:tr w14:paraId="68F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88" w:type="dxa"/>
            <w:gridSpan w:val="2"/>
            <w:vMerge w:val="continue"/>
            <w:noWrap w:val="0"/>
            <w:vAlign w:val="center"/>
          </w:tcPr>
          <w:p w14:paraId="1A453466">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3F9889F6">
            <w:pPr>
              <w:widowControl/>
              <w:shd w:val="clear"/>
              <w:jc w:val="left"/>
              <w:rPr>
                <w:rFonts w:hint="eastAsia" w:ascii="宋体" w:hAnsi="宋体" w:cs="宋体"/>
                <w:color w:val="auto"/>
                <w:highlight w:val="none"/>
              </w:rPr>
            </w:pPr>
          </w:p>
        </w:tc>
        <w:tc>
          <w:tcPr>
            <w:tcW w:w="2359" w:type="dxa"/>
            <w:noWrap w:val="0"/>
            <w:vAlign w:val="center"/>
          </w:tcPr>
          <w:p w14:paraId="651C7853">
            <w:pPr>
              <w:shd w:val="clear"/>
              <w:spacing w:before="100" w:beforeAutospacing="1" w:after="100" w:afterAutospacing="1"/>
              <w:jc w:val="center"/>
              <w:rPr>
                <w:rFonts w:hint="eastAsia" w:ascii="宋体" w:hAnsi="宋体" w:cs="宋体"/>
                <w:color w:val="auto"/>
                <w:highlight w:val="none"/>
              </w:rPr>
            </w:pPr>
            <w:r>
              <w:rPr>
                <w:rFonts w:hint="eastAsia"/>
                <w:color w:val="auto"/>
                <w:szCs w:val="21"/>
                <w:highlight w:val="none"/>
              </w:rPr>
              <w:t>监理机构设置与岗位职责（3</w:t>
            </w:r>
            <w:r>
              <w:rPr>
                <w:rFonts w:hint="eastAsia"/>
                <w:color w:val="auto"/>
                <w:szCs w:val="21"/>
                <w:highlight w:val="none"/>
                <w:lang w:val="en-US" w:eastAsia="zh-CN"/>
              </w:rPr>
              <w:t>分</w:t>
            </w:r>
            <w:r>
              <w:rPr>
                <w:rFonts w:hint="eastAsia"/>
                <w:color w:val="auto"/>
                <w:szCs w:val="21"/>
                <w:highlight w:val="none"/>
              </w:rPr>
              <w:t>）</w:t>
            </w:r>
          </w:p>
        </w:tc>
        <w:tc>
          <w:tcPr>
            <w:tcW w:w="5215" w:type="dxa"/>
            <w:noWrap w:val="0"/>
            <w:vAlign w:val="top"/>
          </w:tcPr>
          <w:p w14:paraId="4F68E36E">
            <w:pPr>
              <w:shd w:val="clear"/>
              <w:snapToGrid w:val="0"/>
              <w:ind w:left="0" w:firstLine="0" w:firstLineChars="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监理机构设置科学完善，充分结合工程特性、规模及复杂程度，构建层次分明、高效协同的组织架构。职能分工细致全面，涵盖项目全</w:t>
            </w:r>
            <w:r>
              <w:rPr>
                <w:rFonts w:hint="eastAsia"/>
                <w:color w:val="auto"/>
                <w:szCs w:val="21"/>
                <w:highlight w:val="none"/>
                <w:lang w:val="en-US" w:eastAsia="zh-CN"/>
              </w:rPr>
              <w:t>部</w:t>
            </w:r>
            <w:r>
              <w:rPr>
                <w:rFonts w:hint="eastAsia"/>
                <w:color w:val="auto"/>
                <w:szCs w:val="21"/>
                <w:highlight w:val="none"/>
              </w:rPr>
              <w:t>监理工作，各部门及岗位间权责清晰。人员安排不仅严格满足监理机构人员配备最低要求，更在此基础上实现专业配置齐全、人员经验丰富、资质等级高</w:t>
            </w:r>
            <w:r>
              <w:rPr>
                <w:rFonts w:hint="eastAsia"/>
                <w:color w:val="auto"/>
                <w:szCs w:val="21"/>
                <w:highlight w:val="none"/>
                <w:lang w:eastAsia="zh-CN"/>
              </w:rPr>
              <w:t>，</w:t>
            </w:r>
            <w:r>
              <w:rPr>
                <w:rFonts w:hint="eastAsia"/>
                <w:color w:val="auto"/>
                <w:szCs w:val="21"/>
                <w:highlight w:val="none"/>
              </w:rPr>
              <w:t>能确保监理工作精准高效执行，大幅提升监理服务质量，得</w:t>
            </w:r>
            <w:r>
              <w:rPr>
                <w:rFonts w:hint="eastAsia"/>
                <w:color w:val="auto"/>
                <w:szCs w:val="21"/>
                <w:highlight w:val="none"/>
                <w:lang w:val="en-US" w:eastAsia="zh-CN"/>
              </w:rPr>
              <w:t>（2，3]</w:t>
            </w:r>
            <w:r>
              <w:rPr>
                <w:rFonts w:hint="eastAsia"/>
                <w:color w:val="auto"/>
                <w:szCs w:val="21"/>
                <w:highlight w:val="none"/>
              </w:rPr>
              <w:t>分；</w:t>
            </w:r>
          </w:p>
          <w:p w14:paraId="2423726C">
            <w:pPr>
              <w:shd w:val="clear"/>
              <w:snapToGrid w:val="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具备基本的监理机构设置，职能分工初步覆盖监理工作主要方面，但存在部分职责交叉或空白情况。人员安排勉强达到监理机构人员配备最低要求，专业人员结构存在一定缺陷，个别专业人员经验或资质不足。岗位职责基本明确，但缺乏系统性和详细的工作标准，能维持监理工作基本运行，得</w:t>
            </w:r>
            <w:r>
              <w:rPr>
                <w:rFonts w:hint="eastAsia"/>
                <w:color w:val="auto"/>
                <w:szCs w:val="21"/>
                <w:highlight w:val="none"/>
                <w:lang w:val="en-US" w:eastAsia="zh-CN"/>
              </w:rPr>
              <w:t>（1，2]</w:t>
            </w:r>
            <w:r>
              <w:rPr>
                <w:rFonts w:hint="eastAsia"/>
                <w:color w:val="auto"/>
                <w:szCs w:val="21"/>
                <w:highlight w:val="none"/>
              </w:rPr>
              <w:t>分；</w:t>
            </w:r>
          </w:p>
          <w:p w14:paraId="3DCE5553">
            <w:pPr>
              <w:shd w:val="clear"/>
              <w:snapToGrid w:val="0"/>
              <w:rPr>
                <w:rFonts w:hint="eastAsia" w:ascii="宋体" w:hAnsi="宋体" w:cs="宋体"/>
                <w:color w:val="auto"/>
                <w:highlight w:val="none"/>
              </w:rPr>
            </w:pPr>
            <w:r>
              <w:rPr>
                <w:rFonts w:hint="eastAsia"/>
                <w:color w:val="auto"/>
                <w:szCs w:val="21"/>
                <w:highlight w:val="none"/>
                <w:lang w:val="en-US" w:eastAsia="zh-CN"/>
              </w:rPr>
              <w:t>（3）机构设置混乱，职能不清，人员不达标、专业短缺或资质经验不足，无系统工作标准流程，无法保证正常开展监理工作。或未提供相关内容</w:t>
            </w:r>
            <w:r>
              <w:rPr>
                <w:rFonts w:hint="eastAsia"/>
                <w:color w:val="auto"/>
                <w:szCs w:val="21"/>
                <w:highlight w:val="none"/>
                <w:lang w:eastAsia="zh-CN"/>
              </w:rPr>
              <w:t>，</w:t>
            </w:r>
            <w:r>
              <w:rPr>
                <w:rFonts w:hint="eastAsia"/>
                <w:color w:val="auto"/>
                <w:szCs w:val="21"/>
                <w:highlight w:val="none"/>
                <w:lang w:val="en-US" w:eastAsia="zh-CN"/>
              </w:rPr>
              <w:t>得[0，1]</w:t>
            </w:r>
            <w:r>
              <w:rPr>
                <w:rFonts w:hint="eastAsia"/>
                <w:color w:val="auto"/>
                <w:szCs w:val="21"/>
                <w:highlight w:val="none"/>
              </w:rPr>
              <w:t>。</w:t>
            </w:r>
          </w:p>
        </w:tc>
      </w:tr>
      <w:tr w14:paraId="42E9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8" w:type="dxa"/>
            <w:gridSpan w:val="2"/>
            <w:vMerge w:val="continue"/>
            <w:noWrap w:val="0"/>
            <w:vAlign w:val="center"/>
          </w:tcPr>
          <w:p w14:paraId="05A3D8B9">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2764CE04">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5D1A9F08">
            <w:pPr>
              <w:shd w:val="clear"/>
              <w:snapToGrid w:val="0"/>
              <w:jc w:val="center"/>
              <w:rPr>
                <w:rFonts w:hint="eastAsia" w:ascii="宋体" w:hAnsi="宋体" w:cs="宋体"/>
                <w:color w:val="auto"/>
                <w:highlight w:val="none"/>
              </w:rPr>
            </w:pPr>
            <w:r>
              <w:rPr>
                <w:rFonts w:hint="eastAsia"/>
                <w:color w:val="auto"/>
                <w:szCs w:val="21"/>
                <w:highlight w:val="none"/>
              </w:rPr>
              <w:t>监理工作程序、方法和制度（3</w:t>
            </w:r>
            <w:r>
              <w:rPr>
                <w:rFonts w:hint="eastAsia"/>
                <w:color w:val="auto"/>
                <w:szCs w:val="21"/>
                <w:highlight w:val="none"/>
                <w:lang w:val="en-US" w:eastAsia="zh-CN"/>
              </w:rPr>
              <w:t>分</w:t>
            </w:r>
            <w:r>
              <w:rPr>
                <w:rFonts w:hint="eastAsia"/>
                <w:color w:val="auto"/>
                <w:szCs w:val="21"/>
                <w:highlight w:val="none"/>
              </w:rPr>
              <w:t>）</w:t>
            </w:r>
          </w:p>
        </w:tc>
        <w:tc>
          <w:tcPr>
            <w:tcW w:w="5215" w:type="dxa"/>
            <w:noWrap w:val="0"/>
            <w:tcMar>
              <w:top w:w="0" w:type="dxa"/>
              <w:left w:w="57" w:type="dxa"/>
              <w:bottom w:w="0" w:type="dxa"/>
              <w:right w:w="57" w:type="dxa"/>
            </w:tcMar>
            <w:vAlign w:val="center"/>
          </w:tcPr>
          <w:p w14:paraId="72844254">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监理工作程序完整、科学且规范工作流程图清晰全面，涵盖全流程关键节点，各环节衔接紧密、逻辑严谨。工作准则明确细致，制定了完善的监理工作制度，包含质量控制、安全管理、进度把控、合同管理等多方面制度文件。采用的监理方法先进合理，能有效保障监理工作高效有序开展，得（2，3]分；</w:t>
            </w:r>
          </w:p>
          <w:p w14:paraId="325D5906">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具备基本的监理工作程序，有简单的工作流程图，能呈现监理工作主要步骤，但流程不够完整，存在关键环节缺失或表述模糊的问题。制定了初步的工作准则和监理制度，涉及质量、安全等基础方面，然而制度内容较为笼统，缺乏具体操作细则。监理方法单一，能应对一般性监理工作，得</w:t>
            </w:r>
            <w:r>
              <w:rPr>
                <w:rFonts w:hint="eastAsia"/>
                <w:color w:val="auto"/>
                <w:szCs w:val="21"/>
                <w:highlight w:val="none"/>
                <w:lang w:eastAsia="zh-CN"/>
              </w:rPr>
              <w:t>（1，2]</w:t>
            </w:r>
            <w:r>
              <w:rPr>
                <w:rFonts w:hint="eastAsia"/>
                <w:color w:val="auto"/>
                <w:szCs w:val="21"/>
                <w:highlight w:val="none"/>
              </w:rPr>
              <w:t>分；</w:t>
            </w:r>
          </w:p>
          <w:p w14:paraId="1A67389E">
            <w:pPr>
              <w:shd w:val="clear"/>
              <w:rPr>
                <w:rFonts w:hint="eastAsia" w:ascii="宋体" w:hAnsi="宋体" w:cs="宋体"/>
                <w:color w:val="auto"/>
                <w:highlight w:val="none"/>
              </w:rPr>
            </w:pPr>
            <w:r>
              <w:rPr>
                <w:rFonts w:hint="eastAsia"/>
                <w:color w:val="auto"/>
                <w:szCs w:val="21"/>
                <w:highlight w:val="none"/>
                <w:lang w:val="en-US" w:eastAsia="zh-CN"/>
              </w:rPr>
              <w:t>（3）监理工作程序不完整，缺失关键内容，无法清晰呈现监理工作流程。工作准则和监理制度不完善甚至缺失，对质量、安全等核心工作缺乏有效管理规定。监理方法落后，无法保障监理工作正常开展</w:t>
            </w:r>
            <w:r>
              <w:rPr>
                <w:rFonts w:hint="eastAsia"/>
                <w:color w:val="auto"/>
                <w:szCs w:val="21"/>
                <w:highlight w:val="none"/>
                <w:lang w:eastAsia="zh-CN"/>
              </w:rPr>
              <w:t>。</w:t>
            </w:r>
            <w:r>
              <w:rPr>
                <w:rFonts w:hint="eastAsia"/>
                <w:color w:val="auto"/>
                <w:szCs w:val="21"/>
                <w:highlight w:val="none"/>
              </w:rPr>
              <w:t>或未提供相关内容，得[0，1]。</w:t>
            </w:r>
          </w:p>
        </w:tc>
      </w:tr>
      <w:tr w14:paraId="0584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88" w:type="dxa"/>
            <w:gridSpan w:val="2"/>
            <w:vMerge w:val="continue"/>
            <w:noWrap w:val="0"/>
            <w:vAlign w:val="center"/>
          </w:tcPr>
          <w:p w14:paraId="1D553CDF">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1A2D42DF">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5422AB7E">
            <w:pPr>
              <w:shd w:val="clear"/>
              <w:snapToGrid w:val="0"/>
              <w:jc w:val="center"/>
              <w:rPr>
                <w:rFonts w:hint="eastAsia" w:ascii="宋体" w:hAnsi="宋体" w:cs="宋体"/>
                <w:color w:val="auto"/>
                <w:highlight w:val="none"/>
              </w:rPr>
            </w:pPr>
            <w:r>
              <w:rPr>
                <w:rFonts w:hint="eastAsia"/>
                <w:color w:val="auto"/>
                <w:szCs w:val="21"/>
                <w:highlight w:val="none"/>
              </w:rPr>
              <w:t>质量控制措施（3</w:t>
            </w:r>
            <w:r>
              <w:rPr>
                <w:rFonts w:hint="eastAsia"/>
                <w:color w:val="auto"/>
                <w:szCs w:val="21"/>
                <w:highlight w:val="none"/>
                <w:lang w:val="en-US" w:eastAsia="zh-CN"/>
              </w:rPr>
              <w:t>分</w:t>
            </w:r>
            <w:r>
              <w:rPr>
                <w:rFonts w:hint="eastAsia"/>
                <w:color w:val="auto"/>
                <w:szCs w:val="21"/>
                <w:highlight w:val="none"/>
              </w:rPr>
              <w:t>）</w:t>
            </w:r>
          </w:p>
        </w:tc>
        <w:tc>
          <w:tcPr>
            <w:tcW w:w="5215" w:type="dxa"/>
            <w:noWrap w:val="0"/>
            <w:tcMar>
              <w:top w:w="0" w:type="dxa"/>
              <w:left w:w="57" w:type="dxa"/>
              <w:bottom w:w="0" w:type="dxa"/>
              <w:right w:w="57" w:type="dxa"/>
            </w:tcMar>
            <w:vAlign w:val="center"/>
          </w:tcPr>
          <w:p w14:paraId="38D202C4">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质量控制目标精准明确，契合工程建设规范和行业标准要求。所采用的方法科学合理且，融合先进的质量管理理念与技术手段。质量控制措施详实具体，针对工程各分部分项、关键工序制定专项方案，对施工中可能出现的质量问题预判精准，应对措施针对性极强，能有效保障工程质量达到卓越水平</w:t>
            </w:r>
            <w:r>
              <w:rPr>
                <w:rFonts w:hint="eastAsia"/>
                <w:color w:val="auto"/>
                <w:szCs w:val="21"/>
                <w:highlight w:val="none"/>
                <w:lang w:eastAsia="zh-CN"/>
              </w:rPr>
              <w:t>，</w:t>
            </w:r>
            <w:r>
              <w:rPr>
                <w:rFonts w:hint="eastAsia"/>
                <w:color w:val="auto"/>
                <w:szCs w:val="21"/>
                <w:highlight w:val="none"/>
              </w:rPr>
              <w:t>得（2，3]分；</w:t>
            </w:r>
          </w:p>
          <w:p w14:paraId="3881F7B2">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有基本的质量控制目标，满足工程质量基本要求，方法常规。质量控制措施有一定内容，能针对主要施工环节提出控制要点，但措施不够细化，缺乏系统性，应对复杂质量问题的能力有限，得</w:t>
            </w:r>
            <w:r>
              <w:rPr>
                <w:rFonts w:hint="eastAsia"/>
                <w:color w:val="auto"/>
                <w:szCs w:val="21"/>
                <w:highlight w:val="none"/>
                <w:lang w:eastAsia="zh-CN"/>
              </w:rPr>
              <w:t>（1，2]</w:t>
            </w:r>
            <w:r>
              <w:rPr>
                <w:rFonts w:hint="eastAsia"/>
                <w:color w:val="auto"/>
                <w:szCs w:val="21"/>
                <w:highlight w:val="none"/>
              </w:rPr>
              <w:t>分；</w:t>
            </w:r>
          </w:p>
          <w:p w14:paraId="4A5059FF">
            <w:pPr>
              <w:shd w:val="clear"/>
              <w:rPr>
                <w:rFonts w:hint="eastAsia" w:ascii="宋体" w:hAnsi="宋体" w:cs="宋体"/>
                <w:color w:val="auto"/>
                <w:highlight w:val="none"/>
              </w:rPr>
            </w:pPr>
            <w:r>
              <w:rPr>
                <w:rFonts w:hint="eastAsia"/>
                <w:color w:val="auto"/>
                <w:szCs w:val="21"/>
                <w:highlight w:val="none"/>
                <w:lang w:val="en-US" w:eastAsia="zh-CN"/>
              </w:rPr>
              <w:t>（3）质量控制目标不明确或与工程实际需求脱节。方法落后单一。质量控制措施空洞，未针对工程特点制定具体方案，对关键环节缺乏明确要求。</w:t>
            </w:r>
            <w:r>
              <w:rPr>
                <w:rFonts w:hint="eastAsia"/>
                <w:color w:val="auto"/>
                <w:szCs w:val="21"/>
                <w:highlight w:val="none"/>
              </w:rPr>
              <w:t>或未提供相关内容，得[0，1]。</w:t>
            </w:r>
          </w:p>
        </w:tc>
      </w:tr>
      <w:tr w14:paraId="652B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88" w:type="dxa"/>
            <w:gridSpan w:val="2"/>
            <w:vMerge w:val="continue"/>
            <w:noWrap w:val="0"/>
            <w:vAlign w:val="center"/>
          </w:tcPr>
          <w:p w14:paraId="32C538BC">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4681EE58">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6E1243E2">
            <w:pPr>
              <w:shd w:val="clear"/>
              <w:snapToGrid w:val="0"/>
              <w:jc w:val="center"/>
              <w:rPr>
                <w:rFonts w:hint="eastAsia" w:ascii="宋体" w:hAnsi="宋体" w:cs="宋体"/>
                <w:color w:val="auto"/>
                <w:highlight w:val="none"/>
              </w:rPr>
            </w:pPr>
            <w:r>
              <w:rPr>
                <w:rFonts w:hint="eastAsia"/>
                <w:color w:val="auto"/>
                <w:szCs w:val="21"/>
                <w:highlight w:val="none"/>
              </w:rPr>
              <w:t>进度控制措施（3</w:t>
            </w:r>
            <w:r>
              <w:rPr>
                <w:rFonts w:hint="eastAsia"/>
                <w:color w:val="auto"/>
                <w:szCs w:val="21"/>
                <w:highlight w:val="none"/>
                <w:lang w:val="en-US" w:eastAsia="zh-CN"/>
              </w:rPr>
              <w:t>分</w:t>
            </w:r>
            <w:r>
              <w:rPr>
                <w:rFonts w:hint="eastAsia"/>
                <w:color w:val="auto"/>
                <w:szCs w:val="21"/>
                <w:highlight w:val="none"/>
              </w:rPr>
              <w:t>）</w:t>
            </w:r>
          </w:p>
        </w:tc>
        <w:tc>
          <w:tcPr>
            <w:tcW w:w="5215" w:type="dxa"/>
            <w:noWrap w:val="0"/>
            <w:tcMar>
              <w:top w:w="0" w:type="dxa"/>
              <w:left w:w="57" w:type="dxa"/>
              <w:bottom w:w="0" w:type="dxa"/>
              <w:right w:w="57" w:type="dxa"/>
            </w:tcMar>
            <w:vAlign w:val="center"/>
          </w:tcPr>
          <w:p w14:paraId="1D993C37">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总进度计划与招标工期匹配</w:t>
            </w:r>
            <w:r>
              <w:rPr>
                <w:rFonts w:hint="eastAsia"/>
                <w:color w:val="auto"/>
                <w:szCs w:val="21"/>
                <w:highlight w:val="none"/>
                <w:lang w:val="en-US" w:eastAsia="zh-CN"/>
              </w:rPr>
              <w:t>且详尽</w:t>
            </w:r>
            <w:r>
              <w:rPr>
                <w:rFonts w:hint="eastAsia"/>
                <w:color w:val="auto"/>
                <w:szCs w:val="21"/>
                <w:highlight w:val="none"/>
                <w:lang w:eastAsia="zh-CN"/>
              </w:rPr>
              <w:t>，</w:t>
            </w:r>
            <w:r>
              <w:rPr>
                <w:rFonts w:hint="eastAsia"/>
                <w:color w:val="auto"/>
                <w:szCs w:val="21"/>
                <w:highlight w:val="none"/>
              </w:rPr>
              <w:t>总进度计划及主要分部工程节点计划</w:t>
            </w:r>
            <w:r>
              <w:rPr>
                <w:rFonts w:hint="eastAsia"/>
                <w:color w:val="auto"/>
                <w:szCs w:val="21"/>
                <w:highlight w:val="none"/>
                <w:lang w:val="en-US" w:eastAsia="zh-CN"/>
              </w:rPr>
              <w:t>详尽</w:t>
            </w:r>
            <w:r>
              <w:rPr>
                <w:rFonts w:hint="eastAsia"/>
                <w:color w:val="auto"/>
                <w:szCs w:val="21"/>
                <w:highlight w:val="none"/>
              </w:rPr>
              <w:t>，进度预警机制</w:t>
            </w:r>
            <w:r>
              <w:rPr>
                <w:rFonts w:hint="eastAsia"/>
                <w:color w:val="auto"/>
                <w:szCs w:val="21"/>
                <w:highlight w:val="none"/>
                <w:lang w:val="en-US" w:eastAsia="zh-CN"/>
              </w:rPr>
              <w:t>完善</w:t>
            </w:r>
            <w:r>
              <w:rPr>
                <w:rFonts w:hint="eastAsia"/>
                <w:color w:val="auto"/>
                <w:szCs w:val="21"/>
                <w:highlight w:val="none"/>
              </w:rPr>
              <w:t>，配备动态调整机制</w:t>
            </w:r>
            <w:r>
              <w:rPr>
                <w:rFonts w:hint="eastAsia"/>
                <w:color w:val="auto"/>
                <w:szCs w:val="21"/>
                <w:highlight w:val="none"/>
                <w:lang w:eastAsia="zh-CN"/>
              </w:rPr>
              <w:t>，</w:t>
            </w:r>
            <w:r>
              <w:rPr>
                <w:rFonts w:hint="eastAsia"/>
                <w:color w:val="auto"/>
                <w:szCs w:val="21"/>
                <w:highlight w:val="none"/>
                <w:lang w:val="en-US" w:eastAsia="zh-CN"/>
              </w:rPr>
              <w:t>及时应对风险</w:t>
            </w:r>
            <w:r>
              <w:rPr>
                <w:rFonts w:hint="eastAsia"/>
                <w:color w:val="auto"/>
                <w:szCs w:val="21"/>
                <w:highlight w:val="none"/>
              </w:rPr>
              <w:t>，得（2，3]分；</w:t>
            </w:r>
          </w:p>
          <w:p w14:paraId="0F23C0A3">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总进度计划</w:t>
            </w:r>
            <w:r>
              <w:rPr>
                <w:rFonts w:hint="eastAsia"/>
                <w:color w:val="auto"/>
                <w:szCs w:val="21"/>
                <w:highlight w:val="none"/>
                <w:lang w:val="en-US" w:eastAsia="zh-CN"/>
              </w:rPr>
              <w:t>能满足</w:t>
            </w:r>
            <w:r>
              <w:rPr>
                <w:rFonts w:hint="eastAsia"/>
                <w:color w:val="auto"/>
                <w:szCs w:val="21"/>
                <w:highlight w:val="none"/>
              </w:rPr>
              <w:t>招标工期</w:t>
            </w:r>
            <w:r>
              <w:rPr>
                <w:rFonts w:hint="eastAsia"/>
                <w:color w:val="auto"/>
                <w:szCs w:val="21"/>
                <w:highlight w:val="none"/>
                <w:lang w:val="en-US" w:eastAsia="zh-CN"/>
              </w:rPr>
              <w:t>但细节不够</w:t>
            </w:r>
            <w:r>
              <w:rPr>
                <w:rFonts w:hint="eastAsia"/>
                <w:color w:val="auto"/>
                <w:szCs w:val="21"/>
                <w:highlight w:val="none"/>
              </w:rPr>
              <w:t>，关键工序无逻辑错误，</w:t>
            </w:r>
            <w:r>
              <w:rPr>
                <w:rFonts w:hint="eastAsia"/>
                <w:color w:val="auto"/>
                <w:szCs w:val="21"/>
                <w:highlight w:val="none"/>
                <w:lang w:val="en-US" w:eastAsia="zh-CN"/>
              </w:rPr>
              <w:t>有</w:t>
            </w:r>
            <w:r>
              <w:rPr>
                <w:rFonts w:hint="eastAsia"/>
                <w:color w:val="auto"/>
                <w:szCs w:val="21"/>
                <w:highlight w:val="none"/>
              </w:rPr>
              <w:t>进度预警机制</w:t>
            </w:r>
            <w:r>
              <w:rPr>
                <w:rFonts w:hint="eastAsia"/>
                <w:color w:val="auto"/>
                <w:szCs w:val="21"/>
                <w:highlight w:val="none"/>
                <w:lang w:eastAsia="zh-CN"/>
              </w:rPr>
              <w:t>，</w:t>
            </w:r>
            <w:r>
              <w:rPr>
                <w:rFonts w:hint="eastAsia"/>
                <w:color w:val="auto"/>
                <w:szCs w:val="21"/>
                <w:highlight w:val="none"/>
              </w:rPr>
              <w:t>动态调整机制</w:t>
            </w:r>
            <w:r>
              <w:rPr>
                <w:rFonts w:hint="eastAsia"/>
                <w:color w:val="auto"/>
                <w:szCs w:val="21"/>
                <w:highlight w:val="none"/>
                <w:lang w:val="en-US" w:eastAsia="zh-CN"/>
              </w:rPr>
              <w:t>不够灵活</w:t>
            </w:r>
            <w:r>
              <w:rPr>
                <w:rFonts w:hint="eastAsia"/>
                <w:color w:val="auto"/>
                <w:szCs w:val="21"/>
                <w:highlight w:val="none"/>
              </w:rPr>
              <w:t>，对风险评估不足，仅</w:t>
            </w:r>
            <w:r>
              <w:rPr>
                <w:rFonts w:hint="eastAsia"/>
                <w:color w:val="auto"/>
                <w:szCs w:val="21"/>
                <w:highlight w:val="none"/>
                <w:lang w:val="en-US" w:eastAsia="zh-CN"/>
              </w:rPr>
              <w:t>有</w:t>
            </w:r>
            <w:r>
              <w:rPr>
                <w:rFonts w:hint="eastAsia"/>
                <w:color w:val="auto"/>
                <w:szCs w:val="21"/>
                <w:highlight w:val="none"/>
              </w:rPr>
              <w:t>常规应急措施</w:t>
            </w:r>
            <w:r>
              <w:rPr>
                <w:rFonts w:hint="eastAsia"/>
                <w:color w:val="auto"/>
                <w:szCs w:val="21"/>
                <w:highlight w:val="none"/>
                <w:lang w:eastAsia="zh-CN"/>
              </w:rPr>
              <w:t>，</w:t>
            </w:r>
            <w:r>
              <w:rPr>
                <w:rFonts w:hint="eastAsia"/>
                <w:color w:val="auto"/>
                <w:szCs w:val="21"/>
                <w:highlight w:val="none"/>
              </w:rPr>
              <w:t>得</w:t>
            </w:r>
            <w:r>
              <w:rPr>
                <w:rFonts w:hint="eastAsia"/>
                <w:color w:val="auto"/>
                <w:szCs w:val="21"/>
                <w:highlight w:val="none"/>
                <w:lang w:eastAsia="zh-CN"/>
              </w:rPr>
              <w:t>（1，2]</w:t>
            </w:r>
            <w:r>
              <w:rPr>
                <w:rFonts w:hint="eastAsia"/>
                <w:color w:val="auto"/>
                <w:szCs w:val="21"/>
                <w:highlight w:val="none"/>
              </w:rPr>
              <w:t>分；</w:t>
            </w:r>
          </w:p>
          <w:p w14:paraId="7422BA72">
            <w:pPr>
              <w:shd w:val="clear"/>
              <w:rPr>
                <w:rFonts w:hint="eastAsia" w:ascii="宋体" w:hAnsi="宋体" w:cs="宋体"/>
                <w:color w:val="auto"/>
                <w:highlight w:val="none"/>
              </w:rPr>
            </w:pPr>
            <w:r>
              <w:rPr>
                <w:rFonts w:hint="eastAsia"/>
                <w:color w:val="auto"/>
                <w:szCs w:val="21"/>
                <w:highlight w:val="none"/>
                <w:lang w:val="en-US" w:eastAsia="zh-CN"/>
              </w:rPr>
              <w:t>（3）总进度计划与招标工期不匹配，存在明显工期延误风险，或计划内容简略、缺乏关键信息。无进度预警机制，无动态调整措施，面对风险无有效应对手段。</w:t>
            </w:r>
            <w:r>
              <w:rPr>
                <w:rFonts w:hint="eastAsia"/>
                <w:color w:val="auto"/>
                <w:szCs w:val="21"/>
                <w:highlight w:val="none"/>
              </w:rPr>
              <w:t>或未提供相关内容，得[0，1]。</w:t>
            </w:r>
          </w:p>
        </w:tc>
      </w:tr>
      <w:tr w14:paraId="2F4B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88" w:type="dxa"/>
            <w:gridSpan w:val="2"/>
            <w:vMerge w:val="continue"/>
            <w:noWrap w:val="0"/>
            <w:vAlign w:val="center"/>
          </w:tcPr>
          <w:p w14:paraId="5DD8607A">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1E870C48">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6A7B651E">
            <w:pPr>
              <w:shd w:val="clear"/>
              <w:snapToGrid w:val="0"/>
              <w:jc w:val="center"/>
              <w:rPr>
                <w:rFonts w:hint="eastAsia" w:ascii="宋体" w:hAnsi="宋体" w:cs="宋体"/>
                <w:color w:val="auto"/>
                <w:highlight w:val="none"/>
              </w:rPr>
            </w:pPr>
            <w:r>
              <w:rPr>
                <w:rFonts w:hint="eastAsia"/>
                <w:color w:val="auto"/>
                <w:szCs w:val="21"/>
                <w:highlight w:val="none"/>
              </w:rPr>
              <w:t>造价控制措施（3分）</w:t>
            </w:r>
          </w:p>
        </w:tc>
        <w:tc>
          <w:tcPr>
            <w:tcW w:w="5215" w:type="dxa"/>
            <w:noWrap w:val="0"/>
            <w:tcMar>
              <w:top w:w="0" w:type="dxa"/>
              <w:left w:w="57" w:type="dxa"/>
              <w:bottom w:w="0" w:type="dxa"/>
              <w:right w:w="57" w:type="dxa"/>
            </w:tcMar>
            <w:vAlign w:val="center"/>
          </w:tcPr>
          <w:p w14:paraId="51D8C707">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造价控制目标精准明确，采用的方法科学合理且先进，对工程造价进行动态监控与精准预测。控制措施详实具体，涵盖工程招投标、合同管理、工程计量与支付、工程变更管理等各个环节，针对不同阶段可能出现的造价风险制定专项应对策略，对工程建设过程中各类费用的控制具有极强的针对性，能有效保障工程造价在目标范围内，得（2，3]分；</w:t>
            </w:r>
          </w:p>
          <w:p w14:paraId="06B91B3C">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有基本的造价控制目标，但缺乏对风险因素的全面考量。所采用的方法较为常规。控制措施有一定内容，涉及工程主要造价控制环节，但措施不够细化，缺乏系统性和灵活性，仅能应对一般性造价管理工作，对复杂造价问题的处理能力有限，得</w:t>
            </w:r>
            <w:r>
              <w:rPr>
                <w:rFonts w:hint="eastAsia"/>
                <w:color w:val="auto"/>
                <w:szCs w:val="21"/>
                <w:highlight w:val="none"/>
                <w:lang w:eastAsia="zh-CN"/>
              </w:rPr>
              <w:t>（1，2]</w:t>
            </w:r>
            <w:r>
              <w:rPr>
                <w:rFonts w:hint="eastAsia"/>
                <w:color w:val="auto"/>
                <w:szCs w:val="21"/>
                <w:highlight w:val="none"/>
              </w:rPr>
              <w:t>分；</w:t>
            </w:r>
          </w:p>
          <w:p w14:paraId="4F79ADFE">
            <w:pPr>
              <w:shd w:val="clear"/>
              <w:rPr>
                <w:rFonts w:hint="eastAsia" w:ascii="宋体" w:hAnsi="宋体" w:cs="宋体"/>
                <w:color w:val="auto"/>
                <w:highlight w:val="none"/>
              </w:rPr>
            </w:pPr>
            <w:r>
              <w:rPr>
                <w:rFonts w:hint="eastAsia"/>
                <w:color w:val="auto"/>
                <w:szCs w:val="21"/>
                <w:highlight w:val="none"/>
                <w:lang w:val="en-US" w:eastAsia="zh-CN"/>
              </w:rPr>
              <w:t>（3）</w:t>
            </w:r>
            <w:r>
              <w:rPr>
                <w:rFonts w:hint="eastAsia"/>
                <w:color w:val="auto"/>
                <w:szCs w:val="21"/>
                <w:highlight w:val="none"/>
              </w:rPr>
              <w:t>造价控制目标模糊不清</w:t>
            </w:r>
            <w:r>
              <w:rPr>
                <w:rFonts w:hint="eastAsia"/>
                <w:color w:val="auto"/>
                <w:szCs w:val="21"/>
                <w:highlight w:val="none"/>
                <w:lang w:eastAsia="zh-CN"/>
              </w:rPr>
              <w:t>，</w:t>
            </w:r>
            <w:r>
              <w:rPr>
                <w:rFonts w:hint="eastAsia"/>
                <w:color w:val="auto"/>
                <w:szCs w:val="21"/>
                <w:highlight w:val="none"/>
              </w:rPr>
              <w:t>采用的方法陈旧落后，无法适应现代工程造价管理需求。控制措施缺失关键内容，对工程造价控制缺乏有效管控手段，存在漏洞。或未提供相关内容，得[0，1]。</w:t>
            </w:r>
          </w:p>
        </w:tc>
      </w:tr>
      <w:tr w14:paraId="485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988" w:type="dxa"/>
            <w:gridSpan w:val="2"/>
            <w:vMerge w:val="continue"/>
            <w:noWrap w:val="0"/>
            <w:vAlign w:val="center"/>
          </w:tcPr>
          <w:p w14:paraId="353CD431">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646723BB">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1B86DB44">
            <w:pPr>
              <w:shd w:val="clear"/>
              <w:snapToGrid w:val="0"/>
              <w:jc w:val="center"/>
              <w:rPr>
                <w:rFonts w:hint="eastAsia" w:ascii="宋体" w:hAnsi="宋体" w:cs="宋体"/>
                <w:color w:val="auto"/>
                <w:highlight w:val="none"/>
              </w:rPr>
            </w:pPr>
            <w:r>
              <w:rPr>
                <w:rFonts w:hint="eastAsia"/>
                <w:color w:val="auto"/>
                <w:szCs w:val="21"/>
                <w:highlight w:val="none"/>
              </w:rPr>
              <w:t>安全、环保控制措施（3分）</w:t>
            </w:r>
          </w:p>
        </w:tc>
        <w:tc>
          <w:tcPr>
            <w:tcW w:w="5215" w:type="dxa"/>
            <w:noWrap w:val="0"/>
            <w:tcMar>
              <w:top w:w="0" w:type="dxa"/>
              <w:left w:w="57" w:type="dxa"/>
              <w:bottom w:w="0" w:type="dxa"/>
              <w:right w:w="57" w:type="dxa"/>
            </w:tcMar>
            <w:vAlign w:val="center"/>
          </w:tcPr>
          <w:p w14:paraId="63945BAD">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安全、环保控制管理措施全面且细致，制定了完善的安全保证体系、环保保证体系，包含详细的安全保证措施、环保保证措施，以及针对性强的突发安全与环境事件应急预案。对施工现场各类安全隐患、环境污染风险有精准预判和有效防控策略，能全方位保障施工安全与环境达标</w:t>
            </w:r>
            <w:r>
              <w:rPr>
                <w:rFonts w:hint="eastAsia"/>
                <w:color w:val="auto"/>
                <w:szCs w:val="21"/>
                <w:highlight w:val="none"/>
                <w:lang w:eastAsia="zh-CN"/>
              </w:rPr>
              <w:t>，</w:t>
            </w:r>
            <w:r>
              <w:rPr>
                <w:rFonts w:hint="eastAsia"/>
                <w:color w:val="auto"/>
                <w:szCs w:val="21"/>
                <w:highlight w:val="none"/>
              </w:rPr>
              <w:t>得（2，3]分；</w:t>
            </w:r>
          </w:p>
          <w:p w14:paraId="0262FA71">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有基本的安全、环保控制管理措施，初步构建安全保证体系、环保保证体系，有简单的安全保证措施、环保保证措施，可应对一般性安全和环境问题，但体系不够完善，措施缺乏系统性，应对复杂状况能力较弱</w:t>
            </w:r>
            <w:r>
              <w:rPr>
                <w:rFonts w:hint="eastAsia"/>
                <w:color w:val="auto"/>
                <w:szCs w:val="21"/>
                <w:highlight w:val="none"/>
                <w:lang w:eastAsia="zh-CN"/>
              </w:rPr>
              <w:t>，</w:t>
            </w:r>
            <w:r>
              <w:rPr>
                <w:rFonts w:hint="eastAsia"/>
                <w:color w:val="auto"/>
                <w:szCs w:val="21"/>
                <w:highlight w:val="none"/>
              </w:rPr>
              <w:t>得</w:t>
            </w:r>
            <w:r>
              <w:rPr>
                <w:rFonts w:hint="eastAsia"/>
                <w:color w:val="auto"/>
                <w:szCs w:val="21"/>
                <w:highlight w:val="none"/>
                <w:lang w:eastAsia="zh-CN"/>
              </w:rPr>
              <w:t>（1，2]</w:t>
            </w:r>
            <w:r>
              <w:rPr>
                <w:rFonts w:hint="eastAsia"/>
                <w:color w:val="auto"/>
                <w:szCs w:val="21"/>
                <w:highlight w:val="none"/>
              </w:rPr>
              <w:t>分；</w:t>
            </w:r>
          </w:p>
          <w:p w14:paraId="2C8E4D2B">
            <w:pPr>
              <w:shd w:val="clear"/>
              <w:rPr>
                <w:rFonts w:hint="eastAsia" w:ascii="宋体" w:hAnsi="宋体" w:cs="宋体"/>
                <w:color w:val="auto"/>
                <w:highlight w:val="none"/>
              </w:rPr>
            </w:pPr>
            <w:r>
              <w:rPr>
                <w:rFonts w:hint="eastAsia"/>
                <w:color w:val="auto"/>
                <w:szCs w:val="21"/>
                <w:highlight w:val="none"/>
                <w:lang w:val="en-US" w:eastAsia="zh-CN"/>
              </w:rPr>
              <w:t>（3）安全、环保控制管理措施缺失或形同虚设，安全保证体系与环保保证体系不健全或未建立。安全保证措施和环保保证措施未针对施工现场实际情况制定。无突发安全与环境事件应急预案，或预案内容简单，不具备可操作性。</w:t>
            </w:r>
            <w:r>
              <w:rPr>
                <w:rFonts w:hint="eastAsia"/>
                <w:color w:val="auto"/>
                <w:szCs w:val="21"/>
                <w:highlight w:val="none"/>
              </w:rPr>
              <w:t>或未提供相关内容，得[0，1]。</w:t>
            </w:r>
          </w:p>
        </w:tc>
      </w:tr>
      <w:tr w14:paraId="479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88" w:type="dxa"/>
            <w:gridSpan w:val="2"/>
            <w:vMerge w:val="continue"/>
            <w:noWrap w:val="0"/>
            <w:vAlign w:val="center"/>
          </w:tcPr>
          <w:p w14:paraId="24ED389E">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5883B6FC">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267EC6F9">
            <w:pPr>
              <w:shd w:val="clear"/>
              <w:snapToGrid w:val="0"/>
              <w:jc w:val="center"/>
              <w:rPr>
                <w:rFonts w:hint="eastAsia" w:ascii="宋体" w:hAnsi="宋体" w:cs="宋体"/>
                <w:color w:val="auto"/>
                <w:highlight w:val="none"/>
              </w:rPr>
            </w:pPr>
            <w:r>
              <w:rPr>
                <w:rFonts w:hint="eastAsia"/>
                <w:color w:val="auto"/>
                <w:szCs w:val="21"/>
                <w:highlight w:val="none"/>
              </w:rPr>
              <w:t>合同、信息管理方案（3分）</w:t>
            </w:r>
          </w:p>
        </w:tc>
        <w:tc>
          <w:tcPr>
            <w:tcW w:w="5215" w:type="dxa"/>
            <w:noWrap w:val="0"/>
            <w:tcMar>
              <w:top w:w="0" w:type="dxa"/>
              <w:left w:w="57" w:type="dxa"/>
              <w:bottom w:w="0" w:type="dxa"/>
              <w:right w:w="57" w:type="dxa"/>
            </w:tcMar>
            <w:vAlign w:val="center"/>
          </w:tcPr>
          <w:p w14:paraId="4B65F4EC">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合同、信息管理目标明确，管理方法科学合理，充分契合工程特点与需求。合同管理方面，构建完善的合同管理体系，从合同起草、谈判、签订到履行、变更、终止，全流程均有详细规范与严格审核机制，能精准把控合同风险，有效维护各方权益。信息管理方面，采用先进的信息化管理平台，实现工程信息的高效采集、存储、处理与共享，具备强大的信息检索与分析功能，可及时为工程决策提供准确依据。管理措施详实具体，针对合同履行中的纠纷处理、信息安全保障等关键问题，制定专项应对策略，得（2，3]分；</w:t>
            </w:r>
          </w:p>
          <w:p w14:paraId="0664A61A">
            <w:pPr>
              <w:shd w:val="clear"/>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具备基本的合同、信息管理方法，能满足工程管理的基础需求。合同管理建立了常规的管理制度，可完成合同的基本审核与执行监督，但在风险预警和动态管理方面存在不足。信息管理采用传统的管理方式或简单的信息化工具，能实现信息的记录与传递，不过信息整合与分析能力较弱，管理措施较为笼统，缺乏对复杂情况的针对性处理方案，得</w:t>
            </w:r>
            <w:r>
              <w:rPr>
                <w:rFonts w:hint="eastAsia"/>
                <w:color w:val="auto"/>
                <w:szCs w:val="21"/>
                <w:highlight w:val="none"/>
                <w:lang w:eastAsia="zh-CN"/>
              </w:rPr>
              <w:t>（1，2]</w:t>
            </w:r>
            <w:r>
              <w:rPr>
                <w:rFonts w:hint="eastAsia"/>
                <w:color w:val="auto"/>
                <w:szCs w:val="21"/>
                <w:highlight w:val="none"/>
              </w:rPr>
              <w:t>分</w:t>
            </w:r>
            <w:r>
              <w:rPr>
                <w:rFonts w:hint="eastAsia"/>
                <w:color w:val="auto"/>
                <w:szCs w:val="21"/>
                <w:highlight w:val="none"/>
                <w:lang w:val="en-US" w:eastAsia="zh-CN"/>
              </w:rPr>
              <w:t>；</w:t>
            </w:r>
          </w:p>
          <w:p w14:paraId="179647E2">
            <w:pPr>
              <w:shd w:val="clear"/>
              <w:rPr>
                <w:rFonts w:hint="eastAsia" w:ascii="宋体" w:hAnsi="宋体" w:cs="宋体"/>
                <w:color w:val="auto"/>
                <w:highlight w:val="none"/>
              </w:rPr>
            </w:pPr>
            <w:r>
              <w:rPr>
                <w:rFonts w:hint="eastAsia"/>
                <w:color w:val="auto"/>
                <w:szCs w:val="21"/>
                <w:highlight w:val="none"/>
                <w:lang w:val="en-US" w:eastAsia="zh-CN"/>
              </w:rPr>
              <w:t>（3）合同、信息管理目标模糊或缺失。合同管理体系混乱，存在审核漏洞，无法有效防范风险；信息管理依靠人工零散记录，易丢失、难追溯，无分析功能；</w:t>
            </w:r>
            <w:r>
              <w:rPr>
                <w:rFonts w:hint="eastAsia"/>
                <w:color w:val="auto"/>
                <w:szCs w:val="21"/>
                <w:highlight w:val="none"/>
              </w:rPr>
              <w:t>或未提供相关内容，得[0，1]。</w:t>
            </w:r>
          </w:p>
        </w:tc>
      </w:tr>
      <w:tr w14:paraId="0FA7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88" w:type="dxa"/>
            <w:gridSpan w:val="2"/>
            <w:vMerge w:val="continue"/>
            <w:noWrap w:val="0"/>
            <w:vAlign w:val="center"/>
          </w:tcPr>
          <w:p w14:paraId="1CD42DE2">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619020D1">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0DFC15DF">
            <w:pPr>
              <w:shd w:val="clear"/>
              <w:snapToGrid w:val="0"/>
              <w:jc w:val="center"/>
              <w:rPr>
                <w:rFonts w:hint="eastAsia" w:ascii="宋体" w:hAnsi="宋体" w:cs="宋体"/>
                <w:color w:val="auto"/>
                <w:highlight w:val="none"/>
              </w:rPr>
            </w:pPr>
            <w:r>
              <w:rPr>
                <w:rFonts w:hint="eastAsia"/>
                <w:color w:val="auto"/>
                <w:szCs w:val="21"/>
                <w:highlight w:val="none"/>
              </w:rPr>
              <w:t>组织协调内容及措施（3分）</w:t>
            </w:r>
          </w:p>
        </w:tc>
        <w:tc>
          <w:tcPr>
            <w:tcW w:w="5215" w:type="dxa"/>
            <w:noWrap w:val="0"/>
            <w:tcMar>
              <w:top w:w="0" w:type="dxa"/>
              <w:left w:w="57" w:type="dxa"/>
              <w:bottom w:w="0" w:type="dxa"/>
              <w:right w:w="57" w:type="dxa"/>
            </w:tcMar>
            <w:vAlign w:val="center"/>
          </w:tcPr>
          <w:p w14:paraId="28B2A19D">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组织协调内容全面系统，涵盖项目各参与方及各阶段协调需求。协调方法科学合理，具有极强的针对性，能精准匹配项目特点与潜在协调难点。措施具体详实，包含详细的沟通机制、冲突解决流程、责任分工等，可有效保障项目高效推进，得（2，3]分；</w:t>
            </w:r>
          </w:p>
          <w:p w14:paraId="137DD23B">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组织协调内容有基本框架，涉及项目部分参与方和阶段。协调方法常规，措施仅作简单说明，缺乏细节和可操作性，仅能应对部分基础协调工作，得</w:t>
            </w:r>
            <w:r>
              <w:rPr>
                <w:rFonts w:hint="eastAsia"/>
                <w:color w:val="auto"/>
                <w:szCs w:val="21"/>
                <w:highlight w:val="none"/>
                <w:lang w:val="en-US" w:eastAsia="zh-CN"/>
              </w:rPr>
              <w:t>（1，2]</w:t>
            </w:r>
            <w:r>
              <w:rPr>
                <w:rFonts w:hint="eastAsia"/>
                <w:color w:val="auto"/>
                <w:szCs w:val="21"/>
                <w:highlight w:val="none"/>
              </w:rPr>
              <w:t>分；</w:t>
            </w:r>
          </w:p>
          <w:p w14:paraId="003073C9">
            <w:pPr>
              <w:shd w:val="clear"/>
              <w:rPr>
                <w:rFonts w:hint="eastAsia" w:ascii="宋体" w:hAnsi="宋体" w:cs="宋体"/>
                <w:color w:val="auto"/>
                <w:highlight w:val="none"/>
              </w:rPr>
            </w:pPr>
            <w:r>
              <w:rPr>
                <w:rFonts w:hint="eastAsia"/>
                <w:color w:val="auto"/>
                <w:szCs w:val="21"/>
                <w:highlight w:val="none"/>
                <w:lang w:val="en-US" w:eastAsia="zh-CN"/>
              </w:rPr>
              <w:t>（3）组织协调内容不完整、目标模糊，未针对项目特点制定措施。存在参与方沟通断层、责任推诿风险，无法解决实际协调问题</w:t>
            </w:r>
            <w:r>
              <w:rPr>
                <w:rFonts w:hint="eastAsia"/>
                <w:color w:val="auto"/>
                <w:szCs w:val="21"/>
                <w:highlight w:val="none"/>
                <w:lang w:eastAsia="zh-CN"/>
              </w:rPr>
              <w:t>。</w:t>
            </w:r>
            <w:r>
              <w:rPr>
                <w:rFonts w:hint="eastAsia"/>
                <w:color w:val="auto"/>
                <w:szCs w:val="21"/>
                <w:highlight w:val="none"/>
              </w:rPr>
              <w:t>或未提供相关内容，得[0，1]。</w:t>
            </w:r>
          </w:p>
        </w:tc>
      </w:tr>
      <w:tr w14:paraId="07A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88" w:type="dxa"/>
            <w:gridSpan w:val="2"/>
            <w:vMerge w:val="continue"/>
            <w:noWrap w:val="0"/>
            <w:vAlign w:val="center"/>
          </w:tcPr>
          <w:p w14:paraId="193C9352">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0FD0E1F8">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1CCE2521">
            <w:pPr>
              <w:shd w:val="clear"/>
              <w:snapToGrid w:val="0"/>
              <w:jc w:val="center"/>
              <w:rPr>
                <w:rFonts w:hint="eastAsia" w:ascii="宋体" w:hAnsi="宋体" w:cs="宋体"/>
                <w:color w:val="auto"/>
                <w:highlight w:val="none"/>
              </w:rPr>
            </w:pPr>
            <w:r>
              <w:rPr>
                <w:rFonts w:hint="eastAsia"/>
                <w:color w:val="auto"/>
                <w:szCs w:val="21"/>
                <w:highlight w:val="none"/>
              </w:rPr>
              <w:t>重点难点监控措施（4分）</w:t>
            </w:r>
          </w:p>
        </w:tc>
        <w:tc>
          <w:tcPr>
            <w:tcW w:w="5215" w:type="dxa"/>
            <w:noWrap w:val="0"/>
            <w:tcMar>
              <w:top w:w="0" w:type="dxa"/>
              <w:left w:w="57" w:type="dxa"/>
              <w:bottom w:w="0" w:type="dxa"/>
              <w:right w:w="57" w:type="dxa"/>
            </w:tcMar>
            <w:vAlign w:val="center"/>
          </w:tcPr>
          <w:p w14:paraId="5EA4E56F">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对项目重点难点分析精准透彻，监控措施极具针对性，紧密围绕工程特性、技术要求及潜在风险制定。措施具体详实，涵盖监测指标、预警机制、应急处置流程等内容，各环节责任明确、流程清晰，具备极高的可操作性，能全方位有效把控项目重点难点，得（2，</w:t>
            </w:r>
            <w:r>
              <w:rPr>
                <w:rFonts w:hint="eastAsia"/>
                <w:color w:val="auto"/>
                <w:szCs w:val="21"/>
                <w:highlight w:val="none"/>
                <w:lang w:val="en-US" w:eastAsia="zh-CN"/>
              </w:rPr>
              <w:t>4</w:t>
            </w:r>
            <w:r>
              <w:rPr>
                <w:rFonts w:hint="eastAsia"/>
                <w:color w:val="auto"/>
                <w:szCs w:val="21"/>
                <w:highlight w:val="none"/>
              </w:rPr>
              <w:t>]分；</w:t>
            </w:r>
          </w:p>
          <w:p w14:paraId="6ACE4937">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对项目重点难点有初步认识，</w:t>
            </w:r>
            <w:r>
              <w:rPr>
                <w:rFonts w:hint="eastAsia"/>
                <w:color w:val="auto"/>
                <w:szCs w:val="21"/>
                <w:highlight w:val="none"/>
                <w:lang w:val="en-US" w:eastAsia="zh-CN"/>
              </w:rPr>
              <w:t>有</w:t>
            </w:r>
            <w:r>
              <w:rPr>
                <w:rFonts w:hint="eastAsia"/>
                <w:color w:val="auto"/>
                <w:szCs w:val="21"/>
                <w:highlight w:val="none"/>
              </w:rPr>
              <w:t>监控措施，</w:t>
            </w:r>
            <w:r>
              <w:rPr>
                <w:rFonts w:hint="eastAsia"/>
                <w:color w:val="auto"/>
                <w:szCs w:val="21"/>
                <w:highlight w:val="none"/>
                <w:lang w:val="en-US" w:eastAsia="zh-CN"/>
              </w:rPr>
              <w:t>但</w:t>
            </w:r>
            <w:r>
              <w:rPr>
                <w:rFonts w:hint="eastAsia"/>
                <w:color w:val="auto"/>
                <w:szCs w:val="21"/>
                <w:highlight w:val="none"/>
              </w:rPr>
              <w:t>缺乏深度和针对性，未细化具体操作步骤和执行标准，仅能满足部分基础监控需求，良得</w:t>
            </w:r>
            <w:r>
              <w:rPr>
                <w:rFonts w:hint="eastAsia"/>
                <w:color w:val="auto"/>
                <w:szCs w:val="21"/>
                <w:highlight w:val="none"/>
                <w:lang w:eastAsia="zh-CN"/>
              </w:rPr>
              <w:t>（1，2]</w:t>
            </w:r>
            <w:r>
              <w:rPr>
                <w:rFonts w:hint="eastAsia"/>
                <w:color w:val="auto"/>
                <w:szCs w:val="21"/>
                <w:highlight w:val="none"/>
              </w:rPr>
              <w:t>分；</w:t>
            </w:r>
          </w:p>
          <w:p w14:paraId="29669D24">
            <w:pPr>
              <w:shd w:val="clear"/>
              <w:rPr>
                <w:rFonts w:hint="eastAsia" w:ascii="宋体" w:hAnsi="宋体" w:cs="宋体"/>
                <w:color w:val="auto"/>
                <w:highlight w:val="none"/>
              </w:rPr>
            </w:pPr>
            <w:r>
              <w:rPr>
                <w:rFonts w:hint="eastAsia"/>
                <w:color w:val="auto"/>
                <w:szCs w:val="21"/>
                <w:highlight w:val="none"/>
                <w:lang w:val="en-US" w:eastAsia="zh-CN"/>
              </w:rPr>
              <w:t>（3）</w:t>
            </w:r>
            <w:r>
              <w:rPr>
                <w:rFonts w:hint="eastAsia"/>
                <w:color w:val="auto"/>
                <w:szCs w:val="21"/>
                <w:highlight w:val="none"/>
              </w:rPr>
              <w:t>对项目重点难点分析模糊不清或存在严重偏差，缺乏对工程特性和潜在风险的基本认知。监控措施缺失关键内容，或措施内容空洞、不切实际，无明确的监测指标、预警机制和应急处置流程，无法对项目重点难点进行有效监控。或未提供相关内容，得[0，1]。</w:t>
            </w:r>
          </w:p>
        </w:tc>
      </w:tr>
      <w:tr w14:paraId="2A1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88" w:type="dxa"/>
            <w:gridSpan w:val="2"/>
            <w:vMerge w:val="continue"/>
            <w:noWrap w:val="0"/>
            <w:vAlign w:val="center"/>
          </w:tcPr>
          <w:p w14:paraId="352DBF25">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7C0B447F">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2A248F6F">
            <w:pPr>
              <w:shd w:val="clear"/>
              <w:snapToGrid w:val="0"/>
              <w:jc w:val="center"/>
              <w:rPr>
                <w:rFonts w:hint="eastAsia" w:ascii="宋体" w:hAnsi="宋体" w:cs="宋体"/>
                <w:color w:val="auto"/>
                <w:highlight w:val="none"/>
              </w:rPr>
            </w:pPr>
            <w:r>
              <w:rPr>
                <w:rFonts w:hint="eastAsia"/>
                <w:color w:val="auto"/>
                <w:szCs w:val="21"/>
                <w:highlight w:val="none"/>
              </w:rPr>
              <w:t>合理化建议（3分）</w:t>
            </w:r>
          </w:p>
        </w:tc>
        <w:tc>
          <w:tcPr>
            <w:tcW w:w="5215" w:type="dxa"/>
            <w:noWrap w:val="0"/>
            <w:tcMar>
              <w:top w:w="0" w:type="dxa"/>
              <w:left w:w="57" w:type="dxa"/>
              <w:bottom w:w="0" w:type="dxa"/>
              <w:right w:w="57" w:type="dxa"/>
            </w:tcMar>
            <w:vAlign w:val="center"/>
          </w:tcPr>
          <w:p w14:paraId="4AE9C5F0">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合理化建议内容科学合理，紧密结合项目实际需求与特点，涵盖工程质量提升、成本控制、进度优化、安全管理等多个关键领域。建议具备详实且具体的实施措施，包含明确的步骤、时间节点、责任分工及预期效果，具有极强的可行性和创新性，能够为项目带来显著效益，得（2，3]分；</w:t>
            </w:r>
          </w:p>
          <w:p w14:paraId="63D1F310">
            <w:pPr>
              <w:shd w:val="clear"/>
              <w:rPr>
                <w:rFonts w:hint="default" w:eastAsia="宋体"/>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rPr>
              <w:t>合理化建议仅对项目提出初步设想，缺乏深入分析和科学依据，内容较为笼统、宽泛。措施简单模糊，未细化具体操作方法和执行标准，仅能为项目提供有限参考，</w:t>
            </w:r>
            <w:r>
              <w:rPr>
                <w:rFonts w:hint="eastAsia"/>
                <w:color w:val="auto"/>
                <w:szCs w:val="21"/>
                <w:highlight w:val="none"/>
                <w:lang w:val="en-US" w:eastAsia="zh-CN"/>
              </w:rPr>
              <w:t>得（1，2]分；</w:t>
            </w:r>
          </w:p>
          <w:p w14:paraId="1E2EBD44">
            <w:pPr>
              <w:shd w:val="clear"/>
              <w:rPr>
                <w:rFonts w:hint="eastAsia" w:ascii="宋体" w:hAnsi="宋体" w:cs="宋体"/>
                <w:color w:val="auto"/>
                <w:highlight w:val="none"/>
              </w:rPr>
            </w:pPr>
            <w:r>
              <w:rPr>
                <w:rFonts w:hint="eastAsia"/>
                <w:color w:val="auto"/>
                <w:szCs w:val="21"/>
                <w:highlight w:val="none"/>
                <w:lang w:val="en-US" w:eastAsia="zh-CN"/>
              </w:rPr>
              <w:t>（3）</w:t>
            </w:r>
            <w:r>
              <w:rPr>
                <w:rFonts w:hint="eastAsia"/>
                <w:color w:val="auto"/>
                <w:szCs w:val="21"/>
                <w:highlight w:val="none"/>
              </w:rPr>
              <w:t>合理化建议内容空洞无物、</w:t>
            </w:r>
            <w:r>
              <w:rPr>
                <w:rFonts w:hint="eastAsia"/>
                <w:color w:val="auto"/>
                <w:szCs w:val="21"/>
                <w:highlight w:val="none"/>
                <w:lang w:val="en-US" w:eastAsia="zh-CN"/>
              </w:rPr>
              <w:t>与</w:t>
            </w:r>
            <w:r>
              <w:rPr>
                <w:rFonts w:hint="eastAsia"/>
                <w:color w:val="auto"/>
                <w:szCs w:val="21"/>
                <w:highlight w:val="none"/>
              </w:rPr>
              <w:t>项目实际</w:t>
            </w:r>
            <w:r>
              <w:rPr>
                <w:rFonts w:hint="eastAsia"/>
                <w:color w:val="auto"/>
                <w:szCs w:val="21"/>
                <w:highlight w:val="none"/>
                <w:lang w:val="en-US" w:eastAsia="zh-CN"/>
              </w:rPr>
              <w:t>不符</w:t>
            </w:r>
            <w:r>
              <w:rPr>
                <w:rFonts w:hint="eastAsia"/>
                <w:color w:val="auto"/>
                <w:szCs w:val="21"/>
                <w:highlight w:val="none"/>
              </w:rPr>
              <w:t>，或存在明显不合理之处，实施措施缺失或模糊不清，无法明确执行方向</w:t>
            </w:r>
            <w:r>
              <w:rPr>
                <w:rFonts w:hint="eastAsia"/>
                <w:color w:val="auto"/>
                <w:szCs w:val="21"/>
                <w:highlight w:val="none"/>
                <w:lang w:eastAsia="zh-CN"/>
              </w:rPr>
              <w:t>。</w:t>
            </w:r>
            <w:r>
              <w:rPr>
                <w:rFonts w:hint="eastAsia"/>
                <w:color w:val="auto"/>
                <w:szCs w:val="21"/>
                <w:highlight w:val="none"/>
              </w:rPr>
              <w:t>或未提供相关内容，得[0，1]。</w:t>
            </w:r>
          </w:p>
        </w:tc>
      </w:tr>
      <w:tr w14:paraId="5E5A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88" w:type="dxa"/>
            <w:gridSpan w:val="2"/>
            <w:vMerge w:val="continue"/>
            <w:noWrap w:val="0"/>
            <w:vAlign w:val="center"/>
          </w:tcPr>
          <w:p w14:paraId="7A45D5C4">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5D5571F2">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24FCBBF8">
            <w:pPr>
              <w:shd w:val="clear"/>
              <w:snapToGrid w:val="0"/>
              <w:jc w:val="center"/>
              <w:rPr>
                <w:rFonts w:hint="eastAsia"/>
                <w:color w:val="auto"/>
                <w:szCs w:val="21"/>
                <w:highlight w:val="none"/>
              </w:rPr>
            </w:pPr>
            <w:r>
              <w:rPr>
                <w:rFonts w:hint="eastAsia"/>
                <w:color w:val="auto"/>
                <w:szCs w:val="21"/>
                <w:highlight w:val="none"/>
              </w:rPr>
              <w:t>工程验收、移交、保修的管理</w:t>
            </w:r>
          </w:p>
          <w:p w14:paraId="410FCA27">
            <w:pPr>
              <w:shd w:val="clear"/>
              <w:snapToGrid w:val="0"/>
              <w:jc w:val="center"/>
              <w:rPr>
                <w:rFonts w:hint="eastAsia" w:ascii="宋体" w:hAnsi="宋体" w:cs="宋体"/>
                <w:color w:val="auto"/>
                <w:highlight w:val="none"/>
              </w:rPr>
            </w:pPr>
            <w:r>
              <w:rPr>
                <w:rFonts w:hint="eastAsia"/>
                <w:color w:val="auto"/>
                <w:szCs w:val="21"/>
                <w:highlight w:val="none"/>
                <w:lang w:eastAsia="zh-CN"/>
              </w:rPr>
              <w:t>（</w:t>
            </w:r>
            <w:r>
              <w:rPr>
                <w:rFonts w:hint="eastAsia"/>
                <w:color w:val="auto"/>
                <w:szCs w:val="21"/>
                <w:highlight w:val="none"/>
                <w:lang w:val="en-US" w:eastAsia="zh-CN"/>
              </w:rPr>
              <w:t>2分）</w:t>
            </w:r>
          </w:p>
        </w:tc>
        <w:tc>
          <w:tcPr>
            <w:tcW w:w="5215" w:type="dxa"/>
            <w:noWrap w:val="0"/>
            <w:tcMar>
              <w:top w:w="0" w:type="dxa"/>
              <w:left w:w="57" w:type="dxa"/>
              <w:bottom w:w="0" w:type="dxa"/>
              <w:right w:w="57" w:type="dxa"/>
            </w:tcMar>
            <w:vAlign w:val="center"/>
          </w:tcPr>
          <w:p w14:paraId="755E0F38">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工程验收、移交、保修管理方法科学合理且高效，形成一套完整的闭环管理体系。验收阶段，制定详细的分阶段验收标准与流程，涵盖隐蔽工程、分项工程、单位工程等，配备专业的验收团队和检测设备，确保验收精准无误；移交阶段，明确各方责任与交接流程，</w:t>
            </w:r>
            <w:r>
              <w:rPr>
                <w:rFonts w:hint="eastAsia"/>
                <w:color w:val="auto"/>
                <w:szCs w:val="21"/>
                <w:highlight w:val="none"/>
                <w:lang w:val="en-US" w:eastAsia="zh-CN"/>
              </w:rPr>
              <w:t>有</w:t>
            </w:r>
            <w:r>
              <w:rPr>
                <w:rFonts w:hint="eastAsia"/>
                <w:color w:val="auto"/>
                <w:szCs w:val="21"/>
                <w:highlight w:val="none"/>
              </w:rPr>
              <w:t>完善的资料移交清单和现场交接记录制度；保修阶段，制定快速响应机制和维修处理流程，定期回访跟踪。各环节措施具体、责任明确，可有效保障工程顺利交付与后续维护，得（</w:t>
            </w: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]分；</w:t>
            </w:r>
          </w:p>
          <w:p w14:paraId="5FB51913">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2）有</w:t>
            </w:r>
            <w:r>
              <w:rPr>
                <w:rFonts w:hint="eastAsia"/>
                <w:color w:val="auto"/>
                <w:szCs w:val="21"/>
                <w:highlight w:val="none"/>
              </w:rPr>
              <w:t>工程验收、移交、保修管理</w:t>
            </w:r>
            <w:r>
              <w:rPr>
                <w:rFonts w:hint="eastAsia"/>
                <w:color w:val="auto"/>
                <w:szCs w:val="21"/>
                <w:highlight w:val="none"/>
                <w:lang w:val="en-US" w:eastAsia="zh-CN"/>
              </w:rPr>
              <w:t>基本流程</w:t>
            </w:r>
            <w:r>
              <w:rPr>
                <w:rFonts w:hint="eastAsia"/>
                <w:color w:val="auto"/>
                <w:szCs w:val="21"/>
                <w:highlight w:val="none"/>
              </w:rPr>
              <w:t>，缺乏系统性和全面性。验收标准模糊，移交流程不清晰，保修处理方式不明确，措施简单且缺乏可操作性，难以有效保障工程全周期管理</w:t>
            </w:r>
            <w:r>
              <w:rPr>
                <w:rFonts w:hint="eastAsia"/>
                <w:color w:val="auto"/>
                <w:szCs w:val="21"/>
                <w:highlight w:val="none"/>
                <w:lang w:eastAsia="zh-CN"/>
              </w:rPr>
              <w:t>，</w:t>
            </w:r>
            <w:r>
              <w:rPr>
                <w:rFonts w:hint="eastAsia"/>
                <w:color w:val="auto"/>
                <w:szCs w:val="21"/>
                <w:highlight w:val="none"/>
              </w:rPr>
              <w:t>得（0</w:t>
            </w: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1</w:t>
            </w:r>
            <w:r>
              <w:rPr>
                <w:rFonts w:hint="eastAsia"/>
                <w:color w:val="auto"/>
                <w:szCs w:val="21"/>
                <w:highlight w:val="none"/>
              </w:rPr>
              <w:t>]分；</w:t>
            </w:r>
          </w:p>
          <w:p w14:paraId="294C1EA6">
            <w:pPr>
              <w:shd w:val="clear"/>
              <w:rPr>
                <w:rFonts w:hint="eastAsia" w:ascii="宋体" w:hAnsi="宋体" w:cs="宋体"/>
                <w:color w:val="auto"/>
                <w:highlight w:val="none"/>
              </w:rPr>
            </w:pPr>
            <w:r>
              <w:rPr>
                <w:rFonts w:hint="eastAsia"/>
                <w:color w:val="auto"/>
                <w:szCs w:val="21"/>
                <w:highlight w:val="none"/>
                <w:lang w:val="en-US" w:eastAsia="zh-CN"/>
              </w:rPr>
              <w:t>（3）工程验收、移交、保修管理</w:t>
            </w:r>
            <w:r>
              <w:rPr>
                <w:rFonts w:hint="eastAsia"/>
                <w:color w:val="auto"/>
                <w:szCs w:val="21"/>
                <w:highlight w:val="none"/>
              </w:rPr>
              <w:t>体系缺失或严重不完善，无法保障工程验收、移交、保修工作正常开展</w:t>
            </w:r>
            <w:r>
              <w:rPr>
                <w:rFonts w:hint="eastAsia"/>
                <w:color w:val="auto"/>
                <w:szCs w:val="21"/>
                <w:highlight w:val="none"/>
                <w:lang w:eastAsia="zh-CN"/>
              </w:rPr>
              <w:t>。</w:t>
            </w:r>
            <w:r>
              <w:rPr>
                <w:rFonts w:hint="eastAsia"/>
                <w:color w:val="auto"/>
                <w:szCs w:val="21"/>
                <w:highlight w:val="none"/>
              </w:rPr>
              <w:t>或未提供相关内容，得[0，</w:t>
            </w:r>
            <w:r>
              <w:rPr>
                <w:rFonts w:hint="eastAsia"/>
                <w:color w:val="auto"/>
                <w:szCs w:val="21"/>
                <w:highlight w:val="none"/>
                <w:lang w:val="en-US" w:eastAsia="zh-CN"/>
              </w:rPr>
              <w:t>0.5</w:t>
            </w:r>
            <w:r>
              <w:rPr>
                <w:rFonts w:hint="eastAsia"/>
                <w:color w:val="auto"/>
                <w:szCs w:val="21"/>
                <w:highlight w:val="none"/>
              </w:rPr>
              <w:t>]。</w:t>
            </w:r>
          </w:p>
        </w:tc>
      </w:tr>
      <w:tr w14:paraId="140C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88" w:type="dxa"/>
            <w:gridSpan w:val="2"/>
            <w:vMerge w:val="continue"/>
            <w:noWrap w:val="0"/>
            <w:vAlign w:val="center"/>
          </w:tcPr>
          <w:p w14:paraId="3440382C">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02925FC0">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61CB6AA2">
            <w:pPr>
              <w:shd w:val="clear"/>
              <w:snapToGrid w:val="0"/>
              <w:jc w:val="center"/>
              <w:rPr>
                <w:rFonts w:hint="eastAsia" w:ascii="宋体" w:hAnsi="宋体" w:cs="宋体"/>
                <w:color w:val="auto"/>
                <w:highlight w:val="none"/>
              </w:rPr>
            </w:pPr>
            <w:r>
              <w:rPr>
                <w:rFonts w:hint="eastAsia"/>
                <w:color w:val="auto"/>
                <w:szCs w:val="21"/>
                <w:highlight w:val="none"/>
              </w:rPr>
              <w:t>工程进度款、工程结算的管理（3分）</w:t>
            </w:r>
          </w:p>
        </w:tc>
        <w:tc>
          <w:tcPr>
            <w:tcW w:w="5215" w:type="dxa"/>
            <w:noWrap w:val="0"/>
            <w:tcMar>
              <w:top w:w="0" w:type="dxa"/>
              <w:left w:w="57" w:type="dxa"/>
              <w:bottom w:w="0" w:type="dxa"/>
              <w:right w:w="57" w:type="dxa"/>
            </w:tcMar>
            <w:vAlign w:val="center"/>
          </w:tcPr>
          <w:p w14:paraId="26838C26">
            <w:pPr>
              <w:shd w:val="clear"/>
              <w:rPr>
                <w:rFonts w:hint="eastAsia" w:ascii="宋体" w:hAnsi="宋体" w:cs="宋体"/>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全面且科学的工程进度款、工程结算全流程管理体系。进度款管理上，精准设定支付节点，结合工程进度与质量验收，运用信息化手段实时监控资金流向，实现动态化、精细化核算；工程结算时，建立严谨的多轮审核机制，依据合同条款与规范，对工程量、单价、费用变更等进行深度核查。管理措施覆盖责任划分、审核流程、争议解决等环节，能高效保障资金管理规范、安全，得（2，3]分；</w:t>
            </w:r>
          </w:p>
          <w:p w14:paraId="580461BE">
            <w:pPr>
              <w:shd w:val="clear"/>
              <w:rPr>
                <w:rFonts w:hint="eastAsia" w:ascii="宋体" w:hAnsi="宋体" w:cs="宋体"/>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工程进度款、工程结算管理的基本</w:t>
            </w:r>
            <w:r>
              <w:rPr>
                <w:rFonts w:hint="eastAsia" w:ascii="宋体" w:hAnsi="宋体" w:cs="宋体"/>
                <w:color w:val="auto"/>
                <w:szCs w:val="21"/>
                <w:highlight w:val="none"/>
                <w:lang w:val="en-US" w:eastAsia="zh-CN"/>
              </w:rPr>
              <w:t>流程</w:t>
            </w:r>
            <w:r>
              <w:rPr>
                <w:rFonts w:hint="eastAsia" w:ascii="宋体" w:hAnsi="宋体" w:cs="宋体"/>
                <w:color w:val="auto"/>
                <w:szCs w:val="21"/>
                <w:highlight w:val="none"/>
              </w:rPr>
              <w:t>。进度款支付有初步节点规划和计量方式，工程结算</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基础审核流程。但管理措施较为简略，部分关键环节标准不明确，难以充分保障资金支付与结算的准确性和规范性，得</w:t>
            </w:r>
            <w:r>
              <w:rPr>
                <w:rFonts w:hint="eastAsia" w:ascii="宋体" w:hAnsi="宋体" w:cs="宋体"/>
                <w:color w:val="auto"/>
                <w:szCs w:val="21"/>
                <w:highlight w:val="none"/>
                <w:lang w:eastAsia="zh-CN"/>
              </w:rPr>
              <w:t>（1，2]</w:t>
            </w:r>
            <w:r>
              <w:rPr>
                <w:rFonts w:hint="eastAsia" w:ascii="宋体" w:hAnsi="宋体" w:cs="宋体"/>
                <w:color w:val="auto"/>
                <w:szCs w:val="21"/>
                <w:highlight w:val="none"/>
              </w:rPr>
              <w:t>分；</w:t>
            </w:r>
          </w:p>
          <w:p w14:paraId="28868367">
            <w:pPr>
              <w:shd w:val="clear"/>
              <w:rPr>
                <w:rFonts w:hint="eastAsia" w:ascii="宋体" w:hAnsi="宋体" w:cs="宋体"/>
                <w:color w:val="auto"/>
                <w:highlight w:val="none"/>
              </w:rPr>
            </w:pPr>
            <w:r>
              <w:rPr>
                <w:rFonts w:hint="eastAsia"/>
                <w:color w:val="auto"/>
                <w:szCs w:val="21"/>
                <w:highlight w:val="none"/>
                <w:lang w:val="en-US" w:eastAsia="zh-CN"/>
              </w:rPr>
              <w:t>（3）</w:t>
            </w:r>
            <w:r>
              <w:rPr>
                <w:rFonts w:hint="eastAsia" w:ascii="宋体" w:hAnsi="宋体" w:cs="宋体"/>
                <w:color w:val="auto"/>
                <w:szCs w:val="21"/>
                <w:highlight w:val="none"/>
              </w:rPr>
              <w:t>工程进度款、工程结算管理体系严重缺失或不完善，未明确支付节点与结算流程，或流程设置不合理、不规范。进度款支付随意性大，缺乏有效计量与监控，无法保障资金安全与合规使用</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或未提供相关内容，得[0，1]。</w:t>
            </w:r>
          </w:p>
        </w:tc>
      </w:tr>
      <w:tr w14:paraId="2E3B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gridSpan w:val="2"/>
            <w:vMerge w:val="continue"/>
            <w:noWrap w:val="0"/>
            <w:vAlign w:val="center"/>
          </w:tcPr>
          <w:p w14:paraId="539ECF8B">
            <w:pPr>
              <w:widowControl/>
              <w:shd w:val="clear"/>
              <w:jc w:val="left"/>
              <w:rPr>
                <w:rFonts w:hint="eastAsia" w:ascii="宋体" w:hAnsi="宋体" w:cs="宋体"/>
                <w:color w:val="auto"/>
                <w:highlight w:val="none"/>
              </w:rPr>
            </w:pPr>
          </w:p>
        </w:tc>
        <w:tc>
          <w:tcPr>
            <w:tcW w:w="960" w:type="dxa"/>
            <w:gridSpan w:val="2"/>
            <w:vMerge w:val="continue"/>
            <w:noWrap w:val="0"/>
            <w:vAlign w:val="center"/>
          </w:tcPr>
          <w:p w14:paraId="0C80A9EF">
            <w:pPr>
              <w:widowControl/>
              <w:shd w:val="clear"/>
              <w:jc w:val="left"/>
              <w:rPr>
                <w:rFonts w:hint="eastAsia" w:ascii="宋体" w:hAnsi="宋体" w:cs="宋体"/>
                <w:color w:val="auto"/>
                <w:highlight w:val="none"/>
              </w:rPr>
            </w:pPr>
          </w:p>
        </w:tc>
        <w:tc>
          <w:tcPr>
            <w:tcW w:w="2359" w:type="dxa"/>
            <w:noWrap w:val="0"/>
            <w:tcMar>
              <w:top w:w="0" w:type="dxa"/>
              <w:left w:w="57" w:type="dxa"/>
              <w:bottom w:w="0" w:type="dxa"/>
              <w:right w:w="57" w:type="dxa"/>
            </w:tcMar>
            <w:vAlign w:val="center"/>
          </w:tcPr>
          <w:p w14:paraId="7828F402">
            <w:pPr>
              <w:shd w:val="clear"/>
              <w:snapToGrid w:val="0"/>
              <w:jc w:val="center"/>
              <w:rPr>
                <w:rFonts w:hint="eastAsia" w:ascii="宋体" w:hAnsi="宋体" w:cs="宋体"/>
                <w:color w:val="auto"/>
                <w:highlight w:val="none"/>
              </w:rPr>
            </w:pPr>
            <w:r>
              <w:rPr>
                <w:rFonts w:hint="eastAsia"/>
                <w:color w:val="auto"/>
                <w:szCs w:val="21"/>
                <w:highlight w:val="none"/>
              </w:rPr>
              <w:t>会议制度（2分）</w:t>
            </w:r>
          </w:p>
        </w:tc>
        <w:tc>
          <w:tcPr>
            <w:tcW w:w="5215" w:type="dxa"/>
            <w:noWrap w:val="0"/>
            <w:tcMar>
              <w:top w:w="0" w:type="dxa"/>
              <w:left w:w="57" w:type="dxa"/>
              <w:bottom w:w="0" w:type="dxa"/>
              <w:right w:w="57" w:type="dxa"/>
            </w:tcMar>
            <w:vAlign w:val="center"/>
          </w:tcPr>
          <w:p w14:paraId="75715293">
            <w:pPr>
              <w:shd w:val="clear"/>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rPr>
              <w:t>建立全面且完善的工地会议制度，涵盖会议类型（如监理例会、专题会议、图纸会审会议等）、参会人员、会议时间与地点、会议议程、会议资料准备、会议记录与纪要签发、决议事项跟踪落实等全流程管理。对各类会议的召开频率、议题范围、决策流程均有明确规定，确保会议高效有序开展，能有效协调各方工作、解决项目推进中的问题，得（</w:t>
            </w: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]分；</w:t>
            </w:r>
          </w:p>
          <w:p w14:paraId="320B544A">
            <w:pPr>
              <w:shd w:val="clear"/>
              <w:rPr>
                <w:rFonts w:hint="default" w:eastAsia="宋体"/>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2）有</w:t>
            </w:r>
            <w:r>
              <w:rPr>
                <w:rFonts w:hint="eastAsia"/>
                <w:color w:val="auto"/>
                <w:szCs w:val="21"/>
                <w:highlight w:val="none"/>
              </w:rPr>
              <w:t>基本</w:t>
            </w:r>
            <w:r>
              <w:rPr>
                <w:rFonts w:hint="eastAsia"/>
                <w:color w:val="auto"/>
                <w:szCs w:val="21"/>
                <w:highlight w:val="none"/>
                <w:lang w:val="en-US" w:eastAsia="zh-CN"/>
              </w:rPr>
              <w:t>的</w:t>
            </w:r>
            <w:r>
              <w:rPr>
                <w:rFonts w:hint="eastAsia"/>
                <w:color w:val="auto"/>
                <w:szCs w:val="21"/>
                <w:highlight w:val="none"/>
              </w:rPr>
              <w:t>工地会议制度，</w:t>
            </w:r>
            <w:r>
              <w:rPr>
                <w:rFonts w:hint="eastAsia"/>
                <w:color w:val="auto"/>
                <w:szCs w:val="21"/>
                <w:highlight w:val="none"/>
                <w:lang w:val="en-US" w:eastAsia="zh-CN"/>
              </w:rPr>
              <w:t>有</w:t>
            </w:r>
            <w:r>
              <w:rPr>
                <w:rFonts w:hint="eastAsia"/>
                <w:color w:val="auto"/>
                <w:szCs w:val="21"/>
                <w:highlight w:val="none"/>
              </w:rPr>
              <w:t>明确主要会议类型和参会人员，对会议时间、议程有初步规定。但制度内容不够细致，部分关键环节（如会议决议跟踪、资料归档等）缺乏明确要求，难以充分满足项目协调管理需求，</w:t>
            </w:r>
            <w:r>
              <w:rPr>
                <w:rFonts w:hint="eastAsia"/>
                <w:color w:val="auto"/>
                <w:szCs w:val="21"/>
                <w:highlight w:val="none"/>
                <w:lang w:val="en-US" w:eastAsia="zh-CN"/>
              </w:rPr>
              <w:t>得（0.5，1]分；</w:t>
            </w:r>
          </w:p>
          <w:p w14:paraId="7E523B75">
            <w:pPr>
              <w:shd w:val="clear"/>
              <w:rPr>
                <w:rFonts w:hint="eastAsia" w:ascii="宋体" w:hAnsi="宋体" w:cs="宋体"/>
                <w:color w:val="auto"/>
                <w:highlight w:val="none"/>
              </w:rPr>
            </w:pPr>
            <w:r>
              <w:rPr>
                <w:rFonts w:hint="eastAsia"/>
                <w:color w:val="auto"/>
                <w:szCs w:val="21"/>
                <w:highlight w:val="none"/>
                <w:lang w:val="en-US" w:eastAsia="zh-CN"/>
              </w:rPr>
              <w:t>（3）</w:t>
            </w:r>
            <w:r>
              <w:rPr>
                <w:rFonts w:hint="eastAsia"/>
                <w:color w:val="auto"/>
                <w:szCs w:val="21"/>
                <w:highlight w:val="none"/>
              </w:rPr>
              <w:t>工地会议制度严重缺失或不完善，会议议程混乱，缺乏规范性。会议决议无人跟进落实，无法通过会议实现各方有效沟通与协调</w:t>
            </w:r>
            <w:r>
              <w:rPr>
                <w:rFonts w:hint="eastAsia"/>
                <w:color w:val="auto"/>
                <w:szCs w:val="21"/>
                <w:highlight w:val="none"/>
                <w:lang w:eastAsia="zh-CN"/>
              </w:rPr>
              <w:t>。</w:t>
            </w:r>
            <w:r>
              <w:rPr>
                <w:rFonts w:hint="eastAsia"/>
                <w:color w:val="auto"/>
                <w:szCs w:val="21"/>
                <w:highlight w:val="none"/>
              </w:rPr>
              <w:t>或未提供相关内容，得[0，</w:t>
            </w:r>
            <w:r>
              <w:rPr>
                <w:rFonts w:hint="eastAsia"/>
                <w:color w:val="auto"/>
                <w:szCs w:val="21"/>
                <w:highlight w:val="none"/>
                <w:lang w:val="en-US" w:eastAsia="zh-CN"/>
              </w:rPr>
              <w:t>0.5</w:t>
            </w:r>
            <w:r>
              <w:rPr>
                <w:rFonts w:hint="eastAsia"/>
                <w:color w:val="auto"/>
                <w:szCs w:val="21"/>
                <w:highlight w:val="none"/>
              </w:rPr>
              <w:t>]。</w:t>
            </w:r>
          </w:p>
        </w:tc>
      </w:tr>
      <w:tr w14:paraId="13AE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88" w:type="dxa"/>
            <w:gridSpan w:val="2"/>
            <w:noWrap w:val="0"/>
            <w:vAlign w:val="center"/>
          </w:tcPr>
          <w:p w14:paraId="54DE12EB">
            <w:pPr>
              <w:shd w:val="clear"/>
              <w:spacing w:line="340" w:lineRule="exact"/>
              <w:rPr>
                <w:rFonts w:hint="eastAsia" w:ascii="宋体" w:hAnsi="宋体" w:cs="宋体"/>
                <w:color w:val="auto"/>
                <w:highlight w:val="none"/>
              </w:rPr>
            </w:pPr>
            <w:r>
              <w:rPr>
                <w:rFonts w:hint="eastAsia" w:ascii="宋体" w:hAnsi="宋体" w:cs="宋体"/>
                <w:color w:val="auto"/>
                <w:highlight w:val="none"/>
              </w:rPr>
              <w:t>2.2.4</w:t>
            </w:r>
          </w:p>
          <w:p w14:paraId="51C21759">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960" w:type="dxa"/>
            <w:gridSpan w:val="2"/>
            <w:noWrap w:val="0"/>
            <w:vAlign w:val="center"/>
          </w:tcPr>
          <w:p w14:paraId="6503FC96">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投标报价评分标准（</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7574" w:type="dxa"/>
            <w:gridSpan w:val="2"/>
            <w:noWrap w:val="0"/>
            <w:vAlign w:val="center"/>
          </w:tcPr>
          <w:p w14:paraId="3F20F5D3">
            <w:pPr>
              <w:shd w:val="clear"/>
              <w:spacing w:line="340" w:lineRule="exact"/>
              <w:jc w:val="left"/>
              <w:rPr>
                <w:rFonts w:hint="eastAsia" w:ascii="宋体" w:hAnsi="宋体" w:cs="宋体"/>
                <w:color w:val="auto"/>
                <w:highlight w:val="none"/>
              </w:rPr>
            </w:pPr>
            <w:r>
              <w:rPr>
                <w:rFonts w:hint="eastAsia" w:ascii="宋体" w:hAnsi="宋体" w:eastAsia="宋体" w:cs="宋体"/>
                <w:color w:val="auto"/>
                <w:sz w:val="21"/>
                <w:szCs w:val="21"/>
                <w:highlight w:val="none"/>
                <w:u w:val="none"/>
              </w:rPr>
              <w:t>投标报价得分以评标参考价作为计算各有效投标报价得分的基础，当有效投标报价等于评标参考价时得10分；投标有效投价与评标参考价相比，每上偏扣1%扣</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分、下偏1%扣</w:t>
            </w:r>
            <w:r>
              <w:rPr>
                <w:rFonts w:hint="eastAsia" w:ascii="宋体" w:hAnsi="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rPr>
              <w:t>分，中间分值采用插值计算，保留小数点后两位，小数点后第三位采用四舍五入方式计算，最多扣10分。</w:t>
            </w:r>
          </w:p>
        </w:tc>
      </w:tr>
      <w:tr w14:paraId="2AC4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988" w:type="dxa"/>
            <w:gridSpan w:val="2"/>
            <w:noWrap w:val="0"/>
            <w:vAlign w:val="center"/>
          </w:tcPr>
          <w:p w14:paraId="56C09C24">
            <w:pPr>
              <w:shd w:val="clear"/>
              <w:spacing w:line="340" w:lineRule="exact"/>
              <w:rPr>
                <w:rFonts w:hint="eastAsia" w:ascii="宋体" w:hAnsi="宋体" w:cs="宋体"/>
                <w:color w:val="auto"/>
                <w:highlight w:val="none"/>
              </w:rPr>
            </w:pPr>
            <w:r>
              <w:rPr>
                <w:rFonts w:hint="eastAsia" w:ascii="宋体" w:hAnsi="宋体" w:cs="宋体"/>
                <w:color w:val="auto"/>
                <w:highlight w:val="none"/>
              </w:rPr>
              <w:t>2.2.4</w:t>
            </w:r>
          </w:p>
          <w:p w14:paraId="10CFD4C7">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960" w:type="dxa"/>
            <w:gridSpan w:val="2"/>
            <w:noWrap w:val="0"/>
            <w:vAlign w:val="center"/>
          </w:tcPr>
          <w:p w14:paraId="312B0961">
            <w:pPr>
              <w:numPr>
                <w:ilvl w:val="0"/>
                <w:numId w:val="2"/>
              </w:numPr>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其他因素（诚信综合评价）</w:t>
            </w:r>
          </w:p>
          <w:p w14:paraId="29F203C8">
            <w:pPr>
              <w:shd w:val="clear"/>
              <w:spacing w:line="340" w:lineRule="exact"/>
              <w:jc w:val="center"/>
              <w:rPr>
                <w:rFonts w:hint="eastAsia" w:ascii="宋体" w:hAnsi="宋体" w:cs="宋体"/>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574" w:type="dxa"/>
            <w:gridSpan w:val="2"/>
            <w:noWrap w:val="0"/>
            <w:vAlign w:val="center"/>
          </w:tcPr>
          <w:p w14:paraId="2CD19960">
            <w:pPr>
              <w:shd w:val="clear"/>
              <w:spacing w:line="340" w:lineRule="exact"/>
              <w:jc w:val="left"/>
              <w:rPr>
                <w:rFonts w:hint="eastAsia" w:ascii="宋体" w:hAnsi="宋体" w:cs="宋体"/>
                <w:color w:val="auto"/>
                <w:highlight w:val="none"/>
              </w:rPr>
            </w:pPr>
            <w:r>
              <w:rPr>
                <w:rFonts w:hint="eastAsia" w:ascii="宋体" w:hAnsi="宋体" w:eastAsia="宋体" w:cs="宋体"/>
                <w:color w:val="auto"/>
                <w:sz w:val="21"/>
                <w:szCs w:val="21"/>
                <w:highlight w:val="none"/>
                <w:u w:val="none"/>
              </w:rPr>
              <w:t>投标人诚信得分=企业的诚信综合评价排名得分×</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%。企业的诚信综合评价排名得分以投标截止当日</w:t>
            </w:r>
            <w:r>
              <w:rPr>
                <w:rFonts w:hint="eastAsia" w:ascii="宋体" w:hAnsi="宋体" w:eastAsia="宋体" w:cs="宋体"/>
                <w:color w:val="auto"/>
                <w:sz w:val="21"/>
                <w:szCs w:val="21"/>
                <w:highlight w:val="none"/>
                <w:u w:val="none"/>
                <w:lang w:eastAsia="zh-CN"/>
              </w:rPr>
              <w:t>广州市工程招标行业协会网站</w:t>
            </w:r>
            <w:r>
              <w:rPr>
                <w:rFonts w:hint="eastAsia" w:ascii="宋体" w:hAnsi="宋体" w:eastAsia="宋体" w:cs="宋体"/>
                <w:color w:val="auto"/>
                <w:sz w:val="21"/>
                <w:szCs w:val="21"/>
                <w:highlight w:val="none"/>
                <w:u w:val="none"/>
              </w:rPr>
              <w:t>监理企业专栏上公布的企业60日诚信分得分为准。企业诚信综合诚信评价排名得分以</w:t>
            </w:r>
            <w:r>
              <w:rPr>
                <w:rFonts w:hint="eastAsia" w:ascii="宋体" w:hAnsi="宋体" w:eastAsia="宋体" w:cs="宋体"/>
                <w:b/>
                <w:bCs/>
                <w:color w:val="auto"/>
                <w:sz w:val="21"/>
                <w:szCs w:val="21"/>
                <w:highlight w:val="none"/>
                <w:u w:val="none"/>
              </w:rPr>
              <w:t>监理-房建</w:t>
            </w:r>
            <w:r>
              <w:rPr>
                <w:rFonts w:hint="eastAsia" w:ascii="宋体" w:hAnsi="宋体" w:eastAsia="宋体" w:cs="宋体"/>
                <w:color w:val="auto"/>
                <w:sz w:val="21"/>
                <w:szCs w:val="21"/>
                <w:highlight w:val="none"/>
                <w:u w:val="none"/>
              </w:rPr>
              <w:t>排名得分为准。</w:t>
            </w:r>
          </w:p>
        </w:tc>
      </w:tr>
      <w:tr w14:paraId="3A6E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noWrap w:val="0"/>
            <w:vAlign w:val="top"/>
          </w:tcPr>
          <w:p w14:paraId="7C017A0F">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2.2.4</w:t>
            </w:r>
          </w:p>
        </w:tc>
        <w:tc>
          <w:tcPr>
            <w:tcW w:w="960" w:type="dxa"/>
            <w:gridSpan w:val="2"/>
            <w:noWrap w:val="0"/>
            <w:vAlign w:val="top"/>
          </w:tcPr>
          <w:p w14:paraId="467C282A">
            <w:pPr>
              <w:shd w:val="clear"/>
              <w:spacing w:line="340" w:lineRule="exact"/>
              <w:jc w:val="center"/>
              <w:rPr>
                <w:rFonts w:hint="eastAsia" w:ascii="宋体" w:hAnsi="宋体" w:cs="宋体"/>
                <w:color w:val="auto"/>
                <w:highlight w:val="none"/>
              </w:rPr>
            </w:pPr>
            <w:r>
              <w:rPr>
                <w:rFonts w:hint="eastAsia" w:ascii="宋体" w:hAnsi="宋体" w:cs="宋体"/>
                <w:color w:val="auto"/>
                <w:highlight w:val="none"/>
              </w:rPr>
              <w:t>说明</w:t>
            </w:r>
          </w:p>
        </w:tc>
        <w:tc>
          <w:tcPr>
            <w:tcW w:w="7574" w:type="dxa"/>
            <w:gridSpan w:val="2"/>
            <w:noWrap w:val="0"/>
            <w:vAlign w:val="center"/>
          </w:tcPr>
          <w:p w14:paraId="41887C6D">
            <w:pPr>
              <w:keepNext w:val="0"/>
              <w:keepLines w:val="0"/>
              <w:pageBreakBefore w:val="0"/>
              <w:widowControl w:val="0"/>
              <w:shd w:val="clear"/>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3DB4E21D">
            <w:pPr>
              <w:keepNext w:val="0"/>
              <w:keepLines w:val="0"/>
              <w:pageBreakBefore w:val="0"/>
              <w:widowControl w:val="0"/>
              <w:shd w:val="clear"/>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（1）投标人的综合得分为各评委的评分计取的算术平均分（分数出现小数点时，保留小数点后二位，第三位小数四舍五入）。</w:t>
            </w:r>
          </w:p>
          <w:p w14:paraId="49FCF37D">
            <w:pPr>
              <w:keepNext w:val="0"/>
              <w:keepLines w:val="0"/>
              <w:pageBreakBefore w:val="0"/>
              <w:widowControl w:val="0"/>
              <w:shd w:val="clear"/>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tc>
      </w:tr>
    </w:tbl>
    <w:p w14:paraId="228F4284">
      <w:pPr>
        <w:shd w:val="clear"/>
        <w:adjustRightInd w:val="0"/>
        <w:snapToGrid w:val="0"/>
        <w:spacing w:before="468" w:beforeLines="150" w:line="360" w:lineRule="auto"/>
        <w:rPr>
          <w:rFonts w:hint="eastAsia" w:ascii="宋体" w:hAnsi="宋体" w:eastAsia="宋体" w:cs="宋体"/>
          <w:color w:val="auto"/>
          <w:kern w:val="0"/>
          <w:sz w:val="18"/>
          <w:szCs w:val="18"/>
          <w:highlight w:val="none"/>
          <w:shd w:val="clear" w:color="auto" w:fill="FFFFFF"/>
          <w:lang w:bidi="ar"/>
        </w:rPr>
      </w:pPr>
      <w:r>
        <w:rPr>
          <w:rFonts w:hint="eastAsia" w:ascii="宋体" w:hAnsi="宋体" w:eastAsia="宋体" w:cs="宋体"/>
          <w:color w:val="auto"/>
          <w:kern w:val="0"/>
          <w:sz w:val="18"/>
          <w:szCs w:val="18"/>
          <w:highlight w:val="none"/>
          <w:shd w:val="clear" w:color="auto" w:fill="FFFFFF"/>
          <w:lang w:bidi="ar"/>
        </w:rPr>
        <w:t>说明：</w:t>
      </w:r>
    </w:p>
    <w:p w14:paraId="133D3826">
      <w:pPr>
        <w:shd w:val="clear"/>
        <w:tabs>
          <w:tab w:val="left" w:pos="540"/>
          <w:tab w:val="left" w:pos="720"/>
        </w:tabs>
        <w:adjustRightInd w:val="0"/>
        <w:snapToGrid w:val="0"/>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企业</w:t>
      </w:r>
      <w:r>
        <w:rPr>
          <w:rFonts w:hint="eastAsia" w:ascii="Times New Roman" w:hAnsi="Times New Roman" w:eastAsia="宋体" w:cs="Times New Roman"/>
          <w:color w:val="auto"/>
          <w:szCs w:val="21"/>
          <w:highlight w:val="none"/>
        </w:rPr>
        <w:t>获奖业绩：国家级奖指金杯奖、鲁班奖、詹天佑大奖、金质奖、银质奖、优质工程奖、中国钢结构金奖等；省级奖指省级优良样板工程、省级双优工地、优质奖等；市级奖指市级优良样板工程、市级双优工地等</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对同一工程奖项按最高奖项计取，不重复计算。</w:t>
      </w:r>
    </w:p>
    <w:p w14:paraId="107F260D">
      <w:pPr>
        <w:shd w:val="clear"/>
        <w:tabs>
          <w:tab w:val="left" w:pos="540"/>
          <w:tab w:val="left" w:pos="720"/>
        </w:tabs>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工程类科学技术奖：以省级人民政府或科技部或行业协会颁发的证书为准。</w:t>
      </w:r>
      <w:r>
        <w:rPr>
          <w:rFonts w:hint="eastAsia" w:ascii="宋体" w:hAnsi="宋体" w:eastAsia="宋体" w:cs="Times New Roman"/>
          <w:color w:val="auto"/>
          <w:szCs w:val="21"/>
          <w:highlight w:val="none"/>
        </w:rPr>
        <w:t>如行业协会颁发，须提供该行业协会在“中国社会组织政务服务平台”的登记信息查询结果网页截图。</w:t>
      </w:r>
    </w:p>
    <w:p w14:paraId="691A0E9C">
      <w:pPr>
        <w:shd w:val="clear"/>
        <w:tabs>
          <w:tab w:val="left" w:pos="540"/>
          <w:tab w:val="left" w:pos="720"/>
        </w:tabs>
        <w:adjustRightInd w:val="0"/>
        <w:snapToGrid w:val="0"/>
        <w:spacing w:line="360" w:lineRule="auto"/>
        <w:ind w:firstLine="420" w:firstLineChars="200"/>
        <w:rPr>
          <w:rFonts w:hint="eastAsia" w:ascii="Calibri" w:hAnsi="Calibri" w:eastAsia="宋体" w:cs="Times New Roman"/>
          <w:color w:val="auto"/>
          <w:szCs w:val="21"/>
          <w:highlight w:val="none"/>
        </w:rPr>
      </w:pPr>
      <w:r>
        <w:rPr>
          <w:rFonts w:hint="eastAsia" w:ascii="Times New Roman" w:hAnsi="Times New Roman" w:eastAsia="宋体" w:cs="Times New Roman"/>
          <w:color w:val="auto"/>
          <w:szCs w:val="21"/>
          <w:highlight w:val="none"/>
        </w:rPr>
        <w:t>3、投标人提供的人员须为投标人在职员工，并提供投标截止时间前近三个月（2025年</w:t>
      </w:r>
      <w:r>
        <w:rPr>
          <w:rFonts w:hint="eastAsia" w:cs="Times New Roman"/>
          <w:color w:val="auto"/>
          <w:szCs w:val="21"/>
          <w:highlight w:val="none"/>
          <w:lang w:val="en-US" w:eastAsia="zh-CN"/>
        </w:rPr>
        <w:t>4</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至</w:t>
      </w:r>
      <w:r>
        <w:rPr>
          <w:rFonts w:hint="eastAsia" w:cs="Times New Roman"/>
          <w:color w:val="auto"/>
          <w:szCs w:val="21"/>
          <w:highlight w:val="none"/>
          <w:lang w:val="en-US" w:eastAsia="zh-CN"/>
        </w:rPr>
        <w:t>6</w:t>
      </w:r>
      <w:r>
        <w:rPr>
          <w:rFonts w:hint="eastAsia"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rPr>
        <w:t>）的社保缴纳证明。若当地政府部门允许企业缓缴社会保险费且投标人未缴纳的，投标人可提供当地政府部门允许缓缴社保的相关文件作为缴纳社保的证明；</w:t>
      </w:r>
      <w:r>
        <w:rPr>
          <w:rFonts w:hint="eastAsia" w:ascii="Calibri" w:hAnsi="Calibri" w:eastAsia="宋体" w:cs="Times New Roman"/>
          <w:color w:val="auto"/>
          <w:szCs w:val="21"/>
          <w:highlight w:val="none"/>
        </w:rPr>
        <w:t>确定中标人后，招标人将采取有效措施，核实后续中标人管理团队的社保补缴情况。</w:t>
      </w:r>
    </w:p>
    <w:p w14:paraId="211DCA82">
      <w:pPr>
        <w:shd w:val="clear"/>
        <w:tabs>
          <w:tab w:val="left" w:pos="540"/>
          <w:tab w:val="left" w:pos="720"/>
        </w:tabs>
        <w:adjustRightInd w:val="0"/>
        <w:snapToGrid w:val="0"/>
        <w:spacing w:line="360" w:lineRule="auto"/>
        <w:ind w:firstLine="420" w:firstLineChars="200"/>
        <w:rPr>
          <w:rFonts w:hint="eastAsia" w:ascii="Calibri" w:hAnsi="Calibri" w:eastAsia="宋体" w:cs="Times New Roman"/>
          <w:color w:val="auto"/>
          <w:szCs w:val="21"/>
          <w:highlight w:val="none"/>
        </w:rPr>
      </w:pPr>
      <w:r>
        <w:rPr>
          <w:rFonts w:hint="eastAsia" w:ascii="Calibri" w:hAnsi="Calibri" w:eastAsia="宋体" w:cs="Times New Roman"/>
          <w:color w:val="auto"/>
          <w:szCs w:val="21"/>
          <w:highlight w:val="none"/>
        </w:rPr>
        <w:t>4、投标人的综合得分为各评委的评分计取的算术平均分（分数出现小数点时，保留小数点后二位，第三位小数四舍五入）。</w:t>
      </w:r>
    </w:p>
    <w:p w14:paraId="5B2AE2C2">
      <w:pPr>
        <w:shd w:val="clear"/>
        <w:ind w:firstLine="0" w:firstLineChars="0"/>
        <w:jc w:val="both"/>
        <w:outlineLvl w:val="9"/>
        <w:rPr>
          <w:rFonts w:hint="eastAsia" w:ascii="宋体" w:hAnsi="宋体" w:cs="宋体"/>
          <w:color w:val="auto"/>
          <w:highlight w:val="none"/>
        </w:rPr>
      </w:pPr>
    </w:p>
    <w:p w14:paraId="4DF0CFC8">
      <w:pPr>
        <w:pStyle w:val="4"/>
        <w:shd w:val="clear"/>
        <w:rPr>
          <w:rFonts w:hint="eastAsia" w:ascii="宋体" w:hAnsi="宋体" w:eastAsia="宋体" w:cs="宋体"/>
          <w:color w:val="auto"/>
          <w:highlight w:val="none"/>
        </w:rPr>
      </w:pPr>
      <w:bookmarkStart w:id="344" w:name="_Toc492300628"/>
      <w:r>
        <w:rPr>
          <w:rFonts w:hint="eastAsia" w:ascii="宋体" w:hAnsi="宋体" w:eastAsia="宋体" w:cs="宋体"/>
          <w:color w:val="auto"/>
          <w:highlight w:val="none"/>
        </w:rPr>
        <w:br w:type="page"/>
      </w:r>
      <w:bookmarkStart w:id="345" w:name="_Toc31621"/>
      <w:r>
        <w:rPr>
          <w:rFonts w:hint="eastAsia" w:ascii="宋体" w:hAnsi="宋体" w:eastAsia="宋体" w:cs="宋体"/>
          <w:color w:val="auto"/>
          <w:highlight w:val="none"/>
        </w:rPr>
        <w:t>1. 评标方法</w:t>
      </w:r>
      <w:bookmarkEnd w:id="344"/>
      <w:bookmarkEnd w:id="345"/>
    </w:p>
    <w:p w14:paraId="75DB2499">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次评标采用综合评估法。评标委员会对满足招标文件实质性要求的投标文件，按照本章第2.2款规定的评分标准进行打分，并按得分由高到低顺序推荐中标候选人。综合评分相等时，以投标报价低的优先；投标报价也相等的，以诚信综合评价排名靠前的排前；如诚信综合评价排名也相等的，以监理大纲得分高的优先；如仍存在相同情况，则对具有相同情况的投标人，按中标候选人数量规定，由评标委员会采用投票表决方式，确定中标候选人的排序。</w:t>
      </w:r>
    </w:p>
    <w:p w14:paraId="2B83CA02">
      <w:pPr>
        <w:pStyle w:val="4"/>
        <w:shd w:val="clear"/>
        <w:rPr>
          <w:rFonts w:hint="eastAsia" w:ascii="宋体" w:hAnsi="宋体" w:eastAsia="宋体" w:cs="宋体"/>
          <w:color w:val="auto"/>
          <w:highlight w:val="none"/>
        </w:rPr>
      </w:pPr>
      <w:bookmarkStart w:id="346" w:name="_Toc3561"/>
      <w:bookmarkStart w:id="347" w:name="_Toc492300629"/>
      <w:r>
        <w:rPr>
          <w:rFonts w:hint="eastAsia" w:ascii="宋体" w:hAnsi="宋体" w:eastAsia="宋体" w:cs="宋体"/>
          <w:color w:val="auto"/>
          <w:highlight w:val="none"/>
        </w:rPr>
        <w:t>2. 评审标准</w:t>
      </w:r>
      <w:bookmarkEnd w:id="346"/>
      <w:bookmarkEnd w:id="347"/>
    </w:p>
    <w:p w14:paraId="7D50A18A">
      <w:pPr>
        <w:pStyle w:val="5"/>
        <w:shd w:val="clear"/>
        <w:spacing w:line="240" w:lineRule="auto"/>
        <w:ind w:firstLine="137"/>
        <w:rPr>
          <w:rFonts w:hint="eastAsia" w:ascii="宋体" w:hAnsi="宋体" w:cs="宋体"/>
          <w:color w:val="auto"/>
          <w:highlight w:val="none"/>
        </w:rPr>
      </w:pPr>
      <w:bookmarkStart w:id="348" w:name="_Toc14680"/>
      <w:bookmarkStart w:id="349" w:name="_Toc492300630"/>
      <w:r>
        <w:rPr>
          <w:rFonts w:hint="eastAsia" w:ascii="宋体" w:hAnsi="宋体" w:cs="宋体"/>
          <w:color w:val="auto"/>
          <w:highlight w:val="none"/>
        </w:rPr>
        <w:t>2.1 初步评审标准</w:t>
      </w:r>
      <w:bookmarkEnd w:id="348"/>
      <w:bookmarkEnd w:id="349"/>
    </w:p>
    <w:p w14:paraId="58EAB195">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2.1.1形式评审标准：见评标办法前附表。</w:t>
      </w:r>
    </w:p>
    <w:p w14:paraId="2FC277CD">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2.1.2资格评审标准：见评标办法前附表。</w:t>
      </w:r>
    </w:p>
    <w:p w14:paraId="1ED22A6C">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2.1.3响应性评审标准：见评标办法前附表。</w:t>
      </w:r>
    </w:p>
    <w:p w14:paraId="1283E7CD">
      <w:pPr>
        <w:pStyle w:val="5"/>
        <w:shd w:val="clear"/>
        <w:spacing w:line="240" w:lineRule="auto"/>
        <w:ind w:firstLine="137"/>
        <w:rPr>
          <w:rFonts w:hint="eastAsia" w:ascii="宋体" w:hAnsi="宋体" w:cs="宋体"/>
          <w:color w:val="auto"/>
          <w:highlight w:val="none"/>
        </w:rPr>
      </w:pPr>
      <w:bookmarkStart w:id="350" w:name="_Toc492300631"/>
      <w:bookmarkStart w:id="351" w:name="_Toc9132"/>
      <w:r>
        <w:rPr>
          <w:rFonts w:hint="eastAsia" w:ascii="宋体" w:hAnsi="宋体" w:cs="宋体"/>
          <w:color w:val="auto"/>
          <w:highlight w:val="none"/>
        </w:rPr>
        <w:t>2.2 分值构成与评分标准</w:t>
      </w:r>
      <w:bookmarkEnd w:id="350"/>
      <w:bookmarkEnd w:id="351"/>
    </w:p>
    <w:p w14:paraId="2A1239AB">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2.2.1分值构成</w:t>
      </w:r>
    </w:p>
    <w:p w14:paraId="627C4343">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（1）资信业绩部分：见评标办法前附表；</w:t>
      </w:r>
    </w:p>
    <w:p w14:paraId="6B1EF53E">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（2）监理大纲部分：见评标办法前附表；</w:t>
      </w:r>
    </w:p>
    <w:p w14:paraId="339648B8">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（3）投标报价：见评标办法前附表；</w:t>
      </w:r>
    </w:p>
    <w:p w14:paraId="4C38E2A8">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（4）其他评分因素：见评标办法前附表。</w:t>
      </w:r>
    </w:p>
    <w:p w14:paraId="613CBF80">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2.2.2评标基准价计算</w:t>
      </w:r>
    </w:p>
    <w:p w14:paraId="11605ED9">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评标基准价计算方法：见评标办法前附表。</w:t>
      </w:r>
    </w:p>
    <w:p w14:paraId="6947E861">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2.2.3投标报价的偏差率计算</w:t>
      </w:r>
    </w:p>
    <w:p w14:paraId="7E94E337">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投标报价的偏差率计算公式：见评标办法前附表。</w:t>
      </w:r>
    </w:p>
    <w:p w14:paraId="05C7872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2.2.4评分标准</w:t>
      </w:r>
    </w:p>
    <w:p w14:paraId="214EA87C">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（1）资信业绩评分标准：见评标办法前附表；</w:t>
      </w:r>
    </w:p>
    <w:p w14:paraId="23342F4C">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（2）监理大纲评分标准：见评标办法前附表；</w:t>
      </w:r>
    </w:p>
    <w:p w14:paraId="0B150BA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（3）投标报价评分标准：见评标办法前附表；</w:t>
      </w:r>
    </w:p>
    <w:p w14:paraId="18571DC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（4）其他因素评分标准：见评标办法前附表。</w:t>
      </w:r>
    </w:p>
    <w:p w14:paraId="36D65E5F">
      <w:pPr>
        <w:pStyle w:val="4"/>
        <w:shd w:val="clear"/>
        <w:rPr>
          <w:rFonts w:hint="eastAsia" w:ascii="宋体" w:hAnsi="宋体" w:eastAsia="宋体" w:cs="宋体"/>
          <w:color w:val="auto"/>
          <w:highlight w:val="none"/>
        </w:rPr>
      </w:pPr>
      <w:bookmarkStart w:id="352" w:name="_Toc492300632"/>
      <w:bookmarkStart w:id="353" w:name="_Toc8573"/>
      <w:r>
        <w:rPr>
          <w:rFonts w:hint="eastAsia" w:ascii="宋体" w:hAnsi="宋体" w:eastAsia="宋体" w:cs="宋体"/>
          <w:color w:val="auto"/>
          <w:highlight w:val="none"/>
        </w:rPr>
        <w:t>3. 评标程序</w:t>
      </w:r>
      <w:bookmarkEnd w:id="352"/>
      <w:bookmarkEnd w:id="353"/>
    </w:p>
    <w:p w14:paraId="7E9018B0">
      <w:pPr>
        <w:shd w:val="clear"/>
        <w:spacing w:line="400" w:lineRule="exact"/>
        <w:ind w:firstLine="420" w:firstLineChars="200"/>
        <w:rPr>
          <w:rFonts w:hint="eastAsia" w:ascii="宋体" w:hAnsi="宋体" w:cs="宋体"/>
          <w:color w:val="auto"/>
          <w:highlight w:val="none"/>
        </w:rPr>
      </w:pPr>
      <w:bookmarkStart w:id="354" w:name="_Toc492300633"/>
      <w:r>
        <w:rPr>
          <w:rFonts w:hint="eastAsia" w:ascii="宋体" w:hAnsi="宋体" w:cs="宋体"/>
          <w:color w:val="auto"/>
          <w:highlight w:val="none"/>
        </w:rPr>
        <w:t>评标委员会在开始评标前，应了解评标专家的职责及守则，认真阅读附件1《评标委员会成员声明》的内容并签名，签字后方可进行评标。</w:t>
      </w:r>
    </w:p>
    <w:p w14:paraId="47EE47A1">
      <w:pPr>
        <w:pStyle w:val="5"/>
        <w:shd w:val="clear"/>
        <w:spacing w:line="240" w:lineRule="auto"/>
        <w:ind w:firstLine="137"/>
        <w:rPr>
          <w:rFonts w:hint="eastAsia" w:ascii="宋体" w:hAnsi="宋体" w:cs="宋体"/>
          <w:color w:val="auto"/>
          <w:highlight w:val="none"/>
        </w:rPr>
      </w:pPr>
      <w:bookmarkStart w:id="355" w:name="_Toc10641"/>
      <w:r>
        <w:rPr>
          <w:rFonts w:hint="eastAsia" w:ascii="宋体" w:hAnsi="宋体" w:cs="宋体"/>
          <w:color w:val="auto"/>
          <w:highlight w:val="none"/>
        </w:rPr>
        <w:t>3.1 初步评审</w:t>
      </w:r>
      <w:bookmarkEnd w:id="354"/>
      <w:bookmarkEnd w:id="355"/>
    </w:p>
    <w:p w14:paraId="40AF2F78">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A0AB20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3.1.2投标人有以下情形之一的，评标委员会应当否决其投标：</w:t>
      </w:r>
    </w:p>
    <w:p w14:paraId="6AB1B33A">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（1）投标文件没有对招标文件的实质性要求和条件作出响应，或者对招标文件的偏差超出招标文件规定的偏差范围或最高项数；</w:t>
      </w:r>
    </w:p>
    <w:p w14:paraId="02DA4C0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（2）有串通投标、弄虚作假、行贿等违法行为。</w:t>
      </w:r>
    </w:p>
    <w:p w14:paraId="7164EF9D">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3.1.3投标报价有算术错误及其他错误的，评标委员会按以下原则要求投标人对投标报价进</w:t>
      </w:r>
      <w:bookmarkStart w:id="356" w:name="_Toc247514027"/>
      <w:bookmarkStart w:id="357" w:name="_Toc152045603"/>
      <w:bookmarkStart w:id="358" w:name="_Toc369531582"/>
      <w:bookmarkStart w:id="359" w:name="_Toc247527628"/>
      <w:bookmarkStart w:id="360" w:name="_Toc361508651"/>
      <w:bookmarkStart w:id="361" w:name="_Toc300835013"/>
      <w:bookmarkStart w:id="362" w:name="_Toc152042380"/>
      <w:bookmarkStart w:id="363" w:name="_Toc144974570"/>
      <w:bookmarkStart w:id="364" w:name="_Toc352691538"/>
      <w:bookmarkStart w:id="365" w:name="_Toc2907"/>
      <w:bookmarkStart w:id="366" w:name="_Toc384308277"/>
      <w:r>
        <w:rPr>
          <w:rFonts w:hint="eastAsia" w:ascii="宋体" w:hAnsi="宋体" w:cs="宋体"/>
          <w:color w:val="auto"/>
          <w:highlight w:val="none"/>
        </w:rPr>
        <w:t>行修正，并要求投标人书面澄清确认。</w:t>
      </w:r>
      <w:bookmarkEnd w:id="356"/>
      <w:bookmarkEnd w:id="357"/>
      <w:bookmarkEnd w:id="358"/>
      <w:bookmarkEnd w:id="359"/>
      <w:bookmarkEnd w:id="360"/>
      <w:bookmarkEnd w:id="361"/>
      <w:bookmarkEnd w:id="362"/>
      <w:bookmarkEnd w:id="363"/>
      <w:bookmarkEnd w:id="364"/>
      <w:bookmarkEnd w:id="365"/>
      <w:bookmarkEnd w:id="366"/>
      <w:r>
        <w:rPr>
          <w:rFonts w:hint="eastAsia" w:ascii="宋体" w:hAnsi="宋体" w:cs="宋体"/>
          <w:color w:val="auto"/>
          <w:highlight w:val="none"/>
        </w:rPr>
        <w:t>投标人拒不澄清确认的，评标委员会应当否决其投标：</w:t>
      </w:r>
    </w:p>
    <w:p w14:paraId="65A3B942">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（1）投标文件中的大写金额与小写金额不一致的，以大写金额为准；</w:t>
      </w:r>
    </w:p>
    <w:p w14:paraId="3AC470E7">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（2）总价金额与单价金额不一致的，以单价金额为准，但单价金额小数点有明显错误的除外。</w:t>
      </w:r>
    </w:p>
    <w:p w14:paraId="0CE89C40">
      <w:pPr>
        <w:pStyle w:val="5"/>
        <w:shd w:val="clear"/>
        <w:spacing w:line="240" w:lineRule="auto"/>
        <w:ind w:firstLine="137"/>
        <w:rPr>
          <w:rFonts w:hint="eastAsia" w:ascii="宋体" w:hAnsi="宋体" w:cs="宋体"/>
          <w:color w:val="auto"/>
          <w:highlight w:val="none"/>
        </w:rPr>
      </w:pPr>
      <w:bookmarkStart w:id="367" w:name="_Toc492300634"/>
      <w:bookmarkStart w:id="368" w:name="_Toc9451"/>
      <w:r>
        <w:rPr>
          <w:rFonts w:hint="eastAsia" w:ascii="宋体" w:hAnsi="宋体" w:cs="宋体"/>
          <w:color w:val="auto"/>
          <w:highlight w:val="none"/>
        </w:rPr>
        <w:t>3.2 详细评审</w:t>
      </w:r>
      <w:bookmarkEnd w:id="367"/>
      <w:bookmarkEnd w:id="368"/>
    </w:p>
    <w:p w14:paraId="7045BBA1">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3.2.1评标委员会按本章第2.2款规定的量化因素和分值进行打分，并计算出综合评估得分。</w:t>
      </w:r>
    </w:p>
    <w:p w14:paraId="3E846992">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（1）按本章第 2.2.4（1）目规定的评审因素和分值对资信业绩部分计算出得分 A；</w:t>
      </w:r>
    </w:p>
    <w:p w14:paraId="36D6627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（2）按本章第 2.2.4（2）目规定的评审因素和分值对监理大纲部分计算出得分 B；</w:t>
      </w:r>
    </w:p>
    <w:p w14:paraId="38760903">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（3）按本章第2.2.4（3）目规定的评审因素和</w:t>
      </w:r>
      <w:bookmarkStart w:id="369" w:name="_Toc384308278"/>
      <w:bookmarkStart w:id="370" w:name="_Toc369531583"/>
      <w:bookmarkStart w:id="371" w:name="_Toc152045604"/>
      <w:bookmarkStart w:id="372" w:name="_Toc300835014"/>
      <w:bookmarkStart w:id="373" w:name="_Toc152042381"/>
      <w:bookmarkStart w:id="374" w:name="_Toc361508652"/>
      <w:bookmarkStart w:id="375" w:name="_Toc247527629"/>
      <w:bookmarkStart w:id="376" w:name="_Toc247514028"/>
      <w:bookmarkStart w:id="377" w:name="_Toc24330"/>
      <w:bookmarkStart w:id="378" w:name="_Toc352691539"/>
      <w:bookmarkStart w:id="379" w:name="_Toc144974571"/>
      <w:r>
        <w:rPr>
          <w:rFonts w:hint="eastAsia" w:ascii="宋体" w:hAnsi="宋体" w:cs="宋体"/>
          <w:color w:val="auto"/>
          <w:highlight w:val="none"/>
        </w:rPr>
        <w:t>分值对投标报价</w:t>
      </w:r>
      <w:bookmarkEnd w:id="369"/>
      <w:bookmarkEnd w:id="370"/>
      <w:bookmarkEnd w:id="371"/>
      <w:bookmarkEnd w:id="372"/>
      <w:bookmarkEnd w:id="373"/>
      <w:bookmarkEnd w:id="374"/>
      <w:bookmarkEnd w:id="375"/>
      <w:bookmarkEnd w:id="376"/>
      <w:bookmarkEnd w:id="377"/>
      <w:bookmarkEnd w:id="378"/>
      <w:bookmarkEnd w:id="379"/>
      <w:r>
        <w:rPr>
          <w:rFonts w:hint="eastAsia" w:ascii="宋体" w:hAnsi="宋体" w:cs="宋体"/>
          <w:color w:val="auto"/>
          <w:highlight w:val="none"/>
        </w:rPr>
        <w:t>计</w:t>
      </w:r>
      <w:bookmarkStart w:id="380" w:name="_Toc369531584"/>
      <w:bookmarkStart w:id="381" w:name="_Toc300835015"/>
      <w:bookmarkStart w:id="382" w:name="_Toc352691540"/>
      <w:bookmarkStart w:id="383" w:name="_Toc247514029"/>
      <w:bookmarkStart w:id="384" w:name="_Toc152045605"/>
      <w:bookmarkStart w:id="385" w:name="_Toc18141"/>
      <w:bookmarkStart w:id="386" w:name="_Toc152042382"/>
      <w:bookmarkStart w:id="387" w:name="_Toc384308279"/>
      <w:bookmarkStart w:id="388" w:name="_Toc144974572"/>
      <w:bookmarkStart w:id="389" w:name="_Toc247527630"/>
      <w:bookmarkStart w:id="390" w:name="_Toc361508653"/>
      <w:r>
        <w:rPr>
          <w:rFonts w:hint="eastAsia" w:ascii="宋体" w:hAnsi="宋体" w:cs="宋体"/>
          <w:color w:val="auto"/>
          <w:highlight w:val="none"/>
        </w:rPr>
        <w:t>算出得分C；</w:t>
      </w:r>
    </w:p>
    <w:p w14:paraId="6113697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bookmarkEnd w:id="380"/>
      <w:bookmarkEnd w:id="381"/>
      <w:bookmarkEnd w:id="382"/>
      <w:bookmarkEnd w:id="383"/>
      <w:bookmarkEnd w:id="384"/>
      <w:bookmarkEnd w:id="385"/>
      <w:bookmarkEnd w:id="386"/>
      <w:bookmarkEnd w:id="387"/>
      <w:bookmarkEnd w:id="388"/>
      <w:bookmarkEnd w:id="389"/>
      <w:bookmarkEnd w:id="390"/>
      <w:r>
        <w:rPr>
          <w:rFonts w:hint="eastAsia" w:ascii="宋体" w:hAnsi="宋体" w:cs="宋体"/>
          <w:color w:val="auto"/>
          <w:highlight w:val="none"/>
        </w:rPr>
        <w:t>4）按本章第2.2.4（4）目规定的评审因素和分值对其他部分计算出得分D。</w:t>
      </w:r>
    </w:p>
    <w:p w14:paraId="6DFA832E">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3.2.2评分分值计算保留小数点后两位，小数点后第三位“四舍五入”。</w:t>
      </w:r>
    </w:p>
    <w:p w14:paraId="0C907E1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3.2.3投标人总得分=A+B+C+D</w:t>
      </w:r>
    </w:p>
    <w:p w14:paraId="5E056EB0">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C8EFB35">
      <w:pPr>
        <w:pStyle w:val="5"/>
        <w:shd w:val="clear"/>
        <w:spacing w:line="240" w:lineRule="auto"/>
        <w:ind w:firstLine="137"/>
        <w:rPr>
          <w:rFonts w:hint="eastAsia" w:ascii="宋体" w:hAnsi="宋体" w:cs="宋体"/>
          <w:color w:val="auto"/>
          <w:highlight w:val="none"/>
        </w:rPr>
      </w:pPr>
      <w:bookmarkStart w:id="391" w:name="_Toc28552"/>
      <w:bookmarkStart w:id="392" w:name="_Toc492300635"/>
      <w:r>
        <w:rPr>
          <w:rFonts w:hint="eastAsia" w:ascii="宋体" w:hAnsi="宋体" w:cs="宋体"/>
          <w:color w:val="auto"/>
          <w:highlight w:val="none"/>
        </w:rPr>
        <w:t>3.3 投标文件的澄清</w:t>
      </w:r>
      <w:bookmarkEnd w:id="391"/>
      <w:bookmarkEnd w:id="392"/>
    </w:p>
    <w:p w14:paraId="15717B80">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FB559A0">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3.3.2澄清、说明或补正不得超出投标文件的范围且不得改变投标文件的实质性内容，并构成投标文件的组成部分。</w:t>
      </w:r>
    </w:p>
    <w:p w14:paraId="1FF2B094">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3.3.3评标委员会对投标人提交的澄清、说明或补正有疑问的，可以要求投标人进一步澄清、说明或补正，直至满足评标委员会的要求。</w:t>
      </w:r>
    </w:p>
    <w:p w14:paraId="605F0A64">
      <w:pPr>
        <w:pStyle w:val="5"/>
        <w:shd w:val="clear"/>
        <w:spacing w:line="240" w:lineRule="auto"/>
        <w:ind w:firstLine="137"/>
        <w:rPr>
          <w:rFonts w:hint="eastAsia" w:ascii="宋体" w:hAnsi="宋体" w:cs="宋体"/>
          <w:color w:val="auto"/>
          <w:highlight w:val="none"/>
        </w:rPr>
      </w:pPr>
      <w:bookmarkStart w:id="393" w:name="_Toc492300636"/>
      <w:bookmarkStart w:id="394" w:name="_Toc13154"/>
      <w:r>
        <w:rPr>
          <w:rFonts w:hint="eastAsia" w:ascii="宋体" w:hAnsi="宋体" w:cs="宋体"/>
          <w:color w:val="auto"/>
          <w:highlight w:val="none"/>
        </w:rPr>
        <w:t>3.4 评标结果</w:t>
      </w:r>
      <w:bookmarkEnd w:id="393"/>
      <w:bookmarkEnd w:id="394"/>
    </w:p>
    <w:p w14:paraId="77CEAC8E">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3.4.1除第二章“投标人须知”前附表授权直接确定中标人外，评标委员会按照得分由高到低的顺序推荐中标候选人，并标明排序。</w:t>
      </w:r>
    </w:p>
    <w:p w14:paraId="0F08ED7B">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3.4.2评标委员会完成评标后，应当向招标人提交书面评标报告和中标候选人名单。</w:t>
      </w:r>
    </w:p>
    <w:p w14:paraId="0DD41F9D">
      <w:pPr>
        <w:shd w:val="clear"/>
        <w:ind w:firstLine="0" w:firstLineChars="0"/>
        <w:rPr>
          <w:rFonts w:hint="eastAsia" w:ascii="宋体" w:hAnsi="宋体" w:cs="宋体"/>
          <w:color w:val="auto"/>
          <w:highlight w:val="none"/>
        </w:rPr>
      </w:pPr>
      <w:r>
        <w:rPr>
          <w:rFonts w:hint="eastAsia" w:ascii="宋体" w:hAnsi="宋体" w:cs="宋体"/>
          <w:color w:val="auto"/>
          <w:highlight w:val="none"/>
        </w:rPr>
        <w:br w:type="page"/>
      </w:r>
    </w:p>
    <w:p w14:paraId="2703D1FD">
      <w:pPr>
        <w:shd w:val="clear"/>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w:t>
      </w:r>
      <w:r>
        <w:rPr>
          <w:rFonts w:ascii="黑体" w:hAnsi="黑体" w:eastAsia="黑体" w:cs="Times New Roman"/>
          <w:color w:val="auto"/>
          <w:sz w:val="32"/>
          <w:szCs w:val="32"/>
          <w:highlight w:val="none"/>
        </w:rPr>
        <w:t>1</w:t>
      </w:r>
    </w:p>
    <w:p w14:paraId="336708F4">
      <w:pPr>
        <w:shd w:val="clear"/>
        <w:ind w:firstLine="640" w:firstLineChars="200"/>
        <w:jc w:val="center"/>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评标委员会成员声明</w:t>
      </w:r>
    </w:p>
    <w:p w14:paraId="1BB0F89D">
      <w:pPr>
        <w:shd w:val="clear"/>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u w:val="single"/>
        </w:rPr>
        <w:t xml:space="preserve">   本项目招标人  </w:t>
      </w:r>
      <w:r>
        <w:rPr>
          <w:rFonts w:hint="eastAsia" w:ascii="仿宋_GB2312" w:hAnsi="Times New Roman" w:eastAsia="仿宋_GB2312" w:cs="Times New Roman"/>
          <w:color w:val="auto"/>
          <w:sz w:val="28"/>
          <w:szCs w:val="28"/>
          <w:highlight w:val="none"/>
        </w:rPr>
        <w:t>：</w:t>
      </w:r>
    </w:p>
    <w:p w14:paraId="5DB214E5">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本人就参与</w:t>
      </w:r>
      <w:r>
        <w:rPr>
          <w:rFonts w:hint="eastAsia" w:ascii="仿宋_GB2312" w:hAnsi="Times New Roman" w:eastAsia="仿宋_GB2312" w:cs="Times New Roman"/>
          <w:color w:val="auto"/>
          <w:sz w:val="28"/>
          <w:szCs w:val="28"/>
          <w:highlight w:val="none"/>
          <w:u w:val="single"/>
          <w:lang w:eastAsia="zh-CN"/>
        </w:rPr>
        <w:t>知识城低空产业装备智造园监理服务</w:t>
      </w:r>
      <w:r>
        <w:rPr>
          <w:rFonts w:hint="eastAsia" w:ascii="仿宋_GB2312" w:hAnsi="Times New Roman" w:eastAsia="仿宋_GB2312" w:cs="Times New Roman"/>
          <w:color w:val="auto"/>
          <w:sz w:val="28"/>
          <w:szCs w:val="28"/>
          <w:highlight w:val="none"/>
        </w:rPr>
        <w:t>的评标工作，作出郑重声明：</w:t>
      </w:r>
    </w:p>
    <w:p w14:paraId="5A3E89D0">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B8A6DA5">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ED5C977">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C0AB827">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05CBDF4">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773AB41">
      <w:pPr>
        <w:shd w:val="clear"/>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如果本人违反上述声明内容，造成的后果由本人自行承担。</w:t>
      </w:r>
    </w:p>
    <w:p w14:paraId="4526BA31">
      <w:pPr>
        <w:shd w:val="clear"/>
        <w:ind w:firstLine="560" w:firstLineChars="200"/>
        <w:rPr>
          <w:rFonts w:ascii="仿宋_GB2312" w:hAnsi="Times New Roman" w:eastAsia="仿宋_GB2312" w:cs="Times New Roman"/>
          <w:color w:val="auto"/>
          <w:sz w:val="28"/>
          <w:szCs w:val="28"/>
          <w:highlight w:val="none"/>
        </w:rPr>
      </w:pPr>
    </w:p>
    <w:p w14:paraId="3CE1FB5F">
      <w:pPr>
        <w:shd w:val="clear"/>
        <w:ind w:firstLine="560" w:firstLineChars="200"/>
        <w:rPr>
          <w:rFonts w:ascii="仿宋_GB2312" w:hAnsi="Times New Roman" w:eastAsia="仿宋_GB2312" w:cs="Times New Roman"/>
          <w:color w:val="auto"/>
          <w:sz w:val="28"/>
          <w:szCs w:val="28"/>
          <w:highlight w:val="none"/>
          <w:u w:val="single"/>
        </w:rPr>
      </w:pPr>
      <w:r>
        <w:rPr>
          <w:rFonts w:hint="eastAsia" w:ascii="仿宋_GB2312" w:hAnsi="Times New Roman" w:eastAsia="仿宋_GB2312" w:cs="Times New Roman"/>
          <w:color w:val="auto"/>
          <w:sz w:val="28"/>
          <w:szCs w:val="28"/>
          <w:highlight w:val="none"/>
        </w:rPr>
        <w:t xml:space="preserve">                             声明人：</w:t>
      </w:r>
      <w:r>
        <w:rPr>
          <w:rFonts w:hint="eastAsia" w:ascii="仿宋_GB2312" w:hAnsi="Times New Roman" w:eastAsia="仿宋_GB2312" w:cs="Times New Roman"/>
          <w:color w:val="auto"/>
          <w:sz w:val="28"/>
          <w:szCs w:val="28"/>
          <w:highlight w:val="none"/>
          <w:u w:val="single"/>
        </w:rPr>
        <w:t xml:space="preserve">（签名）  </w:t>
      </w:r>
    </w:p>
    <w:p w14:paraId="4292D739">
      <w:pPr>
        <w:shd w:val="clear"/>
        <w:ind w:firstLine="420" w:firstLineChars="200"/>
        <w:rPr>
          <w:rFonts w:hint="eastAsia" w:ascii="宋体" w:hAnsi="宋体" w:eastAsia="宋体" w:cs="宋体"/>
          <w:b/>
          <w:bCs/>
          <w:color w:val="auto"/>
          <w:highlight w:val="none"/>
        </w:rPr>
      </w:pPr>
      <w:r>
        <w:rPr>
          <w:rFonts w:hint="eastAsia" w:ascii="宋体" w:hAnsi="宋体" w:cs="宋体"/>
          <w:color w:val="auto"/>
          <w:highlight w:val="none"/>
        </w:rPr>
        <w:br w:type="page"/>
      </w:r>
      <w:bookmarkEnd w:id="324"/>
      <w:bookmarkStart w:id="395" w:name="_Toc28296"/>
      <w:bookmarkEnd w:id="395"/>
      <w:bookmarkStart w:id="396" w:name="_Toc27723"/>
      <w:bookmarkEnd w:id="396"/>
      <w:bookmarkStart w:id="397" w:name="_Toc28889"/>
      <w:bookmarkEnd w:id="397"/>
      <w:bookmarkStart w:id="398" w:name="_Toc21368"/>
      <w:bookmarkEnd w:id="398"/>
      <w:bookmarkStart w:id="399" w:name="_Toc10735"/>
      <w:bookmarkEnd w:id="399"/>
      <w:bookmarkStart w:id="400" w:name="_Toc530640833"/>
      <w:bookmarkStart w:id="401" w:name="_Toc8500"/>
    </w:p>
    <w:p w14:paraId="4447CFFD">
      <w:pPr>
        <w:shd w:val="clear"/>
        <w:ind w:firstLine="422" w:firstLineChars="200"/>
        <w:rPr>
          <w:rFonts w:hint="eastAsia" w:ascii="宋体" w:hAnsi="宋体" w:eastAsia="宋体" w:cs="宋体"/>
          <w:b/>
          <w:bCs/>
          <w:color w:val="auto"/>
          <w:highlight w:val="none"/>
        </w:rPr>
      </w:pPr>
    </w:p>
    <w:p w14:paraId="7DA79EE5">
      <w:pPr>
        <w:shd w:val="clear"/>
        <w:ind w:firstLine="422" w:firstLineChars="200"/>
        <w:rPr>
          <w:rFonts w:hint="eastAsia" w:ascii="宋体" w:hAnsi="宋体" w:eastAsia="宋体" w:cs="宋体"/>
          <w:b/>
          <w:bCs/>
          <w:color w:val="auto"/>
          <w:highlight w:val="none"/>
        </w:rPr>
      </w:pPr>
    </w:p>
    <w:p w14:paraId="388AC7B3">
      <w:pPr>
        <w:shd w:val="clear"/>
        <w:ind w:firstLine="422" w:firstLineChars="200"/>
        <w:rPr>
          <w:rFonts w:hint="eastAsia" w:ascii="宋体" w:hAnsi="宋体" w:eastAsia="宋体" w:cs="宋体"/>
          <w:b/>
          <w:bCs/>
          <w:color w:val="auto"/>
          <w:highlight w:val="none"/>
        </w:rPr>
      </w:pPr>
    </w:p>
    <w:p w14:paraId="65A45DAE">
      <w:pPr>
        <w:shd w:val="clear"/>
        <w:ind w:firstLine="422" w:firstLineChars="200"/>
        <w:rPr>
          <w:rFonts w:hint="eastAsia" w:ascii="宋体" w:hAnsi="宋体" w:eastAsia="宋体" w:cs="宋体"/>
          <w:b/>
          <w:bCs/>
          <w:color w:val="auto"/>
          <w:highlight w:val="none"/>
        </w:rPr>
      </w:pPr>
    </w:p>
    <w:p w14:paraId="7635B074">
      <w:pPr>
        <w:shd w:val="clear"/>
        <w:ind w:firstLine="422" w:firstLineChars="200"/>
        <w:rPr>
          <w:rFonts w:hint="eastAsia" w:ascii="宋体" w:hAnsi="宋体" w:eastAsia="宋体" w:cs="宋体"/>
          <w:b/>
          <w:bCs/>
          <w:color w:val="auto"/>
          <w:highlight w:val="none"/>
        </w:rPr>
      </w:pPr>
    </w:p>
    <w:p w14:paraId="7EA0274B">
      <w:pPr>
        <w:shd w:val="clear"/>
        <w:ind w:firstLine="422" w:firstLineChars="200"/>
        <w:rPr>
          <w:rFonts w:hint="eastAsia" w:ascii="宋体" w:hAnsi="宋体" w:eastAsia="宋体" w:cs="宋体"/>
          <w:b/>
          <w:bCs/>
          <w:color w:val="auto"/>
          <w:highlight w:val="none"/>
        </w:rPr>
      </w:pPr>
    </w:p>
    <w:p w14:paraId="670BE78F">
      <w:pPr>
        <w:shd w:val="clear"/>
        <w:ind w:firstLine="422" w:firstLineChars="200"/>
        <w:rPr>
          <w:rFonts w:hint="eastAsia" w:ascii="宋体" w:hAnsi="宋体" w:eastAsia="宋体" w:cs="宋体"/>
          <w:b/>
          <w:bCs/>
          <w:color w:val="auto"/>
          <w:highlight w:val="none"/>
        </w:rPr>
      </w:pPr>
    </w:p>
    <w:p w14:paraId="4471148D">
      <w:pPr>
        <w:pStyle w:val="4"/>
        <w:shd w:val="clear"/>
        <w:bidi w:val="0"/>
        <w:jc w:val="center"/>
        <w:rPr>
          <w:rFonts w:hint="eastAsia" w:ascii="宋体" w:hAnsi="宋体" w:eastAsia="宋体" w:cs="宋体"/>
          <w:b/>
          <w:bCs/>
          <w:color w:val="auto"/>
          <w:highlight w:val="none"/>
        </w:rPr>
      </w:pPr>
      <w:bookmarkStart w:id="402" w:name="_Toc12213"/>
      <w:r>
        <w:rPr>
          <w:rFonts w:hint="eastAsia" w:ascii="宋体" w:hAnsi="宋体" w:eastAsia="宋体" w:cs="宋体"/>
          <w:b/>
          <w:bCs/>
          <w:color w:val="auto"/>
          <w:highlight w:val="none"/>
        </w:rPr>
        <w:t>第四章  合同条款及格式</w:t>
      </w:r>
      <w:bookmarkEnd w:id="400"/>
      <w:bookmarkEnd w:id="401"/>
      <w:bookmarkEnd w:id="402"/>
    </w:p>
    <w:p w14:paraId="27080AF7">
      <w:pPr>
        <w:shd w:val="clea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（另册）</w:t>
      </w:r>
    </w:p>
    <w:p w14:paraId="1A12863C">
      <w:pPr>
        <w:shd w:val="clear"/>
        <w:ind w:firstLine="422" w:firstLineChars="200"/>
        <w:rPr>
          <w:rFonts w:hint="eastAsia" w:ascii="宋体" w:hAnsi="宋体" w:cs="宋体"/>
          <w:b/>
          <w:bCs/>
          <w:color w:val="auto"/>
          <w:highlight w:val="none"/>
        </w:rPr>
      </w:pPr>
      <w:r>
        <w:rPr>
          <w:rFonts w:hint="eastAsia" w:ascii="宋体" w:hAnsi="宋体" w:cs="宋体"/>
          <w:b/>
          <w:bCs/>
          <w:color w:val="auto"/>
          <w:highlight w:val="none"/>
        </w:rPr>
        <w:t xml:space="preserve"> </w:t>
      </w:r>
    </w:p>
    <w:p w14:paraId="3C234A96">
      <w:pPr>
        <w:shd w:val="clear"/>
        <w:ind w:firstLine="422" w:firstLineChars="200"/>
        <w:rPr>
          <w:rFonts w:hint="eastAsia" w:ascii="宋体" w:hAnsi="宋体" w:cs="宋体"/>
          <w:b/>
          <w:bCs/>
          <w:color w:val="auto"/>
          <w:highlight w:val="none"/>
        </w:rPr>
      </w:pPr>
      <w:r>
        <w:rPr>
          <w:rFonts w:hint="eastAsia" w:ascii="宋体" w:hAnsi="宋体" w:cs="宋体"/>
          <w:b/>
          <w:bCs/>
          <w:color w:val="auto"/>
          <w:highlight w:val="none"/>
        </w:rPr>
        <w:t xml:space="preserve"> </w:t>
      </w:r>
    </w:p>
    <w:p w14:paraId="595702A8">
      <w:pPr>
        <w:shd w:val="clear"/>
        <w:ind w:firstLine="422" w:firstLineChars="200"/>
        <w:rPr>
          <w:rFonts w:hint="eastAsia" w:ascii="宋体" w:hAnsi="宋体" w:cs="宋体"/>
          <w:b/>
          <w:bCs/>
          <w:color w:val="auto"/>
          <w:highlight w:val="none"/>
        </w:rPr>
      </w:pPr>
    </w:p>
    <w:p w14:paraId="5D27D423">
      <w:pPr>
        <w:shd w:val="clear"/>
        <w:ind w:firstLine="422" w:firstLineChars="200"/>
        <w:rPr>
          <w:rFonts w:hint="eastAsia" w:ascii="宋体" w:hAnsi="宋体" w:cs="宋体"/>
          <w:b/>
          <w:bCs/>
          <w:color w:val="auto"/>
          <w:highlight w:val="none"/>
        </w:rPr>
      </w:pPr>
    </w:p>
    <w:p w14:paraId="388844C3">
      <w:pPr>
        <w:shd w:val="clear"/>
        <w:ind w:firstLine="422" w:firstLineChars="200"/>
        <w:rPr>
          <w:rFonts w:hint="eastAsia" w:ascii="宋体" w:hAnsi="宋体" w:cs="宋体"/>
          <w:b/>
          <w:bCs/>
          <w:color w:val="auto"/>
          <w:highlight w:val="none"/>
        </w:rPr>
      </w:pPr>
    </w:p>
    <w:p w14:paraId="29272E72">
      <w:pPr>
        <w:shd w:val="clear"/>
        <w:ind w:firstLine="422" w:firstLineChars="200"/>
        <w:rPr>
          <w:rFonts w:hint="eastAsia" w:ascii="宋体" w:hAnsi="宋体" w:cs="宋体"/>
          <w:b/>
          <w:bCs/>
          <w:color w:val="auto"/>
          <w:highlight w:val="none"/>
        </w:rPr>
      </w:pPr>
    </w:p>
    <w:p w14:paraId="6CB0C016">
      <w:pPr>
        <w:shd w:val="clear"/>
        <w:ind w:firstLine="422" w:firstLineChars="200"/>
        <w:rPr>
          <w:rFonts w:hint="eastAsia" w:ascii="宋体" w:hAnsi="宋体" w:cs="宋体"/>
          <w:b/>
          <w:bCs/>
          <w:color w:val="auto"/>
          <w:highlight w:val="none"/>
        </w:rPr>
      </w:pPr>
    </w:p>
    <w:p w14:paraId="28BA18C6">
      <w:pPr>
        <w:shd w:val="clear"/>
        <w:ind w:firstLine="422" w:firstLineChars="200"/>
        <w:rPr>
          <w:rFonts w:hint="eastAsia" w:ascii="宋体" w:hAnsi="宋体" w:cs="宋体"/>
          <w:b/>
          <w:bCs/>
          <w:color w:val="auto"/>
          <w:highlight w:val="none"/>
        </w:rPr>
      </w:pPr>
      <w:r>
        <w:rPr>
          <w:rFonts w:hint="eastAsia" w:ascii="宋体" w:hAnsi="宋体" w:cs="宋体"/>
          <w:b/>
          <w:bCs/>
          <w:color w:val="auto"/>
          <w:highlight w:val="none"/>
        </w:rPr>
        <w:br w:type="page"/>
      </w:r>
    </w:p>
    <w:p w14:paraId="2BA67BD9">
      <w:pPr>
        <w:shd w:val="clear"/>
        <w:ind w:firstLine="422" w:firstLineChars="200"/>
        <w:rPr>
          <w:rFonts w:hint="eastAsia" w:ascii="宋体" w:hAnsi="宋体" w:cs="宋体"/>
          <w:b/>
          <w:bCs/>
          <w:color w:val="auto"/>
          <w:highlight w:val="none"/>
        </w:rPr>
      </w:pPr>
    </w:p>
    <w:p w14:paraId="74983719">
      <w:pPr>
        <w:shd w:val="clear"/>
        <w:ind w:firstLine="422" w:firstLineChars="200"/>
        <w:rPr>
          <w:rFonts w:hint="eastAsia" w:ascii="宋体" w:hAnsi="宋体" w:cs="宋体"/>
          <w:b/>
          <w:bCs/>
          <w:color w:val="auto"/>
          <w:highlight w:val="none"/>
        </w:rPr>
      </w:pPr>
    </w:p>
    <w:p w14:paraId="4D2157B7">
      <w:pPr>
        <w:shd w:val="clear"/>
        <w:ind w:firstLine="422" w:firstLineChars="200"/>
        <w:rPr>
          <w:rFonts w:hint="eastAsia" w:ascii="宋体" w:hAnsi="宋体" w:cs="宋体"/>
          <w:b/>
          <w:bCs/>
          <w:color w:val="auto"/>
          <w:highlight w:val="none"/>
        </w:rPr>
      </w:pPr>
    </w:p>
    <w:p w14:paraId="2953E652">
      <w:pPr>
        <w:shd w:val="clear"/>
        <w:ind w:firstLine="422" w:firstLineChars="200"/>
        <w:rPr>
          <w:rFonts w:hint="eastAsia" w:ascii="宋体" w:hAnsi="宋体" w:cs="宋体"/>
          <w:b/>
          <w:bCs/>
          <w:color w:val="auto"/>
          <w:highlight w:val="none"/>
        </w:rPr>
      </w:pPr>
    </w:p>
    <w:p w14:paraId="3AD03EF6">
      <w:pPr>
        <w:shd w:val="clear"/>
        <w:ind w:firstLine="422" w:firstLineChars="200"/>
        <w:rPr>
          <w:rFonts w:hint="eastAsia" w:ascii="宋体" w:hAnsi="宋体" w:cs="宋体"/>
          <w:b/>
          <w:bCs/>
          <w:color w:val="auto"/>
          <w:highlight w:val="none"/>
        </w:rPr>
      </w:pPr>
    </w:p>
    <w:p w14:paraId="0AC8421E">
      <w:pPr>
        <w:shd w:val="clear"/>
        <w:ind w:firstLine="422" w:firstLineChars="200"/>
        <w:rPr>
          <w:rFonts w:hint="eastAsia" w:ascii="宋体" w:hAnsi="宋体" w:cs="宋体"/>
          <w:b/>
          <w:bCs/>
          <w:color w:val="auto"/>
          <w:highlight w:val="none"/>
        </w:rPr>
      </w:pPr>
    </w:p>
    <w:p w14:paraId="1B973FD9">
      <w:pPr>
        <w:shd w:val="clear"/>
        <w:ind w:firstLine="422" w:firstLineChars="200"/>
        <w:rPr>
          <w:rFonts w:hint="eastAsia" w:ascii="宋体" w:hAnsi="宋体" w:cs="宋体"/>
          <w:b/>
          <w:bCs/>
          <w:color w:val="auto"/>
          <w:highlight w:val="none"/>
        </w:rPr>
      </w:pPr>
    </w:p>
    <w:p w14:paraId="256F23CF">
      <w:pPr>
        <w:shd w:val="clear"/>
        <w:ind w:firstLine="422" w:firstLineChars="200"/>
        <w:rPr>
          <w:rFonts w:hint="eastAsia" w:ascii="宋体" w:hAnsi="宋体" w:cs="宋体"/>
          <w:b/>
          <w:bCs/>
          <w:color w:val="auto"/>
          <w:highlight w:val="none"/>
        </w:rPr>
      </w:pPr>
    </w:p>
    <w:p w14:paraId="73C11607">
      <w:pPr>
        <w:shd w:val="clear"/>
        <w:ind w:firstLine="422" w:firstLineChars="200"/>
        <w:rPr>
          <w:rFonts w:hint="eastAsia" w:ascii="宋体" w:hAnsi="宋体" w:cs="宋体"/>
          <w:b/>
          <w:bCs/>
          <w:color w:val="auto"/>
          <w:highlight w:val="none"/>
        </w:rPr>
      </w:pPr>
    </w:p>
    <w:p w14:paraId="49780BDC">
      <w:pPr>
        <w:shd w:val="clear"/>
        <w:ind w:firstLine="422" w:firstLineChars="200"/>
        <w:rPr>
          <w:rFonts w:hint="eastAsia" w:ascii="宋体" w:hAnsi="宋体" w:cs="宋体"/>
          <w:b/>
          <w:bCs/>
          <w:color w:val="auto"/>
          <w:highlight w:val="none"/>
        </w:rPr>
      </w:pPr>
    </w:p>
    <w:p w14:paraId="5290AFC0">
      <w:pPr>
        <w:shd w:val="clear"/>
        <w:ind w:firstLine="422" w:firstLineChars="200"/>
        <w:rPr>
          <w:rFonts w:hint="eastAsia" w:ascii="宋体" w:hAnsi="宋体" w:cs="宋体"/>
          <w:b/>
          <w:bCs/>
          <w:color w:val="auto"/>
          <w:highlight w:val="none"/>
        </w:rPr>
      </w:pPr>
    </w:p>
    <w:p w14:paraId="6C9DE635">
      <w:pPr>
        <w:shd w:val="clear"/>
        <w:ind w:firstLine="422" w:firstLineChars="200"/>
        <w:rPr>
          <w:rFonts w:hint="eastAsia" w:ascii="宋体" w:hAnsi="宋体" w:cs="宋体"/>
          <w:b/>
          <w:bCs/>
          <w:color w:val="auto"/>
          <w:highlight w:val="none"/>
        </w:rPr>
      </w:pPr>
    </w:p>
    <w:p w14:paraId="7BFF45A2">
      <w:pPr>
        <w:shd w:val="clear"/>
        <w:ind w:firstLine="422" w:firstLineChars="200"/>
        <w:rPr>
          <w:rFonts w:hint="eastAsia" w:ascii="宋体" w:hAnsi="宋体" w:cs="宋体"/>
          <w:b/>
          <w:bCs/>
          <w:color w:val="auto"/>
          <w:highlight w:val="none"/>
        </w:rPr>
      </w:pPr>
    </w:p>
    <w:p w14:paraId="196BA94D">
      <w:pPr>
        <w:shd w:val="clear"/>
        <w:ind w:firstLine="422" w:firstLineChars="200"/>
        <w:rPr>
          <w:rFonts w:hint="eastAsia" w:ascii="宋体" w:hAnsi="宋体" w:cs="宋体"/>
          <w:b/>
          <w:bCs/>
          <w:color w:val="auto"/>
          <w:highlight w:val="none"/>
        </w:rPr>
      </w:pPr>
    </w:p>
    <w:p w14:paraId="1E8BCD29">
      <w:pPr>
        <w:shd w:val="clear"/>
        <w:ind w:firstLine="422" w:firstLineChars="200"/>
        <w:rPr>
          <w:rFonts w:hint="eastAsia" w:ascii="宋体" w:hAnsi="宋体" w:cs="宋体"/>
          <w:b/>
          <w:bCs/>
          <w:color w:val="auto"/>
          <w:highlight w:val="none"/>
        </w:rPr>
      </w:pPr>
    </w:p>
    <w:p w14:paraId="0AB41B52">
      <w:pPr>
        <w:shd w:val="clear"/>
        <w:ind w:firstLine="422" w:firstLineChars="200"/>
        <w:rPr>
          <w:rFonts w:hint="eastAsia" w:ascii="宋体" w:hAnsi="宋体" w:cs="宋体"/>
          <w:b/>
          <w:bCs/>
          <w:color w:val="auto"/>
          <w:highlight w:val="none"/>
        </w:rPr>
      </w:pPr>
    </w:p>
    <w:p w14:paraId="44FE5363">
      <w:pPr>
        <w:shd w:val="clear"/>
        <w:ind w:firstLine="422" w:firstLineChars="200"/>
        <w:rPr>
          <w:rFonts w:hint="eastAsia" w:ascii="宋体" w:hAnsi="宋体" w:cs="宋体"/>
          <w:b/>
          <w:bCs/>
          <w:color w:val="auto"/>
          <w:highlight w:val="none"/>
        </w:rPr>
      </w:pPr>
    </w:p>
    <w:p w14:paraId="42C79638">
      <w:pPr>
        <w:shd w:val="clear"/>
        <w:ind w:firstLine="422" w:firstLineChars="200"/>
        <w:rPr>
          <w:rFonts w:hint="eastAsia" w:ascii="宋体" w:hAnsi="宋体" w:cs="宋体"/>
          <w:b/>
          <w:bCs/>
          <w:color w:val="auto"/>
          <w:highlight w:val="none"/>
        </w:rPr>
      </w:pPr>
    </w:p>
    <w:p w14:paraId="6AFEF099">
      <w:pPr>
        <w:shd w:val="clear"/>
        <w:jc w:val="center"/>
        <w:rPr>
          <w:rFonts w:hint="eastAsia" w:ascii="宋体" w:hAnsi="宋体" w:cs="宋体"/>
          <w:b/>
          <w:bCs/>
          <w:color w:val="auto"/>
          <w:highlight w:val="none"/>
        </w:rPr>
      </w:pPr>
      <w:r>
        <w:rPr>
          <w:rFonts w:hint="eastAsia" w:ascii="宋体" w:hAnsi="宋体" w:cs="宋体"/>
          <w:b/>
          <w:bCs/>
          <w:color w:val="auto"/>
          <w:sz w:val="52"/>
          <w:szCs w:val="52"/>
          <w:highlight w:val="none"/>
        </w:rPr>
        <w:t>第二卷</w:t>
      </w:r>
    </w:p>
    <w:p w14:paraId="2ED52551">
      <w:pPr>
        <w:shd w:val="clear"/>
        <w:ind w:firstLine="422" w:firstLineChars="200"/>
        <w:jc w:val="center"/>
        <w:rPr>
          <w:rFonts w:hint="eastAsia" w:ascii="宋体" w:hAnsi="宋体" w:cs="宋体"/>
          <w:b/>
          <w:bCs/>
          <w:color w:val="auto"/>
          <w:highlight w:val="none"/>
        </w:rPr>
      </w:pPr>
      <w:r>
        <w:rPr>
          <w:rFonts w:hint="eastAsia" w:ascii="宋体" w:hAnsi="宋体" w:cs="宋体"/>
          <w:b/>
          <w:bCs/>
          <w:color w:val="auto"/>
          <w:highlight w:val="none"/>
        </w:rPr>
        <w:br w:type="page"/>
      </w:r>
      <w:bookmarkStart w:id="403" w:name="_Toc19059"/>
      <w:bookmarkEnd w:id="403"/>
      <w:bookmarkStart w:id="404" w:name="_Toc8835"/>
      <w:bookmarkEnd w:id="404"/>
      <w:bookmarkStart w:id="405" w:name="_Toc1562"/>
      <w:bookmarkEnd w:id="405"/>
      <w:bookmarkStart w:id="406" w:name="_Toc530640834"/>
      <w:bookmarkStart w:id="407" w:name="_Toc530640835"/>
    </w:p>
    <w:p w14:paraId="0C988F88">
      <w:pPr>
        <w:pStyle w:val="4"/>
        <w:shd w:val="clear"/>
        <w:ind w:firstLine="643" w:firstLineChars="200"/>
        <w:jc w:val="center"/>
        <w:rPr>
          <w:rFonts w:hint="eastAsia" w:ascii="宋体" w:hAnsi="宋体" w:eastAsia="宋体" w:cs="宋体"/>
          <w:b/>
          <w:bCs/>
          <w:color w:val="auto"/>
          <w:highlight w:val="none"/>
        </w:rPr>
      </w:pPr>
      <w:bookmarkStart w:id="408" w:name="_Toc2634"/>
      <w:r>
        <w:rPr>
          <w:rFonts w:hint="eastAsia" w:ascii="宋体" w:hAnsi="宋体" w:eastAsia="宋体" w:cs="宋体"/>
          <w:b/>
          <w:bCs/>
          <w:color w:val="auto"/>
          <w:highlight w:val="none"/>
        </w:rPr>
        <w:t>第五章  委托人要求</w:t>
      </w:r>
      <w:bookmarkEnd w:id="406"/>
      <w:bookmarkEnd w:id="407"/>
      <w:bookmarkEnd w:id="408"/>
    </w:p>
    <w:p w14:paraId="75E51100">
      <w:pPr>
        <w:keepNext w:val="0"/>
        <w:keepLines w:val="0"/>
        <w:pageBreakBefore w:val="0"/>
        <w:widowControl w:val="0"/>
        <w:shd w:val="clear"/>
        <w:kinsoku/>
        <w:wordWrap/>
        <w:overflowPunct/>
        <w:autoSpaceDE/>
        <w:autoSpaceDN/>
        <w:bidi w:val="0"/>
        <w:spacing w:line="360" w:lineRule="auto"/>
        <w:ind w:firstLine="482" w:firstLineChars="200"/>
        <w:textAlignment w:val="auto"/>
        <w:rPr>
          <w:rFonts w:hint="eastAsia" w:ascii="宋体" w:hAnsi="宋体" w:cs="宋体"/>
          <w:b/>
          <w:bCs/>
          <w:color w:val="auto"/>
          <w:sz w:val="24"/>
          <w:szCs w:val="24"/>
          <w:highlight w:val="none"/>
        </w:rPr>
      </w:pPr>
      <w:bookmarkStart w:id="409" w:name="_Toc32030"/>
      <w:bookmarkEnd w:id="409"/>
      <w:bookmarkStart w:id="410" w:name="_Toc514170140"/>
      <w:bookmarkEnd w:id="410"/>
      <w:bookmarkStart w:id="411" w:name="_Toc28731"/>
      <w:bookmarkEnd w:id="411"/>
      <w:bookmarkStart w:id="412" w:name="_Toc393961883"/>
      <w:bookmarkEnd w:id="412"/>
      <w:bookmarkStart w:id="413" w:name="_Toc32471"/>
      <w:bookmarkEnd w:id="413"/>
      <w:bookmarkStart w:id="414" w:name="_Toc2044"/>
      <w:bookmarkEnd w:id="414"/>
      <w:bookmarkStart w:id="415" w:name="_Toc18043"/>
      <w:bookmarkEnd w:id="415"/>
      <w:bookmarkStart w:id="416" w:name="_Toc32612"/>
      <w:bookmarkEnd w:id="416"/>
      <w:bookmarkStart w:id="417" w:name="_Toc28976"/>
      <w:bookmarkEnd w:id="417"/>
      <w:bookmarkStart w:id="418" w:name="_Toc12619"/>
      <w:bookmarkEnd w:id="418"/>
      <w:bookmarkStart w:id="419" w:name="_Toc9576"/>
      <w:bookmarkEnd w:id="419"/>
      <w:bookmarkStart w:id="420" w:name="_Toc528076699"/>
      <w:r>
        <w:rPr>
          <w:rFonts w:hint="eastAsia" w:ascii="宋体" w:hAnsi="宋体" w:cs="宋体"/>
          <w:b/>
          <w:bCs/>
          <w:color w:val="auto"/>
          <w:sz w:val="24"/>
          <w:szCs w:val="24"/>
          <w:highlight w:val="none"/>
        </w:rPr>
        <w:t>一、工程概况：</w:t>
      </w:r>
    </w:p>
    <w:p w14:paraId="57685FB2">
      <w:pPr>
        <w:keepNext w:val="0"/>
        <w:keepLines w:val="0"/>
        <w:pageBreakBefore w:val="0"/>
        <w:widowControl w:val="0"/>
        <w:shd w:val="clear"/>
        <w:kinsoku/>
        <w:wordWrap/>
        <w:overflowPunct/>
        <w:autoSpaceDE/>
        <w:autoSpaceDN/>
        <w:bidi w:val="0"/>
        <w:adjustRightInd w:val="0"/>
        <w:snapToGrid w:val="0"/>
        <w:spacing w:line="360" w:lineRule="auto"/>
        <w:ind w:firstLine="475" w:firstLineChars="19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立项批文编号：</w:t>
      </w:r>
      <w:r>
        <w:rPr>
          <w:rFonts w:hint="eastAsia" w:ascii="宋体" w:hAnsi="宋体" w:eastAsia="宋体" w:cs="宋体"/>
          <w:color w:val="auto"/>
          <w:sz w:val="24"/>
          <w:szCs w:val="24"/>
          <w:highlight w:val="none"/>
          <w:u w:val="single"/>
        </w:rPr>
        <w:t>广东省企业投资项目备案证</w:t>
      </w:r>
      <w:r>
        <w:rPr>
          <w:rFonts w:hint="eastAsia" w:ascii="宋体" w:hAnsi="宋体" w:eastAsia="宋体" w:cs="宋体"/>
          <w:color w:val="auto"/>
          <w:sz w:val="24"/>
          <w:szCs w:val="24"/>
          <w:highlight w:val="none"/>
          <w:u w:val="single"/>
          <w:lang w:eastAsia="zh-CN"/>
        </w:rPr>
        <w:t>2503-440112-04-01-485264</w:t>
      </w:r>
    </w:p>
    <w:p w14:paraId="6238F87F">
      <w:pPr>
        <w:keepNext w:val="0"/>
        <w:keepLines w:val="0"/>
        <w:pageBreakBefore w:val="0"/>
        <w:widowControl w:val="0"/>
        <w:shd w:val="clear"/>
        <w:kinsoku/>
        <w:wordWrap/>
        <w:overflowPunct/>
        <w:autoSpaceDE/>
        <w:autoSpaceDN/>
        <w:bidi w:val="0"/>
        <w:adjustRightInd w:val="0"/>
        <w:snapToGrid w:val="0"/>
        <w:spacing w:line="360" w:lineRule="auto"/>
        <w:ind w:firstLine="475" w:firstLineChars="19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知识城低空产业装备智造园监理服务</w:t>
      </w:r>
    </w:p>
    <w:p w14:paraId="640117ED">
      <w:pPr>
        <w:keepNext w:val="0"/>
        <w:keepLines w:val="0"/>
        <w:pageBreakBefore w:val="0"/>
        <w:widowControl w:val="0"/>
        <w:shd w:val="clear"/>
        <w:kinsoku/>
        <w:wordWrap/>
        <w:overflowPunct/>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工程规模：</w:t>
      </w:r>
      <w:r>
        <w:rPr>
          <w:rFonts w:hint="eastAsia" w:ascii="宋体" w:hAnsi="宋体" w:eastAsia="宋体" w:cs="宋体"/>
          <w:color w:val="auto"/>
          <w:sz w:val="24"/>
          <w:szCs w:val="24"/>
          <w:highlight w:val="none"/>
          <w:u w:val="single"/>
          <w:lang w:eastAsia="zh-CN"/>
        </w:rPr>
        <w:t>项目总用地为99019.00平方米，总建筑面积为287750.67平方米，其中地上计容建筑面积为283188.76平方米，地下建筑面积4561.91平方米，其中最大单项计容建筑面积87037.20平方米。项目总投资约为82819.41万元，其中建安工程费61508.93万元，工程建设其他费7259.94万元。主要建设内容包括大型厂房、中型厂房、研发办公楼、人才公寓楼、研发厂房、展览会议中心、货运平台、设备房及机库。具体工程量以实际情况为准。</w:t>
      </w:r>
    </w:p>
    <w:p w14:paraId="0BFC9E3B">
      <w:pPr>
        <w:keepNext w:val="0"/>
        <w:keepLines w:val="0"/>
        <w:pageBreakBefore w:val="0"/>
        <w:widowControl w:val="0"/>
        <w:shd w:val="clear"/>
        <w:kinsoku/>
        <w:wordWrap/>
        <w:overflowPunct/>
        <w:autoSpaceDE/>
        <w:autoSpaceDN/>
        <w:bidi w:val="0"/>
        <w:adjustRightInd w:val="0"/>
        <w:snapToGrid w:val="0"/>
        <w:spacing w:line="360" w:lineRule="auto"/>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工程地址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广东省广州市黄埔区佛塱一路以北、佛塱三路以南、佛塱一横路以东、佛塱二横路以西</w:t>
      </w:r>
    </w:p>
    <w:p w14:paraId="2793D863">
      <w:pPr>
        <w:keepNext w:val="0"/>
        <w:keepLines w:val="0"/>
        <w:pageBreakBefore w:val="0"/>
        <w:widowControl w:val="0"/>
        <w:shd w:val="clear"/>
        <w:kinsoku/>
        <w:wordWrap/>
        <w:overflowPunct/>
        <w:autoSpaceDE/>
        <w:autoSpaceDN/>
        <w:bidi w:val="0"/>
        <w:adjustRightInd w:val="0"/>
        <w:snapToGrid w:val="0"/>
        <w:spacing w:line="360" w:lineRule="auto"/>
        <w:ind w:firstLine="475" w:firstLineChars="19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投资金额：估算总投资63,289.67万元，其中建安工程费</w:t>
      </w:r>
      <w:r>
        <w:rPr>
          <w:rFonts w:hint="eastAsia" w:ascii="宋体" w:hAnsi="宋体" w:eastAsia="宋体" w:cs="宋体"/>
          <w:color w:val="auto"/>
          <w:sz w:val="24"/>
          <w:szCs w:val="24"/>
          <w:highlight w:val="none"/>
          <w:u w:val="single"/>
          <w:lang w:val="en-US" w:eastAsia="zh-CN"/>
        </w:rPr>
        <w:t>61508.93万元。</w:t>
      </w:r>
    </w:p>
    <w:p w14:paraId="70F452C7">
      <w:pPr>
        <w:keepNext w:val="0"/>
        <w:keepLines w:val="0"/>
        <w:pageBreakBefore w:val="0"/>
        <w:widowControl w:val="0"/>
        <w:shd w:val="clear"/>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lang w:eastAsia="zh-CN"/>
        </w:rPr>
        <w:t>企业自筹资金</w:t>
      </w:r>
    </w:p>
    <w:p w14:paraId="4A49991F">
      <w:pPr>
        <w:keepNext w:val="0"/>
        <w:keepLines w:val="0"/>
        <w:pageBreakBefore w:val="0"/>
        <w:widowControl w:val="0"/>
        <w:shd w:val="clear"/>
        <w:kinsoku/>
        <w:wordWrap/>
        <w:overflowPunct/>
        <w:autoSpaceDE/>
        <w:autoSpaceDN/>
        <w:bidi w:val="0"/>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二、监理招标范围</w:t>
      </w:r>
      <w:bookmarkEnd w:id="420"/>
      <w:r>
        <w:rPr>
          <w:rFonts w:hint="eastAsia" w:ascii="宋体" w:hAnsi="宋体" w:cs="宋体"/>
          <w:b/>
          <w:bCs/>
          <w:color w:val="auto"/>
          <w:sz w:val="24"/>
          <w:szCs w:val="24"/>
          <w:highlight w:val="none"/>
        </w:rPr>
        <w:t>及工作内容</w:t>
      </w:r>
    </w:p>
    <w:p w14:paraId="32FB357B">
      <w:pPr>
        <w:keepNext w:val="0"/>
        <w:keepLines w:val="0"/>
        <w:pageBreakBefore w:val="0"/>
        <w:widowControl w:val="0"/>
        <w:shd w:val="clear"/>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421" w:name="_Toc528076700"/>
      <w:r>
        <w:rPr>
          <w:rFonts w:hint="eastAsia" w:ascii="宋体" w:hAnsi="宋体" w:eastAsia="宋体" w:cs="宋体"/>
          <w:color w:val="auto"/>
          <w:sz w:val="24"/>
          <w:szCs w:val="24"/>
          <w:highlight w:val="none"/>
          <w:lang w:eastAsia="zh-CN"/>
        </w:rPr>
        <w:t>知识城低空产业装备智造园监理服务，包括但不限于以下工作内容：本工程前期阶段（含管线迁改、临时施工用水、临时施工用电）、勘察阶段、设计阶段、施工准备阶段、施工阶段、工程收尾阶段（包括竣工验收、整改、工程移交、工程结算、决算、竣工验收资料移交城建档案等）及工程质量保修阶段的质量控制、投资控制、进度控制、合同管理、档案管理、安全管理、环境监督管理、组织协调等监理工作，监理人除按法律法规及规范要求开展监理工作外，还须协助招标人制定工程管理办法、各参建方职责及有关事务性工作等。</w:t>
      </w:r>
    </w:p>
    <w:p w14:paraId="53FA72FA">
      <w:pPr>
        <w:keepNext w:val="0"/>
        <w:keepLines w:val="0"/>
        <w:pageBreakBefore w:val="0"/>
        <w:widowControl w:val="0"/>
        <w:shd w:val="clear"/>
        <w:kinsoku/>
        <w:wordWrap/>
        <w:overflowPunct/>
        <w:autoSpaceDE/>
        <w:autoSpaceDN/>
        <w:bidi w:val="0"/>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三、监理服务期</w:t>
      </w:r>
    </w:p>
    <w:p w14:paraId="6438008A">
      <w:pPr>
        <w:keepNext w:val="0"/>
        <w:keepLines w:val="0"/>
        <w:pageBreakBefore w:val="0"/>
        <w:widowControl w:val="0"/>
        <w:shd w:val="clear"/>
        <w:kinsoku/>
        <w:wordWrap/>
        <w:overflowPunct/>
        <w:autoSpaceDE/>
        <w:autoSpaceDN/>
        <w:bidi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highlight w:val="none"/>
        </w:rPr>
        <w:t>监理服务期自中标通知书发出之日起或接到委托人进场通知之日起算，至本合同工程结算审定完毕之日且工程保修期届满之日止，包括本项目前期阶段、勘察阶段、设计阶段、施工准备阶段、施工阶段、工程收尾阶段（包括但不限于竣工验收、整改、工程移交、工程结算等）及工程质量保修阶段。</w:t>
      </w:r>
    </w:p>
    <w:bookmarkEnd w:id="421"/>
    <w:p w14:paraId="101D41D0">
      <w:pPr>
        <w:keepNext w:val="0"/>
        <w:keepLines w:val="0"/>
        <w:pageBreakBefore w:val="0"/>
        <w:widowControl w:val="0"/>
        <w:shd w:val="clear"/>
        <w:kinsoku/>
        <w:wordWrap/>
        <w:overflowPunct/>
        <w:autoSpaceDE/>
        <w:autoSpaceDN/>
        <w:bidi w:val="0"/>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四、质量目标</w:t>
      </w:r>
    </w:p>
    <w:p w14:paraId="068389C6">
      <w:pPr>
        <w:keepNext w:val="0"/>
        <w:keepLines w:val="0"/>
        <w:pageBreakBefore w:val="0"/>
        <w:widowControl w:val="0"/>
        <w:shd w:val="clear"/>
        <w:kinsoku/>
        <w:wordWrap/>
        <w:overflowPunct/>
        <w:autoSpaceDE/>
        <w:autoSpaceDN/>
        <w:bidi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符合国家、省、市现行有效的建设工程质量验收标准和施工图纸要求，工程质量达到一次竣工验收合格。</w:t>
      </w:r>
    </w:p>
    <w:p w14:paraId="5824773E">
      <w:pPr>
        <w:keepNext w:val="0"/>
        <w:keepLines w:val="0"/>
        <w:pageBreakBefore w:val="0"/>
        <w:widowControl w:val="0"/>
        <w:shd w:val="clear"/>
        <w:kinsoku/>
        <w:wordWrap/>
        <w:overflowPunct/>
        <w:autoSpaceDE/>
        <w:autoSpaceDN/>
        <w:bidi w:val="0"/>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五、监理机构人员配备要求</w:t>
      </w:r>
    </w:p>
    <w:p w14:paraId="4C653668">
      <w:pPr>
        <w:keepNext w:val="0"/>
        <w:keepLines w:val="0"/>
        <w:pageBreakBefore w:val="0"/>
        <w:widowControl w:val="0"/>
        <w:shd w:val="clear"/>
        <w:kinsoku/>
        <w:wordWrap/>
        <w:overflowPunct/>
        <w:topLinePunct/>
        <w:autoSpaceDE/>
        <w:autoSpaceDN/>
        <w:bidi w:val="0"/>
        <w:adjustRightInd w:val="0"/>
        <w:snapToGrid w:val="0"/>
        <w:spacing w:line="360" w:lineRule="auto"/>
        <w:ind w:firstLine="498" w:firstLineChars="200"/>
        <w:jc w:val="center"/>
        <w:textAlignment w:val="auto"/>
        <w:rPr>
          <w:rFonts w:hint="eastAsia" w:ascii="宋体" w:hAnsi="宋体" w:cs="宋体"/>
          <w:b/>
          <w:snapToGrid w:val="0"/>
          <w:color w:val="auto"/>
          <w:spacing w:val="4"/>
          <w:kern w:val="0"/>
          <w:sz w:val="24"/>
          <w:szCs w:val="21"/>
          <w:highlight w:val="none"/>
        </w:rPr>
      </w:pPr>
      <w:r>
        <w:rPr>
          <w:rFonts w:hint="eastAsia" w:ascii="宋体" w:hAnsi="宋体" w:cs="宋体"/>
          <w:b/>
          <w:snapToGrid w:val="0"/>
          <w:color w:val="auto"/>
          <w:spacing w:val="4"/>
          <w:kern w:val="0"/>
          <w:sz w:val="24"/>
          <w:szCs w:val="21"/>
          <w:highlight w:val="none"/>
        </w:rPr>
        <w:t>监理机构人员配备要求表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767"/>
        <w:gridCol w:w="706"/>
        <w:gridCol w:w="3384"/>
        <w:gridCol w:w="2682"/>
      </w:tblGrid>
      <w:tr w14:paraId="46AC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94" w:type="dxa"/>
            <w:noWrap w:val="0"/>
            <w:vAlign w:val="center"/>
          </w:tcPr>
          <w:p w14:paraId="64C99289">
            <w:pPr>
              <w:shd w:val="clear"/>
              <w:spacing w:line="276" w:lineRule="auto"/>
              <w:jc w:val="center"/>
              <w:rPr>
                <w:rFonts w:hint="eastAsia" w:ascii="宋体" w:hAnsi="宋体"/>
                <w:b/>
                <w:bCs/>
                <w:color w:val="auto"/>
                <w:highlight w:val="none"/>
              </w:rPr>
            </w:pPr>
            <w:r>
              <w:rPr>
                <w:rFonts w:hint="eastAsia" w:ascii="宋体" w:hAnsi="宋体"/>
                <w:b/>
                <w:bCs/>
                <w:color w:val="auto"/>
                <w:highlight w:val="none"/>
              </w:rPr>
              <w:t>岗位</w:t>
            </w:r>
          </w:p>
        </w:tc>
        <w:tc>
          <w:tcPr>
            <w:tcW w:w="767" w:type="dxa"/>
            <w:noWrap w:val="0"/>
            <w:vAlign w:val="center"/>
          </w:tcPr>
          <w:p w14:paraId="237FFF7D">
            <w:pPr>
              <w:shd w:val="clear"/>
              <w:spacing w:line="276" w:lineRule="auto"/>
              <w:jc w:val="center"/>
              <w:rPr>
                <w:rFonts w:hint="eastAsia" w:ascii="宋体" w:hAnsi="宋体"/>
                <w:b/>
                <w:bCs/>
                <w:color w:val="auto"/>
                <w:highlight w:val="none"/>
              </w:rPr>
            </w:pPr>
            <w:r>
              <w:rPr>
                <w:rFonts w:hint="eastAsia" w:ascii="宋体" w:hAnsi="宋体"/>
                <w:b/>
                <w:bCs/>
                <w:color w:val="auto"/>
                <w:highlight w:val="none"/>
              </w:rPr>
              <w:t>人员要求</w:t>
            </w:r>
          </w:p>
        </w:tc>
        <w:tc>
          <w:tcPr>
            <w:tcW w:w="6772" w:type="dxa"/>
            <w:gridSpan w:val="3"/>
            <w:noWrap w:val="0"/>
            <w:vAlign w:val="center"/>
          </w:tcPr>
          <w:p w14:paraId="43AD8B2B">
            <w:pPr>
              <w:shd w:val="clear"/>
              <w:spacing w:line="276" w:lineRule="auto"/>
              <w:jc w:val="center"/>
              <w:rPr>
                <w:rFonts w:hint="eastAsia" w:ascii="宋体" w:hAnsi="宋体"/>
                <w:b/>
                <w:bCs/>
                <w:color w:val="auto"/>
                <w:highlight w:val="none"/>
              </w:rPr>
            </w:pPr>
            <w:r>
              <w:rPr>
                <w:rFonts w:hint="eastAsia" w:ascii="宋体" w:hAnsi="宋体"/>
                <w:b/>
                <w:bCs/>
                <w:color w:val="auto"/>
                <w:highlight w:val="none"/>
              </w:rPr>
              <w:t>持证上岗要求</w:t>
            </w:r>
          </w:p>
        </w:tc>
      </w:tr>
      <w:tr w14:paraId="67FA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noWrap w:val="0"/>
            <w:vAlign w:val="center"/>
          </w:tcPr>
          <w:p w14:paraId="7A93DAA1">
            <w:pPr>
              <w:shd w:val="clear"/>
              <w:spacing w:line="276" w:lineRule="auto"/>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767" w:type="dxa"/>
            <w:noWrap w:val="0"/>
            <w:vAlign w:val="center"/>
          </w:tcPr>
          <w:p w14:paraId="7FCDD467">
            <w:pPr>
              <w:shd w:val="clear"/>
              <w:spacing w:line="276" w:lineRule="auto"/>
              <w:jc w:val="center"/>
              <w:rPr>
                <w:rFonts w:hint="eastAsia" w:ascii="宋体" w:hAnsi="宋体" w:cs="宋体"/>
                <w:color w:val="auto"/>
                <w:highlight w:val="none"/>
              </w:rPr>
            </w:pPr>
            <w:r>
              <w:rPr>
                <w:rFonts w:hint="eastAsia" w:ascii="宋体" w:hAnsi="宋体" w:cs="宋体"/>
                <w:color w:val="auto"/>
                <w:highlight w:val="none"/>
                <w:u w:val="single"/>
              </w:rPr>
              <w:t xml:space="preserve"> 1 </w:t>
            </w:r>
            <w:r>
              <w:rPr>
                <w:rFonts w:hint="eastAsia" w:ascii="宋体" w:hAnsi="宋体" w:cs="宋体"/>
                <w:color w:val="auto"/>
                <w:highlight w:val="none"/>
              </w:rPr>
              <w:t>名</w:t>
            </w:r>
          </w:p>
        </w:tc>
        <w:tc>
          <w:tcPr>
            <w:tcW w:w="6772" w:type="dxa"/>
            <w:gridSpan w:val="3"/>
            <w:noWrap w:val="0"/>
            <w:vAlign w:val="center"/>
          </w:tcPr>
          <w:p w14:paraId="6A74919B">
            <w:pPr>
              <w:shd w:val="clear"/>
              <w:jc w:val="left"/>
              <w:rPr>
                <w:rFonts w:hint="eastAsia" w:ascii="宋体" w:hAnsi="宋体" w:cs="宋体"/>
                <w:color w:val="auto"/>
                <w:highlight w:val="none"/>
              </w:rPr>
            </w:pPr>
            <w:r>
              <w:rPr>
                <w:rFonts w:hint="eastAsia" w:ascii="宋体" w:hAnsi="宋体" w:cs="宋体"/>
                <w:color w:val="auto"/>
                <w:szCs w:val="21"/>
                <w:highlight w:val="none"/>
              </w:rPr>
              <w:t>要求为注册监理工程师、注册专业为</w:t>
            </w:r>
            <w:r>
              <w:rPr>
                <w:rFonts w:hint="eastAsia" w:ascii="宋体" w:hAnsi="宋体" w:cs="宋体"/>
                <w:color w:val="auto"/>
                <w:szCs w:val="21"/>
                <w:highlight w:val="none"/>
                <w:u w:val="single"/>
              </w:rPr>
              <w:t xml:space="preserve"> 房屋建筑工程 </w:t>
            </w:r>
            <w:r>
              <w:rPr>
                <w:rFonts w:hint="eastAsia" w:ascii="宋体" w:hAnsi="宋体" w:cs="宋体"/>
                <w:color w:val="auto"/>
                <w:szCs w:val="21"/>
                <w:highlight w:val="none"/>
              </w:rPr>
              <w:t>，并具有本科或以上的学历。</w:t>
            </w:r>
          </w:p>
        </w:tc>
      </w:tr>
      <w:tr w14:paraId="4616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94" w:type="dxa"/>
            <w:noWrap w:val="0"/>
            <w:vAlign w:val="center"/>
          </w:tcPr>
          <w:p w14:paraId="1003CE15">
            <w:pPr>
              <w:shd w:val="clear"/>
              <w:jc w:val="center"/>
              <w:rPr>
                <w:rFonts w:hint="eastAsia" w:ascii="宋体" w:hAnsi="宋体" w:cs="宋体"/>
                <w:color w:val="auto"/>
                <w:highlight w:val="none"/>
              </w:rPr>
            </w:pPr>
            <w:r>
              <w:rPr>
                <w:rFonts w:hint="eastAsia" w:ascii="宋体" w:hAnsi="宋体" w:cs="宋体"/>
                <w:color w:val="auto"/>
                <w:highlight w:val="none"/>
              </w:rPr>
              <w:t>总监理工程师代表</w:t>
            </w:r>
          </w:p>
        </w:tc>
        <w:tc>
          <w:tcPr>
            <w:tcW w:w="767" w:type="dxa"/>
            <w:noWrap w:val="0"/>
            <w:vAlign w:val="center"/>
          </w:tcPr>
          <w:p w14:paraId="30F7B3F2">
            <w:pPr>
              <w:shd w:val="clear"/>
              <w:jc w:val="center"/>
              <w:rPr>
                <w:rFonts w:hint="eastAsia" w:ascii="宋体" w:hAnsi="宋体" w:cs="宋体"/>
                <w:color w:val="auto"/>
                <w:highlight w:val="none"/>
              </w:rPr>
            </w:pPr>
            <w:r>
              <w:rPr>
                <w:rFonts w:hint="eastAsia" w:ascii="宋体" w:hAnsi="宋体" w:cs="宋体"/>
                <w:color w:val="auto"/>
                <w:highlight w:val="none"/>
                <w:u w:val="single"/>
              </w:rPr>
              <w:t xml:space="preserve"> 1 </w:t>
            </w:r>
            <w:r>
              <w:rPr>
                <w:rFonts w:hint="eastAsia" w:ascii="宋体" w:hAnsi="宋体" w:cs="宋体"/>
                <w:color w:val="auto"/>
                <w:highlight w:val="none"/>
              </w:rPr>
              <w:t>名</w:t>
            </w:r>
          </w:p>
        </w:tc>
        <w:tc>
          <w:tcPr>
            <w:tcW w:w="6772" w:type="dxa"/>
            <w:gridSpan w:val="3"/>
            <w:noWrap w:val="0"/>
            <w:vAlign w:val="center"/>
          </w:tcPr>
          <w:p w14:paraId="3B9E9EBE">
            <w:pPr>
              <w:shd w:val="clear"/>
              <w:jc w:val="left"/>
              <w:rPr>
                <w:rFonts w:hint="eastAsia" w:ascii="宋体" w:hAnsi="宋体" w:cs="宋体"/>
                <w:color w:val="auto"/>
                <w:highlight w:val="none"/>
              </w:rPr>
            </w:pPr>
            <w:r>
              <w:rPr>
                <w:rFonts w:hint="eastAsia" w:ascii="宋体" w:hAnsi="宋体" w:cs="宋体"/>
                <w:color w:val="auto"/>
                <w:szCs w:val="21"/>
                <w:highlight w:val="none"/>
              </w:rPr>
              <w:t>要求为注册监理工程师、注册专业为</w:t>
            </w:r>
            <w:r>
              <w:rPr>
                <w:rFonts w:hint="eastAsia" w:ascii="宋体" w:hAnsi="宋体" w:cs="宋体"/>
                <w:color w:val="auto"/>
                <w:szCs w:val="21"/>
                <w:highlight w:val="none"/>
                <w:u w:val="single"/>
              </w:rPr>
              <w:t xml:space="preserve"> 房屋建筑工程 </w:t>
            </w:r>
            <w:r>
              <w:rPr>
                <w:rFonts w:hint="eastAsia" w:ascii="宋体" w:hAnsi="宋体" w:cs="宋体"/>
                <w:color w:val="auto"/>
                <w:szCs w:val="21"/>
                <w:highlight w:val="none"/>
              </w:rPr>
              <w:t>。</w:t>
            </w:r>
          </w:p>
        </w:tc>
      </w:tr>
      <w:tr w14:paraId="084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94" w:type="dxa"/>
            <w:noWrap w:val="0"/>
            <w:vAlign w:val="center"/>
          </w:tcPr>
          <w:p w14:paraId="2AE0F790">
            <w:pPr>
              <w:shd w:val="clear"/>
              <w:jc w:val="center"/>
              <w:rPr>
                <w:rFonts w:hint="eastAsia" w:ascii="宋体" w:hAnsi="宋体" w:eastAsia="宋体" w:cs="宋体"/>
                <w:color w:val="auto"/>
                <w:highlight w:val="none"/>
                <w:lang w:eastAsia="zh-CN"/>
              </w:rPr>
            </w:pPr>
            <w:r>
              <w:rPr>
                <w:rFonts w:hint="eastAsia" w:ascii="宋体" w:hAnsi="宋体" w:cs="宋体"/>
                <w:color w:val="auto"/>
                <w:szCs w:val="21"/>
                <w:highlight w:val="none"/>
              </w:rPr>
              <w:t>造价工程师</w:t>
            </w:r>
          </w:p>
        </w:tc>
        <w:tc>
          <w:tcPr>
            <w:tcW w:w="767" w:type="dxa"/>
            <w:noWrap w:val="0"/>
            <w:vAlign w:val="center"/>
          </w:tcPr>
          <w:p w14:paraId="72D719A5">
            <w:pPr>
              <w:shd w:val="clear"/>
              <w:jc w:val="center"/>
              <w:rPr>
                <w:rFonts w:hint="eastAsia" w:ascii="宋体" w:hAnsi="宋体" w:cs="宋体"/>
                <w:color w:val="auto"/>
                <w:highlight w:val="none"/>
                <w:u w:val="single"/>
              </w:rPr>
            </w:pPr>
            <w:r>
              <w:rPr>
                <w:rFonts w:hint="eastAsia" w:ascii="宋体" w:hAnsi="宋体" w:cs="宋体"/>
                <w:color w:val="auto"/>
                <w:szCs w:val="21"/>
                <w:highlight w:val="none"/>
                <w:u w:val="single"/>
              </w:rPr>
              <w:t>1名</w:t>
            </w:r>
          </w:p>
        </w:tc>
        <w:tc>
          <w:tcPr>
            <w:tcW w:w="6772" w:type="dxa"/>
            <w:gridSpan w:val="3"/>
            <w:noWrap w:val="0"/>
            <w:vAlign w:val="center"/>
          </w:tcPr>
          <w:p w14:paraId="63DDFA42">
            <w:pPr>
              <w:shd w:val="clear"/>
              <w:spacing w:line="24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具备在有效期内的注册造价工程师或注册一级造价工程师资格</w:t>
            </w:r>
            <w:r>
              <w:rPr>
                <w:rFonts w:hint="eastAsia" w:ascii="宋体" w:hAnsi="宋体" w:cs="宋体"/>
                <w:color w:val="auto"/>
                <w:szCs w:val="21"/>
                <w:highlight w:val="none"/>
                <w:lang w:eastAsia="zh-CN"/>
              </w:rPr>
              <w:t>。</w:t>
            </w:r>
          </w:p>
        </w:tc>
      </w:tr>
      <w:tr w14:paraId="38F9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2294" w:type="dxa"/>
            <w:noWrap w:val="0"/>
            <w:vAlign w:val="center"/>
          </w:tcPr>
          <w:p w14:paraId="25133C0E">
            <w:pPr>
              <w:shd w:val="clear"/>
              <w:jc w:val="center"/>
              <w:rPr>
                <w:rFonts w:hint="eastAsia" w:ascii="宋体" w:hAnsi="宋体" w:cs="宋体"/>
                <w:color w:val="auto"/>
                <w:highlight w:val="none"/>
              </w:rPr>
            </w:pPr>
            <w:r>
              <w:rPr>
                <w:rFonts w:hint="eastAsia" w:ascii="宋体" w:hAnsi="宋体" w:cs="宋体"/>
                <w:color w:val="auto"/>
                <w:highlight w:val="none"/>
              </w:rPr>
              <w:t>专业工程师</w:t>
            </w:r>
          </w:p>
          <w:p w14:paraId="1B010A04">
            <w:pPr>
              <w:shd w:val="clear"/>
              <w:jc w:val="center"/>
              <w:rPr>
                <w:rFonts w:hint="eastAsia" w:ascii="宋体" w:hAnsi="宋体" w:cs="宋体"/>
                <w:color w:val="auto"/>
                <w:highlight w:val="none"/>
              </w:rPr>
            </w:pPr>
            <w:r>
              <w:rPr>
                <w:rFonts w:hint="eastAsia" w:ascii="宋体" w:hAnsi="宋体" w:cs="宋体"/>
                <w:color w:val="auto"/>
                <w:highlight w:val="none"/>
              </w:rPr>
              <w:t>（工程师职称或以上）</w:t>
            </w:r>
          </w:p>
        </w:tc>
        <w:tc>
          <w:tcPr>
            <w:tcW w:w="767" w:type="dxa"/>
            <w:noWrap w:val="0"/>
            <w:vAlign w:val="center"/>
          </w:tcPr>
          <w:p w14:paraId="0DA4F69C">
            <w:pPr>
              <w:shd w:val="clear"/>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 xml:space="preserve"> </w:t>
            </w:r>
            <w:r>
              <w:rPr>
                <w:rFonts w:hint="eastAsia" w:ascii="宋体" w:hAnsi="宋体" w:cs="宋体"/>
                <w:color w:val="auto"/>
                <w:highlight w:val="none"/>
              </w:rPr>
              <w:t>名</w:t>
            </w:r>
          </w:p>
        </w:tc>
        <w:tc>
          <w:tcPr>
            <w:tcW w:w="706" w:type="dxa"/>
            <w:noWrap w:val="0"/>
            <w:vAlign w:val="center"/>
          </w:tcPr>
          <w:p w14:paraId="427BCD8A">
            <w:pPr>
              <w:shd w:val="clear"/>
              <w:jc w:val="center"/>
              <w:rPr>
                <w:rFonts w:hint="eastAsia" w:ascii="宋体" w:hAnsi="宋体" w:cs="宋体"/>
                <w:color w:val="auto"/>
                <w:highlight w:val="none"/>
              </w:rPr>
            </w:pPr>
            <w:r>
              <w:rPr>
                <w:rFonts w:hint="eastAsia" w:ascii="宋体" w:hAnsi="宋体" w:cs="宋体"/>
                <w:color w:val="auto"/>
                <w:highlight w:val="none"/>
              </w:rPr>
              <w:t>监理工程师</w:t>
            </w:r>
          </w:p>
        </w:tc>
        <w:tc>
          <w:tcPr>
            <w:tcW w:w="3384" w:type="dxa"/>
            <w:noWrap w:val="0"/>
            <w:vAlign w:val="center"/>
          </w:tcPr>
          <w:p w14:paraId="6EB0F2AE">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val="en-US" w:eastAsia="zh-CN"/>
              </w:rPr>
              <w:t>房屋建筑</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p>
          <w:p w14:paraId="222A22BB">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机电</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u w:val="none"/>
              </w:rPr>
              <w:t>专业</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名</w:t>
            </w:r>
          </w:p>
          <w:p w14:paraId="080206DD">
            <w:pPr>
              <w:shd w:val="clea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u w:val="none"/>
                <w:lang w:val="en-US" w:eastAsia="zh-CN"/>
              </w:rPr>
              <w:t>给排水</w:t>
            </w:r>
            <w:r>
              <w:rPr>
                <w:rFonts w:hint="eastAsia" w:ascii="宋体" w:hAnsi="宋体" w:eastAsia="宋体" w:cs="宋体"/>
                <w:color w:val="auto"/>
                <w:sz w:val="21"/>
                <w:szCs w:val="21"/>
                <w:highlight w:val="none"/>
                <w:u w:val="none"/>
              </w:rPr>
              <w:t>专业监理工程师</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名</w:t>
            </w:r>
          </w:p>
          <w:p w14:paraId="02CC5AE2">
            <w:pPr>
              <w:pStyle w:val="2"/>
              <w:shd w:val="clear"/>
              <w:ind w:firstLine="0" w:firstLineChars="0"/>
              <w:rPr>
                <w:rFonts w:hint="eastAsia" w:ascii="宋体" w:hAnsi="宋体" w:cs="宋体"/>
                <w:color w:val="auto"/>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val="en-US" w:eastAsia="zh-CN"/>
              </w:rPr>
              <w:t>电气专业</w:t>
            </w:r>
            <w:r>
              <w:rPr>
                <w:rFonts w:hint="eastAsia" w:ascii="宋体" w:hAnsi="宋体" w:eastAsia="宋体" w:cs="宋体"/>
                <w:color w:val="auto"/>
                <w:sz w:val="21"/>
                <w:szCs w:val="21"/>
                <w:highlight w:val="none"/>
              </w:rPr>
              <w:t>监理</w:t>
            </w:r>
            <w:r>
              <w:rPr>
                <w:rFonts w:hint="eastAsia" w:ascii="宋体" w:hAnsi="宋体" w:eastAsia="宋体" w:cs="宋体"/>
                <w:color w:val="auto"/>
                <w:sz w:val="21"/>
                <w:szCs w:val="21"/>
                <w:highlight w:val="none"/>
                <w:lang w:eastAsia="zh-CN"/>
              </w:rPr>
              <w:t>工程师</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名</w:t>
            </w:r>
          </w:p>
        </w:tc>
        <w:tc>
          <w:tcPr>
            <w:tcW w:w="2682" w:type="dxa"/>
            <w:noWrap w:val="0"/>
            <w:vAlign w:val="center"/>
          </w:tcPr>
          <w:p w14:paraId="650D488C">
            <w:pPr>
              <w:shd w:val="clear"/>
              <w:rPr>
                <w:rFonts w:hint="eastAsia"/>
                <w:color w:val="auto"/>
                <w:highlight w:val="none"/>
                <w:lang w:eastAsia="zh-CN"/>
              </w:rPr>
            </w:pPr>
            <w:r>
              <w:rPr>
                <w:rFonts w:hint="eastAsia"/>
                <w:color w:val="auto"/>
                <w:highlight w:val="none"/>
              </w:rPr>
              <w:t>具备合格有效的注册监理工程师证书或专业监理工程师证书或省级监理工程师岗位培训证书或省级监理工程师业务培训证书</w:t>
            </w:r>
            <w:r>
              <w:rPr>
                <w:rFonts w:hint="eastAsia"/>
                <w:color w:val="auto"/>
                <w:highlight w:val="none"/>
                <w:lang w:eastAsia="zh-CN"/>
              </w:rPr>
              <w:t>。</w:t>
            </w:r>
          </w:p>
          <w:p w14:paraId="477C69F3">
            <w:pPr>
              <w:pStyle w:val="14"/>
              <w:shd w:val="clear"/>
              <w:rPr>
                <w:rFonts w:hint="default"/>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专业以注册监理工程师证书或注册职业证书或专业监理工程师证书或省级监理工程师岗位培训证书或省级监理工程师业务培训证书或职称证或毕业证的专业（含相近专业）为准。</w:t>
            </w:r>
          </w:p>
        </w:tc>
      </w:tr>
      <w:tr w14:paraId="40F8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4" w:type="dxa"/>
            <w:noWrap w:val="0"/>
            <w:vAlign w:val="center"/>
          </w:tcPr>
          <w:p w14:paraId="01448906">
            <w:pPr>
              <w:shd w:val="clear"/>
              <w:jc w:val="center"/>
              <w:rPr>
                <w:rFonts w:hint="eastAsia" w:ascii="宋体" w:hAnsi="宋体" w:cs="宋体"/>
                <w:color w:val="auto"/>
                <w:highlight w:val="none"/>
              </w:rPr>
            </w:pPr>
            <w:r>
              <w:rPr>
                <w:rFonts w:hint="eastAsia" w:ascii="宋体" w:hAnsi="宋体" w:cs="宋体"/>
                <w:color w:val="auto"/>
                <w:highlight w:val="none"/>
              </w:rPr>
              <w:t>监理员</w:t>
            </w:r>
          </w:p>
        </w:tc>
        <w:tc>
          <w:tcPr>
            <w:tcW w:w="767" w:type="dxa"/>
            <w:noWrap w:val="0"/>
            <w:vAlign w:val="center"/>
          </w:tcPr>
          <w:p w14:paraId="1BB329E8">
            <w:pPr>
              <w:shd w:val="clear"/>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 xml:space="preserve"> </w:t>
            </w:r>
            <w:r>
              <w:rPr>
                <w:rFonts w:hint="eastAsia" w:ascii="宋体" w:hAnsi="宋体" w:cs="宋体"/>
                <w:color w:val="auto"/>
                <w:highlight w:val="none"/>
              </w:rPr>
              <w:t>名</w:t>
            </w:r>
          </w:p>
        </w:tc>
        <w:tc>
          <w:tcPr>
            <w:tcW w:w="6772" w:type="dxa"/>
            <w:gridSpan w:val="3"/>
            <w:noWrap w:val="0"/>
            <w:vAlign w:val="center"/>
          </w:tcPr>
          <w:p w14:paraId="532B7B3F">
            <w:pPr>
              <w:shd w:val="clear"/>
              <w:jc w:val="center"/>
              <w:rPr>
                <w:rFonts w:hint="eastAsia" w:ascii="宋体" w:hAnsi="宋体" w:cs="宋体"/>
                <w:color w:val="auto"/>
                <w:highlight w:val="none"/>
              </w:rPr>
            </w:pPr>
            <w:r>
              <w:rPr>
                <w:rFonts w:hint="eastAsia" w:ascii="宋体" w:hAnsi="宋体" w:cs="宋体"/>
                <w:color w:val="auto"/>
                <w:highlight w:val="none"/>
              </w:rPr>
              <w:t>具备注册监理工程师注册执业证书或专业监理工程师证或监理员证或监理员岗位培训证书或监理员业务培训证书。</w:t>
            </w:r>
          </w:p>
        </w:tc>
      </w:tr>
      <w:tr w14:paraId="4618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4" w:type="dxa"/>
            <w:noWrap w:val="0"/>
            <w:vAlign w:val="center"/>
          </w:tcPr>
          <w:p w14:paraId="11CD6FBB">
            <w:pPr>
              <w:shd w:val="clear"/>
              <w:jc w:val="center"/>
              <w:rPr>
                <w:rFonts w:hint="eastAsia" w:ascii="宋体" w:hAnsi="宋体" w:eastAsia="宋体" w:cs="宋体"/>
                <w:color w:val="auto"/>
                <w:highlight w:val="none"/>
                <w:lang w:eastAsia="zh-CN"/>
              </w:rPr>
            </w:pPr>
            <w:r>
              <w:rPr>
                <w:rFonts w:hint="eastAsia" w:ascii="宋体" w:hAnsi="宋体" w:cs="宋体"/>
                <w:color w:val="auto"/>
                <w:highlight w:val="none"/>
              </w:rPr>
              <w:t>安全</w:t>
            </w:r>
            <w:r>
              <w:rPr>
                <w:rFonts w:hint="eastAsia" w:ascii="宋体" w:hAnsi="宋体" w:cs="宋体"/>
                <w:color w:val="auto"/>
                <w:highlight w:val="none"/>
                <w:lang w:val="en-US" w:eastAsia="zh-CN"/>
              </w:rPr>
              <w:t>工程师</w:t>
            </w:r>
          </w:p>
        </w:tc>
        <w:tc>
          <w:tcPr>
            <w:tcW w:w="767" w:type="dxa"/>
            <w:noWrap w:val="0"/>
            <w:vAlign w:val="center"/>
          </w:tcPr>
          <w:p w14:paraId="6E06D849">
            <w:pPr>
              <w:shd w:val="clear"/>
              <w:jc w:val="center"/>
              <w:rPr>
                <w:rFonts w:hint="eastAsia" w:ascii="宋体" w:hAnsi="宋体" w:cs="宋体"/>
                <w:color w:val="auto"/>
                <w:highlight w:val="none"/>
              </w:rPr>
            </w:pPr>
            <w:r>
              <w:rPr>
                <w:rFonts w:hint="eastAsia" w:ascii="宋体" w:hAnsi="宋体" w:cs="宋体"/>
                <w:color w:val="auto"/>
                <w:highlight w:val="none"/>
                <w:u w:val="single"/>
              </w:rPr>
              <w:t xml:space="preserve"> 1 </w:t>
            </w:r>
            <w:r>
              <w:rPr>
                <w:rFonts w:hint="eastAsia" w:ascii="宋体" w:hAnsi="宋体" w:cs="宋体"/>
                <w:color w:val="auto"/>
                <w:highlight w:val="none"/>
              </w:rPr>
              <w:t>名</w:t>
            </w:r>
          </w:p>
        </w:tc>
        <w:tc>
          <w:tcPr>
            <w:tcW w:w="6772" w:type="dxa"/>
            <w:gridSpan w:val="3"/>
            <w:noWrap w:val="0"/>
            <w:vAlign w:val="center"/>
          </w:tcPr>
          <w:p w14:paraId="78B0EFA5">
            <w:pPr>
              <w:shd w:val="clear"/>
              <w:jc w:val="center"/>
              <w:rPr>
                <w:rFonts w:hint="eastAsia" w:ascii="宋体" w:hAnsi="宋体" w:eastAsia="宋体" w:cs="宋体"/>
                <w:color w:val="auto"/>
                <w:highlight w:val="none"/>
                <w:lang w:eastAsia="zh-CN"/>
              </w:rPr>
            </w:pPr>
            <w:r>
              <w:rPr>
                <w:rFonts w:hint="eastAsia" w:ascii="宋体" w:hAnsi="宋体" w:cs="宋体"/>
                <w:color w:val="auto"/>
                <w:highlight w:val="none"/>
              </w:rPr>
              <w:t>具备安全监理员或监理从业人员安全生产教育培训证书</w:t>
            </w:r>
            <w:r>
              <w:rPr>
                <w:rFonts w:hint="eastAsia" w:ascii="宋体" w:hAnsi="宋体" w:cs="宋体"/>
                <w:color w:val="auto"/>
                <w:highlight w:val="none"/>
                <w:lang w:eastAsia="zh-CN"/>
              </w:rPr>
              <w:t>。</w:t>
            </w:r>
          </w:p>
        </w:tc>
      </w:tr>
      <w:tr w14:paraId="2495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4" w:type="dxa"/>
            <w:noWrap w:val="0"/>
            <w:vAlign w:val="center"/>
          </w:tcPr>
          <w:p w14:paraId="6BE9EAE7">
            <w:pPr>
              <w:shd w:val="clear"/>
              <w:jc w:val="center"/>
              <w:rPr>
                <w:rFonts w:hint="eastAsia" w:ascii="宋体" w:hAnsi="宋体" w:cs="宋体"/>
                <w:color w:val="auto"/>
                <w:highlight w:val="none"/>
              </w:rPr>
            </w:pPr>
            <w:r>
              <w:rPr>
                <w:rFonts w:hint="eastAsia" w:ascii="宋体" w:hAnsi="宋体" w:cs="宋体"/>
                <w:color w:val="auto"/>
                <w:highlight w:val="none"/>
              </w:rPr>
              <w:t>总计</w:t>
            </w:r>
          </w:p>
        </w:tc>
        <w:tc>
          <w:tcPr>
            <w:tcW w:w="767" w:type="dxa"/>
            <w:noWrap w:val="0"/>
            <w:vAlign w:val="center"/>
          </w:tcPr>
          <w:p w14:paraId="1464D7BD">
            <w:pPr>
              <w:shd w:val="clear"/>
              <w:jc w:val="center"/>
              <w:rPr>
                <w:rFonts w:hint="eastAsia" w:ascii="宋体" w:hAnsi="宋体" w:cs="宋体"/>
                <w:color w:val="auto"/>
                <w:highlight w:val="none"/>
              </w:rPr>
            </w:pPr>
            <w:r>
              <w:rPr>
                <w:rFonts w:hint="eastAsia" w:ascii="宋体" w:hAnsi="宋体" w:cs="宋体"/>
                <w:color w:val="auto"/>
                <w:highlight w:val="none"/>
                <w:u w:val="single"/>
                <w:lang w:val="en-US" w:eastAsia="zh-CN"/>
              </w:rPr>
              <w:t>10</w:t>
            </w:r>
            <w:r>
              <w:rPr>
                <w:rFonts w:hint="eastAsia" w:ascii="宋体" w:hAnsi="宋体" w:cs="宋体"/>
                <w:color w:val="auto"/>
                <w:highlight w:val="none"/>
              </w:rPr>
              <w:t>名</w:t>
            </w:r>
          </w:p>
        </w:tc>
        <w:tc>
          <w:tcPr>
            <w:tcW w:w="6772" w:type="dxa"/>
            <w:gridSpan w:val="3"/>
            <w:noWrap w:val="0"/>
            <w:vAlign w:val="center"/>
          </w:tcPr>
          <w:p w14:paraId="11974BB1">
            <w:pPr>
              <w:shd w:val="clear"/>
              <w:jc w:val="center"/>
              <w:rPr>
                <w:rFonts w:hint="eastAsia" w:ascii="宋体" w:hAnsi="宋体" w:cs="宋体"/>
                <w:color w:val="auto"/>
                <w:highlight w:val="none"/>
              </w:rPr>
            </w:pPr>
            <w:r>
              <w:rPr>
                <w:rFonts w:hint="eastAsia" w:ascii="宋体" w:hAnsi="宋体" w:cs="宋体"/>
                <w:color w:val="auto"/>
                <w:highlight w:val="none"/>
              </w:rPr>
              <w:t>根据实际施工阶段及专业需求分阶段投入人员</w:t>
            </w:r>
          </w:p>
        </w:tc>
      </w:tr>
    </w:tbl>
    <w:p w14:paraId="3567C24C">
      <w:pPr>
        <w:pStyle w:val="68"/>
        <w:shd w:val="clear"/>
        <w:rPr>
          <w:rFonts w:hint="eastAsia" w:ascii="宋体" w:hAnsi="宋体" w:cs="宋体"/>
          <w:color w:val="auto"/>
          <w:highlight w:val="none"/>
        </w:rPr>
      </w:pPr>
    </w:p>
    <w:p w14:paraId="2E0745F5">
      <w:pPr>
        <w:pStyle w:val="6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注：1、表中所列人员配备为最低限度要求；项目内的人员岗位不得兼任；中标单位可根据实际施工阶段及专业需求分阶段投入人员。</w:t>
      </w:r>
    </w:p>
    <w:p w14:paraId="1A13D9A1">
      <w:pPr>
        <w:pStyle w:val="6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2、本表不作为形式评审、资格评审、响应性评审的审查依据，只作为综合评分表中“监理机构人员配备（除总监理工程师及总监代表外）”的评审依据。</w:t>
      </w:r>
    </w:p>
    <w:p w14:paraId="1EF2E426">
      <w:pPr>
        <w:pStyle w:val="6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3、根据原人事部、原建设部发布的《造价工程师执业资格制度暂行规定》（人发〔1996〕77号）取得的造价工程师执业资格，并经注册且在有效期内的注册造价工程师等同于注册一级造价工程师。</w:t>
      </w:r>
    </w:p>
    <w:p w14:paraId="1D56FA44">
      <w:pPr>
        <w:pStyle w:val="6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4、投标人提供的人员须为投标人在职员工，并提供投标人2025年</w:t>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至6月</w:t>
      </w:r>
      <w:r>
        <w:rPr>
          <w:rFonts w:hint="eastAsia" w:ascii="宋体" w:hAnsi="宋体" w:cs="宋体"/>
          <w:color w:val="auto"/>
          <w:highlight w:val="none"/>
        </w:rPr>
        <w:t>的社保缴纳证明原件清晰彩色扫描件或网上查询打印件。</w:t>
      </w:r>
    </w:p>
    <w:p w14:paraId="1E3607B6">
      <w:pPr>
        <w:pStyle w:val="6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方正书宋简体" w:cs="宋体"/>
          <w:color w:val="auto"/>
          <w:highlight w:val="none"/>
          <w:lang w:val="en-US" w:eastAsia="zh-CN"/>
        </w:rPr>
      </w:pPr>
      <w:r>
        <w:rPr>
          <w:rFonts w:hint="eastAsia" w:ascii="宋体" w:hAnsi="宋体" w:cs="宋体"/>
          <w:color w:val="auto"/>
          <w:highlight w:val="none"/>
          <w:lang w:val="en-US" w:eastAsia="zh-CN"/>
        </w:rPr>
        <w:t>5、专业监理工程师必须每天考勤，具体要求详见合同相关条款。</w:t>
      </w:r>
    </w:p>
    <w:p w14:paraId="78D70F6D">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六、工期节点要求</w:t>
      </w:r>
    </w:p>
    <w:p w14:paraId="54850E3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详见合同条款约定。</w:t>
      </w:r>
    </w:p>
    <w:p w14:paraId="7A793412">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七、仪器设备配备要求</w:t>
      </w:r>
    </w:p>
    <w:p w14:paraId="0AE931A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监理项目部必须配备常用办公设备，如电脑、打印机、复印机、扫描仪、无人机、照相机等，以及常用工程质量检测工具，如水准仪、塔尺、回弹仪、游标卡尺、内外直角检测尺、楔形塞尺、焊缝检测尺、响鼓锤、钢针小锤、皮卷尺、钢卷尺、水平尺、两米靠尺、激光测距仪、激光水平仪、涂层厚度仪</w:t>
      </w:r>
      <w:r>
        <w:rPr>
          <w:rFonts w:hint="eastAsia" w:ascii="宋体" w:hAnsi="宋体" w:cs="宋体"/>
          <w:color w:val="auto"/>
          <w:sz w:val="24"/>
          <w:szCs w:val="24"/>
          <w:highlight w:val="none"/>
          <w:lang w:eastAsia="zh-CN"/>
        </w:rPr>
        <w:t>、管理用车（汽车）</w:t>
      </w:r>
      <w:r>
        <w:rPr>
          <w:rFonts w:hint="eastAsia" w:ascii="宋体" w:hAnsi="宋体" w:cs="宋体"/>
          <w:color w:val="auto"/>
          <w:sz w:val="24"/>
          <w:szCs w:val="24"/>
          <w:highlight w:val="none"/>
        </w:rPr>
        <w:t>等。</w:t>
      </w:r>
    </w:p>
    <w:p w14:paraId="4E778DC0">
      <w:pPr>
        <w:shd w:val="clear"/>
        <w:autoSpaceDE w:val="0"/>
        <w:autoSpaceDN w:val="0"/>
        <w:adjustRightInd w:val="0"/>
        <w:spacing w:line="360" w:lineRule="auto"/>
        <w:ind w:firstLine="482" w:firstLineChars="200"/>
        <w:jc w:val="left"/>
        <w:rPr>
          <w:rFonts w:hint="eastAsia" w:ascii="宋体" w:hAnsi="宋体" w:cs="宋体"/>
          <w:color w:val="auto"/>
          <w:highlight w:val="none"/>
        </w:rPr>
      </w:pPr>
      <w:r>
        <w:rPr>
          <w:rFonts w:hint="eastAsia" w:ascii="宋体" w:hAnsi="宋体" w:eastAsia="宋体" w:cs="宋体"/>
          <w:b/>
          <w:bCs/>
          <w:color w:val="auto"/>
          <w:sz w:val="24"/>
          <w:szCs w:val="24"/>
          <w:highlight w:val="none"/>
          <w:lang w:eastAsia="zh-CN"/>
        </w:rPr>
        <w:br w:type="page"/>
      </w:r>
      <w:bookmarkStart w:id="422" w:name="_Toc530640836"/>
      <w:bookmarkStart w:id="423" w:name="_Toc530640837"/>
    </w:p>
    <w:p w14:paraId="4EB9590B">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38C852BD">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7CCA9779">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3193CF96">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433BA443">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5125637A">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4F986C7C">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09B4C510">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1EFF92BB">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393B429F">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020E8C17">
      <w:pPr>
        <w:shd w:val="clear"/>
        <w:autoSpaceDE w:val="0"/>
        <w:autoSpaceDN w:val="0"/>
        <w:adjustRightInd w:val="0"/>
        <w:spacing w:line="360" w:lineRule="auto"/>
        <w:jc w:val="center"/>
        <w:rPr>
          <w:rFonts w:hint="eastAsia" w:ascii="宋体" w:hAnsi="宋体" w:cs="宋体"/>
          <w:color w:val="auto"/>
          <w:highlight w:val="none"/>
        </w:rPr>
      </w:pPr>
      <w:r>
        <w:rPr>
          <w:rFonts w:hint="eastAsia" w:ascii="宋体" w:hAnsi="宋体" w:cs="宋体"/>
          <w:b/>
          <w:bCs/>
          <w:color w:val="auto"/>
          <w:sz w:val="52"/>
          <w:szCs w:val="52"/>
          <w:highlight w:val="none"/>
        </w:rPr>
        <w:t>第三卷</w:t>
      </w:r>
    </w:p>
    <w:p w14:paraId="3E72197C">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13A99527">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2E61E2B0">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063053E9">
      <w:pPr>
        <w:shd w:val="clear"/>
        <w:autoSpaceDE w:val="0"/>
        <w:autoSpaceDN w:val="0"/>
        <w:adjustRightInd w:val="0"/>
        <w:spacing w:line="360" w:lineRule="auto"/>
        <w:ind w:firstLine="420" w:firstLineChars="200"/>
        <w:jc w:val="center"/>
        <w:rPr>
          <w:rFonts w:hint="eastAsia" w:ascii="宋体" w:hAnsi="宋体" w:cs="宋体"/>
          <w:color w:val="auto"/>
          <w:highlight w:val="none"/>
        </w:rPr>
      </w:pPr>
    </w:p>
    <w:p w14:paraId="714D4C89">
      <w:pPr>
        <w:pStyle w:val="4"/>
        <w:shd w:val="clear"/>
        <w:bidi w:val="0"/>
        <w:jc w:val="center"/>
        <w:rPr>
          <w:rFonts w:hint="eastAsia" w:ascii="宋体" w:hAnsi="宋体" w:eastAsia="宋体" w:cs="宋体"/>
          <w:color w:val="auto"/>
          <w:highlight w:val="none"/>
        </w:rPr>
      </w:pPr>
      <w:r>
        <w:rPr>
          <w:rFonts w:hint="eastAsia" w:ascii="宋体" w:hAnsi="宋体" w:cs="宋体"/>
          <w:color w:val="auto"/>
          <w:highlight w:val="none"/>
        </w:rPr>
        <w:br w:type="page"/>
      </w:r>
      <w:bookmarkStart w:id="424" w:name="_Toc22091"/>
      <w:r>
        <w:rPr>
          <w:rFonts w:hint="eastAsia" w:ascii="宋体" w:hAnsi="宋体" w:eastAsia="宋体" w:cs="宋体"/>
          <w:color w:val="auto"/>
          <w:highlight w:val="none"/>
        </w:rPr>
        <w:t>第六章  投标文件格式</w:t>
      </w:r>
      <w:bookmarkEnd w:id="422"/>
      <w:bookmarkEnd w:id="423"/>
      <w:bookmarkEnd w:id="424"/>
    </w:p>
    <w:p w14:paraId="50CA9D93">
      <w:pPr>
        <w:shd w:val="clear"/>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2B4A8A54">
      <w:pPr>
        <w:shd w:val="clear"/>
        <w:spacing w:line="200" w:lineRule="exact"/>
        <w:ind w:firstLine="420" w:firstLineChars="200"/>
        <w:jc w:val="left"/>
        <w:rPr>
          <w:rFonts w:hint="eastAsia" w:ascii="宋体" w:hAnsi="宋体" w:cs="宋体"/>
          <w:color w:val="auto"/>
          <w:sz w:val="20"/>
          <w:szCs w:val="20"/>
          <w:highlight w:val="none"/>
        </w:rPr>
      </w:pPr>
      <w:r>
        <w:rPr>
          <w:rFonts w:hint="eastAsia" w:ascii="宋体" w:hAnsi="宋体" w:cs="宋体"/>
          <w:color w:val="auto"/>
          <w:highlight w:val="none"/>
        </w:rPr>
        <w:br w:type="page"/>
      </w:r>
    </w:p>
    <w:p w14:paraId="4061FEE7">
      <w:pPr>
        <w:shd w:val="clear"/>
        <w:spacing w:line="341" w:lineRule="exact"/>
        <w:ind w:right="-20"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706DD62C">
      <w:pPr>
        <w:shd w:val="clear"/>
        <w:spacing w:line="341" w:lineRule="exact"/>
        <w:ind w:right="-20"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1C7D0D57">
      <w:pPr>
        <w:pStyle w:val="2"/>
        <w:shd w:val="clear"/>
        <w:rPr>
          <w:rFonts w:hint="eastAsia" w:ascii="宋体" w:hAnsi="宋体" w:cs="宋体"/>
          <w:b/>
          <w:bCs/>
          <w:color w:val="auto"/>
          <w:sz w:val="32"/>
          <w:szCs w:val="32"/>
          <w:highlight w:val="none"/>
        </w:rPr>
      </w:pPr>
    </w:p>
    <w:p w14:paraId="4CAFD4C0">
      <w:pPr>
        <w:shd w:val="clear"/>
        <w:rPr>
          <w:rFonts w:hint="eastAsia" w:ascii="宋体" w:hAnsi="宋体" w:cs="宋体"/>
          <w:b/>
          <w:bCs/>
          <w:color w:val="auto"/>
          <w:sz w:val="32"/>
          <w:szCs w:val="32"/>
          <w:highlight w:val="none"/>
        </w:rPr>
      </w:pPr>
    </w:p>
    <w:p w14:paraId="3C38E566">
      <w:pPr>
        <w:pStyle w:val="2"/>
        <w:shd w:val="clear"/>
        <w:rPr>
          <w:rFonts w:hint="eastAsia"/>
          <w:color w:val="auto"/>
          <w:highlight w:val="none"/>
        </w:rPr>
      </w:pPr>
    </w:p>
    <w:p w14:paraId="59AB26B3">
      <w:pPr>
        <w:shd w:val="clear"/>
        <w:spacing w:line="360" w:lineRule="auto"/>
        <w:ind w:right="-23" w:firstLine="883" w:firstLineChars="200"/>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知识城低空产业装备智造园</w:t>
      </w:r>
    </w:p>
    <w:p w14:paraId="5C90B372">
      <w:pPr>
        <w:shd w:val="clear"/>
        <w:spacing w:line="360" w:lineRule="auto"/>
        <w:ind w:right="-23" w:firstLine="883" w:firstLineChars="200"/>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监理服务</w:t>
      </w:r>
    </w:p>
    <w:p w14:paraId="6147D676">
      <w:pPr>
        <w:shd w:val="clear"/>
        <w:spacing w:before="7" w:line="100" w:lineRule="exact"/>
        <w:ind w:firstLine="200" w:firstLineChars="200"/>
        <w:jc w:val="left"/>
        <w:rPr>
          <w:rFonts w:hint="eastAsia" w:ascii="宋体" w:hAnsi="宋体" w:cs="宋体"/>
          <w:color w:val="auto"/>
          <w:sz w:val="10"/>
          <w:szCs w:val="10"/>
          <w:highlight w:val="none"/>
        </w:rPr>
      </w:pPr>
      <w:r>
        <w:rPr>
          <w:rFonts w:hint="eastAsia" w:ascii="宋体" w:hAnsi="宋体" w:cs="宋体"/>
          <w:color w:val="auto"/>
          <w:sz w:val="10"/>
          <w:szCs w:val="10"/>
          <w:highlight w:val="none"/>
        </w:rPr>
        <w:t xml:space="preserve"> </w:t>
      </w:r>
    </w:p>
    <w:p w14:paraId="2A00DB89">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E4F409D">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28661AA4">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2E951DF">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43209A15">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4F56323">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D4CC5EA">
      <w:pPr>
        <w:shd w:val="clear"/>
        <w:spacing w:line="549" w:lineRule="exact"/>
        <w:ind w:left="3138" w:right="3116" w:firstLine="880" w:firstLineChars="20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投标文件</w:t>
      </w:r>
    </w:p>
    <w:p w14:paraId="3C294AE6">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471D4511">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491D1C69">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6E85C623">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7F51A3A5">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5B4E9211">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C968AF1">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84BE0FA">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59D5BD6">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4AEBC23E">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BD5737A">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5761C8B0">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54D8BF4">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7391F269">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2D6AC33">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7BFEB305">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CF6D0DF">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5201CE6">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42C200E7">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5BE8EEC4">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5B8AC8DE">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18E5DD1">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29471CC6">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60BB0B07">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07FB535E">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9F64D10">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470AE48C">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C187A85">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44ECDBB">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69658974">
      <w:pPr>
        <w:shd w:val="clear"/>
        <w:spacing w:before="17" w:line="2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C583F62">
      <w:pPr>
        <w:shd w:val="clear"/>
        <w:spacing w:line="540" w:lineRule="atLeast"/>
        <w:ind w:left="1201" w:right="85"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 xml:space="preserve">（盖单位章） </w:t>
      </w:r>
    </w:p>
    <w:p w14:paraId="1F73F0E2">
      <w:pPr>
        <w:shd w:val="clear"/>
        <w:spacing w:line="540" w:lineRule="atLeast"/>
        <w:ind w:left="1201" w:right="85"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（签字</w:t>
      </w:r>
      <w:r>
        <w:rPr>
          <w:rFonts w:hint="eastAsia" w:ascii="宋体" w:hAnsi="宋体" w:cs="宋体"/>
          <w:color w:val="auto"/>
          <w:sz w:val="28"/>
          <w:highlight w:val="none"/>
        </w:rPr>
        <w:t>或盖章</w:t>
      </w:r>
      <w:r>
        <w:rPr>
          <w:rFonts w:hint="eastAsia" w:ascii="宋体" w:hAnsi="宋体" w:cs="宋体"/>
          <w:color w:val="auto"/>
          <w:sz w:val="28"/>
          <w:szCs w:val="28"/>
          <w:highlight w:val="none"/>
        </w:rPr>
        <w:t>）</w:t>
      </w:r>
    </w:p>
    <w:p w14:paraId="5C1CA0D5">
      <w:pPr>
        <w:shd w:val="clear"/>
        <w:spacing w:before="5" w:line="130" w:lineRule="exact"/>
        <w:ind w:firstLine="260" w:firstLineChars="200"/>
        <w:jc w:val="left"/>
        <w:rPr>
          <w:rFonts w:hint="eastAsia" w:ascii="宋体" w:hAnsi="宋体" w:cs="宋体"/>
          <w:color w:val="auto"/>
          <w:sz w:val="13"/>
          <w:szCs w:val="13"/>
          <w:highlight w:val="none"/>
        </w:rPr>
      </w:pPr>
      <w:r>
        <w:rPr>
          <w:rFonts w:hint="eastAsia" w:ascii="宋体" w:hAnsi="宋体" w:cs="宋体"/>
          <w:color w:val="auto"/>
          <w:sz w:val="13"/>
          <w:szCs w:val="13"/>
          <w:highlight w:val="none"/>
        </w:rPr>
        <w:t xml:space="preserve"> </w:t>
      </w:r>
    </w:p>
    <w:p w14:paraId="562B0202">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1EDF84D2">
      <w:pPr>
        <w:shd w:val="clear"/>
        <w:spacing w:line="200" w:lineRule="exact"/>
        <w:ind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328FF23">
      <w:pPr>
        <w:shd w:val="clear"/>
        <w:spacing w:line="373" w:lineRule="exact"/>
        <w:ind w:left="2877" w:right="-20" w:firstLine="560" w:firstLineChars="200"/>
        <w:jc w:val="left"/>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ab/>
      </w:r>
      <w:r>
        <w:rPr>
          <w:rFonts w:hint="eastAsia" w:ascii="宋体" w:hAnsi="宋体" w:cs="宋体"/>
          <w:color w:val="auto"/>
          <w:sz w:val="28"/>
          <w:szCs w:val="28"/>
          <w:highlight w:val="none"/>
        </w:rPr>
        <w:t>日</w:t>
      </w:r>
    </w:p>
    <w:p w14:paraId="61B06F05">
      <w:pPr>
        <w:widowControl/>
        <w:shd w:val="clear"/>
        <w:spacing w:beforeAutospacing="1" w:afterAutospacing="1"/>
        <w:ind w:firstLine="640" w:firstLineChars="200"/>
        <w:jc w:val="left"/>
        <w:rPr>
          <w:rFonts w:hint="eastAsia" w:ascii="宋体" w:hAnsi="宋体" w:cs="宋体"/>
          <w:color w:val="auto"/>
          <w:sz w:val="32"/>
          <w:szCs w:val="32"/>
          <w:highlight w:val="none"/>
        </w:rPr>
        <w:sectPr>
          <w:pgSz w:w="11907" w:h="16840"/>
          <w:pgMar w:top="1134" w:right="1134" w:bottom="1134" w:left="1134" w:header="720" w:footer="720" w:gutter="0"/>
          <w:pgBorders>
            <w:top w:val="none" w:sz="0" w:space="0"/>
            <w:left w:val="none" w:sz="0" w:space="0"/>
            <w:bottom w:val="none" w:sz="0" w:space="0"/>
            <w:right w:val="none" w:sz="0" w:space="0"/>
          </w:pgBorders>
          <w:cols w:space="720" w:num="1"/>
        </w:sectPr>
      </w:pPr>
    </w:p>
    <w:p w14:paraId="70ECDE38">
      <w:pPr>
        <w:shd w:val="clear"/>
        <w:jc w:val="center"/>
        <w:rPr>
          <w:rFonts w:hint="eastAsia" w:ascii="宋体" w:hAnsi="宋体" w:cs="宋体"/>
          <w:color w:val="auto"/>
          <w:sz w:val="44"/>
          <w:szCs w:val="44"/>
          <w:highlight w:val="none"/>
        </w:rPr>
      </w:pPr>
      <w:bookmarkStart w:id="425" w:name="_Toc35981565"/>
      <w:r>
        <w:rPr>
          <w:rFonts w:hint="eastAsia" w:ascii="宋体" w:hAnsi="宋体" w:cs="宋体"/>
          <w:color w:val="auto"/>
          <w:sz w:val="44"/>
          <w:szCs w:val="44"/>
          <w:highlight w:val="none"/>
        </w:rPr>
        <w:t>目录</w:t>
      </w:r>
      <w:bookmarkEnd w:id="425"/>
    </w:p>
    <w:p w14:paraId="44C900CF">
      <w:pPr>
        <w:shd w:val="clear"/>
        <w:rPr>
          <w:rFonts w:hint="eastAsia" w:ascii="宋体" w:hAnsi="宋体" w:cs="宋体"/>
          <w:color w:val="auto"/>
          <w:highlight w:val="none"/>
        </w:rPr>
      </w:pPr>
    </w:p>
    <w:p w14:paraId="1A77F75F">
      <w:pPr>
        <w:shd w:val="clea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一、投标函及投标函附录</w:t>
      </w:r>
    </w:p>
    <w:p w14:paraId="06E6636C">
      <w:pPr>
        <w:shd w:val="clea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二、法定代表人身份证明（适用于无委托代理人的情况）</w:t>
      </w:r>
    </w:p>
    <w:p w14:paraId="217CD890">
      <w:pPr>
        <w:shd w:val="clea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三、授权委托书（适用于有委托代理人的情况）</w:t>
      </w:r>
    </w:p>
    <w:p w14:paraId="3C525A9A">
      <w:pPr>
        <w:shd w:val="clea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、监理报酬清单</w:t>
      </w:r>
    </w:p>
    <w:p w14:paraId="6DC93963">
      <w:pPr>
        <w:shd w:val="clea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、资格审查资料</w:t>
      </w:r>
    </w:p>
    <w:p w14:paraId="0B425667">
      <w:pPr>
        <w:shd w:val="clear"/>
        <w:spacing w:line="360" w:lineRule="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六、拟委任的主要人员汇总表</w:t>
      </w:r>
    </w:p>
    <w:p w14:paraId="334A1FA0">
      <w:pPr>
        <w:shd w:val="clea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、监理大纲</w:t>
      </w:r>
    </w:p>
    <w:p w14:paraId="3817F3DA">
      <w:pPr>
        <w:shd w:val="clear"/>
        <w:spacing w:line="360" w:lineRule="auto"/>
        <w:rPr>
          <w:rFonts w:hint="eastAsia" w:ascii="宋体" w:hAnsi="宋体" w:cs="宋体"/>
          <w:color w:val="auto"/>
          <w:sz w:val="28"/>
          <w:szCs w:val="28"/>
          <w:highlight w:val="none"/>
        </w:rPr>
      </w:pPr>
      <w:bookmarkStart w:id="426" w:name="_Toc352691655"/>
      <w:bookmarkStart w:id="427" w:name="_Toc7039"/>
      <w:bookmarkStart w:id="428" w:name="_Toc369531691"/>
      <w:r>
        <w:rPr>
          <w:rFonts w:hint="eastAsia" w:ascii="宋体" w:hAnsi="宋体" w:cs="宋体"/>
          <w:color w:val="auto"/>
          <w:sz w:val="28"/>
          <w:szCs w:val="28"/>
          <w:highlight w:val="none"/>
          <w:lang w:val="en-US" w:eastAsia="zh-CN"/>
        </w:rPr>
        <w:t>八</w:t>
      </w:r>
      <w:r>
        <w:rPr>
          <w:rFonts w:hint="eastAsia" w:ascii="宋体" w:hAnsi="宋体" w:cs="宋体"/>
          <w:color w:val="auto"/>
          <w:sz w:val="28"/>
          <w:szCs w:val="28"/>
          <w:highlight w:val="none"/>
        </w:rPr>
        <w:t>、其他资料</w:t>
      </w:r>
    </w:p>
    <w:p w14:paraId="5DAA8282">
      <w:pPr>
        <w:shd w:val="clear"/>
        <w:spacing w:line="540" w:lineRule="exact"/>
        <w:rPr>
          <w:rFonts w:hint="eastAsia" w:ascii="宋体" w:hAnsi="宋体" w:cs="宋体"/>
          <w:color w:val="auto"/>
          <w:sz w:val="20"/>
          <w:szCs w:val="22"/>
          <w:highlight w:val="none"/>
        </w:rPr>
      </w:pPr>
    </w:p>
    <w:p w14:paraId="5993272B">
      <w:pPr>
        <w:shd w:val="clear"/>
        <w:outlineLvl w:val="1"/>
        <w:rPr>
          <w:rFonts w:hint="default" w:ascii="宋体" w:hAnsi="宋体" w:eastAsia="宋体" w:cs="宋体"/>
          <w:b/>
          <w:color w:val="auto"/>
          <w:sz w:val="32"/>
          <w:szCs w:val="20"/>
          <w:highlight w:val="none"/>
          <w:lang w:val="en-US" w:eastAsia="zh-CN"/>
        </w:rPr>
      </w:pPr>
      <w:r>
        <w:rPr>
          <w:rFonts w:hint="eastAsia" w:ascii="宋体" w:hAnsi="宋体" w:cs="宋体"/>
          <w:color w:val="auto"/>
          <w:szCs w:val="22"/>
          <w:highlight w:val="none"/>
        </w:rPr>
        <w:br w:type="page"/>
      </w:r>
      <w:bookmarkStart w:id="429" w:name="_Toc16312"/>
      <w:r>
        <w:rPr>
          <w:rFonts w:hint="eastAsia" w:ascii="宋体" w:hAnsi="宋体" w:eastAsia="宋体" w:cs="宋体"/>
          <w:b/>
          <w:color w:val="auto"/>
          <w:sz w:val="32"/>
          <w:szCs w:val="20"/>
          <w:highlight w:val="none"/>
          <w:lang w:val="en-US" w:eastAsia="zh-CN"/>
        </w:rPr>
        <w:t>格式一：投标函及投标函附录</w:t>
      </w:r>
      <w:bookmarkEnd w:id="429"/>
    </w:p>
    <w:bookmarkEnd w:id="426"/>
    <w:bookmarkEnd w:id="427"/>
    <w:bookmarkEnd w:id="428"/>
    <w:p w14:paraId="1F8C452E">
      <w:pPr>
        <w:shd w:val="clear"/>
        <w:spacing w:before="260" w:after="260"/>
        <w:jc w:val="center"/>
        <w:outlineLvl w:val="9"/>
        <w:rPr>
          <w:rFonts w:hint="eastAsia" w:ascii="宋体" w:hAnsi="宋体" w:cs="宋体"/>
          <w:b/>
          <w:color w:val="auto"/>
          <w:sz w:val="32"/>
          <w:szCs w:val="20"/>
          <w:highlight w:val="none"/>
        </w:rPr>
      </w:pPr>
      <w:bookmarkStart w:id="430" w:name="_Toc526786507"/>
      <w:r>
        <w:rPr>
          <w:rFonts w:hint="eastAsia" w:ascii="宋体" w:hAnsi="宋体" w:cs="宋体"/>
          <w:b/>
          <w:color w:val="auto"/>
          <w:sz w:val="32"/>
          <w:szCs w:val="20"/>
          <w:highlight w:val="none"/>
        </w:rPr>
        <w:t>一、投标</w:t>
      </w:r>
      <w:bookmarkStart w:id="431" w:name="_Toc6931"/>
      <w:bookmarkStart w:id="432" w:name="_Toc352691656"/>
      <w:bookmarkStart w:id="433" w:name="_Toc369531692"/>
      <w:r>
        <w:rPr>
          <w:rFonts w:hint="eastAsia" w:ascii="宋体" w:hAnsi="宋体" w:cs="宋体"/>
          <w:b/>
          <w:color w:val="auto"/>
          <w:sz w:val="32"/>
          <w:szCs w:val="20"/>
          <w:highlight w:val="none"/>
        </w:rPr>
        <w:t>函及投标函附录</w:t>
      </w:r>
      <w:bookmarkEnd w:id="430"/>
    </w:p>
    <w:bookmarkEnd w:id="431"/>
    <w:bookmarkEnd w:id="432"/>
    <w:bookmarkEnd w:id="433"/>
    <w:p w14:paraId="1E05AAB8">
      <w:pPr>
        <w:shd w:val="clear"/>
        <w:spacing w:before="260" w:after="260"/>
        <w:ind w:firstLine="137" w:firstLineChars="49"/>
        <w:outlineLvl w:val="2"/>
        <w:rPr>
          <w:rFonts w:hint="eastAsia" w:ascii="宋体" w:hAnsi="宋体" w:cs="宋体"/>
          <w:color w:val="auto"/>
          <w:sz w:val="28"/>
          <w:szCs w:val="20"/>
          <w:highlight w:val="none"/>
        </w:rPr>
      </w:pPr>
      <w:bookmarkStart w:id="434" w:name="_Toc359594235"/>
      <w:bookmarkStart w:id="435" w:name="_Toc14614"/>
      <w:bookmarkStart w:id="436" w:name="_Toc385943065"/>
      <w:bookmarkStart w:id="437" w:name="_Toc526786508"/>
      <w:bookmarkStart w:id="438" w:name="_Toc370676426"/>
      <w:bookmarkStart w:id="439" w:name="_Toc391394111"/>
      <w:bookmarkStart w:id="440" w:name="_Toc482188651"/>
      <w:r>
        <w:rPr>
          <w:rFonts w:hint="eastAsia" w:ascii="宋体" w:hAnsi="宋体" w:cs="宋体"/>
          <w:color w:val="auto"/>
          <w:sz w:val="28"/>
          <w:szCs w:val="20"/>
          <w:highlight w:val="none"/>
        </w:rPr>
        <w:t>（一）投标函</w:t>
      </w:r>
      <w:bookmarkEnd w:id="434"/>
      <w:bookmarkEnd w:id="435"/>
      <w:bookmarkEnd w:id="436"/>
      <w:bookmarkEnd w:id="437"/>
      <w:bookmarkEnd w:id="438"/>
      <w:bookmarkEnd w:id="439"/>
      <w:bookmarkEnd w:id="440"/>
    </w:p>
    <w:p w14:paraId="2B56209B">
      <w:pPr>
        <w:shd w:val="clea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（招标人名称）：</w:t>
      </w:r>
    </w:p>
    <w:p w14:paraId="19671C37">
      <w:pPr>
        <w:shd w:val="clear"/>
        <w:spacing w:line="440" w:lineRule="exact"/>
        <w:ind w:firstLine="405"/>
        <w:rPr>
          <w:rFonts w:hint="eastAsia" w:ascii="宋体" w:hAnsi="宋体" w:cs="宋体"/>
          <w:color w:val="auto"/>
          <w:highlight w:val="none"/>
        </w:rPr>
      </w:pPr>
      <w:r>
        <w:rPr>
          <w:rFonts w:hint="eastAsia" w:ascii="宋体" w:hAnsi="宋体" w:cs="宋体"/>
          <w:color w:val="auto"/>
          <w:highlight w:val="none"/>
        </w:rPr>
        <w:t>1．我方已仔细研究了</w:t>
      </w:r>
      <w:r>
        <w:rPr>
          <w:rFonts w:hint="eastAsia" w:ascii="宋体" w:hAnsi="宋体" w:cs="宋体"/>
          <w:color w:val="auto"/>
          <w:highlight w:val="none"/>
          <w:u w:val="single"/>
          <w:lang w:eastAsia="zh-CN"/>
        </w:rPr>
        <w:t>知识城低空产业装备智造园监理服务</w:t>
      </w:r>
      <w:r>
        <w:rPr>
          <w:rFonts w:hint="eastAsia" w:ascii="宋体" w:hAnsi="宋体" w:cs="宋体"/>
          <w:color w:val="auto"/>
          <w:highlight w:val="none"/>
        </w:rPr>
        <w:t>项目招标文件的全部内容，愿意以人民币（大写）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）的投标总报价，监理服务期限：</w:t>
      </w:r>
      <w:r>
        <w:rPr>
          <w:rFonts w:hint="eastAsia" w:ascii="宋体" w:hAnsi="宋体" w:cs="宋体"/>
          <w:color w:val="auto"/>
          <w:highlight w:val="none"/>
          <w:u w:val="single"/>
        </w:rPr>
        <w:t>按招标文件要求</w:t>
      </w:r>
      <w:r>
        <w:rPr>
          <w:rFonts w:hint="eastAsia" w:ascii="宋体" w:hAnsi="宋体" w:cs="宋体"/>
          <w:color w:val="auto"/>
          <w:highlight w:val="none"/>
        </w:rPr>
        <w:t>，按合同约定完成监理工作。</w:t>
      </w:r>
    </w:p>
    <w:p w14:paraId="40901AE3">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2. 我方的投标文件包括下列内容：</w:t>
      </w:r>
    </w:p>
    <w:p w14:paraId="57E9A5BE">
      <w:pPr>
        <w:shd w:val="clear"/>
        <w:spacing w:line="400" w:lineRule="exact"/>
        <w:ind w:firstLine="405"/>
        <w:rPr>
          <w:rFonts w:hint="eastAsia" w:ascii="宋体" w:hAnsi="宋体" w:cs="宋体"/>
          <w:color w:val="auto"/>
          <w:highlight w:val="none"/>
        </w:rPr>
      </w:pPr>
      <w:r>
        <w:rPr>
          <w:rFonts w:hint="eastAsia" w:ascii="宋体" w:hAnsi="宋体" w:cs="宋体"/>
          <w:color w:val="auto"/>
          <w:highlight w:val="none"/>
        </w:rPr>
        <w:t>（1）投标函</w:t>
      </w:r>
      <w:r>
        <w:rPr>
          <w:rFonts w:hint="eastAsia" w:ascii="宋体" w:hAnsi="宋体" w:cs="宋体"/>
          <w:color w:val="auto"/>
          <w:szCs w:val="22"/>
          <w:highlight w:val="none"/>
        </w:rPr>
        <w:t>及投标函附录</w:t>
      </w:r>
      <w:r>
        <w:rPr>
          <w:rFonts w:hint="eastAsia" w:ascii="宋体" w:hAnsi="宋体" w:cs="宋体"/>
          <w:color w:val="auto"/>
          <w:highlight w:val="none"/>
        </w:rPr>
        <w:t>；</w:t>
      </w:r>
    </w:p>
    <w:p w14:paraId="43BA9AB6">
      <w:pPr>
        <w:shd w:val="clear"/>
        <w:spacing w:line="400" w:lineRule="exact"/>
        <w:ind w:firstLine="405"/>
        <w:rPr>
          <w:rFonts w:hint="eastAsia" w:ascii="宋体" w:hAnsi="宋体" w:cs="宋体"/>
          <w:color w:val="auto"/>
          <w:highlight w:val="none"/>
        </w:rPr>
      </w:pPr>
      <w:r>
        <w:rPr>
          <w:rFonts w:hint="eastAsia" w:ascii="宋体" w:hAnsi="宋体" w:cs="宋体"/>
          <w:color w:val="auto"/>
          <w:highlight w:val="none"/>
        </w:rPr>
        <w:t>（2）法定代表人身份证明</w:t>
      </w:r>
      <w:r>
        <w:rPr>
          <w:rFonts w:hint="eastAsia" w:ascii="宋体" w:hAnsi="宋体" w:cs="宋体"/>
          <w:color w:val="auto"/>
          <w:highlight w:val="none"/>
          <w:lang w:eastAsia="zh-CN"/>
        </w:rPr>
        <w:t>、</w:t>
      </w:r>
      <w:r>
        <w:rPr>
          <w:rFonts w:hint="eastAsia" w:ascii="宋体" w:hAnsi="宋体" w:cs="宋体"/>
          <w:color w:val="auto"/>
          <w:highlight w:val="none"/>
        </w:rPr>
        <w:t>授权委托书；</w:t>
      </w:r>
    </w:p>
    <w:p w14:paraId="22D00E66">
      <w:pPr>
        <w:shd w:val="clear"/>
        <w:spacing w:line="400" w:lineRule="exact"/>
        <w:ind w:firstLine="405"/>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）监理报酬清单；</w:t>
      </w:r>
    </w:p>
    <w:p w14:paraId="59E9A372">
      <w:pPr>
        <w:shd w:val="clear"/>
        <w:spacing w:line="400" w:lineRule="exact"/>
        <w:ind w:firstLine="405"/>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）资格审查资料；</w:t>
      </w:r>
    </w:p>
    <w:p w14:paraId="052500B0">
      <w:pPr>
        <w:shd w:val="clear"/>
        <w:spacing w:line="400" w:lineRule="exact"/>
        <w:ind w:firstLine="405"/>
        <w:rPr>
          <w:rFonts w:hint="default" w:ascii="宋体" w:hAnsi="宋体" w:eastAsia="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拟委任的主要人员汇总表；</w:t>
      </w:r>
    </w:p>
    <w:p w14:paraId="3315D958">
      <w:pPr>
        <w:shd w:val="clear"/>
        <w:spacing w:line="400" w:lineRule="exact"/>
        <w:ind w:firstLine="405"/>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）监理大纲</w:t>
      </w:r>
      <w:r>
        <w:rPr>
          <w:rFonts w:hint="eastAsia" w:ascii="宋体" w:hAnsi="宋体" w:eastAsia="宋体" w:cs="宋体"/>
          <w:color w:val="auto"/>
          <w:highlight w:val="none"/>
          <w:lang w:eastAsia="zh-CN"/>
        </w:rPr>
        <w:t>；</w:t>
      </w:r>
    </w:p>
    <w:p w14:paraId="38FC3A1E">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）投标人认为有必要提交的其他资料</w:t>
      </w:r>
      <w:r>
        <w:rPr>
          <w:rFonts w:hint="eastAsia" w:ascii="宋体" w:hAnsi="宋体" w:cs="宋体"/>
          <w:color w:val="auto"/>
          <w:highlight w:val="none"/>
          <w:lang w:eastAsia="zh-CN"/>
        </w:rPr>
        <w:t>。</w:t>
      </w:r>
    </w:p>
    <w:p w14:paraId="1BBE882C">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投标文件的上述组成部分如存在内容不一致的，以投标函为准。</w:t>
      </w:r>
    </w:p>
    <w:p w14:paraId="6BB5FD69">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3．我方承诺在招标文件规定的投标有效期内不撤销投标文件。</w:t>
      </w:r>
    </w:p>
    <w:p w14:paraId="7E0FADA3">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4．如我方中标，我方承诺：</w:t>
      </w:r>
    </w:p>
    <w:p w14:paraId="04A90A5B">
      <w:pPr>
        <w:shd w:val="clear"/>
        <w:spacing w:line="440" w:lineRule="exact"/>
        <w:ind w:left="945" w:leftChars="400" w:hanging="105" w:hangingChars="50"/>
        <w:rPr>
          <w:rFonts w:hint="eastAsia" w:ascii="宋体" w:hAnsi="宋体" w:cs="宋体"/>
          <w:color w:val="auto"/>
          <w:highlight w:val="none"/>
        </w:rPr>
      </w:pPr>
      <w:r>
        <w:rPr>
          <w:rFonts w:hint="eastAsia" w:ascii="宋体" w:hAnsi="宋体" w:cs="宋体"/>
          <w:color w:val="auto"/>
          <w:highlight w:val="none"/>
        </w:rPr>
        <w:t>（1）在收到中标通知书后，30日内与你方签订合同；</w:t>
      </w:r>
    </w:p>
    <w:p w14:paraId="26384265">
      <w:pPr>
        <w:shd w:val="clear"/>
        <w:spacing w:line="440" w:lineRule="exact"/>
        <w:ind w:left="945" w:leftChars="400" w:hanging="105" w:hangingChars="50"/>
        <w:rPr>
          <w:rFonts w:hint="eastAsia" w:ascii="宋体" w:hAnsi="宋体" w:cs="宋体"/>
          <w:color w:val="auto"/>
          <w:highlight w:val="none"/>
        </w:rPr>
      </w:pPr>
      <w:r>
        <w:rPr>
          <w:rFonts w:hint="eastAsia" w:ascii="宋体" w:hAnsi="宋体" w:cs="宋体"/>
          <w:color w:val="auto"/>
          <w:highlight w:val="none"/>
        </w:rPr>
        <w:t>（2）无条件接受你方的合同条件，在签订合同时不向你方提出附加条件；</w:t>
      </w:r>
    </w:p>
    <w:p w14:paraId="5F2051D7">
      <w:pPr>
        <w:shd w:val="clear"/>
        <w:spacing w:line="440" w:lineRule="exact"/>
        <w:ind w:left="945" w:leftChars="400" w:hanging="105" w:hangingChars="50"/>
        <w:rPr>
          <w:rFonts w:hint="eastAsia" w:ascii="宋体" w:hAnsi="宋体" w:cs="宋体"/>
          <w:color w:val="auto"/>
          <w:highlight w:val="none"/>
        </w:rPr>
      </w:pPr>
      <w:r>
        <w:rPr>
          <w:rFonts w:hint="eastAsia" w:ascii="宋体" w:hAnsi="宋体" w:cs="宋体"/>
          <w:color w:val="auto"/>
          <w:highlight w:val="none"/>
        </w:rPr>
        <w:t>（3）按照招标文件要求提交履约保证金；</w:t>
      </w:r>
      <w:bookmarkStart w:id="441" w:name="_Toc1187"/>
      <w:bookmarkStart w:id="442" w:name="_Toc352691658"/>
      <w:bookmarkStart w:id="443" w:name="_Toc369531694"/>
    </w:p>
    <w:p w14:paraId="0F2D5046">
      <w:pPr>
        <w:shd w:val="clear"/>
        <w:spacing w:line="440" w:lineRule="exact"/>
        <w:ind w:left="945" w:leftChars="400" w:hanging="105" w:hangingChars="50"/>
        <w:rPr>
          <w:rFonts w:hint="eastAsia" w:ascii="宋体" w:hAnsi="宋体" w:cs="宋体"/>
          <w:color w:val="auto"/>
          <w:highlight w:val="none"/>
        </w:rPr>
      </w:pPr>
      <w:r>
        <w:rPr>
          <w:rFonts w:hint="eastAsia" w:ascii="宋体" w:hAnsi="宋体" w:cs="宋体"/>
          <w:color w:val="auto"/>
          <w:highlight w:val="none"/>
        </w:rPr>
        <w:t>（</w:t>
      </w:r>
      <w:r>
        <w:rPr>
          <w:rFonts w:hint="default" w:ascii="宋体" w:hAnsi="宋体" w:cs="宋体"/>
          <w:color w:val="auto"/>
          <w:highlight w:val="none"/>
          <w:lang w:val="en-US"/>
        </w:rPr>
        <w:t>4</w:t>
      </w:r>
      <w:r>
        <w:rPr>
          <w:rFonts w:hint="eastAsia" w:ascii="宋体" w:hAnsi="宋体" w:cs="宋体"/>
          <w:color w:val="auto"/>
          <w:highlight w:val="none"/>
        </w:rPr>
        <w:t>）在合</w:t>
      </w:r>
      <w:bookmarkEnd w:id="441"/>
      <w:bookmarkEnd w:id="442"/>
      <w:bookmarkEnd w:id="443"/>
      <w:r>
        <w:rPr>
          <w:rFonts w:hint="eastAsia" w:ascii="宋体" w:hAnsi="宋体" w:cs="宋体"/>
          <w:color w:val="auto"/>
          <w:highlight w:val="none"/>
        </w:rPr>
        <w:t>同约定的期限内完成合同规定的全部义务。</w:t>
      </w:r>
    </w:p>
    <w:p w14:paraId="1301C0A9">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5．我方在此声明，所递交的投标文件及有关资料内容完整、真实和准确，且不存在第二章“投标人须知”第1.4.</w:t>
      </w:r>
      <w:r>
        <w:rPr>
          <w:rFonts w:hint="eastAsia" w:ascii="宋体" w:hAnsi="宋体" w:cs="宋体"/>
          <w:color w:val="auto"/>
          <w:highlight w:val="none"/>
          <w:lang w:val="en-US" w:eastAsia="zh-CN"/>
        </w:rPr>
        <w:t>2</w:t>
      </w:r>
      <w:r>
        <w:rPr>
          <w:rFonts w:hint="eastAsia" w:ascii="宋体" w:hAnsi="宋体" w:cs="宋体"/>
          <w:color w:val="auto"/>
          <w:highlight w:val="none"/>
        </w:rPr>
        <w:t>项规定的任何一种情形。</w:t>
      </w:r>
    </w:p>
    <w:p w14:paraId="1DAEFABF">
      <w:pPr>
        <w:shd w:val="clea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（其他补充说明）。</w:t>
      </w:r>
    </w:p>
    <w:p w14:paraId="4580AC8B">
      <w:pPr>
        <w:shd w:val="clear"/>
        <w:spacing w:line="360" w:lineRule="auto"/>
        <w:ind w:firstLine="2520" w:firstLineChars="1200"/>
        <w:jc w:val="left"/>
        <w:rPr>
          <w:rFonts w:hint="eastAsia" w:ascii="宋体" w:hAnsi="宋体" w:cs="宋体"/>
          <w:color w:val="auto"/>
          <w:highlight w:val="none"/>
        </w:rPr>
      </w:pPr>
      <w:bookmarkStart w:id="444" w:name="_Toc352691660"/>
      <w:bookmarkEnd w:id="444"/>
      <w:bookmarkStart w:id="445" w:name="_Toc369531696"/>
      <w:bookmarkEnd w:id="445"/>
      <w:bookmarkStart w:id="446" w:name="_Toc16824"/>
      <w:bookmarkEnd w:id="446"/>
      <w:bookmarkStart w:id="447" w:name="_Toc352691659"/>
      <w:bookmarkEnd w:id="447"/>
      <w:bookmarkStart w:id="448" w:name="_Toc16568"/>
      <w:bookmarkEnd w:id="448"/>
      <w:bookmarkStart w:id="449" w:name="_Toc369531695"/>
      <w:bookmarkEnd w:id="449"/>
      <w:r>
        <w:rPr>
          <w:rFonts w:hint="eastAsia" w:ascii="宋体" w:hAnsi="宋体" w:cs="宋体"/>
          <w:color w:val="auto"/>
          <w:highlight w:val="none"/>
        </w:rPr>
        <w:t>投 标 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（盖单位章）</w:t>
      </w:r>
    </w:p>
    <w:p w14:paraId="378C1A52">
      <w:pPr>
        <w:shd w:val="clear"/>
        <w:spacing w:line="360" w:lineRule="auto"/>
        <w:jc w:val="left"/>
        <w:rPr>
          <w:rFonts w:hint="eastAsia" w:ascii="宋体" w:hAnsi="宋体" w:cs="宋体"/>
          <w:color w:val="auto"/>
          <w:highlight w:val="none"/>
        </w:rPr>
      </w:pPr>
      <w:r>
        <w:rPr>
          <w:rFonts w:hint="eastAsia" w:ascii="宋体" w:hAnsi="宋体" w:cs="宋体"/>
          <w:color w:val="auto"/>
          <w:szCs w:val="22"/>
          <w:highlight w:val="none"/>
        </w:rPr>
        <w:t xml:space="preserve">                        法定代表人</w:t>
      </w:r>
      <w:r>
        <w:rPr>
          <w:rFonts w:hint="eastAsia" w:ascii="宋体" w:hAnsi="宋体" w:cs="宋体"/>
          <w:color w:val="auto"/>
          <w:highlight w:val="none"/>
        </w:rPr>
        <w:t>或其委托代理人：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（签字</w:t>
      </w:r>
      <w:r>
        <w:rPr>
          <w:rFonts w:hint="eastAsia" w:ascii="宋体" w:hAnsi="宋体" w:cs="宋体"/>
          <w:color w:val="auto"/>
          <w:highlight w:val="none"/>
          <w:lang w:val="en-US" w:eastAsia="zh-CN"/>
        </w:rPr>
        <w:t>或盖章</w:t>
      </w:r>
      <w:r>
        <w:rPr>
          <w:rFonts w:hint="eastAsia" w:ascii="宋体" w:hAnsi="宋体" w:cs="宋体"/>
          <w:color w:val="auto"/>
          <w:highlight w:val="none"/>
        </w:rPr>
        <w:t>）</w:t>
      </w:r>
    </w:p>
    <w:p w14:paraId="7F46D3AD">
      <w:pPr>
        <w:shd w:val="clear"/>
        <w:spacing w:line="360" w:lineRule="auto"/>
        <w:ind w:firstLine="2520" w:firstLineChars="1200"/>
        <w:jc w:val="left"/>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p>
    <w:p w14:paraId="2765DE6D">
      <w:pPr>
        <w:shd w:val="clear"/>
        <w:spacing w:line="360" w:lineRule="auto"/>
        <w:ind w:firstLine="2520" w:firstLineChars="1200"/>
        <w:jc w:val="left"/>
        <w:rPr>
          <w:rFonts w:hint="eastAsia" w:ascii="宋体" w:hAnsi="宋体" w:cs="宋体"/>
          <w:color w:val="auto"/>
          <w:highlight w:val="none"/>
        </w:rPr>
      </w:pPr>
      <w:r>
        <w:rPr>
          <w:rFonts w:hint="eastAsia" w:ascii="宋体" w:hAnsi="宋体" w:cs="宋体"/>
          <w:color w:val="auto"/>
          <w:highlight w:val="none"/>
        </w:rPr>
        <w:t>网    址：</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p>
    <w:p w14:paraId="7E49D636">
      <w:pPr>
        <w:shd w:val="clear"/>
        <w:spacing w:line="360" w:lineRule="auto"/>
        <w:ind w:firstLine="2520" w:firstLineChars="1200"/>
        <w:jc w:val="left"/>
        <w:rPr>
          <w:rFonts w:hint="eastAsia"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p>
    <w:p w14:paraId="7C850132">
      <w:pPr>
        <w:shd w:val="clear"/>
        <w:spacing w:line="360" w:lineRule="auto"/>
        <w:ind w:firstLine="2520" w:firstLineChars="1200"/>
        <w:jc w:val="left"/>
        <w:rPr>
          <w:rFonts w:hint="eastAsia"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p>
    <w:p w14:paraId="31D23AAC">
      <w:pPr>
        <w:shd w:val="clear"/>
        <w:spacing w:line="360" w:lineRule="auto"/>
        <w:ind w:firstLine="2520" w:firstLineChars="1200"/>
        <w:jc w:val="left"/>
        <w:rPr>
          <w:rFonts w:hint="eastAsia"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p>
    <w:p w14:paraId="64D9492A">
      <w:pPr>
        <w:shd w:val="clear"/>
        <w:spacing w:line="360" w:lineRule="auto"/>
        <w:ind w:firstLine="4725" w:firstLineChars="2250"/>
        <w:jc w:val="right"/>
        <w:rPr>
          <w:rFonts w:hint="eastAsia" w:ascii="宋体" w:hAnsi="宋体" w:cs="宋体"/>
          <w:color w:val="auto"/>
          <w:highlight w:val="none"/>
        </w:rPr>
      </w:pPr>
      <w:r>
        <w:rPr>
          <w:rFonts w:hint="eastAsia" w:ascii="宋体" w:hAnsi="宋体" w:cs="宋体"/>
          <w:color w:val="auto"/>
          <w:szCs w:val="22"/>
          <w:highlight w:val="none"/>
          <w:u w:val="single"/>
        </w:rPr>
        <w:t xml:space="preserve">      </w:t>
      </w:r>
      <w:r>
        <w:rPr>
          <w:rFonts w:hint="eastAsia" w:ascii="宋体" w:hAnsi="宋体" w:cs="宋体"/>
          <w:color w:val="auto"/>
          <w:highlight w:val="none"/>
        </w:rPr>
        <w:t>年</w:t>
      </w:r>
      <w:r>
        <w:rPr>
          <w:rFonts w:hint="eastAsia" w:ascii="宋体" w:hAnsi="宋体" w:cs="宋体"/>
          <w:color w:val="auto"/>
          <w:szCs w:val="22"/>
          <w:highlight w:val="none"/>
          <w:u w:val="single"/>
        </w:rPr>
        <w:t xml:space="preserve">      </w:t>
      </w:r>
      <w:r>
        <w:rPr>
          <w:rFonts w:hint="eastAsia" w:ascii="宋体" w:hAnsi="宋体" w:cs="宋体"/>
          <w:color w:val="auto"/>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highlight w:val="none"/>
        </w:rPr>
        <w:t>日</w:t>
      </w:r>
      <w:bookmarkStart w:id="450" w:name="_Toc361508752"/>
      <w:bookmarkStart w:id="451" w:name="_Toc247514246"/>
      <w:bookmarkStart w:id="452" w:name="_Toc152045787"/>
      <w:bookmarkStart w:id="453" w:name="_Toc369531697"/>
      <w:bookmarkStart w:id="454" w:name="_Toc352691661"/>
      <w:bookmarkStart w:id="455" w:name="_Toc247527827"/>
      <w:bookmarkStart w:id="456" w:name="_Toc300835209"/>
      <w:bookmarkStart w:id="457" w:name="_Toc384308375"/>
      <w:bookmarkStart w:id="458" w:name="_Toc152042576"/>
      <w:bookmarkStart w:id="459" w:name="_Toc144974856"/>
      <w:bookmarkStart w:id="460" w:name="_Toc17960"/>
    </w:p>
    <w:p w14:paraId="7859D673">
      <w:pPr>
        <w:shd w:val="clear"/>
        <w:spacing w:line="440" w:lineRule="exact"/>
        <w:outlineLvl w:val="2"/>
        <w:rPr>
          <w:rFonts w:hint="eastAsia" w:ascii="宋体" w:hAnsi="宋体" w:cs="宋体"/>
          <w:color w:val="auto"/>
          <w:sz w:val="28"/>
          <w:szCs w:val="20"/>
          <w:highlight w:val="none"/>
        </w:rPr>
      </w:pPr>
      <w:r>
        <w:rPr>
          <w:rFonts w:hint="eastAsia" w:ascii="宋体" w:hAnsi="宋体" w:cs="宋体"/>
          <w:color w:val="auto"/>
          <w:sz w:val="20"/>
          <w:szCs w:val="22"/>
          <w:highlight w:val="none"/>
        </w:rPr>
        <w:br w:type="page"/>
      </w:r>
      <w:bookmarkStart w:id="461" w:name="_Toc526786509"/>
      <w:bookmarkStart w:id="462" w:name="_Toc391394112"/>
      <w:bookmarkStart w:id="463" w:name="_Toc385943066"/>
      <w:bookmarkStart w:id="464" w:name="_Toc482188652"/>
      <w:bookmarkStart w:id="465" w:name="_Toc359594236"/>
      <w:bookmarkStart w:id="466" w:name="_Toc370676427"/>
      <w:bookmarkStart w:id="467" w:name="_Toc4672"/>
      <w:r>
        <w:rPr>
          <w:rFonts w:hint="eastAsia" w:ascii="宋体" w:hAnsi="宋体" w:cs="宋体"/>
          <w:color w:val="auto"/>
          <w:sz w:val="28"/>
          <w:szCs w:val="20"/>
          <w:highlight w:val="none"/>
        </w:rPr>
        <w:t>（二）投标函附录</w:t>
      </w:r>
      <w:bookmarkEnd w:id="461"/>
      <w:bookmarkEnd w:id="462"/>
      <w:bookmarkEnd w:id="463"/>
      <w:bookmarkEnd w:id="464"/>
      <w:bookmarkEnd w:id="465"/>
      <w:bookmarkEnd w:id="466"/>
      <w:bookmarkEnd w:id="467"/>
    </w:p>
    <w:p w14:paraId="3B8A73CB">
      <w:pPr>
        <w:pStyle w:val="2"/>
        <w:shd w:val="clear"/>
        <w:rPr>
          <w:rFonts w:hint="eastAsia"/>
          <w:color w:val="auto"/>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3641"/>
        <w:gridCol w:w="1117"/>
      </w:tblGrid>
      <w:tr w14:paraId="0D7A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D8A74F7">
            <w:pPr>
              <w:shd w:val="clear"/>
              <w:jc w:val="center"/>
              <w:rPr>
                <w:rFonts w:hint="eastAsia" w:ascii="宋体" w:hAnsi="宋体" w:cs="宋体"/>
                <w:b/>
                <w:color w:val="auto"/>
                <w:highlight w:val="none"/>
              </w:rPr>
            </w:pPr>
            <w:r>
              <w:rPr>
                <w:rFonts w:hint="eastAsia" w:ascii="宋体" w:hAnsi="宋体" w:cs="宋体"/>
                <w:b/>
                <w:color w:val="auto"/>
                <w:highlight w:val="none"/>
              </w:rPr>
              <w:t>序号</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A37BA14">
            <w:pPr>
              <w:shd w:val="clear"/>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2674B741">
            <w:pPr>
              <w:shd w:val="clear"/>
              <w:jc w:val="center"/>
              <w:rPr>
                <w:rFonts w:hint="eastAsia" w:ascii="宋体" w:hAnsi="宋体" w:cs="宋体"/>
                <w:b/>
                <w:color w:val="auto"/>
                <w:highlight w:val="none"/>
              </w:rPr>
            </w:pPr>
            <w:r>
              <w:rPr>
                <w:rFonts w:hint="eastAsia" w:ascii="宋体" w:hAnsi="宋体" w:cs="宋体"/>
                <w:b/>
                <w:color w:val="auto"/>
                <w:highlight w:val="none"/>
              </w:rPr>
              <w:t>约定内容</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A27BEE0">
            <w:pPr>
              <w:shd w:val="clear"/>
              <w:jc w:val="center"/>
              <w:rPr>
                <w:rFonts w:hint="eastAsia" w:ascii="宋体" w:hAnsi="宋体" w:cs="宋体"/>
                <w:b/>
                <w:color w:val="auto"/>
                <w:highlight w:val="none"/>
              </w:rPr>
            </w:pPr>
            <w:r>
              <w:rPr>
                <w:rFonts w:hint="eastAsia" w:ascii="宋体" w:hAnsi="宋体" w:cs="宋体"/>
                <w:b/>
                <w:color w:val="auto"/>
                <w:highlight w:val="none"/>
              </w:rPr>
              <w:t>备注</w:t>
            </w:r>
          </w:p>
        </w:tc>
      </w:tr>
      <w:tr w14:paraId="2896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74ED9D98">
            <w:pPr>
              <w:shd w:val="clear"/>
              <w:jc w:val="center"/>
              <w:rPr>
                <w:rFonts w:hint="eastAsia" w:ascii="宋体" w:hAnsi="宋体" w:cs="宋体"/>
                <w:b/>
                <w:color w:val="auto"/>
                <w:highlight w:val="none"/>
              </w:rPr>
            </w:pPr>
            <w:r>
              <w:rPr>
                <w:rFonts w:hint="eastAsia" w:ascii="宋体" w:hAnsi="宋体" w:cs="宋体"/>
                <w:b/>
                <w:color w:val="auto"/>
                <w:highlight w:val="none"/>
              </w:rPr>
              <w:t>1</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8900994">
            <w:pPr>
              <w:shd w:val="clear"/>
              <w:jc w:val="center"/>
              <w:rPr>
                <w:rFonts w:hint="eastAsia" w:ascii="宋体" w:hAnsi="宋体" w:cs="宋体"/>
                <w:b/>
                <w:color w:val="auto"/>
                <w:highlight w:val="none"/>
              </w:rPr>
            </w:pPr>
            <w:r>
              <w:rPr>
                <w:rFonts w:hint="eastAsia" w:ascii="宋体" w:hAnsi="宋体" w:cs="宋体"/>
                <w:b/>
                <w:color w:val="auto"/>
                <w:highlight w:val="none"/>
              </w:rPr>
              <w:t>总监理工程师</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39671B0B">
            <w:pPr>
              <w:shd w:val="clear"/>
              <w:rPr>
                <w:rFonts w:hint="eastAsia" w:ascii="宋体" w:hAnsi="宋体" w:cs="宋体"/>
                <w:b/>
                <w:color w:val="auto"/>
                <w:highlight w:val="none"/>
              </w:rPr>
            </w:pPr>
            <w:r>
              <w:rPr>
                <w:rFonts w:hint="eastAsia" w:ascii="宋体" w:hAnsi="宋体" w:cs="宋体"/>
                <w:b/>
                <w:color w:val="auto"/>
                <w:highlight w:val="none"/>
              </w:rPr>
              <w:t>姓名：</w:t>
            </w:r>
            <w:r>
              <w:rPr>
                <w:rFonts w:hint="eastAsia" w:ascii="宋体" w:hAnsi="宋体" w:cs="宋体"/>
                <w:b/>
                <w:color w:val="auto"/>
                <w:highlight w:val="none"/>
                <w:u w:val="single"/>
              </w:rPr>
              <w:t xml:space="preserve">                         </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76C8061">
            <w:pPr>
              <w:shd w:val="clear"/>
              <w:jc w:val="center"/>
              <w:rPr>
                <w:rFonts w:hint="eastAsia" w:ascii="宋体" w:hAnsi="宋体" w:cs="宋体"/>
                <w:b/>
                <w:color w:val="auto"/>
                <w:highlight w:val="none"/>
              </w:rPr>
            </w:pPr>
          </w:p>
        </w:tc>
      </w:tr>
      <w:tr w14:paraId="069F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01C9603F">
            <w:pPr>
              <w:shd w:val="clear"/>
              <w:jc w:val="center"/>
              <w:rPr>
                <w:rFonts w:hint="eastAsia" w:ascii="宋体" w:hAnsi="宋体" w:cs="宋体"/>
                <w:b/>
                <w:color w:val="auto"/>
                <w:highlight w:val="none"/>
              </w:rPr>
            </w:pPr>
            <w:r>
              <w:rPr>
                <w:rFonts w:hint="eastAsia" w:ascii="宋体" w:hAnsi="宋体" w:cs="宋体"/>
                <w:b/>
                <w:color w:val="auto"/>
                <w:highlight w:val="none"/>
              </w:rPr>
              <w:t>2</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9E76A0F">
            <w:pPr>
              <w:shd w:val="clear"/>
              <w:jc w:val="center"/>
              <w:rPr>
                <w:rFonts w:hint="eastAsia" w:ascii="宋体" w:hAnsi="宋体" w:cs="宋体"/>
                <w:b/>
                <w:color w:val="auto"/>
                <w:highlight w:val="none"/>
              </w:rPr>
            </w:pPr>
            <w:r>
              <w:rPr>
                <w:rFonts w:hint="eastAsia" w:ascii="宋体" w:hAnsi="宋体" w:cs="宋体"/>
                <w:b/>
                <w:color w:val="auto"/>
                <w:highlight w:val="none"/>
              </w:rPr>
              <w:t>监理服务期限</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616FC2C5">
            <w:pPr>
              <w:shd w:val="clear"/>
              <w:jc w:val="center"/>
              <w:rPr>
                <w:rFonts w:hint="eastAsia" w:ascii="宋体" w:hAnsi="宋体" w:cs="宋体"/>
                <w:b/>
                <w:color w:val="auto"/>
                <w:highlight w:val="none"/>
              </w:rPr>
            </w:pPr>
            <w:r>
              <w:rPr>
                <w:rFonts w:hint="eastAsia" w:ascii="宋体" w:hAnsi="宋体" w:cs="宋体"/>
                <w:b/>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F396CAA">
            <w:pPr>
              <w:shd w:val="clear"/>
              <w:jc w:val="center"/>
              <w:rPr>
                <w:rFonts w:hint="eastAsia" w:ascii="宋体" w:hAnsi="宋体" w:cs="宋体"/>
                <w:b/>
                <w:color w:val="auto"/>
                <w:highlight w:val="none"/>
              </w:rPr>
            </w:pPr>
          </w:p>
        </w:tc>
      </w:tr>
      <w:tr w14:paraId="2605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7BA95AC3">
            <w:pPr>
              <w:shd w:val="clea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3</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618A4823">
            <w:pPr>
              <w:shd w:val="clear"/>
              <w:jc w:val="center"/>
              <w:rPr>
                <w:rFonts w:hint="eastAsia" w:ascii="宋体" w:hAnsi="宋体" w:cs="宋体"/>
                <w:b/>
                <w:color w:val="auto"/>
                <w:highlight w:val="none"/>
              </w:rPr>
            </w:pPr>
            <w:r>
              <w:rPr>
                <w:rFonts w:hint="eastAsia" w:ascii="宋体" w:hAnsi="宋体" w:cs="宋体"/>
                <w:b/>
                <w:color w:val="auto"/>
                <w:highlight w:val="none"/>
              </w:rPr>
              <w:t>质量标准</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0E14397D">
            <w:pPr>
              <w:shd w:val="clear"/>
              <w:jc w:val="center"/>
              <w:rPr>
                <w:rFonts w:hint="eastAsia" w:ascii="宋体" w:hAnsi="宋体" w:cs="宋体"/>
                <w:b/>
                <w:color w:val="auto"/>
                <w:highlight w:val="none"/>
              </w:rPr>
            </w:pPr>
            <w:r>
              <w:rPr>
                <w:rFonts w:hint="eastAsia" w:ascii="宋体" w:hAnsi="宋体" w:cs="宋体"/>
                <w:b/>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C25EE5">
            <w:pPr>
              <w:shd w:val="clear"/>
              <w:jc w:val="center"/>
              <w:rPr>
                <w:rFonts w:hint="eastAsia" w:ascii="宋体" w:hAnsi="宋体" w:cs="宋体"/>
                <w:b/>
                <w:color w:val="auto"/>
                <w:highlight w:val="none"/>
              </w:rPr>
            </w:pPr>
          </w:p>
        </w:tc>
      </w:tr>
      <w:tr w14:paraId="0D8C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4A2F3D40">
            <w:pPr>
              <w:shd w:val="clea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4</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AD4CB91">
            <w:pPr>
              <w:shd w:val="clear"/>
              <w:jc w:val="center"/>
              <w:rPr>
                <w:rFonts w:hint="eastAsia" w:ascii="宋体" w:hAnsi="宋体" w:cs="宋体"/>
                <w:b/>
                <w:color w:val="auto"/>
                <w:highlight w:val="none"/>
              </w:rPr>
            </w:pPr>
            <w:r>
              <w:rPr>
                <w:rFonts w:hint="eastAsia" w:ascii="宋体" w:hAnsi="宋体" w:cs="宋体"/>
                <w:b/>
                <w:color w:val="auto"/>
                <w:highlight w:val="none"/>
              </w:rPr>
              <w:t>投标总报价</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69D313F2">
            <w:pPr>
              <w:shd w:val="clear"/>
              <w:spacing w:before="120" w:beforeLines="50" w:after="120" w:afterLines="50"/>
              <w:ind w:left="0" w:leftChars="0" w:right="0" w:rightChars="0" w:firstLine="0" w:firstLineChars="0"/>
              <w:jc w:val="center"/>
              <w:rPr>
                <w:rFonts w:hint="default" w:ascii="宋体" w:hAnsi="宋体" w:eastAsia="宋体" w:cs="宋体"/>
                <w:b/>
                <w:color w:val="auto"/>
                <w:highlight w:val="none"/>
                <w:lang w:val="en-US" w:eastAsia="zh-CN"/>
              </w:rPr>
            </w:pP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lang w:val="en-US" w:eastAsia="zh-CN"/>
              </w:rPr>
              <w:t>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5183804">
            <w:pPr>
              <w:shd w:val="clear"/>
              <w:jc w:val="center"/>
              <w:rPr>
                <w:rFonts w:hint="eastAsia" w:ascii="宋体" w:hAnsi="宋体" w:cs="宋体"/>
                <w:b/>
                <w:color w:val="auto"/>
                <w:highlight w:val="none"/>
              </w:rPr>
            </w:pPr>
          </w:p>
        </w:tc>
      </w:tr>
      <w:tr w14:paraId="04CB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711D4B97">
            <w:pPr>
              <w:shd w:val="clea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5</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60B303D">
            <w:pPr>
              <w:shd w:val="clear"/>
              <w:jc w:val="center"/>
              <w:rPr>
                <w:rFonts w:hint="eastAsia" w:ascii="宋体" w:hAnsi="宋体" w:eastAsia="宋体" w:cs="宋体"/>
                <w:b/>
                <w:color w:val="auto"/>
                <w:highlight w:val="none"/>
              </w:rPr>
            </w:pPr>
            <w:r>
              <w:rPr>
                <w:rFonts w:hint="eastAsia" w:ascii="宋体" w:hAnsi="宋体" w:eastAsia="宋体" w:cs="宋体"/>
                <w:b/>
                <w:color w:val="auto"/>
                <w:highlight w:val="none"/>
              </w:rPr>
              <w:t>投标内容</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2B249BD5">
            <w:pPr>
              <w:shd w:val="clear"/>
              <w:jc w:val="center"/>
              <w:rPr>
                <w:rFonts w:hint="eastAsia" w:ascii="宋体" w:hAnsi="宋体" w:eastAsia="宋体" w:cs="宋体"/>
                <w:b/>
                <w:color w:val="auto"/>
                <w:highlight w:val="none"/>
              </w:rPr>
            </w:pPr>
            <w:r>
              <w:rPr>
                <w:rFonts w:hint="eastAsia" w:ascii="宋体" w:hAnsi="宋体" w:eastAsia="宋体" w:cs="宋体"/>
                <w:b/>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85EE406">
            <w:pPr>
              <w:shd w:val="clear"/>
              <w:jc w:val="center"/>
              <w:rPr>
                <w:rFonts w:hint="eastAsia" w:ascii="宋体" w:hAnsi="宋体" w:cs="宋体"/>
                <w:b/>
                <w:color w:val="auto"/>
                <w:highlight w:val="none"/>
              </w:rPr>
            </w:pPr>
          </w:p>
        </w:tc>
      </w:tr>
      <w:tr w14:paraId="5741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E943358">
            <w:pPr>
              <w:shd w:val="clea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6</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2ACF6D9">
            <w:pPr>
              <w:shd w:val="clear"/>
              <w:jc w:val="center"/>
              <w:rPr>
                <w:rFonts w:hint="eastAsia" w:ascii="宋体" w:hAnsi="宋体" w:eastAsia="宋体" w:cs="宋体"/>
                <w:b/>
                <w:color w:val="auto"/>
                <w:highlight w:val="none"/>
              </w:rPr>
            </w:pPr>
            <w:r>
              <w:rPr>
                <w:rFonts w:hint="eastAsia" w:ascii="宋体" w:hAnsi="宋体" w:eastAsia="宋体" w:cs="宋体"/>
                <w:b/>
                <w:color w:val="auto"/>
                <w:highlight w:val="none"/>
              </w:rPr>
              <w:t>投标有效期</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098687FB">
            <w:pPr>
              <w:shd w:val="clear"/>
              <w:jc w:val="center"/>
              <w:rPr>
                <w:rFonts w:hint="eastAsia" w:ascii="宋体" w:hAnsi="宋体" w:eastAsia="宋体" w:cs="宋体"/>
                <w:b/>
                <w:color w:val="auto"/>
                <w:highlight w:val="none"/>
              </w:rPr>
            </w:pPr>
            <w:r>
              <w:rPr>
                <w:rFonts w:hint="eastAsia" w:ascii="宋体" w:hAnsi="宋体" w:eastAsia="宋体" w:cs="宋体"/>
                <w:b/>
                <w:color w:val="auto"/>
                <w:highlight w:val="none"/>
              </w:rPr>
              <w:t>按招标文件要求</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BC872F5">
            <w:pPr>
              <w:shd w:val="clear"/>
              <w:jc w:val="center"/>
              <w:rPr>
                <w:rFonts w:hint="eastAsia" w:ascii="宋体" w:hAnsi="宋体" w:cs="宋体"/>
                <w:b/>
                <w:color w:val="auto"/>
                <w:highlight w:val="none"/>
              </w:rPr>
            </w:pPr>
          </w:p>
        </w:tc>
      </w:tr>
    </w:tbl>
    <w:p w14:paraId="15DDD279">
      <w:pPr>
        <w:shd w:val="clear"/>
        <w:spacing w:line="440" w:lineRule="exact"/>
        <w:ind w:firstLine="2520" w:firstLineChars="1200"/>
        <w:jc w:val="left"/>
        <w:rPr>
          <w:rFonts w:hint="eastAsia" w:ascii="宋体" w:hAnsi="宋体" w:cs="宋体"/>
          <w:color w:val="auto"/>
          <w:highlight w:val="none"/>
        </w:rPr>
      </w:pPr>
    </w:p>
    <w:p w14:paraId="218722E9">
      <w:pPr>
        <w:shd w:val="clear"/>
        <w:spacing w:line="440" w:lineRule="exact"/>
        <w:ind w:firstLine="2520" w:firstLineChars="1200"/>
        <w:jc w:val="left"/>
        <w:rPr>
          <w:rFonts w:hint="eastAsia" w:ascii="宋体" w:hAnsi="宋体" w:cs="宋体"/>
          <w:color w:val="auto"/>
          <w:highlight w:val="none"/>
        </w:rPr>
      </w:pPr>
      <w:r>
        <w:rPr>
          <w:rFonts w:hint="eastAsia" w:ascii="宋体" w:hAnsi="宋体" w:cs="宋体"/>
          <w:color w:val="auto"/>
          <w:highlight w:val="none"/>
        </w:rPr>
        <w:t>投 标 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（盖单位章）</w:t>
      </w:r>
    </w:p>
    <w:p w14:paraId="438F76CC">
      <w:pPr>
        <w:shd w:val="clear"/>
        <w:spacing w:line="440" w:lineRule="exact"/>
        <w:jc w:val="left"/>
        <w:rPr>
          <w:rFonts w:hint="eastAsia" w:ascii="宋体" w:hAnsi="宋体" w:cs="宋体"/>
          <w:color w:val="auto"/>
          <w:highlight w:val="none"/>
        </w:rPr>
      </w:pPr>
      <w:r>
        <w:rPr>
          <w:rFonts w:hint="eastAsia" w:ascii="宋体" w:hAnsi="宋体" w:cs="宋体"/>
          <w:color w:val="auto"/>
          <w:szCs w:val="22"/>
          <w:highlight w:val="none"/>
        </w:rPr>
        <w:t xml:space="preserve">                        法定代表人</w:t>
      </w:r>
      <w:r>
        <w:rPr>
          <w:rFonts w:hint="eastAsia" w:ascii="宋体" w:hAnsi="宋体" w:cs="宋体"/>
          <w:color w:val="auto"/>
          <w:highlight w:val="none"/>
        </w:rPr>
        <w:t>或其委托代理人：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（签字</w:t>
      </w:r>
      <w:r>
        <w:rPr>
          <w:rFonts w:hint="eastAsia" w:ascii="宋体" w:hAnsi="宋体" w:cs="宋体"/>
          <w:color w:val="auto"/>
          <w:highlight w:val="none"/>
          <w:lang w:val="en-US" w:eastAsia="zh-CN"/>
        </w:rPr>
        <w:t>或盖章</w:t>
      </w:r>
      <w:r>
        <w:rPr>
          <w:rFonts w:hint="eastAsia" w:ascii="宋体" w:hAnsi="宋体" w:cs="宋体"/>
          <w:color w:val="auto"/>
          <w:highlight w:val="none"/>
        </w:rPr>
        <w:t>）</w:t>
      </w:r>
    </w:p>
    <w:p w14:paraId="20262DFA">
      <w:pPr>
        <w:shd w:val="clear"/>
        <w:spacing w:line="440" w:lineRule="exact"/>
        <w:ind w:firstLine="4725" w:firstLineChars="2250"/>
        <w:jc w:val="right"/>
        <w:rPr>
          <w:rFonts w:hint="eastAsia" w:ascii="宋体" w:hAnsi="宋体" w:cs="宋体"/>
          <w:color w:val="auto"/>
          <w:highlight w:val="none"/>
        </w:rPr>
      </w:pPr>
      <w:r>
        <w:rPr>
          <w:rFonts w:hint="eastAsia" w:ascii="宋体" w:hAnsi="宋体" w:cs="宋体"/>
          <w:color w:val="auto"/>
          <w:szCs w:val="22"/>
          <w:highlight w:val="none"/>
          <w:u w:val="single"/>
        </w:rPr>
        <w:t xml:space="preserve">      </w:t>
      </w:r>
      <w:r>
        <w:rPr>
          <w:rFonts w:hint="eastAsia" w:ascii="宋体" w:hAnsi="宋体" w:cs="宋体"/>
          <w:color w:val="auto"/>
          <w:highlight w:val="none"/>
        </w:rPr>
        <w:t>年</w:t>
      </w:r>
      <w:r>
        <w:rPr>
          <w:rFonts w:hint="eastAsia" w:ascii="宋体" w:hAnsi="宋体" w:cs="宋体"/>
          <w:color w:val="auto"/>
          <w:szCs w:val="22"/>
          <w:highlight w:val="none"/>
          <w:u w:val="single"/>
        </w:rPr>
        <w:t xml:space="preserve">      </w:t>
      </w:r>
      <w:r>
        <w:rPr>
          <w:rFonts w:hint="eastAsia" w:ascii="宋体" w:hAnsi="宋体" w:cs="宋体"/>
          <w:color w:val="auto"/>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highlight w:val="none"/>
        </w:rPr>
        <w:t>日</w:t>
      </w:r>
    </w:p>
    <w:p w14:paraId="694F5943">
      <w:pPr>
        <w:shd w:val="clear"/>
        <w:spacing w:line="440" w:lineRule="exact"/>
        <w:rPr>
          <w:rFonts w:hint="eastAsia" w:ascii="宋体" w:hAnsi="宋体" w:cs="宋体"/>
          <w:color w:val="auto"/>
          <w:highlight w:val="none"/>
        </w:rPr>
      </w:pPr>
    </w:p>
    <w:p w14:paraId="09DD7B40">
      <w:pPr>
        <w:shd w:val="clear"/>
        <w:spacing w:line="440" w:lineRule="exact"/>
        <w:ind w:firstLine="420" w:firstLineChars="200"/>
        <w:rPr>
          <w:rFonts w:hint="eastAsia" w:ascii="宋体" w:hAnsi="宋体" w:cs="宋体"/>
          <w:color w:val="auto"/>
          <w:highlight w:val="none"/>
        </w:rPr>
      </w:pPr>
    </w:p>
    <w:p w14:paraId="14FE5ED6">
      <w:pPr>
        <w:shd w:val="clear"/>
        <w:spacing w:line="440" w:lineRule="exact"/>
        <w:ind w:firstLine="420" w:firstLineChars="200"/>
        <w:rPr>
          <w:rFonts w:hint="eastAsia" w:ascii="宋体" w:hAnsi="宋体" w:cs="宋体"/>
          <w:color w:val="auto"/>
          <w:highlight w:val="none"/>
        </w:rPr>
      </w:pPr>
    </w:p>
    <w:p w14:paraId="45CF2974">
      <w:pPr>
        <w:shd w:val="clear"/>
        <w:spacing w:line="440" w:lineRule="exact"/>
        <w:ind w:firstLine="420" w:firstLineChars="200"/>
        <w:rPr>
          <w:rFonts w:hint="eastAsia" w:ascii="宋体" w:hAnsi="宋体" w:cs="宋体"/>
          <w:color w:val="auto"/>
          <w:highlight w:val="none"/>
        </w:rPr>
      </w:pPr>
    </w:p>
    <w:p w14:paraId="79742021">
      <w:pPr>
        <w:shd w:val="clear"/>
        <w:spacing w:line="440" w:lineRule="exact"/>
        <w:ind w:firstLine="420" w:firstLineChars="200"/>
        <w:rPr>
          <w:rFonts w:hint="eastAsia" w:ascii="宋体" w:hAnsi="宋体" w:cs="宋体"/>
          <w:color w:val="auto"/>
          <w:highlight w:val="none"/>
        </w:rPr>
      </w:pPr>
    </w:p>
    <w:p w14:paraId="4600DC89">
      <w:pPr>
        <w:shd w:val="clear"/>
        <w:spacing w:line="440" w:lineRule="exact"/>
        <w:ind w:firstLine="420" w:firstLineChars="200"/>
        <w:rPr>
          <w:rFonts w:hint="eastAsia" w:ascii="宋体" w:hAnsi="宋体" w:cs="宋体"/>
          <w:color w:val="auto"/>
          <w:highlight w:val="none"/>
        </w:rPr>
      </w:pPr>
    </w:p>
    <w:p w14:paraId="65E80955">
      <w:pPr>
        <w:shd w:val="clear"/>
        <w:spacing w:line="440" w:lineRule="exact"/>
        <w:rPr>
          <w:rFonts w:hint="eastAsia" w:ascii="宋体" w:hAnsi="宋体" w:cs="宋体"/>
          <w:color w:val="auto"/>
          <w:highlight w:val="none"/>
        </w:rPr>
      </w:pPr>
    </w:p>
    <w:p w14:paraId="68863841">
      <w:pPr>
        <w:shd w:val="clear"/>
        <w:spacing w:line="440" w:lineRule="exact"/>
        <w:rPr>
          <w:rFonts w:hint="eastAsia" w:ascii="宋体" w:hAnsi="宋体" w:cs="宋体"/>
          <w:color w:val="auto"/>
          <w:highlight w:val="none"/>
        </w:rPr>
      </w:pPr>
    </w:p>
    <w:p w14:paraId="65DC3AE1">
      <w:pPr>
        <w:shd w:val="clear"/>
        <w:spacing w:line="440" w:lineRule="exact"/>
        <w:rPr>
          <w:rFonts w:hint="eastAsia" w:ascii="宋体" w:hAnsi="宋体" w:cs="宋体"/>
          <w:color w:val="auto"/>
          <w:highlight w:val="none"/>
        </w:rPr>
      </w:pPr>
    </w:p>
    <w:p w14:paraId="1868404F">
      <w:pPr>
        <w:shd w:val="clear"/>
        <w:spacing w:line="440" w:lineRule="exact"/>
        <w:rPr>
          <w:rFonts w:hint="eastAsia" w:ascii="宋体" w:hAnsi="宋体" w:cs="宋体"/>
          <w:color w:val="auto"/>
          <w:highlight w:val="none"/>
        </w:rPr>
      </w:pPr>
    </w:p>
    <w:p w14:paraId="58FED361">
      <w:pPr>
        <w:shd w:val="clear"/>
        <w:spacing w:before="260" w:after="260" w:line="410" w:lineRule="auto"/>
        <w:jc w:val="left"/>
        <w:outlineLvl w:val="1"/>
        <w:rPr>
          <w:rFonts w:hint="default" w:ascii="宋体" w:hAnsi="宋体" w:eastAsia="宋体" w:cs="宋体"/>
          <w:b/>
          <w:color w:val="auto"/>
          <w:sz w:val="32"/>
          <w:szCs w:val="20"/>
          <w:highlight w:val="none"/>
          <w:lang w:val="en-US" w:eastAsia="zh-CN"/>
        </w:rPr>
      </w:pPr>
      <w:r>
        <w:rPr>
          <w:rFonts w:hint="eastAsia" w:ascii="宋体" w:hAnsi="宋体" w:cs="宋体"/>
          <w:color w:val="auto"/>
          <w:sz w:val="32"/>
          <w:szCs w:val="20"/>
          <w:highlight w:val="none"/>
        </w:rPr>
        <w:br w:type="page"/>
      </w:r>
      <w:bookmarkStart w:id="468" w:name="_Toc17506"/>
      <w:bookmarkStart w:id="469" w:name="_Toc526786510"/>
      <w:r>
        <w:rPr>
          <w:rFonts w:hint="eastAsia" w:ascii="宋体" w:hAnsi="宋体" w:eastAsia="宋体" w:cs="宋体"/>
          <w:b/>
          <w:color w:val="auto"/>
          <w:sz w:val="32"/>
          <w:szCs w:val="20"/>
          <w:highlight w:val="none"/>
          <w:lang w:val="en-US" w:eastAsia="zh-CN"/>
        </w:rPr>
        <w:t>格式二：</w:t>
      </w:r>
      <w:r>
        <w:rPr>
          <w:rFonts w:hint="eastAsia" w:ascii="宋体" w:hAnsi="宋体" w:cs="宋体"/>
          <w:b/>
          <w:color w:val="auto"/>
          <w:sz w:val="32"/>
          <w:szCs w:val="20"/>
          <w:highlight w:val="none"/>
        </w:rPr>
        <w:t>法定代表人身份证明</w:t>
      </w:r>
      <w:bookmarkEnd w:id="468"/>
    </w:p>
    <w:bookmarkEnd w:id="450"/>
    <w:bookmarkEnd w:id="451"/>
    <w:bookmarkEnd w:id="452"/>
    <w:bookmarkEnd w:id="453"/>
    <w:bookmarkEnd w:id="454"/>
    <w:bookmarkEnd w:id="455"/>
    <w:bookmarkEnd w:id="456"/>
    <w:bookmarkEnd w:id="457"/>
    <w:bookmarkEnd w:id="458"/>
    <w:bookmarkEnd w:id="459"/>
    <w:bookmarkEnd w:id="460"/>
    <w:p w14:paraId="71BBC502">
      <w:pPr>
        <w:shd w:val="clear"/>
        <w:spacing w:before="260" w:after="260" w:line="410" w:lineRule="auto"/>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法定代表人身份证明</w:t>
      </w:r>
      <w:bookmarkEnd w:id="469"/>
    </w:p>
    <w:p w14:paraId="60E7C646">
      <w:pPr>
        <w:shd w:val="clear"/>
        <w:spacing w:line="440" w:lineRule="exact"/>
        <w:rPr>
          <w:rFonts w:hint="eastAsia" w:ascii="宋体" w:hAnsi="宋体" w:cs="宋体"/>
          <w:color w:val="auto"/>
          <w:sz w:val="20"/>
          <w:szCs w:val="22"/>
          <w:highlight w:val="none"/>
        </w:rPr>
      </w:pPr>
    </w:p>
    <w:p w14:paraId="24D75624">
      <w:pPr>
        <w:shd w:val="clear"/>
        <w:spacing w:line="440" w:lineRule="exact"/>
        <w:rPr>
          <w:rFonts w:hint="eastAsia" w:ascii="宋体" w:hAnsi="宋体" w:cs="宋体"/>
          <w:color w:val="auto"/>
          <w:szCs w:val="22"/>
          <w:highlight w:val="none"/>
        </w:rPr>
      </w:pPr>
    </w:p>
    <w:p w14:paraId="541330F9">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投标人名称：</w:t>
      </w:r>
      <w:r>
        <w:rPr>
          <w:rFonts w:hint="eastAsia" w:ascii="宋体" w:hAnsi="宋体" w:cs="宋体"/>
          <w:color w:val="auto"/>
          <w:szCs w:val="22"/>
          <w:highlight w:val="none"/>
          <w:u w:val="single"/>
        </w:rPr>
        <w:t xml:space="preserve">                        </w:t>
      </w:r>
    </w:p>
    <w:p w14:paraId="06C7DBE7">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姓名：</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性别：</w:t>
      </w:r>
      <w:bookmarkStart w:id="470" w:name="_Toc27897"/>
      <w:bookmarkStart w:id="471" w:name="_Toc352691662"/>
      <w:bookmarkStart w:id="472" w:name="_Toc369531698"/>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年</w:t>
      </w:r>
      <w:bookmarkEnd w:id="470"/>
      <w:bookmarkEnd w:id="471"/>
      <w:bookmarkEnd w:id="472"/>
      <w:r>
        <w:rPr>
          <w:rFonts w:hint="eastAsia" w:ascii="宋体" w:hAnsi="宋体" w:cs="宋体"/>
          <w:color w:val="auto"/>
          <w:szCs w:val="22"/>
          <w:highlight w:val="none"/>
        </w:rPr>
        <w:t>龄</w:t>
      </w:r>
      <w:bookmarkStart w:id="473" w:name="_Toc144974858"/>
      <w:bookmarkStart w:id="474" w:name="_Toc300835211"/>
      <w:bookmarkStart w:id="475" w:name="_Toc352691663"/>
      <w:bookmarkStart w:id="476" w:name="_Toc369531699"/>
      <w:bookmarkStart w:id="477" w:name="_Toc152045789"/>
      <w:bookmarkStart w:id="478" w:name="_Toc384308377"/>
      <w:bookmarkStart w:id="479" w:name="_Toc152042578"/>
      <w:bookmarkStart w:id="480" w:name="_Toc15573"/>
      <w:bookmarkStart w:id="481" w:name="_Toc247514248"/>
      <w:bookmarkStart w:id="482" w:name="_Toc361508754"/>
      <w:bookmarkStart w:id="483" w:name="_Toc247527829"/>
      <w:r>
        <w:rPr>
          <w:rFonts w:hint="eastAsia" w:ascii="宋体" w:hAnsi="宋体" w:cs="宋体"/>
          <w:color w:val="auto"/>
          <w:szCs w:val="22"/>
          <w:highlight w:val="none"/>
        </w:rPr>
        <w:t>：</w:t>
      </w:r>
      <w:bookmarkEnd w:id="473"/>
      <w:bookmarkEnd w:id="474"/>
      <w:bookmarkEnd w:id="475"/>
      <w:bookmarkEnd w:id="476"/>
      <w:bookmarkEnd w:id="477"/>
      <w:bookmarkEnd w:id="478"/>
      <w:bookmarkEnd w:id="479"/>
      <w:bookmarkEnd w:id="480"/>
      <w:bookmarkEnd w:id="481"/>
      <w:bookmarkEnd w:id="482"/>
      <w:bookmarkEnd w:id="483"/>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职务：</w:t>
      </w:r>
      <w:r>
        <w:rPr>
          <w:rFonts w:hint="eastAsia" w:ascii="宋体" w:hAnsi="宋体" w:cs="宋体"/>
          <w:color w:val="auto"/>
          <w:szCs w:val="22"/>
          <w:highlight w:val="none"/>
          <w:u w:val="single"/>
        </w:rPr>
        <w:t xml:space="preserve">        </w:t>
      </w:r>
    </w:p>
    <w:p w14:paraId="38610886">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系</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（投标人名称）的法定代表人。</w:t>
      </w:r>
    </w:p>
    <w:p w14:paraId="19A4EA7B">
      <w:pPr>
        <w:shd w:val="clear"/>
        <w:spacing w:line="44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特此证明。</w:t>
      </w:r>
    </w:p>
    <w:p w14:paraId="5CA159C9">
      <w:pPr>
        <w:shd w:val="clear"/>
        <w:spacing w:line="440" w:lineRule="exact"/>
        <w:rPr>
          <w:rFonts w:hint="eastAsia" w:ascii="宋体" w:hAnsi="宋体" w:cs="宋体"/>
          <w:color w:val="auto"/>
          <w:szCs w:val="22"/>
          <w:highlight w:val="none"/>
        </w:rPr>
      </w:pPr>
    </w:p>
    <w:p w14:paraId="26764387">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附：法定代表人身份证复印件。</w:t>
      </w:r>
    </w:p>
    <w:p w14:paraId="2CB00A31">
      <w:pPr>
        <w:shd w:val="clear"/>
        <w:spacing w:line="440" w:lineRule="exact"/>
        <w:rPr>
          <w:rFonts w:hint="eastAsia" w:ascii="宋体" w:hAnsi="宋体" w:cs="宋体"/>
          <w:color w:val="auto"/>
          <w:szCs w:val="22"/>
          <w:highlight w:val="none"/>
        </w:rPr>
      </w:pPr>
    </w:p>
    <w:p w14:paraId="4BD9D384">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注：本身份证明需由投标人加盖单位公章。</w:t>
      </w:r>
    </w:p>
    <w:p w14:paraId="1EA04682">
      <w:pPr>
        <w:shd w:val="clear"/>
        <w:spacing w:line="440" w:lineRule="exact"/>
        <w:rPr>
          <w:rFonts w:hint="eastAsia" w:ascii="宋体" w:hAnsi="宋体" w:cs="宋体"/>
          <w:color w:val="auto"/>
          <w:szCs w:val="22"/>
          <w:highlight w:val="none"/>
        </w:rPr>
      </w:pPr>
    </w:p>
    <w:p w14:paraId="4572F1AB">
      <w:pPr>
        <w:shd w:val="clear"/>
        <w:spacing w:line="440" w:lineRule="exact"/>
        <w:rPr>
          <w:rFonts w:hint="eastAsia" w:ascii="宋体" w:hAnsi="宋体" w:cs="宋体"/>
          <w:color w:val="auto"/>
          <w:szCs w:val="22"/>
          <w:highlight w:val="none"/>
        </w:rPr>
      </w:pPr>
    </w:p>
    <w:p w14:paraId="390C1C72">
      <w:pPr>
        <w:shd w:val="clear"/>
        <w:spacing w:line="440" w:lineRule="exact"/>
        <w:jc w:val="center"/>
        <w:rPr>
          <w:rFonts w:hint="eastAsia" w:ascii="宋体" w:hAnsi="宋体" w:cs="宋体"/>
          <w:color w:val="auto"/>
          <w:szCs w:val="22"/>
          <w:highlight w:val="none"/>
        </w:rPr>
      </w:pPr>
      <w:r>
        <w:rPr>
          <w:rFonts w:hint="eastAsia" w:ascii="宋体" w:hAnsi="宋体" w:cs="宋体"/>
          <w:color w:val="auto"/>
          <w:szCs w:val="22"/>
          <w:highlight w:val="none"/>
        </w:rPr>
        <w:t xml:space="preserve">                              投标人：</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szCs w:val="22"/>
          <w:highlight w:val="none"/>
        </w:rPr>
        <w:t>（盖单位章）</w:t>
      </w:r>
    </w:p>
    <w:p w14:paraId="312E3CB3">
      <w:pPr>
        <w:shd w:val="clear"/>
        <w:spacing w:line="440" w:lineRule="exact"/>
        <w:rPr>
          <w:rFonts w:hint="eastAsia" w:ascii="宋体" w:hAnsi="宋体" w:cs="宋体"/>
          <w:color w:val="auto"/>
          <w:szCs w:val="22"/>
          <w:highlight w:val="none"/>
        </w:rPr>
      </w:pPr>
    </w:p>
    <w:p w14:paraId="7C0E7CB5">
      <w:pPr>
        <w:shd w:val="clear"/>
        <w:spacing w:line="440" w:lineRule="exact"/>
        <w:ind w:firstLine="4620" w:firstLineChars="2200"/>
        <w:rPr>
          <w:rFonts w:hint="eastAsia" w:ascii="宋体" w:hAnsi="宋体" w:cs="宋体"/>
          <w:color w:val="auto"/>
          <w:szCs w:val="22"/>
          <w:highlight w:val="none"/>
        </w:rPr>
      </w:pP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年</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日</w:t>
      </w:r>
    </w:p>
    <w:p w14:paraId="58907481">
      <w:pPr>
        <w:shd w:val="clear"/>
        <w:spacing w:line="440" w:lineRule="exact"/>
        <w:rPr>
          <w:rFonts w:hint="eastAsia" w:ascii="宋体" w:hAnsi="宋体" w:cs="宋体"/>
          <w:color w:val="auto"/>
          <w:sz w:val="20"/>
          <w:szCs w:val="22"/>
          <w:highlight w:val="none"/>
        </w:rPr>
      </w:pPr>
    </w:p>
    <w:p w14:paraId="2DB75C1D">
      <w:pPr>
        <w:shd w:val="clear"/>
        <w:spacing w:line="440" w:lineRule="exact"/>
        <w:rPr>
          <w:rFonts w:hint="eastAsia" w:ascii="宋体" w:hAnsi="宋体" w:cs="宋体"/>
          <w:color w:val="auto"/>
          <w:sz w:val="20"/>
          <w:szCs w:val="22"/>
          <w:highlight w:val="none"/>
        </w:rPr>
      </w:pPr>
    </w:p>
    <w:p w14:paraId="6C0B24C6">
      <w:pPr>
        <w:shd w:val="clear"/>
        <w:spacing w:line="440" w:lineRule="exact"/>
        <w:rPr>
          <w:rFonts w:hint="eastAsia" w:ascii="宋体" w:hAnsi="宋体" w:cs="宋体"/>
          <w:color w:val="auto"/>
          <w:sz w:val="20"/>
          <w:szCs w:val="22"/>
          <w:highlight w:val="none"/>
        </w:rPr>
      </w:pPr>
    </w:p>
    <w:p w14:paraId="3FFE317D">
      <w:pPr>
        <w:shd w:val="clear"/>
        <w:spacing w:line="440" w:lineRule="exact"/>
        <w:rPr>
          <w:rFonts w:hint="eastAsia" w:ascii="宋体" w:hAnsi="宋体" w:cs="宋体"/>
          <w:color w:val="auto"/>
          <w:sz w:val="20"/>
          <w:szCs w:val="22"/>
          <w:highlight w:val="none"/>
        </w:rPr>
      </w:pPr>
    </w:p>
    <w:p w14:paraId="2F80F34B">
      <w:pPr>
        <w:shd w:val="clear"/>
        <w:spacing w:line="440" w:lineRule="exact"/>
        <w:rPr>
          <w:rFonts w:hint="eastAsia" w:ascii="宋体" w:hAnsi="宋体" w:cs="宋体"/>
          <w:color w:val="auto"/>
          <w:sz w:val="20"/>
          <w:szCs w:val="22"/>
          <w:highlight w:val="none"/>
        </w:rPr>
      </w:pPr>
    </w:p>
    <w:p w14:paraId="2A6E0E19">
      <w:pPr>
        <w:shd w:val="clear"/>
        <w:spacing w:line="440" w:lineRule="exact"/>
        <w:rPr>
          <w:rFonts w:hint="eastAsia" w:ascii="宋体" w:hAnsi="宋体" w:cs="宋体"/>
          <w:color w:val="auto"/>
          <w:sz w:val="20"/>
          <w:szCs w:val="22"/>
          <w:highlight w:val="none"/>
        </w:rPr>
      </w:pPr>
    </w:p>
    <w:p w14:paraId="4EA83221">
      <w:pPr>
        <w:shd w:val="clear"/>
        <w:spacing w:line="440" w:lineRule="exact"/>
        <w:jc w:val="left"/>
        <w:outlineLvl w:val="1"/>
        <w:rPr>
          <w:rFonts w:hint="eastAsia" w:ascii="宋体" w:hAnsi="宋体" w:cs="宋体"/>
          <w:b/>
          <w:color w:val="auto"/>
          <w:sz w:val="32"/>
          <w:szCs w:val="20"/>
          <w:highlight w:val="none"/>
        </w:rPr>
      </w:pPr>
      <w:r>
        <w:rPr>
          <w:rFonts w:hint="eastAsia" w:ascii="宋体" w:hAnsi="宋体" w:cs="宋体"/>
          <w:color w:val="auto"/>
          <w:sz w:val="20"/>
          <w:szCs w:val="22"/>
          <w:highlight w:val="none"/>
        </w:rPr>
        <w:br w:type="page"/>
      </w:r>
      <w:bookmarkStart w:id="484" w:name="_Toc3270"/>
      <w:bookmarkStart w:id="485" w:name="_Toc526786511"/>
      <w:r>
        <w:rPr>
          <w:rFonts w:hint="eastAsia" w:ascii="宋体" w:hAnsi="宋体" w:eastAsia="宋体" w:cs="宋体"/>
          <w:b/>
          <w:color w:val="auto"/>
          <w:sz w:val="32"/>
          <w:szCs w:val="20"/>
          <w:highlight w:val="none"/>
          <w:lang w:val="en-US" w:eastAsia="zh-CN"/>
        </w:rPr>
        <w:t>格式</w:t>
      </w:r>
      <w:r>
        <w:rPr>
          <w:rFonts w:hint="eastAsia" w:ascii="宋体" w:hAnsi="宋体" w:eastAsia="宋体" w:cs="宋体"/>
          <w:b/>
          <w:color w:val="auto"/>
          <w:sz w:val="32"/>
          <w:szCs w:val="20"/>
          <w:highlight w:val="none"/>
          <w:lang w:eastAsia="zh-CN"/>
        </w:rPr>
        <w:t>三：授权委</w:t>
      </w:r>
      <w:r>
        <w:rPr>
          <w:rFonts w:hint="eastAsia" w:ascii="宋体" w:hAnsi="宋体" w:cs="宋体"/>
          <w:b/>
          <w:color w:val="auto"/>
          <w:sz w:val="32"/>
          <w:szCs w:val="20"/>
          <w:highlight w:val="none"/>
        </w:rPr>
        <w:t>托书</w:t>
      </w:r>
      <w:bookmarkEnd w:id="484"/>
    </w:p>
    <w:p w14:paraId="1FA35647">
      <w:pPr>
        <w:shd w:val="clear"/>
        <w:spacing w:line="440" w:lineRule="exact"/>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w:t>
      </w:r>
      <w:bookmarkEnd w:id="485"/>
    </w:p>
    <w:p w14:paraId="512838FA">
      <w:pPr>
        <w:shd w:val="clear"/>
        <w:spacing w:line="440" w:lineRule="exact"/>
        <w:rPr>
          <w:rFonts w:hint="eastAsia" w:ascii="宋体" w:hAnsi="宋体" w:cs="宋体"/>
          <w:color w:val="auto"/>
          <w:szCs w:val="22"/>
          <w:highlight w:val="none"/>
        </w:rPr>
      </w:pPr>
    </w:p>
    <w:p w14:paraId="3E798E8B">
      <w:pPr>
        <w:shd w:val="clear"/>
        <w:topLinePunct/>
        <w:spacing w:line="44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本人</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（姓名）系</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（投标人名称）的法定代表人，现委托</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（姓名）为我方代理人。代理人根据授权，以我方名义签署、澄清确认、递交、撤回、修改</w:t>
      </w:r>
      <w:r>
        <w:rPr>
          <w:rFonts w:hint="eastAsia" w:ascii="宋体" w:hAnsi="宋体" w:cs="宋体"/>
          <w:color w:val="auto"/>
          <w:szCs w:val="22"/>
          <w:highlight w:val="none"/>
          <w:u w:val="single"/>
          <w:lang w:eastAsia="zh-CN"/>
        </w:rPr>
        <w:t>知识城低空产业装备智造园监理服务</w:t>
      </w:r>
      <w:r>
        <w:rPr>
          <w:rFonts w:hint="eastAsia" w:ascii="宋体" w:hAnsi="宋体" w:cs="宋体"/>
          <w:color w:val="auto"/>
          <w:szCs w:val="22"/>
          <w:highlight w:val="none"/>
        </w:rPr>
        <w:t>招标项目投标文件、签订合同和处理有关事宜，其法律后果由我方承担。</w:t>
      </w:r>
    </w:p>
    <w:p w14:paraId="1E6FEDDD">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委托期限：</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p>
    <w:p w14:paraId="68F44311">
      <w:pPr>
        <w:shd w:val="clear"/>
        <w:spacing w:line="440" w:lineRule="exact"/>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代理人无转委托权。</w:t>
      </w:r>
    </w:p>
    <w:p w14:paraId="26407D58">
      <w:pPr>
        <w:shd w:val="clear"/>
        <w:spacing w:line="440" w:lineRule="exact"/>
        <w:ind w:firstLine="420" w:firstLineChars="200"/>
        <w:rPr>
          <w:rFonts w:hint="eastAsia" w:ascii="宋体" w:hAnsi="宋体" w:cs="宋体"/>
          <w:color w:val="auto"/>
          <w:szCs w:val="22"/>
          <w:highlight w:val="none"/>
        </w:rPr>
      </w:pPr>
    </w:p>
    <w:p w14:paraId="6020D296">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附：法定代表人身份证复印件及委托代理人身份证复印件</w:t>
      </w:r>
    </w:p>
    <w:p w14:paraId="20F20AAE">
      <w:pPr>
        <w:shd w:val="clear"/>
        <w:spacing w:line="440" w:lineRule="exact"/>
        <w:rPr>
          <w:rFonts w:hint="eastAsia" w:ascii="宋体" w:hAnsi="宋体" w:cs="宋体"/>
          <w:color w:val="auto"/>
          <w:szCs w:val="22"/>
          <w:highlight w:val="none"/>
        </w:rPr>
      </w:pPr>
    </w:p>
    <w:p w14:paraId="688FD677">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注：本授权委托书需由投标人加盖单位公章并由其法定代表人和委托代理人签字</w:t>
      </w:r>
      <w:r>
        <w:rPr>
          <w:rFonts w:hint="eastAsia" w:ascii="宋体" w:hAnsi="宋体" w:cs="宋体"/>
          <w:color w:val="auto"/>
          <w:szCs w:val="22"/>
          <w:highlight w:val="none"/>
          <w:lang w:val="en-US" w:eastAsia="zh-CN"/>
        </w:rPr>
        <w:t>或盖章</w:t>
      </w:r>
      <w:r>
        <w:rPr>
          <w:rFonts w:hint="eastAsia" w:ascii="宋体" w:hAnsi="宋体" w:cs="宋体"/>
          <w:color w:val="auto"/>
          <w:szCs w:val="22"/>
          <w:highlight w:val="none"/>
        </w:rPr>
        <w:t>。</w:t>
      </w:r>
    </w:p>
    <w:p w14:paraId="670CBE78">
      <w:pPr>
        <w:shd w:val="clear"/>
        <w:spacing w:line="440" w:lineRule="exact"/>
        <w:rPr>
          <w:rFonts w:hint="eastAsia" w:ascii="宋体" w:hAnsi="宋体" w:cs="宋体"/>
          <w:color w:val="auto"/>
          <w:szCs w:val="22"/>
          <w:highlight w:val="none"/>
        </w:rPr>
      </w:pPr>
    </w:p>
    <w:p w14:paraId="4D06CA1D">
      <w:pPr>
        <w:shd w:val="clear"/>
        <w:spacing w:line="440" w:lineRule="exact"/>
        <w:ind w:firstLine="2692" w:firstLineChars="1282"/>
        <w:rPr>
          <w:rFonts w:hint="eastAsia" w:ascii="宋体" w:hAnsi="宋体" w:cs="宋体"/>
          <w:color w:val="auto"/>
          <w:szCs w:val="22"/>
          <w:highlight w:val="none"/>
        </w:rPr>
      </w:pPr>
      <w:r>
        <w:rPr>
          <w:rFonts w:hint="eastAsia" w:ascii="宋体" w:hAnsi="宋体" w:cs="宋体"/>
          <w:color w:val="auto"/>
          <w:szCs w:val="22"/>
          <w:highlight w:val="none"/>
        </w:rPr>
        <w:t>投  标  人：</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szCs w:val="22"/>
          <w:highlight w:val="none"/>
        </w:rPr>
        <w:t>（盖单位章）</w:t>
      </w:r>
    </w:p>
    <w:p w14:paraId="26715103">
      <w:pPr>
        <w:shd w:val="clear"/>
        <w:spacing w:line="440" w:lineRule="exact"/>
        <w:ind w:firstLine="2692" w:firstLineChars="1282"/>
        <w:rPr>
          <w:rFonts w:hint="eastAsia" w:ascii="宋体" w:hAnsi="宋体" w:cs="宋体"/>
          <w:color w:val="auto"/>
          <w:szCs w:val="22"/>
          <w:highlight w:val="none"/>
        </w:rPr>
      </w:pPr>
    </w:p>
    <w:p w14:paraId="789D226C">
      <w:pPr>
        <w:shd w:val="clear"/>
        <w:spacing w:line="440" w:lineRule="exact"/>
        <w:ind w:firstLine="2690" w:firstLineChars="1281"/>
        <w:jc w:val="left"/>
        <w:rPr>
          <w:rFonts w:hint="eastAsia" w:ascii="宋体" w:hAnsi="宋体" w:cs="宋体"/>
          <w:color w:val="auto"/>
          <w:szCs w:val="22"/>
          <w:highlight w:val="none"/>
        </w:rPr>
      </w:pPr>
      <w:r>
        <w:rPr>
          <w:rFonts w:hint="eastAsia" w:ascii="宋体" w:hAnsi="宋体" w:cs="宋体"/>
          <w:color w:val="auto"/>
          <w:szCs w:val="22"/>
          <w:highlight w:val="none"/>
        </w:rPr>
        <w:t>法定代表人：</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szCs w:val="22"/>
          <w:highlight w:val="none"/>
        </w:rPr>
        <w:t>（签字</w:t>
      </w:r>
      <w:r>
        <w:rPr>
          <w:rFonts w:hint="eastAsia" w:ascii="宋体" w:hAnsi="宋体" w:cs="宋体"/>
          <w:color w:val="auto"/>
          <w:szCs w:val="22"/>
          <w:highlight w:val="none"/>
          <w:lang w:val="en-US" w:eastAsia="zh-CN"/>
        </w:rPr>
        <w:t>或盖章</w:t>
      </w:r>
      <w:r>
        <w:rPr>
          <w:rFonts w:hint="eastAsia" w:ascii="宋体" w:hAnsi="宋体" w:cs="宋体"/>
          <w:color w:val="auto"/>
          <w:szCs w:val="22"/>
          <w:highlight w:val="none"/>
        </w:rPr>
        <w:t>）</w:t>
      </w:r>
    </w:p>
    <w:p w14:paraId="7DCD8DB9">
      <w:pPr>
        <w:shd w:val="clear"/>
        <w:spacing w:line="440" w:lineRule="exact"/>
        <w:ind w:firstLine="2692" w:firstLineChars="1282"/>
        <w:rPr>
          <w:rFonts w:hint="eastAsia" w:ascii="宋体" w:hAnsi="宋体" w:cs="宋体"/>
          <w:color w:val="auto"/>
          <w:szCs w:val="22"/>
          <w:highlight w:val="none"/>
        </w:rPr>
      </w:pPr>
    </w:p>
    <w:p w14:paraId="04B34800">
      <w:pPr>
        <w:shd w:val="clear"/>
        <w:spacing w:line="440" w:lineRule="exact"/>
        <w:ind w:firstLine="2692" w:firstLineChars="1282"/>
        <w:rPr>
          <w:rFonts w:hint="eastAsia" w:ascii="宋体" w:hAnsi="宋体" w:cs="宋体"/>
          <w:color w:val="auto"/>
          <w:szCs w:val="22"/>
          <w:highlight w:val="none"/>
        </w:rPr>
      </w:pPr>
      <w:r>
        <w:rPr>
          <w:rFonts w:hint="eastAsia" w:ascii="宋体" w:hAnsi="宋体" w:cs="宋体"/>
          <w:color w:val="auto"/>
          <w:szCs w:val="22"/>
          <w:highlight w:val="none"/>
        </w:rPr>
        <w:t>身份证号码：</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p>
    <w:p w14:paraId="47138114">
      <w:pPr>
        <w:shd w:val="clear"/>
        <w:spacing w:line="440" w:lineRule="exact"/>
        <w:ind w:firstLine="2692" w:firstLineChars="1282"/>
        <w:rPr>
          <w:rFonts w:hint="eastAsia" w:ascii="宋体" w:hAnsi="宋体" w:cs="宋体"/>
          <w:color w:val="auto"/>
          <w:szCs w:val="22"/>
          <w:highlight w:val="none"/>
        </w:rPr>
      </w:pPr>
    </w:p>
    <w:p w14:paraId="3AF68684">
      <w:pPr>
        <w:shd w:val="clear"/>
        <w:spacing w:line="440" w:lineRule="exact"/>
        <w:ind w:firstLine="2692" w:firstLineChars="1282"/>
        <w:rPr>
          <w:rFonts w:hint="eastAsia" w:ascii="宋体" w:hAnsi="宋体" w:cs="宋体"/>
          <w:color w:val="auto"/>
          <w:szCs w:val="22"/>
          <w:highlight w:val="none"/>
        </w:rPr>
      </w:pPr>
      <w:r>
        <w:rPr>
          <w:rFonts w:hint="eastAsia" w:ascii="宋体" w:hAnsi="宋体" w:cs="宋体"/>
          <w:color w:val="auto"/>
          <w:szCs w:val="22"/>
          <w:highlight w:val="none"/>
        </w:rPr>
        <w:t>委托代理人：</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szCs w:val="22"/>
          <w:highlight w:val="none"/>
        </w:rPr>
        <w:t>（签字</w:t>
      </w:r>
      <w:r>
        <w:rPr>
          <w:rFonts w:hint="eastAsia" w:ascii="宋体" w:hAnsi="宋体" w:cs="宋体"/>
          <w:color w:val="auto"/>
          <w:szCs w:val="22"/>
          <w:highlight w:val="none"/>
          <w:lang w:val="en-US" w:eastAsia="zh-CN"/>
        </w:rPr>
        <w:t>或盖章</w:t>
      </w:r>
      <w:r>
        <w:rPr>
          <w:rFonts w:hint="eastAsia" w:ascii="宋体" w:hAnsi="宋体" w:cs="宋体"/>
          <w:color w:val="auto"/>
          <w:szCs w:val="22"/>
          <w:highlight w:val="none"/>
        </w:rPr>
        <w:t>）</w:t>
      </w:r>
    </w:p>
    <w:p w14:paraId="5AD70E44">
      <w:pPr>
        <w:shd w:val="clear"/>
        <w:spacing w:line="440" w:lineRule="exact"/>
        <w:ind w:firstLine="2692" w:firstLineChars="1282"/>
        <w:rPr>
          <w:rFonts w:hint="eastAsia" w:ascii="宋体" w:hAnsi="宋体" w:cs="宋体"/>
          <w:color w:val="auto"/>
          <w:szCs w:val="22"/>
          <w:highlight w:val="none"/>
        </w:rPr>
      </w:pPr>
    </w:p>
    <w:p w14:paraId="32CD8867">
      <w:pPr>
        <w:shd w:val="clear"/>
        <w:spacing w:line="440" w:lineRule="exact"/>
        <w:ind w:firstLine="2692" w:firstLineChars="1282"/>
        <w:rPr>
          <w:rFonts w:hint="eastAsia" w:ascii="宋体" w:hAnsi="宋体" w:cs="宋体"/>
          <w:color w:val="auto"/>
          <w:szCs w:val="22"/>
          <w:highlight w:val="none"/>
        </w:rPr>
      </w:pPr>
      <w:r>
        <w:rPr>
          <w:rFonts w:hint="eastAsia" w:ascii="宋体" w:hAnsi="宋体" w:cs="宋体"/>
          <w:color w:val="auto"/>
          <w:szCs w:val="22"/>
          <w:highlight w:val="none"/>
        </w:rPr>
        <w:t>身份证号码：</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p>
    <w:p w14:paraId="5BAA91CB">
      <w:pPr>
        <w:shd w:val="clear"/>
        <w:spacing w:line="440" w:lineRule="exact"/>
        <w:ind w:firstLine="2692" w:firstLineChars="1282"/>
        <w:rPr>
          <w:rFonts w:hint="eastAsia" w:ascii="宋体" w:hAnsi="宋体" w:cs="宋体"/>
          <w:color w:val="auto"/>
          <w:szCs w:val="22"/>
          <w:highlight w:val="none"/>
        </w:rPr>
      </w:pPr>
    </w:p>
    <w:p w14:paraId="0BB2F95C">
      <w:pPr>
        <w:shd w:val="clear"/>
        <w:spacing w:line="440" w:lineRule="exact"/>
        <w:ind w:firstLine="2692" w:firstLineChars="1282"/>
        <w:rPr>
          <w:rFonts w:hint="eastAsia" w:ascii="宋体" w:hAnsi="宋体" w:cs="宋体"/>
          <w:color w:val="auto"/>
          <w:szCs w:val="22"/>
          <w:highlight w:val="none"/>
        </w:rPr>
      </w:pPr>
    </w:p>
    <w:p w14:paraId="5742F756">
      <w:pPr>
        <w:shd w:val="clear"/>
        <w:spacing w:line="440" w:lineRule="exact"/>
        <w:ind w:firstLine="4057" w:firstLineChars="1932"/>
        <w:jc w:val="right"/>
        <w:rPr>
          <w:rFonts w:hint="eastAsia" w:ascii="宋体" w:hAnsi="宋体" w:cs="宋体"/>
          <w:color w:val="auto"/>
          <w:szCs w:val="22"/>
          <w:highlight w:val="none"/>
        </w:rPr>
      </w:pP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年</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日</w:t>
      </w:r>
    </w:p>
    <w:p w14:paraId="736A0F3C">
      <w:pPr>
        <w:shd w:val="clear"/>
        <w:spacing w:line="440" w:lineRule="exact"/>
        <w:ind w:firstLine="4057" w:firstLineChars="1932"/>
        <w:jc w:val="right"/>
        <w:rPr>
          <w:rFonts w:hint="eastAsia" w:ascii="宋体" w:hAnsi="宋体" w:cs="宋体"/>
          <w:color w:val="auto"/>
          <w:szCs w:val="22"/>
          <w:highlight w:val="none"/>
        </w:rPr>
      </w:pPr>
    </w:p>
    <w:p w14:paraId="16F28E73">
      <w:pPr>
        <w:shd w:val="clear"/>
        <w:rPr>
          <w:rFonts w:hint="eastAsia" w:ascii="宋体" w:hAnsi="宋体" w:cs="宋体"/>
          <w:color w:val="auto"/>
          <w:szCs w:val="22"/>
          <w:highlight w:val="none"/>
        </w:rPr>
      </w:pPr>
    </w:p>
    <w:p w14:paraId="4FA4668F">
      <w:pPr>
        <w:shd w:val="clear"/>
        <w:spacing w:before="260" w:after="260" w:line="410" w:lineRule="auto"/>
        <w:jc w:val="left"/>
        <w:outlineLvl w:val="1"/>
        <w:rPr>
          <w:rFonts w:hint="eastAsia" w:ascii="宋体" w:hAnsi="宋体" w:eastAsia="宋体" w:cs="宋体"/>
          <w:b/>
          <w:color w:val="auto"/>
          <w:sz w:val="32"/>
          <w:szCs w:val="20"/>
          <w:highlight w:val="none"/>
          <w:lang w:val="en-US" w:eastAsia="zh-CN"/>
        </w:rPr>
      </w:pPr>
      <w:r>
        <w:rPr>
          <w:rFonts w:hint="eastAsia" w:ascii="宋体" w:hAnsi="宋体" w:cs="宋体"/>
          <w:color w:val="auto"/>
          <w:highlight w:val="none"/>
        </w:rPr>
        <w:br w:type="page"/>
      </w:r>
      <w:bookmarkStart w:id="486" w:name="_Toc4142"/>
      <w:bookmarkStart w:id="487" w:name="_Toc526786513"/>
      <w:r>
        <w:rPr>
          <w:rFonts w:hint="eastAsia" w:ascii="宋体" w:hAnsi="宋体" w:eastAsia="宋体" w:cs="宋体"/>
          <w:b/>
          <w:color w:val="auto"/>
          <w:sz w:val="32"/>
          <w:szCs w:val="20"/>
          <w:highlight w:val="none"/>
          <w:lang w:val="en-US" w:eastAsia="zh-CN"/>
        </w:rPr>
        <w:t>格式</w:t>
      </w:r>
      <w:r>
        <w:rPr>
          <w:rFonts w:hint="eastAsia" w:ascii="宋体" w:hAnsi="宋体" w:cs="宋体"/>
          <w:b/>
          <w:color w:val="auto"/>
          <w:sz w:val="32"/>
          <w:szCs w:val="20"/>
          <w:highlight w:val="none"/>
          <w:lang w:val="en-US" w:eastAsia="zh-CN"/>
        </w:rPr>
        <w:t>四</w:t>
      </w:r>
      <w:r>
        <w:rPr>
          <w:rFonts w:hint="eastAsia" w:ascii="宋体" w:hAnsi="宋体" w:eastAsia="宋体" w:cs="宋体"/>
          <w:b/>
          <w:color w:val="auto"/>
          <w:sz w:val="32"/>
          <w:szCs w:val="20"/>
          <w:highlight w:val="none"/>
          <w:lang w:val="en-US" w:eastAsia="zh-CN"/>
        </w:rPr>
        <w:t>：监理报酬清单</w:t>
      </w:r>
      <w:bookmarkEnd w:id="486"/>
    </w:p>
    <w:p w14:paraId="02A39E59">
      <w:pPr>
        <w:shd w:val="clear"/>
        <w:spacing w:before="0" w:after="0" w:line="240" w:lineRule="auto"/>
        <w:jc w:val="left"/>
        <w:outlineLvl w:val="9"/>
        <w:rPr>
          <w:rFonts w:hint="default" w:ascii="Times New Roman" w:hAnsi="Times New Roman" w:eastAsia="宋体" w:cs="Times New Roman"/>
          <w:b w:val="0"/>
          <w:color w:val="auto"/>
          <w:sz w:val="32"/>
          <w:szCs w:val="21"/>
          <w:highlight w:val="none"/>
          <w:lang w:val="en-US" w:eastAsia="zh-CN"/>
        </w:rPr>
      </w:pPr>
      <w:r>
        <w:rPr>
          <w:rFonts w:hint="default" w:ascii="Times New Roman" w:hAnsi="Times New Roman" w:eastAsia="宋体" w:cs="Times New Roman"/>
          <w:b w:val="0"/>
          <w:color w:val="auto"/>
          <w:sz w:val="32"/>
          <w:szCs w:val="21"/>
          <w:highlight w:val="none"/>
          <w:lang w:val="en-US" w:eastAsia="zh-CN"/>
        </w:rPr>
        <w:t>格式自拟</w:t>
      </w:r>
    </w:p>
    <w:bookmarkEnd w:id="487"/>
    <w:p w14:paraId="30A5BCD7">
      <w:pPr>
        <w:shd w:val="clear"/>
        <w:spacing w:before="260" w:after="260" w:line="410" w:lineRule="auto"/>
        <w:jc w:val="left"/>
        <w:outlineLvl w:val="1"/>
        <w:rPr>
          <w:rFonts w:hint="eastAsia" w:ascii="宋体" w:hAnsi="宋体" w:eastAsia="宋体" w:cs="宋体"/>
          <w:b/>
          <w:color w:val="auto"/>
          <w:sz w:val="32"/>
          <w:szCs w:val="20"/>
          <w:highlight w:val="none"/>
          <w:lang w:val="en-US" w:eastAsia="zh-CN"/>
        </w:rPr>
      </w:pPr>
      <w:bookmarkStart w:id="488" w:name="_Toc361508760"/>
      <w:r>
        <w:rPr>
          <w:rFonts w:hint="eastAsia" w:ascii="宋体" w:hAnsi="宋体" w:cs="宋体"/>
          <w:color w:val="auto"/>
          <w:szCs w:val="20"/>
          <w:highlight w:val="none"/>
        </w:rPr>
        <w:br w:type="page"/>
      </w:r>
      <w:bookmarkStart w:id="489" w:name="_Toc526786514"/>
      <w:bookmarkStart w:id="490" w:name="_Toc17773"/>
      <w:r>
        <w:rPr>
          <w:rFonts w:hint="eastAsia" w:ascii="宋体" w:hAnsi="宋体" w:eastAsia="宋体" w:cs="宋体"/>
          <w:b/>
          <w:color w:val="auto"/>
          <w:sz w:val="32"/>
          <w:szCs w:val="20"/>
          <w:highlight w:val="none"/>
          <w:lang w:val="en-US" w:eastAsia="zh-CN"/>
        </w:rPr>
        <w:t>格式五：资格审查资料</w:t>
      </w:r>
      <w:bookmarkEnd w:id="489"/>
      <w:bookmarkEnd w:id="490"/>
    </w:p>
    <w:p w14:paraId="4926E5C6">
      <w:pPr>
        <w:pStyle w:val="25"/>
        <w:shd w:val="clear"/>
        <w:jc w:val="center"/>
        <w:rPr>
          <w:rFonts w:hint="eastAsia"/>
          <w:color w:val="auto"/>
          <w:highlight w:val="none"/>
        </w:rPr>
      </w:pPr>
      <w:r>
        <w:rPr>
          <w:rFonts w:hint="eastAsia" w:ascii="宋体" w:hAnsi="宋体" w:cs="宋体"/>
          <w:b/>
          <w:color w:val="auto"/>
          <w:sz w:val="32"/>
          <w:szCs w:val="20"/>
          <w:highlight w:val="none"/>
        </w:rPr>
        <w:t>资格审查资料</w:t>
      </w:r>
    </w:p>
    <w:p w14:paraId="78085E72">
      <w:pPr>
        <w:shd w:val="clear"/>
        <w:spacing w:before="20" w:line="410" w:lineRule="auto"/>
        <w:ind w:firstLine="137" w:firstLineChars="49"/>
        <w:outlineLvl w:val="2"/>
        <w:rPr>
          <w:rFonts w:hint="eastAsia" w:ascii="宋体" w:hAnsi="宋体" w:cs="宋体"/>
          <w:color w:val="auto"/>
          <w:sz w:val="28"/>
          <w:szCs w:val="20"/>
          <w:highlight w:val="none"/>
        </w:rPr>
      </w:pPr>
      <w:bookmarkStart w:id="491" w:name="_Toc526786515"/>
      <w:bookmarkStart w:id="492" w:name="_Toc10174"/>
      <w:r>
        <w:rPr>
          <w:rFonts w:hint="eastAsia" w:ascii="宋体" w:hAnsi="宋体" w:cs="宋体"/>
          <w:color w:val="auto"/>
          <w:sz w:val="28"/>
          <w:szCs w:val="20"/>
          <w:highlight w:val="none"/>
        </w:rPr>
        <w:t>（一）基本情况表</w:t>
      </w:r>
      <w:bookmarkEnd w:id="491"/>
      <w:bookmarkEnd w:id="492"/>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25BC0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5A7680C">
            <w:pPr>
              <w:shd w:val="clea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6DAF5C31">
            <w:pPr>
              <w:shd w:val="clear"/>
              <w:topLinePunct/>
              <w:spacing w:line="440" w:lineRule="exact"/>
              <w:jc w:val="center"/>
              <w:rPr>
                <w:rFonts w:hint="eastAsia" w:ascii="宋体" w:hAnsi="宋体" w:cs="宋体"/>
                <w:color w:val="auto"/>
                <w:highlight w:val="none"/>
              </w:rPr>
            </w:pPr>
          </w:p>
        </w:tc>
      </w:tr>
      <w:tr w14:paraId="7B17F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B61A2D1">
            <w:pPr>
              <w:shd w:val="clea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025A59C">
            <w:pPr>
              <w:shd w:val="clear"/>
              <w:topLinePunct/>
              <w:spacing w:line="440" w:lineRule="exact"/>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40B73D0B">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44265AC">
            <w:pPr>
              <w:shd w:val="clear"/>
              <w:topLinePunct/>
              <w:spacing w:line="440" w:lineRule="exact"/>
              <w:jc w:val="center"/>
              <w:rPr>
                <w:rFonts w:hint="eastAsia" w:ascii="宋体" w:hAnsi="宋体" w:cs="宋体"/>
                <w:color w:val="auto"/>
                <w:highlight w:val="none"/>
              </w:rPr>
            </w:pPr>
          </w:p>
        </w:tc>
      </w:tr>
      <w:tr w14:paraId="2EB80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2FD793B6">
            <w:pPr>
              <w:shd w:val="clea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91AE436">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600EAAA4">
            <w:pPr>
              <w:shd w:val="clear"/>
              <w:topLinePunct/>
              <w:spacing w:line="440" w:lineRule="exact"/>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3824E71C">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A6A5835">
            <w:pPr>
              <w:shd w:val="clear"/>
              <w:topLinePunct/>
              <w:spacing w:line="440" w:lineRule="exact"/>
              <w:jc w:val="center"/>
              <w:rPr>
                <w:rFonts w:hint="eastAsia" w:ascii="宋体" w:hAnsi="宋体" w:cs="宋体"/>
                <w:color w:val="auto"/>
                <w:highlight w:val="none"/>
              </w:rPr>
            </w:pPr>
          </w:p>
        </w:tc>
      </w:tr>
      <w:tr w14:paraId="59DCE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0A889E88">
            <w:pPr>
              <w:widowControl/>
              <w:shd w:val="clear"/>
              <w:jc w:val="left"/>
              <w:rPr>
                <w:rFonts w:hint="eastAsia"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4E25AAA0">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214FC5C3">
            <w:pPr>
              <w:shd w:val="clear"/>
              <w:topLinePunct/>
              <w:spacing w:line="440" w:lineRule="exact"/>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16681F21">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05DC8BF">
            <w:pPr>
              <w:shd w:val="clear"/>
              <w:topLinePunct/>
              <w:spacing w:line="440" w:lineRule="exact"/>
              <w:jc w:val="center"/>
              <w:rPr>
                <w:rFonts w:hint="eastAsia" w:ascii="宋体" w:hAnsi="宋体" w:cs="宋体"/>
                <w:color w:val="auto"/>
                <w:highlight w:val="none"/>
              </w:rPr>
            </w:pPr>
          </w:p>
        </w:tc>
      </w:tr>
      <w:tr w14:paraId="57B55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246105E">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8E40700">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889198C">
            <w:pPr>
              <w:shd w:val="clear"/>
              <w:topLinePunct/>
              <w:spacing w:line="440" w:lineRule="exact"/>
              <w:jc w:val="center"/>
              <w:rPr>
                <w:rFonts w:hint="eastAsia"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469C849">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2742F8BB">
            <w:pPr>
              <w:shd w:val="clear"/>
              <w:topLinePunct/>
              <w:spacing w:line="440" w:lineRule="exact"/>
              <w:jc w:val="center"/>
              <w:rPr>
                <w:rFonts w:hint="eastAsia"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35AE4B57">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F0DFF8F">
            <w:pPr>
              <w:shd w:val="clear"/>
              <w:topLinePunct/>
              <w:spacing w:line="440" w:lineRule="exact"/>
              <w:jc w:val="center"/>
              <w:rPr>
                <w:rFonts w:hint="eastAsia" w:ascii="宋体" w:hAnsi="宋体" w:cs="宋体"/>
                <w:color w:val="auto"/>
                <w:highlight w:val="none"/>
              </w:rPr>
            </w:pPr>
          </w:p>
        </w:tc>
      </w:tr>
      <w:tr w14:paraId="5F4CA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B48B724">
            <w:pPr>
              <w:shd w:val="clea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908D1A5">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30AF520">
            <w:pPr>
              <w:shd w:val="clear"/>
              <w:topLinePunct/>
              <w:spacing w:line="440" w:lineRule="exact"/>
              <w:jc w:val="center"/>
              <w:rPr>
                <w:rFonts w:hint="eastAsia"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C5F8DEB">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26793B4">
            <w:pPr>
              <w:shd w:val="clear"/>
              <w:topLinePunct/>
              <w:spacing w:line="440" w:lineRule="exact"/>
              <w:jc w:val="center"/>
              <w:rPr>
                <w:rFonts w:hint="eastAsia"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242CBB63">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B5151B5">
            <w:pPr>
              <w:shd w:val="clear"/>
              <w:topLinePunct/>
              <w:spacing w:line="440" w:lineRule="exact"/>
              <w:jc w:val="center"/>
              <w:rPr>
                <w:rFonts w:hint="eastAsia" w:ascii="宋体" w:hAnsi="宋体" w:cs="宋体"/>
                <w:color w:val="auto"/>
                <w:highlight w:val="none"/>
              </w:rPr>
            </w:pPr>
          </w:p>
        </w:tc>
      </w:tr>
      <w:tr w14:paraId="5F7B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4551505">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企业监理资质证书</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0A832DA5">
            <w:pPr>
              <w:shd w:val="clear"/>
              <w:topLinePunct/>
              <w:spacing w:before="100" w:beforeAutospacing="1" w:after="100" w:afterAutospacing="1" w:line="44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14:paraId="2084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9906FD0">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2A1A436A">
            <w:pPr>
              <w:shd w:val="clear"/>
              <w:topLinePunct/>
              <w:spacing w:before="100" w:beforeAutospacing="1" w:after="100" w:afterAutospacing="1" w:line="44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14:paraId="06237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BA8D5A1">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6715DEF">
            <w:pPr>
              <w:shd w:val="clear"/>
              <w:topLinePunct/>
              <w:spacing w:line="440" w:lineRule="exact"/>
              <w:jc w:val="center"/>
              <w:rPr>
                <w:rFonts w:hint="eastAsia" w:ascii="宋体" w:hAnsi="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14:paraId="3D7FDD3E">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员工总人数：</w:t>
            </w:r>
          </w:p>
        </w:tc>
      </w:tr>
      <w:tr w14:paraId="5CB5D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037ABD6">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1BC01D7">
            <w:pPr>
              <w:shd w:val="clear"/>
              <w:topLinePunct/>
              <w:spacing w:line="440" w:lineRule="exact"/>
              <w:jc w:val="center"/>
              <w:rPr>
                <w:rFonts w:hint="eastAsia" w:ascii="宋体" w:hAnsi="宋体" w:cs="宋体"/>
                <w:color w:val="auto"/>
                <w:highlight w:val="none"/>
              </w:rPr>
            </w:pPr>
          </w:p>
        </w:tc>
        <w:tc>
          <w:tcPr>
            <w:tcW w:w="414" w:type="dxa"/>
            <w:vMerge w:val="restart"/>
            <w:tcBorders>
              <w:top w:val="single" w:color="auto" w:sz="4" w:space="0"/>
              <w:left w:val="single" w:color="auto" w:sz="4" w:space="0"/>
              <w:bottom w:val="nil"/>
              <w:right w:val="single" w:color="auto" w:sz="4" w:space="0"/>
            </w:tcBorders>
            <w:noWrap w:val="0"/>
            <w:vAlign w:val="center"/>
          </w:tcPr>
          <w:p w14:paraId="4CC4CF82">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2ECE299">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4475280">
            <w:pPr>
              <w:shd w:val="clear"/>
              <w:topLinePunct/>
              <w:spacing w:line="440" w:lineRule="exact"/>
              <w:jc w:val="center"/>
              <w:rPr>
                <w:rFonts w:hint="eastAsia" w:ascii="宋体" w:hAnsi="宋体" w:cs="宋体"/>
                <w:color w:val="auto"/>
                <w:highlight w:val="none"/>
              </w:rPr>
            </w:pPr>
          </w:p>
        </w:tc>
      </w:tr>
      <w:tr w14:paraId="14A13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A714DD7">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59C8D499">
            <w:pPr>
              <w:shd w:val="clear"/>
              <w:topLinePunct/>
              <w:spacing w:line="440" w:lineRule="exact"/>
              <w:jc w:val="center"/>
              <w:rPr>
                <w:rFonts w:hint="eastAsia" w:ascii="宋体" w:hAnsi="宋体" w:cs="宋体"/>
                <w:color w:val="auto"/>
                <w:highlight w:val="none"/>
              </w:rPr>
            </w:pPr>
          </w:p>
        </w:tc>
        <w:tc>
          <w:tcPr>
            <w:tcW w:w="414" w:type="dxa"/>
            <w:vMerge w:val="continue"/>
            <w:tcBorders>
              <w:top w:val="single" w:color="auto" w:sz="4" w:space="0"/>
              <w:left w:val="single" w:color="auto" w:sz="4" w:space="0"/>
              <w:bottom w:val="nil"/>
              <w:right w:val="single" w:color="auto" w:sz="4" w:space="0"/>
            </w:tcBorders>
            <w:noWrap w:val="0"/>
            <w:vAlign w:val="center"/>
          </w:tcPr>
          <w:p w14:paraId="4B38F8BA">
            <w:pPr>
              <w:widowControl/>
              <w:shd w:val="clear"/>
              <w:jc w:val="left"/>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8D53FDE">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B2108A6">
            <w:pPr>
              <w:shd w:val="clear"/>
              <w:topLinePunct/>
              <w:spacing w:line="440" w:lineRule="exact"/>
              <w:jc w:val="center"/>
              <w:rPr>
                <w:rFonts w:hint="eastAsia" w:ascii="宋体" w:hAnsi="宋体" w:cs="宋体"/>
                <w:color w:val="auto"/>
                <w:highlight w:val="none"/>
              </w:rPr>
            </w:pPr>
          </w:p>
        </w:tc>
      </w:tr>
      <w:tr w14:paraId="7AF0A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D7C3661">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52693E42">
            <w:pPr>
              <w:shd w:val="clear"/>
              <w:topLinePunct/>
              <w:spacing w:line="440" w:lineRule="exact"/>
              <w:jc w:val="center"/>
              <w:rPr>
                <w:rFonts w:hint="eastAsia" w:ascii="宋体" w:hAnsi="宋体" w:cs="宋体"/>
                <w:color w:val="auto"/>
                <w:highlight w:val="none"/>
              </w:rPr>
            </w:pPr>
          </w:p>
        </w:tc>
        <w:tc>
          <w:tcPr>
            <w:tcW w:w="414" w:type="dxa"/>
            <w:vMerge w:val="continue"/>
            <w:tcBorders>
              <w:top w:val="single" w:color="auto" w:sz="4" w:space="0"/>
              <w:left w:val="single" w:color="auto" w:sz="4" w:space="0"/>
              <w:bottom w:val="nil"/>
              <w:right w:val="single" w:color="auto" w:sz="4" w:space="0"/>
            </w:tcBorders>
            <w:noWrap w:val="0"/>
            <w:vAlign w:val="center"/>
          </w:tcPr>
          <w:p w14:paraId="186A6DFD">
            <w:pPr>
              <w:widowControl/>
              <w:shd w:val="clear"/>
              <w:jc w:val="left"/>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0B1C6C3">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C8E612E">
            <w:pPr>
              <w:shd w:val="clear"/>
              <w:topLinePunct/>
              <w:spacing w:line="440" w:lineRule="exact"/>
              <w:jc w:val="center"/>
              <w:rPr>
                <w:rFonts w:hint="eastAsia" w:ascii="宋体" w:hAnsi="宋体" w:cs="宋体"/>
                <w:color w:val="auto"/>
                <w:highlight w:val="none"/>
              </w:rPr>
            </w:pPr>
          </w:p>
        </w:tc>
      </w:tr>
      <w:tr w14:paraId="263B2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3E389BF">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3F620EE2">
            <w:pPr>
              <w:shd w:val="clear"/>
              <w:topLinePunct/>
              <w:spacing w:line="440" w:lineRule="exact"/>
              <w:jc w:val="center"/>
              <w:rPr>
                <w:rFonts w:hint="eastAsia" w:ascii="宋体" w:hAnsi="宋体" w:cs="宋体"/>
                <w:color w:val="auto"/>
                <w:highlight w:val="none"/>
              </w:rPr>
            </w:pPr>
          </w:p>
        </w:tc>
        <w:tc>
          <w:tcPr>
            <w:tcW w:w="414" w:type="dxa"/>
            <w:vMerge w:val="continue"/>
            <w:tcBorders>
              <w:top w:val="single" w:color="auto" w:sz="4" w:space="0"/>
              <w:left w:val="single" w:color="auto" w:sz="4" w:space="0"/>
              <w:bottom w:val="nil"/>
              <w:right w:val="single" w:color="auto" w:sz="4" w:space="0"/>
            </w:tcBorders>
            <w:noWrap w:val="0"/>
            <w:vAlign w:val="center"/>
          </w:tcPr>
          <w:p w14:paraId="041537AD">
            <w:pPr>
              <w:widowControl/>
              <w:shd w:val="clear"/>
              <w:jc w:val="left"/>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7A14E05">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49C13E75">
            <w:pPr>
              <w:shd w:val="clear"/>
              <w:topLinePunct/>
              <w:spacing w:line="440" w:lineRule="exact"/>
              <w:jc w:val="center"/>
              <w:rPr>
                <w:rFonts w:hint="eastAsia" w:ascii="宋体" w:hAnsi="宋体" w:cs="宋体"/>
                <w:color w:val="auto"/>
                <w:highlight w:val="none"/>
              </w:rPr>
            </w:pPr>
          </w:p>
        </w:tc>
      </w:tr>
      <w:tr w14:paraId="4A266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noWrap w:val="0"/>
            <w:vAlign w:val="center"/>
          </w:tcPr>
          <w:p w14:paraId="1379F0E4">
            <w:pPr>
              <w:shd w:val="clear"/>
              <w:topLinePunct/>
              <w:spacing w:before="100" w:beforeAutospacing="1" w:after="100" w:afterAutospacing="1" w:line="440" w:lineRule="exact"/>
              <w:ind w:firstLine="210" w:firstLineChars="100"/>
              <w:jc w:val="center"/>
              <w:rPr>
                <w:rFonts w:hint="eastAsia" w:ascii="宋体" w:hAnsi="宋体" w:cs="宋体"/>
                <w:color w:val="auto"/>
                <w:highlight w:val="none"/>
              </w:rPr>
            </w:pPr>
            <w:r>
              <w:rPr>
                <w:rFonts w:hint="eastAsia" w:ascii="宋体" w:hAnsi="宋体" w:cs="宋体"/>
                <w:color w:val="auto"/>
                <w:highlight w:val="none"/>
              </w:rPr>
              <w:t>经营范围</w:t>
            </w:r>
          </w:p>
        </w:tc>
        <w:tc>
          <w:tcPr>
            <w:tcW w:w="6840" w:type="dxa"/>
            <w:gridSpan w:val="8"/>
            <w:tcBorders>
              <w:top w:val="single" w:color="auto" w:sz="4" w:space="0"/>
              <w:left w:val="single" w:color="auto" w:sz="4" w:space="0"/>
              <w:bottom w:val="nil"/>
              <w:right w:val="single" w:color="auto" w:sz="4" w:space="0"/>
            </w:tcBorders>
            <w:noWrap w:val="0"/>
            <w:vAlign w:val="center"/>
          </w:tcPr>
          <w:p w14:paraId="5F1FC96C">
            <w:pPr>
              <w:shd w:val="clear"/>
              <w:topLinePunct/>
              <w:spacing w:line="440" w:lineRule="exact"/>
              <w:jc w:val="center"/>
              <w:rPr>
                <w:rFonts w:hint="eastAsia" w:ascii="宋体" w:hAnsi="宋体" w:cs="宋体"/>
                <w:color w:val="auto"/>
                <w:highlight w:val="none"/>
              </w:rPr>
            </w:pPr>
          </w:p>
        </w:tc>
      </w:tr>
      <w:tr w14:paraId="64451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noWrap w:val="0"/>
            <w:vAlign w:val="center"/>
          </w:tcPr>
          <w:p w14:paraId="798568AA">
            <w:pPr>
              <w:shd w:val="clear"/>
              <w:topLinePunct/>
              <w:spacing w:before="100" w:beforeAutospacing="1" w:after="100" w:afterAutospacing="1" w:line="400" w:lineRule="exact"/>
              <w:jc w:val="center"/>
              <w:rPr>
                <w:rFonts w:hint="eastAsia" w:ascii="宋体" w:hAnsi="宋体" w:cs="宋体"/>
                <w:color w:val="auto"/>
                <w:highlight w:val="none"/>
              </w:rPr>
            </w:pPr>
            <w:r>
              <w:rPr>
                <w:rFonts w:hint="eastAsia" w:ascii="宋体" w:hAnsi="宋体" w:cs="宋体"/>
                <w:color w:val="auto"/>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noWrap w:val="0"/>
            <w:vAlign w:val="center"/>
          </w:tcPr>
          <w:p w14:paraId="4ED43017">
            <w:pPr>
              <w:shd w:val="clear"/>
              <w:topLinePunct/>
              <w:spacing w:line="440" w:lineRule="exact"/>
              <w:jc w:val="center"/>
              <w:rPr>
                <w:rFonts w:hint="eastAsia" w:ascii="宋体" w:hAnsi="宋体" w:cs="宋体"/>
                <w:color w:val="auto"/>
                <w:highlight w:val="none"/>
              </w:rPr>
            </w:pPr>
          </w:p>
        </w:tc>
      </w:tr>
      <w:tr w14:paraId="1D568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F60F24C">
            <w:pPr>
              <w:shd w:val="clea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524E7063">
            <w:pPr>
              <w:shd w:val="clear"/>
              <w:topLinePunct/>
              <w:spacing w:line="440" w:lineRule="exact"/>
              <w:jc w:val="center"/>
              <w:rPr>
                <w:rFonts w:hint="eastAsia" w:ascii="宋体" w:hAnsi="宋体" w:cs="宋体"/>
                <w:color w:val="auto"/>
                <w:highlight w:val="none"/>
              </w:rPr>
            </w:pPr>
          </w:p>
        </w:tc>
      </w:tr>
    </w:tbl>
    <w:p w14:paraId="6D1ACC54">
      <w:pPr>
        <w:shd w:val="clear"/>
        <w:spacing w:line="400" w:lineRule="exact"/>
        <w:rPr>
          <w:rFonts w:hint="eastAsia" w:ascii="宋体" w:hAnsi="宋体" w:cs="宋体"/>
          <w:color w:val="auto"/>
          <w:szCs w:val="22"/>
          <w:highlight w:val="none"/>
        </w:rPr>
      </w:pPr>
      <w:r>
        <w:rPr>
          <w:rFonts w:hint="eastAsia" w:ascii="宋体" w:hAnsi="宋体" w:cs="宋体"/>
          <w:color w:val="auto"/>
          <w:szCs w:val="22"/>
          <w:highlight w:val="none"/>
        </w:rPr>
        <w:t>注：投标人应根据投标人须知第3.5.1项的要求在本表后附相关证明材料。</w:t>
      </w:r>
    </w:p>
    <w:bookmarkEnd w:id="488"/>
    <w:p w14:paraId="22E7822C">
      <w:pPr>
        <w:shd w:val="clear"/>
        <w:spacing w:before="260" w:after="260" w:line="410" w:lineRule="auto"/>
        <w:ind w:firstLine="137" w:firstLineChars="49"/>
        <w:outlineLvl w:val="2"/>
        <w:rPr>
          <w:rFonts w:hint="eastAsia" w:ascii="宋体" w:hAnsi="宋体" w:cs="宋体"/>
          <w:color w:val="auto"/>
          <w:sz w:val="28"/>
          <w:szCs w:val="20"/>
          <w:highlight w:val="none"/>
        </w:rPr>
      </w:pPr>
      <w:bookmarkStart w:id="493" w:name="_Toc152045805"/>
      <w:bookmarkStart w:id="494" w:name="_Toc179632825"/>
      <w:bookmarkStart w:id="495" w:name="_Toc300835232"/>
      <w:bookmarkStart w:id="496" w:name="_Toc152042594"/>
      <w:bookmarkStart w:id="497" w:name="_Toc391394125"/>
      <w:bookmarkStart w:id="498" w:name="_Toc144974873"/>
      <w:bookmarkStart w:id="499" w:name="_Toc370676440"/>
      <w:bookmarkStart w:id="500" w:name="_Toc384308390"/>
      <w:bookmarkStart w:id="501" w:name="_Toc359594249"/>
      <w:bookmarkStart w:id="502" w:name="_Toc385943079"/>
      <w:bookmarkStart w:id="503" w:name="_Toc482188668"/>
      <w:bookmarkStart w:id="504" w:name="_Toc526786521"/>
      <w:r>
        <w:rPr>
          <w:rFonts w:hint="eastAsia" w:ascii="宋体" w:hAnsi="宋体" w:cs="宋体"/>
          <w:color w:val="auto"/>
          <w:sz w:val="28"/>
          <w:szCs w:val="20"/>
          <w:highlight w:val="none"/>
        </w:rPr>
        <w:br w:type="page"/>
      </w:r>
      <w:bookmarkStart w:id="505" w:name="_Toc31051"/>
      <w:r>
        <w:rPr>
          <w:rFonts w:hint="eastAsia" w:ascii="宋体" w:hAnsi="宋体" w:cs="宋体"/>
          <w:color w:val="auto"/>
          <w:sz w:val="28"/>
          <w:szCs w:val="20"/>
          <w:highlight w:val="none"/>
        </w:rPr>
        <w:t>（</w:t>
      </w:r>
      <w:r>
        <w:rPr>
          <w:rFonts w:hint="eastAsia" w:ascii="宋体" w:hAnsi="宋体" w:cs="宋体"/>
          <w:color w:val="auto"/>
          <w:sz w:val="28"/>
          <w:szCs w:val="20"/>
          <w:highlight w:val="none"/>
          <w:lang w:val="en-US" w:eastAsia="zh-CN"/>
        </w:rPr>
        <w:t>二</w:t>
      </w:r>
      <w:r>
        <w:rPr>
          <w:rFonts w:hint="eastAsia" w:ascii="宋体" w:hAnsi="宋体" w:cs="宋体"/>
          <w:color w:val="auto"/>
          <w:sz w:val="28"/>
          <w:szCs w:val="20"/>
          <w:highlight w:val="none"/>
        </w:rPr>
        <w:t>）主要人员简历表</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781AFFBD">
      <w:pPr>
        <w:shd w:val="clear"/>
        <w:topLinePunct/>
        <w:spacing w:line="44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人员简历表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163"/>
        <w:gridCol w:w="676"/>
        <w:gridCol w:w="1065"/>
        <w:gridCol w:w="706"/>
        <w:gridCol w:w="1261"/>
        <w:gridCol w:w="401"/>
        <w:gridCol w:w="1896"/>
      </w:tblGrid>
      <w:tr w14:paraId="3717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7B00D5B2">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0BD145F">
            <w:pPr>
              <w:shd w:val="clear"/>
              <w:spacing w:line="440" w:lineRule="exact"/>
              <w:jc w:val="center"/>
              <w:rPr>
                <w:rFonts w:hint="eastAsia" w:ascii="宋体" w:hAnsi="宋体" w:cs="宋体"/>
                <w:color w:val="auto"/>
                <w:highlight w:val="none"/>
              </w:rPr>
            </w:pPr>
          </w:p>
        </w:tc>
        <w:tc>
          <w:tcPr>
            <w:tcW w:w="676" w:type="dxa"/>
            <w:tcBorders>
              <w:top w:val="single" w:color="auto" w:sz="4" w:space="0"/>
              <w:left w:val="single" w:color="auto" w:sz="4" w:space="0"/>
              <w:bottom w:val="single" w:color="auto" w:sz="4" w:space="0"/>
              <w:right w:val="single" w:color="auto" w:sz="4" w:space="0"/>
            </w:tcBorders>
            <w:noWrap w:val="0"/>
            <w:vAlign w:val="center"/>
          </w:tcPr>
          <w:p w14:paraId="6AC7C660">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年龄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FA19CAB">
            <w:pPr>
              <w:shd w:val="clear"/>
              <w:spacing w:line="440" w:lineRule="exact"/>
              <w:jc w:val="center"/>
              <w:rPr>
                <w:rFonts w:hint="eastAsia" w:ascii="宋体" w:hAnsi="宋体" w:cs="宋体"/>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64028710">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3A3B7FD">
            <w:pPr>
              <w:shd w:val="clear"/>
              <w:spacing w:line="440" w:lineRule="exact"/>
              <w:jc w:val="center"/>
              <w:rPr>
                <w:rFonts w:hint="eastAsia" w:ascii="宋体" w:hAnsi="宋体" w:cs="宋体"/>
                <w:color w:val="auto"/>
                <w:highlight w:val="none"/>
              </w:rPr>
            </w:pPr>
          </w:p>
        </w:tc>
      </w:tr>
      <w:tr w14:paraId="452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B368AB4">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41C25EE">
            <w:pPr>
              <w:shd w:val="clear"/>
              <w:spacing w:line="440" w:lineRule="exact"/>
              <w:jc w:val="center"/>
              <w:rPr>
                <w:rFonts w:hint="eastAsia" w:ascii="宋体" w:hAnsi="宋体" w:cs="宋体"/>
                <w:color w:val="auto"/>
                <w:highlight w:val="none"/>
              </w:rPr>
            </w:pPr>
          </w:p>
        </w:tc>
        <w:tc>
          <w:tcPr>
            <w:tcW w:w="676" w:type="dxa"/>
            <w:tcBorders>
              <w:top w:val="single" w:color="auto" w:sz="4" w:space="0"/>
              <w:left w:val="single" w:color="auto" w:sz="4" w:space="0"/>
              <w:bottom w:val="single" w:color="auto" w:sz="4" w:space="0"/>
              <w:right w:val="single" w:color="auto" w:sz="4" w:space="0"/>
            </w:tcBorders>
            <w:noWrap w:val="0"/>
            <w:vAlign w:val="center"/>
          </w:tcPr>
          <w:p w14:paraId="26AF5DC1">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学历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F85E39D">
            <w:pPr>
              <w:shd w:val="clear"/>
              <w:spacing w:line="440" w:lineRule="exact"/>
              <w:jc w:val="center"/>
              <w:rPr>
                <w:rFonts w:hint="eastAsia" w:ascii="宋体" w:hAnsi="宋体" w:cs="宋体"/>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54B35F78">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拟在本项目任职</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867B54A">
            <w:pPr>
              <w:shd w:val="clear"/>
              <w:spacing w:line="440" w:lineRule="exact"/>
              <w:jc w:val="center"/>
              <w:rPr>
                <w:rFonts w:hint="eastAsia" w:ascii="宋体" w:hAnsi="宋体" w:cs="宋体"/>
                <w:color w:val="auto"/>
                <w:highlight w:val="none"/>
              </w:rPr>
            </w:pPr>
          </w:p>
        </w:tc>
      </w:tr>
      <w:tr w14:paraId="5BDD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F67C929">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工作年限</w:t>
            </w:r>
          </w:p>
        </w:tc>
        <w:tc>
          <w:tcPr>
            <w:tcW w:w="2904" w:type="dxa"/>
            <w:gridSpan w:val="3"/>
            <w:tcBorders>
              <w:top w:val="single" w:color="auto" w:sz="4" w:space="0"/>
              <w:left w:val="single" w:color="auto" w:sz="4" w:space="0"/>
              <w:bottom w:val="single" w:color="auto" w:sz="4" w:space="0"/>
              <w:right w:val="single" w:color="auto" w:sz="4" w:space="0"/>
            </w:tcBorders>
            <w:noWrap w:val="0"/>
            <w:vAlign w:val="center"/>
          </w:tcPr>
          <w:p w14:paraId="5A8C2F0A">
            <w:pPr>
              <w:shd w:val="clear"/>
              <w:spacing w:line="440" w:lineRule="exact"/>
              <w:jc w:val="center"/>
              <w:rPr>
                <w:rFonts w:hint="eastAsia" w:ascii="宋体" w:hAnsi="宋体" w:cs="宋体"/>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noWrap w:val="0"/>
            <w:vAlign w:val="center"/>
          </w:tcPr>
          <w:p w14:paraId="7ADEBA4A">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从事监理工作年限</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C96056B">
            <w:pPr>
              <w:shd w:val="clear"/>
              <w:spacing w:line="440" w:lineRule="exact"/>
              <w:jc w:val="center"/>
              <w:rPr>
                <w:rFonts w:hint="eastAsia" w:ascii="宋体" w:hAnsi="宋体" w:cs="宋体"/>
                <w:color w:val="auto"/>
                <w:highlight w:val="none"/>
              </w:rPr>
            </w:pPr>
          </w:p>
        </w:tc>
      </w:tr>
      <w:tr w14:paraId="0612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1150C72">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毕业学校</w:t>
            </w:r>
          </w:p>
        </w:tc>
        <w:tc>
          <w:tcPr>
            <w:tcW w:w="7168" w:type="dxa"/>
            <w:gridSpan w:val="7"/>
            <w:tcBorders>
              <w:top w:val="single" w:color="auto" w:sz="4" w:space="0"/>
              <w:left w:val="single" w:color="auto" w:sz="4" w:space="0"/>
              <w:bottom w:val="single" w:color="auto" w:sz="4" w:space="0"/>
              <w:right w:val="single" w:color="auto" w:sz="4" w:space="0"/>
            </w:tcBorders>
            <w:noWrap w:val="0"/>
            <w:vAlign w:val="center"/>
          </w:tcPr>
          <w:p w14:paraId="27727823">
            <w:pPr>
              <w:shd w:val="clear"/>
              <w:spacing w:before="100" w:beforeAutospacing="1" w:after="100" w:afterAutospacing="1" w:line="440" w:lineRule="exact"/>
              <w:ind w:firstLine="1155" w:firstLineChars="550"/>
              <w:rPr>
                <w:rFonts w:hint="eastAsia" w:ascii="宋体" w:hAnsi="宋体" w:cs="宋体"/>
                <w:color w:val="auto"/>
                <w:highlight w:val="none"/>
              </w:rPr>
            </w:pPr>
            <w:r>
              <w:rPr>
                <w:rFonts w:hint="eastAsia" w:ascii="宋体" w:hAnsi="宋体" w:cs="宋体"/>
                <w:color w:val="auto"/>
                <w:highlight w:val="none"/>
              </w:rPr>
              <w:t>年毕业于            学校        专业</w:t>
            </w:r>
          </w:p>
        </w:tc>
      </w:tr>
      <w:tr w14:paraId="2AD9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center"/>
          </w:tcPr>
          <w:p w14:paraId="5BF11CC8">
            <w:pPr>
              <w:shd w:val="clear"/>
              <w:spacing w:before="100" w:beforeAutospacing="1" w:after="100" w:afterAutospacing="1" w:line="440" w:lineRule="exact"/>
              <w:jc w:val="left"/>
              <w:rPr>
                <w:rFonts w:hint="eastAsia" w:ascii="宋体" w:hAnsi="宋体" w:cs="宋体"/>
                <w:color w:val="auto"/>
                <w:highlight w:val="none"/>
              </w:rPr>
            </w:pPr>
            <w:r>
              <w:rPr>
                <w:rFonts w:hint="eastAsia" w:ascii="宋体" w:hAnsi="宋体" w:cs="宋体"/>
                <w:color w:val="auto"/>
                <w:highlight w:val="none"/>
              </w:rPr>
              <w:t>主要工作经历</w:t>
            </w:r>
          </w:p>
        </w:tc>
      </w:tr>
      <w:tr w14:paraId="38E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612606C0">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时  间</w:t>
            </w: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14:paraId="008BA17D">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FD1339C">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担任职务</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41E8989E">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委托人及联系电话</w:t>
            </w:r>
          </w:p>
        </w:tc>
      </w:tr>
      <w:tr w14:paraId="51D3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top"/>
          </w:tcPr>
          <w:p w14:paraId="227D6B30">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top"/>
          </w:tcPr>
          <w:p w14:paraId="45CFB145">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24179403">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top"/>
          </w:tcPr>
          <w:p w14:paraId="117D26B3">
            <w:pPr>
              <w:shd w:val="clear"/>
              <w:spacing w:line="440" w:lineRule="exact"/>
              <w:rPr>
                <w:rFonts w:hint="eastAsia" w:ascii="宋体" w:hAnsi="宋体" w:cs="宋体"/>
                <w:color w:val="auto"/>
                <w:highlight w:val="none"/>
              </w:rPr>
            </w:pPr>
          </w:p>
        </w:tc>
      </w:tr>
      <w:tr w14:paraId="7D59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top"/>
          </w:tcPr>
          <w:p w14:paraId="58B82D13">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top"/>
          </w:tcPr>
          <w:p w14:paraId="7BF93BC8">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3DE60F68">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top"/>
          </w:tcPr>
          <w:p w14:paraId="5CF7B891">
            <w:pPr>
              <w:shd w:val="clear"/>
              <w:spacing w:line="440" w:lineRule="exact"/>
              <w:rPr>
                <w:rFonts w:hint="eastAsia" w:ascii="宋体" w:hAnsi="宋体" w:cs="宋体"/>
                <w:color w:val="auto"/>
                <w:highlight w:val="none"/>
              </w:rPr>
            </w:pPr>
          </w:p>
        </w:tc>
      </w:tr>
      <w:tr w14:paraId="3B53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top"/>
          </w:tcPr>
          <w:p w14:paraId="7F7D383A">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top"/>
          </w:tcPr>
          <w:p w14:paraId="75FC8DC2">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34E112AF">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top"/>
          </w:tcPr>
          <w:p w14:paraId="291AB64B">
            <w:pPr>
              <w:shd w:val="clear"/>
              <w:spacing w:line="440" w:lineRule="exact"/>
              <w:rPr>
                <w:rFonts w:hint="eastAsia" w:ascii="宋体" w:hAnsi="宋体" w:cs="宋体"/>
                <w:color w:val="auto"/>
                <w:highlight w:val="none"/>
              </w:rPr>
            </w:pPr>
          </w:p>
        </w:tc>
      </w:tr>
      <w:tr w14:paraId="6197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6AC3636E">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14:paraId="22B74B6C">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AFA95AB">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70961A86">
            <w:pPr>
              <w:shd w:val="clear"/>
              <w:spacing w:line="440" w:lineRule="exact"/>
              <w:rPr>
                <w:rFonts w:hint="eastAsia" w:ascii="宋体" w:hAnsi="宋体" w:cs="宋体"/>
                <w:color w:val="auto"/>
                <w:highlight w:val="none"/>
              </w:rPr>
            </w:pPr>
          </w:p>
        </w:tc>
      </w:tr>
      <w:tr w14:paraId="1FD7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6D655852">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14:paraId="064BF910">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79D0361">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7F858914">
            <w:pPr>
              <w:shd w:val="clear"/>
              <w:spacing w:line="440" w:lineRule="exact"/>
              <w:rPr>
                <w:rFonts w:hint="eastAsia" w:ascii="宋体" w:hAnsi="宋体" w:cs="宋体"/>
                <w:color w:val="auto"/>
                <w:highlight w:val="none"/>
              </w:rPr>
            </w:pPr>
          </w:p>
        </w:tc>
      </w:tr>
      <w:tr w14:paraId="4A27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51AF90DC">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14:paraId="7415898E">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AA43E06">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4C3B821F">
            <w:pPr>
              <w:shd w:val="clear"/>
              <w:spacing w:line="440" w:lineRule="exact"/>
              <w:rPr>
                <w:rFonts w:hint="eastAsia" w:ascii="宋体" w:hAnsi="宋体" w:cs="宋体"/>
                <w:color w:val="auto"/>
                <w:highlight w:val="none"/>
              </w:rPr>
            </w:pPr>
          </w:p>
        </w:tc>
      </w:tr>
      <w:tr w14:paraId="0CD4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4" w:type="dxa"/>
            <w:tcBorders>
              <w:top w:val="single" w:color="auto" w:sz="4" w:space="0"/>
              <w:left w:val="single" w:color="auto" w:sz="4" w:space="0"/>
              <w:bottom w:val="single" w:color="auto" w:sz="4" w:space="0"/>
              <w:right w:val="single" w:color="auto" w:sz="4" w:space="0"/>
            </w:tcBorders>
            <w:noWrap w:val="0"/>
            <w:vAlign w:val="center"/>
          </w:tcPr>
          <w:p w14:paraId="0628AC88">
            <w:pPr>
              <w:shd w:val="clear"/>
              <w:spacing w:line="440" w:lineRule="exact"/>
              <w:rPr>
                <w:rFonts w:hint="eastAsia" w:ascii="宋体" w:hAnsi="宋体" w:cs="宋体"/>
                <w:color w:val="auto"/>
                <w:highlight w:val="none"/>
              </w:rPr>
            </w:pP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14:paraId="116D1279">
            <w:pPr>
              <w:shd w:val="clear"/>
              <w:spacing w:line="440" w:lineRule="exact"/>
              <w:rPr>
                <w:rFonts w:hint="eastAsia" w:ascii="宋体" w:hAnsi="宋体" w:cs="宋体"/>
                <w:color w:val="auto"/>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F3F3E7E">
            <w:pPr>
              <w:shd w:val="clear"/>
              <w:spacing w:line="440" w:lineRule="exact"/>
              <w:rPr>
                <w:rFonts w:hint="eastAsia" w:ascii="宋体" w:hAnsi="宋体" w:cs="宋体"/>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080CEBA9">
            <w:pPr>
              <w:shd w:val="clear"/>
              <w:spacing w:line="440" w:lineRule="exact"/>
              <w:rPr>
                <w:rFonts w:hint="eastAsia" w:ascii="宋体" w:hAnsi="宋体" w:cs="宋体"/>
                <w:color w:val="auto"/>
                <w:highlight w:val="none"/>
              </w:rPr>
            </w:pPr>
          </w:p>
        </w:tc>
      </w:tr>
    </w:tbl>
    <w:p w14:paraId="2A7DDEB0">
      <w:pPr>
        <w:shd w:val="clear"/>
        <w:spacing w:line="440" w:lineRule="exact"/>
        <w:rPr>
          <w:rFonts w:hint="eastAsia" w:ascii="宋体" w:hAnsi="宋体" w:cs="宋体"/>
          <w:color w:val="auto"/>
          <w:szCs w:val="22"/>
          <w:highlight w:val="none"/>
        </w:rPr>
      </w:pPr>
      <w:r>
        <w:rPr>
          <w:rFonts w:hint="eastAsia" w:ascii="宋体" w:hAnsi="宋体" w:cs="宋体"/>
          <w:color w:val="auto"/>
          <w:szCs w:val="22"/>
          <w:highlight w:val="none"/>
        </w:rPr>
        <w:t>注：投标人应根据投标人须知第3.5.</w:t>
      </w:r>
      <w:r>
        <w:rPr>
          <w:rFonts w:hint="eastAsia" w:ascii="宋体" w:hAnsi="宋体" w:cs="宋体"/>
          <w:color w:val="auto"/>
          <w:szCs w:val="22"/>
          <w:highlight w:val="none"/>
          <w:lang w:val="en-US" w:eastAsia="zh-CN"/>
        </w:rPr>
        <w:t>2</w:t>
      </w:r>
      <w:r>
        <w:rPr>
          <w:rFonts w:hint="eastAsia" w:ascii="宋体" w:hAnsi="宋体" w:cs="宋体"/>
          <w:color w:val="auto"/>
          <w:szCs w:val="22"/>
          <w:highlight w:val="none"/>
        </w:rPr>
        <w:t>项的要求在本表后附相关证明材料。</w:t>
      </w:r>
    </w:p>
    <w:p w14:paraId="282EF69B">
      <w:pPr>
        <w:shd w:val="clear"/>
        <w:spacing w:line="440" w:lineRule="exact"/>
        <w:rPr>
          <w:rFonts w:hint="eastAsia" w:ascii="宋体" w:hAnsi="宋体" w:cs="宋体"/>
          <w:color w:val="auto"/>
          <w:szCs w:val="22"/>
          <w:highlight w:val="none"/>
        </w:rPr>
      </w:pPr>
      <w:bookmarkStart w:id="506" w:name="_Toc352703741"/>
      <w:bookmarkStart w:id="507" w:name="_Toc300835229"/>
    </w:p>
    <w:p w14:paraId="512696A2">
      <w:pPr>
        <w:shd w:val="clear"/>
        <w:rPr>
          <w:rFonts w:hint="eastAsia" w:ascii="宋体" w:hAnsi="宋体" w:cs="宋体"/>
          <w:color w:val="auto"/>
          <w:szCs w:val="22"/>
          <w:highlight w:val="none"/>
        </w:rPr>
      </w:pPr>
    </w:p>
    <w:bookmarkEnd w:id="506"/>
    <w:bookmarkEnd w:id="507"/>
    <w:p w14:paraId="2CC4A3A7">
      <w:pPr>
        <w:shd w:val="clear"/>
        <w:spacing w:before="20" w:line="410" w:lineRule="auto"/>
        <w:outlineLvl w:val="2"/>
        <w:rPr>
          <w:rFonts w:hint="eastAsia" w:ascii="宋体" w:hAnsi="宋体" w:cs="宋体"/>
          <w:b/>
          <w:bCs/>
          <w:color w:val="auto"/>
          <w:sz w:val="28"/>
          <w:szCs w:val="28"/>
          <w:highlight w:val="none"/>
        </w:rPr>
      </w:pPr>
      <w:r>
        <w:rPr>
          <w:rFonts w:hint="eastAsia" w:ascii="宋体" w:hAnsi="宋体" w:cs="宋体"/>
          <w:color w:val="auto"/>
          <w:sz w:val="28"/>
          <w:szCs w:val="20"/>
          <w:highlight w:val="none"/>
        </w:rPr>
        <w:br w:type="page"/>
      </w:r>
      <w:bookmarkStart w:id="508" w:name="_Toc24341"/>
      <w:r>
        <w:rPr>
          <w:rFonts w:hint="eastAsia" w:ascii="宋体" w:hAnsi="宋体" w:cs="宋体"/>
          <w:color w:val="auto"/>
          <w:sz w:val="28"/>
          <w:szCs w:val="20"/>
          <w:highlight w:val="none"/>
        </w:rPr>
        <w:t>（</w:t>
      </w:r>
      <w:r>
        <w:rPr>
          <w:rFonts w:hint="eastAsia" w:ascii="宋体" w:hAnsi="宋体" w:cs="宋体"/>
          <w:color w:val="auto"/>
          <w:sz w:val="28"/>
          <w:szCs w:val="20"/>
          <w:highlight w:val="none"/>
          <w:lang w:val="en-US" w:eastAsia="zh-CN"/>
        </w:rPr>
        <w:t>三</w:t>
      </w:r>
      <w:r>
        <w:rPr>
          <w:rFonts w:hint="eastAsia" w:ascii="宋体" w:hAnsi="宋体" w:cs="宋体"/>
          <w:color w:val="auto"/>
          <w:sz w:val="28"/>
          <w:szCs w:val="20"/>
          <w:highlight w:val="none"/>
        </w:rPr>
        <w:t>）投标人声明格式</w:t>
      </w:r>
      <w:bookmarkEnd w:id="508"/>
    </w:p>
    <w:p w14:paraId="0C20811C">
      <w:pPr>
        <w:widowControl/>
        <w:shd w:val="clear"/>
        <w:spacing w:line="360" w:lineRule="auto"/>
        <w:ind w:right="384"/>
        <w:jc w:val="center"/>
        <w:rPr>
          <w:rFonts w:ascii="宋体" w:hAnsi="宋体" w:cs="宋体"/>
          <w:b/>
          <w:bCs/>
          <w:color w:val="auto"/>
          <w:kern w:val="0"/>
          <w:sz w:val="24"/>
          <w:highlight w:val="none"/>
        </w:rPr>
      </w:pPr>
      <w:r>
        <w:rPr>
          <w:rFonts w:hint="eastAsia" w:ascii="宋体" w:hAnsi="宋体" w:cs="宋体"/>
          <w:b/>
          <w:bCs/>
          <w:color w:val="auto"/>
          <w:kern w:val="0"/>
          <w:sz w:val="28"/>
          <w:szCs w:val="28"/>
          <w:highlight w:val="none"/>
        </w:rPr>
        <w:t>投标人声明</w:t>
      </w:r>
    </w:p>
    <w:p w14:paraId="19EDF07F">
      <w:pPr>
        <w:shd w:val="clear"/>
        <w:snapToGrid w:val="0"/>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本招标项目招标人及招标监管机构：</w:t>
      </w:r>
    </w:p>
    <w:p w14:paraId="27451332">
      <w:pPr>
        <w:shd w:val="clea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lang w:eastAsia="zh-CN"/>
        </w:rPr>
        <w:t>知识城低空产业装备智造园监理服务</w:t>
      </w:r>
      <w:r>
        <w:rPr>
          <w:rFonts w:hint="eastAsia" w:ascii="宋体" w:hAnsi="宋体" w:cs="宋体"/>
          <w:color w:val="auto"/>
          <w:kern w:val="0"/>
          <w:sz w:val="24"/>
          <w:szCs w:val="24"/>
          <w:highlight w:val="none"/>
        </w:rPr>
        <w:t>项目投标工作，作出郑重声明：</w:t>
      </w:r>
    </w:p>
    <w:p w14:paraId="3A5C7078">
      <w:pPr>
        <w:shd w:val="clea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w:t>
      </w:r>
      <w:r>
        <w:rPr>
          <w:rFonts w:hint="eastAsia" w:ascii="宋体" w:hAnsi="宋体" w:cs="宋体"/>
          <w:color w:val="auto"/>
          <w:kern w:val="0"/>
          <w:sz w:val="24"/>
          <w:szCs w:val="24"/>
          <w:highlight w:val="none"/>
          <w:u w:val="single"/>
        </w:rPr>
        <w:t>登记</w:t>
      </w:r>
      <w:r>
        <w:rPr>
          <w:rFonts w:hint="eastAsia" w:ascii="宋体" w:hAnsi="宋体" w:cs="宋体"/>
          <w:color w:val="auto"/>
          <w:kern w:val="0"/>
          <w:sz w:val="24"/>
          <w:szCs w:val="24"/>
          <w:highlight w:val="none"/>
        </w:rPr>
        <w:t>材料及其后提供的一切材料都是真实的。如我司成为本项目中标候选人，我司同意并授权招标人将我司投标文件商务部分的人员、业绩等资料进行公开。</w:t>
      </w:r>
    </w:p>
    <w:p w14:paraId="022FE4CB">
      <w:pPr>
        <w:shd w:val="clear"/>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296FFEE6">
      <w:pPr>
        <w:shd w:val="clea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项所规定的任何一种情形。</w:t>
      </w:r>
    </w:p>
    <w:p w14:paraId="6F37D86D">
      <w:pPr>
        <w:shd w:val="clea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14:paraId="2DC68DE5">
      <w:pPr>
        <w:shd w:val="clea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14:paraId="12897730">
      <w:pPr>
        <w:shd w:val="clear"/>
        <w:snapToGrid w:val="0"/>
        <w:spacing w:line="360" w:lineRule="auto"/>
        <w:ind w:firstLine="480" w:firstLineChars="200"/>
        <w:rPr>
          <w:color w:val="auto"/>
          <w:highlight w:val="none"/>
        </w:rPr>
      </w:pPr>
      <w:r>
        <w:rPr>
          <w:rFonts w:hint="eastAsia" w:ascii="宋体" w:hAnsi="宋体" w:cs="宋体"/>
          <w:color w:val="auto"/>
          <w:kern w:val="0"/>
          <w:sz w:val="24"/>
          <w:szCs w:val="24"/>
          <w:highlight w:val="none"/>
        </w:rPr>
        <w:t>六、与本公司单位负责人为同一人或者与本公司存在控股、管理关系的其他单位包括：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。（注：本条由投标人如实填写，如有，应列出全部满足招标公告资质要求的相关单位的名称；如无，则填写“无”。）</w:t>
      </w:r>
    </w:p>
    <w:p w14:paraId="406450E0">
      <w:pPr>
        <w:shd w:val="clear"/>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本公司违反上述承诺，或本声明陈述与事实不符，经查实，本公司愿意接受公开通报，愿意按照《广州市建筑市场信用管理办法》</w:t>
      </w:r>
      <w:r>
        <w:rPr>
          <w:rFonts w:hint="eastAsia" w:ascii="宋体" w:hAnsi="宋体" w:cs="宋体"/>
          <w:b/>
          <w:bCs/>
          <w:color w:val="auto"/>
          <w:sz w:val="24"/>
          <w:szCs w:val="24"/>
          <w:highlight w:val="none"/>
          <w:u w:val="single"/>
        </w:rPr>
        <w:t>（穗建规字﹝2019﹞16号）的规</w:t>
      </w:r>
      <w:r>
        <w:rPr>
          <w:rFonts w:hint="eastAsia" w:ascii="宋体" w:hAnsi="宋体" w:cs="宋体"/>
          <w:b/>
          <w:color w:val="auto"/>
          <w:kern w:val="0"/>
          <w:sz w:val="24"/>
          <w:szCs w:val="24"/>
          <w:highlight w:val="none"/>
        </w:rPr>
        <w:t>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14:paraId="51BA0B14">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24B269C2">
      <w:pPr>
        <w:pStyle w:val="76"/>
        <w:shd w:val="clear"/>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声明企业：         (企业公章)</w:t>
      </w:r>
    </w:p>
    <w:p w14:paraId="12003DB5">
      <w:pPr>
        <w:pStyle w:val="76"/>
        <w:shd w:val="clear"/>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总监理工程师：         （签字）</w:t>
      </w:r>
    </w:p>
    <w:p w14:paraId="698DA910">
      <w:pPr>
        <w:pStyle w:val="76"/>
        <w:shd w:val="clear"/>
        <w:ind w:right="960"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法定代表人签字：</w:t>
      </w:r>
    </w:p>
    <w:p w14:paraId="1958A759">
      <w:pPr>
        <w:widowControl/>
        <w:shd w:val="clear" w:color="auto"/>
        <w:snapToGrid w:val="0"/>
        <w:spacing w:before="260" w:after="260"/>
        <w:ind w:right="386"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0C0B1D1C">
      <w:pPr>
        <w:shd w:val="clear"/>
        <w:rPr>
          <w:rFonts w:hint="eastAsia" w:ascii="宋体" w:hAnsi="宋体" w:cs="宋体"/>
          <w:color w:val="auto"/>
          <w:szCs w:val="22"/>
          <w:highlight w:val="none"/>
        </w:rPr>
      </w:pPr>
      <w:r>
        <w:rPr>
          <w:rFonts w:hint="eastAsia" w:ascii="宋体" w:hAnsi="宋体" w:cs="宋体"/>
          <w:color w:val="auto"/>
          <w:sz w:val="28"/>
          <w:szCs w:val="28"/>
          <w:highlight w:val="none"/>
        </w:rPr>
        <w:br w:type="page"/>
      </w:r>
    </w:p>
    <w:p w14:paraId="233C2B7C">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1"/>
        <w:rPr>
          <w:rFonts w:hint="default" w:ascii="宋体" w:hAnsi="宋体" w:eastAsia="宋体" w:cs="宋体"/>
          <w:b/>
          <w:color w:val="auto"/>
          <w:sz w:val="32"/>
          <w:szCs w:val="20"/>
          <w:highlight w:val="none"/>
          <w:lang w:val="en-US" w:eastAsia="zh-CN"/>
        </w:rPr>
      </w:pPr>
      <w:bookmarkStart w:id="509" w:name="_Toc4760"/>
      <w:bookmarkStart w:id="510" w:name="_Toc482188667"/>
      <w:bookmarkStart w:id="511" w:name="_Toc526786520"/>
      <w:r>
        <w:rPr>
          <w:rFonts w:hint="eastAsia" w:ascii="宋体" w:hAnsi="宋体" w:eastAsia="宋体" w:cs="宋体"/>
          <w:b/>
          <w:color w:val="auto"/>
          <w:sz w:val="32"/>
          <w:szCs w:val="20"/>
          <w:highlight w:val="none"/>
          <w:lang w:val="en-US" w:eastAsia="zh-CN"/>
        </w:rPr>
        <w:t>格式六：</w:t>
      </w:r>
      <w:r>
        <w:rPr>
          <w:rFonts w:hint="eastAsia" w:ascii="宋体" w:hAnsi="宋体" w:eastAsia="宋体" w:cs="宋体"/>
          <w:b/>
          <w:color w:val="auto"/>
          <w:sz w:val="32"/>
          <w:szCs w:val="20"/>
          <w:highlight w:val="none"/>
        </w:rPr>
        <w:t>拟委任的主要人员汇总</w:t>
      </w:r>
      <w:r>
        <w:rPr>
          <w:rFonts w:hint="eastAsia" w:ascii="宋体" w:hAnsi="宋体" w:eastAsia="宋体" w:cs="宋体"/>
          <w:b/>
          <w:bCs/>
          <w:color w:val="auto"/>
          <w:sz w:val="32"/>
          <w:szCs w:val="21"/>
          <w:highlight w:val="none"/>
        </w:rPr>
        <w:t>表</w:t>
      </w:r>
      <w:bookmarkEnd w:id="509"/>
    </w:p>
    <w:p w14:paraId="6B1F059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rPr>
        <w:t>拟委任的主要人员汇总表</w:t>
      </w:r>
      <w:bookmarkEnd w:id="510"/>
      <w:bookmarkEnd w:id="51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565"/>
        <w:gridCol w:w="1218"/>
        <w:gridCol w:w="739"/>
        <w:gridCol w:w="597"/>
        <w:gridCol w:w="1392"/>
        <w:gridCol w:w="871"/>
        <w:gridCol w:w="1074"/>
        <w:gridCol w:w="1392"/>
      </w:tblGrid>
      <w:tr w14:paraId="4162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14:paraId="314A9729">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14:paraId="365F2887">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本项目任职</w:t>
            </w:r>
          </w:p>
        </w:tc>
        <w:tc>
          <w:tcPr>
            <w:tcW w:w="1218" w:type="dxa"/>
            <w:vMerge w:val="restart"/>
            <w:tcBorders>
              <w:top w:val="single" w:color="auto" w:sz="4" w:space="0"/>
              <w:left w:val="single" w:color="auto" w:sz="4" w:space="0"/>
              <w:bottom w:val="single" w:color="auto" w:sz="4" w:space="0"/>
              <w:right w:val="single" w:color="auto" w:sz="4" w:space="0"/>
            </w:tcBorders>
            <w:noWrap w:val="0"/>
            <w:vAlign w:val="center"/>
          </w:tcPr>
          <w:p w14:paraId="4409E2BF">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14:paraId="42D5464B">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职称</w:t>
            </w:r>
          </w:p>
        </w:tc>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14:paraId="33B4DD39">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专业</w:t>
            </w:r>
          </w:p>
        </w:tc>
        <w:tc>
          <w:tcPr>
            <w:tcW w:w="3337" w:type="dxa"/>
            <w:gridSpan w:val="3"/>
            <w:tcBorders>
              <w:top w:val="single" w:color="auto" w:sz="4" w:space="0"/>
              <w:left w:val="single" w:color="auto" w:sz="4" w:space="0"/>
              <w:bottom w:val="single" w:color="auto" w:sz="4" w:space="0"/>
              <w:right w:val="single" w:color="auto" w:sz="4" w:space="0"/>
            </w:tcBorders>
            <w:noWrap w:val="0"/>
            <w:vAlign w:val="center"/>
          </w:tcPr>
          <w:p w14:paraId="69201D9D">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执业或职业资格证明</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00581F3F">
            <w:pPr>
              <w:shd w:val="clear"/>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410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14:paraId="574D374A">
            <w:pPr>
              <w:widowControl/>
              <w:shd w:val="clear"/>
              <w:jc w:val="left"/>
              <w:rPr>
                <w:rFonts w:hint="eastAsia" w:ascii="宋体" w:hAnsi="宋体" w:cs="宋体"/>
                <w:color w:val="auto"/>
                <w:highlight w:val="none"/>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302EE37A">
            <w:pPr>
              <w:widowControl/>
              <w:shd w:val="clear"/>
              <w:jc w:val="left"/>
              <w:rPr>
                <w:rFonts w:hint="eastAsia" w:ascii="宋体" w:hAnsi="宋体" w:cs="宋体"/>
                <w:color w:val="auto"/>
                <w:highlight w:val="none"/>
              </w:rPr>
            </w:pPr>
          </w:p>
        </w:tc>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14:paraId="4E860EA8">
            <w:pPr>
              <w:widowControl/>
              <w:shd w:val="clear"/>
              <w:jc w:val="left"/>
              <w:rPr>
                <w:rFonts w:hint="eastAsia" w:ascii="宋体" w:hAnsi="宋体" w:cs="宋体"/>
                <w:color w:val="auto"/>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14:paraId="18800140">
            <w:pPr>
              <w:widowControl/>
              <w:shd w:val="clear"/>
              <w:jc w:val="left"/>
              <w:rPr>
                <w:rFonts w:hint="eastAsia" w:ascii="宋体" w:hAnsi="宋体" w:cs="宋体"/>
                <w:color w:val="auto"/>
                <w:highlight w:val="none"/>
              </w:rPr>
            </w:pPr>
          </w:p>
        </w:tc>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14:paraId="47AE331C">
            <w:pPr>
              <w:widowControl/>
              <w:shd w:val="clear"/>
              <w:jc w:val="left"/>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FFC6F11">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证书名称</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80AEB57">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级别</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803C3E9">
            <w:pPr>
              <w:shd w:val="clea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证号</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5DA0D6AB">
            <w:pPr>
              <w:shd w:val="clear"/>
              <w:spacing w:line="440" w:lineRule="exact"/>
              <w:jc w:val="center"/>
              <w:rPr>
                <w:rFonts w:hint="eastAsia" w:ascii="宋体" w:hAnsi="宋体" w:cs="宋体"/>
                <w:color w:val="auto"/>
                <w:highlight w:val="none"/>
              </w:rPr>
            </w:pPr>
          </w:p>
        </w:tc>
      </w:tr>
      <w:tr w14:paraId="2E13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287027E">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360524A3">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EC72485">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5286B5BF">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center"/>
          </w:tcPr>
          <w:p w14:paraId="2F0A6BBC">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02ABC7FC">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center"/>
          </w:tcPr>
          <w:p w14:paraId="0B085E9D">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EA9C2C4">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74F2F24">
            <w:pPr>
              <w:shd w:val="clear"/>
              <w:spacing w:line="440" w:lineRule="exact"/>
              <w:jc w:val="center"/>
              <w:rPr>
                <w:rFonts w:hint="eastAsia" w:ascii="宋体" w:hAnsi="宋体" w:cs="宋体"/>
                <w:color w:val="auto"/>
                <w:highlight w:val="none"/>
              </w:rPr>
            </w:pPr>
          </w:p>
        </w:tc>
      </w:tr>
      <w:tr w14:paraId="5C4D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6A77B294">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7E25633B">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124227A7">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0DC07C2F">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22DD1CB1">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0C462E85">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12BCCB80">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7681351F">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DB02773">
            <w:pPr>
              <w:shd w:val="clear"/>
              <w:spacing w:line="440" w:lineRule="exact"/>
              <w:jc w:val="center"/>
              <w:rPr>
                <w:rFonts w:hint="eastAsia" w:ascii="宋体" w:hAnsi="宋体" w:cs="宋体"/>
                <w:color w:val="auto"/>
                <w:highlight w:val="none"/>
              </w:rPr>
            </w:pPr>
          </w:p>
        </w:tc>
      </w:tr>
      <w:tr w14:paraId="39B4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3051889D">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77D96A36">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1B5E4E2B">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64E7EDA">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6756C305">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A4183E5">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56DD1133">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2CA12290">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7B9E805A">
            <w:pPr>
              <w:shd w:val="clear"/>
              <w:spacing w:line="440" w:lineRule="exact"/>
              <w:jc w:val="center"/>
              <w:rPr>
                <w:rFonts w:hint="eastAsia" w:ascii="宋体" w:hAnsi="宋体" w:cs="宋体"/>
                <w:color w:val="auto"/>
                <w:highlight w:val="none"/>
              </w:rPr>
            </w:pPr>
          </w:p>
        </w:tc>
      </w:tr>
      <w:tr w14:paraId="37A1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454ADB04">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09C73CBE">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162CFE68">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CE16FE3">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23ADD4EC">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74CB8A84">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14B068EF">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6AA608BC">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0D48DB96">
            <w:pPr>
              <w:shd w:val="clear"/>
              <w:spacing w:line="440" w:lineRule="exact"/>
              <w:jc w:val="center"/>
              <w:rPr>
                <w:rFonts w:hint="eastAsia" w:ascii="宋体" w:hAnsi="宋体" w:cs="宋体"/>
                <w:color w:val="auto"/>
                <w:highlight w:val="none"/>
              </w:rPr>
            </w:pPr>
          </w:p>
        </w:tc>
      </w:tr>
      <w:tr w14:paraId="3D10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3B8E07A6">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528654F1">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1110E925">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8FED37F">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16407088">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A01380E">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0EED4D0F">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3B87B4A7">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6813A9AA">
            <w:pPr>
              <w:shd w:val="clear"/>
              <w:spacing w:line="440" w:lineRule="exact"/>
              <w:jc w:val="center"/>
              <w:rPr>
                <w:rFonts w:hint="eastAsia" w:ascii="宋体" w:hAnsi="宋体" w:cs="宋体"/>
                <w:color w:val="auto"/>
                <w:highlight w:val="none"/>
              </w:rPr>
            </w:pPr>
          </w:p>
        </w:tc>
      </w:tr>
      <w:tr w14:paraId="4557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369D1FF4">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339A65EA">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79C505FC">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5239B1E">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71C167B5">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70EECCD">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4D22D457">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25982234">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BFFD254">
            <w:pPr>
              <w:shd w:val="clear"/>
              <w:spacing w:line="440" w:lineRule="exact"/>
              <w:jc w:val="center"/>
              <w:rPr>
                <w:rFonts w:hint="eastAsia" w:ascii="宋体" w:hAnsi="宋体" w:cs="宋体"/>
                <w:color w:val="auto"/>
                <w:highlight w:val="none"/>
              </w:rPr>
            </w:pPr>
          </w:p>
        </w:tc>
      </w:tr>
      <w:tr w14:paraId="47F3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5C1E4E61">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5BC12DC5">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29A094DA">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FAEDFCD">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10954695">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33E0769">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08A8141B">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1933619B">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0F15AC22">
            <w:pPr>
              <w:shd w:val="clear"/>
              <w:spacing w:line="440" w:lineRule="exact"/>
              <w:jc w:val="center"/>
              <w:rPr>
                <w:rFonts w:hint="eastAsia" w:ascii="宋体" w:hAnsi="宋体" w:cs="宋体"/>
                <w:color w:val="auto"/>
                <w:highlight w:val="none"/>
              </w:rPr>
            </w:pPr>
          </w:p>
        </w:tc>
      </w:tr>
      <w:tr w14:paraId="1192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01022D5B">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1BF9B0F5">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46025E41">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8D28B30">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3AB5E4A8">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63ABE1F">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646840CF">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0964961B">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159FFE3">
            <w:pPr>
              <w:shd w:val="clear"/>
              <w:spacing w:line="440" w:lineRule="exact"/>
              <w:jc w:val="center"/>
              <w:rPr>
                <w:rFonts w:hint="eastAsia" w:ascii="宋体" w:hAnsi="宋体" w:cs="宋体"/>
                <w:color w:val="auto"/>
                <w:highlight w:val="none"/>
              </w:rPr>
            </w:pPr>
          </w:p>
        </w:tc>
      </w:tr>
      <w:tr w14:paraId="45CA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7B61B139">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76C20DAD">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1DCA59BB">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A21B8C8">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1E193B21">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66E39103">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3421ECF6">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0CB0CFC2">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F9782E6">
            <w:pPr>
              <w:shd w:val="clear"/>
              <w:spacing w:line="440" w:lineRule="exact"/>
              <w:jc w:val="center"/>
              <w:rPr>
                <w:rFonts w:hint="eastAsia" w:ascii="宋体" w:hAnsi="宋体" w:cs="宋体"/>
                <w:color w:val="auto"/>
                <w:highlight w:val="none"/>
              </w:rPr>
            </w:pPr>
          </w:p>
        </w:tc>
      </w:tr>
      <w:tr w14:paraId="1DF3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282E3199">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77228EA0">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504B8FCA">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81194E0">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00D2EFF0">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59A958A">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6E4ECFF8">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54532D73">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65EC721C">
            <w:pPr>
              <w:shd w:val="clear"/>
              <w:spacing w:line="440" w:lineRule="exact"/>
              <w:jc w:val="center"/>
              <w:rPr>
                <w:rFonts w:hint="eastAsia" w:ascii="宋体" w:hAnsi="宋体" w:cs="宋体"/>
                <w:color w:val="auto"/>
                <w:highlight w:val="none"/>
              </w:rPr>
            </w:pPr>
          </w:p>
        </w:tc>
      </w:tr>
      <w:tr w14:paraId="0AA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7090D331">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1ECCBA68">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2C425442">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54A8666">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70CBFA15">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25DBBE0C">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772822CF">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166918B3">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7ADE9DB">
            <w:pPr>
              <w:shd w:val="clear"/>
              <w:spacing w:line="440" w:lineRule="exact"/>
              <w:jc w:val="center"/>
              <w:rPr>
                <w:rFonts w:hint="eastAsia" w:ascii="宋体" w:hAnsi="宋体" w:cs="宋体"/>
                <w:color w:val="auto"/>
                <w:highlight w:val="none"/>
              </w:rPr>
            </w:pPr>
          </w:p>
        </w:tc>
      </w:tr>
      <w:tr w14:paraId="43A1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4827369F">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20B5F148">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33414845">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0E7B9F1">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32E10DEA">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3F8B155A">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0E727FB2">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0828F046">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04D0BE6F">
            <w:pPr>
              <w:shd w:val="clear"/>
              <w:spacing w:line="440" w:lineRule="exact"/>
              <w:jc w:val="center"/>
              <w:rPr>
                <w:rFonts w:hint="eastAsia" w:ascii="宋体" w:hAnsi="宋体" w:cs="宋体"/>
                <w:color w:val="auto"/>
                <w:highlight w:val="none"/>
              </w:rPr>
            </w:pPr>
          </w:p>
        </w:tc>
      </w:tr>
      <w:tr w14:paraId="305F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3177DCA7">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41F796F5">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37218173">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A3EE64F">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379B65E7">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F67A3A8">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45CCABEB">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77968B82">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2B0502B">
            <w:pPr>
              <w:shd w:val="clear"/>
              <w:spacing w:line="440" w:lineRule="exact"/>
              <w:jc w:val="center"/>
              <w:rPr>
                <w:rFonts w:hint="eastAsia" w:ascii="宋体" w:hAnsi="宋体" w:cs="宋体"/>
                <w:color w:val="auto"/>
                <w:highlight w:val="none"/>
              </w:rPr>
            </w:pPr>
          </w:p>
        </w:tc>
      </w:tr>
      <w:tr w14:paraId="1C89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3C54205B">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7959C0A4">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677B1525">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1A2F14A">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3A4EB0B8">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8BBADCD">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5D2ECE11">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772E1BBF">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F6C8DCF">
            <w:pPr>
              <w:shd w:val="clear"/>
              <w:spacing w:line="440" w:lineRule="exact"/>
              <w:jc w:val="center"/>
              <w:rPr>
                <w:rFonts w:hint="eastAsia" w:ascii="宋体" w:hAnsi="宋体" w:cs="宋体"/>
                <w:color w:val="auto"/>
                <w:highlight w:val="none"/>
              </w:rPr>
            </w:pPr>
          </w:p>
        </w:tc>
      </w:tr>
      <w:tr w14:paraId="3F56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2130B8A0">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17FB8B72">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6273ED85">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7D8DBEDB">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55E4303C">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112AA430">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14377271">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00D0D5ED">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042FBA3D">
            <w:pPr>
              <w:shd w:val="clear"/>
              <w:spacing w:line="440" w:lineRule="exact"/>
              <w:jc w:val="center"/>
              <w:rPr>
                <w:rFonts w:hint="eastAsia" w:ascii="宋体" w:hAnsi="宋体" w:cs="宋体"/>
                <w:color w:val="auto"/>
                <w:highlight w:val="none"/>
              </w:rPr>
            </w:pPr>
          </w:p>
        </w:tc>
      </w:tr>
      <w:tr w14:paraId="354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36DF694D">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46F62452">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7B469750">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78144E59">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50A9E061">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23306143">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5823191B">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7B89EB45">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D2AE45D">
            <w:pPr>
              <w:shd w:val="clear"/>
              <w:spacing w:line="440" w:lineRule="exact"/>
              <w:jc w:val="center"/>
              <w:rPr>
                <w:rFonts w:hint="eastAsia" w:ascii="宋体" w:hAnsi="宋体" w:cs="宋体"/>
                <w:color w:val="auto"/>
                <w:highlight w:val="none"/>
              </w:rPr>
            </w:pPr>
          </w:p>
        </w:tc>
      </w:tr>
      <w:tr w14:paraId="2444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7DC4BEB0">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357EF5BF">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0977A232">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0C6CF4CF">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6E4247B9">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2916DE24">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7FE14F12">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6A3EAE84">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2F2E4E4">
            <w:pPr>
              <w:shd w:val="clear"/>
              <w:spacing w:line="440" w:lineRule="exact"/>
              <w:jc w:val="center"/>
              <w:rPr>
                <w:rFonts w:hint="eastAsia" w:ascii="宋体" w:hAnsi="宋体" w:cs="宋体"/>
                <w:color w:val="auto"/>
                <w:highlight w:val="none"/>
              </w:rPr>
            </w:pPr>
          </w:p>
        </w:tc>
      </w:tr>
      <w:tr w14:paraId="7FE2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408CD618">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486AFA43">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6C41A01B">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B4A5317">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1334215C">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72472048">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2E160316">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6AA1548F">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4B308B7B">
            <w:pPr>
              <w:shd w:val="clear"/>
              <w:spacing w:line="440" w:lineRule="exact"/>
              <w:jc w:val="center"/>
              <w:rPr>
                <w:rFonts w:hint="eastAsia" w:ascii="宋体" w:hAnsi="宋体" w:cs="宋体"/>
                <w:color w:val="auto"/>
                <w:highlight w:val="none"/>
              </w:rPr>
            </w:pPr>
          </w:p>
        </w:tc>
      </w:tr>
      <w:tr w14:paraId="04AF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14:paraId="58740EE4">
            <w:pPr>
              <w:shd w:val="clear"/>
              <w:spacing w:line="440" w:lineRule="exact"/>
              <w:jc w:val="center"/>
              <w:rPr>
                <w:rFonts w:hint="eastAsia" w:ascii="宋体" w:hAnsi="宋体" w:cs="宋体"/>
                <w:color w:val="auto"/>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top"/>
          </w:tcPr>
          <w:p w14:paraId="71BC8B2A">
            <w:pPr>
              <w:shd w:val="clear"/>
              <w:spacing w:line="440" w:lineRule="exact"/>
              <w:jc w:val="center"/>
              <w:rPr>
                <w:rFonts w:hint="eastAsia" w:ascii="宋体" w:hAnsi="宋体" w:cs="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top"/>
          </w:tcPr>
          <w:p w14:paraId="31C5800A">
            <w:pPr>
              <w:shd w:val="clear"/>
              <w:spacing w:line="440" w:lineRule="exact"/>
              <w:jc w:val="center"/>
              <w:rPr>
                <w:rFonts w:hint="eastAsia" w:ascii="宋体" w:hAnsi="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1648081">
            <w:pPr>
              <w:shd w:val="clear"/>
              <w:spacing w:line="440" w:lineRule="exact"/>
              <w:jc w:val="center"/>
              <w:rPr>
                <w:rFonts w:hint="eastAsia" w:ascii="宋体" w:hAnsi="宋体" w:cs="宋体"/>
                <w:color w:val="auto"/>
                <w:highlight w:val="none"/>
              </w:rPr>
            </w:pPr>
          </w:p>
        </w:tc>
        <w:tc>
          <w:tcPr>
            <w:tcW w:w="597" w:type="dxa"/>
            <w:tcBorders>
              <w:top w:val="single" w:color="auto" w:sz="4" w:space="0"/>
              <w:left w:val="single" w:color="auto" w:sz="4" w:space="0"/>
              <w:bottom w:val="single" w:color="auto" w:sz="4" w:space="0"/>
              <w:right w:val="single" w:color="auto" w:sz="4" w:space="0"/>
            </w:tcBorders>
            <w:noWrap w:val="0"/>
            <w:vAlign w:val="top"/>
          </w:tcPr>
          <w:p w14:paraId="57BB62DD">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4D7DE74">
            <w:pPr>
              <w:shd w:val="clear"/>
              <w:spacing w:line="440" w:lineRule="exact"/>
              <w:jc w:val="center"/>
              <w:rPr>
                <w:rFonts w:hint="eastAsia" w:ascii="宋体" w:hAnsi="宋体" w:cs="宋体"/>
                <w:color w:val="auto"/>
                <w:highlight w:val="none"/>
              </w:rPr>
            </w:pPr>
          </w:p>
        </w:tc>
        <w:tc>
          <w:tcPr>
            <w:tcW w:w="871" w:type="dxa"/>
            <w:tcBorders>
              <w:top w:val="single" w:color="auto" w:sz="4" w:space="0"/>
              <w:left w:val="single" w:color="auto" w:sz="4" w:space="0"/>
              <w:bottom w:val="single" w:color="auto" w:sz="4" w:space="0"/>
              <w:right w:val="single" w:color="auto" w:sz="4" w:space="0"/>
            </w:tcBorders>
            <w:noWrap w:val="0"/>
            <w:vAlign w:val="top"/>
          </w:tcPr>
          <w:p w14:paraId="03DFD801">
            <w:pPr>
              <w:shd w:val="clear"/>
              <w:spacing w:line="440" w:lineRule="exact"/>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top"/>
          </w:tcPr>
          <w:p w14:paraId="3ABA6791">
            <w:pPr>
              <w:shd w:val="clear"/>
              <w:spacing w:line="440" w:lineRule="exact"/>
              <w:jc w:val="center"/>
              <w:rPr>
                <w:rFonts w:hint="eastAsia" w:ascii="宋体" w:hAnsi="宋体" w:cs="宋体"/>
                <w:color w:val="auto"/>
                <w:highlight w:val="none"/>
              </w:rPr>
            </w:pPr>
          </w:p>
        </w:tc>
        <w:tc>
          <w:tcPr>
            <w:tcW w:w="1392" w:type="dxa"/>
            <w:tcBorders>
              <w:top w:val="single" w:color="auto" w:sz="4" w:space="0"/>
              <w:left w:val="single" w:color="auto" w:sz="4" w:space="0"/>
              <w:bottom w:val="single" w:color="auto" w:sz="4" w:space="0"/>
              <w:right w:val="single" w:color="auto" w:sz="4" w:space="0"/>
            </w:tcBorders>
            <w:noWrap w:val="0"/>
            <w:vAlign w:val="top"/>
          </w:tcPr>
          <w:p w14:paraId="54C6C31B">
            <w:pPr>
              <w:shd w:val="clear"/>
              <w:spacing w:line="440" w:lineRule="exact"/>
              <w:jc w:val="center"/>
              <w:rPr>
                <w:rFonts w:hint="eastAsia" w:ascii="宋体" w:hAnsi="宋体" w:cs="宋体"/>
                <w:color w:val="auto"/>
                <w:highlight w:val="none"/>
              </w:rPr>
            </w:pPr>
          </w:p>
        </w:tc>
      </w:tr>
    </w:tbl>
    <w:p w14:paraId="792A1437">
      <w:pPr>
        <w:shd w:val="clear"/>
        <w:spacing w:line="440" w:lineRule="exact"/>
        <w:rPr>
          <w:rFonts w:hint="eastAsia" w:ascii="宋体" w:hAnsi="宋体" w:cs="宋体"/>
          <w:color w:val="auto"/>
          <w:szCs w:val="22"/>
          <w:highlight w:val="none"/>
        </w:rPr>
      </w:pPr>
    </w:p>
    <w:p w14:paraId="60D7745D">
      <w:pPr>
        <w:shd w:val="clear"/>
        <w:spacing w:line="440" w:lineRule="exact"/>
        <w:rPr>
          <w:rFonts w:hint="eastAsia" w:ascii="宋体" w:hAnsi="宋体" w:cs="宋体"/>
          <w:color w:val="auto"/>
          <w:szCs w:val="22"/>
          <w:highlight w:val="none"/>
        </w:rPr>
      </w:pPr>
    </w:p>
    <w:p w14:paraId="0DA3B5C2">
      <w:pPr>
        <w:shd w:val="clear"/>
        <w:spacing w:line="440" w:lineRule="exact"/>
        <w:rPr>
          <w:rFonts w:hint="eastAsia" w:ascii="宋体" w:hAnsi="宋体" w:cs="宋体"/>
          <w:color w:val="auto"/>
          <w:szCs w:val="22"/>
          <w:highlight w:val="none"/>
        </w:rPr>
      </w:pPr>
    </w:p>
    <w:p w14:paraId="3D5FCB4A">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32"/>
          <w:szCs w:val="20"/>
          <w:highlight w:val="none"/>
          <w:lang w:val="en-US" w:eastAsia="zh-CN"/>
        </w:rPr>
      </w:pPr>
      <w:bookmarkStart w:id="512" w:name="_Toc526786522"/>
      <w:bookmarkStart w:id="513" w:name="_Toc482188666"/>
      <w:r>
        <w:rPr>
          <w:rFonts w:hint="eastAsia" w:ascii="宋体" w:hAnsi="宋体" w:cs="宋体"/>
          <w:color w:val="auto"/>
          <w:sz w:val="28"/>
          <w:szCs w:val="20"/>
          <w:highlight w:val="none"/>
        </w:rPr>
        <w:br w:type="page"/>
      </w:r>
      <w:bookmarkEnd w:id="512"/>
      <w:bookmarkEnd w:id="513"/>
      <w:bookmarkStart w:id="514" w:name="_Toc11480"/>
      <w:bookmarkStart w:id="515" w:name="_Toc526786524"/>
      <w:r>
        <w:rPr>
          <w:rFonts w:hint="eastAsia" w:ascii="宋体" w:hAnsi="宋体" w:eastAsia="宋体" w:cs="宋体"/>
          <w:b/>
          <w:color w:val="auto"/>
          <w:sz w:val="32"/>
          <w:szCs w:val="20"/>
          <w:highlight w:val="none"/>
          <w:lang w:val="en-US" w:eastAsia="zh-CN"/>
        </w:rPr>
        <w:t>格式七：监理大纲</w:t>
      </w:r>
      <w:bookmarkEnd w:id="514"/>
    </w:p>
    <w:p w14:paraId="76B862C3">
      <w:pPr>
        <w:shd w:val="clear"/>
        <w:bidi w:val="0"/>
        <w:jc w:val="center"/>
        <w:rPr>
          <w:rFonts w:hint="default"/>
          <w:color w:val="auto"/>
          <w:sz w:val="28"/>
          <w:szCs w:val="28"/>
          <w:highlight w:val="none"/>
          <w:lang w:val="en-US" w:eastAsia="zh-CN"/>
        </w:rPr>
      </w:pPr>
      <w:r>
        <w:rPr>
          <w:rFonts w:hint="eastAsia"/>
          <w:color w:val="auto"/>
          <w:sz w:val="28"/>
          <w:szCs w:val="28"/>
          <w:highlight w:val="none"/>
        </w:rPr>
        <w:t>（格式自</w:t>
      </w:r>
      <w:r>
        <w:rPr>
          <w:rFonts w:hint="eastAsia"/>
          <w:color w:val="auto"/>
          <w:sz w:val="28"/>
          <w:szCs w:val="28"/>
          <w:highlight w:val="none"/>
          <w:lang w:val="en-US" w:eastAsia="zh-CN"/>
        </w:rPr>
        <w:t>定</w:t>
      </w:r>
      <w:r>
        <w:rPr>
          <w:rFonts w:hint="eastAsia"/>
          <w:color w:val="auto"/>
          <w:sz w:val="28"/>
          <w:szCs w:val="28"/>
          <w:highlight w:val="none"/>
        </w:rPr>
        <w:t>）</w:t>
      </w:r>
    </w:p>
    <w:p w14:paraId="640CF0A4">
      <w:pPr>
        <w:shd w:val="clear"/>
        <w:rPr>
          <w:rFonts w:ascii="宋体" w:hAnsi="宋体" w:cs="宋体"/>
          <w:color w:val="auto"/>
          <w:sz w:val="30"/>
          <w:szCs w:val="30"/>
          <w:highlight w:val="none"/>
        </w:rPr>
      </w:pPr>
      <w:r>
        <w:rPr>
          <w:rFonts w:hint="eastAsia" w:ascii="宋体" w:hAnsi="宋体" w:cs="宋体"/>
          <w:color w:val="auto"/>
          <w:sz w:val="30"/>
          <w:szCs w:val="30"/>
          <w:highlight w:val="none"/>
        </w:rPr>
        <w:t>编制要求：</w:t>
      </w:r>
    </w:p>
    <w:p w14:paraId="20691E4D">
      <w:pPr>
        <w:pStyle w:val="2"/>
        <w:shd w:val="clear"/>
        <w:rPr>
          <w:rFonts w:ascii="宋体" w:hAnsi="宋体" w:cs="宋体"/>
          <w:color w:val="auto"/>
          <w:highlight w:val="none"/>
        </w:rPr>
      </w:pPr>
    </w:p>
    <w:p w14:paraId="4A4FDC2B">
      <w:pPr>
        <w:shd w:val="clear"/>
        <w:spacing w:line="360" w:lineRule="auto"/>
        <w:ind w:firstLine="864" w:firstLineChars="400"/>
        <w:rPr>
          <w:rFonts w:ascii="宋体" w:hAnsi="宋体" w:cs="宋体"/>
          <w:color w:val="auto"/>
          <w:sz w:val="22"/>
          <w:szCs w:val="21"/>
          <w:highlight w:val="none"/>
        </w:rPr>
      </w:pPr>
      <w:r>
        <w:rPr>
          <w:rFonts w:hint="eastAsia" w:ascii="宋体" w:hAnsi="宋体" w:cs="宋体"/>
          <w:color w:val="auto"/>
          <w:spacing w:val="-2"/>
          <w:sz w:val="22"/>
          <w:highlight w:val="none"/>
        </w:rPr>
        <w:t>1）监理范围、监理内容、监理依据、监理工作目标；</w:t>
      </w:r>
    </w:p>
    <w:p w14:paraId="62C18AAE">
      <w:pPr>
        <w:shd w:val="clear"/>
        <w:spacing w:line="360" w:lineRule="auto"/>
        <w:ind w:firstLine="864" w:firstLineChars="400"/>
        <w:rPr>
          <w:rFonts w:ascii="宋体" w:hAnsi="宋体" w:cs="宋体"/>
          <w:color w:val="auto"/>
          <w:spacing w:val="-2"/>
          <w:sz w:val="22"/>
          <w:highlight w:val="none"/>
        </w:rPr>
      </w:pPr>
      <w:r>
        <w:rPr>
          <w:rFonts w:hint="eastAsia" w:ascii="宋体" w:hAnsi="宋体" w:cs="宋体"/>
          <w:color w:val="auto"/>
          <w:spacing w:val="-2"/>
          <w:sz w:val="22"/>
          <w:highlight w:val="none"/>
        </w:rPr>
        <w:t>2）现场项目监理人员架构表及人员进场计划、岗位职责；</w:t>
      </w:r>
    </w:p>
    <w:p w14:paraId="43F091FA">
      <w:pPr>
        <w:shd w:val="clear"/>
        <w:spacing w:line="360" w:lineRule="auto"/>
        <w:ind w:firstLine="864" w:firstLineChars="400"/>
        <w:rPr>
          <w:rFonts w:hint="eastAsia" w:ascii="宋体" w:hAnsi="宋体" w:eastAsia="宋体" w:cs="宋体"/>
          <w:color w:val="auto"/>
          <w:szCs w:val="21"/>
          <w:highlight w:val="none"/>
          <w:lang w:eastAsia="zh-CN"/>
        </w:rPr>
      </w:pPr>
      <w:r>
        <w:rPr>
          <w:rFonts w:hint="eastAsia" w:ascii="宋体" w:hAnsi="宋体" w:cs="宋体"/>
          <w:color w:val="auto"/>
          <w:spacing w:val="-2"/>
          <w:sz w:val="22"/>
          <w:highlight w:val="none"/>
        </w:rPr>
        <w:t>3）项目</w:t>
      </w:r>
      <w:r>
        <w:rPr>
          <w:rFonts w:hint="eastAsia" w:ascii="宋体" w:hAnsi="宋体" w:cs="宋体"/>
          <w:color w:val="auto"/>
          <w:spacing w:val="-2"/>
          <w:sz w:val="22"/>
          <w:highlight w:val="none"/>
          <w:lang w:val="en-US" w:eastAsia="zh-CN"/>
        </w:rPr>
        <w:t>监理</w:t>
      </w:r>
      <w:r>
        <w:rPr>
          <w:rFonts w:hint="eastAsia" w:ascii="宋体" w:hAnsi="宋体" w:cs="宋体"/>
          <w:color w:val="auto"/>
          <w:szCs w:val="21"/>
          <w:highlight w:val="none"/>
        </w:rPr>
        <w:t>工作程序和制度</w:t>
      </w:r>
      <w:r>
        <w:rPr>
          <w:rFonts w:hint="eastAsia" w:ascii="宋体" w:hAnsi="宋体" w:cs="宋体"/>
          <w:color w:val="auto"/>
          <w:szCs w:val="21"/>
          <w:highlight w:val="none"/>
          <w:lang w:eastAsia="zh-CN"/>
        </w:rPr>
        <w:t>；</w:t>
      </w:r>
    </w:p>
    <w:p w14:paraId="3C6967E7">
      <w:pPr>
        <w:shd w:val="clear"/>
        <w:spacing w:line="360" w:lineRule="auto"/>
        <w:ind w:firstLine="864" w:firstLineChars="400"/>
        <w:rPr>
          <w:rFonts w:ascii="宋体" w:hAnsi="宋体" w:cs="宋体"/>
          <w:color w:val="auto"/>
          <w:spacing w:val="-2"/>
          <w:sz w:val="22"/>
          <w:highlight w:val="none"/>
        </w:rPr>
      </w:pPr>
      <w:r>
        <w:rPr>
          <w:rFonts w:hint="eastAsia" w:ascii="宋体" w:hAnsi="宋体" w:cs="宋体"/>
          <w:color w:val="auto"/>
          <w:spacing w:val="-2"/>
          <w:sz w:val="22"/>
          <w:highlight w:val="none"/>
          <w:lang w:val="en-US" w:eastAsia="zh-CN"/>
        </w:rPr>
        <w:t>4</w:t>
      </w:r>
      <w:r>
        <w:rPr>
          <w:rFonts w:hint="eastAsia" w:ascii="宋体" w:hAnsi="宋体" w:cs="宋体"/>
          <w:color w:val="auto"/>
          <w:spacing w:val="-2"/>
          <w:sz w:val="22"/>
          <w:highlight w:val="none"/>
        </w:rPr>
        <w:t>）详细论述拟在本工程监理过程中进行控制（质量、进度、</w:t>
      </w:r>
      <w:r>
        <w:rPr>
          <w:rFonts w:hint="eastAsia" w:ascii="宋体" w:hAnsi="宋体" w:cs="宋体"/>
          <w:color w:val="auto"/>
          <w:spacing w:val="-2"/>
          <w:sz w:val="22"/>
          <w:highlight w:val="none"/>
          <w:lang w:val="en-US" w:eastAsia="zh-CN"/>
        </w:rPr>
        <w:t>投资</w:t>
      </w:r>
      <w:r>
        <w:rPr>
          <w:rFonts w:hint="eastAsia" w:ascii="宋体" w:hAnsi="宋体" w:cs="宋体"/>
          <w:color w:val="auto"/>
          <w:spacing w:val="-2"/>
          <w:sz w:val="22"/>
          <w:highlight w:val="none"/>
        </w:rPr>
        <w:t>、安全等）、管理（合同、信息等）、</w:t>
      </w:r>
      <w:r>
        <w:rPr>
          <w:rFonts w:hint="eastAsia" w:ascii="宋体" w:hAnsi="宋体" w:cs="宋体"/>
          <w:color w:val="auto"/>
          <w:spacing w:val="-2"/>
          <w:sz w:val="22"/>
          <w:highlight w:val="none"/>
          <w:lang w:val="en-US" w:eastAsia="zh-CN"/>
        </w:rPr>
        <w:t>组织</w:t>
      </w:r>
      <w:r>
        <w:rPr>
          <w:rFonts w:hint="eastAsia" w:ascii="宋体" w:hAnsi="宋体" w:cs="宋体"/>
          <w:color w:val="auto"/>
          <w:spacing w:val="-2"/>
          <w:sz w:val="22"/>
          <w:highlight w:val="none"/>
        </w:rPr>
        <w:t>协调所采用的方法和措施；</w:t>
      </w:r>
    </w:p>
    <w:p w14:paraId="3E44FCAF">
      <w:pPr>
        <w:shd w:val="clear"/>
        <w:spacing w:line="360" w:lineRule="auto"/>
        <w:ind w:firstLine="864" w:firstLineChars="400"/>
        <w:rPr>
          <w:rFonts w:hint="eastAsia" w:ascii="宋体" w:hAnsi="宋体" w:eastAsia="宋体" w:cs="宋体"/>
          <w:color w:val="auto"/>
          <w:spacing w:val="-2"/>
          <w:sz w:val="22"/>
          <w:highlight w:val="none"/>
          <w:lang w:eastAsia="zh-CN"/>
        </w:rPr>
      </w:pPr>
      <w:r>
        <w:rPr>
          <w:rFonts w:hint="eastAsia" w:ascii="宋体" w:hAnsi="宋体" w:cs="宋体"/>
          <w:color w:val="auto"/>
          <w:spacing w:val="-2"/>
          <w:sz w:val="22"/>
          <w:highlight w:val="none"/>
          <w:lang w:val="en-US" w:eastAsia="zh-CN"/>
        </w:rPr>
        <w:t>5</w:t>
      </w:r>
      <w:r>
        <w:rPr>
          <w:rFonts w:hint="eastAsia" w:ascii="宋体" w:hAnsi="宋体" w:cs="宋体"/>
          <w:color w:val="auto"/>
          <w:spacing w:val="-2"/>
          <w:sz w:val="22"/>
          <w:highlight w:val="none"/>
        </w:rPr>
        <w:t>）针对本工程的重点、难点分析及提出相应的监理手段和措施。以及有价值的建议、意见及其处理措施</w:t>
      </w:r>
      <w:r>
        <w:rPr>
          <w:rFonts w:hint="eastAsia" w:ascii="宋体" w:hAnsi="宋体" w:cs="宋体"/>
          <w:color w:val="auto"/>
          <w:spacing w:val="-2"/>
          <w:sz w:val="22"/>
          <w:highlight w:val="none"/>
          <w:lang w:eastAsia="zh-CN"/>
        </w:rPr>
        <w:t>。</w:t>
      </w:r>
    </w:p>
    <w:p w14:paraId="1DD89E11">
      <w:pPr>
        <w:shd w:val="clear"/>
        <w:spacing w:before="260" w:line="410" w:lineRule="auto"/>
        <w:jc w:val="left"/>
        <w:outlineLvl w:val="1"/>
        <w:rPr>
          <w:rFonts w:hint="eastAsia" w:ascii="宋体" w:hAnsi="宋体" w:cs="宋体"/>
          <w:b/>
          <w:color w:val="auto"/>
          <w:sz w:val="32"/>
          <w:szCs w:val="20"/>
          <w:highlight w:val="none"/>
        </w:rPr>
      </w:pPr>
      <w:r>
        <w:rPr>
          <w:rFonts w:hint="eastAsia" w:ascii="宋体" w:hAnsi="宋体" w:cs="宋体"/>
          <w:color w:val="auto"/>
          <w:sz w:val="28"/>
          <w:szCs w:val="20"/>
          <w:highlight w:val="none"/>
        </w:rPr>
        <w:br w:type="page"/>
      </w:r>
      <w:bookmarkStart w:id="516" w:name="_Toc21869"/>
      <w:r>
        <w:rPr>
          <w:rFonts w:hint="eastAsia" w:ascii="宋体" w:hAnsi="宋体" w:eastAsia="宋体" w:cs="宋体"/>
          <w:b/>
          <w:color w:val="auto"/>
          <w:sz w:val="32"/>
          <w:szCs w:val="20"/>
          <w:highlight w:val="none"/>
          <w:lang w:val="en-US" w:eastAsia="zh-CN"/>
        </w:rPr>
        <w:t>格式八</w:t>
      </w:r>
      <w:r>
        <w:rPr>
          <w:rFonts w:hint="eastAsia" w:ascii="宋体" w:hAnsi="宋体" w:cs="宋体"/>
          <w:b/>
          <w:color w:val="auto"/>
          <w:sz w:val="32"/>
          <w:szCs w:val="20"/>
          <w:highlight w:val="none"/>
          <w:lang w:val="en-US" w:eastAsia="zh-CN"/>
        </w:rPr>
        <w:t>：</w:t>
      </w:r>
      <w:r>
        <w:rPr>
          <w:rFonts w:hint="eastAsia" w:ascii="宋体" w:hAnsi="宋体" w:cs="宋体"/>
          <w:b/>
          <w:color w:val="auto"/>
          <w:sz w:val="32"/>
          <w:szCs w:val="20"/>
          <w:highlight w:val="none"/>
        </w:rPr>
        <w:t>其他资料</w:t>
      </w:r>
      <w:bookmarkEnd w:id="515"/>
      <w:bookmarkEnd w:id="516"/>
    </w:p>
    <w:p w14:paraId="7FE10503">
      <w:pPr>
        <w:shd w:val="clear"/>
        <w:rPr>
          <w:rFonts w:hint="eastAsia" w:ascii="宋体" w:hAnsi="宋体" w:cs="宋体"/>
          <w:color w:val="auto"/>
          <w:szCs w:val="22"/>
          <w:highlight w:val="none"/>
        </w:rPr>
      </w:pPr>
    </w:p>
    <w:p w14:paraId="2C7A2CD7">
      <w:pPr>
        <w:shd w:val="clear"/>
        <w:jc w:val="center"/>
        <w:rPr>
          <w:rFonts w:hint="eastAsia" w:ascii="宋体" w:hAnsi="宋体" w:cs="宋体"/>
          <w:color w:val="auto"/>
          <w:szCs w:val="22"/>
          <w:highlight w:val="none"/>
        </w:rPr>
      </w:pPr>
      <w:r>
        <w:rPr>
          <w:rFonts w:hint="eastAsia" w:ascii="宋体" w:hAnsi="宋体" w:cs="宋体"/>
          <w:color w:val="auto"/>
          <w:szCs w:val="22"/>
          <w:highlight w:val="none"/>
        </w:rPr>
        <w:t>投标人认为有必要提交的其他资料，格式自</w:t>
      </w:r>
      <w:r>
        <w:rPr>
          <w:rFonts w:hint="eastAsia" w:ascii="宋体" w:hAnsi="宋体" w:cs="宋体"/>
          <w:color w:val="auto"/>
          <w:szCs w:val="22"/>
          <w:highlight w:val="none"/>
          <w:lang w:val="en-US" w:eastAsia="zh-CN"/>
        </w:rPr>
        <w:t>拟</w:t>
      </w:r>
      <w:r>
        <w:rPr>
          <w:rFonts w:hint="eastAsia" w:ascii="宋体" w:hAnsi="宋体" w:cs="宋体"/>
          <w:color w:val="auto"/>
          <w:szCs w:val="22"/>
          <w:highlight w:val="none"/>
        </w:rPr>
        <w:t>。</w:t>
      </w:r>
    </w:p>
    <w:p w14:paraId="595C07FE">
      <w:pPr>
        <w:shd w:val="clear"/>
        <w:spacing w:line="427" w:lineRule="exact"/>
        <w:ind w:right="4013" w:firstLine="420" w:firstLineChars="200"/>
        <w:jc w:val="center"/>
        <w:rPr>
          <w:rFonts w:hint="eastAsia" w:ascii="宋体" w:hAnsi="宋体" w:cs="宋体"/>
          <w:color w:val="auto"/>
          <w:highlight w:val="none"/>
        </w:rPr>
      </w:pPr>
    </w:p>
    <w:sectPr>
      <w:headerReference r:id="rId6" w:type="first"/>
      <w:headerReference r:id="rId4" w:type="default"/>
      <w:footerReference r:id="rId7" w:type="default"/>
      <w:headerReference r:id="rId5" w:type="even"/>
      <w:footerReference r:id="rId8" w:type="even"/>
      <w:pgSz w:w="11907" w:h="16840"/>
      <w:pgMar w:top="1134" w:right="1134" w:bottom="1134" w:left="1134"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宋体u萀">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3035">
    <w:pPr>
      <w:pStyle w:val="17"/>
      <w:jc w:val="center"/>
    </w:pPr>
  </w:p>
  <w:p w14:paraId="092CFFD6">
    <w:pPr>
      <w:pStyle w:val="17"/>
      <w:jc w:val="center"/>
    </w:pPr>
    <w:r>
      <w:fldChar w:fldCharType="begin"/>
    </w:r>
    <w:r>
      <w:instrText xml:space="preserve"> PAGE   \* MERGEFORMAT </w:instrText>
    </w:r>
    <w:r>
      <w:fldChar w:fldCharType="separate"/>
    </w:r>
    <w:r>
      <w:rPr>
        <w:lang w:val="zh-CN"/>
      </w:rPr>
      <w:t>14</w:t>
    </w:r>
    <w:r>
      <w:fldChar w:fldCharType="end"/>
    </w:r>
  </w:p>
  <w:p w14:paraId="741EE50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9331">
    <w:pPr>
      <w:pStyle w:val="17"/>
      <w:jc w:val="center"/>
    </w:pPr>
    <w:r>
      <w:fldChar w:fldCharType="begin"/>
    </w:r>
    <w:r>
      <w:instrText xml:space="preserve"> PAGE   \* MERGEFORMAT </w:instrText>
    </w:r>
    <w:r>
      <w:fldChar w:fldCharType="separate"/>
    </w:r>
    <w:r>
      <w:rPr>
        <w:lang w:val="zh-CN"/>
      </w:rPr>
      <w:t>55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5D41">
    <w:pPr>
      <w:pStyle w:val="17"/>
      <w:framePr w:wrap="around" w:vAnchor="text" w:hAnchor="margin" w:xAlign="center" w:y="1"/>
      <w:rPr>
        <w:rStyle w:val="31"/>
      </w:rPr>
    </w:pPr>
    <w:r>
      <w:fldChar w:fldCharType="begin"/>
    </w:r>
    <w:r>
      <w:rPr>
        <w:rStyle w:val="31"/>
      </w:rPr>
      <w:instrText xml:space="preserve">PAGE  </w:instrText>
    </w:r>
    <w:r>
      <w:fldChar w:fldCharType="end"/>
    </w:r>
  </w:p>
  <w:p w14:paraId="39F9A36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9811">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838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9C8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A3A85"/>
    <w:multiLevelType w:val="singleLevel"/>
    <w:tmpl w:val="F96A3A85"/>
    <w:lvl w:ilvl="0" w:tentative="0">
      <w:start w:val="4"/>
      <w:numFmt w:val="upperLetter"/>
      <w:suff w:val="nothing"/>
      <w:lvlText w:val="%1、"/>
      <w:lvlJc w:val="left"/>
    </w:lvl>
  </w:abstractNum>
  <w:abstractNum w:abstractNumId="1">
    <w:nsid w:val="7A36661B"/>
    <w:multiLevelType w:val="singleLevel"/>
    <w:tmpl w:val="7A36661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ZmEzNDZhNWUzY2IxMDg2MjFmN2YyODIxZmNkNDQifQ=="/>
  </w:docVars>
  <w:rsids>
    <w:rsidRoot w:val="00423383"/>
    <w:rsid w:val="000004B5"/>
    <w:rsid w:val="000021E8"/>
    <w:rsid w:val="00004B29"/>
    <w:rsid w:val="00012E0D"/>
    <w:rsid w:val="000140F2"/>
    <w:rsid w:val="000144CD"/>
    <w:rsid w:val="00016645"/>
    <w:rsid w:val="00020F48"/>
    <w:rsid w:val="00020F5F"/>
    <w:rsid w:val="000223F6"/>
    <w:rsid w:val="000237B4"/>
    <w:rsid w:val="00024475"/>
    <w:rsid w:val="00024B65"/>
    <w:rsid w:val="00024F19"/>
    <w:rsid w:val="00025A21"/>
    <w:rsid w:val="00025CCC"/>
    <w:rsid w:val="00026E03"/>
    <w:rsid w:val="000308D1"/>
    <w:rsid w:val="0003251F"/>
    <w:rsid w:val="000327EC"/>
    <w:rsid w:val="000376FE"/>
    <w:rsid w:val="00040D9B"/>
    <w:rsid w:val="000418F4"/>
    <w:rsid w:val="00043E2B"/>
    <w:rsid w:val="000462A8"/>
    <w:rsid w:val="00046EF0"/>
    <w:rsid w:val="000532C6"/>
    <w:rsid w:val="00054853"/>
    <w:rsid w:val="00061CA9"/>
    <w:rsid w:val="00064605"/>
    <w:rsid w:val="00065758"/>
    <w:rsid w:val="00070C6B"/>
    <w:rsid w:val="00072060"/>
    <w:rsid w:val="000731B1"/>
    <w:rsid w:val="00073951"/>
    <w:rsid w:val="00074BF6"/>
    <w:rsid w:val="00075EBD"/>
    <w:rsid w:val="000828F3"/>
    <w:rsid w:val="00083398"/>
    <w:rsid w:val="00086A0F"/>
    <w:rsid w:val="0009594A"/>
    <w:rsid w:val="000A05C4"/>
    <w:rsid w:val="000A2534"/>
    <w:rsid w:val="000A2FD1"/>
    <w:rsid w:val="000A60D3"/>
    <w:rsid w:val="000A645D"/>
    <w:rsid w:val="000A69F0"/>
    <w:rsid w:val="000A7337"/>
    <w:rsid w:val="000B0510"/>
    <w:rsid w:val="000B4C30"/>
    <w:rsid w:val="000B6B03"/>
    <w:rsid w:val="000B721C"/>
    <w:rsid w:val="000C0F1E"/>
    <w:rsid w:val="000C1004"/>
    <w:rsid w:val="000C39AF"/>
    <w:rsid w:val="000C70AB"/>
    <w:rsid w:val="000C7A2F"/>
    <w:rsid w:val="000D0440"/>
    <w:rsid w:val="000D3434"/>
    <w:rsid w:val="000E1C53"/>
    <w:rsid w:val="000E5841"/>
    <w:rsid w:val="000E6ED6"/>
    <w:rsid w:val="000E7E8F"/>
    <w:rsid w:val="000E7E9B"/>
    <w:rsid w:val="000F2C91"/>
    <w:rsid w:val="000F35D0"/>
    <w:rsid w:val="000F4BF5"/>
    <w:rsid w:val="000F6BC2"/>
    <w:rsid w:val="00100F5D"/>
    <w:rsid w:val="00101ACD"/>
    <w:rsid w:val="00104A9E"/>
    <w:rsid w:val="00106550"/>
    <w:rsid w:val="0012359D"/>
    <w:rsid w:val="001261EF"/>
    <w:rsid w:val="001268D8"/>
    <w:rsid w:val="00133CD5"/>
    <w:rsid w:val="00136DBD"/>
    <w:rsid w:val="0014112B"/>
    <w:rsid w:val="00141246"/>
    <w:rsid w:val="00144C20"/>
    <w:rsid w:val="001472F9"/>
    <w:rsid w:val="0015348B"/>
    <w:rsid w:val="0015437F"/>
    <w:rsid w:val="00156A24"/>
    <w:rsid w:val="00157AEE"/>
    <w:rsid w:val="0016206C"/>
    <w:rsid w:val="00163349"/>
    <w:rsid w:val="00164E2A"/>
    <w:rsid w:val="0016599A"/>
    <w:rsid w:val="00166A6F"/>
    <w:rsid w:val="001821C2"/>
    <w:rsid w:val="00182FAC"/>
    <w:rsid w:val="00183872"/>
    <w:rsid w:val="00191767"/>
    <w:rsid w:val="00197A29"/>
    <w:rsid w:val="00197F59"/>
    <w:rsid w:val="001A7CD7"/>
    <w:rsid w:val="001A7D32"/>
    <w:rsid w:val="001B19E9"/>
    <w:rsid w:val="001C0E02"/>
    <w:rsid w:val="001C7C9C"/>
    <w:rsid w:val="001D6AA3"/>
    <w:rsid w:val="001D6E77"/>
    <w:rsid w:val="001D770F"/>
    <w:rsid w:val="001E09B6"/>
    <w:rsid w:val="001E10E6"/>
    <w:rsid w:val="001F04D5"/>
    <w:rsid w:val="001F16BA"/>
    <w:rsid w:val="001F2077"/>
    <w:rsid w:val="001F7363"/>
    <w:rsid w:val="00201927"/>
    <w:rsid w:val="00201F03"/>
    <w:rsid w:val="00202098"/>
    <w:rsid w:val="00211335"/>
    <w:rsid w:val="00214D55"/>
    <w:rsid w:val="0021567D"/>
    <w:rsid w:val="00216988"/>
    <w:rsid w:val="00220BE3"/>
    <w:rsid w:val="00222EB9"/>
    <w:rsid w:val="00225BB7"/>
    <w:rsid w:val="002262C1"/>
    <w:rsid w:val="00240183"/>
    <w:rsid w:val="00241E24"/>
    <w:rsid w:val="002427CD"/>
    <w:rsid w:val="002447FB"/>
    <w:rsid w:val="00245D10"/>
    <w:rsid w:val="00250437"/>
    <w:rsid w:val="00251C3A"/>
    <w:rsid w:val="00252498"/>
    <w:rsid w:val="0025348F"/>
    <w:rsid w:val="002541ED"/>
    <w:rsid w:val="002550BC"/>
    <w:rsid w:val="00256BF6"/>
    <w:rsid w:val="00261BB4"/>
    <w:rsid w:val="00283FA4"/>
    <w:rsid w:val="0028519D"/>
    <w:rsid w:val="00286385"/>
    <w:rsid w:val="0028651D"/>
    <w:rsid w:val="002871D9"/>
    <w:rsid w:val="00287BFE"/>
    <w:rsid w:val="00291B84"/>
    <w:rsid w:val="00291DAD"/>
    <w:rsid w:val="002932EF"/>
    <w:rsid w:val="00293AC0"/>
    <w:rsid w:val="00293EB7"/>
    <w:rsid w:val="00294F17"/>
    <w:rsid w:val="00297350"/>
    <w:rsid w:val="002A53E8"/>
    <w:rsid w:val="002A718C"/>
    <w:rsid w:val="002B64CC"/>
    <w:rsid w:val="002B7810"/>
    <w:rsid w:val="002C1013"/>
    <w:rsid w:val="002C1982"/>
    <w:rsid w:val="002D194A"/>
    <w:rsid w:val="002D27D0"/>
    <w:rsid w:val="002D2862"/>
    <w:rsid w:val="002D2F8B"/>
    <w:rsid w:val="002D347E"/>
    <w:rsid w:val="002E02C4"/>
    <w:rsid w:val="002E1078"/>
    <w:rsid w:val="002E6E8D"/>
    <w:rsid w:val="002F02B4"/>
    <w:rsid w:val="002F03F7"/>
    <w:rsid w:val="002F0601"/>
    <w:rsid w:val="002F3853"/>
    <w:rsid w:val="002F3D00"/>
    <w:rsid w:val="002F627F"/>
    <w:rsid w:val="0030100F"/>
    <w:rsid w:val="00302B54"/>
    <w:rsid w:val="003116CE"/>
    <w:rsid w:val="00314584"/>
    <w:rsid w:val="00316785"/>
    <w:rsid w:val="00316E01"/>
    <w:rsid w:val="00320C47"/>
    <w:rsid w:val="0032254B"/>
    <w:rsid w:val="00322F01"/>
    <w:rsid w:val="0032359A"/>
    <w:rsid w:val="00327D43"/>
    <w:rsid w:val="00331B0F"/>
    <w:rsid w:val="003334D8"/>
    <w:rsid w:val="003446E8"/>
    <w:rsid w:val="00345609"/>
    <w:rsid w:val="003458D3"/>
    <w:rsid w:val="00350A6E"/>
    <w:rsid w:val="00351BD5"/>
    <w:rsid w:val="00356CEA"/>
    <w:rsid w:val="00357CA1"/>
    <w:rsid w:val="00363903"/>
    <w:rsid w:val="00371DB4"/>
    <w:rsid w:val="003720B7"/>
    <w:rsid w:val="0037377B"/>
    <w:rsid w:val="0037467E"/>
    <w:rsid w:val="00374799"/>
    <w:rsid w:val="00375149"/>
    <w:rsid w:val="00376C2C"/>
    <w:rsid w:val="00377234"/>
    <w:rsid w:val="00380E0C"/>
    <w:rsid w:val="0038178F"/>
    <w:rsid w:val="00384854"/>
    <w:rsid w:val="003871E0"/>
    <w:rsid w:val="00387361"/>
    <w:rsid w:val="00391545"/>
    <w:rsid w:val="00396ED8"/>
    <w:rsid w:val="00397416"/>
    <w:rsid w:val="00397F35"/>
    <w:rsid w:val="003A2097"/>
    <w:rsid w:val="003A222F"/>
    <w:rsid w:val="003A3DAC"/>
    <w:rsid w:val="003A3FDD"/>
    <w:rsid w:val="003A45F2"/>
    <w:rsid w:val="003A527E"/>
    <w:rsid w:val="003A5A70"/>
    <w:rsid w:val="003A6D04"/>
    <w:rsid w:val="003A7BF8"/>
    <w:rsid w:val="003B016D"/>
    <w:rsid w:val="003B0198"/>
    <w:rsid w:val="003B1792"/>
    <w:rsid w:val="003B5FFD"/>
    <w:rsid w:val="003C02E0"/>
    <w:rsid w:val="003C20F3"/>
    <w:rsid w:val="003C26F7"/>
    <w:rsid w:val="003C28A7"/>
    <w:rsid w:val="003C54DF"/>
    <w:rsid w:val="003D584B"/>
    <w:rsid w:val="003E349E"/>
    <w:rsid w:val="003E4484"/>
    <w:rsid w:val="003E469B"/>
    <w:rsid w:val="003E6C01"/>
    <w:rsid w:val="003F679E"/>
    <w:rsid w:val="00403AD4"/>
    <w:rsid w:val="00404376"/>
    <w:rsid w:val="00405C4E"/>
    <w:rsid w:val="00405E67"/>
    <w:rsid w:val="0040628B"/>
    <w:rsid w:val="00410622"/>
    <w:rsid w:val="00410DC4"/>
    <w:rsid w:val="004124AC"/>
    <w:rsid w:val="00412F5B"/>
    <w:rsid w:val="00414280"/>
    <w:rsid w:val="00414FB0"/>
    <w:rsid w:val="004151A5"/>
    <w:rsid w:val="004169AB"/>
    <w:rsid w:val="004203A0"/>
    <w:rsid w:val="00422C9B"/>
    <w:rsid w:val="00423383"/>
    <w:rsid w:val="00424F23"/>
    <w:rsid w:val="00425739"/>
    <w:rsid w:val="00426392"/>
    <w:rsid w:val="00426753"/>
    <w:rsid w:val="004271D7"/>
    <w:rsid w:val="0043247E"/>
    <w:rsid w:val="00435880"/>
    <w:rsid w:val="004362CF"/>
    <w:rsid w:val="004371BB"/>
    <w:rsid w:val="00437B5A"/>
    <w:rsid w:val="00441DF7"/>
    <w:rsid w:val="00443F13"/>
    <w:rsid w:val="0044777F"/>
    <w:rsid w:val="00450824"/>
    <w:rsid w:val="004521F6"/>
    <w:rsid w:val="00453220"/>
    <w:rsid w:val="00453A1A"/>
    <w:rsid w:val="00457158"/>
    <w:rsid w:val="00457613"/>
    <w:rsid w:val="004604EE"/>
    <w:rsid w:val="00460E1C"/>
    <w:rsid w:val="00464922"/>
    <w:rsid w:val="0046665E"/>
    <w:rsid w:val="00466748"/>
    <w:rsid w:val="00467BD2"/>
    <w:rsid w:val="00467D97"/>
    <w:rsid w:val="00471D66"/>
    <w:rsid w:val="00474166"/>
    <w:rsid w:val="00475E04"/>
    <w:rsid w:val="00480159"/>
    <w:rsid w:val="00481934"/>
    <w:rsid w:val="0048304D"/>
    <w:rsid w:val="004834CA"/>
    <w:rsid w:val="00484052"/>
    <w:rsid w:val="00484E9C"/>
    <w:rsid w:val="00486ED8"/>
    <w:rsid w:val="0049196C"/>
    <w:rsid w:val="004A00E8"/>
    <w:rsid w:val="004A515B"/>
    <w:rsid w:val="004A76E1"/>
    <w:rsid w:val="004A7B66"/>
    <w:rsid w:val="004A7C98"/>
    <w:rsid w:val="004B07B6"/>
    <w:rsid w:val="004B1315"/>
    <w:rsid w:val="004B157B"/>
    <w:rsid w:val="004B4C19"/>
    <w:rsid w:val="004B6533"/>
    <w:rsid w:val="004C1E4D"/>
    <w:rsid w:val="004C3624"/>
    <w:rsid w:val="004C3B0F"/>
    <w:rsid w:val="004C5C24"/>
    <w:rsid w:val="004C61AF"/>
    <w:rsid w:val="004D05E6"/>
    <w:rsid w:val="004D146A"/>
    <w:rsid w:val="004D25FD"/>
    <w:rsid w:val="004D35B3"/>
    <w:rsid w:val="004D5BA9"/>
    <w:rsid w:val="004E4386"/>
    <w:rsid w:val="004F2101"/>
    <w:rsid w:val="004F26EA"/>
    <w:rsid w:val="004F5484"/>
    <w:rsid w:val="004F63EA"/>
    <w:rsid w:val="004F66CE"/>
    <w:rsid w:val="00500772"/>
    <w:rsid w:val="005014E5"/>
    <w:rsid w:val="005032D0"/>
    <w:rsid w:val="00507B5C"/>
    <w:rsid w:val="00510211"/>
    <w:rsid w:val="00510D7D"/>
    <w:rsid w:val="00510D92"/>
    <w:rsid w:val="00512170"/>
    <w:rsid w:val="00516920"/>
    <w:rsid w:val="00517894"/>
    <w:rsid w:val="00517D18"/>
    <w:rsid w:val="00520722"/>
    <w:rsid w:val="00523D75"/>
    <w:rsid w:val="0052406C"/>
    <w:rsid w:val="005249E8"/>
    <w:rsid w:val="00524C5F"/>
    <w:rsid w:val="00527E04"/>
    <w:rsid w:val="00531068"/>
    <w:rsid w:val="00531388"/>
    <w:rsid w:val="00531A58"/>
    <w:rsid w:val="0053327D"/>
    <w:rsid w:val="00534436"/>
    <w:rsid w:val="00534C07"/>
    <w:rsid w:val="00534C3E"/>
    <w:rsid w:val="005404ED"/>
    <w:rsid w:val="00540DBC"/>
    <w:rsid w:val="00541558"/>
    <w:rsid w:val="00544918"/>
    <w:rsid w:val="0054587B"/>
    <w:rsid w:val="00552174"/>
    <w:rsid w:val="00553303"/>
    <w:rsid w:val="005561A5"/>
    <w:rsid w:val="00556DD3"/>
    <w:rsid w:val="0055788E"/>
    <w:rsid w:val="00557F1E"/>
    <w:rsid w:val="0056269B"/>
    <w:rsid w:val="00563BF3"/>
    <w:rsid w:val="00563E8B"/>
    <w:rsid w:val="0056519F"/>
    <w:rsid w:val="00567343"/>
    <w:rsid w:val="00567652"/>
    <w:rsid w:val="00567835"/>
    <w:rsid w:val="0057053F"/>
    <w:rsid w:val="0057083A"/>
    <w:rsid w:val="00570FD5"/>
    <w:rsid w:val="00571800"/>
    <w:rsid w:val="0057401E"/>
    <w:rsid w:val="005745B6"/>
    <w:rsid w:val="00584C8C"/>
    <w:rsid w:val="00586075"/>
    <w:rsid w:val="005917E6"/>
    <w:rsid w:val="00592A0D"/>
    <w:rsid w:val="00593A37"/>
    <w:rsid w:val="005968FF"/>
    <w:rsid w:val="005A00D8"/>
    <w:rsid w:val="005A08EA"/>
    <w:rsid w:val="005A261F"/>
    <w:rsid w:val="005A3268"/>
    <w:rsid w:val="005A7B67"/>
    <w:rsid w:val="005B4277"/>
    <w:rsid w:val="005B65D2"/>
    <w:rsid w:val="005B76AE"/>
    <w:rsid w:val="005C4281"/>
    <w:rsid w:val="005C5531"/>
    <w:rsid w:val="005D2C96"/>
    <w:rsid w:val="005D689B"/>
    <w:rsid w:val="005D6952"/>
    <w:rsid w:val="005D7AA9"/>
    <w:rsid w:val="005E256F"/>
    <w:rsid w:val="005E37AA"/>
    <w:rsid w:val="005E38D6"/>
    <w:rsid w:val="005E566C"/>
    <w:rsid w:val="005E6B29"/>
    <w:rsid w:val="005F0B98"/>
    <w:rsid w:val="005F20F5"/>
    <w:rsid w:val="005F264C"/>
    <w:rsid w:val="005F3887"/>
    <w:rsid w:val="005F455B"/>
    <w:rsid w:val="005F5826"/>
    <w:rsid w:val="005F5B6C"/>
    <w:rsid w:val="005F6EE1"/>
    <w:rsid w:val="005F763F"/>
    <w:rsid w:val="005F794A"/>
    <w:rsid w:val="00600362"/>
    <w:rsid w:val="00604BD9"/>
    <w:rsid w:val="0060597F"/>
    <w:rsid w:val="00607A7E"/>
    <w:rsid w:val="0061130E"/>
    <w:rsid w:val="00613484"/>
    <w:rsid w:val="0061770B"/>
    <w:rsid w:val="00621603"/>
    <w:rsid w:val="00624771"/>
    <w:rsid w:val="00626005"/>
    <w:rsid w:val="00626680"/>
    <w:rsid w:val="00627FA2"/>
    <w:rsid w:val="0063315A"/>
    <w:rsid w:val="00634AF3"/>
    <w:rsid w:val="00635D22"/>
    <w:rsid w:val="006365B3"/>
    <w:rsid w:val="00637D38"/>
    <w:rsid w:val="0064018E"/>
    <w:rsid w:val="006421E1"/>
    <w:rsid w:val="00643F21"/>
    <w:rsid w:val="00644776"/>
    <w:rsid w:val="006458B7"/>
    <w:rsid w:val="00645972"/>
    <w:rsid w:val="00647DEF"/>
    <w:rsid w:val="00653197"/>
    <w:rsid w:val="00653836"/>
    <w:rsid w:val="00654F5D"/>
    <w:rsid w:val="006578CA"/>
    <w:rsid w:val="0066302C"/>
    <w:rsid w:val="00665026"/>
    <w:rsid w:val="0066654F"/>
    <w:rsid w:val="00666CB7"/>
    <w:rsid w:val="00667E8E"/>
    <w:rsid w:val="0067272E"/>
    <w:rsid w:val="00673A12"/>
    <w:rsid w:val="00675387"/>
    <w:rsid w:val="00676841"/>
    <w:rsid w:val="00676C39"/>
    <w:rsid w:val="0068042A"/>
    <w:rsid w:val="0069053E"/>
    <w:rsid w:val="00694004"/>
    <w:rsid w:val="006B2AE5"/>
    <w:rsid w:val="006B4226"/>
    <w:rsid w:val="006B4B7C"/>
    <w:rsid w:val="006B56D6"/>
    <w:rsid w:val="006B60D3"/>
    <w:rsid w:val="006C44BA"/>
    <w:rsid w:val="006D0D23"/>
    <w:rsid w:val="006D0DA0"/>
    <w:rsid w:val="006D21C5"/>
    <w:rsid w:val="006D3255"/>
    <w:rsid w:val="006E09B3"/>
    <w:rsid w:val="006E43C1"/>
    <w:rsid w:val="006E4EE1"/>
    <w:rsid w:val="006F039E"/>
    <w:rsid w:val="006F2A71"/>
    <w:rsid w:val="006F3A17"/>
    <w:rsid w:val="006F5936"/>
    <w:rsid w:val="006F7232"/>
    <w:rsid w:val="0070080C"/>
    <w:rsid w:val="00704760"/>
    <w:rsid w:val="00705E70"/>
    <w:rsid w:val="007063DC"/>
    <w:rsid w:val="00710CB8"/>
    <w:rsid w:val="007116D9"/>
    <w:rsid w:val="00712083"/>
    <w:rsid w:val="00712500"/>
    <w:rsid w:val="00715673"/>
    <w:rsid w:val="00717C2E"/>
    <w:rsid w:val="007239C0"/>
    <w:rsid w:val="007240B3"/>
    <w:rsid w:val="00725F56"/>
    <w:rsid w:val="00730741"/>
    <w:rsid w:val="00731633"/>
    <w:rsid w:val="007329C8"/>
    <w:rsid w:val="00734133"/>
    <w:rsid w:val="00741BBD"/>
    <w:rsid w:val="00744A7F"/>
    <w:rsid w:val="00747E8A"/>
    <w:rsid w:val="00750947"/>
    <w:rsid w:val="007520AB"/>
    <w:rsid w:val="007534E2"/>
    <w:rsid w:val="007538DB"/>
    <w:rsid w:val="0075433B"/>
    <w:rsid w:val="00754852"/>
    <w:rsid w:val="00754B7E"/>
    <w:rsid w:val="00757447"/>
    <w:rsid w:val="0076473C"/>
    <w:rsid w:val="00764A5E"/>
    <w:rsid w:val="007653B2"/>
    <w:rsid w:val="007654DD"/>
    <w:rsid w:val="00765CC6"/>
    <w:rsid w:val="0077007A"/>
    <w:rsid w:val="00771D57"/>
    <w:rsid w:val="00772BB9"/>
    <w:rsid w:val="00776CD1"/>
    <w:rsid w:val="007778C5"/>
    <w:rsid w:val="0078098C"/>
    <w:rsid w:val="007810A3"/>
    <w:rsid w:val="00782002"/>
    <w:rsid w:val="0078259D"/>
    <w:rsid w:val="007853F1"/>
    <w:rsid w:val="00787910"/>
    <w:rsid w:val="00790265"/>
    <w:rsid w:val="00790CD5"/>
    <w:rsid w:val="00791ED8"/>
    <w:rsid w:val="0079212F"/>
    <w:rsid w:val="00793407"/>
    <w:rsid w:val="00794650"/>
    <w:rsid w:val="00794A57"/>
    <w:rsid w:val="00794E44"/>
    <w:rsid w:val="007958F6"/>
    <w:rsid w:val="00796628"/>
    <w:rsid w:val="007968E4"/>
    <w:rsid w:val="00796DD8"/>
    <w:rsid w:val="0079713A"/>
    <w:rsid w:val="007976D9"/>
    <w:rsid w:val="007A0749"/>
    <w:rsid w:val="007A6D03"/>
    <w:rsid w:val="007B0350"/>
    <w:rsid w:val="007C140D"/>
    <w:rsid w:val="007C14A3"/>
    <w:rsid w:val="007C36BD"/>
    <w:rsid w:val="007C5C93"/>
    <w:rsid w:val="007C77B3"/>
    <w:rsid w:val="007C792B"/>
    <w:rsid w:val="007D37E2"/>
    <w:rsid w:val="007E1580"/>
    <w:rsid w:val="007E2629"/>
    <w:rsid w:val="007E2EAE"/>
    <w:rsid w:val="007E4D25"/>
    <w:rsid w:val="007F04DC"/>
    <w:rsid w:val="007F6646"/>
    <w:rsid w:val="00802613"/>
    <w:rsid w:val="008049FE"/>
    <w:rsid w:val="008052E7"/>
    <w:rsid w:val="008064F2"/>
    <w:rsid w:val="00812404"/>
    <w:rsid w:val="00812E3A"/>
    <w:rsid w:val="00817BCE"/>
    <w:rsid w:val="00823A40"/>
    <w:rsid w:val="00823EAB"/>
    <w:rsid w:val="00824435"/>
    <w:rsid w:val="00824FE5"/>
    <w:rsid w:val="0082559B"/>
    <w:rsid w:val="0082632B"/>
    <w:rsid w:val="00832DA4"/>
    <w:rsid w:val="008342EF"/>
    <w:rsid w:val="00836195"/>
    <w:rsid w:val="008365D1"/>
    <w:rsid w:val="00836B48"/>
    <w:rsid w:val="00840259"/>
    <w:rsid w:val="00842252"/>
    <w:rsid w:val="008423D5"/>
    <w:rsid w:val="00843B27"/>
    <w:rsid w:val="00843ED6"/>
    <w:rsid w:val="00845B75"/>
    <w:rsid w:val="008465BC"/>
    <w:rsid w:val="00850245"/>
    <w:rsid w:val="008513C2"/>
    <w:rsid w:val="0085567E"/>
    <w:rsid w:val="00860CBA"/>
    <w:rsid w:val="00862148"/>
    <w:rsid w:val="00862F4A"/>
    <w:rsid w:val="00865773"/>
    <w:rsid w:val="00865A56"/>
    <w:rsid w:val="00865C07"/>
    <w:rsid w:val="0087049C"/>
    <w:rsid w:val="008707C4"/>
    <w:rsid w:val="00871022"/>
    <w:rsid w:val="00871707"/>
    <w:rsid w:val="0087437B"/>
    <w:rsid w:val="00874E80"/>
    <w:rsid w:val="00877368"/>
    <w:rsid w:val="0088020A"/>
    <w:rsid w:val="008840D7"/>
    <w:rsid w:val="0088718C"/>
    <w:rsid w:val="00887E19"/>
    <w:rsid w:val="008A0FCA"/>
    <w:rsid w:val="008A1F86"/>
    <w:rsid w:val="008A3A41"/>
    <w:rsid w:val="008A4951"/>
    <w:rsid w:val="008B0344"/>
    <w:rsid w:val="008B0410"/>
    <w:rsid w:val="008B0BD8"/>
    <w:rsid w:val="008B442C"/>
    <w:rsid w:val="008B45C8"/>
    <w:rsid w:val="008B6261"/>
    <w:rsid w:val="008B733F"/>
    <w:rsid w:val="008B76C8"/>
    <w:rsid w:val="008C31B1"/>
    <w:rsid w:val="008C3D41"/>
    <w:rsid w:val="008C52D8"/>
    <w:rsid w:val="008C66AB"/>
    <w:rsid w:val="008D4748"/>
    <w:rsid w:val="008D528C"/>
    <w:rsid w:val="008D774E"/>
    <w:rsid w:val="008D7BC8"/>
    <w:rsid w:val="008E2E08"/>
    <w:rsid w:val="008E597B"/>
    <w:rsid w:val="008F35BC"/>
    <w:rsid w:val="008F4FA0"/>
    <w:rsid w:val="008F7B07"/>
    <w:rsid w:val="008F7B58"/>
    <w:rsid w:val="00901DA5"/>
    <w:rsid w:val="00902B6A"/>
    <w:rsid w:val="00904517"/>
    <w:rsid w:val="009048BD"/>
    <w:rsid w:val="00907973"/>
    <w:rsid w:val="009108D1"/>
    <w:rsid w:val="00912AB3"/>
    <w:rsid w:val="00915A67"/>
    <w:rsid w:val="00916BEE"/>
    <w:rsid w:val="00917C8D"/>
    <w:rsid w:val="009215A1"/>
    <w:rsid w:val="00921ED2"/>
    <w:rsid w:val="00924D6B"/>
    <w:rsid w:val="00925B0A"/>
    <w:rsid w:val="009261CE"/>
    <w:rsid w:val="00926E41"/>
    <w:rsid w:val="009278F9"/>
    <w:rsid w:val="00927A82"/>
    <w:rsid w:val="0093295B"/>
    <w:rsid w:val="00932E80"/>
    <w:rsid w:val="009340DD"/>
    <w:rsid w:val="0093621B"/>
    <w:rsid w:val="00936D79"/>
    <w:rsid w:val="0093769E"/>
    <w:rsid w:val="00937797"/>
    <w:rsid w:val="00940B87"/>
    <w:rsid w:val="009417F3"/>
    <w:rsid w:val="00944142"/>
    <w:rsid w:val="00947F55"/>
    <w:rsid w:val="00951A78"/>
    <w:rsid w:val="0095399A"/>
    <w:rsid w:val="00954DF0"/>
    <w:rsid w:val="0095550B"/>
    <w:rsid w:val="009555AD"/>
    <w:rsid w:val="00956ADC"/>
    <w:rsid w:val="009658A8"/>
    <w:rsid w:val="00966B06"/>
    <w:rsid w:val="00972168"/>
    <w:rsid w:val="009775B0"/>
    <w:rsid w:val="00980966"/>
    <w:rsid w:val="00986122"/>
    <w:rsid w:val="00990A74"/>
    <w:rsid w:val="009A179B"/>
    <w:rsid w:val="009A58BA"/>
    <w:rsid w:val="009A7AE9"/>
    <w:rsid w:val="009B0FE6"/>
    <w:rsid w:val="009B3873"/>
    <w:rsid w:val="009B5DA4"/>
    <w:rsid w:val="009B60D6"/>
    <w:rsid w:val="009C1C52"/>
    <w:rsid w:val="009C21DB"/>
    <w:rsid w:val="009C23BD"/>
    <w:rsid w:val="009C7EBC"/>
    <w:rsid w:val="009D0ABC"/>
    <w:rsid w:val="009D1774"/>
    <w:rsid w:val="009D2CBC"/>
    <w:rsid w:val="009D31E4"/>
    <w:rsid w:val="009D3C39"/>
    <w:rsid w:val="009D4A97"/>
    <w:rsid w:val="009D6392"/>
    <w:rsid w:val="009E411A"/>
    <w:rsid w:val="009F1461"/>
    <w:rsid w:val="009F2371"/>
    <w:rsid w:val="009F448B"/>
    <w:rsid w:val="009F5AC8"/>
    <w:rsid w:val="00A00EB7"/>
    <w:rsid w:val="00A02384"/>
    <w:rsid w:val="00A02DCF"/>
    <w:rsid w:val="00A05173"/>
    <w:rsid w:val="00A14B34"/>
    <w:rsid w:val="00A163AC"/>
    <w:rsid w:val="00A16C0A"/>
    <w:rsid w:val="00A20023"/>
    <w:rsid w:val="00A20D2E"/>
    <w:rsid w:val="00A240A5"/>
    <w:rsid w:val="00A243BE"/>
    <w:rsid w:val="00A26DFE"/>
    <w:rsid w:val="00A279EE"/>
    <w:rsid w:val="00A349F3"/>
    <w:rsid w:val="00A4334E"/>
    <w:rsid w:val="00A43823"/>
    <w:rsid w:val="00A43FB6"/>
    <w:rsid w:val="00A47564"/>
    <w:rsid w:val="00A476AD"/>
    <w:rsid w:val="00A47B42"/>
    <w:rsid w:val="00A51240"/>
    <w:rsid w:val="00A52433"/>
    <w:rsid w:val="00A5412C"/>
    <w:rsid w:val="00A55224"/>
    <w:rsid w:val="00A579A4"/>
    <w:rsid w:val="00A61E50"/>
    <w:rsid w:val="00A62113"/>
    <w:rsid w:val="00A62612"/>
    <w:rsid w:val="00A6395E"/>
    <w:rsid w:val="00A70795"/>
    <w:rsid w:val="00A8354E"/>
    <w:rsid w:val="00A856EC"/>
    <w:rsid w:val="00A87541"/>
    <w:rsid w:val="00A90E4B"/>
    <w:rsid w:val="00A923A0"/>
    <w:rsid w:val="00A92600"/>
    <w:rsid w:val="00A94B75"/>
    <w:rsid w:val="00A96CC1"/>
    <w:rsid w:val="00AA09FC"/>
    <w:rsid w:val="00AA138A"/>
    <w:rsid w:val="00AA2B01"/>
    <w:rsid w:val="00AA4147"/>
    <w:rsid w:val="00AB1852"/>
    <w:rsid w:val="00AB1F98"/>
    <w:rsid w:val="00AB2709"/>
    <w:rsid w:val="00AB274E"/>
    <w:rsid w:val="00AB556C"/>
    <w:rsid w:val="00AB5619"/>
    <w:rsid w:val="00AC169F"/>
    <w:rsid w:val="00AC1A0F"/>
    <w:rsid w:val="00AC6163"/>
    <w:rsid w:val="00AC7C50"/>
    <w:rsid w:val="00AD0956"/>
    <w:rsid w:val="00AD0CE3"/>
    <w:rsid w:val="00AD1065"/>
    <w:rsid w:val="00AE0BED"/>
    <w:rsid w:val="00AE5A6D"/>
    <w:rsid w:val="00AF7389"/>
    <w:rsid w:val="00B00D9C"/>
    <w:rsid w:val="00B0530C"/>
    <w:rsid w:val="00B068BE"/>
    <w:rsid w:val="00B06A70"/>
    <w:rsid w:val="00B07E28"/>
    <w:rsid w:val="00B153B6"/>
    <w:rsid w:val="00B16318"/>
    <w:rsid w:val="00B17F91"/>
    <w:rsid w:val="00B20A57"/>
    <w:rsid w:val="00B215A1"/>
    <w:rsid w:val="00B218D9"/>
    <w:rsid w:val="00B224BA"/>
    <w:rsid w:val="00B244B5"/>
    <w:rsid w:val="00B25EE5"/>
    <w:rsid w:val="00B271A4"/>
    <w:rsid w:val="00B30F17"/>
    <w:rsid w:val="00B32687"/>
    <w:rsid w:val="00B335B9"/>
    <w:rsid w:val="00B3382A"/>
    <w:rsid w:val="00B353C1"/>
    <w:rsid w:val="00B356EE"/>
    <w:rsid w:val="00B400A9"/>
    <w:rsid w:val="00B40D1C"/>
    <w:rsid w:val="00B4253E"/>
    <w:rsid w:val="00B43787"/>
    <w:rsid w:val="00B45383"/>
    <w:rsid w:val="00B45C01"/>
    <w:rsid w:val="00B465EF"/>
    <w:rsid w:val="00B51208"/>
    <w:rsid w:val="00B5574D"/>
    <w:rsid w:val="00B57B89"/>
    <w:rsid w:val="00B60A76"/>
    <w:rsid w:val="00B62960"/>
    <w:rsid w:val="00B62B53"/>
    <w:rsid w:val="00B6471C"/>
    <w:rsid w:val="00B654FC"/>
    <w:rsid w:val="00B74D9A"/>
    <w:rsid w:val="00B74E7D"/>
    <w:rsid w:val="00B7522F"/>
    <w:rsid w:val="00B75CC6"/>
    <w:rsid w:val="00B80507"/>
    <w:rsid w:val="00B8236D"/>
    <w:rsid w:val="00B82FB1"/>
    <w:rsid w:val="00B83844"/>
    <w:rsid w:val="00B85F75"/>
    <w:rsid w:val="00B87224"/>
    <w:rsid w:val="00B8766B"/>
    <w:rsid w:val="00B90F20"/>
    <w:rsid w:val="00B92B9B"/>
    <w:rsid w:val="00B94E37"/>
    <w:rsid w:val="00B961AB"/>
    <w:rsid w:val="00BA21DB"/>
    <w:rsid w:val="00BA7175"/>
    <w:rsid w:val="00BB1013"/>
    <w:rsid w:val="00BB1232"/>
    <w:rsid w:val="00BB17D1"/>
    <w:rsid w:val="00BB1E8B"/>
    <w:rsid w:val="00BB30EE"/>
    <w:rsid w:val="00BB36D7"/>
    <w:rsid w:val="00BB39EF"/>
    <w:rsid w:val="00BB400F"/>
    <w:rsid w:val="00BB60E0"/>
    <w:rsid w:val="00BB7F2B"/>
    <w:rsid w:val="00BD2024"/>
    <w:rsid w:val="00BD3B53"/>
    <w:rsid w:val="00BD6439"/>
    <w:rsid w:val="00BD6C80"/>
    <w:rsid w:val="00BD7390"/>
    <w:rsid w:val="00BE0046"/>
    <w:rsid w:val="00BE12D2"/>
    <w:rsid w:val="00BF1DC1"/>
    <w:rsid w:val="00BF4BE0"/>
    <w:rsid w:val="00BF4ECF"/>
    <w:rsid w:val="00C002BC"/>
    <w:rsid w:val="00C01D33"/>
    <w:rsid w:val="00C06322"/>
    <w:rsid w:val="00C11B5A"/>
    <w:rsid w:val="00C1311D"/>
    <w:rsid w:val="00C14724"/>
    <w:rsid w:val="00C14D05"/>
    <w:rsid w:val="00C17302"/>
    <w:rsid w:val="00C22473"/>
    <w:rsid w:val="00C24A80"/>
    <w:rsid w:val="00C25E78"/>
    <w:rsid w:val="00C30CD4"/>
    <w:rsid w:val="00C3469C"/>
    <w:rsid w:val="00C34C67"/>
    <w:rsid w:val="00C36D95"/>
    <w:rsid w:val="00C41464"/>
    <w:rsid w:val="00C423A2"/>
    <w:rsid w:val="00C432BC"/>
    <w:rsid w:val="00C43C0D"/>
    <w:rsid w:val="00C451D7"/>
    <w:rsid w:val="00C5081C"/>
    <w:rsid w:val="00C51011"/>
    <w:rsid w:val="00C5157B"/>
    <w:rsid w:val="00C54566"/>
    <w:rsid w:val="00C57490"/>
    <w:rsid w:val="00C57CEF"/>
    <w:rsid w:val="00C63591"/>
    <w:rsid w:val="00C72C5F"/>
    <w:rsid w:val="00C734BD"/>
    <w:rsid w:val="00C7559A"/>
    <w:rsid w:val="00C80F30"/>
    <w:rsid w:val="00C815E7"/>
    <w:rsid w:val="00C8569B"/>
    <w:rsid w:val="00C87B83"/>
    <w:rsid w:val="00C903DE"/>
    <w:rsid w:val="00C90D5E"/>
    <w:rsid w:val="00C91434"/>
    <w:rsid w:val="00C92E29"/>
    <w:rsid w:val="00C9585F"/>
    <w:rsid w:val="00C97CA1"/>
    <w:rsid w:val="00CA0C90"/>
    <w:rsid w:val="00CA3558"/>
    <w:rsid w:val="00CA3CDB"/>
    <w:rsid w:val="00CA60F3"/>
    <w:rsid w:val="00CB4D3B"/>
    <w:rsid w:val="00CC0878"/>
    <w:rsid w:val="00CC1DED"/>
    <w:rsid w:val="00CC2241"/>
    <w:rsid w:val="00CC27E5"/>
    <w:rsid w:val="00CC2D52"/>
    <w:rsid w:val="00CC394D"/>
    <w:rsid w:val="00CC4310"/>
    <w:rsid w:val="00CC45CA"/>
    <w:rsid w:val="00CC6A0C"/>
    <w:rsid w:val="00CD3F69"/>
    <w:rsid w:val="00CD432D"/>
    <w:rsid w:val="00CF057E"/>
    <w:rsid w:val="00CF2EA4"/>
    <w:rsid w:val="00CF3B50"/>
    <w:rsid w:val="00CF7657"/>
    <w:rsid w:val="00D01DFA"/>
    <w:rsid w:val="00D022E5"/>
    <w:rsid w:val="00D04555"/>
    <w:rsid w:val="00D05B2B"/>
    <w:rsid w:val="00D12F2D"/>
    <w:rsid w:val="00D16923"/>
    <w:rsid w:val="00D17B7B"/>
    <w:rsid w:val="00D20426"/>
    <w:rsid w:val="00D2054A"/>
    <w:rsid w:val="00D21513"/>
    <w:rsid w:val="00D22A17"/>
    <w:rsid w:val="00D23192"/>
    <w:rsid w:val="00D25AC2"/>
    <w:rsid w:val="00D25F0A"/>
    <w:rsid w:val="00D27AF5"/>
    <w:rsid w:val="00D35248"/>
    <w:rsid w:val="00D36CC8"/>
    <w:rsid w:val="00D36CE5"/>
    <w:rsid w:val="00D41EDD"/>
    <w:rsid w:val="00D43842"/>
    <w:rsid w:val="00D43EF3"/>
    <w:rsid w:val="00D47111"/>
    <w:rsid w:val="00D47B12"/>
    <w:rsid w:val="00D508C3"/>
    <w:rsid w:val="00D51D6C"/>
    <w:rsid w:val="00D54439"/>
    <w:rsid w:val="00D5543D"/>
    <w:rsid w:val="00D55DB7"/>
    <w:rsid w:val="00D56D51"/>
    <w:rsid w:val="00D64D6D"/>
    <w:rsid w:val="00D64FDD"/>
    <w:rsid w:val="00D6681E"/>
    <w:rsid w:val="00D66AD9"/>
    <w:rsid w:val="00D72528"/>
    <w:rsid w:val="00D73DED"/>
    <w:rsid w:val="00D768A4"/>
    <w:rsid w:val="00D77DCD"/>
    <w:rsid w:val="00D818C2"/>
    <w:rsid w:val="00D8430D"/>
    <w:rsid w:val="00D8703C"/>
    <w:rsid w:val="00D901B1"/>
    <w:rsid w:val="00DA101C"/>
    <w:rsid w:val="00DA13CF"/>
    <w:rsid w:val="00DA565C"/>
    <w:rsid w:val="00DA5896"/>
    <w:rsid w:val="00DA5BC1"/>
    <w:rsid w:val="00DB3283"/>
    <w:rsid w:val="00DB37F9"/>
    <w:rsid w:val="00DC1579"/>
    <w:rsid w:val="00DC25FC"/>
    <w:rsid w:val="00DC3B78"/>
    <w:rsid w:val="00DD00C9"/>
    <w:rsid w:val="00DD2441"/>
    <w:rsid w:val="00DD46BC"/>
    <w:rsid w:val="00DD541C"/>
    <w:rsid w:val="00DD724B"/>
    <w:rsid w:val="00DE0B84"/>
    <w:rsid w:val="00DF0641"/>
    <w:rsid w:val="00DF07E1"/>
    <w:rsid w:val="00DF30B5"/>
    <w:rsid w:val="00DF3299"/>
    <w:rsid w:val="00DF55F8"/>
    <w:rsid w:val="00E005F4"/>
    <w:rsid w:val="00E02F72"/>
    <w:rsid w:val="00E031BF"/>
    <w:rsid w:val="00E0529B"/>
    <w:rsid w:val="00E12B3F"/>
    <w:rsid w:val="00E12B6D"/>
    <w:rsid w:val="00E1423C"/>
    <w:rsid w:val="00E15A39"/>
    <w:rsid w:val="00E15B1A"/>
    <w:rsid w:val="00E16C48"/>
    <w:rsid w:val="00E17FEF"/>
    <w:rsid w:val="00E203A6"/>
    <w:rsid w:val="00E21322"/>
    <w:rsid w:val="00E22AF0"/>
    <w:rsid w:val="00E23626"/>
    <w:rsid w:val="00E247F6"/>
    <w:rsid w:val="00E24907"/>
    <w:rsid w:val="00E267D6"/>
    <w:rsid w:val="00E30E37"/>
    <w:rsid w:val="00E31463"/>
    <w:rsid w:val="00E33E52"/>
    <w:rsid w:val="00E34B12"/>
    <w:rsid w:val="00E37B5C"/>
    <w:rsid w:val="00E426E7"/>
    <w:rsid w:val="00E42750"/>
    <w:rsid w:val="00E43AE6"/>
    <w:rsid w:val="00E47EC6"/>
    <w:rsid w:val="00E505E8"/>
    <w:rsid w:val="00E556CB"/>
    <w:rsid w:val="00E56DB6"/>
    <w:rsid w:val="00E57D81"/>
    <w:rsid w:val="00E60D4B"/>
    <w:rsid w:val="00E646BF"/>
    <w:rsid w:val="00E7393F"/>
    <w:rsid w:val="00E75850"/>
    <w:rsid w:val="00E76584"/>
    <w:rsid w:val="00E8182A"/>
    <w:rsid w:val="00E8434F"/>
    <w:rsid w:val="00E92940"/>
    <w:rsid w:val="00E93852"/>
    <w:rsid w:val="00E953D9"/>
    <w:rsid w:val="00E96BB8"/>
    <w:rsid w:val="00EA031C"/>
    <w:rsid w:val="00EA49F7"/>
    <w:rsid w:val="00EA65D3"/>
    <w:rsid w:val="00EB214B"/>
    <w:rsid w:val="00EB2420"/>
    <w:rsid w:val="00EB36FA"/>
    <w:rsid w:val="00EB5CF0"/>
    <w:rsid w:val="00EC1609"/>
    <w:rsid w:val="00EC574B"/>
    <w:rsid w:val="00EC64C0"/>
    <w:rsid w:val="00EC71EE"/>
    <w:rsid w:val="00EC7963"/>
    <w:rsid w:val="00EC7C2E"/>
    <w:rsid w:val="00ED12C0"/>
    <w:rsid w:val="00ED3989"/>
    <w:rsid w:val="00ED44B0"/>
    <w:rsid w:val="00ED4DE5"/>
    <w:rsid w:val="00ED5714"/>
    <w:rsid w:val="00ED6521"/>
    <w:rsid w:val="00ED764E"/>
    <w:rsid w:val="00ED7A4B"/>
    <w:rsid w:val="00EE0E68"/>
    <w:rsid w:val="00EE12AA"/>
    <w:rsid w:val="00EE236C"/>
    <w:rsid w:val="00EE2A11"/>
    <w:rsid w:val="00EE2AD9"/>
    <w:rsid w:val="00EE39D7"/>
    <w:rsid w:val="00EE778E"/>
    <w:rsid w:val="00EF036A"/>
    <w:rsid w:val="00EF1DA5"/>
    <w:rsid w:val="00EF3114"/>
    <w:rsid w:val="00EF580D"/>
    <w:rsid w:val="00EF7034"/>
    <w:rsid w:val="00EF718A"/>
    <w:rsid w:val="00F07637"/>
    <w:rsid w:val="00F12325"/>
    <w:rsid w:val="00F14D1A"/>
    <w:rsid w:val="00F153C7"/>
    <w:rsid w:val="00F16080"/>
    <w:rsid w:val="00F20825"/>
    <w:rsid w:val="00F26341"/>
    <w:rsid w:val="00F30200"/>
    <w:rsid w:val="00F31D54"/>
    <w:rsid w:val="00F35861"/>
    <w:rsid w:val="00F35D22"/>
    <w:rsid w:val="00F35FD3"/>
    <w:rsid w:val="00F373C6"/>
    <w:rsid w:val="00F40AA0"/>
    <w:rsid w:val="00F43F67"/>
    <w:rsid w:val="00F44B3C"/>
    <w:rsid w:val="00F46A70"/>
    <w:rsid w:val="00F52B13"/>
    <w:rsid w:val="00F60148"/>
    <w:rsid w:val="00F608D8"/>
    <w:rsid w:val="00F6149C"/>
    <w:rsid w:val="00F61F4B"/>
    <w:rsid w:val="00F674AF"/>
    <w:rsid w:val="00F714FA"/>
    <w:rsid w:val="00F72A88"/>
    <w:rsid w:val="00F77F05"/>
    <w:rsid w:val="00F866B4"/>
    <w:rsid w:val="00F9243E"/>
    <w:rsid w:val="00F96730"/>
    <w:rsid w:val="00FA2293"/>
    <w:rsid w:val="00FA4E7F"/>
    <w:rsid w:val="00FA6F94"/>
    <w:rsid w:val="00FB0302"/>
    <w:rsid w:val="00FB3C53"/>
    <w:rsid w:val="00FB5F2E"/>
    <w:rsid w:val="00FB70DC"/>
    <w:rsid w:val="00FB7131"/>
    <w:rsid w:val="00FB7D09"/>
    <w:rsid w:val="00FC5AF4"/>
    <w:rsid w:val="00FC5FD8"/>
    <w:rsid w:val="00FC6E40"/>
    <w:rsid w:val="00FC7D00"/>
    <w:rsid w:val="00FE051F"/>
    <w:rsid w:val="00FE1AC7"/>
    <w:rsid w:val="00FE778C"/>
    <w:rsid w:val="00FF0B9C"/>
    <w:rsid w:val="00FF3390"/>
    <w:rsid w:val="00FF45A7"/>
    <w:rsid w:val="00FF5578"/>
    <w:rsid w:val="01003C8F"/>
    <w:rsid w:val="01B71147"/>
    <w:rsid w:val="01E118D3"/>
    <w:rsid w:val="020016E9"/>
    <w:rsid w:val="025260D3"/>
    <w:rsid w:val="025C1A06"/>
    <w:rsid w:val="02C64CB1"/>
    <w:rsid w:val="03B77551"/>
    <w:rsid w:val="03DB5B0A"/>
    <w:rsid w:val="03F11C32"/>
    <w:rsid w:val="03F9217A"/>
    <w:rsid w:val="04355F86"/>
    <w:rsid w:val="04C40BC0"/>
    <w:rsid w:val="05B564F3"/>
    <w:rsid w:val="0627362D"/>
    <w:rsid w:val="0660432D"/>
    <w:rsid w:val="06C07A46"/>
    <w:rsid w:val="06C84210"/>
    <w:rsid w:val="06FD3DDC"/>
    <w:rsid w:val="073D3672"/>
    <w:rsid w:val="07E87C0D"/>
    <w:rsid w:val="08F013B5"/>
    <w:rsid w:val="09DD146B"/>
    <w:rsid w:val="0B065B81"/>
    <w:rsid w:val="0CD345CA"/>
    <w:rsid w:val="0D583AF2"/>
    <w:rsid w:val="0D8D7829"/>
    <w:rsid w:val="0DE57513"/>
    <w:rsid w:val="0E14786E"/>
    <w:rsid w:val="0E546258"/>
    <w:rsid w:val="0EF778C3"/>
    <w:rsid w:val="0F4210B7"/>
    <w:rsid w:val="0F515162"/>
    <w:rsid w:val="0F9103FC"/>
    <w:rsid w:val="0FBF496F"/>
    <w:rsid w:val="0FC00000"/>
    <w:rsid w:val="1012380E"/>
    <w:rsid w:val="10345437"/>
    <w:rsid w:val="104A1170"/>
    <w:rsid w:val="107A7324"/>
    <w:rsid w:val="10832D25"/>
    <w:rsid w:val="108C21A8"/>
    <w:rsid w:val="11181D95"/>
    <w:rsid w:val="11A27605"/>
    <w:rsid w:val="11DB208D"/>
    <w:rsid w:val="1234707F"/>
    <w:rsid w:val="12B42790"/>
    <w:rsid w:val="13522EC3"/>
    <w:rsid w:val="13C506DD"/>
    <w:rsid w:val="13EE24C7"/>
    <w:rsid w:val="14C22F61"/>
    <w:rsid w:val="15345C9B"/>
    <w:rsid w:val="15354A78"/>
    <w:rsid w:val="157E6984"/>
    <w:rsid w:val="1703785A"/>
    <w:rsid w:val="172F6697"/>
    <w:rsid w:val="175D1764"/>
    <w:rsid w:val="1775258A"/>
    <w:rsid w:val="17D10563"/>
    <w:rsid w:val="187E50BF"/>
    <w:rsid w:val="18944C85"/>
    <w:rsid w:val="19706FB9"/>
    <w:rsid w:val="1A9D6FEB"/>
    <w:rsid w:val="1AEA7636"/>
    <w:rsid w:val="1B4142DF"/>
    <w:rsid w:val="1B793716"/>
    <w:rsid w:val="1BA47E6A"/>
    <w:rsid w:val="1BDA5FED"/>
    <w:rsid w:val="1BE0372A"/>
    <w:rsid w:val="1C2B3792"/>
    <w:rsid w:val="1CAE27D8"/>
    <w:rsid w:val="1CB22D3B"/>
    <w:rsid w:val="1CC161ED"/>
    <w:rsid w:val="1D234387"/>
    <w:rsid w:val="1DBB3A11"/>
    <w:rsid w:val="1E404175"/>
    <w:rsid w:val="1EBA3929"/>
    <w:rsid w:val="1EEA5E69"/>
    <w:rsid w:val="1F0F49E2"/>
    <w:rsid w:val="1F2927C6"/>
    <w:rsid w:val="1FA871F0"/>
    <w:rsid w:val="1FC72CEE"/>
    <w:rsid w:val="20150C7D"/>
    <w:rsid w:val="20405B3E"/>
    <w:rsid w:val="20727358"/>
    <w:rsid w:val="20E03FF2"/>
    <w:rsid w:val="20F2514B"/>
    <w:rsid w:val="21552F65"/>
    <w:rsid w:val="221B39E9"/>
    <w:rsid w:val="22840225"/>
    <w:rsid w:val="22A44D46"/>
    <w:rsid w:val="22CF3825"/>
    <w:rsid w:val="23CC7F5B"/>
    <w:rsid w:val="249F573A"/>
    <w:rsid w:val="24ED4D4D"/>
    <w:rsid w:val="25075FFB"/>
    <w:rsid w:val="253D60D8"/>
    <w:rsid w:val="254C6941"/>
    <w:rsid w:val="258B70CB"/>
    <w:rsid w:val="25FE6A10"/>
    <w:rsid w:val="269B6DE2"/>
    <w:rsid w:val="26BF6624"/>
    <w:rsid w:val="26C55C17"/>
    <w:rsid w:val="27AC64E8"/>
    <w:rsid w:val="28976736"/>
    <w:rsid w:val="28ED2B9A"/>
    <w:rsid w:val="295D729E"/>
    <w:rsid w:val="29884733"/>
    <w:rsid w:val="2A0649A4"/>
    <w:rsid w:val="2A112249"/>
    <w:rsid w:val="2A296BBE"/>
    <w:rsid w:val="2A383867"/>
    <w:rsid w:val="2A7F4D31"/>
    <w:rsid w:val="2AA72DA6"/>
    <w:rsid w:val="2B702AEA"/>
    <w:rsid w:val="2BD126FB"/>
    <w:rsid w:val="2C7333ED"/>
    <w:rsid w:val="2DCB5FAC"/>
    <w:rsid w:val="2E4F2177"/>
    <w:rsid w:val="2EC836B1"/>
    <w:rsid w:val="2EF1577D"/>
    <w:rsid w:val="30287639"/>
    <w:rsid w:val="30794CAB"/>
    <w:rsid w:val="30C05CF7"/>
    <w:rsid w:val="31EB75D7"/>
    <w:rsid w:val="321124AD"/>
    <w:rsid w:val="322B01D1"/>
    <w:rsid w:val="32F733A7"/>
    <w:rsid w:val="332A3C6B"/>
    <w:rsid w:val="339878C3"/>
    <w:rsid w:val="33B84D83"/>
    <w:rsid w:val="345B7FBD"/>
    <w:rsid w:val="34965153"/>
    <w:rsid w:val="350A4B38"/>
    <w:rsid w:val="35187470"/>
    <w:rsid w:val="3531039C"/>
    <w:rsid w:val="35BD3BBF"/>
    <w:rsid w:val="35BE665A"/>
    <w:rsid w:val="35D11127"/>
    <w:rsid w:val="360F5030"/>
    <w:rsid w:val="36890E71"/>
    <w:rsid w:val="36F010DE"/>
    <w:rsid w:val="36FD25ED"/>
    <w:rsid w:val="370D4FEB"/>
    <w:rsid w:val="37385BD0"/>
    <w:rsid w:val="375679EC"/>
    <w:rsid w:val="379A7045"/>
    <w:rsid w:val="38AA1430"/>
    <w:rsid w:val="38EB1732"/>
    <w:rsid w:val="39164781"/>
    <w:rsid w:val="392E64EE"/>
    <w:rsid w:val="397A6507"/>
    <w:rsid w:val="39E77597"/>
    <w:rsid w:val="3A350511"/>
    <w:rsid w:val="3A6A1AD4"/>
    <w:rsid w:val="3A995B3F"/>
    <w:rsid w:val="3AFC00EE"/>
    <w:rsid w:val="3B5D0450"/>
    <w:rsid w:val="3B976A87"/>
    <w:rsid w:val="3BBD5812"/>
    <w:rsid w:val="3BCD47A7"/>
    <w:rsid w:val="3CC260BF"/>
    <w:rsid w:val="3D057D27"/>
    <w:rsid w:val="3D343707"/>
    <w:rsid w:val="3E395B0C"/>
    <w:rsid w:val="3E4B54BF"/>
    <w:rsid w:val="3E690EFA"/>
    <w:rsid w:val="3F391393"/>
    <w:rsid w:val="3F823162"/>
    <w:rsid w:val="3F9D5B4C"/>
    <w:rsid w:val="3FD23610"/>
    <w:rsid w:val="40010A93"/>
    <w:rsid w:val="40353752"/>
    <w:rsid w:val="409A0B88"/>
    <w:rsid w:val="429657F0"/>
    <w:rsid w:val="4344688E"/>
    <w:rsid w:val="43D403D5"/>
    <w:rsid w:val="43EA1427"/>
    <w:rsid w:val="44043E2E"/>
    <w:rsid w:val="44263786"/>
    <w:rsid w:val="44742CA9"/>
    <w:rsid w:val="44D52383"/>
    <w:rsid w:val="44DC0B61"/>
    <w:rsid w:val="460C08D1"/>
    <w:rsid w:val="46192ED1"/>
    <w:rsid w:val="4788401D"/>
    <w:rsid w:val="4828342B"/>
    <w:rsid w:val="48434B11"/>
    <w:rsid w:val="4896297B"/>
    <w:rsid w:val="48B36A3F"/>
    <w:rsid w:val="48F37A73"/>
    <w:rsid w:val="4906702A"/>
    <w:rsid w:val="491F3D1B"/>
    <w:rsid w:val="492A30D4"/>
    <w:rsid w:val="4932592A"/>
    <w:rsid w:val="4AB467A0"/>
    <w:rsid w:val="4AD7281F"/>
    <w:rsid w:val="4B051A22"/>
    <w:rsid w:val="4B0F04A0"/>
    <w:rsid w:val="4B1D01E3"/>
    <w:rsid w:val="4B346CEE"/>
    <w:rsid w:val="4C9E1241"/>
    <w:rsid w:val="4CCD4891"/>
    <w:rsid w:val="4D6A10ED"/>
    <w:rsid w:val="4DC76375"/>
    <w:rsid w:val="4DD42359"/>
    <w:rsid w:val="4E125FF9"/>
    <w:rsid w:val="4E9538C3"/>
    <w:rsid w:val="4EBF7AAA"/>
    <w:rsid w:val="4ED66C85"/>
    <w:rsid w:val="4FFF301F"/>
    <w:rsid w:val="503F1890"/>
    <w:rsid w:val="505E2A14"/>
    <w:rsid w:val="50606008"/>
    <w:rsid w:val="507009DE"/>
    <w:rsid w:val="507B1A69"/>
    <w:rsid w:val="509C3CBB"/>
    <w:rsid w:val="50DF6AED"/>
    <w:rsid w:val="5154723E"/>
    <w:rsid w:val="515E05A0"/>
    <w:rsid w:val="5182666C"/>
    <w:rsid w:val="51C62694"/>
    <w:rsid w:val="51D46A8C"/>
    <w:rsid w:val="51D661FD"/>
    <w:rsid w:val="5210644D"/>
    <w:rsid w:val="526A6160"/>
    <w:rsid w:val="52730954"/>
    <w:rsid w:val="529412C8"/>
    <w:rsid w:val="52985912"/>
    <w:rsid w:val="53D82324"/>
    <w:rsid w:val="54A740F5"/>
    <w:rsid w:val="55B73947"/>
    <w:rsid w:val="56B33153"/>
    <w:rsid w:val="56C14901"/>
    <w:rsid w:val="56D423C3"/>
    <w:rsid w:val="5704206C"/>
    <w:rsid w:val="57661368"/>
    <w:rsid w:val="57A7215B"/>
    <w:rsid w:val="57CC6A8D"/>
    <w:rsid w:val="589008E6"/>
    <w:rsid w:val="599D046A"/>
    <w:rsid w:val="59C22058"/>
    <w:rsid w:val="59CF4D9E"/>
    <w:rsid w:val="59D522F0"/>
    <w:rsid w:val="5B4346E3"/>
    <w:rsid w:val="5B636165"/>
    <w:rsid w:val="5B8306D8"/>
    <w:rsid w:val="5BDB5497"/>
    <w:rsid w:val="5BF117E5"/>
    <w:rsid w:val="5DE11DB0"/>
    <w:rsid w:val="5E0559CD"/>
    <w:rsid w:val="5E323844"/>
    <w:rsid w:val="5E520165"/>
    <w:rsid w:val="5E5D7567"/>
    <w:rsid w:val="5E9F71FF"/>
    <w:rsid w:val="5F027319"/>
    <w:rsid w:val="5F093F6B"/>
    <w:rsid w:val="5F676C16"/>
    <w:rsid w:val="5F9E0F56"/>
    <w:rsid w:val="5FA97E40"/>
    <w:rsid w:val="5FB81068"/>
    <w:rsid w:val="5FDA1B17"/>
    <w:rsid w:val="602952E9"/>
    <w:rsid w:val="614435F6"/>
    <w:rsid w:val="62431D25"/>
    <w:rsid w:val="62C13B68"/>
    <w:rsid w:val="631E4253"/>
    <w:rsid w:val="635A022C"/>
    <w:rsid w:val="635A3BC4"/>
    <w:rsid w:val="63827812"/>
    <w:rsid w:val="638D19EE"/>
    <w:rsid w:val="642A183C"/>
    <w:rsid w:val="6436026D"/>
    <w:rsid w:val="64D862AD"/>
    <w:rsid w:val="64DE0CF0"/>
    <w:rsid w:val="652644C6"/>
    <w:rsid w:val="658A6463"/>
    <w:rsid w:val="659118B3"/>
    <w:rsid w:val="665C30E8"/>
    <w:rsid w:val="66E16ACD"/>
    <w:rsid w:val="67085F89"/>
    <w:rsid w:val="676817B7"/>
    <w:rsid w:val="681E3934"/>
    <w:rsid w:val="68793721"/>
    <w:rsid w:val="6897394B"/>
    <w:rsid w:val="68F21FBA"/>
    <w:rsid w:val="69561522"/>
    <w:rsid w:val="697F79D7"/>
    <w:rsid w:val="699448A8"/>
    <w:rsid w:val="69C963D5"/>
    <w:rsid w:val="69D71579"/>
    <w:rsid w:val="6A0E6EBA"/>
    <w:rsid w:val="6A3368E3"/>
    <w:rsid w:val="6A3539B3"/>
    <w:rsid w:val="6B1918D7"/>
    <w:rsid w:val="6B594FD7"/>
    <w:rsid w:val="6C1625AC"/>
    <w:rsid w:val="6C2B3FD0"/>
    <w:rsid w:val="6CF272CA"/>
    <w:rsid w:val="6D472ACD"/>
    <w:rsid w:val="6D4C41F5"/>
    <w:rsid w:val="6DAA393A"/>
    <w:rsid w:val="6DFB2481"/>
    <w:rsid w:val="6E3336F6"/>
    <w:rsid w:val="6E6164B5"/>
    <w:rsid w:val="6E923F88"/>
    <w:rsid w:val="6E97464B"/>
    <w:rsid w:val="6EA75ABC"/>
    <w:rsid w:val="6F104B58"/>
    <w:rsid w:val="6F4E13A3"/>
    <w:rsid w:val="6F8A4A0A"/>
    <w:rsid w:val="6FAF1AD7"/>
    <w:rsid w:val="6FF71DC4"/>
    <w:rsid w:val="700E66A8"/>
    <w:rsid w:val="702E23C7"/>
    <w:rsid w:val="706305D2"/>
    <w:rsid w:val="707D6420"/>
    <w:rsid w:val="709C5F59"/>
    <w:rsid w:val="70D06009"/>
    <w:rsid w:val="712C2190"/>
    <w:rsid w:val="72574999"/>
    <w:rsid w:val="72895FDA"/>
    <w:rsid w:val="72D25594"/>
    <w:rsid w:val="73872E13"/>
    <w:rsid w:val="7523366E"/>
    <w:rsid w:val="756114D7"/>
    <w:rsid w:val="75761E82"/>
    <w:rsid w:val="761E6E1B"/>
    <w:rsid w:val="766A04F5"/>
    <w:rsid w:val="768867EF"/>
    <w:rsid w:val="768E3F1A"/>
    <w:rsid w:val="76CE4F60"/>
    <w:rsid w:val="7785391A"/>
    <w:rsid w:val="779B09ED"/>
    <w:rsid w:val="77A10067"/>
    <w:rsid w:val="78107A00"/>
    <w:rsid w:val="78A411F6"/>
    <w:rsid w:val="79066DAE"/>
    <w:rsid w:val="79684D0E"/>
    <w:rsid w:val="79737577"/>
    <w:rsid w:val="79913601"/>
    <w:rsid w:val="79E72A4A"/>
    <w:rsid w:val="7A2A2B9F"/>
    <w:rsid w:val="7A556362"/>
    <w:rsid w:val="7A6879A0"/>
    <w:rsid w:val="7B38059E"/>
    <w:rsid w:val="7B712C89"/>
    <w:rsid w:val="7B735335"/>
    <w:rsid w:val="7C50758A"/>
    <w:rsid w:val="7CD861F1"/>
    <w:rsid w:val="7D245BFB"/>
    <w:rsid w:val="7DBC03A1"/>
    <w:rsid w:val="7E81057D"/>
    <w:rsid w:val="7E9E2E0E"/>
    <w:rsid w:val="7EB101DC"/>
    <w:rsid w:val="7F236DAD"/>
    <w:rsid w:val="7F8B4E03"/>
    <w:rsid w:val="7FA27C7E"/>
    <w:rsid w:val="7FAA5296"/>
    <w:rsid w:val="BFB6F0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6"/>
    <w:qFormat/>
    <w:uiPriority w:val="99"/>
    <w:pPr>
      <w:keepNext/>
      <w:keepLines/>
      <w:spacing w:line="408" w:lineRule="auto"/>
      <w:outlineLvl w:val="1"/>
    </w:pPr>
    <w:rPr>
      <w:rFonts w:ascii="Arial" w:hAnsi="Arial" w:eastAsia="黑体"/>
      <w:b/>
      <w:bCs/>
      <w:kern w:val="0"/>
      <w:sz w:val="32"/>
      <w:szCs w:val="32"/>
    </w:rPr>
  </w:style>
  <w:style w:type="paragraph" w:styleId="5">
    <w:name w:val="heading 3"/>
    <w:basedOn w:val="1"/>
    <w:next w:val="1"/>
    <w:link w:val="37"/>
    <w:qFormat/>
    <w:uiPriority w:val="99"/>
    <w:pPr>
      <w:keepNext/>
      <w:keepLines/>
      <w:spacing w:line="360" w:lineRule="auto"/>
      <w:outlineLvl w:val="2"/>
    </w:pPr>
    <w:rPr>
      <w:rFonts w:ascii="Times New Roman" w:hAnsi="Times New Roman"/>
      <w:b/>
      <w:bCs/>
      <w:kern w:val="0"/>
      <w:sz w:val="24"/>
      <w:szCs w:val="24"/>
    </w:rPr>
  </w:style>
  <w:style w:type="paragraph" w:styleId="6">
    <w:name w:val="heading 4"/>
    <w:basedOn w:val="1"/>
    <w:next w:val="1"/>
    <w:link w:val="38"/>
    <w:qFormat/>
    <w:uiPriority w:val="99"/>
    <w:pPr>
      <w:keepNext/>
      <w:keepLines/>
      <w:spacing w:line="360" w:lineRule="auto"/>
      <w:outlineLvl w:val="3"/>
    </w:pPr>
    <w:rPr>
      <w:rFonts w:ascii="Arial" w:hAnsi="Arial"/>
      <w:b/>
      <w:bCs/>
      <w:kern w:val="0"/>
      <w:sz w:val="20"/>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7">
    <w:name w:val="Document Map"/>
    <w:basedOn w:val="1"/>
    <w:link w:val="39"/>
    <w:unhideWhenUsed/>
    <w:qFormat/>
    <w:uiPriority w:val="99"/>
    <w:rPr>
      <w:rFonts w:ascii="宋体"/>
      <w:sz w:val="18"/>
      <w:szCs w:val="18"/>
    </w:rPr>
  </w:style>
  <w:style w:type="paragraph" w:styleId="8">
    <w:name w:val="annotation text"/>
    <w:basedOn w:val="1"/>
    <w:link w:val="40"/>
    <w:unhideWhenUsed/>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
    <w:link w:val="41"/>
    <w:unhideWhenUsed/>
    <w:qFormat/>
    <w:uiPriority w:val="99"/>
    <w:pPr>
      <w:spacing w:before="100" w:beforeAutospacing="1"/>
    </w:pPr>
    <w:rPr>
      <w:rFonts w:ascii="Times New Roman" w:hAnsi="Times New Roman"/>
      <w:kern w:val="0"/>
      <w:sz w:val="20"/>
    </w:rPr>
  </w:style>
  <w:style w:type="paragraph" w:styleId="11">
    <w:name w:val="Body Text Indent"/>
    <w:basedOn w:val="1"/>
    <w:next w:val="1"/>
    <w:link w:val="42"/>
    <w:unhideWhenUsed/>
    <w:qFormat/>
    <w:uiPriority w:val="99"/>
    <w:pPr>
      <w:autoSpaceDE w:val="0"/>
      <w:autoSpaceDN w:val="0"/>
      <w:adjustRightInd w:val="0"/>
      <w:spacing w:line="0" w:lineRule="atLeast"/>
      <w:ind w:firstLine="525"/>
      <w:textAlignment w:val="top"/>
    </w:pPr>
    <w:rPr>
      <w:rFonts w:ascii="宋体" w:hAnsi="宋体"/>
      <w:color w:val="000000"/>
      <w:kern w:val="0"/>
      <w:sz w:val="20"/>
    </w:rPr>
  </w:style>
  <w:style w:type="paragraph" w:styleId="12">
    <w:name w:val="Block Text"/>
    <w:basedOn w:val="1"/>
    <w:unhideWhenUsed/>
    <w:qFormat/>
    <w:uiPriority w:val="99"/>
    <w:pPr>
      <w:adjustRightInd w:val="0"/>
      <w:spacing w:before="100" w:beforeAutospacing="1" w:after="100" w:afterAutospacing="1"/>
      <w:ind w:left="420" w:right="33"/>
      <w:jc w:val="left"/>
      <w:textAlignment w:val="baseline"/>
    </w:pPr>
    <w:rPr>
      <w:kern w:val="0"/>
      <w:sz w:val="24"/>
      <w:szCs w:val="24"/>
    </w:rPr>
  </w:style>
  <w:style w:type="paragraph" w:styleId="13">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next w:val="15"/>
    <w:link w:val="43"/>
    <w:qFormat/>
    <w:uiPriority w:val="0"/>
    <w:rPr>
      <w:rFonts w:ascii="宋体" w:hAnsi="Courier New" w:eastAsia="楷体_GB2312"/>
      <w:szCs w:val="24"/>
    </w:rPr>
  </w:style>
  <w:style w:type="paragraph" w:customStyle="1" w:styleId="15">
    <w:name w:val="Default"/>
    <w:qFormat/>
    <w:uiPriority w:val="99"/>
    <w:pPr>
      <w:widowControl w:val="0"/>
      <w:autoSpaceDE w:val="0"/>
      <w:autoSpaceDN w:val="0"/>
      <w:adjustRightInd w:val="0"/>
    </w:pPr>
    <w:rPr>
      <w:rFonts w:ascii="宋体u萀" w:hAnsi="Times New Roman" w:eastAsia="宋体u萀" w:cs="宋体u萀"/>
      <w:color w:val="000000"/>
      <w:sz w:val="24"/>
      <w:szCs w:val="24"/>
      <w:lang w:val="en-US" w:eastAsia="zh-CN" w:bidi="ar-SA"/>
    </w:rPr>
  </w:style>
  <w:style w:type="paragraph" w:styleId="16">
    <w:name w:val="Balloon Text"/>
    <w:basedOn w:val="1"/>
    <w:link w:val="44"/>
    <w:unhideWhenUsed/>
    <w:qFormat/>
    <w:uiPriority w:val="99"/>
    <w:rPr>
      <w:rFonts w:ascii="Times New Roman" w:hAnsi="Times New Roman"/>
      <w:sz w:val="18"/>
      <w:szCs w:val="18"/>
    </w:rPr>
  </w:style>
  <w:style w:type="paragraph" w:styleId="17">
    <w:name w:val="footer"/>
    <w:basedOn w:val="1"/>
    <w:link w:val="45"/>
    <w:unhideWhenUsed/>
    <w:qFormat/>
    <w:uiPriority w:val="99"/>
    <w:pPr>
      <w:snapToGrid w:val="0"/>
      <w:jc w:val="left"/>
    </w:pPr>
    <w:rPr>
      <w:rFonts w:ascii="Times New Roman" w:hAnsi="Times New Roman"/>
      <w:kern w:val="0"/>
      <w:sz w:val="18"/>
      <w:szCs w:val="18"/>
    </w:rPr>
  </w:style>
  <w:style w:type="paragraph" w:styleId="18">
    <w:name w:val="header"/>
    <w:basedOn w:val="1"/>
    <w:link w:val="46"/>
    <w:unhideWhenUsed/>
    <w:qFormat/>
    <w:uiPriority w:val="0"/>
    <w:pPr>
      <w:snapToGrid w:val="0"/>
    </w:pPr>
    <w:rPr>
      <w:rFonts w:ascii="Times New Roman" w:hAnsi="Times New Roman"/>
      <w:kern w:val="0"/>
      <w:sz w:val="18"/>
      <w:szCs w:val="18"/>
    </w:rPr>
  </w:style>
  <w:style w:type="paragraph" w:styleId="1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0">
    <w:name w:val="Body Text Indent 3"/>
    <w:basedOn w:val="1"/>
    <w:link w:val="47"/>
    <w:qFormat/>
    <w:uiPriority w:val="0"/>
    <w:pPr>
      <w:spacing w:after="120"/>
      <w:ind w:left="420" w:leftChars="200"/>
    </w:pPr>
    <w:rPr>
      <w:sz w:val="16"/>
      <w:szCs w:val="16"/>
    </w:rPr>
  </w:style>
  <w:style w:type="paragraph" w:styleId="21">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2">
    <w:name w:val="Body Text 2"/>
    <w:basedOn w:val="1"/>
    <w:link w:val="48"/>
    <w:unhideWhenUsed/>
    <w:qFormat/>
    <w:uiPriority w:val="99"/>
    <w:rPr>
      <w:rFonts w:ascii="Times New Roman" w:hAnsi="Times New Roman"/>
      <w:kern w:val="0"/>
      <w:sz w:val="44"/>
      <w:szCs w:val="44"/>
    </w:rPr>
  </w:style>
  <w:style w:type="paragraph" w:styleId="23">
    <w:name w:val="Title"/>
    <w:basedOn w:val="1"/>
    <w:link w:val="4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4">
    <w:name w:val="annotation subject"/>
    <w:basedOn w:val="8"/>
    <w:next w:val="8"/>
    <w:link w:val="50"/>
    <w:unhideWhenUsed/>
    <w:qFormat/>
    <w:uiPriority w:val="99"/>
    <w:rPr>
      <w:b/>
      <w:bCs/>
    </w:rPr>
  </w:style>
  <w:style w:type="paragraph" w:styleId="25">
    <w:name w:val="Body Text First Indent"/>
    <w:basedOn w:val="10"/>
    <w:link w:val="51"/>
    <w:unhideWhenUsed/>
    <w:qFormat/>
    <w:uiPriority w:val="0"/>
    <w:pPr>
      <w:ind w:firstLine="420" w:firstLineChars="100"/>
    </w:pPr>
  </w:style>
  <w:style w:type="paragraph" w:styleId="26">
    <w:name w:val="Body Text First Indent 2"/>
    <w:basedOn w:val="11"/>
    <w:link w:val="52"/>
    <w:unhideWhenUsed/>
    <w:qFormat/>
    <w:uiPriority w:val="0"/>
    <w:pPr>
      <w:ind w:firstLine="420" w:firstLineChars="200"/>
    </w:pPr>
    <w:rPr>
      <w:rFonts w:ascii="Calibri" w:hAnsi="Calibri"/>
      <w:color w:val="auto"/>
      <w:kern w:val="2"/>
      <w:sz w:val="21"/>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rPr>
  </w:style>
  <w:style w:type="character" w:styleId="31">
    <w:name w:val="page number"/>
    <w:qFormat/>
    <w:uiPriority w:val="0"/>
  </w:style>
  <w:style w:type="character" w:styleId="32">
    <w:name w:val="FollowedHyperlink"/>
    <w:unhideWhenUsed/>
    <w:qFormat/>
    <w:uiPriority w:val="99"/>
    <w:rPr>
      <w:color w:val="800080"/>
      <w:u w:val="none"/>
    </w:rPr>
  </w:style>
  <w:style w:type="character" w:styleId="33">
    <w:name w:val="Hyperlink"/>
    <w:unhideWhenUsed/>
    <w:qFormat/>
    <w:uiPriority w:val="99"/>
    <w:rPr>
      <w:color w:val="0000FF"/>
      <w:u w:val="none"/>
    </w:rPr>
  </w:style>
  <w:style w:type="character" w:styleId="34">
    <w:name w:val="annotation reference"/>
    <w:unhideWhenUsed/>
    <w:qFormat/>
    <w:uiPriority w:val="0"/>
    <w:rPr>
      <w:sz w:val="21"/>
      <w:szCs w:val="21"/>
    </w:rPr>
  </w:style>
  <w:style w:type="character" w:customStyle="1" w:styleId="35">
    <w:name w:val="标题 1 字符"/>
    <w:link w:val="3"/>
    <w:qFormat/>
    <w:uiPriority w:val="9"/>
    <w:rPr>
      <w:rFonts w:ascii="Times New Roman" w:hAnsi="Times New Roman"/>
      <w:b/>
      <w:bCs/>
      <w:kern w:val="44"/>
      <w:sz w:val="44"/>
      <w:szCs w:val="44"/>
    </w:rPr>
  </w:style>
  <w:style w:type="character" w:customStyle="1" w:styleId="36">
    <w:name w:val="标题 2 字符"/>
    <w:link w:val="4"/>
    <w:qFormat/>
    <w:uiPriority w:val="99"/>
    <w:rPr>
      <w:rFonts w:ascii="Arial" w:hAnsi="Arial" w:eastAsia="黑体" w:cs="Arial"/>
      <w:b/>
      <w:bCs/>
      <w:sz w:val="32"/>
      <w:szCs w:val="32"/>
    </w:rPr>
  </w:style>
  <w:style w:type="character" w:customStyle="1" w:styleId="37">
    <w:name w:val="标题 3 字符"/>
    <w:link w:val="5"/>
    <w:qFormat/>
    <w:uiPriority w:val="99"/>
    <w:rPr>
      <w:rFonts w:ascii="Times New Roman" w:hAnsi="Times New Roman" w:eastAsia="宋体" w:cs="Times New Roman"/>
      <w:b/>
      <w:bCs/>
      <w:sz w:val="24"/>
      <w:szCs w:val="24"/>
    </w:rPr>
  </w:style>
  <w:style w:type="character" w:customStyle="1" w:styleId="38">
    <w:name w:val="标题 4 字符"/>
    <w:link w:val="6"/>
    <w:qFormat/>
    <w:uiPriority w:val="99"/>
    <w:rPr>
      <w:rFonts w:ascii="Arial" w:hAnsi="Arial" w:eastAsia="宋体" w:cs="Arial"/>
      <w:b/>
      <w:bCs/>
      <w:szCs w:val="21"/>
    </w:rPr>
  </w:style>
  <w:style w:type="character" w:customStyle="1" w:styleId="39">
    <w:name w:val="文档结构图 字符"/>
    <w:link w:val="7"/>
    <w:semiHidden/>
    <w:qFormat/>
    <w:uiPriority w:val="99"/>
    <w:rPr>
      <w:rFonts w:ascii="宋体"/>
      <w:kern w:val="2"/>
      <w:sz w:val="18"/>
      <w:szCs w:val="18"/>
    </w:rPr>
  </w:style>
  <w:style w:type="character" w:customStyle="1" w:styleId="40">
    <w:name w:val="批注文字 字符"/>
    <w:link w:val="8"/>
    <w:qFormat/>
    <w:uiPriority w:val="0"/>
    <w:rPr>
      <w:kern w:val="2"/>
      <w:sz w:val="21"/>
      <w:szCs w:val="21"/>
    </w:rPr>
  </w:style>
  <w:style w:type="character" w:customStyle="1" w:styleId="41">
    <w:name w:val="正文文本 字符"/>
    <w:link w:val="10"/>
    <w:qFormat/>
    <w:uiPriority w:val="99"/>
    <w:rPr>
      <w:rFonts w:ascii="Times New Roman" w:hAnsi="Times New Roman" w:eastAsia="宋体" w:cs="Times New Roman"/>
      <w:szCs w:val="21"/>
    </w:rPr>
  </w:style>
  <w:style w:type="character" w:customStyle="1" w:styleId="42">
    <w:name w:val="正文文本缩进 字符"/>
    <w:link w:val="11"/>
    <w:qFormat/>
    <w:uiPriority w:val="99"/>
    <w:rPr>
      <w:rFonts w:ascii="宋体" w:hAnsi="宋体" w:eastAsia="宋体" w:cs="宋体"/>
      <w:color w:val="000000"/>
      <w:szCs w:val="21"/>
    </w:rPr>
  </w:style>
  <w:style w:type="character" w:customStyle="1" w:styleId="43">
    <w:name w:val="纯文本 字符1"/>
    <w:link w:val="14"/>
    <w:qFormat/>
    <w:locked/>
    <w:uiPriority w:val="0"/>
    <w:rPr>
      <w:rFonts w:ascii="宋体" w:hAnsi="Courier New" w:eastAsia="楷体_GB2312"/>
      <w:kern w:val="2"/>
      <w:sz w:val="21"/>
      <w:szCs w:val="24"/>
    </w:rPr>
  </w:style>
  <w:style w:type="character" w:customStyle="1" w:styleId="44">
    <w:name w:val="批注框文本 字符"/>
    <w:link w:val="16"/>
    <w:qFormat/>
    <w:uiPriority w:val="99"/>
    <w:rPr>
      <w:rFonts w:ascii="Times New Roman" w:hAnsi="Times New Roman"/>
      <w:kern w:val="2"/>
      <w:sz w:val="18"/>
      <w:szCs w:val="18"/>
    </w:rPr>
  </w:style>
  <w:style w:type="character" w:customStyle="1" w:styleId="45">
    <w:name w:val="页脚 字符"/>
    <w:link w:val="17"/>
    <w:qFormat/>
    <w:uiPriority w:val="99"/>
    <w:rPr>
      <w:rFonts w:ascii="Times New Roman" w:hAnsi="Times New Roman" w:eastAsia="宋体" w:cs="Times New Roman"/>
      <w:sz w:val="18"/>
      <w:szCs w:val="18"/>
    </w:rPr>
  </w:style>
  <w:style w:type="character" w:customStyle="1" w:styleId="46">
    <w:name w:val="页眉 字符"/>
    <w:link w:val="18"/>
    <w:qFormat/>
    <w:uiPriority w:val="0"/>
    <w:rPr>
      <w:rFonts w:ascii="Times New Roman" w:hAnsi="Times New Roman" w:eastAsia="宋体" w:cs="Times New Roman"/>
      <w:sz w:val="18"/>
      <w:szCs w:val="18"/>
    </w:rPr>
  </w:style>
  <w:style w:type="character" w:customStyle="1" w:styleId="47">
    <w:name w:val="正文文本缩进 3 字符"/>
    <w:link w:val="20"/>
    <w:qFormat/>
    <w:uiPriority w:val="0"/>
    <w:rPr>
      <w:kern w:val="2"/>
      <w:sz w:val="16"/>
      <w:szCs w:val="16"/>
    </w:rPr>
  </w:style>
  <w:style w:type="character" w:customStyle="1" w:styleId="48">
    <w:name w:val="正文文本 2 字符"/>
    <w:link w:val="22"/>
    <w:qFormat/>
    <w:uiPriority w:val="99"/>
    <w:rPr>
      <w:rFonts w:ascii="Times New Roman" w:hAnsi="Times New Roman" w:eastAsia="宋体" w:cs="Times New Roman"/>
      <w:sz w:val="44"/>
      <w:szCs w:val="44"/>
    </w:rPr>
  </w:style>
  <w:style w:type="character" w:customStyle="1" w:styleId="49">
    <w:name w:val="标题 字符"/>
    <w:link w:val="23"/>
    <w:qFormat/>
    <w:uiPriority w:val="0"/>
    <w:rPr>
      <w:rFonts w:ascii="Arial" w:hAnsi="Arial"/>
      <w:b/>
      <w:sz w:val="32"/>
    </w:rPr>
  </w:style>
  <w:style w:type="character" w:customStyle="1" w:styleId="50">
    <w:name w:val="批注主题 字符"/>
    <w:link w:val="24"/>
    <w:semiHidden/>
    <w:qFormat/>
    <w:uiPriority w:val="99"/>
    <w:rPr>
      <w:b/>
      <w:bCs/>
      <w:kern w:val="2"/>
      <w:sz w:val="21"/>
      <w:szCs w:val="21"/>
    </w:rPr>
  </w:style>
  <w:style w:type="character" w:customStyle="1" w:styleId="51">
    <w:name w:val="正文文本首行缩进 字符"/>
    <w:link w:val="25"/>
    <w:qFormat/>
    <w:uiPriority w:val="0"/>
  </w:style>
  <w:style w:type="character" w:customStyle="1" w:styleId="52">
    <w:name w:val="正文文本首行缩进 2 字符"/>
    <w:link w:val="26"/>
    <w:qFormat/>
    <w:uiPriority w:val="0"/>
    <w:rPr>
      <w:rFonts w:hint="default" w:ascii="Calibri" w:hAnsi="Calibri" w:eastAsia="宋体" w:cs="Times New Roman"/>
      <w:kern w:val="2"/>
      <w:sz w:val="21"/>
      <w:szCs w:val="22"/>
    </w:rPr>
  </w:style>
  <w:style w:type="character" w:customStyle="1" w:styleId="53">
    <w:name w:val="15"/>
    <w:qFormat/>
    <w:uiPriority w:val="0"/>
    <w:rPr>
      <w:rFonts w:hint="default" w:ascii="Times New Roman" w:hAnsi="Times New Roman" w:cs="Times New Roman"/>
      <w:color w:val="12477D"/>
      <w:sz w:val="21"/>
      <w:szCs w:val="21"/>
    </w:rPr>
  </w:style>
  <w:style w:type="character" w:customStyle="1" w:styleId="54">
    <w:name w:val="纯文本 字符"/>
    <w:semiHidden/>
    <w:qFormat/>
    <w:uiPriority w:val="99"/>
    <w:rPr>
      <w:rFonts w:ascii="宋体" w:hAnsi="Courier New" w:cs="Courier New"/>
      <w:kern w:val="2"/>
      <w:sz w:val="21"/>
      <w:szCs w:val="21"/>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文一 Char"/>
    <w:link w:val="57"/>
    <w:qFormat/>
    <w:uiPriority w:val="0"/>
    <w:rPr>
      <w:snapToGrid w:val="0"/>
      <w:spacing w:val="4"/>
      <w:sz w:val="24"/>
      <w:szCs w:val="24"/>
    </w:rPr>
  </w:style>
  <w:style w:type="paragraph" w:customStyle="1" w:styleId="57">
    <w:name w:val="文一"/>
    <w:basedOn w:val="1"/>
    <w:link w:val="56"/>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58">
    <w:name w:val="10"/>
    <w:qFormat/>
    <w:uiPriority w:val="0"/>
    <w:rPr>
      <w:rFonts w:hint="default" w:ascii="Times New Roman" w:hAnsi="Times New Roman" w:cs="Times New Roman"/>
    </w:rPr>
  </w:style>
  <w:style w:type="character" w:customStyle="1" w:styleId="59">
    <w:name w:val="16"/>
    <w:qFormat/>
    <w:uiPriority w:val="0"/>
    <w:rPr>
      <w:rFonts w:hint="default" w:ascii="Times New Roman" w:hAnsi="Times New Roman" w:cs="Times New Roman"/>
      <w:i/>
      <w:iCs/>
    </w:rPr>
  </w:style>
  <w:style w:type="paragraph" w:customStyle="1" w:styleId="6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2">
    <w:name w:val="6'"/>
    <w:basedOn w:val="1"/>
    <w:next w:val="63"/>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3">
    <w:name w:val="AOHead3"/>
    <w:basedOn w:val="1"/>
    <w:next w:val="1"/>
    <w:qFormat/>
    <w:uiPriority w:val="0"/>
    <w:pPr>
      <w:spacing w:line="360" w:lineRule="auto"/>
      <w:ind w:left="1260"/>
      <w:outlineLvl w:val="2"/>
    </w:pPr>
    <w:rPr>
      <w:color w:val="0000FF"/>
    </w:rPr>
  </w:style>
  <w:style w:type="paragraph" w:customStyle="1" w:styleId="64">
    <w:name w:val="_Style 63"/>
    <w:unhideWhenUsed/>
    <w:qFormat/>
    <w:uiPriority w:val="99"/>
    <w:rPr>
      <w:rFonts w:ascii="Times New Roman" w:hAnsi="Times New Roman" w:eastAsia="宋体" w:cs="Times New Roman"/>
      <w:kern w:val="2"/>
      <w:sz w:val="21"/>
      <w:szCs w:val="21"/>
      <w:lang w:val="en-US" w:eastAsia="zh-CN" w:bidi="ar-SA"/>
    </w:rPr>
  </w:style>
  <w:style w:type="paragraph" w:customStyle="1" w:styleId="65">
    <w:name w:val="样式1-正文"/>
    <w:basedOn w:val="1"/>
    <w:qFormat/>
    <w:uiPriority w:val="0"/>
    <w:pPr>
      <w:autoSpaceDE w:val="0"/>
      <w:autoSpaceDN w:val="0"/>
      <w:adjustRightInd w:val="0"/>
      <w:spacing w:line="360" w:lineRule="auto"/>
      <w:ind w:firstLine="600" w:firstLineChars="200"/>
      <w:jc w:val="left"/>
    </w:pPr>
    <w:rPr>
      <w:rFonts w:eastAsia="仿宋_GB2312"/>
      <w:color w:val="000000"/>
      <w:kern w:val="0"/>
      <w:sz w:val="24"/>
      <w:szCs w:val="32"/>
    </w:rPr>
  </w:style>
  <w:style w:type="paragraph" w:customStyle="1" w:styleId="66">
    <w:name w:val="正文首行缩进 21"/>
    <w:basedOn w:val="11"/>
    <w:qFormat/>
    <w:uiPriority w:val="99"/>
    <w:pPr>
      <w:widowControl w:val="0"/>
      <w:spacing w:line="240" w:lineRule="auto"/>
      <w:ind w:firstLine="420" w:firstLineChars="200"/>
      <w:jc w:val="both"/>
    </w:pPr>
    <w:rPr>
      <w:rFonts w:ascii="Calibri" w:hAnsi="Calibri" w:eastAsia="宋体"/>
      <w:color w:val="auto"/>
      <w:kern w:val="0"/>
      <w:sz w:val="20"/>
      <w:szCs w:val="24"/>
    </w:rPr>
  </w:style>
  <w:style w:type="paragraph" w:customStyle="1" w:styleId="67">
    <w:name w:val="_Style 6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首行缩进"/>
    <w:basedOn w:val="1"/>
    <w:qFormat/>
    <w:uiPriority w:val="0"/>
    <w:pPr>
      <w:widowControl w:val="0"/>
      <w:spacing w:line="300" w:lineRule="auto"/>
      <w:ind w:firstLine="420" w:firstLineChars="200"/>
      <w:jc w:val="both"/>
    </w:pPr>
    <w:rPr>
      <w:rFonts w:eastAsia="方正书宋简体"/>
      <w:kern w:val="2"/>
      <w:sz w:val="21"/>
      <w:szCs w:val="20"/>
      <w:lang w:bidi="ar-SA"/>
    </w:rPr>
  </w:style>
  <w:style w:type="paragraph" w:customStyle="1" w:styleId="69">
    <w:name w:val="文二"/>
    <w:basedOn w:val="1"/>
    <w:qFormat/>
    <w:uiPriority w:val="0"/>
    <w:pPr>
      <w:jc w:val="left"/>
    </w:pPr>
    <w:rPr>
      <w:rFonts w:ascii="宋体" w:hAnsi="宋体" w:cs="宋体"/>
    </w:rPr>
  </w:style>
  <w:style w:type="paragraph" w:customStyle="1" w:styleId="70">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1">
    <w:name w:val="表格文字"/>
    <w:basedOn w:val="1"/>
    <w:next w:val="1"/>
    <w:qFormat/>
    <w:uiPriority w:val="0"/>
    <w:pPr>
      <w:snapToGrid w:val="0"/>
      <w:spacing w:line="360" w:lineRule="atLeast"/>
      <w:jc w:val="center"/>
    </w:pPr>
    <w:rPr>
      <w:rFonts w:ascii="宋体" w:eastAsia="幼圆"/>
      <w:szCs w:val="20"/>
    </w:rPr>
  </w:style>
  <w:style w:type="paragraph" w:customStyle="1" w:styleId="72">
    <w:name w:val="Table Paragraph"/>
    <w:basedOn w:val="1"/>
    <w:qFormat/>
    <w:uiPriority w:val="0"/>
  </w:style>
  <w:style w:type="paragraph" w:customStyle="1" w:styleId="73">
    <w:name w:val="_Style 60"/>
    <w:unhideWhenUsed/>
    <w:qFormat/>
    <w:uiPriority w:val="99"/>
    <w:rPr>
      <w:rFonts w:ascii="Times New Roman" w:hAnsi="Times New Roman" w:eastAsia="宋体" w:cs="Times New Roman"/>
      <w:kern w:val="2"/>
      <w:sz w:val="21"/>
      <w:szCs w:val="21"/>
      <w:lang w:val="en-US" w:eastAsia="zh-CN" w:bidi="ar-SA"/>
    </w:rPr>
  </w:style>
  <w:style w:type="paragraph" w:customStyle="1" w:styleId="74">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75">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customStyle="1" w:styleId="7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31155</Words>
  <Characters>32777</Characters>
  <Lines>255</Lines>
  <Paragraphs>71</Paragraphs>
  <TotalTime>58</TotalTime>
  <ScaleCrop>false</ScaleCrop>
  <LinksUpToDate>false</LinksUpToDate>
  <CharactersWithSpaces>34437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2024-08-22T16:06:00Z</dcterms:created>
  <dc:creator>Administrator</dc:creator>
  <cp:lastModifiedBy>AA</cp:lastModifiedBy>
  <cp:lastPrinted>2025-06-20T01:37:00Z</cp:lastPrinted>
  <dcterms:modified xsi:type="dcterms:W3CDTF">2025-06-23T05:08:54Z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BE22E6106C924CBD820978DCAC699E31_13</vt:lpwstr>
  </property>
  <property fmtid="{D5CDD505-2E9C-101B-9397-08002B2CF9AE}" pid="4" name="KSOTemplateDocerSaveRecord">
    <vt:lpwstr>eyJoZGlkIjoiOGVkZTY0ZWJkZjY1NzZmNmI5M2ZiMjBhYTA1YzE2MjMiLCJ1c2VySWQiOiI1ODI3NjI3ODcifQ==</vt:lpwstr>
  </property>
</Properties>
</file>