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宋体" w:hAnsi="宋体" w:eastAsia="宋体" w:cs="宋体"/>
          <w:kern w:val="0"/>
          <w:sz w:val="28"/>
          <w:szCs w:val="28"/>
        </w:rPr>
      </w:pPr>
      <w:r>
        <w:rPr>
          <w:rFonts w:hint="eastAsia" w:ascii="宋体" w:hAnsi="宋体" w:eastAsia="宋体" w:cs="宋体"/>
          <w:b/>
          <w:bCs/>
          <w:kern w:val="0"/>
          <w:sz w:val="28"/>
          <w:szCs w:val="28"/>
        </w:rPr>
        <w:t>广东技术师范大学白云校区教学科研楼项目施工监理</w:t>
      </w:r>
      <w:r>
        <w:rPr>
          <w:rFonts w:ascii="宋体" w:hAnsi="宋体" w:eastAsia="宋体" w:cs="宋体"/>
          <w:b/>
          <w:bCs/>
          <w:kern w:val="0"/>
          <w:sz w:val="28"/>
          <w:szCs w:val="28"/>
        </w:rPr>
        <w:t>补充公告</w:t>
      </w:r>
    </w:p>
    <w:p>
      <w:pPr>
        <w:widowControl/>
        <w:numPr>
          <w:ilvl w:val="0"/>
          <w:numId w:val="0"/>
        </w:num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广东技术师范大学白云校区教学科研楼项目施工监理（项目编号：JG2022-17402），于202</w:t>
      </w:r>
      <w:r>
        <w:rPr>
          <w:rFonts w:hint="eastAsia" w:ascii="宋体" w:hAnsi="宋体" w:eastAsia="宋体" w:cs="宋体"/>
          <w:kern w:val="0"/>
          <w:szCs w:val="21"/>
          <w:lang w:val="en-US" w:eastAsia="zh-CN"/>
        </w:rPr>
        <w:t>2</w:t>
      </w:r>
      <w:r>
        <w:rPr>
          <w:rFonts w:hint="eastAsia" w:ascii="宋体" w:hAnsi="宋体" w:eastAsia="宋体" w:cs="宋体"/>
          <w:kern w:val="0"/>
          <w:szCs w:val="21"/>
        </w:rPr>
        <w:t>年</w:t>
      </w:r>
      <w:r>
        <w:rPr>
          <w:rFonts w:hint="eastAsia" w:ascii="宋体" w:hAnsi="宋体" w:eastAsia="宋体" w:cs="宋体"/>
          <w:kern w:val="0"/>
          <w:szCs w:val="21"/>
          <w:lang w:val="en-US" w:eastAsia="zh-CN"/>
        </w:rPr>
        <w:t>11</w:t>
      </w:r>
      <w:r>
        <w:rPr>
          <w:rFonts w:hint="eastAsia" w:ascii="宋体" w:hAnsi="宋体" w:eastAsia="宋体" w:cs="宋体"/>
          <w:kern w:val="0"/>
          <w:szCs w:val="21"/>
        </w:rPr>
        <w:t>月</w:t>
      </w:r>
      <w:r>
        <w:rPr>
          <w:rFonts w:hint="eastAsia" w:ascii="宋体" w:hAnsi="宋体" w:eastAsia="宋体" w:cs="宋体"/>
          <w:kern w:val="0"/>
          <w:szCs w:val="21"/>
          <w:lang w:val="en-US" w:eastAsia="zh-CN"/>
        </w:rPr>
        <w:t>18</w:t>
      </w:r>
      <w:r>
        <w:rPr>
          <w:rFonts w:hint="eastAsia" w:ascii="宋体" w:hAnsi="宋体" w:eastAsia="宋体" w:cs="宋体"/>
          <w:kern w:val="0"/>
          <w:szCs w:val="21"/>
        </w:rPr>
        <w:t>日在广州公共资源交易中心网站等媒介发布招标公告，现对原招标文件内容修改如下：</w:t>
      </w:r>
    </w:p>
    <w:p>
      <w:pPr>
        <w:widowControl/>
        <w:numPr>
          <w:ilvl w:val="0"/>
          <w:numId w:val="0"/>
        </w:numPr>
        <w:spacing w:line="4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一、招标文件修改内容：</w:t>
      </w:r>
    </w:p>
    <w:tbl>
      <w:tblPr>
        <w:tblStyle w:val="14"/>
        <w:tblW w:w="4998"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54"/>
        <w:gridCol w:w="1592"/>
        <w:gridCol w:w="3142"/>
        <w:gridCol w:w="32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86" w:hRule="atLeast"/>
        </w:trPr>
        <w:tc>
          <w:tcPr>
            <w:tcW w:w="213" w:type="pct"/>
            <w:tcBorders>
              <w:top w:val="single" w:color="auto" w:sz="8" w:space="0"/>
              <w:left w:val="single" w:color="auto" w:sz="8" w:space="0"/>
              <w:bottom w:val="single" w:color="auto" w:sz="8" w:space="0"/>
              <w:right w:val="single" w:color="auto" w:sz="8" w:space="0"/>
            </w:tcBorders>
            <w:vAlign w:val="center"/>
          </w:tcPr>
          <w:p>
            <w:pPr>
              <w:widowControl/>
              <w:spacing w:before="68" w:after="68"/>
              <w:jc w:val="center"/>
              <w:rPr>
                <w:rFonts w:ascii="Tahoma" w:hAnsi="Tahoma" w:eastAsia="宋体" w:cs="Tahoma"/>
                <w:kern w:val="0"/>
                <w:sz w:val="16"/>
                <w:szCs w:val="16"/>
              </w:rPr>
            </w:pPr>
            <w:r>
              <w:rPr>
                <w:rFonts w:hint="eastAsia" w:ascii="宋体" w:hAnsi="宋体" w:eastAsia="宋体" w:cs="Tahoma"/>
                <w:b/>
                <w:bCs/>
                <w:kern w:val="0"/>
                <w:szCs w:val="21"/>
              </w:rPr>
              <w:t>序号</w:t>
            </w:r>
            <w:r>
              <w:rPr>
                <w:rFonts w:ascii="Tahoma" w:hAnsi="Tahoma" w:eastAsia="宋体" w:cs="Tahoma"/>
                <w:kern w:val="0"/>
                <w:sz w:val="16"/>
                <w:szCs w:val="16"/>
              </w:rPr>
              <w:t xml:space="preserve"> </w:t>
            </w:r>
          </w:p>
        </w:tc>
        <w:tc>
          <w:tcPr>
            <w:tcW w:w="955" w:type="pct"/>
            <w:tcBorders>
              <w:top w:val="single" w:color="auto" w:sz="8" w:space="0"/>
              <w:left w:val="single" w:color="auto" w:sz="8" w:space="0"/>
              <w:bottom w:val="single" w:color="auto" w:sz="8" w:space="0"/>
              <w:right w:val="single" w:color="auto" w:sz="8" w:space="0"/>
            </w:tcBorders>
            <w:vAlign w:val="center"/>
          </w:tcPr>
          <w:p>
            <w:pPr>
              <w:widowControl/>
              <w:spacing w:before="68" w:after="68"/>
              <w:jc w:val="center"/>
              <w:rPr>
                <w:rFonts w:ascii="Tahoma" w:hAnsi="Tahoma" w:eastAsia="宋体" w:cs="Tahoma"/>
                <w:kern w:val="0"/>
                <w:sz w:val="16"/>
                <w:szCs w:val="16"/>
              </w:rPr>
            </w:pPr>
            <w:r>
              <w:rPr>
                <w:rFonts w:hint="eastAsia" w:ascii="宋体" w:hAnsi="宋体" w:eastAsia="宋体" w:cs="Tahoma"/>
                <w:b/>
                <w:bCs/>
                <w:kern w:val="0"/>
                <w:szCs w:val="21"/>
              </w:rPr>
              <w:t>条款号</w:t>
            </w:r>
            <w:r>
              <w:rPr>
                <w:rFonts w:ascii="Tahoma" w:hAnsi="Tahoma" w:eastAsia="宋体" w:cs="Tahoma"/>
                <w:kern w:val="0"/>
                <w:sz w:val="16"/>
                <w:szCs w:val="16"/>
              </w:rPr>
              <w:t xml:space="preserve"> </w:t>
            </w:r>
          </w:p>
        </w:tc>
        <w:tc>
          <w:tcPr>
            <w:tcW w:w="1885" w:type="pct"/>
            <w:tcBorders>
              <w:top w:val="single" w:color="auto" w:sz="8" w:space="0"/>
              <w:left w:val="single" w:color="auto" w:sz="8" w:space="0"/>
              <w:bottom w:val="single" w:color="auto" w:sz="8" w:space="0"/>
              <w:right w:val="single" w:color="auto" w:sz="8" w:space="0"/>
            </w:tcBorders>
            <w:vAlign w:val="center"/>
          </w:tcPr>
          <w:p>
            <w:pPr>
              <w:widowControl/>
              <w:spacing w:before="68" w:after="68"/>
              <w:jc w:val="center"/>
              <w:rPr>
                <w:rFonts w:ascii="Tahoma" w:hAnsi="Tahoma" w:eastAsia="宋体" w:cs="Tahoma"/>
                <w:kern w:val="0"/>
                <w:sz w:val="16"/>
                <w:szCs w:val="16"/>
              </w:rPr>
            </w:pPr>
            <w:r>
              <w:rPr>
                <w:rFonts w:hint="eastAsia" w:ascii="宋体" w:hAnsi="宋体" w:eastAsia="宋体" w:cs="Tahoma"/>
                <w:b/>
                <w:bCs/>
                <w:kern w:val="0"/>
                <w:szCs w:val="21"/>
              </w:rPr>
              <w:t>原文</w:t>
            </w:r>
            <w:r>
              <w:rPr>
                <w:rFonts w:ascii="Tahoma" w:hAnsi="Tahoma" w:eastAsia="宋体" w:cs="Tahoma"/>
                <w:kern w:val="0"/>
                <w:sz w:val="16"/>
                <w:szCs w:val="16"/>
              </w:rPr>
              <w:t xml:space="preserve"> </w:t>
            </w:r>
          </w:p>
        </w:tc>
        <w:tc>
          <w:tcPr>
            <w:tcW w:w="1945" w:type="pct"/>
            <w:tcBorders>
              <w:top w:val="single" w:color="auto" w:sz="8" w:space="0"/>
              <w:left w:val="single" w:color="auto" w:sz="8" w:space="0"/>
              <w:bottom w:val="single" w:color="auto" w:sz="8" w:space="0"/>
              <w:right w:val="single" w:color="auto" w:sz="8" w:space="0"/>
            </w:tcBorders>
            <w:vAlign w:val="center"/>
          </w:tcPr>
          <w:p>
            <w:pPr>
              <w:widowControl/>
              <w:spacing w:before="68" w:after="68"/>
              <w:jc w:val="center"/>
              <w:rPr>
                <w:rFonts w:ascii="Tahoma" w:hAnsi="Tahoma" w:eastAsia="宋体" w:cs="Tahoma"/>
                <w:kern w:val="0"/>
                <w:sz w:val="16"/>
                <w:szCs w:val="16"/>
              </w:rPr>
            </w:pPr>
            <w:r>
              <w:rPr>
                <w:rFonts w:hint="eastAsia" w:ascii="宋体" w:hAnsi="宋体" w:eastAsia="宋体" w:cs="Tahoma"/>
                <w:b/>
                <w:bCs/>
                <w:kern w:val="0"/>
                <w:szCs w:val="21"/>
              </w:rPr>
              <w:t>现文</w:t>
            </w:r>
            <w:r>
              <w:rPr>
                <w:rFonts w:ascii="Tahoma" w:hAnsi="Tahoma" w:eastAsia="宋体" w:cs="Tahoma"/>
                <w:kern w:val="0"/>
                <w:sz w:val="16"/>
                <w:szCs w:val="16"/>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72" w:hRule="atLeast"/>
        </w:trPr>
        <w:tc>
          <w:tcPr>
            <w:tcW w:w="5000" w:type="pct"/>
            <w:gridSpan w:val="4"/>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eastAsia="宋体" w:cs="Tahoma"/>
                <w:kern w:val="0"/>
                <w:szCs w:val="21"/>
              </w:rPr>
            </w:pPr>
            <w:r>
              <w:rPr>
                <w:rFonts w:hint="eastAsia" w:ascii="宋体" w:hAnsi="宋体" w:eastAsia="宋体" w:cs="宋体"/>
                <w:b/>
                <w:bCs/>
                <w:kern w:val="0"/>
                <w:szCs w:val="21"/>
              </w:rPr>
              <w:t>招标文件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13" w:type="pct"/>
            <w:tcBorders>
              <w:top w:val="single" w:color="auto" w:sz="8" w:space="0"/>
              <w:left w:val="single" w:color="auto" w:sz="8" w:space="0"/>
              <w:bottom w:val="single" w:color="auto" w:sz="8" w:space="0"/>
              <w:right w:val="single" w:color="auto" w:sz="8" w:space="0"/>
            </w:tcBorders>
            <w:vAlign w:val="center"/>
          </w:tcPr>
          <w:p>
            <w:pPr>
              <w:widowControl/>
              <w:spacing w:before="68" w:after="68"/>
              <w:jc w:val="center"/>
              <w:rPr>
                <w:rFonts w:hint="eastAsia" w:ascii="宋体" w:hAnsi="宋体" w:eastAsia="宋体" w:cs="Tahoma"/>
                <w:kern w:val="0"/>
                <w:szCs w:val="21"/>
                <w:lang w:val="en-US" w:eastAsia="zh-CN"/>
              </w:rPr>
            </w:pPr>
            <w:r>
              <w:rPr>
                <w:rFonts w:hint="eastAsia" w:ascii="宋体" w:hAnsi="宋体" w:eastAsia="宋体" w:cs="Tahoma"/>
                <w:kern w:val="0"/>
                <w:szCs w:val="21"/>
                <w:lang w:val="en-US" w:eastAsia="zh-CN"/>
              </w:rPr>
              <w:t>1</w:t>
            </w:r>
          </w:p>
        </w:tc>
        <w:tc>
          <w:tcPr>
            <w:tcW w:w="955" w:type="pct"/>
            <w:tcBorders>
              <w:top w:val="single" w:color="auto" w:sz="8" w:space="0"/>
              <w:left w:val="single" w:color="auto" w:sz="8" w:space="0"/>
              <w:bottom w:val="single" w:color="auto" w:sz="8" w:space="0"/>
              <w:right w:val="single" w:color="auto" w:sz="8" w:space="0"/>
            </w:tcBorders>
            <w:vAlign w:val="center"/>
          </w:tcPr>
          <w:p>
            <w:pPr>
              <w:numPr>
                <w:ilvl w:val="0"/>
                <w:numId w:val="1"/>
              </w:numPr>
              <w:jc w:val="center"/>
              <w:rPr>
                <w:rFonts w:hint="eastAsia" w:ascii="宋体" w:hAnsi="宋体"/>
              </w:rPr>
            </w:pPr>
            <w:bookmarkStart w:id="0" w:name="_Toc63769815"/>
            <w:r>
              <w:rPr>
                <w:rFonts w:hint="eastAsia" w:ascii="宋体" w:hAnsi="宋体"/>
              </w:rPr>
              <w:t>评标办法（综合评估法）</w:t>
            </w:r>
            <w:bookmarkEnd w:id="0"/>
            <w:r>
              <w:rPr>
                <w:rFonts w:hint="eastAsia" w:ascii="宋体" w:hAnsi="宋体"/>
              </w:rPr>
              <w:t>评标办法前附表2.2.4（1）</w:t>
            </w:r>
          </w:p>
          <w:p>
            <w:pPr>
              <w:numPr>
                <w:ilvl w:val="0"/>
                <w:numId w:val="0"/>
              </w:numPr>
              <w:jc w:val="both"/>
              <w:rPr>
                <w:rFonts w:hint="eastAsia" w:ascii="宋体" w:hAnsi="宋体" w:cs="宋体" w:eastAsiaTheme="minorEastAsia"/>
                <w:color w:val="000000"/>
                <w:szCs w:val="21"/>
                <w:lang w:val="en-US" w:eastAsia="zh-CN"/>
              </w:rPr>
            </w:pPr>
            <w:r>
              <w:rPr>
                <w:rFonts w:hint="eastAsia" w:ascii="宋体" w:hAnsi="宋体" w:cs="宋体"/>
              </w:rPr>
              <w:t>资信业绩部分（</w:t>
            </w:r>
            <w:r>
              <w:rPr>
                <w:rFonts w:ascii="宋体" w:hAnsi="宋体" w:cs="宋体"/>
              </w:rPr>
              <w:t>50</w:t>
            </w:r>
            <w:r>
              <w:rPr>
                <w:rFonts w:hint="eastAsia" w:ascii="宋体" w:hAnsi="宋体" w:cs="宋体"/>
              </w:rPr>
              <w:t>分）</w:t>
            </w:r>
            <w:r>
              <w:rPr>
                <w:rFonts w:hint="eastAsia" w:ascii="宋体" w:hAnsi="宋体"/>
                <w:lang w:val="en-US" w:eastAsia="zh-CN"/>
              </w:rPr>
              <w:t xml:space="preserve">  </w:t>
            </w:r>
            <w:r>
              <w:rPr>
                <w:rFonts w:hint="eastAsia" w:hAnsi="宋体"/>
                <w:kern w:val="0"/>
              </w:rPr>
              <w:t>总监理工程师（</w:t>
            </w:r>
            <w:r>
              <w:rPr>
                <w:rFonts w:hAnsi="宋体"/>
                <w:kern w:val="0"/>
              </w:rPr>
              <w:t>10</w:t>
            </w:r>
            <w:r>
              <w:rPr>
                <w:rFonts w:hint="eastAsia" w:hAnsi="宋体"/>
                <w:kern w:val="0"/>
              </w:rPr>
              <w:t>分）</w:t>
            </w:r>
            <w:r>
              <w:rPr>
                <w:rFonts w:hint="eastAsia" w:ascii="宋体" w:hAnsi="宋体"/>
                <w:lang w:val="en-US" w:eastAsia="zh-CN"/>
              </w:rPr>
              <w:t xml:space="preserve"> </w:t>
            </w:r>
          </w:p>
        </w:tc>
        <w:tc>
          <w:tcPr>
            <w:tcW w:w="1885" w:type="pct"/>
            <w:tcBorders>
              <w:top w:val="single" w:color="auto" w:sz="8" w:space="0"/>
              <w:left w:val="single" w:color="auto" w:sz="8" w:space="0"/>
              <w:bottom w:val="single" w:color="auto" w:sz="8" w:space="0"/>
              <w:right w:val="single" w:color="auto" w:sz="8" w:space="0"/>
            </w:tcBorders>
            <w:vAlign w:val="center"/>
          </w:tcPr>
          <w:p>
            <w:pPr>
              <w:rPr>
                <w:rFonts w:hint="eastAsia" w:ascii="宋体" w:hAnsi="宋体" w:cs="宋体"/>
                <w:b w:val="0"/>
                <w:bCs w:val="0"/>
                <w:color w:val="000000"/>
                <w:szCs w:val="21"/>
                <w:lang w:val="en-US" w:eastAsia="zh-CN"/>
              </w:rPr>
            </w:pPr>
            <w:r>
              <w:rPr>
                <w:rFonts w:hint="eastAsia" w:hAnsi="宋体"/>
                <w:b w:val="0"/>
                <w:bCs w:val="0"/>
                <w:kern w:val="0"/>
              </w:rPr>
              <w:t>注：需提供获奖证书、获奖通报或项目竣工验收文件以证明获奖项目总监系拟派本项目总监；取得注册监理工程师执业资格年限的计算方法：拟任总监监理工程师资格证签发日期至投标截止日期为计算时间。</w:t>
            </w:r>
          </w:p>
        </w:tc>
        <w:tc>
          <w:tcPr>
            <w:tcW w:w="1945" w:type="pct"/>
            <w:tcBorders>
              <w:top w:val="single" w:color="auto" w:sz="8" w:space="0"/>
              <w:left w:val="single" w:color="auto" w:sz="8" w:space="0"/>
              <w:bottom w:val="single" w:color="auto" w:sz="8" w:space="0"/>
              <w:right w:val="single" w:color="auto" w:sz="8" w:space="0"/>
            </w:tcBorders>
          </w:tcPr>
          <w:p>
            <w:pPr>
              <w:rPr>
                <w:rFonts w:hint="eastAsia" w:hAnsi="宋体"/>
                <w:b w:val="0"/>
                <w:bCs w:val="0"/>
                <w:color w:val="000000" w:themeColor="text1"/>
                <w:kern w:val="0"/>
                <w14:textFill>
                  <w14:solidFill>
                    <w14:schemeClr w14:val="tx1"/>
                  </w14:solidFill>
                </w14:textFill>
              </w:rPr>
            </w:pPr>
            <w:r>
              <w:rPr>
                <w:rFonts w:hint="eastAsia" w:hAnsi="宋体"/>
                <w:b w:val="0"/>
                <w:bCs w:val="0"/>
                <w:color w:val="000000" w:themeColor="text1"/>
                <w:kern w:val="0"/>
                <w14:textFill>
                  <w14:solidFill>
                    <w14:schemeClr w14:val="tx1"/>
                  </w14:solidFill>
                </w14:textFill>
              </w:rPr>
              <w:t>注：国家级奖项是指：鲁班奖、中国土木工程詹天佑奖、国家优质工程金奖、国家优质工程奖、建设工程项目施工安全生产标准化建设工地（国家AAA级安全文明标准化工地）等；省级奖、市级奖是指建筑工程质量或安全奖。同一工程获得多个奖项的，按最高奖项计取，不重复计算。需提供获奖证书</w:t>
            </w:r>
            <w:r>
              <w:rPr>
                <w:rFonts w:hint="eastAsia" w:hAnsi="宋体"/>
                <w:b w:val="0"/>
                <w:bCs w:val="0"/>
                <w:color w:val="000000" w:themeColor="text1"/>
                <w:kern w:val="0"/>
                <w:lang w:eastAsia="zh-CN"/>
                <w14:textFill>
                  <w14:solidFill>
                    <w14:schemeClr w14:val="tx1"/>
                  </w14:solidFill>
                </w14:textFill>
              </w:rPr>
              <w:t>或</w:t>
            </w:r>
            <w:r>
              <w:rPr>
                <w:rFonts w:hint="eastAsia" w:hAnsi="宋体"/>
                <w:b w:val="0"/>
                <w:bCs w:val="0"/>
                <w:color w:val="000000" w:themeColor="text1"/>
                <w:kern w:val="0"/>
                <w14:textFill>
                  <w14:solidFill>
                    <w14:schemeClr w14:val="tx1"/>
                  </w14:solidFill>
                </w14:textFill>
              </w:rPr>
              <w:t>获奖通报证明材料</w:t>
            </w:r>
            <w:r>
              <w:rPr>
                <w:rFonts w:hint="eastAsia" w:hAnsi="宋体"/>
                <w:b w:val="0"/>
                <w:bCs w:val="0"/>
                <w:color w:val="000000" w:themeColor="text1"/>
                <w:kern w:val="0"/>
                <w:lang w:eastAsia="zh-CN"/>
                <w14:textFill>
                  <w14:solidFill>
                    <w14:schemeClr w14:val="tx1"/>
                  </w14:solidFill>
                </w14:textFill>
              </w:rPr>
              <w:t>，</w:t>
            </w:r>
            <w:r>
              <w:rPr>
                <w:rFonts w:hint="eastAsia" w:hAnsi="宋体"/>
                <w:b w:val="0"/>
                <w:bCs w:val="0"/>
                <w:color w:val="000000" w:themeColor="text1"/>
                <w:kern w:val="0"/>
                <w:lang w:val="en-US" w:eastAsia="zh-CN"/>
                <w14:textFill>
                  <w14:solidFill>
                    <w14:schemeClr w14:val="tx1"/>
                  </w14:solidFill>
                </w14:textFill>
              </w:rPr>
              <w:t>及</w:t>
            </w:r>
            <w:r>
              <w:rPr>
                <w:rFonts w:hint="eastAsia" w:hAnsi="宋体"/>
                <w:b w:val="0"/>
                <w:bCs w:val="0"/>
                <w:color w:val="000000" w:themeColor="text1"/>
                <w:kern w:val="0"/>
                <w14:textFill>
                  <w14:solidFill>
                    <w14:schemeClr w14:val="tx1"/>
                  </w14:solidFill>
                </w14:textFill>
              </w:rPr>
              <w:t>项目竣工验收文件以证明获奖项目总监系拟派本项目总监；</w:t>
            </w:r>
          </w:p>
          <w:p>
            <w:pPr>
              <w:rPr>
                <w:rFonts w:hint="eastAsia" w:ascii="宋体" w:hAnsi="宋体" w:eastAsia="宋体" w:cs="Times New Roman"/>
                <w:b w:val="0"/>
                <w:bCs w:val="0"/>
                <w:color w:val="000000" w:themeColor="text1"/>
                <w:kern w:val="0"/>
                <w:sz w:val="21"/>
                <w:szCs w:val="21"/>
                <w:lang w:val="en-US" w:eastAsia="zh-CN" w:bidi="ar-SA"/>
                <w14:textFill>
                  <w14:solidFill>
                    <w14:schemeClr w14:val="tx1"/>
                  </w14:solidFill>
                </w14:textFill>
              </w:rPr>
            </w:pPr>
            <w:r>
              <w:rPr>
                <w:rFonts w:hint="eastAsia" w:hAnsi="宋体"/>
                <w:b w:val="0"/>
                <w:bCs w:val="0"/>
                <w:color w:val="000000" w:themeColor="text1"/>
                <w:kern w:val="0"/>
                <w14:textFill>
                  <w14:solidFill>
                    <w14:schemeClr w14:val="tx1"/>
                  </w14:solidFill>
                </w14:textFill>
              </w:rPr>
              <w:t>取得注册监理工程师执业资格年限的计算方法：拟任总监注册监理工程师注册执业证书签发日期至投标截止日期为计算时间。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13" w:type="pct"/>
            <w:tcBorders>
              <w:top w:val="single" w:color="auto" w:sz="8" w:space="0"/>
              <w:left w:val="single" w:color="auto" w:sz="8" w:space="0"/>
              <w:bottom w:val="single" w:color="auto" w:sz="8" w:space="0"/>
              <w:right w:val="single" w:color="auto" w:sz="8" w:space="0"/>
            </w:tcBorders>
            <w:vAlign w:val="center"/>
          </w:tcPr>
          <w:p>
            <w:pPr>
              <w:widowControl/>
              <w:spacing w:before="68" w:after="68"/>
              <w:jc w:val="center"/>
              <w:rPr>
                <w:rFonts w:hint="eastAsia" w:ascii="宋体" w:hAnsi="宋体" w:eastAsia="宋体" w:cs="Tahoma"/>
                <w:kern w:val="0"/>
                <w:szCs w:val="21"/>
                <w:lang w:val="en-US" w:eastAsia="zh-CN"/>
              </w:rPr>
            </w:pPr>
            <w:r>
              <w:rPr>
                <w:rFonts w:hint="eastAsia" w:ascii="宋体" w:hAnsi="宋体" w:eastAsia="宋体" w:cs="Tahoma"/>
                <w:kern w:val="0"/>
                <w:szCs w:val="21"/>
                <w:lang w:val="en-US" w:eastAsia="zh-CN"/>
              </w:rPr>
              <w:t>2</w:t>
            </w:r>
          </w:p>
        </w:tc>
        <w:tc>
          <w:tcPr>
            <w:tcW w:w="955" w:type="pct"/>
            <w:tcBorders>
              <w:top w:val="single" w:color="auto" w:sz="8" w:space="0"/>
              <w:left w:val="single" w:color="auto" w:sz="8" w:space="0"/>
              <w:bottom w:val="single" w:color="auto" w:sz="8" w:space="0"/>
              <w:right w:val="single" w:color="auto" w:sz="8" w:space="0"/>
            </w:tcBorders>
            <w:vAlign w:val="center"/>
          </w:tcPr>
          <w:p>
            <w:pPr>
              <w:numPr>
                <w:ilvl w:val="0"/>
                <w:numId w:val="1"/>
              </w:numPr>
              <w:jc w:val="center"/>
              <w:rPr>
                <w:rFonts w:hint="eastAsia" w:ascii="宋体" w:hAnsi="宋体"/>
              </w:rPr>
            </w:pPr>
            <w:r>
              <w:rPr>
                <w:rFonts w:hint="eastAsia" w:ascii="宋体" w:hAnsi="宋体"/>
              </w:rPr>
              <w:t>评标办法（综合评估法）评标办法前附表2.2.4（1）</w:t>
            </w:r>
          </w:p>
          <w:p>
            <w:pPr>
              <w:numPr>
                <w:ilvl w:val="0"/>
                <w:numId w:val="0"/>
              </w:numPr>
              <w:ind w:left="0" w:leftChars="0" w:firstLine="0" w:firstLineChars="0"/>
              <w:jc w:val="both"/>
              <w:rPr>
                <w:rFonts w:hint="eastAsia" w:ascii="Tahoma" w:hAnsi="Tahoma" w:eastAsia="宋体" w:cs="Tahoma"/>
                <w:kern w:val="0"/>
                <w:sz w:val="16"/>
                <w:szCs w:val="16"/>
              </w:rPr>
            </w:pPr>
            <w:r>
              <w:rPr>
                <w:rFonts w:hint="eastAsia" w:ascii="宋体" w:hAnsi="宋体" w:cs="宋体"/>
              </w:rPr>
              <w:t>资信业绩部分（</w:t>
            </w:r>
            <w:r>
              <w:rPr>
                <w:rFonts w:ascii="宋体" w:hAnsi="宋体" w:cs="宋体"/>
              </w:rPr>
              <w:t>50</w:t>
            </w:r>
            <w:r>
              <w:rPr>
                <w:rFonts w:hint="eastAsia" w:ascii="宋体" w:hAnsi="宋体" w:cs="宋体"/>
              </w:rPr>
              <w:t>分）</w:t>
            </w:r>
            <w:r>
              <w:rPr>
                <w:rFonts w:hint="eastAsia" w:ascii="宋体" w:hAnsi="宋体"/>
                <w:lang w:val="en-US" w:eastAsia="zh-CN"/>
              </w:rPr>
              <w:t xml:space="preserve">  </w:t>
            </w:r>
            <w:r>
              <w:rPr>
                <w:rFonts w:hint="eastAsia" w:ascii="宋体" w:hAnsi="宋体"/>
              </w:rPr>
              <w:t>监理人员配备满足程度（13</w:t>
            </w:r>
            <w:r>
              <w:rPr>
                <w:rFonts w:hint="eastAsia" w:ascii="宋体" w:hAnsi="宋体" w:cs="宋体"/>
              </w:rPr>
              <w:t>分</w:t>
            </w:r>
            <w:r>
              <w:rPr>
                <w:rFonts w:hint="eastAsia" w:ascii="宋体" w:hAnsi="宋体"/>
              </w:rPr>
              <w:t>）</w:t>
            </w:r>
            <w:r>
              <w:rPr>
                <w:rFonts w:hint="eastAsia" w:ascii="宋体" w:hAnsi="宋体"/>
                <w:lang w:val="en-US" w:eastAsia="zh-CN"/>
              </w:rPr>
              <w:t xml:space="preserve"> </w:t>
            </w:r>
          </w:p>
        </w:tc>
        <w:tc>
          <w:tcPr>
            <w:tcW w:w="1885" w:type="pct"/>
            <w:tcBorders>
              <w:top w:val="single" w:color="auto" w:sz="8" w:space="0"/>
              <w:left w:val="single" w:color="auto" w:sz="8" w:space="0"/>
              <w:bottom w:val="single" w:color="auto" w:sz="8" w:space="0"/>
              <w:right w:val="single" w:color="auto" w:sz="8" w:space="0"/>
            </w:tcBorders>
            <w:vAlign w:val="center"/>
          </w:tcPr>
          <w:p>
            <w:pPr>
              <w:jc w:val="left"/>
              <w:rPr>
                <w:rFonts w:hAnsi="宋体"/>
                <w:b w:val="0"/>
                <w:bCs w:val="0"/>
                <w:szCs w:val="24"/>
              </w:rPr>
            </w:pPr>
            <w:r>
              <w:rPr>
                <w:rFonts w:hint="eastAsia" w:ascii="宋体" w:hAnsi="宋体" w:cs="宋体"/>
                <w:b w:val="0"/>
                <w:bCs w:val="0"/>
                <w:color w:val="000000" w:themeColor="text1"/>
                <w14:textFill>
                  <w14:solidFill>
                    <w14:schemeClr w14:val="tx1"/>
                  </w14:solidFill>
                </w14:textFill>
              </w:rPr>
              <w:t>注：</w:t>
            </w:r>
          </w:p>
          <w:p>
            <w:pPr>
              <w:spacing w:beforeLines="50" w:afterLines="50"/>
              <w:ind w:left="305" w:leftChars="-5" w:hanging="315" w:hangingChars="150"/>
              <w:rPr>
                <w:rFonts w:ascii="宋体" w:hAnsi="宋体" w:eastAsia="宋体" w:cs="Tahoma"/>
                <w:b w:val="0"/>
                <w:bCs w:val="0"/>
                <w:kern w:val="0"/>
                <w:szCs w:val="21"/>
              </w:rPr>
            </w:pPr>
            <w:r>
              <w:rPr>
                <w:rFonts w:hint="eastAsia" w:ascii="宋体" w:hAnsi="宋体" w:cs="宋体"/>
                <w:b w:val="0"/>
                <w:bCs w:val="0"/>
                <w:color w:val="000000" w:themeColor="text1"/>
                <w14:textFill>
                  <w14:solidFill>
                    <w14:schemeClr w14:val="tx1"/>
                  </w14:solidFill>
                </w14:textFill>
              </w:rPr>
              <w:t>（3）</w:t>
            </w:r>
            <w:r>
              <w:rPr>
                <w:rFonts w:hint="eastAsia" w:hAnsi="宋体"/>
                <w:b w:val="0"/>
                <w:bCs w:val="0"/>
                <w:szCs w:val="24"/>
              </w:rPr>
              <w:t>人员要求详见《项目监理人员组成配备要求表》。配备人员均须为投标单位在职人员，投标单位须提供相关人员社保缴费证明；如系退休返聘人员则须提供退休证及投标单位出具的返聘证明。</w:t>
            </w:r>
          </w:p>
        </w:tc>
        <w:tc>
          <w:tcPr>
            <w:tcW w:w="1945" w:type="pct"/>
            <w:tcBorders>
              <w:top w:val="single" w:color="auto" w:sz="8" w:space="0"/>
              <w:left w:val="single" w:color="auto" w:sz="8" w:space="0"/>
              <w:bottom w:val="single" w:color="auto" w:sz="8" w:space="0"/>
              <w:right w:val="single" w:color="auto" w:sz="8" w:space="0"/>
            </w:tcBorders>
          </w:tcPr>
          <w:p>
            <w:pPr>
              <w:jc w:val="left"/>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注：</w:t>
            </w:r>
          </w:p>
          <w:p>
            <w:pPr>
              <w:jc w:val="left"/>
              <w:rPr>
                <w:rFonts w:hint="eastAsia"/>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3）人员要求详见《项目监理人员组成配备要求表》。配备人员均须为投标单位在职人员，投标单位须提供相关人员2022年10月社保缴纳证明原件清晰彩色扫描件或网上查询打印件（社保缴纳期限包含新型冠状病毒疫情期的，若当地政府部门允许企业在疫情期间缓缴社会保险费且投标人未缴纳的，投标人可提供当地政府部门允许缓缴社保的相关文件作为缴纳社保的证明。确定中标人后，招标人将采取有效措施，核实后续中标人管理团队的社保补缴情况。）；如系退休返聘人员则须提供退休证及投标单位出具的返聘证明。</w:t>
            </w:r>
          </w:p>
          <w:p>
            <w:pPr>
              <w:jc w:val="left"/>
              <w:rPr>
                <w:rFonts w:hint="eastAsia" w:eastAsia="宋体"/>
                <w:b w:val="0"/>
                <w:bCs w:val="0"/>
                <w:color w:val="000000" w:themeColor="text1"/>
                <w:lang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4）国家级奖项是指：鲁班奖、中国土木工程詹天佑奖、国家优质工程金奖、国家优质工程奖、建设工程项目施工安全生产标准化建设工地（国家AAA级安全文明标准化工地）等；省级奖、市级奖是指建筑工程质量或安全奖。同一工程获得多个奖项的，按最高奖项计取，不重复计算。需提供获奖证书或获奖通报证明材料，及项目竣工验收文件以证明获奖项目人员系拟派本项目组成人员，如竣工验收文件未明确获奖人员情况，需提供获奖项目的招标人盖章的证明材料。</w:t>
            </w:r>
          </w:p>
        </w:tc>
      </w:tr>
    </w:tbl>
    <w:p>
      <w:pPr>
        <w:widowControl/>
        <w:numPr>
          <w:ilvl w:val="0"/>
          <w:numId w:val="2"/>
        </w:numPr>
        <w:spacing w:line="400" w:lineRule="exact"/>
        <w:ind w:firstLine="424" w:firstLineChars="202"/>
        <w:jc w:val="left"/>
        <w:rPr>
          <w:rFonts w:hint="eastAsia" w:ascii="宋体" w:hAnsi="宋体" w:eastAsia="宋体" w:cs="宋体"/>
          <w:kern w:val="0"/>
          <w:szCs w:val="21"/>
        </w:rPr>
      </w:pPr>
      <w:r>
        <w:rPr>
          <w:rFonts w:hint="eastAsia" w:ascii="宋体" w:hAnsi="宋体" w:eastAsia="宋体" w:cs="宋体"/>
          <w:kern w:val="0"/>
          <w:szCs w:val="21"/>
        </w:rPr>
        <w:t>本项目原定的投标登记时间、</w:t>
      </w:r>
      <w:r>
        <w:rPr>
          <w:rFonts w:hint="eastAsia" w:ascii="宋体" w:hAnsi="宋体" w:eastAsia="宋体" w:cs="宋体"/>
          <w:kern w:val="0"/>
          <w:szCs w:val="21"/>
          <w:lang w:val="en-US" w:eastAsia="zh-CN"/>
        </w:rPr>
        <w:t>答疑</w:t>
      </w:r>
      <w:r>
        <w:rPr>
          <w:rFonts w:hint="eastAsia" w:ascii="宋体" w:hAnsi="宋体" w:eastAsia="宋体" w:cs="宋体"/>
          <w:kern w:val="0"/>
          <w:szCs w:val="21"/>
        </w:rPr>
        <w:t>时间、递交投标文件截止时间、投标文件解密时间、开标时间、递交投标文件备用光盘时间及场地安排现进行调整，具体交易活动日程、场地安排详见广州公共资源交易中心网站“建设工程→项目查询（日程安排、答疑纪要）”栏目，输入项目编号或项目名称查询最新信息。</w:t>
      </w:r>
    </w:p>
    <w:p>
      <w:pPr>
        <w:widowControl/>
        <w:numPr>
          <w:ilvl w:val="0"/>
          <w:numId w:val="2"/>
        </w:numPr>
        <w:spacing w:line="400" w:lineRule="exact"/>
        <w:ind w:firstLine="424" w:firstLineChars="202"/>
        <w:jc w:val="left"/>
        <w:rPr>
          <w:rFonts w:hint="eastAsia" w:ascii="宋体" w:hAnsi="宋体" w:eastAsia="宋体" w:cs="宋体"/>
          <w:kern w:val="0"/>
          <w:szCs w:val="21"/>
        </w:rPr>
      </w:pPr>
      <w:r>
        <w:rPr>
          <w:rFonts w:hint="eastAsia" w:ascii="宋体" w:hAnsi="宋体" w:eastAsia="宋体" w:cs="宋体"/>
          <w:kern w:val="0"/>
          <w:szCs w:val="21"/>
        </w:rPr>
        <w:t>原招标文件中其他内容不变，与本补充公告内容存在矛盾的，以本补充公告内容为准。</w:t>
      </w:r>
    </w:p>
    <w:p>
      <w:pPr>
        <w:widowControl/>
        <w:shd w:val="clear" w:color="auto" w:fill="FFFFFF"/>
        <w:spacing w:line="360" w:lineRule="auto"/>
        <w:jc w:val="right"/>
        <w:rPr>
          <w:rFonts w:ascii="宋体" w:hAnsi="宋体" w:eastAsia="宋体" w:cs="宋体"/>
          <w:b w:val="0"/>
          <w:bCs w:val="0"/>
          <w:color w:val="auto"/>
          <w:kern w:val="0"/>
          <w:sz w:val="21"/>
          <w:szCs w:val="21"/>
          <w:highlight w:val="none"/>
        </w:rPr>
      </w:pPr>
    </w:p>
    <w:p>
      <w:pPr>
        <w:widowControl/>
        <w:shd w:val="clear" w:color="auto" w:fill="FFFFFF"/>
        <w:spacing w:line="360" w:lineRule="auto"/>
        <w:jc w:val="right"/>
        <w:rPr>
          <w:rFonts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招标人：广东省代建项目管理局（盖章）</w:t>
      </w:r>
    </w:p>
    <w:p>
      <w:pPr>
        <w:widowControl/>
        <w:shd w:val="clear" w:color="auto" w:fill="FFFFFF"/>
        <w:spacing w:line="360" w:lineRule="auto"/>
        <w:jc w:val="right"/>
        <w:rPr>
          <w:rFonts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招标代理单位：</w:t>
      </w:r>
      <w:r>
        <w:rPr>
          <w:rFonts w:hint="eastAsia" w:ascii="宋体" w:hAnsi="宋体" w:eastAsia="宋体" w:cs="宋体"/>
          <w:b w:val="0"/>
          <w:bCs w:val="0"/>
          <w:color w:val="auto"/>
          <w:kern w:val="0"/>
          <w:sz w:val="21"/>
          <w:szCs w:val="21"/>
          <w:highlight w:val="none"/>
          <w:lang w:val="en-US" w:eastAsia="zh-CN"/>
        </w:rPr>
        <w:t>广东省建筑工程监理有限公司</w:t>
      </w:r>
      <w:r>
        <w:rPr>
          <w:rFonts w:hint="eastAsia" w:ascii="宋体" w:hAnsi="宋体" w:eastAsia="宋体" w:cs="宋体"/>
          <w:b w:val="0"/>
          <w:bCs w:val="0"/>
          <w:color w:val="auto"/>
          <w:kern w:val="0"/>
          <w:sz w:val="21"/>
          <w:szCs w:val="21"/>
          <w:highlight w:val="none"/>
        </w:rPr>
        <w:t>（盖章）</w:t>
      </w:r>
    </w:p>
    <w:p>
      <w:pPr>
        <w:widowControl/>
        <w:shd w:val="clear" w:color="auto" w:fill="FFFFFF"/>
        <w:spacing w:line="360" w:lineRule="auto"/>
        <w:jc w:val="right"/>
        <w:rPr>
          <w:rFonts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2022年</w:t>
      </w:r>
      <w:r>
        <w:rPr>
          <w:rFonts w:hint="eastAsia" w:ascii="宋体" w:hAnsi="宋体" w:eastAsia="宋体" w:cs="宋体"/>
          <w:b w:val="0"/>
          <w:bCs w:val="0"/>
          <w:color w:val="auto"/>
          <w:kern w:val="0"/>
          <w:sz w:val="21"/>
          <w:szCs w:val="21"/>
          <w:highlight w:val="none"/>
          <w:lang w:val="en-US" w:eastAsia="zh-CN"/>
        </w:rPr>
        <w:t>11</w:t>
      </w:r>
      <w:r>
        <w:rPr>
          <w:rFonts w:hint="eastAsia" w:ascii="宋体" w:hAnsi="宋体" w:eastAsia="宋体" w:cs="宋体"/>
          <w:b w:val="0"/>
          <w:bCs w:val="0"/>
          <w:color w:val="auto"/>
          <w:kern w:val="0"/>
          <w:sz w:val="21"/>
          <w:szCs w:val="21"/>
          <w:highlight w:val="none"/>
        </w:rPr>
        <w:t>月</w:t>
      </w:r>
      <w:r>
        <w:rPr>
          <w:rFonts w:hint="eastAsia" w:ascii="宋体" w:hAnsi="宋体" w:eastAsia="宋体" w:cs="宋体"/>
          <w:b w:val="0"/>
          <w:bCs w:val="0"/>
          <w:color w:val="auto"/>
          <w:kern w:val="0"/>
          <w:sz w:val="21"/>
          <w:szCs w:val="21"/>
          <w:highlight w:val="none"/>
          <w:lang w:val="en-US" w:eastAsia="zh-CN"/>
        </w:rPr>
        <w:t>24</w:t>
      </w:r>
      <w:bookmarkStart w:id="1" w:name="_GoBack"/>
      <w:bookmarkEnd w:id="1"/>
      <w:r>
        <w:rPr>
          <w:rFonts w:hint="eastAsia" w:ascii="宋体" w:hAnsi="宋体" w:eastAsia="宋体" w:cs="宋体"/>
          <w:b w:val="0"/>
          <w:bCs w:val="0"/>
          <w:color w:val="auto"/>
          <w:kern w:val="0"/>
          <w:sz w:val="21"/>
          <w:szCs w:val="21"/>
          <w:highlight w:val="none"/>
        </w:rPr>
        <w:t>日</w:t>
      </w:r>
    </w:p>
    <w:p>
      <w:pPr>
        <w:widowControl/>
        <w:spacing w:before="100" w:beforeAutospacing="1" w:after="100" w:afterAutospacing="1"/>
        <w:jc w:val="right"/>
      </w:pPr>
      <w:r>
        <w:rPr>
          <w:rFonts w:ascii="宋体" w:hAnsi="宋体" w:eastAsia="宋体" w:cs="宋体"/>
          <w:kern w:val="0"/>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Calisto MT">
    <w:altName w:val="Segoe Print"/>
    <w:panose1 w:val="02040603050505030304"/>
    <w:charset w:val="00"/>
    <w:family w:val="roman"/>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E6B232"/>
    <w:multiLevelType w:val="singleLevel"/>
    <w:tmpl w:val="80E6B232"/>
    <w:lvl w:ilvl="0" w:tentative="0">
      <w:start w:val="2"/>
      <w:numFmt w:val="chineseCounting"/>
      <w:suff w:val="nothing"/>
      <w:lvlText w:val="%1、"/>
      <w:lvlJc w:val="left"/>
      <w:rPr>
        <w:rFonts w:hint="eastAsia"/>
      </w:rPr>
    </w:lvl>
  </w:abstractNum>
  <w:abstractNum w:abstractNumId="1">
    <w:nsid w:val="26A94D6A"/>
    <w:multiLevelType w:val="singleLevel"/>
    <w:tmpl w:val="26A94D6A"/>
    <w:lvl w:ilvl="0" w:tentative="0">
      <w:start w:val="3"/>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1OWQ1OGE5YzUwNjJmNzdlYTg3ZTJiMzliYjg3ZTAifQ=="/>
  </w:docVars>
  <w:rsids>
    <w:rsidRoot w:val="00F40106"/>
    <w:rsid w:val="000F4587"/>
    <w:rsid w:val="00172E78"/>
    <w:rsid w:val="001A592C"/>
    <w:rsid w:val="001F0A60"/>
    <w:rsid w:val="002410F1"/>
    <w:rsid w:val="005D529C"/>
    <w:rsid w:val="00855B92"/>
    <w:rsid w:val="00870292"/>
    <w:rsid w:val="009D786F"/>
    <w:rsid w:val="00EF02A4"/>
    <w:rsid w:val="00F40106"/>
    <w:rsid w:val="014132E3"/>
    <w:rsid w:val="01D46B46"/>
    <w:rsid w:val="02A824AD"/>
    <w:rsid w:val="02A97FD3"/>
    <w:rsid w:val="02F77001"/>
    <w:rsid w:val="06DF23A3"/>
    <w:rsid w:val="07267E44"/>
    <w:rsid w:val="081015D6"/>
    <w:rsid w:val="08DD4613"/>
    <w:rsid w:val="09E71B0D"/>
    <w:rsid w:val="0A382368"/>
    <w:rsid w:val="0AA95014"/>
    <w:rsid w:val="0C4D7C21"/>
    <w:rsid w:val="0CE642FD"/>
    <w:rsid w:val="0DE971E5"/>
    <w:rsid w:val="0E572FD9"/>
    <w:rsid w:val="0EB14497"/>
    <w:rsid w:val="11EB4164"/>
    <w:rsid w:val="13C44C6D"/>
    <w:rsid w:val="14777F31"/>
    <w:rsid w:val="14E31122"/>
    <w:rsid w:val="1525173B"/>
    <w:rsid w:val="152534E9"/>
    <w:rsid w:val="16225C7A"/>
    <w:rsid w:val="16465E0D"/>
    <w:rsid w:val="16C60CFC"/>
    <w:rsid w:val="17CC78C9"/>
    <w:rsid w:val="182201B4"/>
    <w:rsid w:val="18D314AE"/>
    <w:rsid w:val="198C7FDB"/>
    <w:rsid w:val="1B176947"/>
    <w:rsid w:val="1C2A481A"/>
    <w:rsid w:val="1D807E56"/>
    <w:rsid w:val="1E537319"/>
    <w:rsid w:val="1E6A01BF"/>
    <w:rsid w:val="1E7F1620"/>
    <w:rsid w:val="207215AC"/>
    <w:rsid w:val="20CC33B3"/>
    <w:rsid w:val="22F820F1"/>
    <w:rsid w:val="241035B6"/>
    <w:rsid w:val="2423778D"/>
    <w:rsid w:val="248144B4"/>
    <w:rsid w:val="24877D1C"/>
    <w:rsid w:val="24BB5C18"/>
    <w:rsid w:val="255676EF"/>
    <w:rsid w:val="270E64D3"/>
    <w:rsid w:val="28550131"/>
    <w:rsid w:val="288B3B53"/>
    <w:rsid w:val="28AC5FA3"/>
    <w:rsid w:val="28CD1A76"/>
    <w:rsid w:val="295B3526"/>
    <w:rsid w:val="297905B2"/>
    <w:rsid w:val="29C95E12"/>
    <w:rsid w:val="29E82AA3"/>
    <w:rsid w:val="2A293624"/>
    <w:rsid w:val="2AF7727E"/>
    <w:rsid w:val="2CB05936"/>
    <w:rsid w:val="2E4B1DBB"/>
    <w:rsid w:val="2EF02962"/>
    <w:rsid w:val="2F9E23BE"/>
    <w:rsid w:val="2FA06136"/>
    <w:rsid w:val="2FDB003E"/>
    <w:rsid w:val="31717D8A"/>
    <w:rsid w:val="31AF08B2"/>
    <w:rsid w:val="31EC5663"/>
    <w:rsid w:val="320C1861"/>
    <w:rsid w:val="32EE540A"/>
    <w:rsid w:val="33585FB2"/>
    <w:rsid w:val="337F42B4"/>
    <w:rsid w:val="34AC732B"/>
    <w:rsid w:val="351D3D85"/>
    <w:rsid w:val="352B0FF7"/>
    <w:rsid w:val="35470E02"/>
    <w:rsid w:val="35A973C7"/>
    <w:rsid w:val="37EF1A09"/>
    <w:rsid w:val="3A775CE5"/>
    <w:rsid w:val="3AFE1F63"/>
    <w:rsid w:val="3BB014AF"/>
    <w:rsid w:val="3C17152E"/>
    <w:rsid w:val="3CF4186F"/>
    <w:rsid w:val="3E067AAC"/>
    <w:rsid w:val="3E8A33A6"/>
    <w:rsid w:val="3FC574F3"/>
    <w:rsid w:val="40BE466E"/>
    <w:rsid w:val="43560B8E"/>
    <w:rsid w:val="43D85A47"/>
    <w:rsid w:val="440B5E1C"/>
    <w:rsid w:val="450A60D4"/>
    <w:rsid w:val="476D46F8"/>
    <w:rsid w:val="48440AC9"/>
    <w:rsid w:val="48561630"/>
    <w:rsid w:val="48B620CF"/>
    <w:rsid w:val="4A800BE6"/>
    <w:rsid w:val="4B386DCB"/>
    <w:rsid w:val="4BC6087B"/>
    <w:rsid w:val="4D5D520F"/>
    <w:rsid w:val="4F2C4E99"/>
    <w:rsid w:val="50355FCF"/>
    <w:rsid w:val="508605D9"/>
    <w:rsid w:val="511B3417"/>
    <w:rsid w:val="528154FB"/>
    <w:rsid w:val="52DE5273"/>
    <w:rsid w:val="52E4399A"/>
    <w:rsid w:val="531B5950"/>
    <w:rsid w:val="532E5683"/>
    <w:rsid w:val="53346A12"/>
    <w:rsid w:val="54232D0E"/>
    <w:rsid w:val="58803ECD"/>
    <w:rsid w:val="58906498"/>
    <w:rsid w:val="59934492"/>
    <w:rsid w:val="5DAA7FFC"/>
    <w:rsid w:val="5E907E2E"/>
    <w:rsid w:val="5F033585"/>
    <w:rsid w:val="5FB46F10"/>
    <w:rsid w:val="60732927"/>
    <w:rsid w:val="61B00780"/>
    <w:rsid w:val="61FA4982"/>
    <w:rsid w:val="62252F18"/>
    <w:rsid w:val="63576530"/>
    <w:rsid w:val="643C5726"/>
    <w:rsid w:val="64463BFA"/>
    <w:rsid w:val="64A26CA5"/>
    <w:rsid w:val="64BA0EEC"/>
    <w:rsid w:val="65384140"/>
    <w:rsid w:val="65960E66"/>
    <w:rsid w:val="65B512EC"/>
    <w:rsid w:val="67902011"/>
    <w:rsid w:val="68E72104"/>
    <w:rsid w:val="68F27821"/>
    <w:rsid w:val="6A2E5B11"/>
    <w:rsid w:val="6A7A2B04"/>
    <w:rsid w:val="6B855C05"/>
    <w:rsid w:val="6C32134F"/>
    <w:rsid w:val="6C830396"/>
    <w:rsid w:val="6C940230"/>
    <w:rsid w:val="6D567859"/>
    <w:rsid w:val="6F655B31"/>
    <w:rsid w:val="7077526E"/>
    <w:rsid w:val="719C6780"/>
    <w:rsid w:val="7261262F"/>
    <w:rsid w:val="747D1B6F"/>
    <w:rsid w:val="75355FA6"/>
    <w:rsid w:val="756C2E11"/>
    <w:rsid w:val="75AB5ADA"/>
    <w:rsid w:val="77811976"/>
    <w:rsid w:val="77EB5041"/>
    <w:rsid w:val="79786DA9"/>
    <w:rsid w:val="7BC2430B"/>
    <w:rsid w:val="7BFC5A6F"/>
    <w:rsid w:val="7C417926"/>
    <w:rsid w:val="7CF36E72"/>
    <w:rsid w:val="7DF84014"/>
    <w:rsid w:val="7F6C2F0C"/>
    <w:rsid w:val="7F8860CF"/>
    <w:rsid w:val="7FAB3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35"/>
    <w:qFormat/>
    <w:uiPriority w:val="0"/>
    <w:pPr>
      <w:keepNext/>
      <w:keepLines/>
      <w:spacing w:line="360" w:lineRule="auto"/>
      <w:jc w:val="center"/>
      <w:outlineLvl w:val="1"/>
    </w:pPr>
    <w:rPr>
      <w:rFonts w:ascii="宋体" w:hAnsi="宋体" w:eastAsia="宋体" w:cs="Times New Roman"/>
      <w:b/>
      <w:kern w:val="0"/>
      <w:sz w:val="32"/>
      <w:szCs w:val="24"/>
    </w:rPr>
  </w:style>
  <w:style w:type="paragraph" w:styleId="4">
    <w:name w:val="heading 3"/>
    <w:basedOn w:val="1"/>
    <w:next w:val="1"/>
    <w:link w:val="34"/>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keepNext w:val="0"/>
      <w:keepLines w:val="0"/>
      <w:widowControl w:val="0"/>
      <w:suppressLineNumbers w:val="0"/>
      <w:adjustRightInd w:val="0"/>
      <w:spacing w:before="0" w:beforeAutospacing="0" w:after="0" w:afterAutospacing="0" w:line="360" w:lineRule="atLeast"/>
      <w:ind w:left="0" w:right="0" w:firstLine="420"/>
      <w:jc w:val="both"/>
    </w:pPr>
    <w:rPr>
      <w:rFonts w:hint="default" w:ascii="Times New Roman" w:hAnsi="Times New Roman" w:eastAsia="宋体" w:cs="Times New Roman"/>
      <w:kern w:val="2"/>
      <w:sz w:val="21"/>
      <w:szCs w:val="20"/>
      <w:lang w:val="en-US" w:eastAsia="zh-CN" w:bidi="ar"/>
    </w:rPr>
  </w:style>
  <w:style w:type="paragraph" w:styleId="5">
    <w:name w:val="Body Text"/>
    <w:basedOn w:val="1"/>
    <w:link w:val="28"/>
    <w:unhideWhenUsed/>
    <w:qFormat/>
    <w:uiPriority w:val="99"/>
    <w:pPr>
      <w:widowControl/>
      <w:spacing w:before="68" w:after="68"/>
      <w:jc w:val="left"/>
    </w:pPr>
    <w:rPr>
      <w:rFonts w:ascii="宋体" w:hAnsi="宋体" w:eastAsia="宋体" w:cs="宋体"/>
      <w:kern w:val="0"/>
      <w:sz w:val="24"/>
      <w:szCs w:val="24"/>
    </w:rPr>
  </w:style>
  <w:style w:type="paragraph" w:styleId="6">
    <w:name w:val="Body Text Indent"/>
    <w:basedOn w:val="1"/>
    <w:next w:val="7"/>
    <w:link w:val="30"/>
    <w:semiHidden/>
    <w:unhideWhenUsed/>
    <w:qFormat/>
    <w:uiPriority w:val="99"/>
    <w:pPr>
      <w:widowControl/>
      <w:spacing w:after="120"/>
      <w:ind w:left="420" w:leftChars="200"/>
      <w:jc w:val="left"/>
    </w:pPr>
    <w:rPr>
      <w:rFonts w:ascii="宋体" w:hAnsi="宋体" w:eastAsia="宋体" w:cs="宋体"/>
      <w:kern w:val="0"/>
      <w:sz w:val="24"/>
      <w:szCs w:val="24"/>
    </w:rPr>
  </w:style>
  <w:style w:type="paragraph" w:styleId="7">
    <w:name w:val="envelope return"/>
    <w:basedOn w:val="1"/>
    <w:qFormat/>
    <w:uiPriority w:val="0"/>
    <w:pPr>
      <w:snapToGrid w:val="0"/>
    </w:pPr>
    <w:rPr>
      <w:rFonts w:ascii="Arial" w:hAnsi="Arial" w:eastAsia="宋体" w:cs="Times New Roman"/>
      <w:szCs w:val="24"/>
      <w:lang w:bidi="ar-SA"/>
    </w:rPr>
  </w:style>
  <w:style w:type="paragraph" w:styleId="8">
    <w:name w:val="Plain Text"/>
    <w:basedOn w:val="1"/>
    <w:qFormat/>
    <w:uiPriority w:val="0"/>
    <w:rPr>
      <w:rFonts w:ascii="宋体" w:hAnsi="Courier New"/>
      <w:kern w:val="0"/>
      <w:sz w:val="20"/>
      <w:szCs w:val="20"/>
    </w:rPr>
  </w:style>
  <w:style w:type="paragraph" w:styleId="9">
    <w:name w:val="footer"/>
    <w:basedOn w:val="1"/>
    <w:link w:val="23"/>
    <w:semiHidden/>
    <w:unhideWhenUsed/>
    <w:qFormat/>
    <w:uiPriority w:val="99"/>
    <w:pPr>
      <w:tabs>
        <w:tab w:val="center" w:pos="4153"/>
        <w:tab w:val="right" w:pos="8306"/>
      </w:tabs>
      <w:snapToGrid w:val="0"/>
      <w:jc w:val="left"/>
    </w:pPr>
    <w:rPr>
      <w:sz w:val="18"/>
      <w:szCs w:val="18"/>
    </w:rPr>
  </w:style>
  <w:style w:type="paragraph" w:styleId="10">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widowControl/>
      <w:spacing w:before="68" w:after="68"/>
      <w:jc w:val="left"/>
    </w:pPr>
    <w:rPr>
      <w:rFonts w:ascii="宋体" w:hAnsi="宋体" w:eastAsia="宋体" w:cs="宋体"/>
      <w:kern w:val="0"/>
      <w:sz w:val="24"/>
      <w:szCs w:val="24"/>
    </w:rPr>
  </w:style>
  <w:style w:type="paragraph" w:styleId="12">
    <w:name w:val="Body Text First Indent"/>
    <w:basedOn w:val="5"/>
    <w:link w:val="29"/>
    <w:semiHidden/>
    <w:unhideWhenUsed/>
    <w:qFormat/>
    <w:uiPriority w:val="99"/>
    <w:pPr>
      <w:widowControl/>
      <w:spacing w:before="68" w:after="68"/>
      <w:jc w:val="left"/>
    </w:pPr>
    <w:rPr>
      <w:rFonts w:ascii="宋体" w:hAnsi="宋体" w:eastAsia="宋体" w:cs="宋体"/>
      <w:kern w:val="0"/>
      <w:sz w:val="24"/>
      <w:szCs w:val="24"/>
    </w:rPr>
  </w:style>
  <w:style w:type="paragraph" w:styleId="13">
    <w:name w:val="Body Text First Indent 2"/>
    <w:basedOn w:val="6"/>
    <w:link w:val="31"/>
    <w:unhideWhenUsed/>
    <w:qFormat/>
    <w:uiPriority w:val="99"/>
    <w:pPr>
      <w:widowControl/>
      <w:spacing w:before="68" w:after="68"/>
      <w:jc w:val="left"/>
    </w:pPr>
    <w:rPr>
      <w:rFonts w:ascii="宋体" w:hAnsi="宋体" w:eastAsia="宋体" w:cs="宋体"/>
      <w:kern w:val="0"/>
      <w:sz w:val="24"/>
      <w:szCs w:val="24"/>
    </w:rPr>
  </w:style>
  <w:style w:type="character" w:styleId="16">
    <w:name w:val="Strong"/>
    <w:basedOn w:val="15"/>
    <w:qFormat/>
    <w:uiPriority w:val="22"/>
    <w:rPr>
      <w:b/>
    </w:rPr>
  </w:style>
  <w:style w:type="character" w:styleId="17">
    <w:name w:val="FollowedHyperlink"/>
    <w:basedOn w:val="15"/>
    <w:semiHidden/>
    <w:unhideWhenUsed/>
    <w:qFormat/>
    <w:uiPriority w:val="99"/>
    <w:rPr>
      <w:rFonts w:hint="eastAsia" w:ascii="微软雅黑" w:hAnsi="微软雅黑" w:eastAsia="微软雅黑" w:cs="微软雅黑"/>
      <w:color w:val="337AB7"/>
      <w:u w:val="none"/>
    </w:rPr>
  </w:style>
  <w:style w:type="character" w:styleId="18">
    <w:name w:val="HTML Definition"/>
    <w:basedOn w:val="15"/>
    <w:semiHidden/>
    <w:unhideWhenUsed/>
    <w:qFormat/>
    <w:uiPriority w:val="99"/>
    <w:rPr>
      <w:i/>
    </w:rPr>
  </w:style>
  <w:style w:type="character" w:styleId="19">
    <w:name w:val="HTML Code"/>
    <w:basedOn w:val="15"/>
    <w:semiHidden/>
    <w:unhideWhenUsed/>
    <w:qFormat/>
    <w:uiPriority w:val="99"/>
    <w:rPr>
      <w:rFonts w:hint="default" w:ascii="Consolas" w:hAnsi="Consolas" w:eastAsia="Consolas" w:cs="Consolas"/>
      <w:color w:val="C7254E"/>
      <w:sz w:val="21"/>
      <w:szCs w:val="21"/>
      <w:bdr w:val="single" w:color="E1E1E1" w:sz="6" w:space="0"/>
      <w:shd w:val="clear" w:fill="F9F2F4"/>
    </w:rPr>
  </w:style>
  <w:style w:type="character" w:styleId="20">
    <w:name w:val="HTML Keyboard"/>
    <w:basedOn w:val="15"/>
    <w:semiHidden/>
    <w:unhideWhenUsed/>
    <w:qFormat/>
    <w:uiPriority w:val="99"/>
    <w:rPr>
      <w:rFonts w:ascii="Consolas" w:hAnsi="Consolas" w:eastAsia="Consolas" w:cs="Consolas"/>
      <w:color w:val="FFFFFF"/>
      <w:sz w:val="21"/>
      <w:szCs w:val="21"/>
      <w:shd w:val="clear" w:fill="333333"/>
    </w:rPr>
  </w:style>
  <w:style w:type="character" w:styleId="21">
    <w:name w:val="HTML Sample"/>
    <w:basedOn w:val="15"/>
    <w:semiHidden/>
    <w:unhideWhenUsed/>
    <w:qFormat/>
    <w:uiPriority w:val="99"/>
    <w:rPr>
      <w:rFonts w:hint="default" w:ascii="Consolas" w:hAnsi="Consolas" w:eastAsia="Consolas" w:cs="Consolas"/>
      <w:sz w:val="21"/>
      <w:szCs w:val="21"/>
    </w:rPr>
  </w:style>
  <w:style w:type="character" w:customStyle="1" w:styleId="22">
    <w:name w:val="页眉 Char"/>
    <w:basedOn w:val="15"/>
    <w:link w:val="10"/>
    <w:semiHidden/>
    <w:qFormat/>
    <w:uiPriority w:val="99"/>
    <w:rPr>
      <w:sz w:val="18"/>
      <w:szCs w:val="18"/>
    </w:rPr>
  </w:style>
  <w:style w:type="character" w:customStyle="1" w:styleId="23">
    <w:name w:val="页脚 Char"/>
    <w:basedOn w:val="15"/>
    <w:link w:val="9"/>
    <w:semiHidden/>
    <w:qFormat/>
    <w:uiPriority w:val="99"/>
    <w:rPr>
      <w:sz w:val="18"/>
      <w:szCs w:val="18"/>
    </w:rPr>
  </w:style>
  <w:style w:type="paragraph" w:customStyle="1" w:styleId="24">
    <w:name w:val="ke-script"/>
    <w:basedOn w:val="1"/>
    <w:qFormat/>
    <w:uiPriority w:val="0"/>
    <w:pPr>
      <w:widowControl/>
      <w:spacing w:before="68" w:after="68"/>
      <w:jc w:val="left"/>
    </w:pPr>
    <w:rPr>
      <w:rFonts w:ascii="宋体" w:hAnsi="宋体" w:eastAsia="宋体" w:cs="宋体"/>
      <w:vanish/>
      <w:kern w:val="0"/>
      <w:sz w:val="2"/>
      <w:szCs w:val="2"/>
    </w:rPr>
  </w:style>
  <w:style w:type="paragraph" w:customStyle="1" w:styleId="25">
    <w:name w:val="ke-noscript"/>
    <w:basedOn w:val="1"/>
    <w:qFormat/>
    <w:uiPriority w:val="0"/>
    <w:pPr>
      <w:widowControl/>
      <w:spacing w:before="68" w:after="68"/>
      <w:jc w:val="left"/>
    </w:pPr>
    <w:rPr>
      <w:rFonts w:ascii="宋体" w:hAnsi="宋体" w:eastAsia="宋体" w:cs="宋体"/>
      <w:vanish/>
      <w:kern w:val="0"/>
      <w:sz w:val="2"/>
      <w:szCs w:val="2"/>
    </w:rPr>
  </w:style>
  <w:style w:type="paragraph" w:customStyle="1" w:styleId="26">
    <w:name w:val="ke-display-none"/>
    <w:basedOn w:val="1"/>
    <w:qFormat/>
    <w:uiPriority w:val="0"/>
    <w:pPr>
      <w:widowControl/>
      <w:spacing w:before="68" w:after="68"/>
      <w:jc w:val="left"/>
    </w:pPr>
    <w:rPr>
      <w:rFonts w:ascii="宋体" w:hAnsi="宋体" w:eastAsia="宋体" w:cs="宋体"/>
      <w:vanish/>
      <w:kern w:val="0"/>
      <w:sz w:val="2"/>
      <w:szCs w:val="2"/>
    </w:rPr>
  </w:style>
  <w:style w:type="paragraph" w:customStyle="1" w:styleId="27">
    <w:name w:val="ke-pagebreak"/>
    <w:basedOn w:val="1"/>
    <w:qFormat/>
    <w:uiPriority w:val="0"/>
    <w:pPr>
      <w:widowControl/>
      <w:pBdr>
        <w:top w:val="dotted" w:color="AAAAAA" w:sz="6" w:space="0"/>
        <w:left w:val="dotted" w:color="AAAAAA" w:sz="6" w:space="0"/>
        <w:bottom w:val="dotted" w:color="AAAAAA" w:sz="6" w:space="0"/>
        <w:right w:val="dotted" w:color="AAAAAA" w:sz="6" w:space="0"/>
      </w:pBdr>
      <w:spacing w:before="68" w:after="68"/>
      <w:jc w:val="left"/>
    </w:pPr>
    <w:rPr>
      <w:rFonts w:ascii="宋体" w:hAnsi="宋体" w:eastAsia="宋体" w:cs="宋体"/>
      <w:kern w:val="0"/>
      <w:sz w:val="2"/>
      <w:szCs w:val="2"/>
    </w:rPr>
  </w:style>
  <w:style w:type="character" w:customStyle="1" w:styleId="28">
    <w:name w:val="正文文本 Char"/>
    <w:basedOn w:val="15"/>
    <w:link w:val="5"/>
    <w:qFormat/>
    <w:uiPriority w:val="99"/>
    <w:rPr>
      <w:rFonts w:ascii="宋体" w:hAnsi="宋体" w:eastAsia="宋体" w:cs="宋体"/>
      <w:kern w:val="0"/>
      <w:sz w:val="24"/>
      <w:szCs w:val="24"/>
    </w:rPr>
  </w:style>
  <w:style w:type="character" w:customStyle="1" w:styleId="29">
    <w:name w:val="正文首行缩进 Char"/>
    <w:basedOn w:val="28"/>
    <w:link w:val="12"/>
    <w:semiHidden/>
    <w:qFormat/>
    <w:uiPriority w:val="99"/>
  </w:style>
  <w:style w:type="character" w:customStyle="1" w:styleId="30">
    <w:name w:val="正文文本缩进 Char"/>
    <w:basedOn w:val="15"/>
    <w:link w:val="6"/>
    <w:semiHidden/>
    <w:qFormat/>
    <w:uiPriority w:val="99"/>
    <w:rPr>
      <w:rFonts w:ascii="宋体" w:hAnsi="宋体" w:eastAsia="宋体" w:cs="宋体"/>
      <w:kern w:val="0"/>
      <w:sz w:val="24"/>
      <w:szCs w:val="24"/>
    </w:rPr>
  </w:style>
  <w:style w:type="character" w:customStyle="1" w:styleId="31">
    <w:name w:val="正文首行缩进 2 Char"/>
    <w:basedOn w:val="30"/>
    <w:link w:val="13"/>
    <w:qFormat/>
    <w:uiPriority w:val="99"/>
  </w:style>
  <w:style w:type="character" w:customStyle="1" w:styleId="32">
    <w:name w:val="15"/>
    <w:basedOn w:val="15"/>
    <w:qFormat/>
    <w:uiPriority w:val="0"/>
  </w:style>
  <w:style w:type="character" w:customStyle="1" w:styleId="33">
    <w:name w:val="16"/>
    <w:basedOn w:val="15"/>
    <w:qFormat/>
    <w:uiPriority w:val="0"/>
  </w:style>
  <w:style w:type="character" w:customStyle="1" w:styleId="34">
    <w:name w:val="标题 3 Char"/>
    <w:basedOn w:val="15"/>
    <w:link w:val="4"/>
    <w:semiHidden/>
    <w:qFormat/>
    <w:uiPriority w:val="9"/>
    <w:rPr>
      <w:b/>
      <w:bCs/>
      <w:sz w:val="32"/>
      <w:szCs w:val="32"/>
    </w:rPr>
  </w:style>
  <w:style w:type="character" w:customStyle="1" w:styleId="35">
    <w:name w:val="标题 2 Char"/>
    <w:basedOn w:val="15"/>
    <w:link w:val="3"/>
    <w:qFormat/>
    <w:uiPriority w:val="0"/>
    <w:rPr>
      <w:rFonts w:ascii="宋体" w:hAnsi="宋体" w:eastAsia="宋体" w:cs="Times New Roman"/>
      <w:b/>
      <w:kern w:val="0"/>
      <w:sz w:val="32"/>
      <w:szCs w:val="24"/>
    </w:rPr>
  </w:style>
  <w:style w:type="paragraph" w:customStyle="1" w:styleId="36">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37">
    <w:name w:val="title26"/>
    <w:basedOn w:val="15"/>
    <w:qFormat/>
    <w:uiPriority w:val="0"/>
  </w:style>
  <w:style w:type="character" w:customStyle="1" w:styleId="38">
    <w:name w:val="username"/>
    <w:basedOn w:val="1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1280</Words>
  <Characters>1319</Characters>
  <Lines>6</Lines>
  <Paragraphs>1</Paragraphs>
  <TotalTime>78</TotalTime>
  <ScaleCrop>false</ScaleCrop>
  <LinksUpToDate>false</LinksUpToDate>
  <CharactersWithSpaces>1334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2021-12-21T02:53:00Z</dcterms:created>
  <dc:creator>NTKO</dc:creator>
  <cp:lastModifiedBy>゛✖、安卿ī ♬°ɡ</cp:lastModifiedBy>
  <cp:lastPrinted>2022-11-21T08:33:00Z</cp:lastPrinted>
  <dcterms:modified xsi:type="dcterms:W3CDTF">2022-11-24T08:03:20Z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423BD13D4B554A058F4DF3CE17A633EF</vt:lpwstr>
  </property>
</Properties>
</file>