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37222">
      <w:pPr>
        <w:autoSpaceDE w:val="0"/>
        <w:autoSpaceDN w:val="0"/>
        <w:adjustRightInd w:val="0"/>
        <w:spacing w:before="156" w:after="156" w:line="460" w:lineRule="exact"/>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附录1   资格审查条件(资质最低条件)</w:t>
      </w:r>
    </w:p>
    <w:p w14:paraId="479B7B90">
      <w:pPr>
        <w:autoSpaceDE w:val="0"/>
        <w:autoSpaceDN w:val="0"/>
        <w:adjustRightInd w:val="0"/>
        <w:spacing w:before="156" w:after="156" w:line="460" w:lineRule="exact"/>
        <w:jc w:val="center"/>
        <w:rPr>
          <w:rFonts w:asciiTheme="minorEastAsia" w:hAnsiTheme="minorEastAsia" w:eastAsiaTheme="minorEastAsia"/>
          <w:color w:val="auto"/>
          <w:sz w:val="30"/>
          <w:szCs w:val="30"/>
        </w:rPr>
      </w:pPr>
    </w:p>
    <w:tbl>
      <w:tblPr>
        <w:tblStyle w:val="4"/>
        <w:tblW w:w="94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4"/>
      </w:tblGrid>
      <w:tr w14:paraId="1C1DF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8" w:hRule="exact"/>
        </w:trPr>
        <w:tc>
          <w:tcPr>
            <w:tcW w:w="9464" w:type="dxa"/>
            <w:vAlign w:val="center"/>
          </w:tcPr>
          <w:p w14:paraId="0C59ED51">
            <w:pPr>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监理企业资质等级要求</w:t>
            </w:r>
          </w:p>
        </w:tc>
      </w:tr>
      <w:tr w14:paraId="68DF9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3" w:hRule="exact"/>
        </w:trPr>
        <w:tc>
          <w:tcPr>
            <w:tcW w:w="9464" w:type="dxa"/>
            <w:vAlign w:val="center"/>
          </w:tcPr>
          <w:p w14:paraId="0CFD9BBE">
            <w:pPr>
              <w:spacing w:line="400" w:lineRule="exact"/>
              <w:ind w:firstLine="480" w:firstLineChars="200"/>
              <w:outlineLvl w:val="0"/>
              <w:rPr>
                <w:rFonts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rPr>
              <w:t>、具有在中华人民共和国国内注册成立的独立企业法人营业执照。</w:t>
            </w:r>
          </w:p>
          <w:p w14:paraId="75715027">
            <w:pPr>
              <w:spacing w:line="400" w:lineRule="exact"/>
              <w:ind w:firstLine="480" w:firstLineChars="200"/>
              <w:outlineLvl w:val="0"/>
              <w:rPr>
                <w:rFonts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t>2、</w:t>
            </w:r>
            <w:r>
              <w:rPr>
                <w:rFonts w:hint="eastAsia" w:cs="宋体" w:asciiTheme="minorEastAsia" w:hAnsiTheme="minorEastAsia" w:eastAsiaTheme="minorEastAsia"/>
                <w:color w:val="auto"/>
                <w:kern w:val="0"/>
                <w:sz w:val="24"/>
              </w:rPr>
              <w:t>持有交通运输主管部门核发的在有效期内的公路工程乙级（或以上）监理企业资质。</w:t>
            </w:r>
          </w:p>
        </w:tc>
      </w:tr>
    </w:tbl>
    <w:p w14:paraId="344BB4BD">
      <w:pPr>
        <w:widowControl/>
        <w:jc w:val="left"/>
        <w:rPr>
          <w:rFonts w:asciiTheme="minorEastAsia" w:hAnsiTheme="minorEastAsia" w:eastAsiaTheme="minorEastAsia"/>
          <w:color w:val="auto"/>
          <w:sz w:val="30"/>
          <w:szCs w:val="30"/>
        </w:rPr>
      </w:pPr>
    </w:p>
    <w:p w14:paraId="198E80B2">
      <w:pPr>
        <w:widowControl/>
        <w:jc w:val="left"/>
        <w:rPr>
          <w:rFonts w:asciiTheme="minorEastAsia" w:hAnsiTheme="minorEastAsia" w:eastAsiaTheme="minorEastAsia"/>
          <w:color w:val="auto"/>
          <w:sz w:val="30"/>
          <w:szCs w:val="30"/>
        </w:rPr>
      </w:pPr>
      <w:r>
        <w:rPr>
          <w:rFonts w:asciiTheme="minorEastAsia" w:hAnsiTheme="minorEastAsia" w:eastAsiaTheme="minorEastAsia"/>
          <w:color w:val="auto"/>
          <w:sz w:val="30"/>
          <w:szCs w:val="30"/>
        </w:rPr>
        <w:br w:type="page"/>
      </w:r>
    </w:p>
    <w:p w14:paraId="0851680D">
      <w:pPr>
        <w:autoSpaceDE w:val="0"/>
        <w:autoSpaceDN w:val="0"/>
        <w:adjustRightInd w:val="0"/>
        <w:spacing w:before="156" w:after="156" w:line="460" w:lineRule="exact"/>
        <w:jc w:val="center"/>
        <w:rPr>
          <w:rFonts w:asciiTheme="minorEastAsia" w:hAnsiTheme="minorEastAsia" w:eastAsiaTheme="minorEastAsia"/>
          <w:color w:val="auto"/>
          <w:sz w:val="30"/>
          <w:szCs w:val="30"/>
        </w:rPr>
      </w:pPr>
      <w:r>
        <w:rPr>
          <w:rFonts w:hint="eastAsia" w:asciiTheme="minorEastAsia" w:hAnsiTheme="minorEastAsia" w:eastAsiaTheme="minorEastAsia"/>
          <w:color w:val="auto"/>
          <w:sz w:val="30"/>
          <w:szCs w:val="30"/>
        </w:rPr>
        <w:t>附录2   资格审查条件(业绩最低要求)</w:t>
      </w:r>
    </w:p>
    <w:p w14:paraId="2244F6AA">
      <w:pPr>
        <w:autoSpaceDE w:val="0"/>
        <w:autoSpaceDN w:val="0"/>
        <w:adjustRightInd w:val="0"/>
        <w:spacing w:before="156" w:after="156" w:line="460" w:lineRule="exact"/>
        <w:jc w:val="center"/>
        <w:rPr>
          <w:rFonts w:asciiTheme="minorEastAsia" w:hAnsiTheme="minorEastAsia" w:eastAsiaTheme="minorEastAsia"/>
          <w:color w:val="auto"/>
          <w:sz w:val="30"/>
          <w:szCs w:val="30"/>
        </w:rPr>
      </w:pPr>
    </w:p>
    <w:tbl>
      <w:tblPr>
        <w:tblStyle w:val="4"/>
        <w:tblW w:w="94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4"/>
      </w:tblGrid>
      <w:tr w14:paraId="6C619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62" w:hRule="exact"/>
        </w:trPr>
        <w:tc>
          <w:tcPr>
            <w:tcW w:w="9464" w:type="dxa"/>
            <w:vAlign w:val="center"/>
          </w:tcPr>
          <w:p w14:paraId="471EBD1A">
            <w:pPr>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业 绩 要 求</w:t>
            </w:r>
          </w:p>
        </w:tc>
      </w:tr>
      <w:tr w14:paraId="7ED18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2" w:hRule="exact"/>
        </w:trPr>
        <w:tc>
          <w:tcPr>
            <w:tcW w:w="9464" w:type="dxa"/>
            <w:vAlign w:val="center"/>
          </w:tcPr>
          <w:p w14:paraId="6FBC7A66">
            <w:pPr>
              <w:topLinePunct/>
              <w:adjustRightInd w:val="0"/>
              <w:spacing w:beforeLines="30" w:line="460" w:lineRule="exact"/>
              <w:ind w:firstLine="360" w:firstLineChars="15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近五年内，成功完成过以下业绩：</w:t>
            </w:r>
          </w:p>
          <w:p w14:paraId="444C07C8">
            <w:pPr>
              <w:numPr>
                <w:ilvl w:val="0"/>
                <w:numId w:val="1"/>
              </w:numPr>
              <w:topLinePunct/>
              <w:adjustRightInd w:val="0"/>
              <w:spacing w:beforeLines="30" w:line="460" w:lineRule="exact"/>
              <w:ind w:firstLine="360" w:firstLineChars="15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累计完成过不少于</w:t>
            </w:r>
            <w:r>
              <w:rPr>
                <w:rFonts w:hint="eastAsia" w:cs="宋体" w:asciiTheme="minorEastAsia" w:hAnsiTheme="minorEastAsia" w:eastAsiaTheme="minorEastAsia"/>
                <w:color w:val="auto"/>
                <w:kern w:val="0"/>
                <w:sz w:val="24"/>
                <w:highlight w:val="none"/>
                <w:lang w:val="en-US" w:eastAsia="zh-CN"/>
              </w:rPr>
              <w:t>18</w:t>
            </w:r>
            <w:r>
              <w:rPr>
                <w:rFonts w:hint="eastAsia" w:cs="宋体" w:asciiTheme="minorEastAsia" w:hAnsiTheme="minorEastAsia" w:eastAsiaTheme="minorEastAsia"/>
                <w:color w:val="auto"/>
                <w:kern w:val="0"/>
                <w:sz w:val="24"/>
                <w:highlight w:val="none"/>
              </w:rPr>
              <w:t>km的类似工程的施工监理任务，其中至少1个标段里程不少于</w:t>
            </w:r>
            <w:r>
              <w:rPr>
                <w:rFonts w:hint="eastAsia" w:cs="宋体" w:asciiTheme="minorEastAsia" w:hAnsiTheme="minorEastAsia" w:eastAsiaTheme="minorEastAsia"/>
                <w:color w:val="auto"/>
                <w:kern w:val="0"/>
                <w:sz w:val="24"/>
                <w:highlight w:val="none"/>
                <w:lang w:val="en-US" w:eastAsia="zh-CN"/>
              </w:rPr>
              <w:t>9</w:t>
            </w:r>
            <w:r>
              <w:rPr>
                <w:rFonts w:hint="eastAsia" w:cs="宋体" w:asciiTheme="minorEastAsia" w:hAnsiTheme="minorEastAsia" w:eastAsiaTheme="minorEastAsia"/>
                <w:color w:val="auto"/>
                <w:kern w:val="0"/>
                <w:sz w:val="24"/>
                <w:highlight w:val="none"/>
              </w:rPr>
              <w:t>km。</w:t>
            </w:r>
          </w:p>
          <w:p w14:paraId="0C8BDE17">
            <w:pPr>
              <w:topLinePunct/>
              <w:adjustRightInd w:val="0"/>
              <w:spacing w:beforeLines="30" w:line="460" w:lineRule="exact"/>
              <w:ind w:firstLine="360" w:firstLineChars="15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en-US" w:eastAsia="zh-CN"/>
              </w:rPr>
              <w:t>2、累计完成不少于1座类似工程大桥的施工监理任务。</w:t>
            </w:r>
          </w:p>
        </w:tc>
      </w:tr>
    </w:tbl>
    <w:p w14:paraId="48029191">
      <w:pPr>
        <w:autoSpaceDE w:val="0"/>
        <w:autoSpaceDN w:val="0"/>
        <w:adjustRightInd w:val="0"/>
        <w:spacing w:line="256" w:lineRule="exact"/>
        <w:ind w:left="104" w:right="5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w:t>
      </w:r>
    </w:p>
    <w:p w14:paraId="6058907C">
      <w:pPr>
        <w:spacing w:line="360" w:lineRule="exact"/>
        <w:ind w:firstLine="525" w:firstLineChars="250"/>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1、同一工程项目同时满足2项或多项业绩要求条件的，可分别计。</w:t>
      </w:r>
    </w:p>
    <w:p w14:paraId="40D430A2">
      <w:pPr>
        <w:spacing w:line="360" w:lineRule="exact"/>
        <w:ind w:firstLine="525" w:firstLineChars="25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highlight w:val="none"/>
          <w:lang w:val="en-US" w:eastAsia="zh-CN"/>
        </w:rPr>
        <w:t>2、</w:t>
      </w:r>
      <w:r>
        <w:rPr>
          <w:rFonts w:hint="eastAsia" w:cs="宋体" w:asciiTheme="minorEastAsia" w:hAnsiTheme="minorEastAsia" w:eastAsiaTheme="minorEastAsia"/>
          <w:color w:val="auto"/>
          <w:kern w:val="0"/>
          <w:szCs w:val="21"/>
          <w:highlight w:val="none"/>
        </w:rPr>
        <w:t>“完成过”指工程完工并交工验收（时间以载明的交工验收或无</w:t>
      </w:r>
      <w:r>
        <w:rPr>
          <w:rFonts w:hint="eastAsia" w:cs="宋体" w:asciiTheme="minorEastAsia" w:hAnsiTheme="minorEastAsia" w:eastAsiaTheme="minorEastAsia"/>
          <w:color w:val="auto"/>
          <w:kern w:val="0"/>
          <w:szCs w:val="21"/>
        </w:rPr>
        <w:t>交工验收一次性竣工验收时间为准），经评定合格，本文提到的交工验收是指交工验收或一次性竣工验收。</w:t>
      </w:r>
    </w:p>
    <w:p w14:paraId="2A7B4715">
      <w:pPr>
        <w:spacing w:line="360" w:lineRule="exact"/>
        <w:ind w:firstLine="525" w:firstLineChars="25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、本表要求业绩指由投标人承接并完成的业绩</w:t>
      </w:r>
      <w:r>
        <w:rPr>
          <w:rFonts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rPr>
        <w:t>投标人上级单位（如总公司、集团公司等）的监理业绩和投标人具备独立法人资格的下属机构的监理业绩均不予认定。若投标人提供的业绩证明为联合体业绩，则按交通运输部“全国公路建设市场监督管理系统”业绩信息的网页截图）体现其完成的工作量和专业认定，无法界定其完成的工作量和专业，此业绩不予认定。</w:t>
      </w:r>
    </w:p>
    <w:p w14:paraId="7A3AE999">
      <w:pPr>
        <w:spacing w:line="360" w:lineRule="exact"/>
        <w:ind w:firstLine="525" w:firstLineChars="25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4</w:t>
      </w:r>
      <w:r>
        <w:rPr>
          <w:rFonts w:hint="eastAsia" w:cs="宋体" w:asciiTheme="minorEastAsia" w:hAnsiTheme="minorEastAsia" w:eastAsiaTheme="minorEastAsia"/>
          <w:color w:val="auto"/>
          <w:kern w:val="0"/>
          <w:szCs w:val="21"/>
        </w:rPr>
        <w:t>、招标人如发现业绩有不实或做假，将导致资格审查不通过。</w:t>
      </w:r>
    </w:p>
    <w:p w14:paraId="59166337">
      <w:pPr>
        <w:spacing w:line="360" w:lineRule="exact"/>
        <w:ind w:firstLine="525" w:firstLineChars="25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、如近年来，投标人法人机构发生合法变更或投标人单位名称变更时，应提供相关部门的合法批件或其他相关证明材料来证明其所附业绩的继承性。</w:t>
      </w:r>
    </w:p>
    <w:p w14:paraId="319D47C9">
      <w:pPr>
        <w:spacing w:line="360" w:lineRule="exact"/>
        <w:ind w:firstLine="525" w:firstLineChars="25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6</w:t>
      </w:r>
      <w:r>
        <w:rPr>
          <w:rFonts w:hint="eastAsia" w:cs="宋体" w:asciiTheme="minorEastAsia" w:hAnsiTheme="minorEastAsia" w:eastAsiaTheme="minorEastAsia"/>
          <w:color w:val="auto"/>
          <w:kern w:val="0"/>
          <w:szCs w:val="21"/>
        </w:rPr>
        <w:t>、</w:t>
      </w:r>
      <w:r>
        <w:rPr>
          <w:rFonts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rPr>
        <w:t>近</w:t>
      </w:r>
      <w:r>
        <w:rPr>
          <w:rFonts w:cs="宋体" w:asciiTheme="minorEastAsia" w:hAnsiTheme="minorEastAsia" w:eastAsiaTheme="minorEastAsia"/>
          <w:color w:val="auto"/>
          <w:kern w:val="0"/>
          <w:szCs w:val="21"/>
        </w:rPr>
        <w:t>5</w:t>
      </w:r>
      <w:r>
        <w:rPr>
          <w:rFonts w:hint="eastAsia" w:cs="宋体" w:asciiTheme="minorEastAsia" w:hAnsiTheme="minorEastAsia" w:eastAsiaTheme="minorEastAsia"/>
          <w:color w:val="auto"/>
          <w:kern w:val="0"/>
          <w:szCs w:val="21"/>
        </w:rPr>
        <w:t>年”指</w:t>
      </w:r>
      <w:r>
        <w:rPr>
          <w:rFonts w:cs="宋体" w:asciiTheme="minorEastAsia" w:hAnsiTheme="minorEastAsia" w:eastAsiaTheme="minorEastAsia"/>
          <w:color w:val="auto"/>
          <w:kern w:val="0"/>
          <w:szCs w:val="21"/>
        </w:rPr>
        <w:t>20</w:t>
      </w:r>
      <w:r>
        <w:rPr>
          <w:rFonts w:hint="eastAsia" w:cs="宋体" w:asciiTheme="minorEastAsia" w:hAnsiTheme="minorEastAsia" w:eastAsiaTheme="minorEastAsia"/>
          <w:color w:val="auto"/>
          <w:kern w:val="0"/>
          <w:szCs w:val="21"/>
        </w:rPr>
        <w:t>20年</w:t>
      </w:r>
      <w:r>
        <w:rPr>
          <w:rFonts w:hint="eastAsia" w:cs="宋体" w:asciiTheme="minorEastAsia" w:hAnsiTheme="minorEastAsia" w:eastAsiaTheme="minorEastAsia"/>
          <w:color w:val="auto"/>
          <w:kern w:val="0"/>
          <w:szCs w:val="21"/>
          <w:lang w:val="en-US" w:eastAsia="zh-CN"/>
        </w:rPr>
        <w:t>7</w:t>
      </w:r>
      <w:r>
        <w:rPr>
          <w:rFonts w:hint="eastAsia" w:cs="宋体" w:asciiTheme="minorEastAsia" w:hAnsiTheme="minorEastAsia" w:eastAsiaTheme="minorEastAsia"/>
          <w:color w:val="auto"/>
          <w:kern w:val="0"/>
          <w:szCs w:val="21"/>
        </w:rPr>
        <w:t>月</w:t>
      </w:r>
      <w:r>
        <w:rPr>
          <w:rFonts w:cs="宋体" w:asciiTheme="minorEastAsia" w:hAnsiTheme="minorEastAsia" w:eastAsiaTheme="minorEastAsia"/>
          <w:color w:val="auto"/>
          <w:kern w:val="0"/>
          <w:szCs w:val="21"/>
        </w:rPr>
        <w:t>1</w:t>
      </w:r>
      <w:r>
        <w:rPr>
          <w:rFonts w:hint="eastAsia" w:cs="宋体" w:asciiTheme="minorEastAsia" w:hAnsiTheme="minorEastAsia" w:eastAsiaTheme="minorEastAsia"/>
          <w:color w:val="auto"/>
          <w:kern w:val="0"/>
          <w:szCs w:val="21"/>
        </w:rPr>
        <w:t>日至投标文件递交截止日（以</w:t>
      </w:r>
      <w:r>
        <w:rPr>
          <w:rFonts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rPr>
        <w:t>全国公路建设市场监督管理系统</w:t>
      </w:r>
      <w:r>
        <w:rPr>
          <w:rFonts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rPr>
        <w:t>上交工验收或无交工验收一次性竣工验收的时间为准）。</w:t>
      </w:r>
    </w:p>
    <w:p w14:paraId="4C6E9316">
      <w:pPr>
        <w:spacing w:line="360" w:lineRule="exact"/>
        <w:ind w:firstLine="525" w:firstLineChars="25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7</w:t>
      </w:r>
      <w:r>
        <w:rPr>
          <w:rFonts w:hint="eastAsia" w:cs="宋体" w:asciiTheme="minorEastAsia" w:hAnsiTheme="minorEastAsia" w:eastAsiaTheme="minorEastAsia"/>
          <w:color w:val="auto"/>
          <w:kern w:val="0"/>
          <w:szCs w:val="21"/>
        </w:rPr>
        <w:t>、“类似工程”均指新建或改、扩建一级或</w:t>
      </w:r>
      <w:r>
        <w:rPr>
          <w:rFonts w:hint="eastAsia" w:cs="宋体" w:asciiTheme="minorEastAsia" w:hAnsiTheme="minorEastAsia" w:eastAsiaTheme="minorEastAsia"/>
          <w:color w:val="auto"/>
          <w:kern w:val="0"/>
          <w:szCs w:val="21"/>
          <w:highlight w:val="none"/>
        </w:rPr>
        <w:t>以上公路</w:t>
      </w:r>
      <w:r>
        <w:rPr>
          <w:rFonts w:hint="eastAsia" w:cs="宋体" w:asciiTheme="minorEastAsia" w:hAnsiTheme="minorEastAsia" w:eastAsiaTheme="minorEastAsia"/>
          <w:color w:val="auto"/>
          <w:kern w:val="0"/>
          <w:szCs w:val="21"/>
          <w:highlight w:val="none"/>
          <w:lang w:val="en-US" w:eastAsia="zh-CN"/>
        </w:rPr>
        <w:t>工程</w:t>
      </w:r>
      <w:r>
        <w:rPr>
          <w:rFonts w:hint="eastAsia" w:cs="宋体" w:asciiTheme="minorEastAsia" w:hAnsiTheme="minorEastAsia" w:eastAsiaTheme="minorEastAsia"/>
          <w:color w:val="auto"/>
          <w:kern w:val="0"/>
          <w:szCs w:val="21"/>
          <w:highlight w:val="none"/>
        </w:rPr>
        <w:t>项目。在采用</w:t>
      </w:r>
      <w:r>
        <w:rPr>
          <w:rFonts w:hint="eastAsia" w:cs="宋体" w:asciiTheme="minorEastAsia" w:hAnsiTheme="minorEastAsia" w:eastAsiaTheme="minorEastAsia"/>
          <w:color w:val="auto"/>
          <w:kern w:val="0"/>
          <w:szCs w:val="21"/>
        </w:rPr>
        <w:t>新建的公路</w:t>
      </w:r>
      <w:r>
        <w:rPr>
          <w:rFonts w:hint="eastAsia" w:cs="宋体" w:asciiTheme="minorEastAsia" w:hAnsiTheme="minorEastAsia" w:eastAsiaTheme="minorEastAsia"/>
          <w:color w:val="auto"/>
          <w:kern w:val="0"/>
          <w:szCs w:val="21"/>
          <w:lang w:val="en-US" w:eastAsia="zh-CN"/>
        </w:rPr>
        <w:t>工程</w:t>
      </w:r>
      <w:r>
        <w:rPr>
          <w:rFonts w:hint="eastAsia" w:cs="宋体" w:asciiTheme="minorEastAsia" w:hAnsiTheme="minorEastAsia" w:eastAsiaTheme="minorEastAsia"/>
          <w:color w:val="auto"/>
          <w:kern w:val="0"/>
          <w:szCs w:val="21"/>
        </w:rPr>
        <w:t>项目完工业绩时，对于同等公路等级改、扩建中的新建桥梁或隧道工程业绩也应认可。</w:t>
      </w:r>
    </w:p>
    <w:p w14:paraId="4766661C">
      <w:pPr>
        <w:widowControl/>
        <w:jc w:val="left"/>
        <w:rPr>
          <w:rFonts w:asciiTheme="minorEastAsia" w:hAnsiTheme="minorEastAsia" w:eastAsiaTheme="minorEastAsia"/>
          <w:color w:val="auto"/>
          <w:sz w:val="30"/>
          <w:szCs w:val="30"/>
        </w:rPr>
      </w:pPr>
      <w:r>
        <w:rPr>
          <w:rFonts w:asciiTheme="minorEastAsia" w:hAnsiTheme="minorEastAsia" w:eastAsiaTheme="minorEastAsia"/>
          <w:color w:val="auto"/>
          <w:sz w:val="30"/>
          <w:szCs w:val="30"/>
        </w:rPr>
        <w:br w:type="page"/>
      </w:r>
    </w:p>
    <w:p w14:paraId="72FE38AF">
      <w:pPr>
        <w:autoSpaceDE w:val="0"/>
        <w:autoSpaceDN w:val="0"/>
        <w:adjustRightInd w:val="0"/>
        <w:spacing w:after="156" w:line="460" w:lineRule="exact"/>
        <w:jc w:val="center"/>
        <w:rPr>
          <w:rFonts w:asciiTheme="minorEastAsia" w:hAnsiTheme="minorEastAsia" w:eastAsiaTheme="minorEastAsia"/>
          <w:color w:val="auto"/>
          <w:sz w:val="30"/>
          <w:szCs w:val="30"/>
        </w:rPr>
      </w:pPr>
      <w:r>
        <w:rPr>
          <w:rFonts w:hint="eastAsia" w:asciiTheme="minorEastAsia" w:hAnsiTheme="minorEastAsia" w:eastAsiaTheme="minorEastAsia"/>
          <w:color w:val="auto"/>
          <w:sz w:val="30"/>
          <w:szCs w:val="30"/>
        </w:rPr>
        <w:t>附录3   资格审查条件(信誉最低要求)</w:t>
      </w:r>
    </w:p>
    <w:p w14:paraId="736B2E5F">
      <w:pPr>
        <w:spacing w:line="160" w:lineRule="exact"/>
        <w:rPr>
          <w:rFonts w:asciiTheme="minorEastAsia" w:hAnsiTheme="minorEastAsia" w:eastAsiaTheme="minorEastAsia"/>
          <w:color w:val="auto"/>
        </w:rPr>
      </w:pPr>
    </w:p>
    <w:tbl>
      <w:tblPr>
        <w:tblStyle w:val="4"/>
        <w:tblW w:w="92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73"/>
      </w:tblGrid>
      <w:tr w14:paraId="0F906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exact"/>
        </w:trPr>
        <w:tc>
          <w:tcPr>
            <w:tcW w:w="9273" w:type="dxa"/>
            <w:vAlign w:val="center"/>
          </w:tcPr>
          <w:p w14:paraId="6AC918D2">
            <w:pPr>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信 誉 要 求</w:t>
            </w:r>
          </w:p>
        </w:tc>
      </w:tr>
      <w:tr w14:paraId="7F7A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5" w:hRule="exact"/>
        </w:trPr>
        <w:tc>
          <w:tcPr>
            <w:tcW w:w="9273" w:type="dxa"/>
            <w:vAlign w:val="center"/>
          </w:tcPr>
          <w:p w14:paraId="285E4C3F">
            <w:pPr>
              <w:topLinePunct/>
              <w:adjustRightInd w:val="0"/>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最新年度（含无广东省最新年度信用等级而上一年度有广东省信用等级的）在广东省公路工程从业单位信用评价（监理单位）中，信用等级未被评为</w:t>
            </w:r>
            <w:r>
              <w:rPr>
                <w:rFonts w:asciiTheme="minorEastAsia" w:hAnsiTheme="minorEastAsia" w:eastAsiaTheme="minorEastAsia"/>
                <w:color w:val="auto"/>
                <w:sz w:val="24"/>
              </w:rPr>
              <w:t>D</w:t>
            </w:r>
            <w:r>
              <w:rPr>
                <w:rFonts w:hint="eastAsia" w:asciiTheme="minorEastAsia" w:hAnsiTheme="minorEastAsia" w:eastAsiaTheme="minorEastAsia"/>
                <w:color w:val="auto"/>
                <w:sz w:val="24"/>
              </w:rPr>
              <w:t>级；初次进入广东省的投标人，在最新全国公路从业单位（监理单位）信用评价结果中未被评为</w:t>
            </w:r>
            <w:r>
              <w:rPr>
                <w:rFonts w:asciiTheme="minorEastAsia" w:hAnsiTheme="minorEastAsia" w:eastAsiaTheme="minorEastAsia"/>
                <w:color w:val="auto"/>
                <w:sz w:val="24"/>
              </w:rPr>
              <w:t>D</w:t>
            </w:r>
            <w:r>
              <w:rPr>
                <w:rFonts w:hint="eastAsia" w:asciiTheme="minorEastAsia" w:hAnsiTheme="minorEastAsia" w:eastAsiaTheme="minorEastAsia"/>
                <w:color w:val="auto"/>
                <w:sz w:val="24"/>
              </w:rPr>
              <w:t>级。</w:t>
            </w:r>
          </w:p>
        </w:tc>
      </w:tr>
    </w:tbl>
    <w:p w14:paraId="5DD63E86">
      <w:pPr>
        <w:tabs>
          <w:tab w:val="left" w:pos="4940"/>
        </w:tabs>
        <w:autoSpaceDE w:val="0"/>
        <w:autoSpaceDN w:val="0"/>
        <w:adjustRightInd w:val="0"/>
        <w:spacing w:before="31"/>
        <w:ind w:left="536" w:right="-20"/>
        <w:jc w:val="left"/>
        <w:rPr>
          <w:rFonts w:cs="宋体" w:asciiTheme="minorEastAsia" w:hAnsiTheme="minorEastAsia" w:eastAsiaTheme="minorEastAsia"/>
          <w:color w:val="auto"/>
          <w:spacing w:val="2"/>
          <w:kern w:val="0"/>
          <w:szCs w:val="21"/>
        </w:rPr>
      </w:pPr>
      <w:r>
        <w:rPr>
          <w:rFonts w:hint="eastAsia" w:cs="宋体" w:asciiTheme="minorEastAsia" w:hAnsiTheme="minorEastAsia" w:eastAsiaTheme="minorEastAsia"/>
          <w:color w:val="auto"/>
          <w:spacing w:val="2"/>
          <w:kern w:val="0"/>
          <w:szCs w:val="21"/>
        </w:rPr>
        <w:t>注：</w:t>
      </w:r>
      <w:r>
        <w:rPr>
          <w:rFonts w:cs="宋体" w:asciiTheme="minorEastAsia" w:hAnsiTheme="minorEastAsia" w:eastAsiaTheme="minorEastAsia"/>
          <w:color w:val="auto"/>
          <w:spacing w:val="2"/>
          <w:kern w:val="0"/>
          <w:szCs w:val="21"/>
        </w:rPr>
        <w:t xml:space="preserve"> 1</w:t>
      </w:r>
      <w:r>
        <w:rPr>
          <w:rFonts w:hint="eastAsia" w:cs="宋体" w:asciiTheme="minorEastAsia" w:hAnsiTheme="minorEastAsia" w:eastAsiaTheme="minorEastAsia"/>
          <w:color w:val="auto"/>
          <w:spacing w:val="2"/>
          <w:kern w:val="0"/>
          <w:szCs w:val="21"/>
        </w:rPr>
        <w:t>、信用等级的确定原则遵循投标人须知前附表第</w:t>
      </w:r>
      <w:r>
        <w:rPr>
          <w:rFonts w:cs="宋体" w:asciiTheme="minorEastAsia" w:hAnsiTheme="minorEastAsia" w:eastAsiaTheme="minorEastAsia"/>
          <w:color w:val="auto"/>
          <w:spacing w:val="2"/>
          <w:kern w:val="0"/>
          <w:szCs w:val="21"/>
        </w:rPr>
        <w:t>10.2</w:t>
      </w:r>
      <w:r>
        <w:rPr>
          <w:rFonts w:hint="eastAsia" w:cs="宋体" w:asciiTheme="minorEastAsia" w:hAnsiTheme="minorEastAsia" w:eastAsiaTheme="minorEastAsia"/>
          <w:color w:val="auto"/>
          <w:spacing w:val="2"/>
          <w:kern w:val="0"/>
          <w:szCs w:val="21"/>
        </w:rPr>
        <w:t>款的规定。</w:t>
      </w:r>
    </w:p>
    <w:p w14:paraId="464077E7">
      <w:pPr>
        <w:tabs>
          <w:tab w:val="left" w:pos="4940"/>
        </w:tabs>
        <w:autoSpaceDE w:val="0"/>
        <w:autoSpaceDN w:val="0"/>
        <w:adjustRightInd w:val="0"/>
        <w:spacing w:before="31"/>
        <w:ind w:left="536" w:right="-20"/>
        <w:jc w:val="left"/>
        <w:rPr>
          <w:rFonts w:cs="宋体" w:asciiTheme="minorEastAsia" w:hAnsiTheme="minorEastAsia" w:eastAsiaTheme="minorEastAsia"/>
          <w:color w:val="auto"/>
          <w:spacing w:val="2"/>
          <w:kern w:val="0"/>
          <w:szCs w:val="21"/>
        </w:rPr>
      </w:pPr>
    </w:p>
    <w:p w14:paraId="1DC63F45">
      <w:pPr>
        <w:widowControl/>
        <w:jc w:val="left"/>
        <w:rPr>
          <w:rFonts w:cs="宋体" w:asciiTheme="minorEastAsia" w:hAnsiTheme="minorEastAsia" w:eastAsiaTheme="minorEastAsia"/>
          <w:color w:val="auto"/>
          <w:kern w:val="0"/>
          <w:sz w:val="32"/>
          <w:szCs w:val="32"/>
        </w:rPr>
      </w:pPr>
    </w:p>
    <w:p w14:paraId="1D2EB267">
      <w:pPr>
        <w:autoSpaceDE w:val="0"/>
        <w:autoSpaceDN w:val="0"/>
        <w:adjustRightInd w:val="0"/>
        <w:spacing w:after="156" w:line="460" w:lineRule="exact"/>
        <w:jc w:val="center"/>
        <w:rPr>
          <w:rFonts w:asciiTheme="minorEastAsia" w:hAnsiTheme="minorEastAsia" w:eastAsiaTheme="minorEastAsia"/>
          <w:color w:val="auto"/>
          <w:sz w:val="30"/>
          <w:szCs w:val="30"/>
        </w:rPr>
      </w:pPr>
      <w:r>
        <w:rPr>
          <w:rFonts w:hint="eastAsia" w:asciiTheme="minorEastAsia" w:hAnsiTheme="minorEastAsia" w:eastAsiaTheme="minorEastAsia"/>
          <w:color w:val="auto"/>
          <w:sz w:val="30"/>
          <w:szCs w:val="30"/>
        </w:rPr>
        <w:t>附录4   资格审查条件(总监理工程师最低要求)</w:t>
      </w:r>
    </w:p>
    <w:p w14:paraId="09B55415">
      <w:pPr>
        <w:spacing w:line="160" w:lineRule="exact"/>
        <w:rPr>
          <w:rFonts w:asciiTheme="minorEastAsia" w:hAnsiTheme="minorEastAsia" w:eastAsiaTheme="minorEastAsia"/>
          <w:color w:val="auto"/>
        </w:rPr>
      </w:pPr>
    </w:p>
    <w:p w14:paraId="287136E9">
      <w:pPr>
        <w:spacing w:line="160" w:lineRule="exact"/>
        <w:rPr>
          <w:rFonts w:asciiTheme="minorEastAsia" w:hAnsiTheme="minorEastAsia" w:eastAsiaTheme="minorEastAsia"/>
          <w:color w:val="auto"/>
        </w:rPr>
      </w:pPr>
    </w:p>
    <w:tbl>
      <w:tblPr>
        <w:tblStyle w:val="4"/>
        <w:tblW w:w="942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1134"/>
        <w:gridCol w:w="3827"/>
        <w:gridCol w:w="2511"/>
      </w:tblGrid>
      <w:tr w14:paraId="56C77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3" w:hRule="exact"/>
        </w:trPr>
        <w:tc>
          <w:tcPr>
            <w:tcW w:w="1951" w:type="dxa"/>
            <w:vAlign w:val="center"/>
          </w:tcPr>
          <w:p w14:paraId="65C4EB16">
            <w:pPr>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人  员</w:t>
            </w:r>
          </w:p>
        </w:tc>
        <w:tc>
          <w:tcPr>
            <w:tcW w:w="1134" w:type="dxa"/>
            <w:vAlign w:val="center"/>
          </w:tcPr>
          <w:p w14:paraId="51ABA050">
            <w:pPr>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数量</w:t>
            </w:r>
          </w:p>
        </w:tc>
        <w:tc>
          <w:tcPr>
            <w:tcW w:w="3827" w:type="dxa"/>
            <w:vAlign w:val="center"/>
          </w:tcPr>
          <w:p w14:paraId="2F958FB8">
            <w:pPr>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资 格 要 求</w:t>
            </w:r>
          </w:p>
        </w:tc>
        <w:tc>
          <w:tcPr>
            <w:tcW w:w="2511" w:type="dxa"/>
            <w:vAlign w:val="center"/>
          </w:tcPr>
          <w:p w14:paraId="7EFDD4B3">
            <w:pPr>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在岗要求</w:t>
            </w:r>
          </w:p>
        </w:tc>
      </w:tr>
      <w:tr w14:paraId="49696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5" w:hRule="atLeast"/>
        </w:trPr>
        <w:tc>
          <w:tcPr>
            <w:tcW w:w="1951" w:type="dxa"/>
            <w:vAlign w:val="center"/>
          </w:tcPr>
          <w:p w14:paraId="2FE56459">
            <w:pPr>
              <w:topLinePunct/>
              <w:adjustRightInd w:val="0"/>
              <w:spacing w:line="46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总监理工程师</w:t>
            </w:r>
          </w:p>
        </w:tc>
        <w:tc>
          <w:tcPr>
            <w:tcW w:w="1134" w:type="dxa"/>
            <w:vAlign w:val="center"/>
          </w:tcPr>
          <w:p w14:paraId="1A80EC5B">
            <w:pPr>
              <w:topLinePunct/>
              <w:adjustRightInd w:val="0"/>
              <w:spacing w:line="460" w:lineRule="exact"/>
              <w:jc w:val="center"/>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pacing w:val="-10"/>
                <w:sz w:val="24"/>
                <w:highlight w:val="none"/>
              </w:rPr>
              <w:t>1</w:t>
            </w:r>
          </w:p>
        </w:tc>
        <w:tc>
          <w:tcPr>
            <w:tcW w:w="3827" w:type="dxa"/>
            <w:vAlign w:val="center"/>
          </w:tcPr>
          <w:p w14:paraId="3F5BC309">
            <w:pPr>
              <w:topLinePunct/>
              <w:adjustRightInd w:val="0"/>
              <w:spacing w:line="4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路桥工程相关</w:t>
            </w:r>
            <w:r>
              <w:rPr>
                <w:rFonts w:hint="eastAsia" w:asciiTheme="minorEastAsia" w:hAnsiTheme="minorEastAsia" w:eastAsiaTheme="minorEastAsia"/>
                <w:color w:val="auto"/>
                <w:sz w:val="24"/>
                <w:highlight w:val="none"/>
              </w:rPr>
              <w:t>专业高级工程师职称，至少担任过</w:t>
            </w:r>
            <w:r>
              <w:rPr>
                <w:rFonts w:hint="eastAsia" w:asciiTheme="minorEastAsia" w:hAnsiTheme="minorEastAsia" w:eastAsiaTheme="minorEastAsia"/>
                <w:color w:val="auto"/>
                <w:sz w:val="24"/>
                <w:highlight w:val="none"/>
                <w:u w:val="single"/>
              </w:rPr>
              <w:t>1</w:t>
            </w:r>
            <w:r>
              <w:rPr>
                <w:rFonts w:hint="eastAsia" w:asciiTheme="minorEastAsia" w:hAnsiTheme="minorEastAsia" w:eastAsiaTheme="minorEastAsia"/>
                <w:color w:val="auto"/>
                <w:sz w:val="24"/>
                <w:highlight w:val="none"/>
              </w:rPr>
              <w:t>项类似工程土建工程施工监理的监理负责人，持有交通运输部与人力资源社会保障部用印的交通运输工程专业监理工程师职业资格证书（或电子证书）或具有交通运输部核发的公路工程监理工程师资格证书，且已在投标人处进行注册（或从业登记）。</w:t>
            </w:r>
          </w:p>
        </w:tc>
        <w:tc>
          <w:tcPr>
            <w:tcW w:w="2511" w:type="dxa"/>
            <w:vAlign w:val="center"/>
          </w:tcPr>
          <w:p w14:paraId="446FD80F">
            <w:pPr>
              <w:topLinePunct/>
              <w:adjustRightInd w:val="0"/>
              <w:spacing w:line="4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无在岗项目（指目前未在其他项目上任职，或虽在其他项目上任职但本项目中标后</w:t>
            </w:r>
            <w:r>
              <w:rPr>
                <w:rFonts w:hint="eastAsia" w:asciiTheme="minorEastAsia" w:hAnsiTheme="minorEastAsia" w:eastAsiaTheme="minorEastAsia"/>
                <w:color w:val="auto"/>
                <w:sz w:val="24"/>
                <w:highlight w:val="none"/>
                <w:lang w:val="en-US" w:eastAsia="zh-CN"/>
              </w:rPr>
              <w:t>承诺</w:t>
            </w:r>
            <w:r>
              <w:rPr>
                <w:rFonts w:hint="eastAsia" w:asciiTheme="minorEastAsia" w:hAnsiTheme="minorEastAsia" w:eastAsiaTheme="minorEastAsia"/>
                <w:color w:val="auto"/>
                <w:sz w:val="24"/>
                <w:highlight w:val="none"/>
              </w:rPr>
              <w:t>能够从该项目撤离）</w:t>
            </w:r>
          </w:p>
        </w:tc>
      </w:tr>
    </w:tbl>
    <w:p w14:paraId="253CE17B">
      <w:pPr>
        <w:tabs>
          <w:tab w:val="left" w:pos="4940"/>
        </w:tabs>
        <w:autoSpaceDE w:val="0"/>
        <w:autoSpaceDN w:val="0"/>
        <w:adjustRightInd w:val="0"/>
        <w:spacing w:before="31"/>
        <w:ind w:right="-20" w:firstLine="428" w:firstLineChars="200"/>
        <w:jc w:val="left"/>
        <w:rPr>
          <w:rFonts w:cs="宋体" w:asciiTheme="minorEastAsia" w:hAnsiTheme="minorEastAsia" w:eastAsiaTheme="minorEastAsia"/>
          <w:color w:val="auto"/>
          <w:spacing w:val="2"/>
          <w:kern w:val="0"/>
          <w:szCs w:val="21"/>
          <w:highlight w:val="none"/>
        </w:rPr>
      </w:pPr>
      <w:r>
        <w:rPr>
          <w:rFonts w:hint="eastAsia" w:cs="宋体" w:asciiTheme="minorEastAsia" w:hAnsiTheme="minorEastAsia" w:eastAsiaTheme="minorEastAsia"/>
          <w:color w:val="auto"/>
          <w:spacing w:val="2"/>
          <w:kern w:val="0"/>
          <w:szCs w:val="21"/>
          <w:highlight w:val="none"/>
        </w:rPr>
        <w:t>注：</w:t>
      </w:r>
      <w:r>
        <w:rPr>
          <w:rFonts w:cs="宋体" w:asciiTheme="minorEastAsia" w:hAnsiTheme="minorEastAsia" w:eastAsiaTheme="minorEastAsia"/>
          <w:color w:val="auto"/>
          <w:spacing w:val="2"/>
          <w:kern w:val="0"/>
          <w:szCs w:val="21"/>
          <w:highlight w:val="none"/>
        </w:rPr>
        <w:t>1</w:t>
      </w:r>
      <w:r>
        <w:rPr>
          <w:rFonts w:hint="eastAsia" w:cs="宋体" w:asciiTheme="minorEastAsia" w:hAnsiTheme="minorEastAsia" w:eastAsiaTheme="minorEastAsia"/>
          <w:color w:val="auto"/>
          <w:spacing w:val="2"/>
          <w:kern w:val="0"/>
          <w:szCs w:val="21"/>
          <w:highlight w:val="none"/>
        </w:rPr>
        <w:t>、“担任过类似工程监理负责人”监理负责人可为总监理工程师或副总监理工程师或驻地监理工程师。</w:t>
      </w:r>
    </w:p>
    <w:p w14:paraId="2443797E">
      <w:pPr>
        <w:tabs>
          <w:tab w:val="left" w:pos="4940"/>
        </w:tabs>
        <w:autoSpaceDE w:val="0"/>
        <w:autoSpaceDN w:val="0"/>
        <w:adjustRightInd w:val="0"/>
        <w:spacing w:before="31"/>
        <w:ind w:right="-20" w:firstLine="428" w:firstLineChars="200"/>
        <w:jc w:val="left"/>
        <w:rPr>
          <w:rFonts w:cs="宋体" w:asciiTheme="minorEastAsia" w:hAnsiTheme="minorEastAsia" w:eastAsiaTheme="minorEastAsia"/>
          <w:color w:val="auto"/>
          <w:spacing w:val="2"/>
          <w:kern w:val="0"/>
          <w:szCs w:val="21"/>
        </w:rPr>
      </w:pPr>
      <w:r>
        <w:rPr>
          <w:rFonts w:hint="eastAsia" w:cs="宋体" w:asciiTheme="minorEastAsia" w:hAnsiTheme="minorEastAsia" w:eastAsiaTheme="minorEastAsia"/>
          <w:color w:val="auto"/>
          <w:spacing w:val="2"/>
          <w:kern w:val="0"/>
          <w:szCs w:val="21"/>
          <w:highlight w:val="none"/>
        </w:rPr>
        <w:t>2、</w:t>
      </w:r>
      <w:r>
        <w:rPr>
          <w:rFonts w:hint="eastAsia" w:cs="宋体" w:asciiTheme="minorEastAsia" w:hAnsiTheme="minorEastAsia" w:eastAsiaTheme="minorEastAsia"/>
          <w:color w:val="auto"/>
          <w:spacing w:val="2"/>
          <w:kern w:val="0"/>
          <w:szCs w:val="21"/>
          <w:highlight w:val="none"/>
          <w:lang w:val="en-US" w:eastAsia="zh-CN"/>
        </w:rPr>
        <w:t>路桥工程相关</w:t>
      </w:r>
      <w:r>
        <w:rPr>
          <w:rFonts w:hint="eastAsia" w:cs="宋体" w:asciiTheme="minorEastAsia" w:hAnsiTheme="minorEastAsia" w:eastAsiaTheme="minorEastAsia"/>
          <w:color w:val="auto"/>
          <w:spacing w:val="2"/>
          <w:kern w:val="0"/>
          <w:szCs w:val="21"/>
          <w:highlight w:val="none"/>
        </w:rPr>
        <w:t>专业职称包括公路工程、桥梁工程、公路与桥梁工程、交通土建</w:t>
      </w:r>
      <w:r>
        <w:rPr>
          <w:rFonts w:hint="eastAsia" w:cs="宋体" w:asciiTheme="minorEastAsia" w:hAnsiTheme="minorEastAsia" w:eastAsiaTheme="minorEastAsia"/>
          <w:color w:val="auto"/>
          <w:spacing w:val="2"/>
          <w:kern w:val="0"/>
          <w:szCs w:val="21"/>
        </w:rPr>
        <w:t>、隧道（地下结构工程）、交通工程等专业职称。</w:t>
      </w:r>
    </w:p>
    <w:p w14:paraId="3CB4338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9C6F9"/>
    <w:multiLevelType w:val="singleLevel"/>
    <w:tmpl w:val="47C9C6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026EF"/>
    <w:rsid w:val="65DF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theme="minorBidi"/>
      <w:sz w:val="24"/>
      <w:szCs w:val="22"/>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1270</Words>
  <Characters>1287</Characters>
  <Lines>0</Lines>
  <Paragraphs>0</Paragraphs>
  <TotalTime>0</TotalTime>
  <ScaleCrop>false</ScaleCrop>
  <LinksUpToDate>false</LinksUpToDate>
  <CharactersWithSpaces>1287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2025-04-10T10:18:00Z</dcterms:created>
  <dc:creator>Administrator</dc:creator>
  <cp:lastModifiedBy>冷眼观天下</cp:lastModifiedBy>
  <dcterms:modified xsi:type="dcterms:W3CDTF">2025-06-18T03:49:35Z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eyJoZGlkIjoiNzA5YTI5MmNkZjEwYjUzNDZkNDhmZTBkMWY1NTVjOGUiLCJ1c2VySWQiOiIxMjAwOTQwMjI0In0=</vt:lpwstr>
  </property>
  <property fmtid="{D5CDD505-2E9C-101B-9397-08002B2CF9AE}" pid="4" name="ICV">
    <vt:lpwstr>6511498F5A284927B8F5C3FA53EA74E7_12</vt:lpwstr>
  </property>
</Properties>
</file>