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450" w:lineRule="exact"/>
        <w:jc w:val="center"/>
        <w:textAlignment w:val="auto"/>
        <w:outlineLvl w:val="0"/>
        <w:rPr>
          <w:rFonts w:hint="eastAsia" w:ascii="仿宋" w:hAnsi="仿宋" w:eastAsia="仿宋" w:cs="仿宋"/>
          <w:b/>
          <w:color w:val="auto"/>
          <w:sz w:val="32"/>
          <w:szCs w:val="32"/>
          <w:highlight w:val="none"/>
          <w:u w:val="none"/>
          <w:lang w:eastAsia="zh-CN"/>
        </w:rPr>
      </w:pPr>
      <w:bookmarkStart w:id="0" w:name="_Toc79068601"/>
      <w:r>
        <w:rPr>
          <w:rFonts w:hint="eastAsia" w:ascii="仿宋" w:hAnsi="仿宋" w:eastAsia="仿宋" w:cs="仿宋"/>
          <w:b/>
          <w:color w:val="auto"/>
          <w:sz w:val="32"/>
          <w:szCs w:val="32"/>
          <w:highlight w:val="none"/>
          <w:u w:val="none"/>
        </w:rPr>
        <w:t>阳江市江城区阮西水闸和那蓬水闸重建工程勘察设计</w:t>
      </w:r>
    </w:p>
    <w:p>
      <w:pPr>
        <w:keepNext w:val="0"/>
        <w:keepLines w:val="0"/>
        <w:pageBreakBefore w:val="0"/>
        <w:kinsoku/>
        <w:overflowPunct/>
        <w:autoSpaceDE/>
        <w:autoSpaceDN/>
        <w:bidi w:val="0"/>
        <w:spacing w:line="450" w:lineRule="exact"/>
        <w:jc w:val="center"/>
        <w:textAlignment w:val="auto"/>
        <w:outlineLvl w:val="0"/>
        <w:rPr>
          <w:rFonts w:hint="eastAsia" w:ascii="仿宋" w:hAnsi="仿宋" w:eastAsia="仿宋" w:cs="仿宋"/>
          <w:b/>
          <w:color w:val="auto"/>
          <w:sz w:val="36"/>
          <w:szCs w:val="36"/>
          <w:highlight w:val="none"/>
          <w:u w:val="none"/>
        </w:rPr>
      </w:pPr>
      <w:r>
        <w:rPr>
          <w:rFonts w:hint="eastAsia" w:ascii="仿宋" w:hAnsi="仿宋" w:eastAsia="仿宋" w:cs="仿宋"/>
          <w:b/>
          <w:color w:val="auto"/>
          <w:sz w:val="32"/>
          <w:szCs w:val="32"/>
          <w:highlight w:val="none"/>
          <w:u w:val="none"/>
        </w:rPr>
        <w:t>招标公告</w:t>
      </w:r>
      <w:bookmarkEnd w:id="0"/>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招标条件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阳江市江城区阮西水闸和那蓬水闸重建工程</w:t>
      </w:r>
      <w:r>
        <w:rPr>
          <w:rFonts w:hint="eastAsia" w:ascii="仿宋" w:hAnsi="仿宋" w:eastAsia="仿宋" w:cs="仿宋"/>
          <w:color w:val="auto"/>
          <w:sz w:val="24"/>
          <w:szCs w:val="24"/>
          <w:highlight w:val="none"/>
          <w:lang w:val="en-US" w:eastAsia="zh-CN"/>
        </w:rPr>
        <w:t>可行性研究报告</w:t>
      </w:r>
      <w:r>
        <w:rPr>
          <w:rFonts w:hint="eastAsia" w:ascii="仿宋" w:hAnsi="仿宋" w:eastAsia="仿宋" w:cs="仿宋"/>
          <w:color w:val="auto"/>
          <w:sz w:val="24"/>
          <w:highlight w:val="none"/>
        </w:rPr>
        <w:t>已由阳江市江城区发展和改革局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江发改农经〔2022〕32号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批复并核准项目招标，建设资金来源为上级债券资金及地方自筹，招标人为阳江市江城区河道堤防管护中心，招标代理机构为广东国正招标代理有限公司。项目已具备招标条件，现对本工程的</w:t>
      </w:r>
      <w:r>
        <w:rPr>
          <w:rFonts w:hint="eastAsia" w:ascii="仿宋" w:hAnsi="仿宋" w:eastAsia="仿宋" w:cs="仿宋"/>
          <w:color w:val="auto"/>
          <w:sz w:val="24"/>
          <w:highlight w:val="none"/>
          <w:u w:val="single"/>
        </w:rPr>
        <w:t>勘察设计</w:t>
      </w:r>
      <w:r>
        <w:rPr>
          <w:rFonts w:hint="eastAsia" w:ascii="仿宋" w:hAnsi="仿宋" w:eastAsia="仿宋" w:cs="仿宋"/>
          <w:color w:val="auto"/>
          <w:sz w:val="24"/>
          <w:highlight w:val="none"/>
        </w:rPr>
        <w:t>面向国内公开招标。</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项目概况与招标内容</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项目名称:阳江市江城区阮西水闸和那蓬水闸重建工程勘察设计</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2.2招标工程编号:江城水务（2022）第</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号</w:t>
      </w:r>
    </w:p>
    <w:p>
      <w:pPr>
        <w:adjustRightInd w:val="0"/>
        <w:snapToGrid w:val="0"/>
        <w:spacing w:line="360" w:lineRule="auto"/>
        <w:ind w:firstLine="48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2.3建设地点:</w:t>
      </w:r>
      <w:r>
        <w:rPr>
          <w:rFonts w:hint="eastAsia" w:ascii="仿宋" w:hAnsi="仿宋" w:eastAsia="仿宋" w:cs="仿宋"/>
          <w:color w:val="auto"/>
          <w:sz w:val="24"/>
          <w:highlight w:val="none"/>
          <w:lang w:eastAsia="zh-CN"/>
        </w:rPr>
        <w:t>阳江市江城区城西街道阮西村和埠场镇那蓬村</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2.4工程概况:</w:t>
      </w:r>
      <w:r>
        <w:rPr>
          <w:rFonts w:hint="eastAsia" w:ascii="仿宋" w:hAnsi="仿宋" w:eastAsia="仿宋" w:cs="仿宋"/>
          <w:color w:val="auto"/>
          <w:sz w:val="24"/>
          <w:highlight w:val="none"/>
          <w:lang w:eastAsia="zh-CN"/>
        </w:rPr>
        <w:t>原址拆除并重建阮西水闸和那蓬水闸，包括闸室、内外江（河）连接工程及相关配套设施等</w:t>
      </w:r>
      <w:r>
        <w:rPr>
          <w:rFonts w:hint="eastAsia" w:ascii="仿宋" w:hAnsi="仿宋" w:eastAsia="仿宋" w:cs="仿宋"/>
          <w:color w:val="auto"/>
          <w:sz w:val="24"/>
          <w:highlight w:val="none"/>
        </w:rPr>
        <w:t>。</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2.5项目</w:t>
      </w:r>
      <w:r>
        <w:rPr>
          <w:rFonts w:hint="eastAsia" w:ascii="仿宋" w:hAnsi="仿宋" w:eastAsia="仿宋" w:cs="仿宋"/>
          <w:color w:val="auto"/>
          <w:sz w:val="24"/>
          <w:highlight w:val="none"/>
          <w:lang w:val="en-US" w:eastAsia="zh-CN"/>
        </w:rPr>
        <w:t>估算</w:t>
      </w:r>
      <w:r>
        <w:rPr>
          <w:rFonts w:hint="eastAsia" w:ascii="仿宋" w:hAnsi="仿宋" w:eastAsia="仿宋" w:cs="仿宋"/>
          <w:color w:val="auto"/>
          <w:sz w:val="24"/>
          <w:highlight w:val="none"/>
        </w:rPr>
        <w:t>总投资:13166.67万元。</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2.6招标内容:包括本工程勘察（地质勘察和地形测量）、初步设计（包括报告、概算、附图）、施工图设计</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、完工验收以及竣工验收等各阶段的服务工作，并提交相应的勘察设计文件及有关技术资料。</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2.7资格审查方式:采用资格后审。</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2.8评标办法:综合评估法。</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资格条件</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3.1 具有独立法人资格；</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3.2 同时具有下列资质：</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①工程勘察综合资质或工程勘察专业类(岩土工程勘察)乙级(或以上)资质；</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②工程设计综合资质或工程设计水利行业乙级（或以上）资质；</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3.3 拟投入本项目的设计负责人须具有水利水电类专业中级（或以上）职称；</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3.4 拟投入本项目的勘察负责人须具有工程地质或岩土工程类专业中级（或以上）职称；</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3.5 投标人已在广东省水利建设市场信用信息平台完成信息录入手续；</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3.6 本次招标接受联合体投标，应满足下列要求：</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①</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由不多于2家具有独立法人资格的单位组成一个联合体，且须由设计单位作为联合体牵头方；</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②</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联合体各方应当分别具备承担勘察、设计的资质条件。联合体各方必须向招标人提供有效的联合体协议书；</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3 \* GB3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③</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联合体成员不得再以自己名义单独投标，也不得组成新的联合体或参加其他联合体在本项目中投标；</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4 \* GB3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④</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其投标文件以及中标时签订的合同，对联合体各方都产生约束力。</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招标文件获取方式、投标登记、投标文件递交及开标时间、地点</w:t>
      </w:r>
    </w:p>
    <w:p>
      <w:pPr>
        <w:adjustRightInd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4.1 招标文件获取：招标公告网上发布的同时，通过广州公共资源交易中心网站和广东省招标投标监管网发布电子招标文件，与本招标项目相关的其他技术文件随招标公告通过广州公共资源交易中心网站发布，由投标人自行下载。</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 投标登记、递交投标文件时间及地点：</w:t>
      </w:r>
      <w:r>
        <w:rPr>
          <w:rFonts w:hint="eastAsia" w:ascii="仿宋" w:hAnsi="仿宋" w:eastAsia="仿宋" w:cs="仿宋"/>
          <w:color w:val="auto"/>
          <w:sz w:val="24"/>
          <w:highlight w:val="none"/>
          <w:u w:val="single"/>
        </w:rPr>
        <w:t>2022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lang w:val="en-US" w:eastAsia="zh-CN"/>
        </w:rPr>
        <w:t>45</w:t>
      </w:r>
      <w:r>
        <w:rPr>
          <w:rFonts w:hint="eastAsia" w:ascii="仿宋" w:hAnsi="仿宋" w:eastAsia="仿宋" w:cs="仿宋"/>
          <w:color w:val="auto"/>
          <w:sz w:val="24"/>
          <w:highlight w:val="none"/>
        </w:rPr>
        <w:t>分至</w:t>
      </w:r>
      <w:r>
        <w:rPr>
          <w:rFonts w:hint="eastAsia" w:ascii="仿宋" w:hAnsi="仿宋" w:eastAsia="仿宋" w:cs="仿宋"/>
          <w:color w:val="auto"/>
          <w:sz w:val="24"/>
          <w:highlight w:val="none"/>
          <w:u w:val="single"/>
        </w:rPr>
        <w:t>2022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rPr>
        <w:t>分，地点：广州公共资源交易中心第</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rPr>
        <w:t>开标室。</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投标人在递交投标文件及办理投标登记手续时</w:t>
      </w:r>
      <w:r>
        <w:rPr>
          <w:rFonts w:hint="eastAsia" w:ascii="仿宋" w:hAnsi="仿宋" w:eastAsia="仿宋" w:cs="仿宋"/>
          <w:color w:val="auto"/>
          <w:spacing w:val="1"/>
          <w:kern w:val="0"/>
          <w:sz w:val="24"/>
          <w:highlight w:val="none"/>
        </w:rPr>
        <w:t>须</w:t>
      </w:r>
      <w:r>
        <w:rPr>
          <w:rFonts w:hint="eastAsia" w:ascii="仿宋" w:hAnsi="仿宋" w:eastAsia="仿宋" w:cs="仿宋"/>
          <w:color w:val="auto"/>
          <w:spacing w:val="1"/>
          <w:kern w:val="0"/>
          <w:sz w:val="24"/>
          <w:highlight w:val="none"/>
          <w:lang w:val="en-US" w:eastAsia="zh-CN"/>
        </w:rPr>
        <w:t>由</w:t>
      </w:r>
      <w:r>
        <w:rPr>
          <w:rFonts w:hint="eastAsia" w:ascii="仿宋" w:hAnsi="仿宋" w:eastAsia="仿宋" w:cs="仿宋"/>
          <w:color w:val="auto"/>
          <w:spacing w:val="1"/>
          <w:kern w:val="0"/>
          <w:sz w:val="24"/>
          <w:highlight w:val="none"/>
        </w:rPr>
        <w:t>法定代表人或其委托代理人</w:t>
      </w:r>
      <w:r>
        <w:rPr>
          <w:rFonts w:hint="eastAsia" w:ascii="仿宋" w:hAnsi="仿宋" w:eastAsia="仿宋" w:cs="仿宋"/>
          <w:color w:val="auto"/>
          <w:sz w:val="24"/>
          <w:highlight w:val="none"/>
        </w:rPr>
        <w:t>持有以下资料：①填妥并盖章的《投标登记申请表》两份，表格可从广州公共资源交易中心网站“服务指南”栏目下载。②法定代表人证明书原件、法定代表人授权委托证明书原件（非法定代表人参加时提供）、</w:t>
      </w:r>
      <w:r>
        <w:rPr>
          <w:rFonts w:hint="eastAsia" w:ascii="仿宋" w:hAnsi="仿宋" w:eastAsia="仿宋" w:cs="仿宋"/>
          <w:color w:val="auto"/>
          <w:sz w:val="24"/>
          <w:highlight w:val="none"/>
          <w:lang w:val="en-US" w:eastAsia="zh-CN"/>
        </w:rPr>
        <w:t>参与</w:t>
      </w:r>
      <w:r>
        <w:rPr>
          <w:rFonts w:hint="eastAsia" w:ascii="仿宋" w:hAnsi="仿宋" w:eastAsia="仿宋" w:cs="仿宋"/>
          <w:color w:val="auto"/>
          <w:sz w:val="24"/>
          <w:highlight w:val="none"/>
        </w:rPr>
        <w:t>本人身份证复印件（提供原件核对）。③联合体共同投标协议原件一份（若联合体投标）。投标人未按规定提交上述资料的，不予接收其投标文件。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开标时间、地点：</w:t>
      </w:r>
      <w:r>
        <w:rPr>
          <w:rFonts w:hint="eastAsia" w:ascii="仿宋" w:hAnsi="仿宋" w:eastAsia="仿宋" w:cs="仿宋"/>
          <w:color w:val="auto"/>
          <w:sz w:val="24"/>
          <w:highlight w:val="none"/>
          <w:u w:val="single"/>
        </w:rPr>
        <w:t>2022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lang w:val="en-US" w:eastAsia="zh-CN"/>
        </w:rPr>
        <w:t>30</w:t>
      </w:r>
      <w:bookmarkStart w:id="3" w:name="_GoBack"/>
      <w:bookmarkEnd w:id="3"/>
      <w:r>
        <w:rPr>
          <w:rFonts w:hint="eastAsia" w:ascii="仿宋" w:hAnsi="仿宋" w:eastAsia="仿宋" w:cs="仿宋"/>
          <w:color w:val="auto"/>
          <w:sz w:val="24"/>
          <w:highlight w:val="none"/>
        </w:rPr>
        <w:t>分、地点：广州公共资源交易中心第</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rPr>
        <w:t>开标室。</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widowControl/>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4.4 投标人在投标登记前须在广州公共资源交易中心企业库中完成信息登记。</w:t>
      </w:r>
    </w:p>
    <w:p>
      <w:pPr>
        <w:adjustRightInd w:val="0"/>
        <w:snapToGrid w:val="0"/>
        <w:spacing w:line="360" w:lineRule="auto"/>
        <w:ind w:firstLine="482" w:firstLineChars="200"/>
        <w:rPr>
          <w:rFonts w:hint="eastAsia" w:ascii="仿宋" w:hAnsi="仿宋" w:eastAsia="仿宋" w:cs="仿宋"/>
          <w:color w:val="auto"/>
          <w:sz w:val="24"/>
          <w:highlight w:val="none"/>
        </w:rPr>
      </w:pPr>
      <w:bookmarkStart w:id="1" w:name="_Toc256773125"/>
      <w:bookmarkStart w:id="2" w:name="_Toc263413137"/>
      <w:r>
        <w:rPr>
          <w:rFonts w:hint="eastAsia" w:ascii="仿宋" w:hAnsi="仿宋" w:eastAsia="仿宋" w:cs="仿宋"/>
          <w:b/>
          <w:color w:val="auto"/>
          <w:sz w:val="24"/>
          <w:highlight w:val="none"/>
        </w:rPr>
        <w:t>5．踏勘现场</w:t>
      </w:r>
      <w:bookmarkEnd w:id="1"/>
      <w:bookmarkEnd w:id="2"/>
      <w:r>
        <w:rPr>
          <w:rFonts w:hint="eastAsia" w:ascii="仿宋" w:hAnsi="仿宋" w:eastAsia="仿宋" w:cs="仿宋"/>
          <w:b/>
          <w:color w:val="auto"/>
          <w:sz w:val="24"/>
          <w:highlight w:val="none"/>
        </w:rPr>
        <w:t>和投标预备会</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本项目招标人不统一组织踏勘现场；本项目招标人不召开投标预备会，疑问及答疑以传真形式进行。</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 发布公告的媒介</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本招标公告同时在广东省招标投标监管网、广州公共资源交易中心网站等媒体发布。</w:t>
      </w:r>
    </w:p>
    <w:p>
      <w:pPr>
        <w:adjustRightInd w:val="0"/>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 招标人及招标代理机构联系方式</w:t>
      </w: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招标人：阳江市江城区河道堤防管护中心  </w:t>
      </w: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联系人：詹工</w:t>
      </w: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电话：0662-3182182</w:t>
      </w:r>
    </w:p>
    <w:p>
      <w:pPr>
        <w:adjustRightInd w:val="0"/>
        <w:snapToGrid w:val="0"/>
        <w:spacing w:line="360" w:lineRule="auto"/>
        <w:ind w:firstLine="616" w:firstLineChars="257"/>
        <w:rPr>
          <w:rFonts w:hint="eastAsia" w:ascii="仿宋" w:hAnsi="仿宋" w:eastAsia="仿宋" w:cs="仿宋"/>
          <w:color w:val="auto"/>
          <w:sz w:val="24"/>
          <w:highlight w:val="none"/>
        </w:rPr>
      </w:pP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招标代理机构：广东国正招标代理有限公司</w:t>
      </w: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联系人：徐先生</w:t>
      </w:r>
    </w:p>
    <w:p>
      <w:pPr>
        <w:adjustRightInd w:val="0"/>
        <w:snapToGrid w:val="0"/>
        <w:spacing w:line="360" w:lineRule="auto"/>
        <w:ind w:firstLine="616" w:firstLine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电话：13682206118</w:t>
      </w:r>
    </w:p>
    <w:p>
      <w:pPr>
        <w:rPr>
          <w:rFonts w:hint="eastAsia" w:ascii="仿宋" w:hAnsi="仿宋" w:eastAsia="仿宋" w:cs="仿宋"/>
          <w:snapToGrid w:val="0"/>
          <w:color w:val="auto"/>
          <w:kern w:val="0"/>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联合体协议书</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和             </w:t>
      </w:r>
      <w:r>
        <w:rPr>
          <w:rFonts w:hint="eastAsia" w:ascii="仿宋" w:hAnsi="仿宋" w:eastAsia="仿宋" w:cs="仿宋"/>
          <w:color w:val="auto"/>
          <w:highlight w:val="none"/>
        </w:rPr>
        <w:t>（所有成员单位名称）自愿组成联合体，参加</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投标。现就联合体投标事宜订立如下协议。</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为联合体牵头方，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为联合体成员。</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3、联合体将严格按照招标文件的各项要求，递交投标文件，履行合同，并对外承担连带责任。</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4、如中标，联合体内部将遵守以下规则：</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a．联合体各方与业主签订合同书，并就中标项目向发包人负责有连带的和各自的法律责任；</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b．联合体牵头方代表联合体成员承担责任和接受业主的指令、指示和通知，在整个合同实施过程中包括工程价款接收等有关事宜由联合体牵头方负责；</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c．联合体各方的职责分工如下：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d．联合体各方将依照上述分工原则，就各方的具体工作范围和相应的责任、权利和义务，另行签订协议或合同，并报发包人。</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5、投标工作和中标后工程实施过程中的有关费用，按联合体成员各自承担的工作分摊。</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6、本协议书自签署之日起生效，合同履行完毕后自动失效。 </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7、本协议书正本一式份，送发包人一份，</w:t>
      </w:r>
      <w:r>
        <w:rPr>
          <w:rFonts w:hint="eastAsia" w:ascii="仿宋" w:hAnsi="仿宋" w:eastAsia="仿宋" w:cs="仿宋"/>
          <w:color w:val="auto"/>
          <w:highlight w:val="none"/>
          <w:lang w:eastAsia="zh-CN"/>
        </w:rPr>
        <w:t>投标登记</w:t>
      </w:r>
      <w:r>
        <w:rPr>
          <w:rFonts w:hint="eastAsia" w:ascii="仿宋" w:hAnsi="仿宋" w:eastAsia="仿宋" w:cs="仿宋"/>
          <w:color w:val="auto"/>
          <w:highlight w:val="none"/>
        </w:rPr>
        <w:t>时提交一份，联合体成员各执份；副本一式份，联合体成员各执份。</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注：本协议书由委托代理人签字的，应附法定代表人签字的授权委托书。</w:t>
      </w:r>
    </w:p>
    <w:p>
      <w:pPr>
        <w:topLinePunct/>
        <w:spacing w:line="360" w:lineRule="auto"/>
        <w:ind w:firstLine="2158" w:firstLineChars="1028"/>
        <w:rPr>
          <w:rFonts w:hint="eastAsia" w:ascii="仿宋" w:hAnsi="仿宋" w:eastAsia="仿宋" w:cs="仿宋"/>
          <w:color w:val="auto"/>
          <w:highlight w:val="none"/>
        </w:rPr>
      </w:pP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牵头方名称：（盖单位章）</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法定代表人或其委托代理人：（签字）</w:t>
      </w:r>
    </w:p>
    <w:p>
      <w:pPr>
        <w:topLinePunct/>
        <w:spacing w:line="360" w:lineRule="auto"/>
        <w:ind w:firstLine="2158" w:firstLineChars="1028"/>
        <w:rPr>
          <w:rFonts w:hint="eastAsia" w:ascii="仿宋" w:hAnsi="仿宋" w:eastAsia="仿宋" w:cs="仿宋"/>
          <w:color w:val="auto"/>
          <w:highlight w:val="none"/>
        </w:rPr>
      </w:pPr>
    </w:p>
    <w:p>
      <w:pPr>
        <w:topLinePunct/>
        <w:spacing w:line="360" w:lineRule="auto"/>
        <w:ind w:firstLine="2158" w:firstLineChars="1028"/>
        <w:rPr>
          <w:rFonts w:hint="eastAsia" w:ascii="仿宋" w:hAnsi="仿宋" w:eastAsia="仿宋" w:cs="仿宋"/>
          <w:color w:val="auto"/>
          <w:highlight w:val="none"/>
        </w:rPr>
      </w:pP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成员名称：（盖单位章）</w:t>
      </w:r>
    </w:p>
    <w:p>
      <w:pPr>
        <w:topLinePunct/>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法定代表人或其委托代理人：（签字）</w:t>
      </w:r>
    </w:p>
    <w:p>
      <w:pPr>
        <w:topLinePunct/>
        <w:spacing w:line="360" w:lineRule="auto"/>
        <w:rPr>
          <w:rFonts w:hint="eastAsia" w:ascii="仿宋" w:hAnsi="仿宋" w:eastAsia="仿宋" w:cs="仿宋"/>
          <w:color w:val="auto"/>
          <w:highlight w:val="none"/>
        </w:rPr>
      </w:pPr>
    </w:p>
    <w:p>
      <w:pPr>
        <w:wordWrap w:val="0"/>
        <w:ind w:right="525" w:firstLine="2158" w:firstLineChars="1028"/>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pPr>
        <w:adjustRightInd w:val="0"/>
        <w:snapToGrid w:val="0"/>
        <w:spacing w:line="360" w:lineRule="auto"/>
        <w:ind w:firstLine="616" w:firstLineChars="257"/>
        <w:rPr>
          <w:rFonts w:hint="eastAsia" w:ascii="仿宋" w:hAnsi="仿宋" w:eastAsia="仿宋" w:cs="仿宋"/>
          <w:color w:val="auto"/>
          <w:sz w:val="24"/>
          <w:highlight w:val="none"/>
        </w:rPr>
      </w:pPr>
    </w:p>
    <w:sectPr>
      <w:pgSz w:w="11906" w:h="16838"/>
      <w:pgMar w:top="1157" w:right="1080" w:bottom="1157"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007E6CFF-7D91-4BF2-BB8D-96219B5C96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YzEzZGI4ZGZmMTY2MjM0MjU3MTUzYzQ3NmQzYTkifQ=="/>
  </w:docVars>
  <w:rsids>
    <w:rsidRoot w:val="00000000"/>
    <w:rsid w:val="02C848FD"/>
    <w:rsid w:val="04247911"/>
    <w:rsid w:val="04367644"/>
    <w:rsid w:val="08AE3825"/>
    <w:rsid w:val="0A256191"/>
    <w:rsid w:val="0D4032E2"/>
    <w:rsid w:val="126006AE"/>
    <w:rsid w:val="126B1F8B"/>
    <w:rsid w:val="12CA1FCB"/>
    <w:rsid w:val="134E49AB"/>
    <w:rsid w:val="13B862C8"/>
    <w:rsid w:val="145457CD"/>
    <w:rsid w:val="17345B41"/>
    <w:rsid w:val="17864962"/>
    <w:rsid w:val="1B375D24"/>
    <w:rsid w:val="1C0878DC"/>
    <w:rsid w:val="1CD557F5"/>
    <w:rsid w:val="1E89218A"/>
    <w:rsid w:val="1F3031B6"/>
    <w:rsid w:val="20063D09"/>
    <w:rsid w:val="232D29DC"/>
    <w:rsid w:val="24415E66"/>
    <w:rsid w:val="248C70E1"/>
    <w:rsid w:val="24AB32DF"/>
    <w:rsid w:val="24C925A7"/>
    <w:rsid w:val="2763447F"/>
    <w:rsid w:val="276F4A98"/>
    <w:rsid w:val="27F37477"/>
    <w:rsid w:val="29424212"/>
    <w:rsid w:val="2ADE4B55"/>
    <w:rsid w:val="2CCE400E"/>
    <w:rsid w:val="2D3D20CA"/>
    <w:rsid w:val="2E0221C2"/>
    <w:rsid w:val="2E1F7CA0"/>
    <w:rsid w:val="2E532A1D"/>
    <w:rsid w:val="2F1B72A0"/>
    <w:rsid w:val="30161F54"/>
    <w:rsid w:val="30CE0417"/>
    <w:rsid w:val="31A00FA3"/>
    <w:rsid w:val="33DC1707"/>
    <w:rsid w:val="342C36F9"/>
    <w:rsid w:val="3776777C"/>
    <w:rsid w:val="38AA5930"/>
    <w:rsid w:val="38E70932"/>
    <w:rsid w:val="3B800BCA"/>
    <w:rsid w:val="3F4E11FA"/>
    <w:rsid w:val="40947886"/>
    <w:rsid w:val="40AC3EF0"/>
    <w:rsid w:val="454113CA"/>
    <w:rsid w:val="46F10BCE"/>
    <w:rsid w:val="49DC7913"/>
    <w:rsid w:val="4A9E2E1A"/>
    <w:rsid w:val="4BF437AB"/>
    <w:rsid w:val="4DC82688"/>
    <w:rsid w:val="4EFB083B"/>
    <w:rsid w:val="50887972"/>
    <w:rsid w:val="538F59F6"/>
    <w:rsid w:val="567A473C"/>
    <w:rsid w:val="58694A68"/>
    <w:rsid w:val="58946FF4"/>
    <w:rsid w:val="58C16652"/>
    <w:rsid w:val="59AF294E"/>
    <w:rsid w:val="5A1D4B38"/>
    <w:rsid w:val="5BB26726"/>
    <w:rsid w:val="5C6E089F"/>
    <w:rsid w:val="5FBD1A5D"/>
    <w:rsid w:val="617C75F0"/>
    <w:rsid w:val="61820980"/>
    <w:rsid w:val="661922F7"/>
    <w:rsid w:val="686F60CA"/>
    <w:rsid w:val="68E00D76"/>
    <w:rsid w:val="69110F2F"/>
    <w:rsid w:val="693D1D24"/>
    <w:rsid w:val="69CE0BCF"/>
    <w:rsid w:val="70C1148D"/>
    <w:rsid w:val="715A71EC"/>
    <w:rsid w:val="73616D84"/>
    <w:rsid w:val="75524DAA"/>
    <w:rsid w:val="76C57B5D"/>
    <w:rsid w:val="77091498"/>
    <w:rsid w:val="77A91D2B"/>
    <w:rsid w:val="78F10436"/>
    <w:rsid w:val="7A440A39"/>
    <w:rsid w:val="7AFE02D2"/>
    <w:rsid w:val="7E636806"/>
    <w:rsid w:val="7EBA751C"/>
    <w:rsid w:val="7FA75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eastAsia="仿宋_GB2312"/>
      <w:b/>
      <w:bCs/>
      <w:kern w:val="0"/>
      <w:sz w:val="30"/>
      <w:szCs w:val="30"/>
    </w:rPr>
  </w:style>
  <w:style w:type="paragraph" w:styleId="3">
    <w:name w:val="Body Text"/>
    <w:basedOn w:val="1"/>
    <w:qFormat/>
    <w:uiPriority w:val="0"/>
    <w:pPr>
      <w:spacing w:after="120"/>
    </w:pPr>
  </w:style>
  <w:style w:type="paragraph" w:styleId="4">
    <w:name w:val="Plain Text"/>
    <w:basedOn w:val="1"/>
    <w:next w:val="5"/>
    <w:qFormat/>
    <w:uiPriority w:val="0"/>
    <w:rPr>
      <w:rFonts w:ascii="宋体" w:hAnsi="Courier New"/>
      <w:sz w:val="24"/>
      <w:szCs w:val="20"/>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2156</Words>
  <Characters>2258</Characters>
  <Lines>0</Lines>
  <Paragraphs>0</Paragraphs>
  <TotalTime>3</TotalTime>
  <ScaleCrop>false</ScaleCrop>
  <LinksUpToDate>false</LinksUpToDate>
  <CharactersWithSpaces>2349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2022-08-17T08:33:00Z</dcterms:created>
  <dc:creator>广东龙晟</dc:creator>
  <cp:lastModifiedBy>~Ling~</cp:lastModifiedBy>
  <dcterms:modified xsi:type="dcterms:W3CDTF">2022-11-23T07:38:06Z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150F0E6FFE6447A1B1783528CA748013</vt:lpwstr>
  </property>
</Properties>
</file>