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42C879">
      <w:pPr>
        <w:spacing w:line="360" w:lineRule="auto"/>
        <w:ind w:left="359" w:leftChars="171"/>
        <w:jc w:val="left"/>
        <w:rPr>
          <w:rFonts w:hint="eastAsia" w:ascii="宋体" w:hAnsi="宋体" w:cs="宋体"/>
          <w:b/>
          <w:bCs/>
          <w:color w:val="auto"/>
          <w:spacing w:val="40"/>
          <w:sz w:val="44"/>
          <w:szCs w:val="44"/>
          <w:highlight w:val="none"/>
        </w:rPr>
      </w:pPr>
      <w:bookmarkStart w:id="100" w:name="_GoBack"/>
    </w:p>
    <w:p w14:paraId="5F89702F">
      <w:pPr>
        <w:spacing w:line="360" w:lineRule="auto"/>
        <w:ind w:left="359" w:leftChars="171"/>
        <w:jc w:val="left"/>
        <w:rPr>
          <w:rFonts w:hint="eastAsia" w:ascii="宋体" w:hAnsi="宋体" w:cs="宋体"/>
          <w:b/>
          <w:bCs/>
          <w:color w:val="auto"/>
          <w:spacing w:val="40"/>
          <w:sz w:val="44"/>
          <w:szCs w:val="44"/>
          <w:highlight w:val="none"/>
        </w:rPr>
      </w:pPr>
    </w:p>
    <w:p w14:paraId="0A760C26">
      <w:pPr>
        <w:pStyle w:val="41"/>
        <w:ind w:left="420" w:firstLine="420"/>
        <w:rPr>
          <w:color w:val="auto"/>
          <w:highlight w:val="none"/>
        </w:rPr>
      </w:pPr>
    </w:p>
    <w:p w14:paraId="7C51C432">
      <w:pPr>
        <w:spacing w:line="360" w:lineRule="auto"/>
        <w:ind w:right="-168" w:rightChars="-80"/>
        <w:jc w:val="center"/>
        <w:rPr>
          <w:rFonts w:hint="eastAsia" w:ascii="宋体" w:hAnsi="宋体" w:eastAsia="宋体" w:cs="宋体"/>
          <w:b/>
          <w:bCs/>
          <w:color w:val="auto"/>
          <w:spacing w:val="26"/>
          <w:sz w:val="52"/>
          <w:szCs w:val="52"/>
          <w:highlight w:val="none"/>
          <w:lang w:eastAsia="zh-CN"/>
        </w:rPr>
      </w:pPr>
      <w:r>
        <w:rPr>
          <w:rFonts w:hint="eastAsia" w:ascii="宋体" w:hAnsi="宋体" w:cs="宋体"/>
          <w:b/>
          <w:bCs/>
          <w:color w:val="auto"/>
          <w:spacing w:val="26"/>
          <w:sz w:val="52"/>
          <w:szCs w:val="52"/>
          <w:highlight w:val="none"/>
          <w:lang w:eastAsia="zh-CN"/>
        </w:rPr>
        <w:t>福山循环经济产业园生活垃圾应急综合处理项目医疗废物协同处置设施扩建工程第二阶段土建施工总承包</w:t>
      </w:r>
    </w:p>
    <w:p w14:paraId="57E0C393">
      <w:pPr>
        <w:pStyle w:val="22"/>
        <w:rPr>
          <w:rFonts w:hint="eastAsia" w:hAnsi="宋体" w:cs="宋体"/>
          <w:color w:val="auto"/>
          <w:highlight w:val="none"/>
        </w:rPr>
      </w:pPr>
    </w:p>
    <w:p w14:paraId="7FC52B90">
      <w:pPr>
        <w:spacing w:line="360" w:lineRule="auto"/>
        <w:jc w:val="center"/>
        <w:rPr>
          <w:rFonts w:hint="eastAsia" w:ascii="宋体" w:hAnsi="宋体" w:cs="宋体"/>
          <w:b/>
          <w:bCs/>
          <w:color w:val="auto"/>
          <w:spacing w:val="26"/>
          <w:sz w:val="72"/>
          <w:szCs w:val="72"/>
          <w:highlight w:val="none"/>
        </w:rPr>
      </w:pPr>
    </w:p>
    <w:p w14:paraId="10B1EB98">
      <w:pPr>
        <w:pStyle w:val="41"/>
        <w:ind w:left="420" w:firstLine="420"/>
        <w:rPr>
          <w:rFonts w:hint="eastAsia" w:ascii="宋体" w:hAnsi="宋体" w:cs="宋体"/>
          <w:color w:val="auto"/>
          <w:highlight w:val="none"/>
          <w:lang w:eastAsia="zh-CN"/>
        </w:rPr>
      </w:pPr>
    </w:p>
    <w:p w14:paraId="3454EFDB">
      <w:pPr>
        <w:spacing w:line="360" w:lineRule="auto"/>
        <w:jc w:val="center"/>
        <w:rPr>
          <w:rFonts w:hint="eastAsia" w:ascii="宋体" w:hAnsi="宋体" w:cs="宋体"/>
          <w:b/>
          <w:bCs/>
          <w:color w:val="auto"/>
          <w:spacing w:val="26"/>
          <w:sz w:val="72"/>
          <w:szCs w:val="72"/>
          <w:highlight w:val="none"/>
        </w:rPr>
      </w:pPr>
    </w:p>
    <w:p w14:paraId="06E09965">
      <w:pPr>
        <w:spacing w:line="360" w:lineRule="auto"/>
        <w:jc w:val="center"/>
        <w:rPr>
          <w:rFonts w:hint="eastAsia" w:ascii="宋体" w:hAnsi="宋体" w:cs="宋体"/>
          <w:b/>
          <w:bCs/>
          <w:color w:val="auto"/>
          <w:spacing w:val="26"/>
          <w:sz w:val="72"/>
          <w:szCs w:val="72"/>
          <w:highlight w:val="none"/>
        </w:rPr>
      </w:pPr>
      <w:r>
        <w:rPr>
          <w:rFonts w:hint="eastAsia" w:ascii="宋体" w:hAnsi="宋体" w:cs="宋体"/>
          <w:b/>
          <w:bCs/>
          <w:color w:val="auto"/>
          <w:spacing w:val="26"/>
          <w:sz w:val="72"/>
          <w:szCs w:val="72"/>
          <w:highlight w:val="none"/>
        </w:rPr>
        <w:t>招标文件</w:t>
      </w:r>
    </w:p>
    <w:p w14:paraId="64BE5681">
      <w:pPr>
        <w:spacing w:line="360" w:lineRule="auto"/>
        <w:jc w:val="center"/>
        <w:rPr>
          <w:rFonts w:hint="eastAsia" w:ascii="宋体" w:hAnsi="宋体" w:cs="宋体"/>
          <w:color w:val="auto"/>
          <w:sz w:val="32"/>
          <w:highlight w:val="none"/>
        </w:rPr>
      </w:pPr>
    </w:p>
    <w:p w14:paraId="3463DFA8">
      <w:pPr>
        <w:spacing w:line="360" w:lineRule="auto"/>
        <w:ind w:firstLine="2560" w:firstLineChars="800"/>
        <w:rPr>
          <w:rFonts w:hint="eastAsia" w:ascii="宋体" w:hAnsi="宋体" w:cs="宋体"/>
          <w:color w:val="auto"/>
          <w:sz w:val="32"/>
          <w:highlight w:val="none"/>
        </w:rPr>
      </w:pPr>
    </w:p>
    <w:p w14:paraId="301E390F">
      <w:pPr>
        <w:rPr>
          <w:rFonts w:hint="eastAsia" w:ascii="宋体" w:hAnsi="宋体" w:cs="宋体"/>
          <w:color w:val="auto"/>
          <w:sz w:val="30"/>
          <w:szCs w:val="30"/>
          <w:highlight w:val="none"/>
        </w:rPr>
      </w:pPr>
    </w:p>
    <w:p w14:paraId="17765AD7">
      <w:pPr>
        <w:rPr>
          <w:rFonts w:hint="eastAsia" w:ascii="宋体" w:hAnsi="宋体" w:cs="宋体"/>
          <w:color w:val="auto"/>
          <w:sz w:val="30"/>
          <w:szCs w:val="30"/>
          <w:highlight w:val="none"/>
        </w:rPr>
      </w:pPr>
    </w:p>
    <w:p w14:paraId="160E14AD">
      <w:pPr>
        <w:pStyle w:val="22"/>
        <w:rPr>
          <w:rFonts w:hint="eastAsia" w:hAnsi="宋体" w:cs="宋体"/>
          <w:color w:val="auto"/>
          <w:highlight w:val="none"/>
        </w:rPr>
      </w:pPr>
    </w:p>
    <w:p w14:paraId="53F7D515">
      <w:pPr>
        <w:rPr>
          <w:rFonts w:hint="eastAsia" w:ascii="宋体" w:hAnsi="宋体" w:cs="宋体"/>
          <w:color w:val="auto"/>
          <w:highlight w:val="none"/>
        </w:rPr>
      </w:pPr>
    </w:p>
    <w:p w14:paraId="28D8F7C1">
      <w:pPr>
        <w:spacing w:line="360" w:lineRule="auto"/>
        <w:ind w:firstLine="900" w:firstLineChars="300"/>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u w:val="single"/>
          <w:lang w:eastAsia="zh-CN"/>
        </w:rPr>
        <w:t>广州环投福山环保能源有限公司</w:t>
      </w:r>
    </w:p>
    <w:p w14:paraId="34C045A7">
      <w:pPr>
        <w:spacing w:line="360" w:lineRule="auto"/>
        <w:ind w:firstLine="900" w:firstLineChars="300"/>
        <w:rPr>
          <w:rFonts w:hint="eastAsia" w:ascii="宋体" w:hAnsi="宋体" w:cs="宋体"/>
          <w:color w:val="auto"/>
          <w:sz w:val="30"/>
          <w:szCs w:val="30"/>
          <w:highlight w:val="non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u w:val="single"/>
        </w:rPr>
        <w:t>广东粤能工程管理有限公司</w:t>
      </w:r>
    </w:p>
    <w:p w14:paraId="6A68A6FC">
      <w:pPr>
        <w:spacing w:line="360" w:lineRule="auto"/>
        <w:ind w:firstLine="900" w:firstLineChars="300"/>
        <w:rPr>
          <w:rFonts w:hint="eastAsia" w:ascii="宋体" w:hAnsi="宋体" w:cs="宋体"/>
          <w:color w:val="auto"/>
          <w:sz w:val="30"/>
          <w:szCs w:val="30"/>
          <w:highlight w:val="none"/>
        </w:rPr>
      </w:pPr>
      <w:r>
        <w:rPr>
          <w:rFonts w:hint="eastAsia" w:ascii="宋体" w:hAnsi="宋体" w:cs="宋体"/>
          <w:color w:val="auto"/>
          <w:sz w:val="30"/>
          <w:szCs w:val="30"/>
          <w:highlight w:val="none"/>
        </w:rPr>
        <w:t>日        期：</w:t>
      </w:r>
      <w:r>
        <w:rPr>
          <w:rFonts w:hint="eastAsia" w:ascii="宋体" w:hAnsi="宋体" w:cs="宋体"/>
          <w:color w:val="auto"/>
          <w:sz w:val="30"/>
          <w:szCs w:val="30"/>
          <w:highlight w:val="none"/>
          <w:u w:val="single"/>
        </w:rPr>
        <w:t>2025年</w:t>
      </w:r>
      <w:r>
        <w:rPr>
          <w:rFonts w:hint="eastAsia" w:ascii="宋体" w:hAnsi="宋体" w:cs="宋体"/>
          <w:color w:val="auto"/>
          <w:sz w:val="30"/>
          <w:szCs w:val="30"/>
          <w:highlight w:val="none"/>
          <w:u w:val="single"/>
          <w:lang w:val="en-US" w:eastAsia="zh-CN"/>
        </w:rPr>
        <w:t>6</w:t>
      </w:r>
      <w:r>
        <w:rPr>
          <w:rFonts w:hint="eastAsia" w:ascii="宋体" w:hAnsi="宋体" w:cs="宋体"/>
          <w:color w:val="auto"/>
          <w:sz w:val="30"/>
          <w:szCs w:val="30"/>
          <w:highlight w:val="none"/>
          <w:u w:val="single"/>
        </w:rPr>
        <w:t>月</w:t>
      </w:r>
    </w:p>
    <w:p w14:paraId="51DA74AB">
      <w:pPr>
        <w:spacing w:before="312" w:beforeLines="100" w:after="312" w:afterLines="100" w:line="360" w:lineRule="auto"/>
        <w:jc w:val="center"/>
        <w:rPr>
          <w:rFonts w:hint="eastAsia" w:ascii="宋体" w:hAnsi="宋体" w:cs="宋体"/>
          <w:b/>
          <w:caps/>
          <w:color w:val="auto"/>
          <w:kern w:val="0"/>
          <w:highlight w:val="none"/>
        </w:rPr>
      </w:pPr>
      <w:r>
        <w:rPr>
          <w:rFonts w:hint="eastAsia" w:ascii="宋体" w:hAnsi="宋体" w:cs="宋体"/>
          <w:color w:val="auto"/>
          <w:sz w:val="30"/>
          <w:szCs w:val="30"/>
          <w:highlight w:val="none"/>
        </w:rPr>
        <w:br w:type="page"/>
      </w:r>
      <w:r>
        <w:rPr>
          <w:rStyle w:val="49"/>
          <w:rFonts w:hint="eastAsia" w:ascii="宋体" w:hAnsi="宋体" w:cs="宋体"/>
          <w:b/>
          <w:bCs/>
          <w:color w:val="auto"/>
          <w:sz w:val="44"/>
          <w:szCs w:val="44"/>
          <w:highlight w:val="none"/>
          <w:u w:val="none"/>
        </w:rPr>
        <w:t>目录</w:t>
      </w:r>
    </w:p>
    <w:p w14:paraId="35781A63">
      <w:pPr>
        <w:pStyle w:val="31"/>
        <w:tabs>
          <w:tab w:val="right" w:leader="dot" w:pos="9070"/>
          <w:tab w:val="clear" w:pos="9060"/>
        </w:tabs>
        <w:rPr>
          <w:color w:val="auto"/>
          <w:highlight w:val="none"/>
        </w:rPr>
      </w:pPr>
      <w:r>
        <w:rPr>
          <w:rFonts w:hint="eastAsia" w:hAnsi="宋体" w:cs="宋体"/>
          <w:color w:val="auto"/>
          <w:sz w:val="32"/>
          <w:highlight w:val="none"/>
        </w:rPr>
        <w:fldChar w:fldCharType="begin"/>
      </w:r>
      <w:r>
        <w:rPr>
          <w:rFonts w:hint="eastAsia" w:hAnsi="宋体" w:cs="宋体"/>
          <w:color w:val="auto"/>
          <w:sz w:val="32"/>
          <w:highlight w:val="none"/>
        </w:rPr>
        <w:instrText xml:space="preserve"> TOC \o "1-3" \h \z \u </w:instrText>
      </w:r>
      <w:r>
        <w:rPr>
          <w:rFonts w:hint="eastAsia" w:hAnsi="宋体" w:cs="宋体"/>
          <w:color w:val="auto"/>
          <w:sz w:val="32"/>
          <w:highlight w:val="none"/>
        </w:rPr>
        <w:fldChar w:fldCharType="separate"/>
      </w:r>
      <w:r>
        <w:rPr>
          <w:color w:val="auto"/>
          <w:highlight w:val="none"/>
        </w:rPr>
        <w:fldChar w:fldCharType="begin"/>
      </w:r>
      <w:r>
        <w:rPr>
          <w:color w:val="auto"/>
          <w:highlight w:val="none"/>
        </w:rPr>
        <w:instrText xml:space="preserve"> HYPERLINK \l "_Toc4593" </w:instrText>
      </w:r>
      <w:r>
        <w:rPr>
          <w:color w:val="auto"/>
          <w:highlight w:val="none"/>
        </w:rPr>
        <w:fldChar w:fldCharType="separate"/>
      </w:r>
      <w:r>
        <w:rPr>
          <w:rFonts w:hint="eastAsia" w:hAnsi="宋体" w:cs="宋体"/>
          <w:color w:val="auto"/>
          <w:highlight w:val="none"/>
        </w:rPr>
        <w:t>第一章  投标须知</w:t>
      </w:r>
      <w:r>
        <w:rPr>
          <w:color w:val="auto"/>
          <w:highlight w:val="none"/>
        </w:rPr>
        <w:tab/>
      </w:r>
      <w:r>
        <w:rPr>
          <w:color w:val="auto"/>
          <w:highlight w:val="none"/>
        </w:rPr>
        <w:fldChar w:fldCharType="begin"/>
      </w:r>
      <w:r>
        <w:rPr>
          <w:color w:val="auto"/>
          <w:highlight w:val="none"/>
        </w:rPr>
        <w:instrText xml:space="preserve"> PAGEREF _Toc4593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7BEA5B6A">
      <w:pPr>
        <w:pStyle w:val="34"/>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"_Toc10597" </w:instrText>
      </w:r>
      <w:r>
        <w:rPr>
          <w:color w:val="auto"/>
          <w:highlight w:val="none"/>
        </w:rPr>
        <w:fldChar w:fldCharType="separate"/>
      </w:r>
      <w:r>
        <w:rPr>
          <w:rFonts w:hint="eastAsia" w:ascii="宋体" w:hAnsi="宋体" w:cs="宋体"/>
          <w:color w:val="auto"/>
          <w:szCs w:val="28"/>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_Toc10597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46D83E33">
      <w:pPr>
        <w:pStyle w:val="34"/>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"_Toc23812" </w:instrText>
      </w:r>
      <w:r>
        <w:rPr>
          <w:color w:val="auto"/>
          <w:highlight w:val="none"/>
        </w:rPr>
        <w:fldChar w:fldCharType="separate"/>
      </w:r>
      <w:r>
        <w:rPr>
          <w:rFonts w:hint="eastAsia" w:ascii="宋体" w:hAnsi="宋体" w:cs="宋体"/>
          <w:color w:val="auto"/>
          <w:szCs w:val="28"/>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_Toc23812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7B2C09E">
      <w:pPr>
        <w:pStyle w:val="34"/>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"_Toc11734" </w:instrText>
      </w:r>
      <w:r>
        <w:rPr>
          <w:color w:val="auto"/>
          <w:highlight w:val="none"/>
        </w:rPr>
        <w:fldChar w:fldCharType="separate"/>
      </w:r>
      <w:r>
        <w:rPr>
          <w:rFonts w:hint="eastAsia" w:ascii="宋体" w:hAnsi="宋体" w:cs="宋体"/>
          <w:color w:val="auto"/>
          <w:szCs w:val="28"/>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_Toc11734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48B1ED58">
      <w:pPr>
        <w:pStyle w:val="21"/>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"_Toc9393"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_Toc9393 \h </w:instrText>
      </w:r>
      <w:r>
        <w:rPr>
          <w:color w:val="auto"/>
          <w:highlight w:val="none"/>
        </w:rPr>
        <w:fldChar w:fldCharType="separate"/>
      </w:r>
      <w:r>
        <w:rPr>
          <w:color w:val="auto"/>
          <w:highlight w:val="none"/>
        </w:rPr>
        <w:t>24</w:t>
      </w:r>
      <w:r>
        <w:rPr>
          <w:color w:val="auto"/>
          <w:highlight w:val="none"/>
        </w:rPr>
        <w:fldChar w:fldCharType="end"/>
      </w:r>
      <w:r>
        <w:rPr>
          <w:color w:val="auto"/>
          <w:highlight w:val="none"/>
        </w:rPr>
        <w:fldChar w:fldCharType="end"/>
      </w:r>
    </w:p>
    <w:p w14:paraId="5FF8BFC8">
      <w:pPr>
        <w:pStyle w:val="21"/>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"_Toc14112" </w:instrText>
      </w:r>
      <w:r>
        <w:rPr>
          <w:color w:val="auto"/>
          <w:highlight w:val="none"/>
        </w:rPr>
        <w:fldChar w:fldCharType="separate"/>
      </w:r>
      <w:r>
        <w:rPr>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_Toc14112 \h </w:instrText>
      </w:r>
      <w:r>
        <w:rPr>
          <w:color w:val="auto"/>
          <w:highlight w:val="none"/>
        </w:rPr>
        <w:fldChar w:fldCharType="separate"/>
      </w:r>
      <w:r>
        <w:rPr>
          <w:color w:val="auto"/>
          <w:highlight w:val="none"/>
        </w:rPr>
        <w:t>25</w:t>
      </w:r>
      <w:r>
        <w:rPr>
          <w:color w:val="auto"/>
          <w:highlight w:val="none"/>
        </w:rPr>
        <w:fldChar w:fldCharType="end"/>
      </w:r>
      <w:r>
        <w:rPr>
          <w:color w:val="auto"/>
          <w:highlight w:val="none"/>
        </w:rPr>
        <w:fldChar w:fldCharType="end"/>
      </w:r>
    </w:p>
    <w:p w14:paraId="00598205">
      <w:pPr>
        <w:pStyle w:val="21"/>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"_Toc16897" </w:instrText>
      </w:r>
      <w:r>
        <w:rPr>
          <w:color w:val="auto"/>
          <w:highlight w:val="none"/>
        </w:rPr>
        <w:fldChar w:fldCharType="separate"/>
      </w:r>
      <w:r>
        <w:rPr>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_Toc16897 \h </w:instrText>
      </w:r>
      <w:r>
        <w:rPr>
          <w:color w:val="auto"/>
          <w:highlight w:val="none"/>
        </w:rPr>
        <w:fldChar w:fldCharType="separate"/>
      </w:r>
      <w:r>
        <w:rPr>
          <w:color w:val="auto"/>
          <w:highlight w:val="none"/>
        </w:rPr>
        <w:t>26</w:t>
      </w:r>
      <w:r>
        <w:rPr>
          <w:color w:val="auto"/>
          <w:highlight w:val="none"/>
        </w:rPr>
        <w:fldChar w:fldCharType="end"/>
      </w:r>
      <w:r>
        <w:rPr>
          <w:color w:val="auto"/>
          <w:highlight w:val="none"/>
        </w:rPr>
        <w:fldChar w:fldCharType="end"/>
      </w:r>
    </w:p>
    <w:p w14:paraId="009F236E">
      <w:pPr>
        <w:pStyle w:val="21"/>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"_Toc9535" </w:instrText>
      </w:r>
      <w:r>
        <w:rPr>
          <w:color w:val="auto"/>
          <w:highlight w:val="none"/>
        </w:rPr>
        <w:fldChar w:fldCharType="separate"/>
      </w:r>
      <w:r>
        <w:rPr>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_Toc9535 \h </w:instrText>
      </w:r>
      <w:r>
        <w:rPr>
          <w:color w:val="auto"/>
          <w:highlight w:val="none"/>
        </w:rPr>
        <w:fldChar w:fldCharType="separate"/>
      </w:r>
      <w:r>
        <w:rPr>
          <w:color w:val="auto"/>
          <w:highlight w:val="none"/>
        </w:rPr>
        <w:t>33</w:t>
      </w:r>
      <w:r>
        <w:rPr>
          <w:color w:val="auto"/>
          <w:highlight w:val="none"/>
        </w:rPr>
        <w:fldChar w:fldCharType="end"/>
      </w:r>
      <w:r>
        <w:rPr>
          <w:color w:val="auto"/>
          <w:highlight w:val="none"/>
        </w:rPr>
        <w:fldChar w:fldCharType="end"/>
      </w:r>
    </w:p>
    <w:p w14:paraId="1237FE73">
      <w:pPr>
        <w:pStyle w:val="21"/>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"_Toc20628" </w:instrText>
      </w:r>
      <w:r>
        <w:rPr>
          <w:color w:val="auto"/>
          <w:highlight w:val="none"/>
        </w:rPr>
        <w:fldChar w:fldCharType="separate"/>
      </w:r>
      <w:r>
        <w:rPr>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_Toc20628 \h </w:instrText>
      </w:r>
      <w:r>
        <w:rPr>
          <w:color w:val="auto"/>
          <w:highlight w:val="none"/>
        </w:rPr>
        <w:fldChar w:fldCharType="separate"/>
      </w:r>
      <w:r>
        <w:rPr>
          <w:color w:val="auto"/>
          <w:highlight w:val="none"/>
        </w:rPr>
        <w:t>35</w:t>
      </w:r>
      <w:r>
        <w:rPr>
          <w:color w:val="auto"/>
          <w:highlight w:val="none"/>
        </w:rPr>
        <w:fldChar w:fldCharType="end"/>
      </w:r>
      <w:r>
        <w:rPr>
          <w:color w:val="auto"/>
          <w:highlight w:val="none"/>
        </w:rPr>
        <w:fldChar w:fldCharType="end"/>
      </w:r>
    </w:p>
    <w:p w14:paraId="422C2E2B">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"_Toc27994" </w:instrText>
      </w:r>
      <w:r>
        <w:rPr>
          <w:color w:val="auto"/>
          <w:highlight w:val="none"/>
        </w:rPr>
        <w:fldChar w:fldCharType="separate"/>
      </w:r>
      <w:r>
        <w:rPr>
          <w:rFonts w:hint="eastAsia" w:hAnsi="宋体" w:cs="宋体"/>
          <w:color w:val="auto"/>
          <w:highlight w:val="none"/>
        </w:rPr>
        <w:t>第二章  开标、评标及定标办法</w:t>
      </w:r>
      <w:r>
        <w:rPr>
          <w:color w:val="auto"/>
          <w:highlight w:val="none"/>
        </w:rPr>
        <w:tab/>
      </w:r>
      <w:r>
        <w:rPr>
          <w:color w:val="auto"/>
          <w:highlight w:val="none"/>
        </w:rPr>
        <w:fldChar w:fldCharType="begin"/>
      </w:r>
      <w:r>
        <w:rPr>
          <w:color w:val="auto"/>
          <w:highlight w:val="none"/>
        </w:rPr>
        <w:instrText xml:space="preserve"> PAGEREF _Toc27994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0B4B7324">
      <w:pPr>
        <w:pStyle w:val="34"/>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"_Toc8427" </w:instrText>
      </w:r>
      <w:r>
        <w:rPr>
          <w:color w:val="auto"/>
          <w:highlight w:val="none"/>
        </w:rPr>
        <w:fldChar w:fldCharType="separate"/>
      </w:r>
      <w:r>
        <w:rPr>
          <w:rFonts w:hint="eastAsia" w:ascii="宋体" w:hAnsi="宋体" w:cs="宋体"/>
          <w:color w:val="auto"/>
          <w:szCs w:val="28"/>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_Toc8427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7E3F5C68">
      <w:pPr>
        <w:pStyle w:val="34"/>
        <w:tabs>
          <w:tab w:val="right" w:leader="dot" w:pos="9070"/>
          <w:tab w:val="clear" w:pos="9060"/>
        </w:tabs>
        <w:ind w:left="420"/>
        <w:rPr>
          <w:color w:val="auto"/>
          <w:highlight w:val="none"/>
        </w:rPr>
      </w:pPr>
      <w:r>
        <w:rPr>
          <w:color w:val="auto"/>
          <w:highlight w:val="none"/>
        </w:rPr>
        <w:fldChar w:fldCharType="begin"/>
      </w:r>
      <w:r>
        <w:rPr>
          <w:color w:val="auto"/>
          <w:highlight w:val="none"/>
        </w:rPr>
        <w:instrText xml:space="preserve"> HYPERLINK \l "_Toc30203" </w:instrText>
      </w:r>
      <w:r>
        <w:rPr>
          <w:color w:val="auto"/>
          <w:highlight w:val="none"/>
        </w:rPr>
        <w:fldChar w:fldCharType="separate"/>
      </w:r>
      <w:r>
        <w:rPr>
          <w:rFonts w:hint="eastAsia" w:ascii="宋体" w:hAnsi="宋体" w:cs="宋体"/>
          <w:color w:val="auto"/>
          <w:szCs w:val="28"/>
          <w:highlight w:val="none"/>
        </w:rPr>
        <w:t>二、开标、评标及定标办法</w:t>
      </w:r>
      <w:r>
        <w:rPr>
          <w:rFonts w:hint="eastAsia" w:ascii="宋体" w:hAnsi="宋体" w:cs="宋体"/>
          <w:color w:val="auto"/>
          <w:szCs w:val="32"/>
          <w:highlight w:val="none"/>
        </w:rPr>
        <w:t>通用条款</w:t>
      </w:r>
      <w:r>
        <w:rPr>
          <w:color w:val="auto"/>
          <w:highlight w:val="none"/>
        </w:rPr>
        <w:tab/>
      </w:r>
      <w:r>
        <w:rPr>
          <w:color w:val="auto"/>
          <w:highlight w:val="none"/>
        </w:rPr>
        <w:fldChar w:fldCharType="begin"/>
      </w:r>
      <w:r>
        <w:rPr>
          <w:color w:val="auto"/>
          <w:highlight w:val="none"/>
        </w:rPr>
        <w:instrText xml:space="preserve"> PAGEREF _Toc30203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7E651815">
      <w:pPr>
        <w:pStyle w:val="21"/>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"_Toc16181" </w:instrText>
      </w:r>
      <w:r>
        <w:rPr>
          <w:color w:val="auto"/>
          <w:highlight w:val="none"/>
        </w:rPr>
        <w:fldChar w:fldCharType="separate"/>
      </w:r>
      <w:r>
        <w:rPr>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_Toc16181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483D31B3">
      <w:pPr>
        <w:pStyle w:val="21"/>
        <w:tabs>
          <w:tab w:val="right" w:leader="dot" w:pos="9070"/>
        </w:tabs>
        <w:ind w:left="840"/>
        <w:rPr>
          <w:color w:val="auto"/>
          <w:highlight w:val="none"/>
        </w:rPr>
      </w:pPr>
      <w:r>
        <w:rPr>
          <w:color w:val="auto"/>
          <w:highlight w:val="none"/>
        </w:rPr>
        <w:fldChar w:fldCharType="begin"/>
      </w:r>
      <w:r>
        <w:rPr>
          <w:color w:val="auto"/>
          <w:highlight w:val="none"/>
        </w:rPr>
        <w:instrText xml:space="preserve"> HYPERLINK \l "_Toc825" </w:instrText>
      </w:r>
      <w:r>
        <w:rPr>
          <w:color w:val="auto"/>
          <w:highlight w:val="none"/>
        </w:rPr>
        <w:fldChar w:fldCharType="separate"/>
      </w:r>
      <w:r>
        <w:rPr>
          <w:rFonts w:hint="eastAsia" w:hAnsi="宋体" w:cs="宋体"/>
          <w:color w:val="auto"/>
          <w:szCs w:val="24"/>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_Toc825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14:paraId="4AE39881">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"_Toc11586" </w:instrText>
      </w:r>
      <w:r>
        <w:rPr>
          <w:color w:val="auto"/>
          <w:highlight w:val="none"/>
        </w:rPr>
        <w:fldChar w:fldCharType="separate"/>
      </w:r>
      <w:r>
        <w:rPr>
          <w:rFonts w:hint="eastAsia" w:hAnsi="宋体" w:cs="宋体"/>
          <w:color w:val="auto"/>
          <w:highlight w:val="none"/>
        </w:rPr>
        <w:t>第三章  合同条款</w:t>
      </w:r>
      <w:r>
        <w:rPr>
          <w:color w:val="auto"/>
          <w:highlight w:val="none"/>
        </w:rPr>
        <w:tab/>
      </w:r>
      <w:r>
        <w:rPr>
          <w:color w:val="auto"/>
          <w:highlight w:val="none"/>
        </w:rPr>
        <w:fldChar w:fldCharType="begin"/>
      </w:r>
      <w:r>
        <w:rPr>
          <w:color w:val="auto"/>
          <w:highlight w:val="none"/>
        </w:rPr>
        <w:instrText xml:space="preserve"> PAGEREF _Toc11586 \h </w:instrText>
      </w:r>
      <w:r>
        <w:rPr>
          <w:color w:val="auto"/>
          <w:highlight w:val="none"/>
        </w:rPr>
        <w:fldChar w:fldCharType="separate"/>
      </w:r>
      <w:r>
        <w:rPr>
          <w:color w:val="auto"/>
          <w:highlight w:val="none"/>
        </w:rPr>
        <w:t>63</w:t>
      </w:r>
      <w:r>
        <w:rPr>
          <w:color w:val="auto"/>
          <w:highlight w:val="none"/>
        </w:rPr>
        <w:fldChar w:fldCharType="end"/>
      </w:r>
      <w:r>
        <w:rPr>
          <w:color w:val="auto"/>
          <w:highlight w:val="none"/>
        </w:rPr>
        <w:fldChar w:fldCharType="end"/>
      </w:r>
    </w:p>
    <w:p w14:paraId="6CEECE59">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"_Toc3417" </w:instrText>
      </w:r>
      <w:r>
        <w:rPr>
          <w:color w:val="auto"/>
          <w:highlight w:val="none"/>
        </w:rPr>
        <w:fldChar w:fldCharType="separate"/>
      </w:r>
      <w:r>
        <w:rPr>
          <w:rFonts w:hint="eastAsia" w:hAnsi="宋体" w:cs="宋体"/>
          <w:color w:val="auto"/>
          <w:highlight w:val="none"/>
        </w:rPr>
        <w:t>第四章 投标文件格式</w:t>
      </w:r>
      <w:r>
        <w:rPr>
          <w:color w:val="auto"/>
          <w:highlight w:val="none"/>
        </w:rPr>
        <w:tab/>
      </w:r>
      <w:r>
        <w:rPr>
          <w:color w:val="auto"/>
          <w:highlight w:val="none"/>
        </w:rPr>
        <w:fldChar w:fldCharType="begin"/>
      </w:r>
      <w:r>
        <w:rPr>
          <w:color w:val="auto"/>
          <w:highlight w:val="none"/>
        </w:rPr>
        <w:instrText xml:space="preserve"> PAGEREF _Toc3417 \h </w:instrText>
      </w:r>
      <w:r>
        <w:rPr>
          <w:color w:val="auto"/>
          <w:highlight w:val="none"/>
        </w:rPr>
        <w:fldChar w:fldCharType="separate"/>
      </w:r>
      <w:r>
        <w:rPr>
          <w:color w:val="auto"/>
          <w:highlight w:val="none"/>
        </w:rPr>
        <w:t>64</w:t>
      </w:r>
      <w:r>
        <w:rPr>
          <w:color w:val="auto"/>
          <w:highlight w:val="none"/>
        </w:rPr>
        <w:fldChar w:fldCharType="end"/>
      </w:r>
      <w:r>
        <w:rPr>
          <w:color w:val="auto"/>
          <w:highlight w:val="none"/>
        </w:rPr>
        <w:fldChar w:fldCharType="end"/>
      </w:r>
    </w:p>
    <w:p w14:paraId="3624638C">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"_Toc14026" </w:instrText>
      </w:r>
      <w:r>
        <w:rPr>
          <w:color w:val="auto"/>
          <w:highlight w:val="none"/>
        </w:rPr>
        <w:fldChar w:fldCharType="separate"/>
      </w:r>
      <w:r>
        <w:rPr>
          <w:rFonts w:hint="eastAsia" w:hAnsi="宋体" w:cs="宋体"/>
          <w:color w:val="auto"/>
          <w:kern w:val="44"/>
          <w:highlight w:val="none"/>
        </w:rPr>
        <w:t>第五章  技术条件（工程建设标准）</w:t>
      </w:r>
      <w:r>
        <w:rPr>
          <w:color w:val="auto"/>
          <w:highlight w:val="none"/>
        </w:rPr>
        <w:tab/>
      </w:r>
      <w:r>
        <w:rPr>
          <w:color w:val="auto"/>
          <w:highlight w:val="none"/>
        </w:rPr>
        <w:fldChar w:fldCharType="begin"/>
      </w:r>
      <w:r>
        <w:rPr>
          <w:color w:val="auto"/>
          <w:highlight w:val="none"/>
        </w:rPr>
        <w:instrText xml:space="preserve"> PAGEREF _Toc14026 \h </w:instrText>
      </w:r>
      <w:r>
        <w:rPr>
          <w:color w:val="auto"/>
          <w:highlight w:val="none"/>
        </w:rPr>
        <w:fldChar w:fldCharType="separate"/>
      </w:r>
      <w:r>
        <w:rPr>
          <w:color w:val="auto"/>
          <w:highlight w:val="none"/>
        </w:rPr>
        <w:t>87</w:t>
      </w:r>
      <w:r>
        <w:rPr>
          <w:color w:val="auto"/>
          <w:highlight w:val="none"/>
        </w:rPr>
        <w:fldChar w:fldCharType="end"/>
      </w:r>
      <w:r>
        <w:rPr>
          <w:color w:val="auto"/>
          <w:highlight w:val="none"/>
        </w:rPr>
        <w:fldChar w:fldCharType="end"/>
      </w:r>
    </w:p>
    <w:p w14:paraId="19444B2F">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"_Toc1964" </w:instrText>
      </w:r>
      <w:r>
        <w:rPr>
          <w:color w:val="auto"/>
          <w:highlight w:val="none"/>
        </w:rPr>
        <w:fldChar w:fldCharType="separate"/>
      </w:r>
      <w:r>
        <w:rPr>
          <w:rFonts w:hint="eastAsia" w:hAnsi="宋体" w:cs="宋体"/>
          <w:color w:val="auto"/>
          <w:kern w:val="44"/>
          <w:highlight w:val="none"/>
        </w:rPr>
        <w:t>第六章  图纸及勘察资料</w:t>
      </w:r>
      <w:r>
        <w:rPr>
          <w:color w:val="auto"/>
          <w:highlight w:val="none"/>
        </w:rPr>
        <w:tab/>
      </w:r>
      <w:r>
        <w:rPr>
          <w:color w:val="auto"/>
          <w:highlight w:val="none"/>
        </w:rPr>
        <w:fldChar w:fldCharType="begin"/>
      </w:r>
      <w:r>
        <w:rPr>
          <w:color w:val="auto"/>
          <w:highlight w:val="none"/>
        </w:rPr>
        <w:instrText xml:space="preserve"> PAGEREF _Toc1964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504A395D">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"_Toc8441" </w:instrText>
      </w:r>
      <w:r>
        <w:rPr>
          <w:color w:val="auto"/>
          <w:highlight w:val="none"/>
        </w:rPr>
        <w:fldChar w:fldCharType="separate"/>
      </w:r>
      <w:r>
        <w:rPr>
          <w:rFonts w:hint="eastAsia" w:hAnsi="宋体" w:cs="宋体"/>
          <w:color w:val="auto"/>
          <w:kern w:val="44"/>
          <w:szCs w:val="28"/>
          <w:highlight w:val="none"/>
        </w:rPr>
        <w:t>（另册）</w:t>
      </w:r>
      <w:r>
        <w:rPr>
          <w:color w:val="auto"/>
          <w:highlight w:val="none"/>
        </w:rPr>
        <w:tab/>
      </w:r>
      <w:r>
        <w:rPr>
          <w:color w:val="auto"/>
          <w:highlight w:val="none"/>
        </w:rPr>
        <w:fldChar w:fldCharType="begin"/>
      </w:r>
      <w:r>
        <w:rPr>
          <w:color w:val="auto"/>
          <w:highlight w:val="none"/>
        </w:rPr>
        <w:instrText xml:space="preserve"> PAGEREF _Toc8441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14:paraId="3AFF4016">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"_Toc26404" </w:instrText>
      </w:r>
      <w:r>
        <w:rPr>
          <w:color w:val="auto"/>
          <w:highlight w:val="none"/>
        </w:rPr>
        <w:fldChar w:fldCharType="separate"/>
      </w:r>
      <w:r>
        <w:rPr>
          <w:rFonts w:hint="eastAsia" w:hAnsi="宋体" w:cs="宋体"/>
          <w:color w:val="auto"/>
          <w:kern w:val="44"/>
          <w:highlight w:val="none"/>
        </w:rPr>
        <w:t>第七章  工程量清单</w:t>
      </w:r>
      <w:r>
        <w:rPr>
          <w:color w:val="auto"/>
          <w:highlight w:val="none"/>
        </w:rPr>
        <w:tab/>
      </w:r>
      <w:r>
        <w:rPr>
          <w:color w:val="auto"/>
          <w:highlight w:val="none"/>
        </w:rPr>
        <w:fldChar w:fldCharType="begin"/>
      </w:r>
      <w:r>
        <w:rPr>
          <w:color w:val="auto"/>
          <w:highlight w:val="none"/>
        </w:rPr>
        <w:instrText xml:space="preserve"> PAGEREF _Toc26404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14:paraId="25E657B2">
      <w:pPr>
        <w:pStyle w:val="31"/>
        <w:tabs>
          <w:tab w:val="right" w:leader="dot" w:pos="9070"/>
          <w:tab w:val="clear" w:pos="9060"/>
        </w:tabs>
        <w:rPr>
          <w:color w:val="auto"/>
          <w:highlight w:val="none"/>
        </w:rPr>
      </w:pPr>
      <w:r>
        <w:rPr>
          <w:color w:val="auto"/>
          <w:highlight w:val="none"/>
        </w:rPr>
        <w:fldChar w:fldCharType="begin"/>
      </w:r>
      <w:r>
        <w:rPr>
          <w:color w:val="auto"/>
          <w:highlight w:val="none"/>
        </w:rPr>
        <w:instrText xml:space="preserve"> HYPERLINK \l "_Toc31901" </w:instrText>
      </w:r>
      <w:r>
        <w:rPr>
          <w:color w:val="auto"/>
          <w:highlight w:val="none"/>
        </w:rPr>
        <w:fldChar w:fldCharType="separate"/>
      </w:r>
      <w:r>
        <w:rPr>
          <w:rFonts w:hint="eastAsia" w:hAnsi="宋体" w:cs="宋体"/>
          <w:color w:val="auto"/>
          <w:kern w:val="44"/>
          <w:highlight w:val="none"/>
        </w:rPr>
        <w:t>第八章  最高投标限价</w:t>
      </w:r>
      <w:r>
        <w:rPr>
          <w:color w:val="auto"/>
          <w:highlight w:val="none"/>
        </w:rPr>
        <w:tab/>
      </w:r>
      <w:r>
        <w:rPr>
          <w:color w:val="auto"/>
          <w:highlight w:val="none"/>
        </w:rPr>
        <w:fldChar w:fldCharType="begin"/>
      </w:r>
      <w:r>
        <w:rPr>
          <w:color w:val="auto"/>
          <w:highlight w:val="none"/>
        </w:rPr>
        <w:instrText xml:space="preserve"> PAGEREF _Toc31901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254719C">
      <w:pPr>
        <w:pStyle w:val="2"/>
        <w:rPr>
          <w:rFonts w:hint="eastAsia" w:ascii="宋体" w:hAnsi="宋体" w:cs="宋体"/>
          <w:color w:val="auto"/>
          <w:highlight w:val="none"/>
        </w:rPr>
        <w:sectPr>
          <w:footerReference r:id="rId7" w:type="first"/>
          <w:headerReference r:id="rId3" w:type="default"/>
          <w:footerReference r:id="rId5" w:type="default"/>
          <w:headerReference r:id="rId4" w:type="even"/>
          <w:footerReference r:id="rId6" w:type="even"/>
          <w:pgSz w:w="11906" w:h="16838"/>
          <w:pgMar w:top="1440" w:right="1080" w:bottom="1440" w:left="1080" w:header="851" w:footer="907" w:gutter="0"/>
          <w:cols w:space="720" w:num="1"/>
          <w:titlePg/>
          <w:docGrid w:type="lines" w:linePitch="312" w:charSpace="0"/>
        </w:sectPr>
      </w:pPr>
      <w:r>
        <w:rPr>
          <w:rFonts w:hint="eastAsia" w:ascii="宋体" w:hAnsi="宋体" w:cs="宋体"/>
          <w:color w:val="auto"/>
          <w:szCs w:val="32"/>
          <w:highlight w:val="none"/>
        </w:rPr>
        <w:fldChar w:fldCharType="end"/>
      </w:r>
    </w:p>
    <w:p w14:paraId="613C237E">
      <w:pPr>
        <w:pStyle w:val="2"/>
        <w:spacing w:before="0" w:after="0"/>
        <w:jc w:val="center"/>
        <w:rPr>
          <w:rFonts w:hint="eastAsia" w:ascii="宋体" w:hAnsi="宋体" w:cs="宋体"/>
          <w:color w:val="auto"/>
          <w:sz w:val="32"/>
          <w:szCs w:val="32"/>
          <w:highlight w:val="none"/>
        </w:rPr>
      </w:pPr>
      <w:bookmarkStart w:id="0" w:name="_Toc4593"/>
      <w:r>
        <w:rPr>
          <w:rFonts w:hint="eastAsia" w:ascii="宋体" w:hAnsi="宋体" w:cs="宋体"/>
          <w:color w:val="auto"/>
          <w:sz w:val="32"/>
          <w:szCs w:val="32"/>
          <w:highlight w:val="none"/>
        </w:rPr>
        <w:t>第一章  投标须知</w:t>
      </w:r>
      <w:bookmarkEnd w:id="0"/>
    </w:p>
    <w:p w14:paraId="4DB1E562">
      <w:pPr>
        <w:pStyle w:val="6"/>
        <w:spacing w:before="0" w:after="0" w:line="360" w:lineRule="auto"/>
        <w:ind w:left="0"/>
        <w:rPr>
          <w:rFonts w:hint="eastAsia" w:ascii="宋体" w:hAnsi="宋体" w:cs="宋体"/>
          <w:color w:val="auto"/>
          <w:sz w:val="28"/>
          <w:szCs w:val="28"/>
          <w:highlight w:val="none"/>
        </w:rPr>
      </w:pPr>
      <w:bookmarkStart w:id="1" w:name="_Toc10597"/>
      <w:r>
        <w:rPr>
          <w:rFonts w:hint="eastAsia" w:ascii="宋体" w:hAnsi="宋体" w:cs="宋体"/>
          <w:color w:val="auto"/>
          <w:sz w:val="28"/>
          <w:szCs w:val="28"/>
          <w:highlight w:val="none"/>
        </w:rPr>
        <w:t>一、投标须知前附表</w:t>
      </w:r>
      <w:bookmarkEnd w:id="1"/>
    </w:p>
    <w:p w14:paraId="44B4A286">
      <w:pPr>
        <w:pStyle w:val="10"/>
        <w:snapToGrid w:val="0"/>
        <w:spacing w:line="40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42"/>
        <w:tblW w:w="4998"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7"/>
        <w:gridCol w:w="944"/>
        <w:gridCol w:w="1825"/>
        <w:gridCol w:w="6442"/>
      </w:tblGrid>
      <w:tr w14:paraId="65856D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375" w:type="pct"/>
            <w:tcBorders>
              <w:top w:val="double" w:color="auto" w:sz="4" w:space="0"/>
              <w:left w:val="double" w:color="auto" w:sz="4" w:space="0"/>
              <w:bottom w:val="single" w:color="auto" w:sz="4" w:space="0"/>
              <w:right w:val="single" w:color="auto" w:sz="4" w:space="0"/>
            </w:tcBorders>
            <w:vAlign w:val="center"/>
          </w:tcPr>
          <w:p w14:paraId="3804DFB3">
            <w:pPr>
              <w:snapToGrid w:val="0"/>
              <w:spacing w:beforeLines="0" w:afterLines="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tc>
        <w:tc>
          <w:tcPr>
            <w:tcW w:w="474" w:type="pct"/>
            <w:tcBorders>
              <w:top w:val="double" w:color="auto" w:sz="4" w:space="0"/>
              <w:left w:val="single" w:color="auto" w:sz="4" w:space="0"/>
              <w:bottom w:val="single" w:color="auto" w:sz="4" w:space="0"/>
              <w:right w:val="single" w:color="auto" w:sz="4" w:space="0"/>
            </w:tcBorders>
            <w:vAlign w:val="center"/>
          </w:tcPr>
          <w:p w14:paraId="64960272">
            <w:pPr>
              <w:snapToGrid w:val="0"/>
              <w:spacing w:beforeLines="0" w:afterLines="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916" w:type="pct"/>
            <w:tcBorders>
              <w:top w:val="double" w:color="auto" w:sz="4" w:space="0"/>
              <w:left w:val="single" w:color="auto" w:sz="4" w:space="0"/>
              <w:bottom w:val="single" w:color="auto" w:sz="4" w:space="0"/>
              <w:right w:val="single" w:color="auto" w:sz="4" w:space="0"/>
            </w:tcBorders>
            <w:vAlign w:val="center"/>
          </w:tcPr>
          <w:p w14:paraId="55C82934">
            <w:pPr>
              <w:snapToGrid w:val="0"/>
              <w:spacing w:beforeLines="0" w:afterLines="0" w:line="40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3234" w:type="pct"/>
            <w:tcBorders>
              <w:top w:val="double" w:color="auto" w:sz="4" w:space="0"/>
              <w:left w:val="single" w:color="auto" w:sz="4" w:space="0"/>
              <w:bottom w:val="single" w:color="auto" w:sz="4" w:space="0"/>
              <w:right w:val="double" w:color="auto" w:sz="4" w:space="0"/>
            </w:tcBorders>
            <w:vAlign w:val="center"/>
          </w:tcPr>
          <w:p w14:paraId="7B046800">
            <w:pPr>
              <w:pStyle w:val="24"/>
              <w:snapToGrid w:val="0"/>
              <w:spacing w:beforeLines="0" w:afterLines="0" w:line="400" w:lineRule="exact"/>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说明与要求</w:t>
            </w:r>
          </w:p>
        </w:tc>
      </w:tr>
      <w:tr w14:paraId="3DE8BC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0079B1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474" w:type="pct"/>
            <w:tcBorders>
              <w:top w:val="single" w:color="auto" w:sz="4" w:space="0"/>
              <w:left w:val="single" w:color="auto" w:sz="4" w:space="0"/>
              <w:bottom w:val="single" w:color="auto" w:sz="4" w:space="0"/>
              <w:right w:val="single" w:color="auto" w:sz="4" w:space="0"/>
            </w:tcBorders>
            <w:vAlign w:val="center"/>
          </w:tcPr>
          <w:p w14:paraId="742399FE">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916" w:type="pct"/>
            <w:tcBorders>
              <w:top w:val="single" w:color="auto" w:sz="4" w:space="0"/>
              <w:left w:val="single" w:color="auto" w:sz="4" w:space="0"/>
              <w:bottom w:val="single" w:color="auto" w:sz="4" w:space="0"/>
              <w:right w:val="single" w:color="auto" w:sz="4" w:space="0"/>
            </w:tcBorders>
            <w:vAlign w:val="center"/>
          </w:tcPr>
          <w:p w14:paraId="74786611">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定义</w:t>
            </w:r>
          </w:p>
        </w:tc>
        <w:tc>
          <w:tcPr>
            <w:tcW w:w="3234" w:type="pct"/>
            <w:tcBorders>
              <w:top w:val="single" w:color="auto" w:sz="4" w:space="0"/>
              <w:left w:val="single" w:color="auto" w:sz="4" w:space="0"/>
              <w:bottom w:val="single" w:color="auto" w:sz="4" w:space="0"/>
              <w:right w:val="double" w:color="auto" w:sz="4" w:space="0"/>
            </w:tcBorders>
            <w:vAlign w:val="center"/>
          </w:tcPr>
          <w:p w14:paraId="49E5475F">
            <w:pPr>
              <w:snapToGrid w:val="0"/>
              <w:spacing w:beforeLines="0" w:afterLines="0" w:line="400" w:lineRule="exact"/>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招标人（即发包人）：</w:t>
            </w:r>
            <w:r>
              <w:rPr>
                <w:rFonts w:hint="eastAsia" w:ascii="宋体" w:hAnsi="宋体" w:eastAsia="宋体" w:cs="宋体"/>
                <w:color w:val="auto"/>
                <w:sz w:val="24"/>
                <w:szCs w:val="24"/>
                <w:highlight w:val="none"/>
                <w:u w:val="single"/>
                <w:lang w:eastAsia="zh-CN"/>
              </w:rPr>
              <w:t>广州环投福山环保能源有限公司</w:t>
            </w:r>
          </w:p>
          <w:p w14:paraId="25FE242E">
            <w:pPr>
              <w:snapToGrid w:val="0"/>
              <w:spacing w:beforeLines="0" w:after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w:t>
            </w:r>
            <w:r>
              <w:rPr>
                <w:rFonts w:hint="eastAsia" w:ascii="宋体" w:hAnsi="宋体" w:eastAsia="宋体" w:cs="宋体"/>
                <w:color w:val="auto"/>
                <w:sz w:val="24"/>
                <w:szCs w:val="24"/>
                <w:highlight w:val="none"/>
                <w:u w:val="single"/>
              </w:rPr>
              <w:t>广东粤能工程管理有限公司</w:t>
            </w:r>
          </w:p>
          <w:p w14:paraId="12B4D23B">
            <w:pPr>
              <w:snapToGrid w:val="0"/>
              <w:spacing w:beforeLines="0" w:afterLines="0" w:line="400" w:lineRule="exact"/>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设计单位：</w:t>
            </w:r>
            <w:r>
              <w:rPr>
                <w:rFonts w:hint="eastAsia" w:ascii="宋体" w:hAnsi="宋体" w:eastAsia="宋体" w:cs="宋体"/>
                <w:color w:val="auto"/>
                <w:sz w:val="24"/>
                <w:szCs w:val="24"/>
                <w:highlight w:val="none"/>
                <w:u w:val="single"/>
              </w:rPr>
              <w:t>中国轻工业广州工程有限公司</w:t>
            </w:r>
          </w:p>
          <w:p w14:paraId="506E9DA9">
            <w:pPr>
              <w:snapToGrid w:val="0"/>
              <w:spacing w:beforeLines="0" w:after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监理单位：</w:t>
            </w:r>
            <w:r>
              <w:rPr>
                <w:rFonts w:hint="eastAsia" w:ascii="宋体" w:hAnsi="宋体" w:eastAsia="宋体" w:cs="宋体"/>
                <w:color w:val="auto"/>
                <w:sz w:val="24"/>
                <w:szCs w:val="24"/>
                <w:highlight w:val="none"/>
                <w:u w:val="single"/>
              </w:rPr>
              <w:t xml:space="preserve">  /  </w:t>
            </w:r>
          </w:p>
          <w:p w14:paraId="72C2DCB0">
            <w:pPr>
              <w:pStyle w:val="6"/>
              <w:snapToGrid w:val="0"/>
              <w:spacing w:before="0" w:beforeLines="0" w:after="0" w:afterLines="0" w:line="400" w:lineRule="exact"/>
              <w:ind w:left="0"/>
              <w:jc w:val="left"/>
              <w:rPr>
                <w:rFonts w:hint="eastAsia" w:ascii="宋体" w:hAnsi="宋体" w:eastAsia="宋体" w:cs="宋体"/>
                <w:color w:val="auto"/>
                <w:sz w:val="24"/>
                <w:szCs w:val="24"/>
                <w:highlight w:val="none"/>
              </w:rPr>
            </w:pPr>
            <w:bookmarkStart w:id="2" w:name="_Toc31153"/>
            <w:bookmarkStart w:id="3" w:name="_Toc6216"/>
            <w:r>
              <w:rPr>
                <w:rFonts w:hint="eastAsia" w:ascii="宋体" w:hAnsi="宋体" w:eastAsia="宋体" w:cs="宋体"/>
                <w:b w:val="0"/>
                <w:color w:val="auto"/>
                <w:kern w:val="2"/>
                <w:sz w:val="24"/>
                <w:szCs w:val="24"/>
                <w:highlight w:val="none"/>
              </w:rPr>
              <w:t>检测机构：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color w:val="auto"/>
                <w:sz w:val="24"/>
                <w:szCs w:val="24"/>
                <w:highlight w:val="none"/>
                <w:u w:val="single"/>
              </w:rPr>
              <w:t>/</w:t>
            </w:r>
            <w:bookmarkEnd w:id="2"/>
            <w:bookmarkEnd w:id="3"/>
            <w:r>
              <w:rPr>
                <w:rFonts w:hint="eastAsia" w:ascii="宋体" w:hAnsi="宋体" w:eastAsia="宋体" w:cs="宋体"/>
                <w:color w:val="auto"/>
                <w:sz w:val="24"/>
                <w:szCs w:val="24"/>
                <w:highlight w:val="none"/>
                <w:u w:val="single"/>
              </w:rPr>
              <w:t xml:space="preserve">  </w:t>
            </w:r>
          </w:p>
        </w:tc>
      </w:tr>
      <w:tr w14:paraId="4A4039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B5B64A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74" w:type="pct"/>
            <w:tcBorders>
              <w:top w:val="single" w:color="auto" w:sz="4" w:space="0"/>
              <w:left w:val="single" w:color="auto" w:sz="4" w:space="0"/>
              <w:bottom w:val="single" w:color="auto" w:sz="4" w:space="0"/>
              <w:right w:val="single" w:color="auto" w:sz="4" w:space="0"/>
            </w:tcBorders>
            <w:vAlign w:val="center"/>
          </w:tcPr>
          <w:p w14:paraId="4DB04799">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60F21F6B">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3234" w:type="pct"/>
            <w:tcBorders>
              <w:top w:val="single" w:color="auto" w:sz="4" w:space="0"/>
              <w:left w:val="single" w:color="auto" w:sz="4" w:space="0"/>
              <w:bottom w:val="single" w:color="auto" w:sz="4" w:space="0"/>
              <w:right w:val="double" w:color="auto" w:sz="4" w:space="0"/>
            </w:tcBorders>
            <w:vAlign w:val="center"/>
          </w:tcPr>
          <w:p w14:paraId="094A5314">
            <w:pPr>
              <w:snapToGrid w:val="0"/>
              <w:spacing w:beforeLines="0" w:afterLines="0" w:line="400" w:lineRule="exact"/>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u w:val="single"/>
                <w:lang w:eastAsia="zh-CN"/>
              </w:rPr>
              <w:t>福山循环经济产业园生活垃圾应急综合处理项目医疗废物协同处置设施扩建工程第二阶段土建施工总承包</w:t>
            </w:r>
          </w:p>
        </w:tc>
      </w:tr>
      <w:tr w14:paraId="407E80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5BFEDF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74" w:type="pct"/>
            <w:tcBorders>
              <w:top w:val="single" w:color="auto" w:sz="4" w:space="0"/>
              <w:left w:val="single" w:color="auto" w:sz="4" w:space="0"/>
              <w:bottom w:val="single" w:color="auto" w:sz="4" w:space="0"/>
              <w:right w:val="single" w:color="auto" w:sz="4" w:space="0"/>
            </w:tcBorders>
            <w:vAlign w:val="center"/>
          </w:tcPr>
          <w:p w14:paraId="3ADE681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59DDC39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建设地点</w:t>
            </w:r>
          </w:p>
        </w:tc>
        <w:tc>
          <w:tcPr>
            <w:tcW w:w="3234" w:type="pct"/>
            <w:tcBorders>
              <w:top w:val="single" w:color="auto" w:sz="4" w:space="0"/>
              <w:left w:val="single" w:color="auto" w:sz="4" w:space="0"/>
              <w:bottom w:val="single" w:color="auto" w:sz="4" w:space="0"/>
              <w:right w:val="double" w:color="auto" w:sz="4" w:space="0"/>
            </w:tcBorders>
            <w:vAlign w:val="center"/>
          </w:tcPr>
          <w:p w14:paraId="75DE7636">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广州市黄埔区新龙镇福山循环经济产业园内</w:t>
            </w:r>
          </w:p>
        </w:tc>
      </w:tr>
      <w:tr w14:paraId="6418E1B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7CEACC9">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74" w:type="pct"/>
            <w:tcBorders>
              <w:top w:val="single" w:color="auto" w:sz="4" w:space="0"/>
              <w:left w:val="single" w:color="auto" w:sz="4" w:space="0"/>
              <w:bottom w:val="single" w:color="auto" w:sz="4" w:space="0"/>
              <w:right w:val="single" w:color="auto" w:sz="4" w:space="0"/>
            </w:tcBorders>
            <w:vAlign w:val="center"/>
          </w:tcPr>
          <w:p w14:paraId="4E77882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361C0C44">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建设规模</w:t>
            </w:r>
          </w:p>
        </w:tc>
        <w:tc>
          <w:tcPr>
            <w:tcW w:w="3234" w:type="pct"/>
            <w:tcBorders>
              <w:top w:val="single" w:color="auto" w:sz="4" w:space="0"/>
              <w:left w:val="single" w:color="auto" w:sz="4" w:space="0"/>
              <w:bottom w:val="single" w:color="auto" w:sz="4" w:space="0"/>
              <w:right w:val="double" w:color="auto" w:sz="4" w:space="0"/>
            </w:tcBorders>
            <w:vAlign w:val="center"/>
          </w:tcPr>
          <w:p w14:paraId="57B192BF">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详见本工程招标公告</w:t>
            </w:r>
          </w:p>
        </w:tc>
      </w:tr>
      <w:tr w14:paraId="7D97D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BDA406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474" w:type="pct"/>
            <w:tcBorders>
              <w:top w:val="single" w:color="auto" w:sz="4" w:space="0"/>
              <w:left w:val="single" w:color="auto" w:sz="4" w:space="0"/>
              <w:bottom w:val="single" w:color="auto" w:sz="4" w:space="0"/>
              <w:right w:val="single" w:color="auto" w:sz="4" w:space="0"/>
            </w:tcBorders>
            <w:vAlign w:val="center"/>
          </w:tcPr>
          <w:p w14:paraId="5AD05E3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26376C8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3234" w:type="pct"/>
            <w:tcBorders>
              <w:top w:val="single" w:color="auto" w:sz="4" w:space="0"/>
              <w:left w:val="single" w:color="auto" w:sz="4" w:space="0"/>
              <w:bottom w:val="single" w:color="auto" w:sz="4" w:space="0"/>
              <w:right w:val="double" w:color="auto" w:sz="4" w:space="0"/>
            </w:tcBorders>
            <w:vAlign w:val="center"/>
          </w:tcPr>
          <w:p w14:paraId="1A86EBF1">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由承包人按照本合同约定范围和图纸内容、工程量清单实行工程施工总承包，包括但不限于包工、包料、包工期、包质量、包安全、包文明施工，包承包范围内工程验收通过、包办理通水电气的全部手续、包移交、包结算、包资料整理、包竣工图编制、包总承包管理和现场整体组织、包专业协调及配合。</w:t>
            </w:r>
          </w:p>
        </w:tc>
      </w:tr>
      <w:tr w14:paraId="080059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7C245A9">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474" w:type="pct"/>
            <w:tcBorders>
              <w:top w:val="single" w:color="auto" w:sz="4" w:space="0"/>
              <w:left w:val="single" w:color="auto" w:sz="4" w:space="0"/>
              <w:bottom w:val="single" w:color="auto" w:sz="4" w:space="0"/>
              <w:right w:val="single" w:color="auto" w:sz="4" w:space="0"/>
            </w:tcBorders>
            <w:vAlign w:val="center"/>
          </w:tcPr>
          <w:p w14:paraId="7222146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3055374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3234" w:type="pct"/>
            <w:tcBorders>
              <w:top w:val="single" w:color="auto" w:sz="4" w:space="0"/>
              <w:left w:val="single" w:color="auto" w:sz="4" w:space="0"/>
              <w:bottom w:val="single" w:color="auto" w:sz="4" w:space="0"/>
              <w:right w:val="double" w:color="auto" w:sz="4" w:space="0"/>
            </w:tcBorders>
            <w:vAlign w:val="center"/>
          </w:tcPr>
          <w:p w14:paraId="10BEAA8B">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达到工程施工质量验收规范合格标准及国家现行相关专业有关施工质量验收规范标准，一次验收合格。</w:t>
            </w:r>
          </w:p>
        </w:tc>
      </w:tr>
      <w:tr w14:paraId="18B4D3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0A94E1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474" w:type="pct"/>
            <w:tcBorders>
              <w:top w:val="single" w:color="auto" w:sz="4" w:space="0"/>
              <w:left w:val="single" w:color="auto" w:sz="4" w:space="0"/>
              <w:bottom w:val="single" w:color="auto" w:sz="4" w:space="0"/>
              <w:right w:val="single" w:color="auto" w:sz="4" w:space="0"/>
            </w:tcBorders>
            <w:vAlign w:val="center"/>
          </w:tcPr>
          <w:p w14:paraId="62885DE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18FF186D">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招标范围</w:t>
            </w:r>
          </w:p>
        </w:tc>
        <w:tc>
          <w:tcPr>
            <w:tcW w:w="3234" w:type="pct"/>
            <w:tcBorders>
              <w:top w:val="single" w:color="auto" w:sz="4" w:space="0"/>
              <w:left w:val="single" w:color="auto" w:sz="4" w:space="0"/>
              <w:bottom w:val="single" w:color="auto" w:sz="4" w:space="0"/>
              <w:right w:val="double" w:color="auto" w:sz="4" w:space="0"/>
            </w:tcBorders>
            <w:vAlign w:val="center"/>
          </w:tcPr>
          <w:p w14:paraId="6A2592AB">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详见本工程招标公告</w:t>
            </w:r>
          </w:p>
        </w:tc>
      </w:tr>
      <w:tr w14:paraId="1499FA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7D8AB06">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474" w:type="pct"/>
            <w:tcBorders>
              <w:top w:val="single" w:color="auto" w:sz="4" w:space="0"/>
              <w:left w:val="single" w:color="auto" w:sz="4" w:space="0"/>
              <w:bottom w:val="single" w:color="auto" w:sz="4" w:space="0"/>
              <w:right w:val="single" w:color="auto" w:sz="4" w:space="0"/>
            </w:tcBorders>
            <w:vAlign w:val="center"/>
          </w:tcPr>
          <w:p w14:paraId="32B724F1">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916" w:type="pct"/>
            <w:tcBorders>
              <w:top w:val="single" w:color="auto" w:sz="4" w:space="0"/>
              <w:left w:val="single" w:color="auto" w:sz="4" w:space="0"/>
              <w:bottom w:val="single" w:color="auto" w:sz="4" w:space="0"/>
              <w:right w:val="single" w:color="auto" w:sz="4" w:space="0"/>
            </w:tcBorders>
            <w:vAlign w:val="center"/>
          </w:tcPr>
          <w:p w14:paraId="4BEFFC14">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3234" w:type="pct"/>
            <w:tcBorders>
              <w:top w:val="single" w:color="auto" w:sz="4" w:space="0"/>
              <w:left w:val="single" w:color="auto" w:sz="4" w:space="0"/>
              <w:bottom w:val="single" w:color="auto" w:sz="4" w:space="0"/>
              <w:right w:val="double" w:color="auto" w:sz="4" w:space="0"/>
            </w:tcBorders>
            <w:vAlign w:val="center"/>
          </w:tcPr>
          <w:p w14:paraId="58122799">
            <w:pPr>
              <w:snapToGrid w:val="0"/>
              <w:spacing w:beforeLines="0" w:afterLines="0" w:line="40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施工工期150</w:t>
            </w:r>
            <w:r>
              <w:rPr>
                <w:rFonts w:hint="eastAsia" w:ascii="宋体" w:hAnsi="宋体" w:eastAsia="宋体" w:cs="宋体"/>
                <w:color w:val="auto"/>
                <w:sz w:val="24"/>
                <w:szCs w:val="24"/>
                <w:highlight w:val="none"/>
              </w:rPr>
              <w:t>个日历天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详见技术需求书的工期要求</w:t>
            </w:r>
            <w:r>
              <w:rPr>
                <w:rFonts w:hint="eastAsia" w:ascii="宋体" w:hAnsi="宋体" w:eastAsia="宋体" w:cs="宋体"/>
                <w:color w:val="auto"/>
                <w:sz w:val="24"/>
                <w:szCs w:val="24"/>
                <w:highlight w:val="none"/>
                <w:lang w:eastAsia="zh-CN"/>
              </w:rPr>
              <w:t>）</w:t>
            </w:r>
          </w:p>
        </w:tc>
      </w:tr>
      <w:tr w14:paraId="3FED7D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64C7218">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474" w:type="pct"/>
            <w:tcBorders>
              <w:top w:val="single" w:color="auto" w:sz="4" w:space="0"/>
              <w:left w:val="single" w:color="auto" w:sz="4" w:space="0"/>
              <w:bottom w:val="single" w:color="auto" w:sz="4" w:space="0"/>
              <w:right w:val="single" w:color="auto" w:sz="4" w:space="0"/>
            </w:tcBorders>
            <w:vAlign w:val="center"/>
          </w:tcPr>
          <w:p w14:paraId="721BBDB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916" w:type="pct"/>
            <w:tcBorders>
              <w:top w:val="single" w:color="auto" w:sz="4" w:space="0"/>
              <w:left w:val="single" w:color="auto" w:sz="4" w:space="0"/>
              <w:bottom w:val="single" w:color="auto" w:sz="4" w:space="0"/>
              <w:right w:val="single" w:color="auto" w:sz="4" w:space="0"/>
            </w:tcBorders>
            <w:vAlign w:val="center"/>
          </w:tcPr>
          <w:p w14:paraId="3AE5C6E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资金来源</w:t>
            </w: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2D87EA87">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企业自筹</w:t>
            </w:r>
            <w:r>
              <w:rPr>
                <w:rFonts w:hint="eastAsia" w:ascii="宋体" w:hAnsi="宋体" w:eastAsia="宋体" w:cs="宋体"/>
                <w:color w:val="auto"/>
                <w:sz w:val="24"/>
                <w:szCs w:val="24"/>
                <w:highlight w:val="none"/>
                <w:u w:val="single"/>
              </w:rPr>
              <w:t>资金</w:t>
            </w:r>
          </w:p>
        </w:tc>
      </w:tr>
      <w:tr w14:paraId="7BD1C9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CE23098">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474" w:type="pct"/>
            <w:tcBorders>
              <w:top w:val="single" w:color="auto" w:sz="4" w:space="0"/>
              <w:left w:val="single" w:color="auto" w:sz="4" w:space="0"/>
              <w:bottom w:val="single" w:color="auto" w:sz="4" w:space="0"/>
              <w:right w:val="single" w:color="auto" w:sz="4" w:space="0"/>
            </w:tcBorders>
            <w:vAlign w:val="center"/>
          </w:tcPr>
          <w:p w14:paraId="4C92E3AC">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w:t>
            </w:r>
          </w:p>
        </w:tc>
        <w:tc>
          <w:tcPr>
            <w:tcW w:w="916" w:type="pct"/>
            <w:tcBorders>
              <w:top w:val="single" w:color="auto" w:sz="4" w:space="0"/>
              <w:left w:val="single" w:color="auto" w:sz="4" w:space="0"/>
              <w:bottom w:val="single" w:color="auto" w:sz="4" w:space="0"/>
              <w:right w:val="single" w:color="auto" w:sz="4" w:space="0"/>
            </w:tcBorders>
            <w:vAlign w:val="center"/>
          </w:tcPr>
          <w:p w14:paraId="0196A7E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投标人资质等级及项目负责人等级要求</w:t>
            </w:r>
          </w:p>
        </w:tc>
        <w:tc>
          <w:tcPr>
            <w:tcW w:w="3234" w:type="pct"/>
            <w:tcBorders>
              <w:top w:val="single" w:color="auto" w:sz="4" w:space="0"/>
              <w:left w:val="single" w:color="auto" w:sz="4" w:space="0"/>
              <w:bottom w:val="single" w:color="auto" w:sz="4" w:space="0"/>
              <w:right w:val="double" w:color="auto" w:sz="4" w:space="0"/>
            </w:tcBorders>
            <w:vAlign w:val="center"/>
          </w:tcPr>
          <w:p w14:paraId="7CF81B1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详见本工程招标公告。</w:t>
            </w:r>
          </w:p>
        </w:tc>
      </w:tr>
      <w:tr w14:paraId="5C1D655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CE7680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474" w:type="pct"/>
            <w:tcBorders>
              <w:top w:val="single" w:color="auto" w:sz="4" w:space="0"/>
              <w:left w:val="single" w:color="auto" w:sz="4" w:space="0"/>
              <w:bottom w:val="single" w:color="auto" w:sz="4" w:space="0"/>
              <w:right w:val="single" w:color="auto" w:sz="4" w:space="0"/>
            </w:tcBorders>
            <w:vAlign w:val="center"/>
          </w:tcPr>
          <w:p w14:paraId="49C650C8">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05EC6C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资格审查方式</w:t>
            </w:r>
          </w:p>
        </w:tc>
        <w:tc>
          <w:tcPr>
            <w:tcW w:w="3234" w:type="pct"/>
            <w:tcBorders>
              <w:top w:val="single" w:color="auto" w:sz="4" w:space="0"/>
              <w:left w:val="single" w:color="auto" w:sz="4" w:space="0"/>
              <w:bottom w:val="single" w:color="auto" w:sz="4" w:space="0"/>
              <w:right w:val="double" w:color="auto" w:sz="4" w:space="0"/>
            </w:tcBorders>
            <w:vAlign w:val="center"/>
          </w:tcPr>
          <w:p w14:paraId="4227FD69">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详见本工程招标公告。</w:t>
            </w:r>
          </w:p>
        </w:tc>
      </w:tr>
      <w:tr w14:paraId="511DC26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9167FAB">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w:t>
            </w:r>
          </w:p>
        </w:tc>
        <w:tc>
          <w:tcPr>
            <w:tcW w:w="474" w:type="pct"/>
            <w:tcBorders>
              <w:top w:val="single" w:color="auto" w:sz="4" w:space="0"/>
              <w:left w:val="single" w:color="auto" w:sz="4" w:space="0"/>
              <w:bottom w:val="single" w:color="auto" w:sz="4" w:space="0"/>
              <w:right w:val="single" w:color="auto" w:sz="4" w:space="0"/>
            </w:tcBorders>
            <w:vAlign w:val="center"/>
          </w:tcPr>
          <w:p w14:paraId="4E31EE5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p>
        </w:tc>
        <w:tc>
          <w:tcPr>
            <w:tcW w:w="916" w:type="pct"/>
            <w:tcBorders>
              <w:top w:val="single" w:color="auto" w:sz="4" w:space="0"/>
              <w:left w:val="single" w:color="auto" w:sz="4" w:space="0"/>
              <w:bottom w:val="single" w:color="auto" w:sz="4" w:space="0"/>
              <w:right w:val="single" w:color="auto" w:sz="4" w:space="0"/>
            </w:tcBorders>
            <w:vAlign w:val="center"/>
          </w:tcPr>
          <w:p w14:paraId="69A5EB6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报价以及单价和总价计算方式</w:t>
            </w:r>
          </w:p>
        </w:tc>
        <w:tc>
          <w:tcPr>
            <w:tcW w:w="3234" w:type="pct"/>
            <w:tcBorders>
              <w:top w:val="single" w:color="auto" w:sz="4" w:space="0"/>
              <w:left w:val="single" w:color="auto" w:sz="4" w:space="0"/>
              <w:bottom w:val="single" w:color="auto" w:sz="4" w:space="0"/>
              <w:right w:val="double" w:color="auto" w:sz="4" w:space="0"/>
            </w:tcBorders>
            <w:vAlign w:val="center"/>
          </w:tcPr>
          <w:p w14:paraId="368781CE">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工程量清单计价，按国家、省有关计价规范执行。</w:t>
            </w:r>
          </w:p>
        </w:tc>
      </w:tr>
      <w:tr w14:paraId="33C45A1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60BDEE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w:t>
            </w:r>
          </w:p>
        </w:tc>
        <w:tc>
          <w:tcPr>
            <w:tcW w:w="474" w:type="pct"/>
            <w:tcBorders>
              <w:top w:val="single" w:color="auto" w:sz="4" w:space="0"/>
              <w:left w:val="single" w:color="auto" w:sz="4" w:space="0"/>
              <w:bottom w:val="single" w:color="auto" w:sz="4" w:space="0"/>
              <w:right w:val="single" w:color="auto" w:sz="4" w:space="0"/>
            </w:tcBorders>
            <w:vAlign w:val="center"/>
          </w:tcPr>
          <w:p w14:paraId="0A9F87E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w:t>
            </w:r>
          </w:p>
        </w:tc>
        <w:tc>
          <w:tcPr>
            <w:tcW w:w="916" w:type="pct"/>
            <w:tcBorders>
              <w:top w:val="single" w:color="auto" w:sz="4" w:space="0"/>
              <w:left w:val="single" w:color="auto" w:sz="4" w:space="0"/>
              <w:bottom w:val="single" w:color="auto" w:sz="4" w:space="0"/>
              <w:right w:val="single" w:color="auto" w:sz="4" w:space="0"/>
            </w:tcBorders>
            <w:vAlign w:val="center"/>
          </w:tcPr>
          <w:p w14:paraId="4E3E367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3234" w:type="pct"/>
            <w:tcBorders>
              <w:top w:val="single" w:color="auto" w:sz="4" w:space="0"/>
              <w:left w:val="single" w:color="auto" w:sz="4" w:space="0"/>
              <w:bottom w:val="single" w:color="auto" w:sz="4" w:space="0"/>
              <w:right w:val="double" w:color="auto" w:sz="4" w:space="0"/>
            </w:tcBorders>
            <w:vAlign w:val="center"/>
          </w:tcPr>
          <w:p w14:paraId="1442D834">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日历天。（从投标截止之日计起）</w:t>
            </w:r>
            <w:r>
              <w:rPr>
                <w:rFonts w:hint="eastAsia" w:ascii="宋体" w:hAnsi="宋体" w:eastAsia="宋体" w:cs="宋体"/>
                <w:color w:val="auto"/>
                <w:sz w:val="24"/>
                <w:szCs w:val="24"/>
                <w:highlight w:val="none"/>
                <w:u w:val="single"/>
              </w:rPr>
              <w:t>如出现异议或投诉超过</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u w:val="single"/>
              </w:rPr>
              <w:t>0日历天的，则投标有效期自动延长至异议或投诉处理结束。</w:t>
            </w:r>
          </w:p>
        </w:tc>
      </w:tr>
      <w:tr w14:paraId="12032E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BAE37B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w:t>
            </w:r>
          </w:p>
        </w:tc>
        <w:tc>
          <w:tcPr>
            <w:tcW w:w="474" w:type="pct"/>
            <w:tcBorders>
              <w:top w:val="single" w:color="auto" w:sz="4" w:space="0"/>
              <w:left w:val="single" w:color="auto" w:sz="4" w:space="0"/>
              <w:bottom w:val="single" w:color="auto" w:sz="4" w:space="0"/>
              <w:right w:val="single" w:color="auto" w:sz="4" w:space="0"/>
            </w:tcBorders>
            <w:vAlign w:val="center"/>
          </w:tcPr>
          <w:p w14:paraId="7CDB89F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p>
        </w:tc>
        <w:tc>
          <w:tcPr>
            <w:tcW w:w="916" w:type="pct"/>
            <w:tcBorders>
              <w:top w:val="single" w:color="auto" w:sz="4" w:space="0"/>
              <w:left w:val="single" w:color="auto" w:sz="4" w:space="0"/>
              <w:bottom w:val="single" w:color="auto" w:sz="4" w:space="0"/>
              <w:right w:val="single" w:color="auto" w:sz="4" w:space="0"/>
            </w:tcBorders>
            <w:vAlign w:val="center"/>
          </w:tcPr>
          <w:p w14:paraId="174E311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3234" w:type="pct"/>
            <w:tcBorders>
              <w:top w:val="single" w:color="auto" w:sz="4" w:space="0"/>
              <w:left w:val="single" w:color="auto" w:sz="4" w:space="0"/>
              <w:bottom w:val="single" w:color="auto" w:sz="4" w:space="0"/>
              <w:right w:val="double" w:color="auto" w:sz="4" w:space="0"/>
            </w:tcBorders>
            <w:vAlign w:val="center"/>
          </w:tcPr>
          <w:p w14:paraId="25312144">
            <w:pPr>
              <w:wordWrap w:val="0"/>
              <w:adjustRightInd w:val="0"/>
              <w:snapToGrid w:val="0"/>
              <w:spacing w:before="0" w:beforeLines="0" w:after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是否要求投标人递交投标保证金：</w:t>
            </w:r>
          </w:p>
          <w:p w14:paraId="7606155C">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r>
              <w:rPr>
                <w:rStyle w:val="50"/>
                <w:rFonts w:hint="eastAsia" w:ascii="宋体" w:hAnsi="宋体" w:eastAsia="宋体" w:cs="宋体"/>
                <w:color w:val="auto"/>
                <w:sz w:val="24"/>
                <w:szCs w:val="24"/>
                <w:highlight w:val="none"/>
              </w:rPr>
              <w:t>投标保证金的金额：</w:t>
            </w:r>
            <w:r>
              <w:rPr>
                <w:rStyle w:val="50"/>
                <w:rFonts w:hint="eastAsia" w:ascii="宋体" w:hAnsi="宋体" w:eastAsia="宋体" w:cs="宋体"/>
                <w:color w:val="auto"/>
                <w:sz w:val="24"/>
                <w:szCs w:val="24"/>
                <w:highlight w:val="none"/>
                <w:u w:val="single"/>
                <w:lang w:val="en-US" w:eastAsia="zh-CN"/>
              </w:rPr>
              <w:t>2</w:t>
            </w:r>
            <w:r>
              <w:rPr>
                <w:rStyle w:val="50"/>
                <w:rFonts w:hint="eastAsia" w:ascii="宋体" w:hAnsi="宋体" w:eastAsia="宋体" w:cs="宋体"/>
                <w:color w:val="auto"/>
                <w:sz w:val="24"/>
                <w:szCs w:val="24"/>
                <w:highlight w:val="none"/>
              </w:rPr>
              <w:t>万元人民币。</w:t>
            </w:r>
          </w:p>
          <w:p w14:paraId="216598DD">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1、投标保证金的有效期：</w:t>
            </w:r>
            <w:r>
              <w:rPr>
                <w:rStyle w:val="50"/>
                <w:rFonts w:hint="eastAsia" w:ascii="宋体" w:hAnsi="宋体" w:eastAsia="宋体" w:cs="宋体"/>
                <w:color w:val="auto"/>
                <w:sz w:val="24"/>
                <w:szCs w:val="24"/>
                <w:highlight w:val="none"/>
                <w:u w:val="single"/>
              </w:rPr>
              <w:t>与投标有效期一致。</w:t>
            </w:r>
          </w:p>
          <w:p w14:paraId="347B877C">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2、缴纳时间：</w:t>
            </w:r>
            <w:r>
              <w:rPr>
                <w:rStyle w:val="50"/>
                <w:rFonts w:hint="eastAsia" w:ascii="宋体" w:hAnsi="宋体" w:eastAsia="宋体" w:cs="宋体"/>
                <w:color w:val="auto"/>
                <w:sz w:val="24"/>
                <w:szCs w:val="24"/>
                <w:highlight w:val="none"/>
                <w:u w:val="single"/>
              </w:rPr>
              <w:t>投标文件递交截止时间前。</w:t>
            </w:r>
          </w:p>
          <w:p w14:paraId="4C43AB00">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rPr>
              <w:t>3、投标保证金的形式：</w:t>
            </w:r>
            <w:r>
              <w:rPr>
                <w:rStyle w:val="50"/>
                <w:rFonts w:hint="eastAsia" w:ascii="宋体" w:hAnsi="宋体" w:eastAsia="宋体" w:cs="宋体"/>
                <w:color w:val="auto"/>
                <w:sz w:val="24"/>
                <w:szCs w:val="24"/>
                <w:highlight w:val="none"/>
                <w:u w:val="single"/>
              </w:rPr>
              <w:t>投标保证金可采用现金、支票、汇票、信用证、投标保函（含电子保函）、保证保险、专业担保公司担保等能够实现保证目的的方式，须在递交投标文件截止时间前完成缴纳。</w:t>
            </w:r>
          </w:p>
          <w:p w14:paraId="73B8103B">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rPr>
              <w:t>4、递交方式：</w:t>
            </w:r>
          </w:p>
          <w:p w14:paraId="2465A22F">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1）如采用现金或者支票形式提交的，投标保证金从投标人基本账户递交，由广州交易集团有限公司（广州公共资源交易中心）代收。具体操作要求详见广州交易集团有限公司（广州公共资源交易中心）有关指引，递交事宜请自行咨询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672B010C">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收款单位：广州交易集团有限公司，</w:t>
            </w:r>
          </w:p>
          <w:p w14:paraId="1BBC4645">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开户银行：中国建设银行广州天润路支行，</w:t>
            </w:r>
          </w:p>
          <w:p w14:paraId="1E101BC2">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 xml:space="preserve">银行账号：44001583404059333333。 </w:t>
            </w:r>
          </w:p>
          <w:p w14:paraId="0FB18F98">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2）如采用非电子形式的投标保函、专业担保公司担保或投标保证保险提交投标保证金的，在开标前不强制要求投标人提交纸质原件，由中标候选人在中标候选人公示前提交并在网上公示，投标人应在投标文件中提交投标保函、担保或投标保证保险扫描件并加盖投标人电子印章。如投标人选择在开标前提交纸质原件的，可在投标截止时间前单独密封递交至开标室（时间及地点同递交备用投标文件电子光盘的时间及地点）。银行保函、保证保险或专业担保公司担保需开具给招标人（受益人也必须是招标人）。</w:t>
            </w:r>
          </w:p>
          <w:p w14:paraId="18AA50E0">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（3）如采用电子形式的保函、保证保险或担保提交投标保证金的，具体操作详见广州公共资源交易中心电子保函操作指引。建议投标人优先使用电子保函替代现金保证金。</w:t>
            </w:r>
          </w:p>
          <w:p w14:paraId="49F1A4E4">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lang w:eastAsia="zh-CN"/>
              </w:rPr>
            </w:pPr>
          </w:p>
          <w:p w14:paraId="0E308FFE">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lang w:eastAsia="zh-CN"/>
              </w:rPr>
              <w:t>□</w:t>
            </w:r>
            <w:r>
              <w:rPr>
                <w:rStyle w:val="50"/>
                <w:rFonts w:hint="eastAsia" w:ascii="宋体" w:hAnsi="宋体" w:eastAsia="宋体" w:cs="宋体"/>
                <w:color w:val="auto"/>
                <w:sz w:val="24"/>
                <w:szCs w:val="24"/>
                <w:highlight w:val="none"/>
                <w:u w:val="single"/>
              </w:rPr>
              <w:t>不要求</w:t>
            </w:r>
          </w:p>
          <w:p w14:paraId="21ED75FF">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注：1、政府投资项目不得收取投标保证金。鼓励招标人对简单小额项目不要求提供投标担保，对中小企业投标人免除投标担保。</w:t>
            </w:r>
          </w:p>
          <w:p w14:paraId="33B7DF15">
            <w:pPr>
              <w:wordWrap w:val="0"/>
              <w:adjustRightInd w:val="0"/>
              <w:snapToGrid w:val="0"/>
              <w:spacing w:before="0" w:beforeLines="0" w:afterLines="0" w:line="400" w:lineRule="exact"/>
              <w:ind w:left="0" w:leftChars="0" w:right="0" w:rightChars="0"/>
              <w:rPr>
                <w:rStyle w:val="50"/>
                <w:rFonts w:hint="eastAsia" w:ascii="宋体" w:hAnsi="宋体" w:eastAsia="宋体" w:cs="宋体"/>
                <w:color w:val="auto"/>
                <w:sz w:val="24"/>
                <w:szCs w:val="24"/>
                <w:highlight w:val="none"/>
                <w:u w:val="single"/>
              </w:rPr>
            </w:pPr>
            <w:r>
              <w:rPr>
                <w:rStyle w:val="50"/>
                <w:rFonts w:hint="eastAsia" w:ascii="宋体" w:hAnsi="宋体" w:eastAsia="宋体" w:cs="宋体"/>
                <w:color w:val="auto"/>
                <w:sz w:val="24"/>
                <w:szCs w:val="24"/>
                <w:highlight w:val="none"/>
                <w:u w:val="single"/>
              </w:rPr>
              <w:t>2、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65F0A7CF">
            <w:pPr>
              <w:wordWrap w:val="0"/>
              <w:adjustRightInd w:val="0"/>
              <w:snapToGrid w:val="0"/>
              <w:spacing w:before="0" w:beforeLines="0" w:afterLines="0" w:line="400" w:lineRule="exact"/>
              <w:rPr>
                <w:rFonts w:hint="eastAsia" w:ascii="宋体" w:hAnsi="宋体" w:eastAsia="宋体" w:cs="宋体"/>
                <w:color w:val="auto"/>
                <w:sz w:val="24"/>
                <w:szCs w:val="24"/>
                <w:highlight w:val="none"/>
              </w:rPr>
            </w:pPr>
            <w:r>
              <w:rPr>
                <w:rStyle w:val="50"/>
                <w:rFonts w:hint="eastAsia" w:ascii="宋体" w:hAnsi="宋体" w:eastAsia="宋体" w:cs="宋体"/>
                <w:color w:val="auto"/>
                <w:sz w:val="24"/>
                <w:szCs w:val="24"/>
                <w:highlight w:val="none"/>
                <w:u w:val="single"/>
              </w:rPr>
              <w:t>3、招标人在免收投标保证金的同时，应约定免交投标保证金的投标人存在16.4条款所列情形的后续处理措施。</w:t>
            </w:r>
          </w:p>
        </w:tc>
      </w:tr>
      <w:tr w14:paraId="6E4DD6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4BC456C">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w:t>
            </w:r>
          </w:p>
        </w:tc>
        <w:tc>
          <w:tcPr>
            <w:tcW w:w="474" w:type="pct"/>
            <w:tcBorders>
              <w:top w:val="single" w:color="auto" w:sz="4" w:space="0"/>
              <w:left w:val="single" w:color="auto" w:sz="4" w:space="0"/>
              <w:bottom w:val="single" w:color="auto" w:sz="4" w:space="0"/>
              <w:right w:val="single" w:color="auto" w:sz="4" w:space="0"/>
            </w:tcBorders>
            <w:vAlign w:val="center"/>
          </w:tcPr>
          <w:p w14:paraId="71761F1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916" w:type="pct"/>
            <w:tcBorders>
              <w:top w:val="single" w:color="auto" w:sz="4" w:space="0"/>
              <w:left w:val="single" w:color="auto" w:sz="4" w:space="0"/>
              <w:bottom w:val="single" w:color="auto" w:sz="4" w:space="0"/>
              <w:right w:val="single" w:color="auto" w:sz="4" w:space="0"/>
            </w:tcBorders>
            <w:vAlign w:val="center"/>
          </w:tcPr>
          <w:p w14:paraId="0EB50D0D">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3234" w:type="pct"/>
            <w:tcBorders>
              <w:top w:val="single" w:color="auto" w:sz="4" w:space="0"/>
              <w:left w:val="single" w:color="auto" w:sz="4" w:space="0"/>
              <w:bottom w:val="single" w:color="auto" w:sz="4" w:space="0"/>
              <w:right w:val="double" w:color="auto" w:sz="4" w:space="0"/>
            </w:tcBorders>
            <w:vAlign w:val="center"/>
          </w:tcPr>
          <w:p w14:paraId="7B0D4F59">
            <w:pPr>
              <w:pStyle w:val="24"/>
              <w:snapToGrid w:val="0"/>
              <w:spacing w:beforeLines="0" w:afterLines="0" w:line="400" w:lineRule="exac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 xml:space="preserve">招标人不集中组织，由投标人自行踏勘。    </w:t>
            </w:r>
          </w:p>
        </w:tc>
      </w:tr>
      <w:tr w14:paraId="6141F7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0619B2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w:t>
            </w:r>
          </w:p>
        </w:tc>
        <w:tc>
          <w:tcPr>
            <w:tcW w:w="474" w:type="pct"/>
            <w:tcBorders>
              <w:top w:val="single" w:color="auto" w:sz="4" w:space="0"/>
              <w:left w:val="single" w:color="auto" w:sz="4" w:space="0"/>
              <w:bottom w:val="single" w:color="auto" w:sz="4" w:space="0"/>
              <w:right w:val="single" w:color="auto" w:sz="4" w:space="0"/>
            </w:tcBorders>
            <w:vAlign w:val="center"/>
          </w:tcPr>
          <w:p w14:paraId="1E4F694E">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916" w:type="pct"/>
            <w:tcBorders>
              <w:top w:val="single" w:color="auto" w:sz="4" w:space="0"/>
              <w:left w:val="single" w:color="auto" w:sz="4" w:space="0"/>
              <w:bottom w:val="single" w:color="auto" w:sz="4" w:space="0"/>
              <w:right w:val="single" w:color="auto" w:sz="4" w:space="0"/>
            </w:tcBorders>
            <w:vAlign w:val="center"/>
          </w:tcPr>
          <w:p w14:paraId="23A2C1B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投标答疑</w:t>
            </w:r>
          </w:p>
        </w:tc>
        <w:tc>
          <w:tcPr>
            <w:tcW w:w="3234" w:type="pct"/>
            <w:tcBorders>
              <w:top w:val="single" w:color="auto" w:sz="4" w:space="0"/>
              <w:left w:val="single" w:color="auto" w:sz="4" w:space="0"/>
              <w:bottom w:val="single" w:color="auto" w:sz="4" w:space="0"/>
              <w:right w:val="double" w:color="auto" w:sz="4" w:space="0"/>
            </w:tcBorders>
            <w:vAlign w:val="center"/>
          </w:tcPr>
          <w:p w14:paraId="3A365A71">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1、疑问提交时间：</w:t>
            </w:r>
            <w:r>
              <w:rPr>
                <w:rFonts w:hint="eastAsia" w:ascii="宋体" w:hAnsi="宋体" w:eastAsia="宋体" w:cs="宋体"/>
                <w:color w:val="auto"/>
                <w:sz w:val="24"/>
                <w:szCs w:val="24"/>
                <w:highlight w:val="none"/>
                <w:u w:val="single"/>
              </w:rPr>
              <w:t>在递交投标文件截止日期前18日；</w:t>
            </w:r>
          </w:p>
          <w:p w14:paraId="21425776">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2、形式：投标人的疑问通过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交易平台提交。</w:t>
            </w:r>
          </w:p>
          <w:p w14:paraId="3161CF8C">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u w:val="single"/>
              </w:rPr>
              <w:t>招标人澄清、修补或答疑期限：在递交投标文件截止日期前15日；</w:t>
            </w:r>
          </w:p>
          <w:p w14:paraId="4C249D62">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u w:val="single"/>
              </w:rPr>
              <w:t>网上答疑的操作指南为：投标人登录广州交易集团有限公司（广州公共资源交易中心）数字交易平台→进入“我是投标人”页面→进入“招标答疑提问”页面→通过项目编号或名称找到所需的项目→在上述答疑时间内点击“答疑提问”→无记名或匿名提出问题。</w:t>
            </w:r>
          </w:p>
        </w:tc>
      </w:tr>
      <w:tr w14:paraId="65EE9F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D0919FB">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p>
        </w:tc>
        <w:tc>
          <w:tcPr>
            <w:tcW w:w="474" w:type="pct"/>
            <w:tcBorders>
              <w:top w:val="single" w:color="auto" w:sz="4" w:space="0"/>
              <w:left w:val="single" w:color="auto" w:sz="4" w:space="0"/>
              <w:bottom w:val="single" w:color="auto" w:sz="4" w:space="0"/>
              <w:right w:val="single" w:color="auto" w:sz="4" w:space="0"/>
            </w:tcBorders>
            <w:vAlign w:val="center"/>
          </w:tcPr>
          <w:p w14:paraId="26844FA4">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916" w:type="pct"/>
            <w:tcBorders>
              <w:top w:val="single" w:color="auto" w:sz="4" w:space="0"/>
              <w:left w:val="single" w:color="auto" w:sz="4" w:space="0"/>
              <w:bottom w:val="single" w:color="auto" w:sz="4" w:space="0"/>
              <w:right w:val="single" w:color="auto" w:sz="4" w:space="0"/>
            </w:tcBorders>
            <w:vAlign w:val="center"/>
          </w:tcPr>
          <w:p w14:paraId="01EBEDDE">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投标截止时间</w:t>
            </w:r>
          </w:p>
        </w:tc>
        <w:tc>
          <w:tcPr>
            <w:tcW w:w="3234" w:type="pct"/>
            <w:tcBorders>
              <w:top w:val="single" w:color="auto" w:sz="4" w:space="0"/>
              <w:left w:val="single" w:color="auto" w:sz="4" w:space="0"/>
              <w:bottom w:val="single" w:color="auto" w:sz="4" w:space="0"/>
              <w:right w:val="double" w:color="auto" w:sz="4" w:space="0"/>
            </w:tcBorders>
            <w:vAlign w:val="center"/>
          </w:tcPr>
          <w:p w14:paraId="4115CC21">
            <w:pPr>
              <w:snapToGrid w:val="0"/>
              <w:spacing w:beforeLines="0" w:afterLines="0" w:line="400" w:lineRule="exact"/>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u w:val="single"/>
              </w:rPr>
              <w:t>2025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分（北京时间）。</w:t>
            </w:r>
          </w:p>
        </w:tc>
      </w:tr>
      <w:tr w14:paraId="10D5B6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5A96A1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p>
        </w:tc>
        <w:tc>
          <w:tcPr>
            <w:tcW w:w="474" w:type="pct"/>
            <w:tcBorders>
              <w:top w:val="single" w:color="auto" w:sz="4" w:space="0"/>
              <w:left w:val="single" w:color="auto" w:sz="4" w:space="0"/>
              <w:bottom w:val="single" w:color="auto" w:sz="4" w:space="0"/>
              <w:right w:val="single" w:color="auto" w:sz="4" w:space="0"/>
            </w:tcBorders>
            <w:vAlign w:val="center"/>
          </w:tcPr>
          <w:p w14:paraId="47D8D76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20.1</w:t>
            </w:r>
          </w:p>
        </w:tc>
        <w:tc>
          <w:tcPr>
            <w:tcW w:w="916" w:type="pct"/>
            <w:tcBorders>
              <w:top w:val="single" w:color="auto" w:sz="4" w:space="0"/>
              <w:left w:val="single" w:color="auto" w:sz="4" w:space="0"/>
              <w:bottom w:val="single" w:color="auto" w:sz="4" w:space="0"/>
              <w:right w:val="single" w:color="auto" w:sz="4" w:space="0"/>
            </w:tcBorders>
            <w:vAlign w:val="center"/>
          </w:tcPr>
          <w:p w14:paraId="574D7ED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开标开始时间和地点</w:t>
            </w:r>
          </w:p>
        </w:tc>
        <w:tc>
          <w:tcPr>
            <w:tcW w:w="3234" w:type="pct"/>
            <w:tcBorders>
              <w:top w:val="single" w:color="auto" w:sz="4" w:space="0"/>
              <w:left w:val="single" w:color="auto" w:sz="4" w:space="0"/>
              <w:bottom w:val="single" w:color="auto" w:sz="4" w:space="0"/>
              <w:right w:val="double" w:color="auto" w:sz="4" w:space="0"/>
            </w:tcBorders>
            <w:vAlign w:val="center"/>
          </w:tcPr>
          <w:p w14:paraId="31DD9B7B">
            <w:pPr>
              <w:widowControl/>
              <w:snapToGrid w:val="0"/>
              <w:spacing w:beforeLines="0" w:afterLines="0" w:line="400" w:lineRule="exact"/>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（技术标和经济标同时开标）</w:t>
            </w:r>
          </w:p>
          <w:p w14:paraId="10722F60">
            <w:pPr>
              <w:widowControl/>
              <w:snapToGrid w:val="0"/>
              <w:spacing w:beforeLines="0" w:afterLines="0" w:line="400" w:lineRule="exact"/>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1、开标开始时间：</w:t>
            </w:r>
            <w:r>
              <w:rPr>
                <w:rFonts w:hint="eastAsia" w:ascii="宋体" w:hAnsi="宋体" w:eastAsia="宋体" w:cs="宋体"/>
                <w:bCs/>
                <w:color w:val="auto"/>
                <w:kern w:val="0"/>
                <w:sz w:val="24"/>
                <w:szCs w:val="24"/>
                <w:highlight w:val="none"/>
                <w:u w:val="single"/>
              </w:rPr>
              <w:t>2025年   月  日  时  分</w:t>
            </w:r>
            <w:r>
              <w:rPr>
                <w:rFonts w:hint="eastAsia" w:ascii="宋体" w:hAnsi="宋体" w:eastAsia="宋体" w:cs="宋体"/>
                <w:bCs/>
                <w:color w:val="auto"/>
                <w:kern w:val="0"/>
                <w:sz w:val="24"/>
                <w:szCs w:val="24"/>
                <w:highlight w:val="none"/>
              </w:rPr>
              <w:t>（与投标截止时间为同一时间），地点：</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bCs/>
                <w:color w:val="auto"/>
                <w:sz w:val="24"/>
                <w:szCs w:val="24"/>
                <w:highlight w:val="none"/>
                <w:u w:val="single"/>
              </w:rPr>
              <w:t>第   开标室</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u w:val="single"/>
              </w:rPr>
              <w:t>投标人也可选择参加在线开标，具体按照交易平台相关指南进行操作。详见：http://www.gzggzy.cn/fwznbszyjsgc/index.jhtml。</w:t>
            </w:r>
          </w:p>
          <w:p w14:paraId="5E7BF855">
            <w:pPr>
              <w:widowControl/>
              <w:snapToGrid w:val="0"/>
              <w:spacing w:beforeLines="0" w:afterLines="0" w:line="400" w:lineRule="exact"/>
              <w:jc w:val="left"/>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2、递交投标文件备用光盘时间：</w:t>
            </w:r>
            <w:r>
              <w:rPr>
                <w:rFonts w:hint="eastAsia" w:ascii="宋体" w:hAnsi="宋体" w:eastAsia="宋体" w:cs="宋体"/>
                <w:bCs/>
                <w:color w:val="auto"/>
                <w:kern w:val="0"/>
                <w:sz w:val="24"/>
                <w:szCs w:val="24"/>
                <w:highlight w:val="none"/>
                <w:u w:val="single"/>
              </w:rPr>
              <w:t>2025年  月  日 时  分至2025年  月  日  时  分</w:t>
            </w:r>
            <w:r>
              <w:rPr>
                <w:rFonts w:hint="eastAsia" w:ascii="宋体" w:hAnsi="宋体" w:eastAsia="宋体" w:cs="宋体"/>
                <w:bCs/>
                <w:color w:val="auto"/>
                <w:kern w:val="0"/>
                <w:sz w:val="24"/>
                <w:szCs w:val="24"/>
                <w:highlight w:val="none"/>
              </w:rPr>
              <w:t>；递交地点：</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bCs/>
                <w:color w:val="auto"/>
                <w:sz w:val="24"/>
                <w:szCs w:val="24"/>
                <w:highlight w:val="none"/>
                <w:u w:val="single"/>
              </w:rPr>
              <w:t>第   开标室</w:t>
            </w:r>
            <w:r>
              <w:rPr>
                <w:rFonts w:hint="eastAsia" w:ascii="宋体" w:hAnsi="宋体" w:eastAsia="宋体" w:cs="宋体"/>
                <w:bCs/>
                <w:color w:val="auto"/>
                <w:kern w:val="0"/>
                <w:sz w:val="24"/>
                <w:szCs w:val="24"/>
                <w:highlight w:val="none"/>
              </w:rPr>
              <w:t>。</w:t>
            </w:r>
            <w:r>
              <w:rPr>
                <w:rFonts w:hint="eastAsia" w:ascii="宋体" w:hAnsi="宋体" w:eastAsia="宋体" w:cs="宋体"/>
                <w:b/>
                <w:bCs/>
                <w:color w:val="auto"/>
                <w:sz w:val="24"/>
                <w:szCs w:val="24"/>
                <w:highlight w:val="none"/>
                <w:u w:val="single"/>
              </w:rPr>
              <w:t>注：投标人递交投标文件备用光盘时应附上法定代表人证明书及法定代表人授权委托书（授权代表递交时出具)，并出示本人身份证原件</w:t>
            </w:r>
            <w:r>
              <w:rPr>
                <w:rFonts w:hint="eastAsia" w:ascii="宋体" w:hAnsi="宋体" w:eastAsia="宋体" w:cs="宋体"/>
                <w:bCs/>
                <w:color w:val="auto"/>
                <w:kern w:val="0"/>
                <w:sz w:val="24"/>
                <w:szCs w:val="24"/>
                <w:highlight w:val="none"/>
              </w:rPr>
              <w:t>(建议安排在投标文件截止时间前15分钟至投标文件截止时间）。</w:t>
            </w:r>
          </w:p>
          <w:p w14:paraId="182175B0">
            <w:pPr>
              <w:pStyle w:val="22"/>
              <w:snapToGrid w:val="0"/>
              <w:spacing w:beforeLines="0" w:afterLines="0" w:line="400" w:lineRule="exact"/>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u w:val="single"/>
              </w:rPr>
              <w:t>投标人应在投标文件递交截止时间前通过广州交易集团有限公司（广州公共资源交易中心）电子招标投标交易平台递交电子投标文件。</w:t>
            </w:r>
          </w:p>
          <w:p w14:paraId="6EB09419">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上述时间及地点是否有改变，请密切留意补充公告和招标答疑纪要的相关信息。</w:t>
            </w:r>
          </w:p>
        </w:tc>
      </w:tr>
      <w:tr w14:paraId="3A0FB85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restart"/>
            <w:tcBorders>
              <w:top w:val="single" w:color="auto" w:sz="4" w:space="0"/>
              <w:left w:val="double" w:color="auto" w:sz="4" w:space="0"/>
              <w:right w:val="single" w:color="auto" w:sz="4" w:space="0"/>
            </w:tcBorders>
            <w:vAlign w:val="center"/>
          </w:tcPr>
          <w:p w14:paraId="07C52BCC">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w:t>
            </w:r>
          </w:p>
        </w:tc>
        <w:tc>
          <w:tcPr>
            <w:tcW w:w="474" w:type="pct"/>
            <w:vMerge w:val="restart"/>
            <w:tcBorders>
              <w:top w:val="single" w:color="auto" w:sz="4" w:space="0"/>
              <w:left w:val="single" w:color="auto" w:sz="4" w:space="0"/>
              <w:right w:val="single" w:color="auto" w:sz="4" w:space="0"/>
            </w:tcBorders>
            <w:vAlign w:val="center"/>
          </w:tcPr>
          <w:p w14:paraId="468F7FDB">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916" w:type="pct"/>
            <w:vMerge w:val="restart"/>
            <w:tcBorders>
              <w:top w:val="single" w:color="auto" w:sz="4" w:space="0"/>
              <w:left w:val="single" w:color="auto" w:sz="4" w:space="0"/>
              <w:right w:val="single" w:color="auto" w:sz="4" w:space="0"/>
            </w:tcBorders>
            <w:vAlign w:val="center"/>
          </w:tcPr>
          <w:p w14:paraId="13FE2B6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开标评标办法</w:t>
            </w:r>
          </w:p>
        </w:tc>
        <w:tc>
          <w:tcPr>
            <w:tcW w:w="3234" w:type="pct"/>
            <w:tcBorders>
              <w:top w:val="single" w:color="auto" w:sz="4" w:space="0"/>
              <w:left w:val="single" w:color="auto" w:sz="4" w:space="0"/>
              <w:bottom w:val="single" w:color="auto" w:sz="4" w:space="0"/>
              <w:right w:val="double" w:color="auto" w:sz="4" w:space="0"/>
            </w:tcBorders>
            <w:vAlign w:val="center"/>
          </w:tcPr>
          <w:p w14:paraId="25ACAA76">
            <w:pPr>
              <w:wordWrap w:val="0"/>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本项目采用“评定分离”办法。</w:t>
            </w:r>
          </w:p>
          <w:p w14:paraId="4EB46512">
            <w:pPr>
              <w:wordWrap w:val="0"/>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评标办法：</w:t>
            </w:r>
            <w:r>
              <w:rPr>
                <w:rFonts w:hint="eastAsia" w:ascii="宋体" w:hAnsi="宋体" w:eastAsia="宋体" w:cs="宋体"/>
                <w:color w:val="auto"/>
                <w:sz w:val="24"/>
                <w:szCs w:val="24"/>
                <w:highlight w:val="none"/>
                <w:u w:val="single"/>
              </w:rPr>
              <w:t>采用“通过制”评审法</w:t>
            </w:r>
          </w:p>
          <w:p w14:paraId="250EAD25">
            <w:pPr>
              <w:pStyle w:val="4"/>
              <w:snapToGrid w:val="0"/>
              <w:spacing w:beforeLines="0" w:after="0" w:afterLines="0" w:line="400" w:lineRule="exact"/>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对投标文件进行资格审查，再对通过资格审查的投标文件进行技术标有效性审查和经济标有效性审查。若通过资格审查、技术标有效性审查和经济标有效性审查的合格投标人数量大于等于3家的，则将其全部推荐为合格的中标候选人，进入定标阶段。</w:t>
            </w:r>
          </w:p>
        </w:tc>
      </w:tr>
      <w:tr w14:paraId="3FDA0C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bottom w:val="single" w:color="auto" w:sz="4" w:space="0"/>
              <w:right w:val="single" w:color="auto" w:sz="4" w:space="0"/>
            </w:tcBorders>
            <w:vAlign w:val="center"/>
          </w:tcPr>
          <w:p w14:paraId="1480D71E">
            <w:pPr>
              <w:snapToGrid w:val="0"/>
              <w:spacing w:beforeLines="0" w:afterLines="0" w:line="400" w:lineRule="exact"/>
              <w:jc w:val="center"/>
              <w:rPr>
                <w:rFonts w:hint="eastAsia" w:ascii="宋体" w:hAnsi="宋体" w:eastAsia="宋体" w:cs="宋体"/>
                <w:color w:val="auto"/>
                <w:sz w:val="24"/>
                <w:szCs w:val="24"/>
                <w:highlight w:val="none"/>
              </w:rPr>
            </w:pPr>
          </w:p>
        </w:tc>
        <w:tc>
          <w:tcPr>
            <w:tcW w:w="474" w:type="pct"/>
            <w:vMerge w:val="continue"/>
            <w:tcBorders>
              <w:left w:val="single" w:color="auto" w:sz="4" w:space="0"/>
              <w:bottom w:val="single" w:color="auto" w:sz="4" w:space="0"/>
              <w:right w:val="single" w:color="auto" w:sz="4" w:space="0"/>
            </w:tcBorders>
            <w:shd w:val="clear" w:color="auto" w:fill="auto"/>
            <w:vAlign w:val="center"/>
          </w:tcPr>
          <w:p w14:paraId="59017480">
            <w:pPr>
              <w:snapToGrid w:val="0"/>
              <w:spacing w:beforeLines="0" w:afterLines="0" w:line="400" w:lineRule="exact"/>
              <w:jc w:val="center"/>
              <w:rPr>
                <w:rFonts w:hint="eastAsia" w:ascii="宋体" w:hAnsi="宋体" w:eastAsia="宋体" w:cs="宋体"/>
                <w:color w:val="auto"/>
                <w:kern w:val="2"/>
                <w:sz w:val="24"/>
                <w:szCs w:val="24"/>
                <w:highlight w:val="none"/>
                <w:lang w:val="en-US" w:eastAsia="zh-CN" w:bidi="ar-SA"/>
              </w:rPr>
            </w:pPr>
          </w:p>
        </w:tc>
        <w:tc>
          <w:tcPr>
            <w:tcW w:w="916" w:type="pct"/>
            <w:vMerge w:val="continue"/>
            <w:tcBorders>
              <w:left w:val="single" w:color="auto" w:sz="4" w:space="0"/>
              <w:bottom w:val="single" w:color="auto" w:sz="4" w:space="0"/>
              <w:right w:val="single" w:color="auto" w:sz="4" w:space="0"/>
            </w:tcBorders>
            <w:shd w:val="clear" w:color="auto" w:fill="auto"/>
            <w:vAlign w:val="center"/>
          </w:tcPr>
          <w:p w14:paraId="41FB74B8">
            <w:pPr>
              <w:snapToGrid w:val="0"/>
              <w:spacing w:beforeLines="0" w:afterLines="0" w:line="400" w:lineRule="exact"/>
              <w:jc w:val="center"/>
              <w:rPr>
                <w:rFonts w:hint="eastAsia" w:ascii="宋体" w:hAnsi="宋体" w:eastAsia="宋体" w:cs="宋体"/>
                <w:color w:val="auto"/>
                <w:kern w:val="2"/>
                <w:sz w:val="24"/>
                <w:szCs w:val="24"/>
                <w:highlight w:val="none"/>
                <w:u w:val="single"/>
                <w:lang w:val="en-US" w:eastAsia="zh-CN" w:bidi="ar-SA"/>
              </w:rPr>
            </w:pPr>
          </w:p>
        </w:tc>
        <w:tc>
          <w:tcPr>
            <w:tcW w:w="3234" w:type="pct"/>
            <w:tcBorders>
              <w:top w:val="single" w:color="auto" w:sz="4" w:space="0"/>
              <w:left w:val="single" w:color="auto" w:sz="4" w:space="0"/>
              <w:bottom w:val="single" w:color="auto" w:sz="4" w:space="0"/>
              <w:right w:val="double" w:color="auto" w:sz="4" w:space="0"/>
            </w:tcBorders>
            <w:shd w:val="clear" w:color="auto" w:fill="auto"/>
            <w:vAlign w:val="center"/>
          </w:tcPr>
          <w:p w14:paraId="7F8CA80E">
            <w:pPr>
              <w:pStyle w:val="4"/>
              <w:snapToGrid w:val="0"/>
              <w:spacing w:beforeLines="0" w:after="0" w:afterLines="0" w:line="40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u w:val="single"/>
              </w:rPr>
              <w:t>定标办法：采用“评分”的定标方法。</w:t>
            </w:r>
          </w:p>
          <w:p w14:paraId="32177005">
            <w:pPr>
              <w:pStyle w:val="4"/>
              <w:snapToGrid w:val="0"/>
              <w:spacing w:beforeLines="0" w:after="0" w:afterLines="0" w:line="400" w:lineRule="exact"/>
              <w:ind w:firstLine="0" w:firstLine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2"/>
                <w:sz w:val="24"/>
                <w:szCs w:val="24"/>
                <w:highlight w:val="none"/>
                <w:u w:val="single"/>
              </w:rPr>
              <w:t>具体要求详见第二章</w:t>
            </w:r>
            <w:r>
              <w:rPr>
                <w:rFonts w:hint="eastAsia" w:ascii="宋体" w:hAnsi="宋体" w:eastAsia="宋体" w:cs="宋体"/>
                <w:color w:val="auto"/>
                <w:kern w:val="2"/>
                <w:sz w:val="24"/>
                <w:szCs w:val="24"/>
                <w:highlight w:val="none"/>
                <w:u w:val="single"/>
                <w:lang w:val="en-US" w:eastAsia="zh-CN"/>
              </w:rPr>
              <w:t xml:space="preserve"> 开标、</w:t>
            </w:r>
            <w:r>
              <w:rPr>
                <w:rFonts w:hint="eastAsia" w:ascii="宋体" w:hAnsi="宋体" w:eastAsia="宋体" w:cs="宋体"/>
                <w:color w:val="auto"/>
                <w:kern w:val="2"/>
                <w:sz w:val="24"/>
                <w:szCs w:val="24"/>
                <w:highlight w:val="none"/>
                <w:u w:val="single"/>
              </w:rPr>
              <w:t>评标及定标办法</w:t>
            </w:r>
          </w:p>
        </w:tc>
      </w:tr>
      <w:tr w14:paraId="3DF1D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AD55C4E">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w:t>
            </w:r>
          </w:p>
        </w:tc>
        <w:tc>
          <w:tcPr>
            <w:tcW w:w="474" w:type="pct"/>
            <w:tcBorders>
              <w:top w:val="single" w:color="auto" w:sz="4" w:space="0"/>
              <w:left w:val="single" w:color="auto" w:sz="4" w:space="0"/>
              <w:bottom w:val="single" w:color="auto" w:sz="4" w:space="0"/>
              <w:right w:val="single" w:color="auto" w:sz="4" w:space="0"/>
            </w:tcBorders>
            <w:vAlign w:val="center"/>
          </w:tcPr>
          <w:p w14:paraId="692ABF8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p>
        </w:tc>
        <w:tc>
          <w:tcPr>
            <w:tcW w:w="916" w:type="pct"/>
            <w:tcBorders>
              <w:top w:val="single" w:color="auto" w:sz="4" w:space="0"/>
              <w:left w:val="single" w:color="auto" w:sz="4" w:space="0"/>
              <w:bottom w:val="single" w:color="auto" w:sz="4" w:space="0"/>
              <w:right w:val="single" w:color="auto" w:sz="4" w:space="0"/>
            </w:tcBorders>
            <w:vAlign w:val="center"/>
          </w:tcPr>
          <w:p w14:paraId="4347E30C">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3234" w:type="pct"/>
            <w:tcBorders>
              <w:top w:val="single" w:color="auto" w:sz="4" w:space="0"/>
              <w:left w:val="single" w:color="auto" w:sz="4" w:space="0"/>
              <w:bottom w:val="single" w:color="auto" w:sz="4" w:space="0"/>
              <w:right w:val="double" w:color="auto" w:sz="4" w:space="0"/>
            </w:tcBorders>
            <w:vAlign w:val="center"/>
          </w:tcPr>
          <w:p w14:paraId="555D8323">
            <w:pPr>
              <w:pStyle w:val="4"/>
              <w:snapToGrid w:val="0"/>
              <w:spacing w:beforeLines="0" w:after="0" w:afterLines="0" w:line="400" w:lineRule="exact"/>
              <w:ind w:firstLine="0"/>
              <w:rPr>
                <w:rFonts w:hint="eastAsia" w:ascii="宋体" w:hAnsi="宋体" w:eastAsia="宋体" w:cs="宋体"/>
                <w:color w:val="auto"/>
                <w:kern w:val="2"/>
                <w:sz w:val="24"/>
                <w:szCs w:val="24"/>
                <w:highlight w:val="none"/>
                <w:u w:val="single"/>
              </w:rPr>
            </w:pPr>
            <w:r>
              <w:rPr>
                <w:rFonts w:hint="eastAsia" w:ascii="宋体" w:hAnsi="宋体" w:eastAsia="宋体" w:cs="宋体"/>
                <w:color w:val="auto"/>
                <w:sz w:val="24"/>
                <w:szCs w:val="24"/>
                <w:highlight w:val="none"/>
              </w:rPr>
              <w:t>方式一：中标人提供的履约保证金为中标价款的10%。</w:t>
            </w:r>
          </w:p>
        </w:tc>
      </w:tr>
      <w:tr w14:paraId="28FD43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B441AE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474" w:type="pct"/>
            <w:tcBorders>
              <w:top w:val="single" w:color="auto" w:sz="4" w:space="0"/>
              <w:left w:val="single" w:color="auto" w:sz="4" w:space="0"/>
              <w:bottom w:val="single" w:color="auto" w:sz="4" w:space="0"/>
              <w:right w:val="single" w:color="auto" w:sz="4" w:space="0"/>
            </w:tcBorders>
            <w:vAlign w:val="center"/>
          </w:tcPr>
          <w:p w14:paraId="1CBF1F1B">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A3DCDC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3234" w:type="pct"/>
            <w:tcBorders>
              <w:top w:val="single" w:color="auto" w:sz="4" w:space="0"/>
              <w:left w:val="single" w:color="auto" w:sz="4" w:space="0"/>
              <w:bottom w:val="single" w:color="auto" w:sz="4" w:space="0"/>
              <w:right w:val="double" w:color="auto" w:sz="4" w:space="0"/>
            </w:tcBorders>
            <w:vAlign w:val="center"/>
          </w:tcPr>
          <w:p w14:paraId="1F8F795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本项目最高投标限价为</w:t>
            </w:r>
            <w:r>
              <w:rPr>
                <w:rFonts w:hint="eastAsia" w:ascii="宋体" w:hAnsi="宋体" w:eastAsia="宋体" w:cs="宋体"/>
                <w:color w:val="auto"/>
                <w:sz w:val="24"/>
                <w:szCs w:val="24"/>
                <w:highlight w:val="none"/>
                <w:u w:val="single"/>
              </w:rPr>
              <w:t>人民币2461767.32元</w:t>
            </w:r>
            <w:r>
              <w:rPr>
                <w:rFonts w:hint="eastAsia" w:ascii="宋体" w:hAnsi="宋体" w:eastAsia="宋体" w:cs="宋体"/>
                <w:color w:val="auto"/>
                <w:sz w:val="24"/>
                <w:szCs w:val="24"/>
                <w:highlight w:val="none"/>
              </w:rPr>
              <w:t>。</w:t>
            </w:r>
          </w:p>
        </w:tc>
      </w:tr>
      <w:tr w14:paraId="034D365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B9B315E">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474" w:type="pct"/>
            <w:tcBorders>
              <w:top w:val="single" w:color="auto" w:sz="4" w:space="0"/>
              <w:left w:val="single" w:color="auto" w:sz="4" w:space="0"/>
              <w:bottom w:val="single" w:color="auto" w:sz="4" w:space="0"/>
              <w:right w:val="single" w:color="auto" w:sz="4" w:space="0"/>
            </w:tcBorders>
            <w:vAlign w:val="center"/>
          </w:tcPr>
          <w:p w14:paraId="77149080">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E28C146">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非竞争费用</w:t>
            </w:r>
          </w:p>
        </w:tc>
        <w:tc>
          <w:tcPr>
            <w:tcW w:w="3234" w:type="pct"/>
            <w:tcBorders>
              <w:top w:val="single" w:color="auto" w:sz="4" w:space="0"/>
              <w:left w:val="single" w:color="auto" w:sz="4" w:space="0"/>
              <w:bottom w:val="single" w:color="auto" w:sz="4" w:space="0"/>
              <w:right w:val="double" w:color="auto" w:sz="4" w:space="0"/>
            </w:tcBorders>
            <w:vAlign w:val="center"/>
          </w:tcPr>
          <w:p w14:paraId="1565F7F7">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本项目绿色施工安全防护措施费为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val="en-US" w:eastAsia="zh-CN" w:bidi="ar"/>
              </w:rPr>
              <w:t>118432.61</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，暂列金额为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val="en-US" w:eastAsia="zh-CN" w:bidi="ar"/>
              </w:rPr>
              <w:t>188141.94</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，暂估价为</w:t>
            </w:r>
            <w:r>
              <w:rPr>
                <w:rFonts w:hint="eastAsia" w:ascii="宋体" w:hAnsi="宋体" w:eastAsia="宋体" w:cs="宋体"/>
                <w:color w:val="auto"/>
                <w:sz w:val="24"/>
                <w:szCs w:val="24"/>
                <w:highlight w:val="none"/>
                <w:u w:val="single"/>
              </w:rPr>
              <w:t>人民币</w:t>
            </w:r>
            <w:r>
              <w:rPr>
                <w:rFonts w:hint="eastAsia" w:ascii="宋体" w:hAnsi="宋体" w:eastAsia="宋体" w:cs="宋体"/>
                <w:color w:val="auto"/>
                <w:sz w:val="24"/>
                <w:szCs w:val="24"/>
                <w:highlight w:val="none"/>
                <w:u w:val="single"/>
                <w:lang w:bidi="ar"/>
              </w:rPr>
              <w:t>0</w:t>
            </w:r>
            <w:r>
              <w:rPr>
                <w:rFonts w:hint="eastAsia" w:ascii="宋体" w:hAnsi="宋体" w:eastAsia="宋体" w:cs="宋体"/>
                <w:color w:val="auto"/>
                <w:sz w:val="24"/>
                <w:szCs w:val="24"/>
                <w:highlight w:val="none"/>
                <w:u w:val="single"/>
                <w:lang w:val="en-US" w:eastAsia="zh-CN" w:bidi="ar"/>
              </w:rPr>
              <w:t>.00</w:t>
            </w:r>
            <w:r>
              <w:rPr>
                <w:rFonts w:hint="eastAsia" w:ascii="宋体" w:hAnsi="宋体" w:eastAsia="宋体" w:cs="宋体"/>
                <w:color w:val="auto"/>
                <w:sz w:val="24"/>
                <w:szCs w:val="24"/>
                <w:highlight w:val="none"/>
                <w:u w:val="singl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详见最高投标限价公布函</w:t>
            </w:r>
            <w:r>
              <w:rPr>
                <w:rFonts w:hint="eastAsia" w:ascii="宋体" w:hAnsi="宋体" w:eastAsia="宋体" w:cs="宋体"/>
                <w:color w:val="auto"/>
                <w:sz w:val="24"/>
                <w:szCs w:val="24"/>
                <w:highlight w:val="none"/>
              </w:rPr>
              <w:t>。（未按招标文件规定的金额填写的，由评标委员会按照招标文件规定的金额进行修正）</w:t>
            </w:r>
          </w:p>
        </w:tc>
      </w:tr>
      <w:tr w14:paraId="2AD6A0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BB792D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tc>
        <w:tc>
          <w:tcPr>
            <w:tcW w:w="474" w:type="pct"/>
            <w:tcBorders>
              <w:top w:val="single" w:color="auto" w:sz="4" w:space="0"/>
              <w:left w:val="single" w:color="auto" w:sz="4" w:space="0"/>
              <w:bottom w:val="single" w:color="auto" w:sz="4" w:space="0"/>
              <w:right w:val="single" w:color="auto" w:sz="4" w:space="0"/>
            </w:tcBorders>
            <w:vAlign w:val="center"/>
          </w:tcPr>
          <w:p w14:paraId="5AC086D6">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3A5A3EC5">
            <w:pPr>
              <w:pStyle w:val="4"/>
              <w:snapToGrid w:val="0"/>
              <w:spacing w:beforeLines="0" w:after="0" w:afterLines="0" w:line="400" w:lineRule="exact"/>
              <w:ind w:firstLine="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保修期</w:t>
            </w:r>
          </w:p>
        </w:tc>
        <w:tc>
          <w:tcPr>
            <w:tcW w:w="3234" w:type="pct"/>
            <w:tcBorders>
              <w:top w:val="single" w:color="auto" w:sz="4" w:space="0"/>
              <w:left w:val="single" w:color="auto" w:sz="4" w:space="0"/>
              <w:bottom w:val="single" w:color="auto" w:sz="4" w:space="0"/>
              <w:right w:val="double" w:color="auto" w:sz="4" w:space="0"/>
            </w:tcBorders>
            <w:vAlign w:val="center"/>
          </w:tcPr>
          <w:p w14:paraId="09055E8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按照《建设工程质量管理条例》规定。</w:t>
            </w:r>
          </w:p>
        </w:tc>
      </w:tr>
      <w:tr w14:paraId="0FC4A3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3C3045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474" w:type="pct"/>
            <w:tcBorders>
              <w:top w:val="single" w:color="auto" w:sz="4" w:space="0"/>
              <w:left w:val="single" w:color="auto" w:sz="4" w:space="0"/>
              <w:bottom w:val="single" w:color="auto" w:sz="4" w:space="0"/>
              <w:right w:val="single" w:color="auto" w:sz="4" w:space="0"/>
            </w:tcBorders>
            <w:vAlign w:val="center"/>
          </w:tcPr>
          <w:p w14:paraId="3CD09398">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92BE35C">
            <w:pPr>
              <w:wordWrap w:val="0"/>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计算评标参考价的等分点值</w:t>
            </w:r>
          </w:p>
        </w:tc>
        <w:tc>
          <w:tcPr>
            <w:tcW w:w="3234" w:type="pct"/>
            <w:tcBorders>
              <w:top w:val="single" w:color="auto" w:sz="4" w:space="0"/>
              <w:left w:val="single" w:color="auto" w:sz="4" w:space="0"/>
              <w:bottom w:val="single" w:color="auto" w:sz="4" w:space="0"/>
              <w:right w:val="double" w:color="auto" w:sz="4" w:space="0"/>
            </w:tcBorders>
            <w:vAlign w:val="center"/>
          </w:tcPr>
          <w:p w14:paraId="6118C9A0">
            <w:pPr>
              <w:wordWrap w:val="0"/>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本项目不适用。</w:t>
            </w:r>
          </w:p>
        </w:tc>
      </w:tr>
      <w:tr w14:paraId="428E59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74C8189">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474" w:type="pct"/>
            <w:tcBorders>
              <w:top w:val="single" w:color="auto" w:sz="4" w:space="0"/>
              <w:left w:val="single" w:color="auto" w:sz="4" w:space="0"/>
              <w:bottom w:val="single" w:color="auto" w:sz="4" w:space="0"/>
              <w:right w:val="single" w:color="auto" w:sz="4" w:space="0"/>
            </w:tcBorders>
            <w:vAlign w:val="center"/>
          </w:tcPr>
          <w:p w14:paraId="59C5B298">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6B0AA888">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进入第二阶段评审的家数</w:t>
            </w:r>
          </w:p>
        </w:tc>
        <w:tc>
          <w:tcPr>
            <w:tcW w:w="3234" w:type="pct"/>
            <w:tcBorders>
              <w:top w:val="single" w:color="auto" w:sz="4" w:space="0"/>
              <w:left w:val="single" w:color="auto" w:sz="4" w:space="0"/>
              <w:bottom w:val="single" w:color="auto" w:sz="4" w:space="0"/>
              <w:right w:val="double" w:color="auto" w:sz="4" w:space="0"/>
            </w:tcBorders>
            <w:vAlign w:val="center"/>
          </w:tcPr>
          <w:p w14:paraId="5FB801D1">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本项目不适用。</w:t>
            </w:r>
          </w:p>
        </w:tc>
      </w:tr>
      <w:tr w14:paraId="3CE3C49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1FBAB5D">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474" w:type="pct"/>
            <w:tcBorders>
              <w:top w:val="single" w:color="auto" w:sz="4" w:space="0"/>
              <w:left w:val="single" w:color="auto" w:sz="4" w:space="0"/>
              <w:bottom w:val="single" w:color="auto" w:sz="4" w:space="0"/>
              <w:right w:val="single" w:color="auto" w:sz="4" w:space="0"/>
            </w:tcBorders>
            <w:vAlign w:val="center"/>
          </w:tcPr>
          <w:p w14:paraId="687D164C">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E0D64AD">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工程成本警戒价</w:t>
            </w:r>
          </w:p>
        </w:tc>
        <w:tc>
          <w:tcPr>
            <w:tcW w:w="3234" w:type="pct"/>
            <w:tcBorders>
              <w:top w:val="single" w:color="auto" w:sz="4" w:space="0"/>
              <w:left w:val="single" w:color="auto" w:sz="4" w:space="0"/>
              <w:bottom w:val="single" w:color="auto" w:sz="4" w:space="0"/>
              <w:right w:val="double" w:color="auto" w:sz="4" w:space="0"/>
            </w:tcBorders>
            <w:vAlign w:val="center"/>
          </w:tcPr>
          <w:p w14:paraId="57A7C4DB">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工程成本警戒价为人民币2215590.59元（按最高投标限价的</w:t>
            </w:r>
            <w:r>
              <w:rPr>
                <w:rFonts w:hint="eastAsia" w:ascii="宋体" w:hAnsi="宋体" w:eastAsia="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5B1CE0CB">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注：为充分体现招标人意愿及落实项目招标人负责制，警戒价由招标人决定。</w:t>
            </w:r>
          </w:p>
        </w:tc>
      </w:tr>
      <w:tr w14:paraId="632CCC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21907E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tc>
        <w:tc>
          <w:tcPr>
            <w:tcW w:w="474" w:type="pct"/>
            <w:tcBorders>
              <w:top w:val="single" w:color="auto" w:sz="4" w:space="0"/>
              <w:left w:val="single" w:color="auto" w:sz="4" w:space="0"/>
              <w:bottom w:val="single" w:color="auto" w:sz="4" w:space="0"/>
              <w:right w:val="single" w:color="auto" w:sz="4" w:space="0"/>
            </w:tcBorders>
            <w:vAlign w:val="center"/>
          </w:tcPr>
          <w:p w14:paraId="708D5663">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6071CC9B">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第一阶段各分值的权重</w:t>
            </w:r>
          </w:p>
        </w:tc>
        <w:tc>
          <w:tcPr>
            <w:tcW w:w="3234" w:type="pct"/>
            <w:tcBorders>
              <w:top w:val="single" w:color="auto" w:sz="4" w:space="0"/>
              <w:left w:val="single" w:color="auto" w:sz="4" w:space="0"/>
              <w:bottom w:val="single" w:color="auto" w:sz="4" w:space="0"/>
              <w:right w:val="double" w:color="auto" w:sz="4" w:space="0"/>
            </w:tcBorders>
            <w:vAlign w:val="center"/>
          </w:tcPr>
          <w:p w14:paraId="47F45AA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本项目不适用。</w:t>
            </w:r>
          </w:p>
        </w:tc>
      </w:tr>
      <w:tr w14:paraId="52BEE1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restart"/>
            <w:tcBorders>
              <w:top w:val="single" w:color="auto" w:sz="4" w:space="0"/>
              <w:left w:val="double" w:color="auto" w:sz="4" w:space="0"/>
              <w:right w:val="single" w:color="auto" w:sz="4" w:space="0"/>
            </w:tcBorders>
            <w:vAlign w:val="center"/>
          </w:tcPr>
          <w:p w14:paraId="3657EC2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474" w:type="pct"/>
            <w:vMerge w:val="restart"/>
            <w:tcBorders>
              <w:top w:val="single" w:color="auto" w:sz="4" w:space="0"/>
              <w:left w:val="single" w:color="auto" w:sz="4" w:space="0"/>
              <w:right w:val="single" w:color="auto" w:sz="4" w:space="0"/>
            </w:tcBorders>
            <w:vAlign w:val="center"/>
          </w:tcPr>
          <w:p w14:paraId="6872B882">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506558D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评标委员会人数</w:t>
            </w:r>
          </w:p>
        </w:tc>
        <w:tc>
          <w:tcPr>
            <w:tcW w:w="3234" w:type="pct"/>
            <w:tcBorders>
              <w:top w:val="single" w:color="auto" w:sz="4" w:space="0"/>
              <w:left w:val="single" w:color="auto" w:sz="4" w:space="0"/>
              <w:bottom w:val="single" w:color="auto" w:sz="4" w:space="0"/>
              <w:right w:val="double" w:color="auto" w:sz="4" w:space="0"/>
            </w:tcBorders>
            <w:vAlign w:val="center"/>
          </w:tcPr>
          <w:p w14:paraId="58F9095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评标委员会由招标人依法组建。</w:t>
            </w:r>
          </w:p>
        </w:tc>
      </w:tr>
      <w:tr w14:paraId="475A12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right w:val="single" w:color="auto" w:sz="4" w:space="0"/>
            </w:tcBorders>
            <w:vAlign w:val="center"/>
          </w:tcPr>
          <w:p w14:paraId="2EC7BFA5">
            <w:pPr>
              <w:snapToGrid w:val="0"/>
              <w:spacing w:beforeLines="0" w:afterLines="0" w:line="400" w:lineRule="exact"/>
              <w:jc w:val="center"/>
              <w:rPr>
                <w:rFonts w:hint="eastAsia" w:ascii="宋体" w:hAnsi="宋体" w:eastAsia="宋体" w:cs="宋体"/>
                <w:color w:val="auto"/>
                <w:sz w:val="24"/>
                <w:szCs w:val="24"/>
                <w:highlight w:val="none"/>
              </w:rPr>
            </w:pPr>
          </w:p>
        </w:tc>
        <w:tc>
          <w:tcPr>
            <w:tcW w:w="474" w:type="pct"/>
            <w:vMerge w:val="continue"/>
            <w:tcBorders>
              <w:left w:val="single" w:color="auto" w:sz="4" w:space="0"/>
              <w:right w:val="single" w:color="auto" w:sz="4" w:space="0"/>
            </w:tcBorders>
            <w:vAlign w:val="center"/>
          </w:tcPr>
          <w:p w14:paraId="71612D7A">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B1DD2CE">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标委员会人数</w:t>
            </w:r>
          </w:p>
        </w:tc>
        <w:tc>
          <w:tcPr>
            <w:tcW w:w="3234" w:type="pct"/>
            <w:tcBorders>
              <w:top w:val="single" w:color="auto" w:sz="4" w:space="0"/>
              <w:left w:val="single" w:color="auto" w:sz="4" w:space="0"/>
              <w:bottom w:val="single" w:color="auto" w:sz="4" w:space="0"/>
              <w:right w:val="double" w:color="auto" w:sz="4" w:space="0"/>
            </w:tcBorders>
            <w:vAlign w:val="center"/>
          </w:tcPr>
          <w:p w14:paraId="59C6189E">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定</w:t>
            </w:r>
            <w:r>
              <w:rPr>
                <w:rFonts w:hint="eastAsia" w:ascii="宋体" w:hAnsi="宋体" w:eastAsia="宋体" w:cs="宋体"/>
                <w:color w:val="auto"/>
                <w:sz w:val="24"/>
                <w:szCs w:val="24"/>
                <w:highlight w:val="none"/>
              </w:rPr>
              <w:t>标委员会由招标人依法</w:t>
            </w:r>
            <w:r>
              <w:rPr>
                <w:rFonts w:hint="eastAsia" w:ascii="宋体" w:hAnsi="宋体" w:eastAsia="宋体" w:cs="宋体"/>
                <w:color w:val="auto"/>
                <w:sz w:val="24"/>
                <w:szCs w:val="24"/>
                <w:highlight w:val="none"/>
                <w:lang w:val="en-US" w:eastAsia="zh-CN"/>
              </w:rPr>
              <w:t>依规</w:t>
            </w:r>
            <w:r>
              <w:rPr>
                <w:rFonts w:hint="eastAsia" w:ascii="宋体" w:hAnsi="宋体" w:eastAsia="宋体" w:cs="宋体"/>
                <w:color w:val="auto"/>
                <w:sz w:val="24"/>
                <w:szCs w:val="24"/>
                <w:highlight w:val="none"/>
              </w:rPr>
              <w:t>组建。</w:t>
            </w:r>
          </w:p>
        </w:tc>
      </w:tr>
      <w:tr w14:paraId="214E5D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vMerge w:val="continue"/>
            <w:tcBorders>
              <w:left w:val="double" w:color="auto" w:sz="4" w:space="0"/>
              <w:bottom w:val="single" w:color="auto" w:sz="4" w:space="0"/>
              <w:right w:val="single" w:color="auto" w:sz="4" w:space="0"/>
            </w:tcBorders>
            <w:vAlign w:val="center"/>
          </w:tcPr>
          <w:p w14:paraId="095EFBA9">
            <w:pPr>
              <w:snapToGrid w:val="0"/>
              <w:spacing w:beforeLines="0" w:afterLines="0" w:line="400" w:lineRule="exact"/>
              <w:jc w:val="center"/>
              <w:rPr>
                <w:rFonts w:hint="eastAsia" w:ascii="宋体" w:hAnsi="宋体" w:eastAsia="宋体" w:cs="宋体"/>
                <w:color w:val="auto"/>
                <w:sz w:val="24"/>
                <w:szCs w:val="24"/>
                <w:highlight w:val="none"/>
              </w:rPr>
            </w:pPr>
          </w:p>
        </w:tc>
        <w:tc>
          <w:tcPr>
            <w:tcW w:w="474" w:type="pct"/>
            <w:vMerge w:val="continue"/>
            <w:tcBorders>
              <w:left w:val="single" w:color="auto" w:sz="4" w:space="0"/>
              <w:bottom w:val="single" w:color="auto" w:sz="4" w:space="0"/>
              <w:right w:val="single" w:color="auto" w:sz="4" w:space="0"/>
            </w:tcBorders>
            <w:vAlign w:val="center"/>
          </w:tcPr>
          <w:p w14:paraId="7075BE15">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DC7BE7D">
            <w:pPr>
              <w:wordWrap/>
              <w:snapToGrid w:val="0"/>
              <w:spacing w:beforeLines="0" w:afterLines="0"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定标监督小组</w:t>
            </w:r>
          </w:p>
        </w:tc>
        <w:tc>
          <w:tcPr>
            <w:tcW w:w="3234" w:type="pct"/>
            <w:tcBorders>
              <w:top w:val="single" w:color="auto" w:sz="4" w:space="0"/>
              <w:left w:val="single" w:color="auto" w:sz="4" w:space="0"/>
              <w:bottom w:val="single" w:color="auto" w:sz="4" w:space="0"/>
              <w:right w:val="double" w:color="auto" w:sz="4" w:space="0"/>
            </w:tcBorders>
            <w:vAlign w:val="center"/>
          </w:tcPr>
          <w:p w14:paraId="1D6B0FF1">
            <w:pPr>
              <w:wordWrap/>
              <w:snapToGrid w:val="0"/>
              <w:spacing w:beforeLines="0" w:afterLines="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定标监督小组由招标人依法依规组建，负责监督定标委员会是否按既定的定标方法定标，定标方法及定标过程是否存在不公平、不公正的情形。</w:t>
            </w:r>
          </w:p>
        </w:tc>
      </w:tr>
      <w:tr w14:paraId="5AD3E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5A43AAA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474" w:type="pct"/>
            <w:tcBorders>
              <w:top w:val="single" w:color="auto" w:sz="4" w:space="0"/>
              <w:left w:val="single" w:color="auto" w:sz="4" w:space="0"/>
              <w:bottom w:val="single" w:color="auto" w:sz="4" w:space="0"/>
              <w:right w:val="single" w:color="auto" w:sz="4" w:space="0"/>
            </w:tcBorders>
            <w:vAlign w:val="center"/>
          </w:tcPr>
          <w:p w14:paraId="559E4247">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65A117B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企业综合诚信评价分数</w:t>
            </w:r>
          </w:p>
        </w:tc>
        <w:tc>
          <w:tcPr>
            <w:tcW w:w="3234" w:type="pct"/>
            <w:tcBorders>
              <w:top w:val="single" w:color="auto" w:sz="4" w:space="0"/>
              <w:left w:val="single" w:color="auto" w:sz="4" w:space="0"/>
              <w:bottom w:val="single" w:color="auto" w:sz="4" w:space="0"/>
              <w:right w:val="double" w:color="auto" w:sz="4" w:space="0"/>
            </w:tcBorders>
            <w:vAlign w:val="center"/>
          </w:tcPr>
          <w:p w14:paraId="2704D195">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w:t>
            </w:r>
            <w:r>
              <w:rPr>
                <w:rFonts w:hint="eastAsia" w:ascii="宋体" w:hAnsi="宋体" w:eastAsia="宋体" w:cs="宋体"/>
                <w:color w:val="auto"/>
                <w:sz w:val="24"/>
                <w:szCs w:val="24"/>
                <w:highlight w:val="none"/>
                <w:lang w:val="en-US" w:eastAsia="zh-CN"/>
              </w:rPr>
              <w:t>不适用</w:t>
            </w:r>
            <w:r>
              <w:rPr>
                <w:rFonts w:hint="eastAsia" w:ascii="宋体" w:hAnsi="宋体" w:eastAsia="宋体" w:cs="宋体"/>
                <w:color w:val="auto"/>
                <w:sz w:val="24"/>
                <w:szCs w:val="24"/>
                <w:highlight w:val="none"/>
              </w:rPr>
              <w:t>。</w:t>
            </w:r>
          </w:p>
        </w:tc>
      </w:tr>
      <w:tr w14:paraId="5D540E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1E97E23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w:t>
            </w:r>
          </w:p>
        </w:tc>
        <w:tc>
          <w:tcPr>
            <w:tcW w:w="474" w:type="pct"/>
            <w:tcBorders>
              <w:top w:val="single" w:color="auto" w:sz="4" w:space="0"/>
              <w:left w:val="single" w:color="auto" w:sz="4" w:space="0"/>
              <w:bottom w:val="single" w:color="auto" w:sz="4" w:space="0"/>
              <w:right w:val="single" w:color="auto" w:sz="4" w:space="0"/>
            </w:tcBorders>
            <w:vAlign w:val="center"/>
          </w:tcPr>
          <w:p w14:paraId="21F73FA8">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56DDFD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第二阶段投标人名次的排序方法（适用于办法一、办法二）</w:t>
            </w:r>
          </w:p>
        </w:tc>
        <w:tc>
          <w:tcPr>
            <w:tcW w:w="3234" w:type="pct"/>
            <w:tcBorders>
              <w:top w:val="single" w:color="auto" w:sz="4" w:space="0"/>
              <w:left w:val="single" w:color="auto" w:sz="4" w:space="0"/>
              <w:bottom w:val="single" w:color="auto" w:sz="4" w:space="0"/>
              <w:right w:val="double" w:color="auto" w:sz="4" w:space="0"/>
            </w:tcBorders>
            <w:vAlign w:val="center"/>
          </w:tcPr>
          <w:p w14:paraId="04784EA6">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本项目不适用。</w:t>
            </w:r>
          </w:p>
        </w:tc>
      </w:tr>
      <w:tr w14:paraId="357D11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2A74820">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w:t>
            </w:r>
          </w:p>
        </w:tc>
        <w:tc>
          <w:tcPr>
            <w:tcW w:w="474" w:type="pct"/>
            <w:tcBorders>
              <w:top w:val="single" w:color="auto" w:sz="4" w:space="0"/>
              <w:left w:val="single" w:color="auto" w:sz="4" w:space="0"/>
              <w:bottom w:val="single" w:color="auto" w:sz="4" w:space="0"/>
              <w:right w:val="single" w:color="auto" w:sz="4" w:space="0"/>
            </w:tcBorders>
            <w:vAlign w:val="center"/>
          </w:tcPr>
          <w:p w14:paraId="34027EE5">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A69BE34">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经济分相同情况下的排序方法（适用于办法三、办法四）</w:t>
            </w:r>
          </w:p>
        </w:tc>
        <w:tc>
          <w:tcPr>
            <w:tcW w:w="3234" w:type="pct"/>
            <w:tcBorders>
              <w:top w:val="single" w:color="auto" w:sz="4" w:space="0"/>
              <w:left w:val="single" w:color="auto" w:sz="4" w:space="0"/>
              <w:bottom w:val="single" w:color="auto" w:sz="4" w:space="0"/>
              <w:right w:val="double" w:color="auto" w:sz="4" w:space="0"/>
            </w:tcBorders>
            <w:vAlign w:val="center"/>
          </w:tcPr>
          <w:p w14:paraId="0ADE5E7B">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本项目不适用。</w:t>
            </w:r>
          </w:p>
        </w:tc>
      </w:tr>
      <w:tr w14:paraId="14014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EB69184">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w:t>
            </w:r>
          </w:p>
        </w:tc>
        <w:tc>
          <w:tcPr>
            <w:tcW w:w="474" w:type="pct"/>
            <w:tcBorders>
              <w:top w:val="single" w:color="auto" w:sz="4" w:space="0"/>
              <w:left w:val="single" w:color="auto" w:sz="4" w:space="0"/>
              <w:bottom w:val="single" w:color="auto" w:sz="4" w:space="0"/>
              <w:right w:val="single" w:color="auto" w:sz="4" w:space="0"/>
            </w:tcBorders>
            <w:vAlign w:val="center"/>
          </w:tcPr>
          <w:p w14:paraId="59CEE984">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414312E">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第二阶段投标人名次的排序方法（适用于办法五、办法六）</w:t>
            </w:r>
          </w:p>
        </w:tc>
        <w:tc>
          <w:tcPr>
            <w:tcW w:w="3234" w:type="pct"/>
            <w:tcBorders>
              <w:top w:val="single" w:color="auto" w:sz="4" w:space="0"/>
              <w:left w:val="single" w:color="auto" w:sz="4" w:space="0"/>
              <w:bottom w:val="single" w:color="auto" w:sz="4" w:space="0"/>
              <w:right w:val="double" w:color="auto" w:sz="4" w:space="0"/>
            </w:tcBorders>
            <w:vAlign w:val="center"/>
          </w:tcPr>
          <w:p w14:paraId="46D99EAD">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本项目不适用。</w:t>
            </w:r>
          </w:p>
        </w:tc>
      </w:tr>
      <w:tr w14:paraId="612092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753117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w:t>
            </w:r>
          </w:p>
        </w:tc>
        <w:tc>
          <w:tcPr>
            <w:tcW w:w="474" w:type="pct"/>
            <w:tcBorders>
              <w:top w:val="single" w:color="auto" w:sz="4" w:space="0"/>
              <w:left w:val="single" w:color="auto" w:sz="4" w:space="0"/>
              <w:bottom w:val="single" w:color="auto" w:sz="4" w:space="0"/>
              <w:right w:val="single" w:color="auto" w:sz="4" w:space="0"/>
            </w:tcBorders>
            <w:vAlign w:val="center"/>
          </w:tcPr>
          <w:p w14:paraId="5942C75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13.4、13.5.2</w:t>
            </w:r>
          </w:p>
        </w:tc>
        <w:tc>
          <w:tcPr>
            <w:tcW w:w="916" w:type="pct"/>
            <w:tcBorders>
              <w:top w:val="single" w:color="auto" w:sz="4" w:space="0"/>
              <w:left w:val="single" w:color="auto" w:sz="4" w:space="0"/>
              <w:bottom w:val="single" w:color="auto" w:sz="4" w:space="0"/>
              <w:right w:val="single" w:color="auto" w:sz="4" w:space="0"/>
            </w:tcBorders>
            <w:vAlign w:val="center"/>
          </w:tcPr>
          <w:p w14:paraId="540DB24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合同价款的调整办法</w:t>
            </w:r>
          </w:p>
        </w:tc>
        <w:tc>
          <w:tcPr>
            <w:tcW w:w="3234" w:type="pct"/>
            <w:tcBorders>
              <w:top w:val="single" w:color="auto" w:sz="4" w:space="0"/>
              <w:left w:val="single" w:color="auto" w:sz="4" w:space="0"/>
              <w:bottom w:val="single" w:color="auto" w:sz="4" w:space="0"/>
              <w:right w:val="double" w:color="auto" w:sz="4" w:space="0"/>
            </w:tcBorders>
            <w:vAlign w:val="center"/>
          </w:tcPr>
          <w:p w14:paraId="2EC5B5FE">
            <w:pPr>
              <w:snapToGrid w:val="0"/>
              <w:spacing w:beforeLines="0" w:afterLines="0" w:line="400" w:lineRule="exac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按合同条款相关约定调整。</w:t>
            </w:r>
          </w:p>
        </w:tc>
      </w:tr>
      <w:tr w14:paraId="27F3EA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76C8D719">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w:t>
            </w:r>
          </w:p>
        </w:tc>
        <w:tc>
          <w:tcPr>
            <w:tcW w:w="474" w:type="pct"/>
            <w:tcBorders>
              <w:top w:val="single" w:color="auto" w:sz="4" w:space="0"/>
              <w:left w:val="single" w:color="auto" w:sz="4" w:space="0"/>
              <w:bottom w:val="single" w:color="auto" w:sz="4" w:space="0"/>
              <w:right w:val="single" w:color="auto" w:sz="4" w:space="0"/>
            </w:tcBorders>
            <w:vAlign w:val="center"/>
          </w:tcPr>
          <w:p w14:paraId="58DF4861">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A295AB6">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建设工程质量检测单位</w:t>
            </w:r>
          </w:p>
        </w:tc>
        <w:tc>
          <w:tcPr>
            <w:tcW w:w="3234" w:type="pct"/>
            <w:tcBorders>
              <w:top w:val="single" w:color="auto" w:sz="4" w:space="0"/>
              <w:left w:val="single" w:color="auto" w:sz="4" w:space="0"/>
              <w:bottom w:val="single" w:color="auto" w:sz="4" w:space="0"/>
              <w:right w:val="double" w:color="auto" w:sz="4" w:space="0"/>
            </w:tcBorders>
            <w:vAlign w:val="center"/>
          </w:tcPr>
          <w:p w14:paraId="3C971164">
            <w:pPr>
              <w:snapToGrid w:val="0"/>
              <w:spacing w:beforeLines="0" w:afterLines="0" w:line="40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5D4CBB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47391CBA">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w:t>
            </w:r>
          </w:p>
        </w:tc>
        <w:tc>
          <w:tcPr>
            <w:tcW w:w="474" w:type="pct"/>
            <w:tcBorders>
              <w:top w:val="single" w:color="auto" w:sz="4" w:space="0"/>
              <w:left w:val="single" w:color="auto" w:sz="4" w:space="0"/>
              <w:bottom w:val="single" w:color="auto" w:sz="4" w:space="0"/>
              <w:right w:val="single" w:color="auto" w:sz="4" w:space="0"/>
            </w:tcBorders>
            <w:vAlign w:val="center"/>
          </w:tcPr>
          <w:p w14:paraId="3CD162A2">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A2C376A">
            <w:pPr>
              <w:snapToGrid w:val="0"/>
              <w:spacing w:beforeLines="0" w:afterLines="0" w:line="400" w:lineRule="exact"/>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分包</w:t>
            </w:r>
          </w:p>
        </w:tc>
        <w:tc>
          <w:tcPr>
            <w:tcW w:w="3234" w:type="pct"/>
            <w:tcBorders>
              <w:top w:val="single" w:color="auto" w:sz="4" w:space="0"/>
              <w:left w:val="single" w:color="auto" w:sz="4" w:space="0"/>
              <w:bottom w:val="single" w:color="auto" w:sz="4" w:space="0"/>
              <w:right w:val="double" w:color="auto" w:sz="4" w:space="0"/>
            </w:tcBorders>
            <w:vAlign w:val="center"/>
          </w:tcPr>
          <w:p w14:paraId="4CE59FF0">
            <w:pPr>
              <w:snapToGrid w:val="0"/>
              <w:spacing w:beforeLines="0" w:afterLines="0" w:line="40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□不允许；</w:t>
            </w:r>
          </w:p>
          <w:p w14:paraId="12E03CB6">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☑允许：分包内容要求：非主体的工程、非关键性的工作。</w:t>
            </w:r>
          </w:p>
          <w:p w14:paraId="2323EDD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分包金额要求：</w:t>
            </w:r>
            <w:r>
              <w:rPr>
                <w:rFonts w:hint="eastAsia" w:ascii="宋体" w:hAnsi="宋体" w:eastAsia="宋体" w:cs="宋体"/>
                <w:color w:val="auto"/>
                <w:sz w:val="24"/>
                <w:szCs w:val="24"/>
                <w:highlight w:val="none"/>
              </w:rPr>
              <w:t>/</w:t>
            </w:r>
          </w:p>
          <w:p w14:paraId="28650665">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对分包人的资质要求：</w:t>
            </w:r>
            <w:r>
              <w:rPr>
                <w:rFonts w:hint="eastAsia" w:ascii="宋体" w:hAnsi="宋体" w:eastAsia="宋体" w:cs="宋体"/>
                <w:color w:val="auto"/>
                <w:sz w:val="24"/>
                <w:szCs w:val="24"/>
                <w:highlight w:val="none"/>
              </w:rPr>
              <w:t>相对应的资质。</w:t>
            </w:r>
          </w:p>
          <w:p w14:paraId="6A71F7B2">
            <w:pPr>
              <w:pStyle w:val="22"/>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 xml:space="preserve">        对分包人的其他要求：未在以往工程中因不诚信行为或不充分履约行为被本项目招标人书面拒绝投标的，或未被纳入联合惩戒范围的。</w:t>
            </w:r>
            <w:r>
              <w:rPr>
                <w:rFonts w:hint="eastAsia" w:ascii="宋体" w:hAnsi="宋体" w:eastAsia="宋体" w:cs="宋体"/>
                <w:color w:val="auto"/>
                <w:sz w:val="24"/>
                <w:szCs w:val="24"/>
                <w:highlight w:val="none"/>
              </w:rPr>
              <w:t>须经发包人和总监理工程师书面同意。</w:t>
            </w:r>
          </w:p>
        </w:tc>
      </w:tr>
      <w:tr w14:paraId="78C9B0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06E5AC24">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w:t>
            </w:r>
          </w:p>
        </w:tc>
        <w:tc>
          <w:tcPr>
            <w:tcW w:w="474" w:type="pct"/>
            <w:tcBorders>
              <w:top w:val="single" w:color="auto" w:sz="4" w:space="0"/>
              <w:left w:val="single" w:color="auto" w:sz="4" w:space="0"/>
              <w:bottom w:val="single" w:color="auto" w:sz="4" w:space="0"/>
              <w:right w:val="single" w:color="auto" w:sz="4" w:space="0"/>
            </w:tcBorders>
            <w:vAlign w:val="center"/>
          </w:tcPr>
          <w:p w14:paraId="1F30D9DD">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65B0095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电子招标投标解密失败及突发情况的补救</w:t>
            </w:r>
          </w:p>
        </w:tc>
        <w:tc>
          <w:tcPr>
            <w:tcW w:w="3234" w:type="pct"/>
            <w:tcBorders>
              <w:top w:val="single" w:color="auto" w:sz="4" w:space="0"/>
              <w:left w:val="single" w:color="auto" w:sz="4" w:space="0"/>
              <w:bottom w:val="single" w:color="auto" w:sz="4" w:space="0"/>
              <w:right w:val="double" w:color="auto" w:sz="4" w:space="0"/>
            </w:tcBorders>
            <w:vAlign w:val="center"/>
          </w:tcPr>
          <w:p w14:paraId="27050115">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广州交易集团有限公司（广州公共资源交易中心）网站（http://www.gzggzy.cn/）</w:t>
            </w:r>
            <w:r>
              <w:rPr>
                <w:rFonts w:hint="eastAsia" w:ascii="宋体" w:hAnsi="宋体" w:eastAsia="宋体" w:cs="宋体"/>
                <w:color w:val="auto"/>
                <w:sz w:val="24"/>
                <w:szCs w:val="24"/>
                <w:highlight w:val="none"/>
              </w:rPr>
              <w:t>。</w:t>
            </w:r>
          </w:p>
          <w:p w14:paraId="254CC3DE">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2、提交投标文件光盘备用</w:t>
            </w:r>
          </w:p>
          <w:p w14:paraId="62CE72F0">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2E34B754">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3、补救方案</w:t>
            </w:r>
          </w:p>
          <w:p w14:paraId="78336CAE">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（1）投标文件解密失败的补救方案：</w:t>
            </w:r>
          </w:p>
          <w:p w14:paraId="69863105">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039592B5">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（2）评标时突发情况的补救方案</w:t>
            </w:r>
          </w:p>
          <w:p w14:paraId="0069A6FE">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若遇不可抗力发生（指网络瘫痪、服务器损坏、交易系统故障短期无法恢复等因素），由评标委员会开启投标人递交的全部投标文件光盘，并按光盘内容进行评审。</w:t>
            </w:r>
          </w:p>
          <w:p w14:paraId="28D88968">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（3）除发生上述情况外，开标评标均以投标人通过交易平台网上递交的电子投标文件为准。</w:t>
            </w:r>
          </w:p>
        </w:tc>
      </w:tr>
      <w:tr w14:paraId="441280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18FE3A7">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w:t>
            </w:r>
          </w:p>
        </w:tc>
        <w:tc>
          <w:tcPr>
            <w:tcW w:w="474" w:type="pct"/>
            <w:tcBorders>
              <w:top w:val="single" w:color="auto" w:sz="4" w:space="0"/>
              <w:left w:val="single" w:color="auto" w:sz="4" w:space="0"/>
              <w:bottom w:val="single" w:color="auto" w:sz="4" w:space="0"/>
              <w:right w:val="single" w:color="auto" w:sz="4" w:space="0"/>
            </w:tcBorders>
            <w:vAlign w:val="center"/>
          </w:tcPr>
          <w:p w14:paraId="4C0559ED">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1A736598">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招标人拒绝接收投标文件备用光盘的情况</w:t>
            </w:r>
          </w:p>
        </w:tc>
        <w:tc>
          <w:tcPr>
            <w:tcW w:w="3234" w:type="pct"/>
            <w:tcBorders>
              <w:top w:val="single" w:color="auto" w:sz="4" w:space="0"/>
              <w:left w:val="single" w:color="auto" w:sz="4" w:space="0"/>
              <w:bottom w:val="single" w:color="auto" w:sz="4" w:space="0"/>
              <w:right w:val="double" w:color="auto" w:sz="4" w:space="0"/>
            </w:tcBorders>
            <w:vAlign w:val="center"/>
          </w:tcPr>
          <w:p w14:paraId="0D09F41F">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1、在投标截止期后逾期或未在指定地点递交投标文件备用光盘的；</w:t>
            </w:r>
          </w:p>
          <w:p w14:paraId="63A700A2">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2、投标文件备用光盘未按招标文件要求密封或未在密封处盖章的；</w:t>
            </w:r>
          </w:p>
          <w:p w14:paraId="2B0084B2">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3、投标人代表未凭法定代表人证明书（原件）、授权委托书原件（仅限于非法定代表人）、本人身份证原件递交投标文件备用光盘的。</w:t>
            </w:r>
          </w:p>
        </w:tc>
      </w:tr>
      <w:tr w14:paraId="63E6F3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6929A53F">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w:t>
            </w:r>
          </w:p>
        </w:tc>
        <w:tc>
          <w:tcPr>
            <w:tcW w:w="474" w:type="pct"/>
            <w:tcBorders>
              <w:top w:val="single" w:color="auto" w:sz="4" w:space="0"/>
              <w:left w:val="single" w:color="auto" w:sz="4" w:space="0"/>
              <w:bottom w:val="single" w:color="auto" w:sz="4" w:space="0"/>
              <w:right w:val="single" w:color="auto" w:sz="4" w:space="0"/>
            </w:tcBorders>
            <w:vAlign w:val="center"/>
          </w:tcPr>
          <w:p w14:paraId="1942BC10">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7C789D04">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招标人对中标人参与“百千万工程”的具体要求</w:t>
            </w:r>
          </w:p>
        </w:tc>
        <w:tc>
          <w:tcPr>
            <w:tcW w:w="3234" w:type="pct"/>
            <w:tcBorders>
              <w:top w:val="single" w:color="auto" w:sz="4" w:space="0"/>
              <w:left w:val="single" w:color="auto" w:sz="4" w:space="0"/>
              <w:bottom w:val="single" w:color="auto" w:sz="4" w:space="0"/>
              <w:right w:val="double" w:color="auto" w:sz="4" w:space="0"/>
            </w:tcBorders>
            <w:vAlign w:val="center"/>
          </w:tcPr>
          <w:p w14:paraId="1705D005">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□具体要求在中标后按照投标承诺和招标人的要求执行。</w:t>
            </w:r>
          </w:p>
          <w:p w14:paraId="1D18738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☑具体要求：</w:t>
            </w:r>
            <w:r>
              <w:rPr>
                <w:rFonts w:hint="eastAsia" w:ascii="宋体" w:hAnsi="宋体" w:eastAsia="宋体" w:cs="宋体"/>
                <w:color w:val="auto"/>
                <w:sz w:val="24"/>
                <w:szCs w:val="24"/>
                <w:highlight w:val="none"/>
                <w:u w:val="single"/>
              </w:rPr>
              <w:t>/</w:t>
            </w:r>
          </w:p>
        </w:tc>
      </w:tr>
      <w:tr w14:paraId="0793CC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75" w:type="pct"/>
            <w:tcBorders>
              <w:top w:val="single" w:color="auto" w:sz="4" w:space="0"/>
              <w:left w:val="double" w:color="auto" w:sz="4" w:space="0"/>
              <w:bottom w:val="single" w:color="auto" w:sz="4" w:space="0"/>
              <w:right w:val="single" w:color="auto" w:sz="4" w:space="0"/>
            </w:tcBorders>
            <w:vAlign w:val="center"/>
          </w:tcPr>
          <w:p w14:paraId="2ACFAE95">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w:t>
            </w:r>
          </w:p>
        </w:tc>
        <w:tc>
          <w:tcPr>
            <w:tcW w:w="474" w:type="pct"/>
            <w:tcBorders>
              <w:top w:val="single" w:color="auto" w:sz="4" w:space="0"/>
              <w:left w:val="single" w:color="auto" w:sz="4" w:space="0"/>
              <w:bottom w:val="single" w:color="auto" w:sz="4" w:space="0"/>
              <w:right w:val="single" w:color="auto" w:sz="4" w:space="0"/>
            </w:tcBorders>
            <w:vAlign w:val="center"/>
          </w:tcPr>
          <w:p w14:paraId="0660FCB2">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0D80FC52">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交易服务费</w:t>
            </w:r>
          </w:p>
        </w:tc>
        <w:tc>
          <w:tcPr>
            <w:tcW w:w="3234" w:type="pct"/>
            <w:tcBorders>
              <w:top w:val="single" w:color="auto" w:sz="4" w:space="0"/>
              <w:left w:val="single" w:color="auto" w:sz="4" w:space="0"/>
              <w:bottom w:val="single" w:color="auto" w:sz="4" w:space="0"/>
              <w:right w:val="double" w:color="auto" w:sz="4" w:space="0"/>
            </w:tcBorders>
            <w:vAlign w:val="center"/>
          </w:tcPr>
          <w:p w14:paraId="7720F337">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中标人应根据政府有关规定，向广州公共资源交易中心缴纳公共资源交易服务费，投标单位应自行了解公共资源交易服务费收费标准，在投标报价中考虑此项费用。</w:t>
            </w:r>
          </w:p>
        </w:tc>
      </w:tr>
      <w:tr w14:paraId="254DE0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5697D9B2">
            <w:pPr>
              <w:snapToGrid w:val="0"/>
              <w:spacing w:beforeLines="0" w:afterLines="0"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w:t>
            </w:r>
          </w:p>
        </w:tc>
        <w:tc>
          <w:tcPr>
            <w:tcW w:w="474" w:type="pct"/>
            <w:tcBorders>
              <w:top w:val="single" w:color="auto" w:sz="4" w:space="0"/>
              <w:left w:val="single" w:color="auto" w:sz="4" w:space="0"/>
              <w:bottom w:val="single" w:color="auto" w:sz="4" w:space="0"/>
              <w:right w:val="single" w:color="auto" w:sz="4" w:space="0"/>
            </w:tcBorders>
            <w:vAlign w:val="center"/>
          </w:tcPr>
          <w:p w14:paraId="626B9026">
            <w:pPr>
              <w:snapToGrid w:val="0"/>
              <w:spacing w:beforeLines="0" w:afterLines="0" w:line="400" w:lineRule="exact"/>
              <w:jc w:val="center"/>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7DA561D">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工人工资支付分账及建筑安装工程费支付专户</w:t>
            </w:r>
          </w:p>
        </w:tc>
        <w:tc>
          <w:tcPr>
            <w:tcW w:w="3234" w:type="pct"/>
            <w:tcBorders>
              <w:top w:val="single" w:color="auto" w:sz="4" w:space="0"/>
              <w:left w:val="single" w:color="auto" w:sz="4" w:space="0"/>
              <w:bottom w:val="single" w:color="auto" w:sz="4" w:space="0"/>
              <w:right w:val="double" w:color="auto" w:sz="4" w:space="0"/>
            </w:tcBorders>
            <w:vAlign w:val="center"/>
          </w:tcPr>
          <w:p w14:paraId="17182938">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1、工人工资支付分账：承包人须依法建立、落实工人工资支付专户管理制度和用工实名制管理制度。工人工资支付专用账户的监督和管理按照《广州市住房和城乡建设局 广州市人力资源和社会保障局 广州市交通运输局 广州市水务局 广州市林业和园林局 中国人民银行广州分行营业管理部关于印发广州市建设领域工人工资支付分账管理实施细则的通知》（穗建规字〔2020〕37号）及《广州市住房和城乡建设局关于我市房建市政工程贯彻省用工实名及工人工资支付专用账户管理办法有关要求的通知》（穗建筑〔2019〕352号）等相关规定执行，相关规定如有更新按最新执行。</w:t>
            </w:r>
          </w:p>
        </w:tc>
      </w:tr>
      <w:tr w14:paraId="43CA6D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5" w:type="pct"/>
            <w:tcBorders>
              <w:top w:val="single" w:color="auto" w:sz="4" w:space="0"/>
              <w:left w:val="double" w:color="auto" w:sz="4" w:space="0"/>
              <w:bottom w:val="single" w:color="auto" w:sz="4" w:space="0"/>
              <w:right w:val="single" w:color="auto" w:sz="4" w:space="0"/>
            </w:tcBorders>
            <w:vAlign w:val="center"/>
          </w:tcPr>
          <w:p w14:paraId="307537C8">
            <w:pPr>
              <w:snapToGrid w:val="0"/>
              <w:spacing w:beforeLines="0" w:afterLines="0" w:line="400" w:lineRule="exac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41</w:t>
            </w:r>
          </w:p>
        </w:tc>
        <w:tc>
          <w:tcPr>
            <w:tcW w:w="474" w:type="pct"/>
            <w:tcBorders>
              <w:top w:val="single" w:color="auto" w:sz="4" w:space="0"/>
              <w:left w:val="single" w:color="auto" w:sz="4" w:space="0"/>
              <w:bottom w:val="single" w:color="auto" w:sz="4" w:space="0"/>
              <w:right w:val="single" w:color="auto" w:sz="4" w:space="0"/>
            </w:tcBorders>
            <w:vAlign w:val="center"/>
          </w:tcPr>
          <w:p w14:paraId="6875CBCE">
            <w:pPr>
              <w:snapToGrid w:val="0"/>
              <w:spacing w:beforeLines="0" w:afterLines="0" w:line="400" w:lineRule="exact"/>
              <w:jc w:val="left"/>
              <w:rPr>
                <w:rFonts w:hint="eastAsia" w:ascii="宋体" w:hAnsi="宋体" w:eastAsia="宋体" w:cs="宋体"/>
                <w:color w:val="auto"/>
                <w:sz w:val="24"/>
                <w:szCs w:val="24"/>
                <w:highlight w:val="none"/>
              </w:rPr>
            </w:pPr>
          </w:p>
        </w:tc>
        <w:tc>
          <w:tcPr>
            <w:tcW w:w="916" w:type="pct"/>
            <w:tcBorders>
              <w:top w:val="single" w:color="auto" w:sz="4" w:space="0"/>
              <w:left w:val="single" w:color="auto" w:sz="4" w:space="0"/>
              <w:bottom w:val="single" w:color="auto" w:sz="4" w:space="0"/>
              <w:right w:val="single" w:color="auto" w:sz="4" w:space="0"/>
            </w:tcBorders>
            <w:vAlign w:val="center"/>
          </w:tcPr>
          <w:p w14:paraId="28DE5743">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否决投标条款</w:t>
            </w:r>
          </w:p>
        </w:tc>
        <w:tc>
          <w:tcPr>
            <w:tcW w:w="3234" w:type="pct"/>
            <w:tcBorders>
              <w:top w:val="single" w:color="auto" w:sz="4" w:space="0"/>
              <w:left w:val="single" w:color="auto" w:sz="4" w:space="0"/>
              <w:bottom w:val="single" w:color="auto" w:sz="4" w:space="0"/>
              <w:right w:val="double" w:color="auto" w:sz="4" w:space="0"/>
            </w:tcBorders>
            <w:vAlign w:val="center"/>
          </w:tcPr>
          <w:p w14:paraId="542FF643">
            <w:pPr>
              <w:widowControl/>
              <w:snapToGrid w:val="0"/>
              <w:spacing w:before="0" w:beforeLines="0" w:after="0" w:afterLines="0" w:line="400" w:lineRule="exact"/>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否决投标条款：</w:t>
            </w:r>
          </w:p>
          <w:p w14:paraId="7BB5615A">
            <w:pPr>
              <w:snapToGrid w:val="0"/>
              <w:spacing w:beforeLines="0" w:afterLines="0" w:line="4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投标文件符合第二章开标、评标及定标办法</w:t>
            </w:r>
            <w:r>
              <w:rPr>
                <w:rFonts w:hint="eastAsia" w:ascii="宋体" w:hAnsi="宋体" w:eastAsia="宋体" w:cs="宋体"/>
                <w:color w:val="auto"/>
                <w:sz w:val="24"/>
                <w:szCs w:val="24"/>
                <w:highlight w:val="none"/>
                <w:lang w:eastAsia="zh-CN"/>
              </w:rPr>
              <w:t>《资格审查表》的</w:t>
            </w:r>
            <w:r>
              <w:rPr>
                <w:rFonts w:hint="eastAsia" w:ascii="宋体" w:hAnsi="宋体" w:eastAsia="宋体" w:cs="宋体"/>
                <w:color w:val="auto"/>
                <w:sz w:val="24"/>
                <w:szCs w:val="24"/>
                <w:highlight w:val="none"/>
                <w:lang w:val="en-US" w:eastAsia="zh-CN"/>
              </w:rPr>
              <w:t>规定，没有出现</w:t>
            </w:r>
            <w:r>
              <w:rPr>
                <w:rFonts w:hint="eastAsia" w:ascii="宋体" w:hAnsi="宋体" w:eastAsia="宋体" w:cs="宋体"/>
                <w:color w:val="auto"/>
                <w:sz w:val="24"/>
                <w:szCs w:val="24"/>
                <w:highlight w:val="none"/>
              </w:rPr>
              <w:t>第二章开标、评标及定标办法</w:t>
            </w:r>
            <w:r>
              <w:rPr>
                <w:rFonts w:hint="eastAsia" w:ascii="宋体" w:hAnsi="宋体" w:eastAsia="宋体" w:cs="宋体"/>
                <w:color w:val="auto"/>
                <w:sz w:val="24"/>
                <w:szCs w:val="24"/>
                <w:highlight w:val="none"/>
                <w:lang w:eastAsia="zh-CN"/>
              </w:rPr>
              <w:t>《技术标有效性审查表》</w:t>
            </w:r>
            <w:r>
              <w:rPr>
                <w:rFonts w:hint="eastAsia" w:ascii="宋体" w:hAnsi="宋体" w:eastAsia="宋体" w:cs="宋体"/>
                <w:color w:val="auto"/>
                <w:sz w:val="24"/>
                <w:szCs w:val="24"/>
                <w:highlight w:val="none"/>
                <w:lang w:val="en-US" w:eastAsia="zh-CN"/>
              </w:rPr>
              <w:t>和《经济标有效性审查表》</w:t>
            </w:r>
            <w:r>
              <w:rPr>
                <w:rFonts w:hint="eastAsia" w:ascii="宋体" w:hAnsi="宋体" w:eastAsia="宋体" w:cs="宋体"/>
                <w:color w:val="auto"/>
                <w:sz w:val="24"/>
                <w:szCs w:val="24"/>
                <w:highlight w:val="none"/>
              </w:rPr>
              <w:t>中所有情形的，为有效投标文件。任一情形不符合均为无效投标文件，经评标委员会认定后，其投标文件将被否决。</w:t>
            </w:r>
          </w:p>
        </w:tc>
      </w:tr>
    </w:tbl>
    <w:p w14:paraId="224B3FFD">
      <w:pPr>
        <w:jc w:val="left"/>
        <w:rPr>
          <w:rFonts w:hint="eastAsia" w:ascii="宋体" w:hAnsi="宋体" w:cs="宋体"/>
          <w:strike/>
          <w:dstrike w:val="0"/>
          <w:color w:val="auto"/>
          <w:sz w:val="24"/>
          <w:highlight w:val="none"/>
        </w:rPr>
      </w:pPr>
      <w:r>
        <w:rPr>
          <w:rFonts w:hint="eastAsia" w:ascii="宋体" w:hAnsi="宋体" w:cs="宋体"/>
          <w:strike/>
          <w:dstrike w:val="0"/>
          <w:color w:val="auto"/>
          <w:szCs w:val="20"/>
          <w:highlight w:val="none"/>
        </w:rPr>
        <w:t>注：企业</w:t>
      </w:r>
      <w:r>
        <w:rPr>
          <w:rFonts w:hint="eastAsia" w:ascii="宋体" w:hAnsi="宋体" w:cs="宋体"/>
          <w:strike/>
          <w:dstrike w:val="0"/>
          <w:color w:val="auto"/>
          <w:kern w:val="0"/>
          <w:szCs w:val="20"/>
          <w:highlight w:val="none"/>
        </w:rPr>
        <w:t>综合诚信评价得分即</w:t>
      </w:r>
      <w:r>
        <w:rPr>
          <w:rFonts w:hint="eastAsia" w:ascii="宋体" w:hAnsi="宋体" w:cs="宋体"/>
          <w:strike/>
          <w:dstrike w:val="0"/>
          <w:color w:val="auto"/>
          <w:szCs w:val="20"/>
          <w:highlight w:val="none"/>
        </w:rPr>
        <w:t>企业</w:t>
      </w:r>
      <w:r>
        <w:rPr>
          <w:rFonts w:hint="eastAsia" w:ascii="宋体" w:hAnsi="宋体" w:cs="宋体"/>
          <w:strike/>
          <w:dstrike w:val="0"/>
          <w:color w:val="auto"/>
          <w:kern w:val="0"/>
          <w:szCs w:val="20"/>
          <w:highlight w:val="none"/>
        </w:rPr>
        <w:t>综合诚信评价60日诚信分，以下同。</w:t>
      </w:r>
    </w:p>
    <w:p w14:paraId="104D70B7">
      <w:pPr>
        <w:pStyle w:val="6"/>
        <w:spacing w:before="0" w:after="0" w:line="360" w:lineRule="auto"/>
        <w:ind w:left="0"/>
        <w:rPr>
          <w:rFonts w:hint="eastAsia" w:ascii="宋体" w:hAnsi="宋体" w:cs="宋体"/>
          <w:color w:val="auto"/>
          <w:highlight w:val="none"/>
        </w:rPr>
      </w:pPr>
      <w:r>
        <w:rPr>
          <w:rFonts w:hint="eastAsia" w:ascii="宋体" w:hAnsi="宋体" w:cs="宋体"/>
          <w:color w:val="auto"/>
          <w:highlight w:val="none"/>
        </w:rPr>
        <w:br w:type="page"/>
      </w:r>
      <w:bookmarkStart w:id="4" w:name="_Toc23812"/>
      <w:r>
        <w:rPr>
          <w:rFonts w:hint="eastAsia" w:ascii="宋体" w:hAnsi="宋体" w:cs="宋体"/>
          <w:color w:val="auto"/>
          <w:sz w:val="28"/>
          <w:szCs w:val="28"/>
          <w:highlight w:val="none"/>
        </w:rPr>
        <w:t>二、投标须知修改表</w:t>
      </w:r>
      <w:bookmarkEnd w:id="4"/>
    </w:p>
    <w:p w14:paraId="31261E1F">
      <w:pPr>
        <w:pStyle w:val="4"/>
        <w:snapToGrid w:val="0"/>
        <w:spacing w:after="0"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14:paraId="3F978A54">
      <w:pPr>
        <w:snapToGrid w:val="0"/>
        <w:spacing w:line="400" w:lineRule="exact"/>
        <w:ind w:firstLine="482" w:firstLineChars="200"/>
        <w:jc w:val="left"/>
        <w:outlineLvl w:val="9"/>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条款号：2.5                    修改类型：增加</w:t>
      </w:r>
    </w:p>
    <w:p w14:paraId="5EFB5E6C">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2.5</w:t>
      </w:r>
      <w:r>
        <w:rPr>
          <w:rFonts w:hint="eastAsia" w:ascii="宋体" w:hAnsi="宋体" w:eastAsia="宋体" w:cs="宋体"/>
          <w:color w:val="auto"/>
          <w:kern w:val="0"/>
          <w:sz w:val="24"/>
          <w:szCs w:val="24"/>
          <w:highlight w:val="none"/>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7ACFCEC0">
      <w:pPr>
        <w:snapToGrid w:val="0"/>
        <w:spacing w:line="400" w:lineRule="exact"/>
        <w:ind w:firstLine="482" w:firstLineChars="200"/>
        <w:jc w:val="left"/>
        <w:outlineLvl w:val="9"/>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条款号：5.1                     修改类型：修改</w:t>
      </w:r>
    </w:p>
    <w:p w14:paraId="57AFF306">
      <w:pPr>
        <w:tabs>
          <w:tab w:val="left" w:pos="5620"/>
        </w:tabs>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原文：5</w:t>
      </w:r>
      <w:r>
        <w:rPr>
          <w:rFonts w:hint="eastAsia" w:ascii="宋体" w:hAnsi="宋体" w:eastAsia="宋体" w:cs="宋体"/>
          <w:color w:val="auto"/>
          <w:sz w:val="24"/>
          <w:szCs w:val="24"/>
          <w:highlight w:val="none"/>
        </w:rPr>
        <w:t>.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7888AB29">
      <w:pPr>
        <w:pBdr>
          <w:bottom w:val="single" w:color="auto" w:sz="4" w:space="1"/>
        </w:pBdr>
        <w:snapToGrid w:val="0"/>
        <w:spacing w:line="440" w:lineRule="exact"/>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b/>
          <w:color w:val="auto"/>
          <w:sz w:val="24"/>
          <w:szCs w:val="24"/>
          <w:highlight w:val="none"/>
          <w:u w:val="single"/>
        </w:rPr>
        <w:t>投标人不进行踏勘的，视为已孰知现场条件，自行承担相关风险。</w:t>
      </w:r>
      <w:r>
        <w:rPr>
          <w:rFonts w:hint="eastAsia" w:ascii="宋体" w:hAnsi="宋体" w:eastAsia="宋体" w:cs="宋体"/>
          <w:color w:val="auto"/>
          <w:sz w:val="24"/>
          <w:szCs w:val="24"/>
          <w:highlight w:val="none"/>
        </w:rPr>
        <w:t>一旦中标，这种考察即被认为其结果已在中标文件中得到充分反映。考察现场的费用由投标人自己承担。</w:t>
      </w:r>
    </w:p>
    <w:p w14:paraId="5ED1A0D0">
      <w:pPr>
        <w:snapToGrid w:val="0"/>
        <w:spacing w:line="400" w:lineRule="exact"/>
        <w:ind w:firstLine="482" w:firstLineChars="200"/>
        <w:jc w:val="left"/>
        <w:outlineLvl w:val="9"/>
        <w:rPr>
          <w:rFonts w:hint="eastAsia" w:ascii="宋体" w:hAnsi="宋体" w:eastAsia="宋体" w:cs="宋体"/>
          <w:b/>
          <w:bCs/>
          <w:color w:val="auto"/>
          <w:sz w:val="24"/>
          <w:szCs w:val="22"/>
          <w:highlight w:val="none"/>
        </w:rPr>
      </w:pPr>
      <w:r>
        <w:rPr>
          <w:rFonts w:hint="eastAsia" w:ascii="宋体" w:hAnsi="宋体" w:eastAsia="宋体" w:cs="宋体"/>
          <w:b/>
          <w:bCs/>
          <w:color w:val="auto"/>
          <w:sz w:val="24"/>
          <w:szCs w:val="22"/>
          <w:highlight w:val="none"/>
        </w:rPr>
        <w:t>条款号：7.1            修改类型：修改</w:t>
      </w:r>
      <w:r>
        <w:rPr>
          <w:rFonts w:hint="eastAsia" w:ascii="宋体" w:hAnsi="宋体" w:eastAsia="宋体" w:cs="宋体"/>
          <w:b/>
          <w:bCs/>
          <w:color w:val="auto"/>
          <w:sz w:val="24"/>
          <w:szCs w:val="22"/>
          <w:highlight w:val="none"/>
        </w:rPr>
        <w:tab/>
      </w:r>
    </w:p>
    <w:p w14:paraId="0320BA61">
      <w:pPr>
        <w:widowControl/>
        <w:snapToGrid w:val="0"/>
        <w:spacing w:line="440" w:lineRule="exact"/>
        <w:ind w:firstLine="482" w:firstLineChars="200"/>
        <w:jc w:val="left"/>
        <w:rPr>
          <w:rFonts w:hint="eastAsia" w:ascii="宋体" w:hAnsi="宋体" w:eastAsia="宋体" w:cs="宋体"/>
          <w:color w:val="auto"/>
          <w:kern w:val="0"/>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7.1</w:t>
      </w:r>
      <w:r>
        <w:rPr>
          <w:rFonts w:hint="eastAsia" w:ascii="宋体" w:hAnsi="宋体" w:eastAsia="宋体" w:cs="宋体"/>
          <w:color w:val="auto"/>
          <w:kern w:val="0"/>
          <w:sz w:val="24"/>
          <w:szCs w:val="24"/>
          <w:highlight w:val="none"/>
        </w:rPr>
        <w:t>本招标文件包括下列文件，以及所有按本须知第8条发出的招标答疑会会议纪要和按本须知第9条发出的澄清或修改：</w:t>
      </w:r>
    </w:p>
    <w:p w14:paraId="02211368">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第一章  投标须知</w:t>
      </w:r>
    </w:p>
    <w:p w14:paraId="3D538B61">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第二章  开标、评标及定标办法</w:t>
      </w:r>
    </w:p>
    <w:p w14:paraId="2A093A45">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第三章  合同条款</w:t>
      </w:r>
    </w:p>
    <w:p w14:paraId="308C958D">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第四章  投标文件格式</w:t>
      </w:r>
    </w:p>
    <w:p w14:paraId="5A062F3B">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第五章  技术条件（工程建设标准）（另册）</w:t>
      </w:r>
    </w:p>
    <w:p w14:paraId="2F9CF977">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第六章  图纸及勘察资料（另册）</w:t>
      </w:r>
    </w:p>
    <w:p w14:paraId="6E7AAA6D">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第七章  招标工程量清单（另册）</w:t>
      </w:r>
    </w:p>
    <w:p w14:paraId="6DC8D492">
      <w:pPr>
        <w:widowControl/>
        <w:snapToGrid w:val="0"/>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第八章  最高投标限价</w:t>
      </w:r>
    </w:p>
    <w:p w14:paraId="33441879">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 = 1 \* GB3 </w:instrText>
      </w:r>
      <w:r>
        <w:rPr>
          <w:rFonts w:hint="eastAsia" w:ascii="宋体" w:hAnsi="宋体" w:eastAsia="宋体" w:cs="宋体"/>
          <w:color w:val="auto"/>
          <w:kern w:val="0"/>
          <w:sz w:val="24"/>
          <w:szCs w:val="24"/>
          <w:highlight w:val="none"/>
        </w:rPr>
        <w:fldChar w:fldCharType="separate"/>
      </w:r>
      <w:r>
        <w:rPr>
          <w:rFonts w:hint="eastAsia" w:ascii="宋体" w:hAnsi="宋体" w:eastAsia="宋体" w:cs="宋体"/>
          <w:color w:val="auto"/>
          <w:kern w:val="0"/>
          <w:sz w:val="24"/>
          <w:szCs w:val="24"/>
          <w:highlight w:val="none"/>
        </w:rPr>
        <w:t>①</w:t>
      </w:r>
      <w:r>
        <w:rPr>
          <w:rFonts w:hint="eastAsia" w:ascii="宋体" w:hAnsi="宋体" w:eastAsia="宋体" w:cs="宋体"/>
          <w:color w:val="auto"/>
          <w:kern w:val="0"/>
          <w:sz w:val="24"/>
          <w:szCs w:val="24"/>
          <w:highlight w:val="none"/>
        </w:rPr>
        <w:fldChar w:fldCharType="end"/>
      </w:r>
      <w:r>
        <w:rPr>
          <w:rFonts w:hint="eastAsia" w:ascii="宋体" w:hAnsi="宋体" w:eastAsia="宋体" w:cs="宋体"/>
          <w:b/>
          <w:color w:val="auto"/>
          <w:kern w:val="0"/>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w:t>
      </w:r>
      <w:r>
        <w:rPr>
          <w:rFonts w:hint="eastAsia" w:ascii="宋体" w:hAnsi="宋体" w:eastAsia="宋体" w:cs="宋体"/>
          <w:color w:val="auto"/>
          <w:kern w:val="0"/>
          <w:sz w:val="24"/>
          <w:szCs w:val="24"/>
          <w:highlight w:val="none"/>
        </w:rPr>
        <w:t>明确施工现场建筑垃圾源头减量的具体要求以及建筑垃圾综合利用产品的使用要求。</w:t>
      </w:r>
      <w:r>
        <w:rPr>
          <w:rFonts w:hint="eastAsia" w:ascii="宋体" w:hAnsi="宋体" w:eastAsia="宋体" w:cs="宋体"/>
          <w:b/>
          <w:color w:val="auto"/>
          <w:kern w:val="0"/>
          <w:sz w:val="24"/>
          <w:szCs w:val="24"/>
          <w:highlight w:val="none"/>
        </w:rPr>
        <w:fldChar w:fldCharType="begin"/>
      </w:r>
      <w:r>
        <w:rPr>
          <w:rFonts w:hint="eastAsia" w:ascii="宋体" w:hAnsi="宋体" w:eastAsia="宋体" w:cs="宋体"/>
          <w:b/>
          <w:color w:val="auto"/>
          <w:kern w:val="0"/>
          <w:sz w:val="24"/>
          <w:szCs w:val="24"/>
          <w:highlight w:val="none"/>
        </w:rPr>
        <w:instrText xml:space="preserve"> = 2 \* GB3 </w:instrText>
      </w:r>
      <w:r>
        <w:rPr>
          <w:rFonts w:hint="eastAsia" w:ascii="宋体" w:hAnsi="宋体" w:eastAsia="宋体" w:cs="宋体"/>
          <w:b/>
          <w:color w:val="auto"/>
          <w:kern w:val="0"/>
          <w:sz w:val="24"/>
          <w:szCs w:val="24"/>
          <w:highlight w:val="none"/>
        </w:rPr>
        <w:fldChar w:fldCharType="separate"/>
      </w:r>
      <w:r>
        <w:rPr>
          <w:rFonts w:hint="eastAsia" w:ascii="宋体" w:hAnsi="宋体" w:eastAsia="宋体" w:cs="宋体"/>
          <w:b/>
          <w:color w:val="auto"/>
          <w:kern w:val="0"/>
          <w:sz w:val="24"/>
          <w:szCs w:val="24"/>
          <w:highlight w:val="none"/>
        </w:rPr>
        <w:t>②</w:t>
      </w:r>
      <w:r>
        <w:rPr>
          <w:rFonts w:hint="eastAsia" w:ascii="宋体" w:hAnsi="宋体" w:eastAsia="宋体" w:cs="宋体"/>
          <w:b/>
          <w:color w:val="auto"/>
          <w:kern w:val="0"/>
          <w:sz w:val="24"/>
          <w:szCs w:val="24"/>
          <w:highlight w:val="none"/>
        </w:rPr>
        <w:fldChar w:fldCharType="end"/>
      </w:r>
      <w:r>
        <w:rPr>
          <w:rFonts w:hint="eastAsia" w:ascii="宋体" w:hAnsi="宋体" w:eastAsia="宋体" w:cs="宋体"/>
          <w:b/>
          <w:color w:val="auto"/>
          <w:kern w:val="0"/>
          <w:sz w:val="24"/>
          <w:szCs w:val="24"/>
          <w:highlight w:val="none"/>
        </w:rPr>
        <w:t>鼓励招标人对施工组织设计或施工方案实行隐藏投标人信息的暗标评审。</w:t>
      </w:r>
    </w:p>
    <w:p w14:paraId="72D3D38B">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7.1</w:t>
      </w:r>
      <w:r>
        <w:rPr>
          <w:rFonts w:hint="eastAsia" w:ascii="宋体" w:hAnsi="宋体" w:eastAsia="宋体" w:cs="宋体"/>
          <w:color w:val="auto"/>
          <w:sz w:val="24"/>
          <w:szCs w:val="24"/>
          <w:highlight w:val="none"/>
        </w:rPr>
        <w:t>本招标文件包括下列文件，以及所有按本须知第8条发出的招标答疑会会议纪要和按本须知第9条发出的澄清或修改：</w:t>
      </w:r>
    </w:p>
    <w:p w14:paraId="59172C54">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第一章  </w:t>
      </w:r>
      <w:r>
        <w:rPr>
          <w:rFonts w:hint="eastAsia" w:ascii="宋体" w:hAnsi="宋体" w:eastAsia="宋体" w:cs="宋体"/>
          <w:color w:val="auto"/>
          <w:sz w:val="24"/>
          <w:szCs w:val="24"/>
          <w:highlight w:val="none"/>
        </w:rPr>
        <w:t>投标须知</w:t>
      </w:r>
    </w:p>
    <w:p w14:paraId="543CAC55">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第二章  </w:t>
      </w:r>
      <w:r>
        <w:rPr>
          <w:rFonts w:hint="eastAsia" w:ascii="宋体" w:hAnsi="宋体" w:eastAsia="宋体" w:cs="宋体"/>
          <w:color w:val="auto"/>
          <w:sz w:val="24"/>
          <w:szCs w:val="24"/>
          <w:highlight w:val="none"/>
        </w:rPr>
        <w:t>开标、评标及定标办法</w:t>
      </w:r>
    </w:p>
    <w:p w14:paraId="10A8BE6C">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r>
        <w:rPr>
          <w:rFonts w:hint="eastAsia" w:ascii="宋体" w:hAnsi="宋体" w:eastAsia="宋体" w:cs="宋体"/>
          <w:color w:val="auto"/>
          <w:sz w:val="24"/>
          <w:szCs w:val="24"/>
          <w:highlight w:val="none"/>
          <w:u w:val="single"/>
        </w:rPr>
        <w:t>（另册）</w:t>
      </w:r>
    </w:p>
    <w:p w14:paraId="58AECAA7">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第四章  </w:t>
      </w:r>
      <w:r>
        <w:rPr>
          <w:rFonts w:hint="eastAsia" w:ascii="宋体" w:hAnsi="宋体" w:eastAsia="宋体" w:cs="宋体"/>
          <w:color w:val="auto"/>
          <w:sz w:val="24"/>
          <w:szCs w:val="24"/>
          <w:highlight w:val="none"/>
        </w:rPr>
        <w:t>投标文件格式</w:t>
      </w:r>
    </w:p>
    <w:p w14:paraId="313FE5BA">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第五章  </w:t>
      </w:r>
      <w:r>
        <w:rPr>
          <w:rFonts w:hint="eastAsia" w:ascii="宋体" w:hAnsi="宋体" w:eastAsia="宋体" w:cs="宋体"/>
          <w:color w:val="auto"/>
          <w:sz w:val="24"/>
          <w:szCs w:val="24"/>
          <w:highlight w:val="none"/>
        </w:rPr>
        <w:t>技术条件（工程建设标准）（另册）</w:t>
      </w:r>
    </w:p>
    <w:p w14:paraId="4F96DCB1">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 xml:space="preserve">第六章  </w:t>
      </w:r>
      <w:r>
        <w:rPr>
          <w:rFonts w:hint="eastAsia" w:ascii="宋体" w:hAnsi="宋体" w:eastAsia="宋体" w:cs="宋体"/>
          <w:color w:val="auto"/>
          <w:sz w:val="24"/>
          <w:szCs w:val="24"/>
          <w:highlight w:val="none"/>
        </w:rPr>
        <w:t>图纸及勘察资料（另册）</w:t>
      </w:r>
    </w:p>
    <w:p w14:paraId="07C9BBB9">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第七章  招标</w:t>
      </w:r>
      <w:r>
        <w:rPr>
          <w:rFonts w:hint="eastAsia" w:ascii="宋体" w:hAnsi="宋体" w:eastAsia="宋体" w:cs="宋体"/>
          <w:color w:val="auto"/>
          <w:sz w:val="24"/>
          <w:szCs w:val="24"/>
          <w:highlight w:val="none"/>
        </w:rPr>
        <w:t xml:space="preserve">工程量清单（另册） </w:t>
      </w:r>
    </w:p>
    <w:p w14:paraId="3424E757">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第八章  最高投标限价</w:t>
      </w:r>
      <w:r>
        <w:rPr>
          <w:rFonts w:hint="eastAsia" w:ascii="宋体" w:hAnsi="宋体" w:eastAsia="宋体" w:cs="宋体"/>
          <w:color w:val="auto"/>
          <w:sz w:val="24"/>
          <w:szCs w:val="24"/>
          <w:highlight w:val="none"/>
        </w:rPr>
        <w:tab/>
      </w:r>
    </w:p>
    <w:p w14:paraId="36319D49">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①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②鼓励招标人对施工组织设计或施工方案实行隐藏投标人信息的暗标评审。</w:t>
      </w:r>
    </w:p>
    <w:p w14:paraId="399B77A0">
      <w:pPr>
        <w:snapToGrid w:val="0"/>
        <w:spacing w:line="400" w:lineRule="exact"/>
        <w:ind w:firstLine="482" w:firstLineChars="200"/>
        <w:jc w:val="left"/>
        <w:outlineLvl w:val="9"/>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条款号：8.1         修改类型：修改</w:t>
      </w:r>
    </w:p>
    <w:p w14:paraId="3BC0343D">
      <w:pPr>
        <w:pStyle w:val="4"/>
        <w:snapToGrid w:val="0"/>
        <w:spacing w:after="0"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8.1 投标人若对招标文件（包括招标图纸）中有疑问，可以书面形式通过交易平台提交给招标人或招标代理人，提交形式见本须知前附表第16项。</w:t>
      </w:r>
    </w:p>
    <w:p w14:paraId="35F351B2">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8.1 投标人若对招标文件（包括招标图纸</w:t>
      </w:r>
      <w:r>
        <w:rPr>
          <w:rFonts w:hint="eastAsia" w:ascii="宋体" w:hAnsi="宋体" w:eastAsia="宋体" w:cs="宋体"/>
          <w:color w:val="auto"/>
          <w:sz w:val="24"/>
          <w:szCs w:val="24"/>
          <w:highlight w:val="none"/>
          <w:u w:val="single"/>
        </w:rPr>
        <w:t>、技术条件、工程量清单、最高投标限价、合同条款</w:t>
      </w:r>
      <w:r>
        <w:rPr>
          <w:rFonts w:hint="eastAsia" w:ascii="宋体" w:hAnsi="宋体" w:eastAsia="宋体" w:cs="宋体"/>
          <w:color w:val="auto"/>
          <w:sz w:val="24"/>
          <w:szCs w:val="24"/>
          <w:highlight w:val="none"/>
        </w:rPr>
        <w:t>）中有疑问，可以书面形式通过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交易平台提交给招标人或招标代理人，提交形式见本须知前附表第16项。</w:t>
      </w:r>
    </w:p>
    <w:p w14:paraId="13FB9F4F">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条款号：8.2             修改类型：修改</w:t>
      </w:r>
    </w:p>
    <w:p w14:paraId="3BEB4595">
      <w:pPr>
        <w:pStyle w:val="4"/>
        <w:snapToGrid w:val="0"/>
        <w:spacing w:after="0"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8.2招标答疑会会议纪要将在提交投标文件截止时间15日前在交易平台 “项目答疑纪要”专区公开发布。答疑纪要一经在交易平台发布，视作已发放给所有投标人。</w:t>
      </w:r>
    </w:p>
    <w:p w14:paraId="3EA3D284">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bCs/>
          <w:color w:val="auto"/>
          <w:sz w:val="24"/>
          <w:szCs w:val="24"/>
          <w:highlight w:val="none"/>
        </w:rPr>
        <w:t>交易平台 “</w:t>
      </w:r>
      <w:r>
        <w:rPr>
          <w:rFonts w:hint="eastAsia" w:ascii="宋体" w:hAnsi="宋体" w:eastAsia="宋体" w:cs="宋体"/>
          <w:bCs/>
          <w:color w:val="auto"/>
          <w:sz w:val="24"/>
          <w:szCs w:val="24"/>
          <w:highlight w:val="none"/>
          <w:u w:val="single"/>
        </w:rPr>
        <w:t>项目查询(日程安排、答疑纪要)</w:t>
      </w:r>
      <w:r>
        <w:rPr>
          <w:rFonts w:hint="eastAsia" w:ascii="宋体" w:hAnsi="宋体" w:eastAsia="宋体" w:cs="宋体"/>
          <w:bCs/>
          <w:color w:val="auto"/>
          <w:sz w:val="24"/>
          <w:szCs w:val="24"/>
          <w:highlight w:val="none"/>
        </w:rPr>
        <w:t>”专区公开发布。答疑纪要一经在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bCs/>
          <w:color w:val="auto"/>
          <w:sz w:val="24"/>
          <w:szCs w:val="24"/>
          <w:highlight w:val="none"/>
        </w:rPr>
        <w:t>交易平台发布，视作已发放给所有投标人。</w:t>
      </w:r>
    </w:p>
    <w:p w14:paraId="21F9FC6D">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条款号：9.2             修改类型：修改</w:t>
      </w:r>
    </w:p>
    <w:p w14:paraId="59B696D1">
      <w:pPr>
        <w:pStyle w:val="4"/>
        <w:snapToGrid w:val="0"/>
        <w:spacing w:after="0"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9.2招标文件的澄清或修改将在交易平台“项目答疑纪要”专区公开发布。答疑纪要一经在交易平台发布，视作已发放给所有投标人，以交易平台上网发布时间作为送达时间。</w:t>
      </w:r>
    </w:p>
    <w:p w14:paraId="4E19194B">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9.2招标文件的澄清或修改将在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u w:val="single"/>
        </w:rPr>
        <w:t>项目查询(日程安排、答疑纪要)</w:t>
      </w:r>
      <w:r>
        <w:rPr>
          <w:rFonts w:hint="eastAsia" w:ascii="宋体" w:hAnsi="宋体" w:eastAsia="宋体" w:cs="宋体"/>
          <w:color w:val="auto"/>
          <w:sz w:val="24"/>
          <w:szCs w:val="24"/>
          <w:highlight w:val="none"/>
        </w:rPr>
        <w:t>”专区公开发布。答疑纪要一经在</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交易平台发布，视作已发放给所有投标人，以</w:t>
      </w:r>
      <w:r>
        <w:rPr>
          <w:rFonts w:hint="eastAsia" w:ascii="宋体" w:hAnsi="宋体" w:eastAsia="宋体" w:cs="宋体"/>
          <w:color w:val="auto"/>
          <w:sz w:val="24"/>
          <w:szCs w:val="24"/>
          <w:highlight w:val="none"/>
          <w:u w:val="single"/>
        </w:rPr>
        <w:t xml:space="preserve"> 广州交易集团有限公司（广州公共资源交易中心）</w:t>
      </w:r>
      <w:r>
        <w:rPr>
          <w:rFonts w:hint="eastAsia" w:ascii="宋体" w:hAnsi="宋体" w:eastAsia="宋体" w:cs="宋体"/>
          <w:color w:val="auto"/>
          <w:sz w:val="24"/>
          <w:szCs w:val="24"/>
          <w:highlight w:val="none"/>
        </w:rPr>
        <w:t>交易平台上网发布时间作为送达时间。</w:t>
      </w:r>
    </w:p>
    <w:p w14:paraId="7AC654E8">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条款号：9.4             修改类型：修改</w:t>
      </w:r>
    </w:p>
    <w:p w14:paraId="0167A542">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14:paraId="6AE13EDA">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9.4</w:t>
      </w:r>
      <w:r>
        <w:rPr>
          <w:rFonts w:hint="eastAsia" w:ascii="宋体" w:hAnsi="宋体" w:eastAsia="宋体" w:cs="宋体"/>
          <w:bCs/>
          <w:color w:val="auto"/>
          <w:sz w:val="24"/>
          <w:szCs w:val="24"/>
          <w:highlight w:val="none"/>
        </w:rPr>
        <w:t>招标文件的澄清或修改均以在</w:t>
      </w:r>
      <w:r>
        <w:rPr>
          <w:rFonts w:hint="eastAsia" w:ascii="宋体" w:hAnsi="宋体" w:eastAsia="宋体" w:cs="宋体"/>
          <w:bCs/>
          <w:color w:val="auto"/>
          <w:sz w:val="24"/>
          <w:szCs w:val="24"/>
          <w:highlight w:val="none"/>
          <w:u w:val="single"/>
        </w:rPr>
        <w:t>广州交易集团有限公司（广州公共资源交易中心）交易平台“项目查询(日程安排、答疑纪要)”专区公开发布</w:t>
      </w:r>
      <w:r>
        <w:rPr>
          <w:rFonts w:hint="eastAsia" w:ascii="宋体" w:hAnsi="宋体" w:eastAsia="宋体" w:cs="宋体"/>
          <w:bCs/>
          <w:color w:val="auto"/>
          <w:sz w:val="24"/>
          <w:szCs w:val="24"/>
          <w:highlight w:val="none"/>
        </w:rPr>
        <w:t>的内容为准。当招标文件的澄清、修改、补充等在同一内容的表述不一致时，以</w:t>
      </w:r>
      <w:r>
        <w:rPr>
          <w:rFonts w:hint="eastAsia" w:ascii="宋体" w:hAnsi="宋体" w:eastAsia="宋体" w:cs="宋体"/>
          <w:bCs/>
          <w:color w:val="auto"/>
          <w:sz w:val="24"/>
          <w:szCs w:val="24"/>
          <w:highlight w:val="none"/>
          <w:u w:val="single"/>
        </w:rPr>
        <w:t>广州交易集团有限公司（广州公共资源交易中心）网站最后发布的内容为准</w:t>
      </w:r>
      <w:r>
        <w:rPr>
          <w:rFonts w:hint="eastAsia" w:ascii="宋体" w:hAnsi="宋体" w:eastAsia="宋体" w:cs="宋体"/>
          <w:bCs/>
          <w:color w:val="auto"/>
          <w:sz w:val="24"/>
          <w:szCs w:val="24"/>
          <w:highlight w:val="none"/>
        </w:rPr>
        <w:t>。</w:t>
      </w:r>
    </w:p>
    <w:p w14:paraId="74D705CD">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 </w:t>
      </w:r>
      <w:r>
        <w:rPr>
          <w:rFonts w:hint="eastAsia" w:ascii="宋体" w:hAnsi="宋体" w:eastAsia="宋体" w:cs="宋体"/>
          <w:b/>
          <w:bCs w:val="0"/>
          <w:color w:val="auto"/>
          <w:sz w:val="24"/>
          <w:szCs w:val="24"/>
          <w:highlight w:val="none"/>
        </w:rPr>
        <w:t>11.</w:t>
      </w:r>
      <w:r>
        <w:rPr>
          <w:rFonts w:hint="eastAsia" w:ascii="宋体" w:hAnsi="宋体" w:eastAsia="宋体" w:cs="宋体"/>
          <w:b/>
          <w:bCs w:val="0"/>
          <w:color w:val="auto"/>
          <w:sz w:val="24"/>
          <w:szCs w:val="24"/>
          <w:highlight w:val="none"/>
          <w:lang w:val="en-US" w:eastAsia="zh-CN"/>
        </w:rPr>
        <w:t>1</w:t>
      </w:r>
      <w:r>
        <w:rPr>
          <w:rFonts w:hint="eastAsia" w:ascii="宋体" w:hAnsi="宋体" w:eastAsia="宋体" w:cs="宋体"/>
          <w:b/>
          <w:color w:val="auto"/>
          <w:sz w:val="24"/>
          <w:szCs w:val="24"/>
          <w:highlight w:val="none"/>
        </w:rPr>
        <w:t xml:space="preserve">            修改类型：修改</w:t>
      </w:r>
    </w:p>
    <w:p w14:paraId="7936A0D4">
      <w:pP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 xml:space="preserve"> </w:t>
      </w:r>
      <w:r>
        <w:rPr>
          <w:rFonts w:hint="eastAsia" w:ascii="宋体" w:hAnsi="宋体" w:eastAsia="宋体" w:cs="宋体"/>
          <w:b w:val="0"/>
          <w:bCs/>
          <w:color w:val="auto"/>
          <w:sz w:val="24"/>
          <w:szCs w:val="24"/>
          <w:highlight w:val="none"/>
          <w:lang w:val="en-US" w:eastAsia="zh-CN"/>
        </w:rPr>
        <w:t>投标文件由技术部分（含资格审查文件）和经济部分两部分投标文件组成。</w:t>
      </w:r>
    </w:p>
    <w:p w14:paraId="3E6193E5">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现文：</w:t>
      </w:r>
      <w:r>
        <w:rPr>
          <w:rFonts w:hint="eastAsia" w:ascii="宋体" w:hAnsi="宋体" w:eastAsia="宋体" w:cs="宋体"/>
          <w:bCs/>
          <w:color w:val="auto"/>
          <w:sz w:val="24"/>
          <w:szCs w:val="24"/>
          <w:highlight w:val="none"/>
        </w:rPr>
        <w:t>11.</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 w:val="0"/>
          <w:bCs/>
          <w:color w:val="auto"/>
          <w:sz w:val="24"/>
          <w:szCs w:val="24"/>
          <w:highlight w:val="none"/>
          <w:lang w:val="en-US" w:eastAsia="zh-CN"/>
        </w:rPr>
        <w:t>投标文件由技术部分（含资格审查文件）、经济部分和定标文件共三部分组成，其中定标文件组成详见11.4条</w:t>
      </w:r>
      <w:r>
        <w:rPr>
          <w:rFonts w:hint="eastAsia" w:ascii="宋体" w:hAnsi="宋体" w:eastAsia="宋体" w:cs="宋体"/>
          <w:bCs/>
          <w:color w:val="auto"/>
          <w:sz w:val="24"/>
          <w:szCs w:val="24"/>
          <w:highlight w:val="none"/>
        </w:rPr>
        <w:t>。</w:t>
      </w:r>
    </w:p>
    <w:p w14:paraId="4F838396">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条款号： </w:t>
      </w:r>
      <w:r>
        <w:rPr>
          <w:rFonts w:hint="eastAsia" w:ascii="宋体" w:hAnsi="宋体" w:eastAsia="宋体" w:cs="宋体"/>
          <w:b/>
          <w:bCs w:val="0"/>
          <w:color w:val="auto"/>
          <w:sz w:val="24"/>
          <w:szCs w:val="24"/>
          <w:highlight w:val="none"/>
        </w:rPr>
        <w:t>11.2</w:t>
      </w:r>
      <w:r>
        <w:rPr>
          <w:rFonts w:hint="eastAsia" w:ascii="宋体" w:hAnsi="宋体" w:eastAsia="宋体" w:cs="宋体"/>
          <w:b/>
          <w:color w:val="auto"/>
          <w:sz w:val="24"/>
          <w:szCs w:val="24"/>
          <w:highlight w:val="none"/>
        </w:rPr>
        <w:t xml:space="preserve">            修改类型：修改</w:t>
      </w:r>
    </w:p>
    <w:p w14:paraId="1689254F">
      <w:pP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11.2 投标文件技术标部分主要包括下列内容：</w:t>
      </w:r>
    </w:p>
    <w:p w14:paraId="38C6D8DF">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技术投标文件（按招标文件的要求填写）；</w:t>
      </w:r>
    </w:p>
    <w:p w14:paraId="76A3CAD4">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611C950C">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14:paraId="2DA65FB8">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14:paraId="20E22C6D">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21FB22D7">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3538CEA8">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228A4C17">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p>
    <w:p w14:paraId="5CEFA0B3">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p>
    <w:p w14:paraId="42D7232A">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14:paraId="3BEAA0C0">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（9）拟委派项目负责人的有效期内的建造师注册证书扫描件或电子证书；  </w:t>
      </w:r>
    </w:p>
    <w:p w14:paraId="7000282B">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08420E2A">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14:paraId="34A4DC5C">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14:paraId="2F9FA05F">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（13）资格审查前，投标人须在广州市住房和城乡建设局建立企业信用档案，拟担任本工程项目负责人、专职安全员须是本企业信用档案中的在册人员； </w:t>
      </w:r>
    </w:p>
    <w:p w14:paraId="0CF58568">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1985AABD">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14:paraId="0A544BB3">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8E94236">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11.2.3项目管理机构配备。</w:t>
      </w:r>
    </w:p>
    <w:p w14:paraId="4FE5D9A0">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（1）投标人应列出该项目工程的施工组织机构构成和画出机构框架图及其负责人；</w:t>
      </w:r>
    </w:p>
    <w:p w14:paraId="5C47FB79">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（2）投标人应详细列出该施工组织机构中主要成员的名单、简历资料、职务职称和在本项目中拟担任的职务等资料，并附上有关证明材料扫描件；</w:t>
      </w:r>
    </w:p>
    <w:p w14:paraId="400E530D">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（3）其他辅助说明资料。</w:t>
      </w:r>
    </w:p>
    <w:p w14:paraId="4F2FDF61">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11.2.4投标人在广州市可使用适合本工程的机械设备（附：机械设备为自有或租赁的说明；及承诺机械设备如属于租赁的，其租赁是不属于重复租赁）。</w:t>
      </w:r>
    </w:p>
    <w:p w14:paraId="7BB83BF2">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11.2.5施工组织设计或施工方案。</w:t>
      </w:r>
    </w:p>
    <w:p w14:paraId="54485851">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14:paraId="7A9B6695">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20D8E429">
      <w:pPr>
        <w:snapToGrid w:val="0"/>
        <w:spacing w:line="440" w:lineRule="exact"/>
        <w:ind w:firstLine="480" w:firstLineChars="200"/>
        <w:jc w:val="left"/>
        <w:rPr>
          <w:rFonts w:hint="eastAsia" w:ascii="宋体" w:hAnsi="宋体" w:eastAsia="宋体" w:cs="宋体"/>
          <w:b/>
          <w:color w:val="auto"/>
          <w:sz w:val="24"/>
          <w:szCs w:val="24"/>
          <w:highlight w:val="none"/>
        </w:rPr>
      </w:pPr>
      <w:r>
        <w:rPr>
          <w:rFonts w:hint="eastAsia" w:ascii="宋体" w:hAnsi="宋体" w:eastAsia="宋体" w:cs="宋体"/>
          <w:bCs/>
          <w:color w:val="auto"/>
          <w:sz w:val="24"/>
          <w:szCs w:val="24"/>
          <w:highlight w:val="none"/>
        </w:rPr>
        <w:t>11.2.6按照招标文件要求填写的《参与编制技术标投标文件人员名单》</w:t>
      </w:r>
      <w:r>
        <w:rPr>
          <w:rFonts w:hint="eastAsia" w:ascii="宋体" w:hAnsi="宋体" w:eastAsia="宋体" w:cs="宋体"/>
          <w:color w:val="auto"/>
          <w:sz w:val="24"/>
          <w:szCs w:val="24"/>
          <w:highlight w:val="none"/>
        </w:rPr>
        <w:t>。</w:t>
      </w:r>
    </w:p>
    <w:p w14:paraId="67442F42">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11.2投标文件技术标</w:t>
      </w:r>
      <w:r>
        <w:rPr>
          <w:rFonts w:hint="eastAsia" w:ascii="宋体" w:hAnsi="宋体" w:eastAsia="宋体" w:cs="宋体"/>
          <w:color w:val="auto"/>
          <w:sz w:val="24"/>
          <w:szCs w:val="24"/>
          <w:highlight w:val="none"/>
          <w:u w:val="single"/>
        </w:rPr>
        <w:t>（含资格审查文件）</w:t>
      </w:r>
      <w:r>
        <w:rPr>
          <w:rFonts w:hint="eastAsia" w:ascii="宋体" w:hAnsi="宋体" w:eastAsia="宋体" w:cs="宋体"/>
          <w:color w:val="auto"/>
          <w:sz w:val="24"/>
          <w:szCs w:val="24"/>
          <w:highlight w:val="none"/>
        </w:rPr>
        <w:t>部分主要包括下列内容:</w:t>
      </w:r>
    </w:p>
    <w:p w14:paraId="6B1E85F4">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11.2.1</w:t>
      </w:r>
      <w:r>
        <w:rPr>
          <w:rFonts w:hint="eastAsia" w:ascii="宋体" w:hAnsi="宋体" w:eastAsia="宋体" w:cs="宋体"/>
          <w:color w:val="auto"/>
          <w:sz w:val="24"/>
          <w:szCs w:val="24"/>
          <w:highlight w:val="none"/>
          <w:u w:val="single"/>
        </w:rPr>
        <w:t>广州建设工程施工招标投标书(需按招标文件第四章要求的格式填写，具体格式以《广州建设工程施工招标投标书》为准；电子投标管理软件编制的“广州建设工程施工招标投标书”不作为否决投标的条件，投标人采用电子投标管理软件编制“广州建设工程施工招标投标书”时无法填写“项目编号”的可以不填写，没有填写“项目编号”也不作为否决投标的条件)。</w:t>
      </w:r>
    </w:p>
    <w:p w14:paraId="72FF4539">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11.2.2 资格审查文件：</w:t>
      </w:r>
    </w:p>
    <w:p w14:paraId="4D9F4858">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（1）投标人声明</w:t>
      </w:r>
      <w:r>
        <w:rPr>
          <w:rFonts w:hint="eastAsia" w:ascii="宋体" w:hAnsi="宋体" w:eastAsia="宋体" w:cs="宋体"/>
          <w:color w:val="auto"/>
          <w:sz w:val="24"/>
          <w:szCs w:val="24"/>
          <w:highlight w:val="none"/>
          <w:u w:val="single"/>
        </w:rPr>
        <w:t>（按招标公告附件一的格式及内容提交）</w:t>
      </w:r>
      <w:r>
        <w:rPr>
          <w:rFonts w:hint="eastAsia" w:ascii="宋体" w:hAnsi="宋体" w:eastAsia="宋体" w:cs="宋体"/>
          <w:color w:val="auto"/>
          <w:sz w:val="24"/>
          <w:szCs w:val="24"/>
          <w:highlight w:val="none"/>
        </w:rPr>
        <w:t xml:space="preserve">； </w:t>
      </w:r>
    </w:p>
    <w:p w14:paraId="6D06FB5E">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（2）法定代表人证明书、法定代表人签字或盖章的本投标文件授权委托证明书</w:t>
      </w:r>
      <w:r>
        <w:rPr>
          <w:rFonts w:hint="eastAsia" w:ascii="宋体" w:hAnsi="宋体" w:eastAsia="宋体" w:cs="宋体"/>
          <w:color w:val="auto"/>
          <w:sz w:val="24"/>
          <w:szCs w:val="24"/>
          <w:highlight w:val="none"/>
          <w:u w:val="single"/>
        </w:rPr>
        <w:t>（见本招标文件第四章“技术标投标文件格式”格式三）</w:t>
      </w:r>
      <w:r>
        <w:rPr>
          <w:rFonts w:hint="eastAsia" w:ascii="宋体" w:hAnsi="宋体" w:eastAsia="宋体" w:cs="宋体"/>
          <w:color w:val="auto"/>
          <w:sz w:val="24"/>
          <w:szCs w:val="24"/>
          <w:highlight w:val="none"/>
        </w:rPr>
        <w:t>；</w:t>
      </w:r>
    </w:p>
    <w:p w14:paraId="27424395">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（3）企业营业执照扫描件或电子证照；</w:t>
      </w:r>
    </w:p>
    <w:p w14:paraId="203DC104">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（4）企业资质证书扫描件或电子证照；</w:t>
      </w:r>
    </w:p>
    <w:p w14:paraId="292DA7AE">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（5）建筑施工企业安全生产许可证扫描件或电子证照；</w:t>
      </w:r>
    </w:p>
    <w:p w14:paraId="591AF0F8">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（6）项目负责人（按网上投标登记时选择拟投入本项目的项目负责人）</w:t>
      </w:r>
    </w:p>
    <w:p w14:paraId="4A4D6C50">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（7）专职安全员（按网上投标登记时选择拟投入本项目的专职安全员）</w:t>
      </w:r>
    </w:p>
    <w:p w14:paraId="11595FF2">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u w:val="single"/>
        </w:rPr>
        <w:t>拟委派技术负责人的职称证书扫描件；</w:t>
      </w:r>
    </w:p>
    <w:p w14:paraId="5B2062F0">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（9）拟委派项目负责人的有效期内的建造师注册证书扫描件或电子证书；</w:t>
      </w:r>
    </w:p>
    <w:p w14:paraId="406FACE3">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（10）项目负责人在有效期内的安全生产考核合格证书（B类）或建筑施工企业项目负责人安全生产考核合格证书扫描件或电子证书；</w:t>
      </w:r>
    </w:p>
    <w:p w14:paraId="57F0EA1B">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（11）专职安全员须具有在有效期内的安全生产考核合格证书（C类）或建筑施工企业专职安全生产管理人员安全生产考核合格证书</w:t>
      </w:r>
      <w:r>
        <w:rPr>
          <w:rFonts w:hint="eastAsia" w:ascii="宋体" w:hAnsi="宋体" w:eastAsia="宋体" w:cs="宋体"/>
          <w:color w:val="auto"/>
          <w:sz w:val="24"/>
          <w:szCs w:val="24"/>
          <w:highlight w:val="none"/>
          <w:u w:val="single"/>
        </w:rPr>
        <w:t>（C3类）</w:t>
      </w:r>
      <w:r>
        <w:rPr>
          <w:rFonts w:hint="eastAsia" w:ascii="宋体" w:hAnsi="宋体" w:eastAsia="宋体" w:cs="宋体"/>
          <w:color w:val="auto"/>
          <w:sz w:val="24"/>
          <w:szCs w:val="24"/>
          <w:highlight w:val="none"/>
        </w:rPr>
        <w:t>扫描件或电子证书；</w:t>
      </w:r>
    </w:p>
    <w:p w14:paraId="1BC32FB0">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（12）资格审查前，投标人须在广州市住房和城乡建设局建立企业信用档案，拟担任本工程项目负责人、专职安全员须是本企业信用档案中的在册人员。</w:t>
      </w:r>
    </w:p>
    <w:p w14:paraId="6CA943D2">
      <w:pP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（13）投标人未被列入拖欠农民工工资失信联合惩戒对象名单。</w:t>
      </w:r>
    </w:p>
    <w:p w14:paraId="3EFC5DB4">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（14）投标人认为应提供的其他资料。</w:t>
      </w:r>
    </w:p>
    <w:p w14:paraId="31885F89">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注：1.相关电子证书按规定需打印后手写本人签名的，应按照规定手写本人签名后再扫描提交。</w:t>
      </w:r>
    </w:p>
    <w:p w14:paraId="6827937A">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20995F0A">
      <w:pP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11.2.3项目管理机构配备：</w:t>
      </w:r>
    </w:p>
    <w:p w14:paraId="645B988A">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p>
    <w:p w14:paraId="5673F65B">
      <w:pP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r>
        <w:rPr>
          <w:rFonts w:hint="eastAsia" w:ascii="宋体" w:hAnsi="宋体" w:eastAsia="宋体" w:cs="宋体"/>
          <w:color w:val="auto"/>
          <w:sz w:val="24"/>
          <w:szCs w:val="24"/>
          <w:highlight w:val="none"/>
          <w:u w:val="single"/>
        </w:rPr>
        <w:t>（见本招标文件第四章“技术标投标文件格式”格式五《投入人员汇总表》和格式六《项目负责人（或其他项目管理机构人员）基本情况及业绩表》填写）。</w:t>
      </w:r>
    </w:p>
    <w:p w14:paraId="716D2093">
      <w:pPr>
        <w:pBdr>
          <w:bottom w:val="none" w:color="auto" w:sz="0" w:space="1"/>
        </w:pBd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（3）其他辅助说明资料。</w:t>
      </w:r>
      <w:r>
        <w:rPr>
          <w:rFonts w:hint="eastAsia" w:ascii="宋体" w:hAnsi="宋体" w:eastAsia="宋体" w:cs="宋体"/>
          <w:color w:val="auto"/>
          <w:sz w:val="24"/>
          <w:szCs w:val="24"/>
          <w:highlight w:val="none"/>
          <w:u w:val="single"/>
        </w:rPr>
        <w:t>（若有）</w:t>
      </w:r>
    </w:p>
    <w:p w14:paraId="3E973FC2">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11.2.4按照招标文件要求填写的《投标函》（见本招标文件第四章“技术标投标文件格式”格式四）；</w:t>
      </w:r>
    </w:p>
    <w:p w14:paraId="0797146B">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按照招标文件要求填写的《参与编制技术标投标文件人员名单》</w:t>
      </w:r>
      <w:r>
        <w:rPr>
          <w:rFonts w:hint="eastAsia" w:ascii="宋体" w:hAnsi="宋体" w:eastAsia="宋体" w:cs="宋体"/>
          <w:color w:val="auto"/>
          <w:sz w:val="24"/>
          <w:szCs w:val="24"/>
          <w:highlight w:val="none"/>
          <w:u w:val="single"/>
        </w:rPr>
        <w:t>（见本招标文件第四章“技术标投标文件格式”格式十）</w:t>
      </w:r>
      <w:r>
        <w:rPr>
          <w:rFonts w:hint="eastAsia" w:ascii="宋体" w:hAnsi="宋体" w:eastAsia="宋体" w:cs="宋体"/>
          <w:color w:val="auto"/>
          <w:sz w:val="24"/>
          <w:szCs w:val="24"/>
          <w:highlight w:val="none"/>
        </w:rPr>
        <w:t>；</w:t>
      </w:r>
    </w:p>
    <w:p w14:paraId="4FF84546">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u w:val="single"/>
        </w:rPr>
        <w:t>危险性较大的分部分项工程清单及超过一定规模的危险性较大的分部分项工程清单（详见招标文件第四章“技术标投标文件格式”格式</w:t>
      </w:r>
      <w:r>
        <w:rPr>
          <w:rFonts w:hint="eastAsia" w:ascii="宋体" w:hAnsi="宋体" w:eastAsia="宋体" w:cs="宋体"/>
          <w:color w:val="auto"/>
          <w:sz w:val="24"/>
          <w:szCs w:val="24"/>
          <w:highlight w:val="none"/>
          <w:u w:val="single"/>
          <w:lang w:val="en-US" w:eastAsia="zh-CN"/>
        </w:rPr>
        <w:t>八</w:t>
      </w:r>
      <w:r>
        <w:rPr>
          <w:rFonts w:hint="eastAsia" w:ascii="宋体" w:hAnsi="宋体" w:eastAsia="宋体" w:cs="宋体"/>
          <w:color w:val="auto"/>
          <w:sz w:val="24"/>
          <w:szCs w:val="24"/>
          <w:highlight w:val="none"/>
          <w:u w:val="single"/>
        </w:rPr>
        <w:t>）；</w:t>
      </w:r>
    </w:p>
    <w:p w14:paraId="0490EF7C">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按照招标文件要求填写的《响应招标文件所附施工组织设计要点的承诺书》</w:t>
      </w:r>
      <w:r>
        <w:rPr>
          <w:rFonts w:hint="eastAsia" w:ascii="宋体" w:hAnsi="宋体" w:eastAsia="宋体" w:cs="宋体"/>
          <w:color w:val="auto"/>
          <w:sz w:val="24"/>
          <w:szCs w:val="24"/>
          <w:highlight w:val="none"/>
          <w:u w:val="single"/>
        </w:rPr>
        <w:t>（见本招标文件第四章“技术标投标文件格式”格式</w:t>
      </w:r>
      <w:r>
        <w:rPr>
          <w:rFonts w:hint="eastAsia" w:ascii="宋体" w:hAnsi="宋体" w:eastAsia="宋体" w:cs="宋体"/>
          <w:color w:val="auto"/>
          <w:sz w:val="24"/>
          <w:szCs w:val="24"/>
          <w:highlight w:val="none"/>
          <w:u w:val="single"/>
          <w:lang w:val="en-US" w:eastAsia="zh-CN"/>
        </w:rPr>
        <w:t>九</w:t>
      </w:r>
      <w:r>
        <w:rPr>
          <w:rFonts w:hint="eastAsia" w:ascii="宋体" w:hAnsi="宋体" w:eastAsia="宋体" w:cs="宋体"/>
          <w:color w:val="auto"/>
          <w:sz w:val="24"/>
          <w:szCs w:val="24"/>
          <w:highlight w:val="none"/>
          <w:u w:val="single"/>
        </w:rPr>
        <w:t>）</w:t>
      </w:r>
    </w:p>
    <w:p w14:paraId="16A31E9C">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11.2.8</w:t>
      </w:r>
      <w:r>
        <w:rPr>
          <w:rFonts w:hint="eastAsia" w:ascii="宋体" w:hAnsi="宋体" w:eastAsia="宋体" w:cs="宋体"/>
          <w:color w:val="auto"/>
          <w:sz w:val="24"/>
          <w:szCs w:val="24"/>
          <w:highlight w:val="none"/>
        </w:rPr>
        <w:t>其他投标人认为应该提供的资料。</w:t>
      </w:r>
    </w:p>
    <w:p w14:paraId="0E2FA5BD">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bCs w:val="0"/>
          <w:color w:val="auto"/>
          <w:sz w:val="24"/>
          <w:szCs w:val="24"/>
          <w:highlight w:val="none"/>
        </w:rPr>
        <w:t>条款号：  11.3               修改类型：修改</w:t>
      </w:r>
    </w:p>
    <w:p w14:paraId="50843BCD">
      <w:pPr>
        <w:snapToGrid w:val="0"/>
        <w:spacing w:line="44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 xml:space="preserve">11.3 </w:t>
      </w:r>
      <w:r>
        <w:rPr>
          <w:rFonts w:hint="eastAsia" w:ascii="宋体" w:hAnsi="宋体" w:eastAsia="宋体" w:cs="宋体"/>
          <w:bCs/>
          <w:color w:val="auto"/>
          <w:sz w:val="24"/>
          <w:szCs w:val="24"/>
          <w:highlight w:val="none"/>
        </w:rPr>
        <w:t>经济部分投标文件主要包括下列内容：</w:t>
      </w:r>
    </w:p>
    <w:p w14:paraId="3DE7E0B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经济投标文件（按招标文件的要求填写）。</w:t>
      </w:r>
    </w:p>
    <w:p w14:paraId="4833ACF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3A328831">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6CB313C2">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3961D6DE">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14:paraId="5E759837">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14:paraId="3CC2B204">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14:paraId="5A8BBD2B">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14:paraId="0DB70273">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14:paraId="60A41344">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14:paraId="38A6599C">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14:paraId="6997541D">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14:paraId="3E5227F5">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14:paraId="4E208298">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14:paraId="4A734D99">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14:paraId="6266AE0F">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14:paraId="5CF0053E">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14:paraId="6353A830">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14:paraId="523FABC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（17）人工、主要材料和设备一览表</w:t>
      </w:r>
    </w:p>
    <w:p w14:paraId="5492C3F8">
      <w:pPr>
        <w:tabs>
          <w:tab w:val="left" w:pos="1125"/>
        </w:tabs>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14:paraId="462FB8EC">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6548DD9B">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11.3 经济部分投标文件主要包括下列内容：</w:t>
      </w:r>
    </w:p>
    <w:p w14:paraId="4D17B76B">
      <w:pP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11.3.1 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eastAsia="宋体" w:cs="宋体"/>
          <w:color w:val="auto"/>
          <w:sz w:val="24"/>
          <w:szCs w:val="24"/>
          <w:highlight w:val="none"/>
          <w:u w:val="single"/>
        </w:rPr>
        <w:t>（投标报价的工程量清单的组成、格式等由广州交易集团有限公司（广州公共资源交易中心）的投标文件管理软件自动生成）</w:t>
      </w:r>
    </w:p>
    <w:p w14:paraId="04A9D7DF">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11.3.2 按照招标文件要求填写的《参与编制经济标投标文件人员名单》</w:t>
      </w:r>
      <w:r>
        <w:rPr>
          <w:rFonts w:hint="eastAsia" w:ascii="宋体" w:hAnsi="宋体" w:eastAsia="宋体" w:cs="宋体"/>
          <w:color w:val="auto"/>
          <w:sz w:val="24"/>
          <w:szCs w:val="24"/>
          <w:highlight w:val="none"/>
          <w:u w:val="single"/>
        </w:rPr>
        <w:t>(按经济标投标文件格式三的要求填写)</w:t>
      </w:r>
      <w:r>
        <w:rPr>
          <w:rFonts w:hint="eastAsia" w:ascii="宋体" w:hAnsi="宋体" w:eastAsia="宋体" w:cs="宋体"/>
          <w:color w:val="auto"/>
          <w:sz w:val="24"/>
          <w:szCs w:val="24"/>
          <w:highlight w:val="none"/>
        </w:rPr>
        <w:t>。</w:t>
      </w:r>
    </w:p>
    <w:p w14:paraId="11E76626">
      <w:pP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11.3.3 《对投标文件编制的承诺》(按经济标投标文件格式四的要求填写)。</w:t>
      </w:r>
    </w:p>
    <w:p w14:paraId="56788AAB">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 若投标人的投标报价低于工程成本警戒价的，投标人还须提供详细的施工组织设计、单价、措施性费用、单价分析表、主要材料价格表、投标人成本分析供评标委员会评审</w:t>
      </w:r>
      <w:r>
        <w:rPr>
          <w:rFonts w:hint="eastAsia" w:ascii="宋体" w:hAnsi="宋体" w:eastAsia="宋体" w:cs="宋体"/>
          <w:bCs/>
          <w:color w:val="auto"/>
          <w:sz w:val="24"/>
          <w:szCs w:val="24"/>
          <w:highlight w:val="none"/>
        </w:rPr>
        <w:t>。</w:t>
      </w:r>
    </w:p>
    <w:p w14:paraId="202B3810">
      <w:pPr>
        <w:snapToGrid w:val="0"/>
        <w:spacing w:line="400" w:lineRule="exact"/>
        <w:ind w:firstLine="482" w:firstLineChars="200"/>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条款号：1</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 xml:space="preserve">             修改类型：</w:t>
      </w:r>
      <w:r>
        <w:rPr>
          <w:rFonts w:hint="eastAsia" w:ascii="宋体" w:hAnsi="宋体" w:eastAsia="宋体" w:cs="宋体"/>
          <w:b/>
          <w:color w:val="auto"/>
          <w:sz w:val="24"/>
          <w:szCs w:val="24"/>
          <w:highlight w:val="none"/>
          <w:lang w:val="en-US" w:eastAsia="zh-CN"/>
        </w:rPr>
        <w:t>增加</w:t>
      </w:r>
    </w:p>
    <w:p w14:paraId="019DA2F2">
      <w:pPr>
        <w:pBdr>
          <w:bottom w:val="single" w:color="auto" w:sz="6" w:space="1"/>
        </w:pBdr>
        <w:tabs>
          <w:tab w:val="left" w:pos="6329"/>
        </w:tabs>
        <w:snapToGrid w:val="0"/>
        <w:spacing w:line="440" w:lineRule="exact"/>
        <w:ind w:firstLine="482" w:firstLineChars="200"/>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bCs/>
          <w:color w:val="auto"/>
          <w:sz w:val="24"/>
          <w:szCs w:val="24"/>
          <w:highlight w:val="none"/>
          <w:u w:val="single"/>
        </w:rPr>
        <w:t>11.4定标文件的组成</w:t>
      </w:r>
    </w:p>
    <w:p w14:paraId="507A7926">
      <w:pPr>
        <w:pBdr>
          <w:bottom w:val="single" w:color="auto" w:sz="6" w:space="1"/>
        </w:pBdr>
        <w:tabs>
          <w:tab w:val="left" w:pos="6329"/>
        </w:tabs>
        <w:snapToGrid w:val="0"/>
        <w:spacing w:line="44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11.4.1投标人</w:t>
      </w:r>
      <w:r>
        <w:rPr>
          <w:rFonts w:hint="eastAsia" w:ascii="宋体" w:hAnsi="宋体" w:eastAsia="宋体" w:cs="宋体"/>
          <w:bCs/>
          <w:color w:val="auto"/>
          <w:sz w:val="24"/>
          <w:szCs w:val="24"/>
          <w:highlight w:val="none"/>
          <w:u w:val="single"/>
          <w:lang w:val="en-US" w:eastAsia="zh-CN"/>
        </w:rPr>
        <w:t>基本情况</w:t>
      </w:r>
      <w:r>
        <w:rPr>
          <w:rFonts w:hint="eastAsia" w:ascii="宋体" w:hAnsi="宋体" w:eastAsia="宋体" w:cs="宋体"/>
          <w:bCs/>
          <w:color w:val="auto"/>
          <w:sz w:val="24"/>
          <w:szCs w:val="24"/>
          <w:highlight w:val="none"/>
          <w:u w:val="single"/>
        </w:rPr>
        <w:t>介绍</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格式自拟</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rPr>
        <w:t>；</w:t>
      </w:r>
    </w:p>
    <w:p w14:paraId="0B7CBB12">
      <w:pPr>
        <w:pBdr>
          <w:bottom w:val="single" w:color="auto" w:sz="6" w:space="1"/>
        </w:pBdr>
        <w:tabs>
          <w:tab w:val="left" w:pos="6329"/>
        </w:tabs>
        <w:snapToGrid w:val="0"/>
        <w:spacing w:line="44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11.4.2投标人依据《定标因素表》提供的资料</w:t>
      </w:r>
      <w:r>
        <w:rPr>
          <w:rFonts w:hint="eastAsia" w:ascii="宋体" w:hAnsi="宋体" w:eastAsia="宋体" w:cs="宋体"/>
          <w:bCs/>
          <w:color w:val="auto"/>
          <w:sz w:val="24"/>
          <w:szCs w:val="24"/>
          <w:highlight w:val="none"/>
          <w:u w:val="single"/>
          <w:lang w:eastAsia="zh-CN"/>
        </w:rPr>
        <w:t>，</w:t>
      </w:r>
      <w:r>
        <w:rPr>
          <w:rFonts w:hint="eastAsia" w:ascii="宋体" w:hAnsi="宋体" w:eastAsia="宋体" w:cs="宋体"/>
          <w:bCs/>
          <w:color w:val="auto"/>
          <w:sz w:val="24"/>
          <w:szCs w:val="24"/>
          <w:highlight w:val="none"/>
          <w:u w:val="single"/>
          <w:lang w:val="en-US" w:eastAsia="zh-CN"/>
        </w:rPr>
        <w:t>其中</w:t>
      </w:r>
      <w:r>
        <w:rPr>
          <w:rFonts w:hint="eastAsia" w:ascii="宋体" w:hAnsi="宋体" w:eastAsia="宋体" w:cs="宋体"/>
          <w:bCs/>
          <w:color w:val="auto"/>
          <w:sz w:val="24"/>
          <w:szCs w:val="24"/>
          <w:highlight w:val="none"/>
          <w:u w:val="single"/>
        </w:rPr>
        <w:t>价格因素不需要投标人重复提供</w:t>
      </w:r>
      <w:r>
        <w:rPr>
          <w:rFonts w:hint="eastAsia" w:ascii="宋体" w:hAnsi="宋体" w:eastAsia="宋体" w:cs="宋体"/>
          <w:bCs/>
          <w:color w:val="auto"/>
          <w:sz w:val="24"/>
          <w:szCs w:val="24"/>
          <w:highlight w:val="none"/>
          <w:u w:val="single"/>
        </w:rPr>
        <w:t>。</w:t>
      </w:r>
    </w:p>
    <w:p w14:paraId="2DDE0B33">
      <w:pPr>
        <w:pBdr>
          <w:bottom w:val="single" w:color="auto" w:sz="6" w:space="1"/>
        </w:pBdr>
        <w:tabs>
          <w:tab w:val="left" w:pos="6329"/>
        </w:tabs>
        <w:snapToGrid w:val="0"/>
        <w:spacing w:line="44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rPr>
        <w:t>11.4.3投标人认为应该提供的资料</w:t>
      </w:r>
      <w:r>
        <w:rPr>
          <w:rFonts w:hint="eastAsia" w:ascii="宋体" w:hAnsi="宋体" w:eastAsia="宋体" w:cs="宋体"/>
          <w:bCs/>
          <w:color w:val="auto"/>
          <w:sz w:val="24"/>
          <w:szCs w:val="24"/>
          <w:highlight w:val="none"/>
          <w:u w:val="single"/>
        </w:rPr>
        <w:t>（如有）</w:t>
      </w:r>
      <w:r>
        <w:rPr>
          <w:rFonts w:hint="eastAsia" w:ascii="宋体" w:hAnsi="宋体" w:eastAsia="宋体" w:cs="宋体"/>
          <w:bCs/>
          <w:color w:val="auto"/>
          <w:sz w:val="24"/>
          <w:szCs w:val="24"/>
          <w:highlight w:val="none"/>
          <w:u w:val="single"/>
        </w:rPr>
        <w:t>。</w:t>
      </w:r>
    </w:p>
    <w:p w14:paraId="5EA17783">
      <w:pPr>
        <w:pBdr>
          <w:bottom w:val="single" w:color="auto" w:sz="6" w:space="1"/>
        </w:pBdr>
        <w:tabs>
          <w:tab w:val="left" w:pos="6329"/>
        </w:tabs>
        <w:snapToGrid w:val="0"/>
        <w:spacing w:line="44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bCs/>
          <w:color w:val="auto"/>
          <w:sz w:val="24"/>
          <w:szCs w:val="24"/>
          <w:highlight w:val="none"/>
          <w:u w:val="single"/>
        </w:rPr>
        <w:t>注：定标文件的递交时间和形式由投标人按照投标须知前附表第18项所规定的时间及本须知第18条的相关要求执行。</w:t>
      </w:r>
    </w:p>
    <w:p w14:paraId="7BA16EA5">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条款号：12.2             修改类型：修改</w:t>
      </w:r>
    </w:p>
    <w:p w14:paraId="407A4471">
      <w:pPr>
        <w:pStyle w:val="4"/>
        <w:snapToGrid w:val="0"/>
        <w:spacing w:after="0"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原文：</w:t>
      </w:r>
      <w:r>
        <w:rPr>
          <w:rFonts w:hint="eastAsia" w:ascii="宋体" w:hAnsi="宋体" w:eastAsia="宋体" w:cs="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D8EAF27">
      <w:pPr>
        <w:pStyle w:val="4"/>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注：投标文件电子文档需要投标人单位盖章的材料，投标人加盖电子印章即可，不得将投标人未对电子文档加盖实物印章作为否决投标的情形。</w:t>
      </w:r>
    </w:p>
    <w:p w14:paraId="184A0F21">
      <w:pPr>
        <w:pStyle w:val="4"/>
        <w:pBdr>
          <w:bottom w:val="single" w:color="auto" w:sz="4" w:space="0"/>
        </w:pBdr>
        <w:snapToGrid w:val="0"/>
        <w:spacing w:after="0" w:line="440" w:lineRule="exact"/>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w:t>
      </w:r>
    </w:p>
    <w:p w14:paraId="1341497D">
      <w:pPr>
        <w:pStyle w:val="4"/>
        <w:pBdr>
          <w:bottom w:val="single" w:color="auto" w:sz="4" w:space="0"/>
        </w:pBdr>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注释：投标文件电子文档需要投标人单位盖章的材料，投标人加盖电子印章即可，不得将投标人未对电子文档加盖实物印章作为否决投标的情形。</w:t>
      </w:r>
    </w:p>
    <w:p w14:paraId="5E7232D8">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条款号：12.3       修改类型：修改</w:t>
      </w:r>
    </w:p>
    <w:p w14:paraId="21A04659">
      <w:pPr>
        <w:pStyle w:val="10"/>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照交易平台关于全流程电子化项目的相关指南进行编制，详见：。</w:t>
      </w:r>
    </w:p>
    <w:p w14:paraId="7D31DF86">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u w:val="singl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广州交易集团有限公司（广州公共资源交易中心）网站。</w:t>
      </w:r>
    </w:p>
    <w:p w14:paraId="0F2EA129">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条款号：13.1              修改类型：修改</w:t>
      </w:r>
    </w:p>
    <w:p w14:paraId="6FD87175">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13.1 本工程的投标报价采用投标须知前附表第12项所规定的方式。投标报价（含单价及总价）精确到“分”。</w:t>
      </w:r>
    </w:p>
    <w:p w14:paraId="70A71F86">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本工程的投标报价采用投标须知前附表第12项所规定的方式。</w:t>
      </w:r>
      <w:r>
        <w:rPr>
          <w:rFonts w:hint="eastAsia" w:ascii="宋体" w:hAnsi="宋体" w:eastAsia="宋体" w:cs="宋体"/>
          <w:color w:val="auto"/>
          <w:sz w:val="24"/>
          <w:szCs w:val="24"/>
          <w:highlight w:val="none"/>
          <w:u w:val="single"/>
        </w:rPr>
        <w:t>投标文件中的大写金额和小写金额不一致的，以大写金额为准，</w:t>
      </w:r>
      <w:r>
        <w:rPr>
          <w:rFonts w:hint="eastAsia" w:ascii="宋体" w:hAnsi="宋体" w:eastAsia="宋体" w:cs="宋体"/>
          <w:color w:val="auto"/>
          <w:sz w:val="24"/>
          <w:szCs w:val="24"/>
          <w:highlight w:val="none"/>
        </w:rPr>
        <w:t>投标报价（含单价及总价）精确到“分”。</w:t>
      </w:r>
    </w:p>
    <w:p w14:paraId="1D564BEE">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条款号：17.1            修改类型：修改</w:t>
      </w:r>
    </w:p>
    <w:p w14:paraId="1E35D702">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14:paraId="4FBDEF09">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w:t>
      </w:r>
      <w:r>
        <w:rPr>
          <w:rFonts w:hint="eastAsia" w:ascii="宋体" w:hAnsi="宋体" w:eastAsia="宋体" w:cs="宋体"/>
          <w:color w:val="auto"/>
          <w:sz w:val="24"/>
          <w:szCs w:val="24"/>
          <w:highlight w:val="none"/>
        </w:rPr>
        <w:t>。</w:t>
      </w:r>
    </w:p>
    <w:p w14:paraId="0333AD7B">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条款号：18、19             修改类型：修改</w:t>
      </w:r>
    </w:p>
    <w:p w14:paraId="74B9EC7E">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bCs/>
          <w:color w:val="auto"/>
          <w:sz w:val="24"/>
          <w:szCs w:val="24"/>
          <w:highlight w:val="none"/>
        </w:rPr>
        <w:t>18．</w:t>
      </w:r>
      <w:r>
        <w:rPr>
          <w:rFonts w:hint="eastAsia" w:ascii="宋体" w:hAnsi="宋体" w:eastAsia="宋体" w:cs="宋体"/>
          <w:b/>
          <w:color w:val="auto"/>
          <w:sz w:val="24"/>
          <w:szCs w:val="24"/>
          <w:highlight w:val="none"/>
        </w:rPr>
        <w:t>投标文件的密封和标记</w:t>
      </w:r>
    </w:p>
    <w:p w14:paraId="6BDB1B2F">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C1876A9">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14:paraId="727D9360">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19．投标文件的递交和接收</w:t>
      </w:r>
    </w:p>
    <w:p w14:paraId="3F447AFC">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14:paraId="4B081328">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5EB8640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09B0627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投标截止前，招标人拒绝接收符合条件的投标文件，投标人可向招标投标监督机构投诉。</w:t>
      </w:r>
    </w:p>
    <w:p w14:paraId="15AE3114">
      <w:pPr>
        <w:snapToGrid w:val="0"/>
        <w:spacing w:line="440" w:lineRule="exact"/>
        <w:ind w:firstLine="480"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14:paraId="2B31A930">
      <w:pPr>
        <w:pStyle w:val="4"/>
        <w:snapToGrid w:val="0"/>
        <w:spacing w:after="0"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bCs/>
          <w:color w:val="auto"/>
          <w:sz w:val="24"/>
          <w:szCs w:val="24"/>
          <w:highlight w:val="none"/>
        </w:rPr>
        <w:t>18．</w:t>
      </w:r>
      <w:r>
        <w:rPr>
          <w:rFonts w:hint="eastAsia" w:ascii="宋体" w:hAnsi="宋体" w:eastAsia="宋体" w:cs="宋体"/>
          <w:b/>
          <w:color w:val="auto"/>
          <w:sz w:val="24"/>
          <w:szCs w:val="24"/>
          <w:highlight w:val="none"/>
        </w:rPr>
        <w:t>投标文件的密封和标记</w:t>
      </w:r>
    </w:p>
    <w:p w14:paraId="349116DF">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广州交易集团有限公司（广州公共资源交易中心）网站</w:t>
      </w:r>
      <w:r>
        <w:rPr>
          <w:rFonts w:hint="eastAsia" w:ascii="宋体" w:hAnsi="宋体" w:eastAsia="宋体" w:cs="宋体"/>
          <w:color w:val="auto"/>
          <w:sz w:val="24"/>
          <w:szCs w:val="24"/>
          <w:highlight w:val="none"/>
        </w:rPr>
        <w:t>。</w:t>
      </w:r>
    </w:p>
    <w:p w14:paraId="47D1C796">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14:paraId="4CF455F4">
      <w:pPr>
        <w:snapToGrid w:val="0"/>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19．投标文件的递交和接收</w:t>
      </w:r>
    </w:p>
    <w:p w14:paraId="51175BA0">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交易平台递交电子投标文件。</w:t>
      </w:r>
    </w:p>
    <w:p w14:paraId="5E6B68B4">
      <w:pPr>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63807F1E">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交易平台将予以拒收。</w:t>
      </w:r>
    </w:p>
    <w:p w14:paraId="7FBF586B">
      <w:pP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投标截止前，招标人拒绝接收符合条件的投标文件，投标人可向招标投标监督机构投诉。</w:t>
      </w:r>
    </w:p>
    <w:p w14:paraId="179E8A6B">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19.5</w:t>
      </w:r>
      <w:r>
        <w:rPr>
          <w:rFonts w:hint="eastAsia" w:ascii="宋体" w:hAnsi="宋体" w:eastAsia="宋体" w:cs="宋体"/>
          <w:color w:val="auto"/>
          <w:sz w:val="24"/>
          <w:szCs w:val="24"/>
          <w:highlight w:val="none"/>
          <w:u w:val="single"/>
        </w:rPr>
        <w:t>技术标和经济标同时开启，广州交易集团有限公司（广州公共资源交易中心）交易平台将按招标文件规定的时间同时开启技术标和经济标。</w:t>
      </w:r>
    </w:p>
    <w:p w14:paraId="18E7CE07">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条款号：21.1             修改类型：修改</w:t>
      </w:r>
    </w:p>
    <w:p w14:paraId="7157EE8A">
      <w:pPr>
        <w:snapToGrid w:val="0"/>
        <w:spacing w:line="440" w:lineRule="exact"/>
        <w:ind w:firstLine="482"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rPr>
        <w:t>交易平台将予以拒收。</w:t>
      </w:r>
    </w:p>
    <w:p w14:paraId="2B7DCCD3">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交易平台将予以拒收。</w:t>
      </w:r>
    </w:p>
    <w:p w14:paraId="6B31F27C">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条款号：24.1 24.2               修改类型：修改</w:t>
      </w:r>
    </w:p>
    <w:p w14:paraId="1BF4F1B4">
      <w:pP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14:paraId="7CB0D6ED">
      <w:pPr>
        <w:pBdr>
          <w:bottom w:val="single" w:color="auto" w:sz="6" w:space="1"/>
        </w:pBdr>
        <w:snapToGrid w:val="0"/>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14:paraId="7709A855">
      <w:pPr>
        <w:pBdr>
          <w:bottom w:val="single" w:color="auto" w:sz="6" w:space="1"/>
        </w:pBdr>
        <w:snapToGrid w:val="0"/>
        <w:spacing w:line="440" w:lineRule="exact"/>
        <w:ind w:firstLine="602" w:firstLineChars="25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24.1开标后，直至合格的中标候选人公示为止，凡属于对投标文件的审查、澄清、评价和比较有关的资料以及合格的中标候选人的推荐</w:t>
      </w:r>
      <w:r>
        <w:rPr>
          <w:rFonts w:hint="eastAsia" w:ascii="宋体" w:hAnsi="宋体" w:eastAsia="宋体" w:cs="宋体"/>
          <w:color w:val="auto"/>
          <w:sz w:val="24"/>
          <w:szCs w:val="24"/>
          <w:highlight w:val="none"/>
          <w:u w:val="single"/>
        </w:rPr>
        <w:t>【不排序，按统一社会信用代码后4位（除校验码外）大小排位</w:t>
      </w:r>
      <w:r>
        <w:rPr>
          <w:rFonts w:hint="eastAsia" w:ascii="宋体" w:hAnsi="宋体" w:eastAsia="宋体" w:cs="宋体"/>
          <w:color w:val="auto"/>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情况，与评标有关的其他任何情况均严格保密。</w:t>
      </w:r>
    </w:p>
    <w:p w14:paraId="5FCA679E">
      <w:pPr>
        <w:pBdr>
          <w:bottom w:val="single" w:color="auto" w:sz="6" w:space="1"/>
        </w:pBdr>
        <w:snapToGrid w:val="0"/>
        <w:spacing w:line="440" w:lineRule="exact"/>
        <w:ind w:firstLine="720" w:firstLineChars="300"/>
        <w:rPr>
          <w:rStyle w:val="80"/>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24.2在投标文件的评审和比较、合格的中标候选人推荐</w:t>
      </w:r>
      <w:r>
        <w:rPr>
          <w:rFonts w:hint="eastAsia" w:ascii="宋体" w:hAnsi="宋体" w:eastAsia="宋体" w:cs="宋体"/>
          <w:color w:val="auto"/>
          <w:sz w:val="24"/>
          <w:szCs w:val="24"/>
          <w:highlight w:val="none"/>
          <w:u w:val="single"/>
        </w:rPr>
        <w:t>【不排序，按统一社会信用代码后4位（除校验码外）大小排位</w:t>
      </w:r>
      <w:r>
        <w:rPr>
          <w:rFonts w:hint="eastAsia" w:ascii="宋体" w:hAnsi="宋体" w:eastAsia="宋体" w:cs="宋体"/>
          <w:color w:val="auto"/>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eastAsia="宋体" w:cs="宋体"/>
          <w:color w:val="auto"/>
          <w:sz w:val="24"/>
          <w:szCs w:val="24"/>
          <w:highlight w:val="none"/>
          <w:u w:val="single"/>
        </w:rPr>
        <w:t>】、定标</w:t>
      </w:r>
      <w:r>
        <w:rPr>
          <w:rFonts w:hint="eastAsia" w:ascii="宋体" w:hAnsi="宋体" w:eastAsia="宋体" w:cs="宋体"/>
          <w:color w:val="auto"/>
          <w:sz w:val="24"/>
          <w:szCs w:val="24"/>
          <w:highlight w:val="none"/>
        </w:rPr>
        <w:t>以及授予合同的过程中，投标人向招标人</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评标委员会</w:t>
      </w:r>
      <w:r>
        <w:rPr>
          <w:rFonts w:hint="eastAsia" w:ascii="宋体" w:hAnsi="宋体" w:eastAsia="宋体" w:cs="宋体"/>
          <w:color w:val="auto"/>
          <w:sz w:val="24"/>
          <w:szCs w:val="24"/>
          <w:highlight w:val="none"/>
          <w:u w:val="single"/>
        </w:rPr>
        <w:t>和定标委员会</w:t>
      </w:r>
      <w:r>
        <w:rPr>
          <w:rFonts w:hint="eastAsia" w:ascii="宋体" w:hAnsi="宋体" w:eastAsia="宋体" w:cs="宋体"/>
          <w:color w:val="auto"/>
          <w:sz w:val="24"/>
          <w:szCs w:val="24"/>
          <w:highlight w:val="none"/>
        </w:rPr>
        <w:t>施加不公正影响的任何行为，都将会导致其投标被拒绝。</w:t>
      </w:r>
    </w:p>
    <w:p w14:paraId="500C7900">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条款号：27.1          修改类型：修改</w:t>
      </w:r>
    </w:p>
    <w:p w14:paraId="2AF8E0D3">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3E9CFC1">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 xml:space="preserve"> 广州交易集团有限公司（广州公共资源交易中心）</w:t>
      </w:r>
      <w:r>
        <w:rPr>
          <w:rFonts w:hint="eastAsia" w:ascii="宋体" w:hAnsi="宋体" w:eastAsia="宋体" w:cs="宋体"/>
          <w:color w:val="auto"/>
          <w:sz w:val="24"/>
          <w:szCs w:val="24"/>
          <w:highlight w:val="none"/>
        </w:rPr>
        <w:t>交易平台、广东省招标投标监管网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中国招标投标公共服务平台</w:t>
      </w:r>
      <w:r>
        <w:rPr>
          <w:rFonts w:hint="eastAsia" w:ascii="宋体" w:hAnsi="宋体" w:eastAsia="宋体" w:cs="宋体"/>
          <w:color w:val="auto"/>
          <w:sz w:val="24"/>
          <w:szCs w:val="24"/>
          <w:highlight w:val="none"/>
          <w:u w:val="single"/>
          <w:lang w:val="en-US" w:eastAsia="zh-CN"/>
        </w:rPr>
        <w:t>和广州国企阳光采购信息发布平台</w:t>
      </w:r>
      <w:r>
        <w:rPr>
          <w:rFonts w:hint="eastAsia" w:ascii="宋体" w:hAnsi="宋体" w:eastAsia="宋体" w:cs="宋体"/>
          <w:color w:val="auto"/>
          <w:sz w:val="24"/>
          <w:szCs w:val="24"/>
          <w:highlight w:val="none"/>
        </w:rPr>
        <w:t>公示</w:t>
      </w:r>
      <w:r>
        <w:rPr>
          <w:rFonts w:hint="eastAsia" w:ascii="宋体" w:hAnsi="宋体" w:eastAsia="宋体" w:cs="宋体"/>
          <w:color w:val="auto"/>
          <w:sz w:val="24"/>
          <w:szCs w:val="24"/>
          <w:highlight w:val="none"/>
          <w:u w:val="single"/>
          <w:lang w:val="en-US" w:eastAsia="zh-CN"/>
        </w:rPr>
        <w:t>合格的</w:t>
      </w:r>
      <w:r>
        <w:rPr>
          <w:rFonts w:hint="eastAsia" w:ascii="宋体" w:hAnsi="宋体" w:eastAsia="宋体" w:cs="宋体"/>
          <w:color w:val="auto"/>
          <w:sz w:val="24"/>
          <w:szCs w:val="24"/>
          <w:highlight w:val="none"/>
        </w:rPr>
        <w:t>中标候选人，公示期为三天。</w:t>
      </w:r>
      <w:r>
        <w:rPr>
          <w:rFonts w:hint="eastAsia" w:ascii="宋体" w:hAnsi="宋体" w:eastAsia="宋体" w:cs="宋体"/>
          <w:color w:val="auto"/>
          <w:sz w:val="24"/>
          <w:szCs w:val="24"/>
          <w:highlight w:val="none"/>
          <w:u w:val="single"/>
        </w:rPr>
        <w:t>合格的中标候选人公示结束后，10个工作日内在广州公共资源交易中心开展定标工作，在定标委员会完成定标工作后，招标人将在定标工作完成后的 3 日内在广州公共资源交易中心交易平台、广东省招标投标监管网</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中国招标投标公共服务平台</w:t>
      </w:r>
      <w:r>
        <w:rPr>
          <w:rFonts w:hint="eastAsia" w:ascii="宋体" w:hAnsi="宋体" w:eastAsia="宋体" w:cs="宋体"/>
          <w:color w:val="auto"/>
          <w:sz w:val="24"/>
          <w:szCs w:val="24"/>
          <w:highlight w:val="none"/>
          <w:u w:val="single"/>
          <w:lang w:val="en-US" w:eastAsia="zh-CN"/>
        </w:rPr>
        <w:t>和广州国企阳光采购信息发布平台</w:t>
      </w:r>
      <w:r>
        <w:rPr>
          <w:rFonts w:hint="eastAsia" w:ascii="宋体" w:hAnsi="宋体" w:eastAsia="宋体" w:cs="宋体"/>
          <w:color w:val="auto"/>
          <w:sz w:val="24"/>
          <w:szCs w:val="24"/>
          <w:highlight w:val="none"/>
          <w:u w:val="single"/>
        </w:rPr>
        <w:t>公示中标结果。定标后出现中标人不符合法定情形的，招标人可从其他合格的中标候选人中采用原定标办法，由原定标委员会确定中标人，也可以重新招标。</w:t>
      </w:r>
      <w:r>
        <w:rPr>
          <w:rFonts w:hint="eastAsia" w:ascii="宋体" w:hAnsi="宋体" w:eastAsia="宋体" w:cs="宋体"/>
          <w:color w:val="auto"/>
          <w:sz w:val="24"/>
          <w:szCs w:val="24"/>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F9835FE">
      <w:pP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条款号：27.4            修改类型：修改</w:t>
      </w:r>
    </w:p>
    <w:p w14:paraId="3CEA22B7">
      <w:pPr>
        <w:snapToGrid w:val="0"/>
        <w:spacing w:line="440" w:lineRule="exact"/>
        <w:ind w:firstLine="482"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14:paraId="74F28C3B">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广州交易集团有限公司（广州公共资源交易中心）</w:t>
      </w:r>
      <w:r>
        <w:rPr>
          <w:rFonts w:hint="eastAsia" w:ascii="宋体" w:hAnsi="宋体" w:eastAsia="宋体" w:cs="宋体"/>
          <w:color w:val="auto"/>
          <w:sz w:val="24"/>
          <w:szCs w:val="24"/>
          <w:highlight w:val="none"/>
        </w:rPr>
        <w:t>交易平台和广东省招标投标监管网公开。</w:t>
      </w:r>
    </w:p>
    <w:p w14:paraId="2342358F">
      <w:pPr>
        <w:pBdr>
          <w:bottom w:val="none" w:color="auto" w:sz="0" w:space="0"/>
        </w:pBd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 29                修改类型：修改</w:t>
      </w:r>
    </w:p>
    <w:p w14:paraId="331676C6">
      <w:pPr>
        <w:pBdr>
          <w:bottom w:val="single" w:color="auto" w:sz="4" w:space="0"/>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原文：29. 履约担保</w:t>
      </w:r>
    </w:p>
    <w:p w14:paraId="3BEB68B7">
      <w:pPr>
        <w:pBdr>
          <w:bottom w:val="single" w:color="auto" w:sz="4" w:space="0"/>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在收到中标通知书后的15日内，中标人应按本须知前附表第20项的规定向招标人提交履约担保。</w:t>
      </w:r>
    </w:p>
    <w:p w14:paraId="004358F2">
      <w:pPr>
        <w:pBdr>
          <w:bottom w:val="single" w:color="auto" w:sz="4" w:space="0"/>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015AECEC">
      <w:pPr>
        <w:pBdr>
          <w:bottom w:val="single" w:color="auto" w:sz="4" w:space="0"/>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现文：29. 履约担保</w:t>
      </w:r>
    </w:p>
    <w:p w14:paraId="11C21F2B">
      <w:pPr>
        <w:pBdr>
          <w:bottom w:val="single" w:color="auto" w:sz="4" w:space="0"/>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自中标通知书发出之日起</w:t>
      </w:r>
      <w:r>
        <w:rPr>
          <w:rFonts w:hint="eastAsia" w:ascii="宋体" w:hAnsi="宋体" w:eastAsia="宋体" w:cs="宋体"/>
          <w:color w:val="auto"/>
          <w:sz w:val="24"/>
          <w:szCs w:val="24"/>
          <w:highlight w:val="none"/>
          <w:u w:val="single"/>
        </w:rPr>
        <w:t>30日内，</w:t>
      </w:r>
      <w:r>
        <w:rPr>
          <w:rFonts w:hint="eastAsia" w:ascii="宋体" w:hAnsi="宋体" w:eastAsia="宋体" w:cs="宋体"/>
          <w:color w:val="auto"/>
          <w:sz w:val="24"/>
          <w:szCs w:val="24"/>
          <w:highlight w:val="none"/>
        </w:rPr>
        <w:t>中标人应按本须知前附表第20项的规定向招标人提交履约担保。</w:t>
      </w:r>
      <w:r>
        <w:rPr>
          <w:rFonts w:hint="eastAsia" w:ascii="宋体" w:hAnsi="宋体" w:eastAsia="宋体" w:cs="宋体"/>
          <w:color w:val="auto"/>
          <w:sz w:val="24"/>
          <w:szCs w:val="24"/>
          <w:highlight w:val="none"/>
          <w:u w:val="single"/>
        </w:rPr>
        <w:t>（具体形式详见合同）</w:t>
      </w:r>
    </w:p>
    <w:p w14:paraId="09534A37">
      <w:pPr>
        <w:pBdr>
          <w:bottom w:val="single" w:color="auto" w:sz="4" w:space="0"/>
        </w:pBd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29.2自中标通知书发出之日起</w:t>
      </w:r>
      <w:r>
        <w:rPr>
          <w:rFonts w:hint="eastAsia" w:ascii="宋体" w:hAnsi="宋体" w:eastAsia="宋体" w:cs="宋体"/>
          <w:color w:val="auto"/>
          <w:sz w:val="24"/>
          <w:szCs w:val="24"/>
          <w:highlight w:val="none"/>
          <w:u w:val="single"/>
        </w:rPr>
        <w:t>30日后，</w:t>
      </w:r>
      <w:r>
        <w:rPr>
          <w:rFonts w:hint="eastAsia" w:ascii="宋体" w:hAnsi="宋体" w:eastAsia="宋体" w:cs="宋体"/>
          <w:color w:val="auto"/>
          <w:sz w:val="24"/>
          <w:szCs w:val="24"/>
          <w:highlight w:val="none"/>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4438921B">
      <w:pPr>
        <w:pBdr>
          <w:bottom w:val="none" w:color="auto" w:sz="0" w:space="0"/>
        </w:pBdr>
        <w:snapToGrid w:val="0"/>
        <w:spacing w:line="40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条款号：29.3            修改类型：增加</w:t>
      </w:r>
    </w:p>
    <w:p w14:paraId="1980DBF1">
      <w:pPr>
        <w:pBdr>
          <w:bottom w:val="single" w:color="auto" w:sz="6" w:space="1"/>
        </w:pBdr>
        <w:tabs>
          <w:tab w:val="left" w:pos="1620"/>
        </w:tabs>
        <w:snapToGrid w:val="0"/>
        <w:spacing w:line="440" w:lineRule="exact"/>
        <w:ind w:firstLine="482" w:firstLineChars="200"/>
        <w:jc w:val="left"/>
        <w:rPr>
          <w:rFonts w:hint="eastAsia" w:ascii="宋体" w:hAnsi="宋体" w:eastAsia="宋体" w:cs="宋体"/>
          <w:bCs/>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u w:val="single"/>
        </w:rPr>
        <w:t>中标单位在中标结果公示后，须提供与递交投标电子标书内容一致并包含有综合单价分析表且每页加盖单位公章的纸质文件</w:t>
      </w:r>
      <w:r>
        <w:rPr>
          <w:rFonts w:hint="eastAsia" w:ascii="宋体" w:hAnsi="宋体" w:eastAsia="宋体" w:cs="宋体"/>
          <w:bCs/>
          <w:color w:val="auto"/>
          <w:sz w:val="24"/>
          <w:szCs w:val="24"/>
          <w:highlight w:val="none"/>
          <w:u w:val="single"/>
          <w:lang w:val="en-US" w:eastAsia="zh-CN"/>
        </w:rPr>
        <w:t>三</w:t>
      </w:r>
      <w:r>
        <w:rPr>
          <w:rFonts w:hint="eastAsia" w:ascii="宋体" w:hAnsi="宋体" w:eastAsia="宋体" w:cs="宋体"/>
          <w:bCs/>
          <w:color w:val="auto"/>
          <w:sz w:val="24"/>
          <w:szCs w:val="24"/>
          <w:highlight w:val="none"/>
          <w:u w:val="single"/>
        </w:rPr>
        <w:t>套及电子文件</w:t>
      </w:r>
      <w:r>
        <w:rPr>
          <w:rFonts w:hint="eastAsia" w:ascii="宋体" w:hAnsi="宋体" w:eastAsia="宋体" w:cs="宋体"/>
          <w:bCs/>
          <w:color w:val="auto"/>
          <w:sz w:val="24"/>
          <w:szCs w:val="24"/>
          <w:highlight w:val="none"/>
          <w:u w:val="single"/>
          <w:lang w:val="en-US" w:eastAsia="zh-CN"/>
        </w:rPr>
        <w:t>三</w:t>
      </w:r>
      <w:r>
        <w:rPr>
          <w:rFonts w:hint="eastAsia" w:ascii="宋体" w:hAnsi="宋体" w:eastAsia="宋体" w:cs="宋体"/>
          <w:bCs/>
          <w:color w:val="auto"/>
          <w:sz w:val="24"/>
          <w:szCs w:val="24"/>
          <w:highlight w:val="none"/>
          <w:u w:val="single"/>
        </w:rPr>
        <w:t>套（不用生成投标书；包括用Microsoft Excel软件或广州交易集团有限公司（广州公共资源交易中心）提供的投标书制作的工程量清单报价表和单价分析表，用Microsoft Word软件或广州交易集团有限公司（广州公共资源交易中心）提供的投标书制作软件制作的经济标投标文件其他部分。电子文件介质使用U盘或CD-R光盘，所有电子文件不能采用压缩处理）给招标人。</w:t>
      </w:r>
    </w:p>
    <w:p w14:paraId="1365846E">
      <w:pP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注：以上修改，仅限于本范本中有可供选择条款的情形。</w:t>
      </w:r>
    </w:p>
    <w:p w14:paraId="59B87B88">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（以下无正文）</w:t>
      </w:r>
    </w:p>
    <w:p w14:paraId="6906B1B1">
      <w:pPr>
        <w:pStyle w:val="10"/>
        <w:snapToGrid w:val="0"/>
        <w:spacing w:line="440" w:lineRule="exact"/>
        <w:ind w:firstLine="482" w:firstLineChars="200"/>
        <w:rPr>
          <w:rFonts w:hint="eastAsia" w:ascii="宋体" w:hAnsi="宋体" w:eastAsia="宋体" w:cs="宋体"/>
          <w:b/>
          <w:bCs/>
          <w:color w:val="auto"/>
          <w:sz w:val="24"/>
          <w:szCs w:val="24"/>
          <w:highlight w:val="none"/>
        </w:rPr>
        <w:sectPr>
          <w:footerReference r:id="rId9" w:type="first"/>
          <w:footerReference r:id="rId8" w:type="default"/>
          <w:pgSz w:w="11906" w:h="16838"/>
          <w:pgMar w:top="1440" w:right="1080" w:bottom="1440" w:left="1080" w:header="851" w:footer="907" w:gutter="0"/>
          <w:pgNumType w:start="1"/>
          <w:cols w:space="720" w:num="1"/>
          <w:titlePg/>
          <w:docGrid w:type="lines" w:linePitch="312" w:charSpace="0"/>
        </w:sectPr>
      </w:pPr>
    </w:p>
    <w:p w14:paraId="5A28B93B">
      <w:pPr>
        <w:pStyle w:val="6"/>
        <w:spacing w:before="0" w:after="0" w:line="360" w:lineRule="auto"/>
        <w:ind w:left="0"/>
        <w:rPr>
          <w:rFonts w:hint="eastAsia" w:ascii="宋体" w:hAnsi="宋体" w:cs="宋体"/>
          <w:color w:val="auto"/>
          <w:sz w:val="28"/>
          <w:szCs w:val="28"/>
          <w:highlight w:val="none"/>
        </w:rPr>
      </w:pPr>
      <w:bookmarkStart w:id="5" w:name="_Toc11734"/>
      <w:r>
        <w:rPr>
          <w:rFonts w:hint="eastAsia" w:ascii="宋体" w:hAnsi="宋体" w:cs="宋体"/>
          <w:color w:val="auto"/>
          <w:sz w:val="28"/>
          <w:szCs w:val="28"/>
          <w:highlight w:val="none"/>
        </w:rPr>
        <w:t>三、投标须知通用条款</w:t>
      </w:r>
      <w:bookmarkEnd w:id="5"/>
    </w:p>
    <w:p w14:paraId="3B10AB20">
      <w:pPr>
        <w:pStyle w:val="7"/>
        <w:snapToGrid w:val="0"/>
        <w:spacing w:before="0" w:beforeAutospacing="0" w:after="0" w:afterAutospacing="0" w:line="440" w:lineRule="exact"/>
        <w:rPr>
          <w:rFonts w:hint="eastAsia" w:ascii="宋体" w:hAnsi="宋体" w:eastAsia="宋体" w:cs="宋体"/>
          <w:color w:val="auto"/>
          <w:sz w:val="24"/>
          <w:szCs w:val="24"/>
          <w:highlight w:val="none"/>
        </w:rPr>
      </w:pPr>
      <w:bookmarkStart w:id="6" w:name="_Toc21525493"/>
      <w:bookmarkStart w:id="7" w:name="_Toc9393"/>
      <w:bookmarkStart w:id="8" w:name="_Toc2272549"/>
      <w:r>
        <w:rPr>
          <w:rFonts w:hint="eastAsia" w:ascii="宋体" w:hAnsi="宋体" w:eastAsia="宋体" w:cs="宋体"/>
          <w:color w:val="auto"/>
          <w:sz w:val="24"/>
          <w:szCs w:val="24"/>
          <w:highlight w:val="none"/>
        </w:rPr>
        <w:t>（一）总则</w:t>
      </w:r>
      <w:bookmarkEnd w:id="6"/>
      <w:bookmarkEnd w:id="7"/>
      <w:bookmarkEnd w:id="8"/>
    </w:p>
    <w:p w14:paraId="4D1700B2">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1、定义</w:t>
      </w:r>
    </w:p>
    <w:p w14:paraId="585CEEA4">
      <w:pPr>
        <w:pStyle w:val="4"/>
        <w:snapToGrid w:val="0"/>
        <w:spacing w:after="0"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本招标文件使用的下列词语具有如下规定的意义：</w:t>
      </w:r>
    </w:p>
    <w:p w14:paraId="75681D77">
      <w:pPr>
        <w:pStyle w:val="4"/>
        <w:snapToGrid w:val="0"/>
        <w:spacing w:after="0" w:line="440" w:lineRule="exact"/>
        <w:ind w:firstLine="480" w:firstLineChars="200"/>
        <w:rPr>
          <w:rFonts w:hint="eastAsia" w:ascii="宋体" w:hAnsi="宋体" w:eastAsia="宋体" w:cs="宋体"/>
          <w:b/>
          <w:bCs/>
          <w:color w:val="auto"/>
          <w:sz w:val="24"/>
          <w:szCs w:val="24"/>
          <w:highlight w:val="none"/>
          <w:u w:val="single"/>
        </w:rPr>
      </w:pPr>
      <w:r>
        <w:rPr>
          <w:rFonts w:hint="eastAsia" w:ascii="宋体" w:hAnsi="宋体" w:eastAsia="宋体" w:cs="宋体"/>
          <w:color w:val="auto"/>
          <w:sz w:val="24"/>
          <w:szCs w:val="24"/>
          <w:highlight w:val="none"/>
        </w:rPr>
        <w:t>（1）“招标人”（即发包人）、“项目建设管理单位”（或称“项目代建单位”）、“招标代理”、“设计单位”、“监理单位”均已在投标须知前附表中列明。</w:t>
      </w:r>
    </w:p>
    <w:p w14:paraId="0936C562">
      <w:pPr>
        <w:pStyle w:val="4"/>
        <w:snapToGrid w:val="0"/>
        <w:spacing w:after="0"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（2）“投标人”指向招标人提交投标文件的当事人。   </w:t>
      </w:r>
    </w:p>
    <w:p w14:paraId="34F0312C">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（3）“承包人”指其投标被招标人接受并与其签订承包合同的当事人。</w:t>
      </w:r>
    </w:p>
    <w:p w14:paraId="4D183B26">
      <w:pPr>
        <w:pStyle w:val="4"/>
        <w:snapToGrid w:val="0"/>
        <w:spacing w:after="0"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（4）“招标文件”指由招标代理发出的本文件（包括全部章节、附件）及招标答疑会会议纪要和</w:t>
      </w:r>
      <w:r>
        <w:rPr>
          <w:rFonts w:hint="eastAsia" w:ascii="宋体" w:hAnsi="宋体" w:eastAsia="宋体" w:cs="宋体"/>
          <w:bCs/>
          <w:color w:val="auto"/>
          <w:sz w:val="24"/>
          <w:szCs w:val="24"/>
          <w:highlight w:val="none"/>
        </w:rPr>
        <w:t>招标文件的澄清与修改</w:t>
      </w:r>
      <w:r>
        <w:rPr>
          <w:rFonts w:hint="eastAsia" w:ascii="宋体" w:hAnsi="宋体" w:eastAsia="宋体" w:cs="宋体"/>
          <w:color w:val="auto"/>
          <w:sz w:val="24"/>
          <w:szCs w:val="24"/>
          <w:highlight w:val="none"/>
        </w:rPr>
        <w:t>文件。</w:t>
      </w:r>
    </w:p>
    <w:p w14:paraId="7B33EA1A">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（5）“投标文件”指投标人根据本项目招标文件向招标人提交的全部文件。</w:t>
      </w:r>
    </w:p>
    <w:p w14:paraId="2B52DA82">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（6）“书面形式”指打字或印刷的文件和数据电文（包括电报、电传、传真、电子数据交换和电子邮件）。</w:t>
      </w:r>
    </w:p>
    <w:p w14:paraId="22E718D8">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2、招标说明</w:t>
      </w:r>
    </w:p>
    <w:p w14:paraId="29DA230B">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2.1本招标工程项目按照《中华人民共和国招标投标法》等有关法律、行政法规、规章和规范性文件，通过招标方式选定承包人。</w:t>
      </w:r>
    </w:p>
    <w:p w14:paraId="4EC1DF76">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2.2工程名称、建设地点、建设规模、承包方式、质量标准、招标范围、工期要求等均在投标须知前附表中列明。</w:t>
      </w:r>
    </w:p>
    <w:p w14:paraId="509560C2">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2.3设计说明：详见招标图纸。</w:t>
      </w:r>
    </w:p>
    <w:p w14:paraId="5EC9FB48">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2.4工程施工特点：详见招标图纸。</w:t>
      </w:r>
    </w:p>
    <w:p w14:paraId="24C8B77C">
      <w:pPr>
        <w:tabs>
          <w:tab w:val="left" w:pos="105"/>
        </w:tabs>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3．资金来源</w:t>
      </w:r>
    </w:p>
    <w:p w14:paraId="1BC81756">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3.1本招标工程项目资金来源见投标须知前附表第9项</w:t>
      </w:r>
    </w:p>
    <w:p w14:paraId="1BFA9DC6">
      <w:pPr>
        <w:tabs>
          <w:tab w:val="left" w:pos="105"/>
        </w:tabs>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4．合格投标人的条件</w:t>
      </w:r>
    </w:p>
    <w:p w14:paraId="222CA683">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4.1详见本项目招标公告</w:t>
      </w:r>
    </w:p>
    <w:p w14:paraId="1F681033">
      <w:pPr>
        <w:tabs>
          <w:tab w:val="left" w:pos="105"/>
        </w:tabs>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5．踏勘现场</w:t>
      </w:r>
    </w:p>
    <w:p w14:paraId="49EE849E">
      <w:pPr>
        <w:snapToGrid w:val="0"/>
        <w:spacing w:line="44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5.1 投标人应按本投标须知前附表第15项所述时间和要求对工程现场及周围环境进行踏勘，</w:t>
      </w:r>
      <w:r>
        <w:rPr>
          <w:rFonts w:hint="eastAsia" w:ascii="宋体" w:hAnsi="宋体" w:eastAsia="宋体" w:cs="宋体"/>
          <w:color w:val="auto"/>
          <w:sz w:val="24"/>
          <w:szCs w:val="24"/>
          <w:highlight w:val="none"/>
        </w:rPr>
        <w:t>投标人应充分重视和仔细地进行这种考察，</w:t>
      </w:r>
      <w:r>
        <w:rPr>
          <w:rFonts w:hint="eastAsia" w:ascii="宋体" w:hAnsi="宋体" w:eastAsia="宋体" w:cs="宋体"/>
          <w:bCs/>
          <w:color w:val="auto"/>
          <w:sz w:val="24"/>
          <w:szCs w:val="24"/>
          <w:highlight w:val="none"/>
        </w:rPr>
        <w:t>以便投标人获取</w:t>
      </w:r>
      <w:r>
        <w:rPr>
          <w:rFonts w:hint="eastAsia" w:ascii="宋体" w:hAnsi="宋体" w:eastAsia="宋体" w:cs="宋体"/>
          <w:color w:val="auto"/>
          <w:sz w:val="24"/>
          <w:szCs w:val="24"/>
          <w:highlight w:val="none"/>
        </w:rPr>
        <w:t>那些须投标人自己负责的</w:t>
      </w:r>
      <w:r>
        <w:rPr>
          <w:rFonts w:hint="eastAsia" w:ascii="宋体" w:hAnsi="宋体" w:eastAsia="宋体" w:cs="宋体"/>
          <w:bCs/>
          <w:color w:val="auto"/>
          <w:sz w:val="24"/>
          <w:szCs w:val="24"/>
          <w:highlight w:val="none"/>
        </w:rPr>
        <w:t>有关编制投标文件和签署合同所涉及现场所有的资料。</w:t>
      </w:r>
      <w:r>
        <w:rPr>
          <w:rFonts w:hint="eastAsia" w:ascii="宋体" w:hAnsi="宋体" w:eastAsia="宋体" w:cs="宋体"/>
          <w:color w:val="auto"/>
          <w:sz w:val="24"/>
          <w:szCs w:val="24"/>
          <w:highlight w:val="none"/>
        </w:rPr>
        <w:t>一旦中标，这种考察即被认为其结果已在中标文件中得到充分反映。考察现场的费用由投标人自己承担。</w:t>
      </w:r>
    </w:p>
    <w:p w14:paraId="4310FB46">
      <w:pPr>
        <w:tabs>
          <w:tab w:val="left" w:pos="105"/>
        </w:tabs>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5.2 招标人向投标人提供的有关现场的数据和资料，是招标人现有的能被投标人利用的资料，招标人对投标人做出的任何推论、理解和结论均不负责任。</w:t>
      </w:r>
    </w:p>
    <w:p w14:paraId="76976938">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5.3 经招标人允许，投标人可为踏勘目的进入招标人的项目现场。</w:t>
      </w:r>
      <w:r>
        <w:rPr>
          <w:rFonts w:hint="eastAsia" w:ascii="宋体" w:hAnsi="宋体" w:eastAsia="宋体" w:cs="宋体"/>
          <w:color w:val="auto"/>
          <w:sz w:val="24"/>
          <w:szCs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 w:val="24"/>
          <w:szCs w:val="24"/>
          <w:highlight w:val="none"/>
        </w:rPr>
        <w:t>投标人不得因此使招标人承担有关的责任和蒙受损失。</w:t>
      </w:r>
    </w:p>
    <w:p w14:paraId="40BA6928">
      <w:pPr>
        <w:tabs>
          <w:tab w:val="left" w:pos="105"/>
        </w:tabs>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6．投标费用</w:t>
      </w:r>
    </w:p>
    <w:p w14:paraId="6DAF8BCB">
      <w:pPr>
        <w:tabs>
          <w:tab w:val="left" w:pos="105"/>
        </w:tabs>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w:t>
      </w:r>
      <w:r>
        <w:rPr>
          <w:rFonts w:hint="eastAsia" w:ascii="宋体" w:hAnsi="宋体" w:eastAsia="宋体" w:cs="宋体"/>
          <w:color w:val="auto"/>
          <w:sz w:val="24"/>
          <w:szCs w:val="24"/>
          <w:highlight w:val="none"/>
        </w:rPr>
        <w:t>不论投标结果如何，投标人应承担</w:t>
      </w:r>
      <w:r>
        <w:rPr>
          <w:rFonts w:hint="eastAsia" w:ascii="宋体" w:hAnsi="宋体" w:eastAsia="宋体" w:cs="宋体"/>
          <w:bCs/>
          <w:color w:val="auto"/>
          <w:sz w:val="24"/>
          <w:szCs w:val="24"/>
          <w:highlight w:val="none"/>
        </w:rPr>
        <w:t>自身</w:t>
      </w:r>
      <w:r>
        <w:rPr>
          <w:rFonts w:hint="eastAsia" w:ascii="宋体" w:hAnsi="宋体" w:eastAsia="宋体" w:cs="宋体"/>
          <w:color w:val="auto"/>
          <w:sz w:val="24"/>
          <w:szCs w:val="24"/>
          <w:highlight w:val="none"/>
        </w:rPr>
        <w:t>因投标文件编制、递交及其他</w:t>
      </w:r>
      <w:r>
        <w:rPr>
          <w:rFonts w:hint="eastAsia" w:ascii="宋体" w:hAnsi="宋体" w:eastAsia="宋体" w:cs="宋体"/>
          <w:bCs/>
          <w:color w:val="auto"/>
          <w:sz w:val="24"/>
          <w:szCs w:val="24"/>
          <w:highlight w:val="none"/>
        </w:rPr>
        <w:t>参加本招标活动</w:t>
      </w:r>
      <w:r>
        <w:rPr>
          <w:rFonts w:hint="eastAsia" w:ascii="宋体" w:hAnsi="宋体" w:eastAsia="宋体" w:cs="宋体"/>
          <w:color w:val="auto"/>
          <w:sz w:val="24"/>
          <w:szCs w:val="24"/>
          <w:highlight w:val="none"/>
        </w:rPr>
        <w:t>所涉及的一切费用，招标人对上述费用不负任何责任。</w:t>
      </w:r>
    </w:p>
    <w:p w14:paraId="2CBBCA06">
      <w:pPr>
        <w:pStyle w:val="7"/>
        <w:snapToGrid w:val="0"/>
        <w:spacing w:before="0" w:beforeAutospacing="0" w:after="0" w:afterAutospacing="0" w:line="440" w:lineRule="exact"/>
        <w:rPr>
          <w:rFonts w:hint="eastAsia" w:ascii="宋体" w:hAnsi="宋体" w:eastAsia="宋体" w:cs="宋体"/>
          <w:color w:val="auto"/>
          <w:sz w:val="24"/>
          <w:szCs w:val="24"/>
          <w:highlight w:val="none"/>
        </w:rPr>
      </w:pPr>
      <w:bookmarkStart w:id="9" w:name="_Toc21525494"/>
      <w:bookmarkStart w:id="10" w:name="_Toc14112"/>
      <w:bookmarkStart w:id="11" w:name="_Toc2272550"/>
      <w:r>
        <w:rPr>
          <w:rFonts w:hint="eastAsia" w:ascii="宋体" w:hAnsi="宋体" w:eastAsia="宋体" w:cs="宋体"/>
          <w:color w:val="auto"/>
          <w:sz w:val="24"/>
          <w:szCs w:val="24"/>
          <w:highlight w:val="none"/>
        </w:rPr>
        <w:t>（二）招标文件</w:t>
      </w:r>
      <w:bookmarkEnd w:id="9"/>
      <w:bookmarkEnd w:id="10"/>
      <w:bookmarkEnd w:id="11"/>
    </w:p>
    <w:p w14:paraId="56AD323C">
      <w:pPr>
        <w:tabs>
          <w:tab w:val="left" w:pos="105"/>
        </w:tabs>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7.招标文件的组成</w:t>
      </w:r>
    </w:p>
    <w:p w14:paraId="673688C6">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7.1本招标文件包括下列文件，以及所有按本须知第8条发出的招标答疑会会议纪要和按本须知第9条发出的澄清或修改：</w:t>
      </w:r>
    </w:p>
    <w:p w14:paraId="39EE322F">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投标须知</w:t>
      </w:r>
    </w:p>
    <w:p w14:paraId="269FC4FF">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开标、评标及定标办法</w:t>
      </w:r>
    </w:p>
    <w:p w14:paraId="35210891">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合同条款</w:t>
      </w:r>
    </w:p>
    <w:p w14:paraId="75384D5E">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投标文件格式</w:t>
      </w:r>
    </w:p>
    <w:p w14:paraId="3BA7A520">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技术条件（工程建设标准）（另册）</w:t>
      </w:r>
    </w:p>
    <w:p w14:paraId="16ADBE11">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图纸及勘察资料（另册）</w:t>
      </w:r>
    </w:p>
    <w:p w14:paraId="5E708E3D">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第七章  招标工程量清单（另册）</w:t>
      </w:r>
    </w:p>
    <w:p w14:paraId="549A5D7F">
      <w:pPr>
        <w:widowControl/>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第八章  最高投标限价</w:t>
      </w:r>
    </w:p>
    <w:p w14:paraId="6A8D4C88">
      <w:pPr>
        <w:pStyle w:val="4"/>
        <w:snapToGrid w:val="0"/>
        <w:spacing w:after="0" w:line="440" w:lineRule="exact"/>
        <w:ind w:left="-2"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注：</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1 \* GB3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①</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eastAsia="宋体" w:cs="宋体"/>
          <w:bCs/>
          <w:color w:val="auto"/>
          <w:sz w:val="24"/>
          <w:szCs w:val="24"/>
          <w:highlight w:val="none"/>
        </w:rPr>
        <w:fldChar w:fldCharType="begin"/>
      </w:r>
      <w:r>
        <w:rPr>
          <w:rFonts w:hint="eastAsia" w:ascii="宋体" w:hAnsi="宋体" w:eastAsia="宋体" w:cs="宋体"/>
          <w:bCs/>
          <w:color w:val="auto"/>
          <w:sz w:val="24"/>
          <w:szCs w:val="24"/>
          <w:highlight w:val="none"/>
        </w:rPr>
        <w:instrText xml:space="preserve"> = 2 \* GB3 </w:instrText>
      </w:r>
      <w:r>
        <w:rPr>
          <w:rFonts w:hint="eastAsia" w:ascii="宋体" w:hAnsi="宋体" w:eastAsia="宋体" w:cs="宋体"/>
          <w:bCs/>
          <w:color w:val="auto"/>
          <w:sz w:val="24"/>
          <w:szCs w:val="24"/>
          <w:highlight w:val="none"/>
        </w:rPr>
        <w:fldChar w:fldCharType="separate"/>
      </w:r>
      <w:r>
        <w:rPr>
          <w:rFonts w:hint="eastAsia" w:ascii="宋体" w:hAnsi="宋体" w:eastAsia="宋体" w:cs="宋体"/>
          <w:bCs/>
          <w:color w:val="auto"/>
          <w:sz w:val="24"/>
          <w:szCs w:val="24"/>
          <w:highlight w:val="none"/>
        </w:rPr>
        <w:t>②</w:t>
      </w:r>
      <w:r>
        <w:rPr>
          <w:rFonts w:hint="eastAsia" w:ascii="宋体" w:hAnsi="宋体" w:eastAsia="宋体" w:cs="宋体"/>
          <w:bCs/>
          <w:color w:val="auto"/>
          <w:sz w:val="24"/>
          <w:szCs w:val="24"/>
          <w:highlight w:val="none"/>
        </w:rPr>
        <w:fldChar w:fldCharType="end"/>
      </w:r>
      <w:r>
        <w:rPr>
          <w:rFonts w:hint="eastAsia" w:ascii="宋体" w:hAnsi="宋体" w:eastAsia="宋体" w:cs="宋体"/>
          <w:bCs/>
          <w:color w:val="auto"/>
          <w:sz w:val="24"/>
          <w:szCs w:val="24"/>
          <w:highlight w:val="none"/>
        </w:rPr>
        <w:t>鼓励招标人对施工组织设计或施工方案实行隐藏投标人信息的暗标评审。</w:t>
      </w:r>
    </w:p>
    <w:p w14:paraId="2A5C75F3">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5FE688B">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投标人一旦中标，招标文件的内容对招标人和中标人双方均有约束力。</w:t>
      </w:r>
    </w:p>
    <w:p w14:paraId="6AB25D6B">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8．招标答疑</w:t>
      </w:r>
    </w:p>
    <w:p w14:paraId="5421C98D">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 投标人若对招标文件（包括招标图纸）中有疑问，可以书面形式通过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交易平台提交给招标人或招标代理人，提交形式见本须知前附表第16项。</w:t>
      </w:r>
    </w:p>
    <w:p w14:paraId="60B7E221">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8.2招标答疑会会议纪要将在提交投标文件截止时间15日前在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 “项目答疑纪要”专区公开发布。答疑纪要一经在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w:t>
      </w:r>
    </w:p>
    <w:p w14:paraId="3D7DDED9">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8.3答疑会会议纪要为招标文件的一部分。</w:t>
      </w:r>
    </w:p>
    <w:p w14:paraId="5256D906">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8.4若招标答疑会会议纪要与招标文件有矛盾，以答疑会议纪要最后发出的书面形式的文件为准。</w:t>
      </w:r>
    </w:p>
    <w:p w14:paraId="318B0D81">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9.招标文件的澄清与修改</w:t>
      </w:r>
    </w:p>
    <w:p w14:paraId="6551BCAD">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9.1招标文件发出后，在提交投标文件截止时间15日前，招标人可对招标文件进行必要的澄清或修改。</w:t>
      </w:r>
    </w:p>
    <w:p w14:paraId="52043FD2">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9.2招标文件的澄清或修改将在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交易平台“项目答疑纪要”专区公开发布。答疑纪要一经在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交易平台发布，视作已发放给所有投标人，以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交易平台上网发布时间作为送达时间。</w:t>
      </w:r>
    </w:p>
    <w:p w14:paraId="79073D88">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9.3招标文件的修改内容为招标文件的组成部分。</w:t>
      </w:r>
    </w:p>
    <w:p w14:paraId="04A2840F">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9.4招标文件的澄清或修改均以书面形式明确的内容为准。当招标文件的澄清、修改、补充等在同一内容的表述不一致时，以最后发出的书面形式的文件为准。</w:t>
      </w:r>
    </w:p>
    <w:p w14:paraId="3A45377E">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6A746F6A">
      <w:pPr>
        <w:pStyle w:val="7"/>
        <w:snapToGrid w:val="0"/>
        <w:spacing w:before="0" w:beforeAutospacing="0" w:after="0" w:afterAutospacing="0" w:line="440" w:lineRule="exact"/>
        <w:rPr>
          <w:rFonts w:hint="eastAsia" w:ascii="宋体" w:hAnsi="宋体" w:eastAsia="宋体" w:cs="宋体"/>
          <w:color w:val="auto"/>
          <w:sz w:val="24"/>
          <w:szCs w:val="24"/>
          <w:highlight w:val="none"/>
        </w:rPr>
      </w:pPr>
      <w:bookmarkStart w:id="12" w:name="_Toc21525495"/>
      <w:bookmarkStart w:id="13" w:name="_Toc16897"/>
      <w:bookmarkStart w:id="14" w:name="_Toc2272551"/>
      <w:r>
        <w:rPr>
          <w:rFonts w:hint="eastAsia" w:ascii="宋体" w:hAnsi="宋体" w:eastAsia="宋体" w:cs="宋体"/>
          <w:color w:val="auto"/>
          <w:sz w:val="24"/>
          <w:szCs w:val="24"/>
          <w:highlight w:val="none"/>
        </w:rPr>
        <w:t>（三）投标文件的编制</w:t>
      </w:r>
      <w:bookmarkEnd w:id="12"/>
      <w:bookmarkEnd w:id="13"/>
      <w:bookmarkEnd w:id="14"/>
    </w:p>
    <w:p w14:paraId="1CA08574">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10．投标文件的语言及度量衡单位</w:t>
      </w:r>
    </w:p>
    <w:p w14:paraId="6CDFB14D">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投标文件和与投标有关的所有文件均应使用中文。</w:t>
      </w:r>
    </w:p>
    <w:p w14:paraId="17C255B8">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除工程规范另有规定外，投标文件使用的度量衡单位，均采用中华人民共和国法定计量单位。</w:t>
      </w:r>
    </w:p>
    <w:p w14:paraId="54D46BDC">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11．投标文件的组成</w:t>
      </w:r>
    </w:p>
    <w:p w14:paraId="3A6C2855">
      <w:pPr>
        <w:pStyle w:val="4"/>
        <w:snapToGrid w:val="0"/>
        <w:spacing w:after="0"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11.1 投标文件由技术部分（含资格审查文件）和经济部分二部分投标文件组成</w:t>
      </w:r>
      <w:r>
        <w:rPr>
          <w:rFonts w:hint="eastAsia" w:ascii="宋体" w:hAnsi="宋体" w:eastAsia="宋体" w:cs="宋体"/>
          <w:b/>
          <w:color w:val="auto"/>
          <w:sz w:val="24"/>
          <w:szCs w:val="24"/>
          <w:highlight w:val="none"/>
        </w:rPr>
        <w:t>。</w:t>
      </w:r>
    </w:p>
    <w:p w14:paraId="2BBD724C">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11.2投标文件技术标部分主要包括下列内容：</w:t>
      </w:r>
    </w:p>
    <w:p w14:paraId="2064DB61">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11.2.1 技术投标文件（</w:t>
      </w:r>
      <w:r>
        <w:rPr>
          <w:rFonts w:hint="eastAsia" w:ascii="宋体" w:hAnsi="宋体" w:eastAsia="宋体" w:cs="宋体"/>
          <w:color w:val="auto"/>
          <w:sz w:val="24"/>
          <w:szCs w:val="24"/>
          <w:highlight w:val="none"/>
        </w:rPr>
        <w:t>按招标文件的要求填写）</w:t>
      </w:r>
      <w:r>
        <w:rPr>
          <w:rFonts w:hint="eastAsia" w:ascii="宋体" w:hAnsi="宋体" w:eastAsia="宋体" w:cs="宋体"/>
          <w:bCs/>
          <w:color w:val="auto"/>
          <w:sz w:val="24"/>
          <w:szCs w:val="24"/>
          <w:highlight w:val="none"/>
        </w:rPr>
        <w:t>；</w:t>
      </w:r>
    </w:p>
    <w:p w14:paraId="5062C69E">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11.2.2 资格审查文件：</w:t>
      </w:r>
    </w:p>
    <w:p w14:paraId="05E43938">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（1）投标人声明； </w:t>
      </w:r>
    </w:p>
    <w:p w14:paraId="648EDB19">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（2）法定代表人证明书、法定代表人签字或盖章的本投标文件授权委托证明书；</w:t>
      </w:r>
    </w:p>
    <w:p w14:paraId="24320C47">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（3）企业营业执照扫描件或电子证照；</w:t>
      </w:r>
    </w:p>
    <w:p w14:paraId="3D9D7A67">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（4）企业资质证书扫描件或电子证照；</w:t>
      </w:r>
    </w:p>
    <w:p w14:paraId="5CE0E4C5">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（5）建筑施工企业安全生产许可证扫描件或电子证照；</w:t>
      </w:r>
    </w:p>
    <w:p w14:paraId="7950ADAD">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（6）项目负责人（按网上投标登记时选择拟投入本项目的项目负责人）</w:t>
      </w:r>
    </w:p>
    <w:p w14:paraId="7D997A29">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（7）专职安全员（按网上投标登记时选择拟投入本项目的专职安全员）</w:t>
      </w:r>
    </w:p>
    <w:p w14:paraId="32845740">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（8）拟委托技术负责人的相关证书、资料（具体要求由招标人明确）</w:t>
      </w:r>
    </w:p>
    <w:p w14:paraId="66379303">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（9）拟委派项目负责人的有效期内的建造师注册证书扫描件或电子证书；  </w:t>
      </w:r>
    </w:p>
    <w:p w14:paraId="5719E09F">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（10）项目负责人在有效期内的安全生产考核合格证书（B类）或建筑施工企业项目负责人安全生产考核合格证书扫描件或电子证书；</w:t>
      </w:r>
    </w:p>
    <w:p w14:paraId="3872FC97">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（11）专职安全员须具有在有效期内的安全生产考核合格证书（C类）或建筑施工企业专职安全生产管理人员安全生产考核合格证书扫描件或电子证书；</w:t>
      </w:r>
    </w:p>
    <w:p w14:paraId="7DFF8A6C">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（12）用于资格审查的业绩（设置业绩要求时选择此项，投标人须提供类似工程业绩的项目名称及项目编号，具体格式由招标人自定）；</w:t>
      </w:r>
    </w:p>
    <w:p w14:paraId="31020404">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（13）资格审查前，投标人须在广州市住房和城乡建设局建立企业信用档案，拟担任本工程项目负责人、专职安全员须是本企业信用档案中的在册人员； </w:t>
      </w:r>
    </w:p>
    <w:p w14:paraId="666DA93A">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3F1185BA">
      <w:pPr>
        <w:widowControl/>
        <w:snapToGrid w:val="0"/>
        <w:spacing w:line="440" w:lineRule="exact"/>
        <w:ind w:firstLine="480" w:firstLineChars="200"/>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注：1.相关电子证书按规定需打印后手写本人签名的，应按照规定手写本人签名后再扫描提交。</w:t>
      </w:r>
    </w:p>
    <w:p w14:paraId="579341AB">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411F39A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11.2.3项目管理机构配备。</w:t>
      </w:r>
    </w:p>
    <w:p w14:paraId="3B6E450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（1）投标人应列出该项目工程的施工组织机构构成和画出机构框架图及其负责人；</w:t>
      </w:r>
    </w:p>
    <w:p w14:paraId="4B0F649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（2）投标人应详细列出该施工组织机构中主要成员的名单、简历资料、职务职称和在本项目中拟担任的职务等资料，并附上有关证明材料扫描件；</w:t>
      </w:r>
    </w:p>
    <w:p w14:paraId="69E7323A">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（3）其他辅助说明资料。</w:t>
      </w:r>
    </w:p>
    <w:p w14:paraId="0740112A">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11.2.4投标人在广州市可使用适合本工程的机械设备（附：机械设备为自有或租赁的说明；及承诺机械设备如属于租赁的，其租赁是不属于重复租赁）。</w:t>
      </w:r>
    </w:p>
    <w:p w14:paraId="00D832E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11.2.5施工组织设计或施工方案。</w:t>
      </w:r>
    </w:p>
    <w:p w14:paraId="5379A55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（1）投标人在编制施工组织设计或施工方案时应按照招标人提出的施工现场建筑垃圾源头减量的具体要求以及建筑垃圾综合利用产品的使用要求提供相应措施。</w:t>
      </w:r>
    </w:p>
    <w:p w14:paraId="3C1F167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8F82C26">
      <w:pPr>
        <w:tabs>
          <w:tab w:val="left" w:pos="1125"/>
        </w:tabs>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11.2.6按照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填写的《参与编制技术标投标文件人员名单》。</w:t>
      </w:r>
    </w:p>
    <w:p w14:paraId="23743EAB">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11.3 经济部分投标文件主要包括下列内容：</w:t>
      </w:r>
    </w:p>
    <w:p w14:paraId="0346752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11.3.1 经济投标文件（按招标文件的要求填写）。</w:t>
      </w:r>
    </w:p>
    <w:p w14:paraId="7896E9C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14:paraId="10AFD7C3">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（1）投标总价封面、扉页；</w:t>
      </w:r>
    </w:p>
    <w:p w14:paraId="614F298D">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（2）总说明</w:t>
      </w:r>
    </w:p>
    <w:p w14:paraId="5625A014">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（3）工程项目投标报价汇总表；</w:t>
      </w:r>
    </w:p>
    <w:p w14:paraId="564BADE7">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（4）单项工程投标报价汇总表；</w:t>
      </w:r>
    </w:p>
    <w:p w14:paraId="403E7BB9">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（5）单位工程投标报价汇总表；</w:t>
      </w:r>
    </w:p>
    <w:p w14:paraId="12066166">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（6）分部分项工程清单与计价表；</w:t>
      </w:r>
    </w:p>
    <w:p w14:paraId="1E7797B5">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（7）单价措施项目清单与计价表；</w:t>
      </w:r>
    </w:p>
    <w:p w14:paraId="02376EA5">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（8）总价措施项目清单与计价表；</w:t>
      </w:r>
    </w:p>
    <w:p w14:paraId="111C9181">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（9）综合单价分析表；</w:t>
      </w:r>
    </w:p>
    <w:p w14:paraId="2DCF9AD2">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（10）其他项目清单与计价汇总表；</w:t>
      </w:r>
    </w:p>
    <w:p w14:paraId="4BA8806B">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（11）暂列金额明细表；</w:t>
      </w:r>
    </w:p>
    <w:p w14:paraId="706D5215">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（12）材料（工程设备）暂估价明细表；</w:t>
      </w:r>
    </w:p>
    <w:p w14:paraId="368EF1D6">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（13）专业工程暂估价明细表；</w:t>
      </w:r>
    </w:p>
    <w:p w14:paraId="5363C392">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（14）计日工表；</w:t>
      </w:r>
    </w:p>
    <w:p w14:paraId="14D947A1">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（15）总承包服务计价表；</w:t>
      </w:r>
    </w:p>
    <w:p w14:paraId="74586083">
      <w:pPr>
        <w:snapToGrid w:val="0"/>
        <w:spacing w:line="440" w:lineRule="exact"/>
        <w:ind w:firstLine="566" w:firstLineChars="23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（16）规费和税金项目计价表；</w:t>
      </w:r>
    </w:p>
    <w:p w14:paraId="289C2EDA">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（17）人工、主要材料和设备一览表</w:t>
      </w:r>
    </w:p>
    <w:p w14:paraId="0737DDA7">
      <w:pPr>
        <w:tabs>
          <w:tab w:val="left" w:pos="1125"/>
        </w:tabs>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11.3.3按照</w:t>
      </w:r>
      <w:r>
        <w:rPr>
          <w:rFonts w:hint="eastAsia" w:ascii="宋体" w:hAnsi="宋体" w:eastAsia="宋体" w:cs="宋体"/>
          <w:bCs/>
          <w:color w:val="auto"/>
          <w:sz w:val="24"/>
          <w:szCs w:val="24"/>
          <w:highlight w:val="none"/>
        </w:rPr>
        <w:t>招标文件要求</w:t>
      </w:r>
      <w:r>
        <w:rPr>
          <w:rFonts w:hint="eastAsia" w:ascii="宋体" w:hAnsi="宋体" w:eastAsia="宋体" w:cs="宋体"/>
          <w:color w:val="auto"/>
          <w:sz w:val="24"/>
          <w:szCs w:val="24"/>
          <w:highlight w:val="none"/>
        </w:rPr>
        <w:t>填写的《参与编制经济标投标文件人员名单》。</w:t>
      </w:r>
    </w:p>
    <w:p w14:paraId="2525F923">
      <w:pPr>
        <w:tabs>
          <w:tab w:val="left" w:pos="1125"/>
        </w:tabs>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11.3.4若投标人的投标报价低于工程成本警戒价的，投标人还须提供详细的施工组织设计、单价、措施性费用、单价分析表、主要材料价格表、投标人成本分析供评标委员会评审。</w:t>
      </w:r>
    </w:p>
    <w:p w14:paraId="447DA37B">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12．投标文件格式</w:t>
      </w:r>
    </w:p>
    <w:p w14:paraId="1D1C66CD">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投标文件包括本须知第11条中规定的内容，投标人提交的投标文件应当使用招标文件所提供的投标文件全部格式（表格可以按同样格式扩展）。</w:t>
      </w:r>
    </w:p>
    <w:p w14:paraId="4C7B7ED8">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C296E99">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注：投标文件电子文档需要投标人单位盖章的材料，投标人加盖电子印章即可，不得将投标人未对电子文档加盖实物印章作为否决投标的情形。</w:t>
      </w:r>
    </w:p>
    <w:p w14:paraId="45E3F66A">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12.3 </w:t>
      </w:r>
      <w:r>
        <w:rPr>
          <w:rFonts w:hint="eastAsia" w:ascii="宋体" w:hAnsi="宋体" w:eastAsia="宋体" w:cs="宋体"/>
          <w:bCs/>
          <w:color w:val="auto"/>
          <w:sz w:val="24"/>
          <w:szCs w:val="24"/>
          <w:highlight w:val="none"/>
        </w:rPr>
        <w:t>投标文件应按</w:t>
      </w:r>
      <w:r>
        <w:rPr>
          <w:rFonts w:hint="eastAsia" w:ascii="宋体" w:hAnsi="宋体" w:eastAsia="宋体" w:cs="宋体"/>
          <w:color w:val="auto"/>
          <w:sz w:val="24"/>
          <w:szCs w:val="24"/>
          <w:highlight w:val="none"/>
        </w:rPr>
        <w:t>照交易平台关于全流程电子化项目的相关指南进行编制，详见：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83D369F">
      <w:pPr>
        <w:pStyle w:val="4"/>
        <w:snapToGrid w:val="0"/>
        <w:spacing w:after="0" w:line="440" w:lineRule="exact"/>
        <w:ind w:firstLine="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如不按上述要求编制引起系统无法检索、读取相关信息的，其后果由投标人承担。</w:t>
      </w:r>
    </w:p>
    <w:p w14:paraId="4D6493D6">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13．投标报价及造价承包和变更结算方式</w:t>
      </w:r>
    </w:p>
    <w:p w14:paraId="4CD32AD4">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 本工程的投标报价采用投标须知前附表第12项所规定的方式。投标报价（含单价及总价）精确到“分”。</w:t>
      </w:r>
    </w:p>
    <w:p w14:paraId="3763777F">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666AC885">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1DEA06B9">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D703D53">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EEFB888">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13.5.1中标的投标文件工程量清单中已有相同项目的适用综合单价，则沿用；</w:t>
      </w:r>
    </w:p>
    <w:p w14:paraId="324B2E74">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D7862F1">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572579B">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13.5.4 如相关定额没有相应子目的，其计价方式由招标人在本招标文件第三章中另行规定。未规定的，中标后双方协商约定。</w:t>
      </w:r>
    </w:p>
    <w:p w14:paraId="157D8268">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13.6暂列金额、暂估价</w:t>
      </w:r>
    </w:p>
    <w:p w14:paraId="3F597BC3">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112EB908">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暂估价是指招标人在工程量清单中提供的用于支付必然发生但暂时不能确定价格的材料的单价以及专业工程的金额。</w:t>
      </w:r>
    </w:p>
    <w:p w14:paraId="45EEDD47">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3A4DC725">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E3A9493">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DE9660C">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64BBAA6">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5E006FAE">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3D34593D">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28A5EDF">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49D06EA">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14．投标货币</w:t>
      </w:r>
    </w:p>
    <w:p w14:paraId="2D07B127">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本工程投标报价采用的币种为人民币。</w:t>
      </w:r>
    </w:p>
    <w:p w14:paraId="3787FC3D">
      <w:pPr>
        <w:pStyle w:val="4"/>
        <w:snapToGrid w:val="0"/>
        <w:spacing w:after="0"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15．投标有效期</w:t>
      </w:r>
    </w:p>
    <w:p w14:paraId="08A604D2">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投标有效期见投标须知前附表第13项所规定的期限，在此期限内，凡符合本招标文件要求的投标文件均保持有效。</w:t>
      </w:r>
    </w:p>
    <w:p w14:paraId="5A7044FC">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0843498E">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16．投标保证金</w:t>
      </w:r>
    </w:p>
    <w:p w14:paraId="449F4FD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16.1投标人应按投标须知前附表第14项所述金额和时间递交</w:t>
      </w:r>
      <w:r>
        <w:rPr>
          <w:rFonts w:hint="eastAsia" w:ascii="宋体" w:hAnsi="宋体" w:eastAsia="宋体" w:cs="宋体"/>
          <w:bCs/>
          <w:color w:val="auto"/>
          <w:sz w:val="24"/>
          <w:szCs w:val="24"/>
          <w:highlight w:val="none"/>
        </w:rPr>
        <w:t>投标保证金</w:t>
      </w:r>
      <w:r>
        <w:rPr>
          <w:rFonts w:hint="eastAsia" w:ascii="宋体" w:hAnsi="宋体" w:eastAsia="宋体" w:cs="宋体"/>
          <w:color w:val="auto"/>
          <w:sz w:val="24"/>
          <w:szCs w:val="24"/>
          <w:highlight w:val="none"/>
        </w:rPr>
        <w:t>。招标人应当允许投标人自主选择现金、银行保函、保证保险、专业工程担保公司担保等方式缴纳投标保证金。</w:t>
      </w:r>
    </w:p>
    <w:p w14:paraId="27E3458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16.1.1 采用现金或者支票形式提交的，投标保证金须从投标人的银行基本账户转出。</w:t>
      </w:r>
    </w:p>
    <w:p w14:paraId="31D0BAE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0DDA1A1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16.1.3 采用电子形式的保函、担保或保证保险提交投标保证金的，应在招标文件中明确电子递交途径。</w:t>
      </w:r>
    </w:p>
    <w:p w14:paraId="45E55FA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5056CC1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16.3投标保证金应依据法律法规的相关规定退还。</w:t>
      </w:r>
    </w:p>
    <w:p w14:paraId="49182A5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16.4如有下列情况之一的，招标人可以不予退还投标保证金（是否退还投标保证金由招标人在招标文件中规定）：</w:t>
      </w:r>
    </w:p>
    <w:p w14:paraId="75E08D4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16.4.1因投标人原因造成投标文件未解密的；</w:t>
      </w:r>
    </w:p>
    <w:p w14:paraId="79A131E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16.4.2投标人在投标有效期内撤销投标文件；</w:t>
      </w:r>
    </w:p>
    <w:p w14:paraId="11A3CCA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16.4.3中标人未能在规定期限内按要求提交履约担保；</w:t>
      </w:r>
    </w:p>
    <w:p w14:paraId="3BD760F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16.4.4中标人未能在规定期限内签署合同协议。</w:t>
      </w:r>
    </w:p>
    <w:p w14:paraId="27C5198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16.5投标人如存在下列情况之一的，将被拒绝在一定时期内参与招标人后续工程投标（拒绝时限需在招标文件中明确）：</w:t>
      </w:r>
    </w:p>
    <w:p w14:paraId="66F115D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16.5.1投标人存在16.4条款所列情形且投标人提交的保函、担保或保证保险无法兑付的；</w:t>
      </w:r>
    </w:p>
    <w:p w14:paraId="03009E4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16.5.2采用非电子形式提交投标保证金的投标人存在16.4条款所列情形，且未按招标人要求补交银行保函、专业工程担保公司担保或保证保险原件的；</w:t>
      </w:r>
    </w:p>
    <w:p w14:paraId="1B04EED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16.5.3按招标文件要求免于提供投标保证金的投标人存在16.4条款所列情形，且未按招标人要求补交投标保证金的；</w:t>
      </w:r>
    </w:p>
    <w:p w14:paraId="27C937E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16.5.3按招标文件要求免于提供投标保证金的投标人存在16.4条款所列情形的。</w:t>
      </w:r>
    </w:p>
    <w:p w14:paraId="7A2EAEA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注：16.5.3款由招标人二选一，需在招标文件中明确。</w:t>
      </w:r>
    </w:p>
    <w:p w14:paraId="5D102F2C">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17．投标文件的签署</w:t>
      </w:r>
    </w:p>
    <w:p w14:paraId="4F2F2F7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1283C67">
      <w:pPr>
        <w:pStyle w:val="7"/>
        <w:snapToGrid w:val="0"/>
        <w:spacing w:before="0" w:beforeAutospacing="0" w:after="0" w:afterAutospacing="0" w:line="440" w:lineRule="exact"/>
        <w:rPr>
          <w:rFonts w:hint="eastAsia" w:ascii="宋体" w:hAnsi="宋体" w:eastAsia="宋体" w:cs="宋体"/>
          <w:color w:val="auto"/>
          <w:sz w:val="24"/>
          <w:szCs w:val="24"/>
          <w:highlight w:val="none"/>
        </w:rPr>
      </w:pPr>
      <w:bookmarkStart w:id="15" w:name="_Toc9535"/>
      <w:bookmarkStart w:id="16" w:name="_Toc21525496"/>
      <w:bookmarkStart w:id="17" w:name="_Toc2272552"/>
      <w:r>
        <w:rPr>
          <w:rFonts w:hint="eastAsia" w:ascii="宋体" w:hAnsi="宋体" w:eastAsia="宋体" w:cs="宋体"/>
          <w:color w:val="auto"/>
          <w:sz w:val="24"/>
          <w:szCs w:val="24"/>
          <w:highlight w:val="none"/>
        </w:rPr>
        <w:t>（四）投标文件的提交</w:t>
      </w:r>
      <w:bookmarkEnd w:id="15"/>
      <w:bookmarkEnd w:id="16"/>
      <w:bookmarkEnd w:id="17"/>
    </w:p>
    <w:p w14:paraId="23CDEE95">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18．</w:t>
      </w:r>
      <w:r>
        <w:rPr>
          <w:rFonts w:hint="eastAsia" w:ascii="宋体" w:hAnsi="宋体" w:eastAsia="宋体" w:cs="宋体"/>
          <w:b/>
          <w:color w:val="auto"/>
          <w:sz w:val="24"/>
          <w:szCs w:val="24"/>
          <w:highlight w:val="none"/>
        </w:rPr>
        <w:t>投标文件的密封和标记</w:t>
      </w:r>
    </w:p>
    <w:p w14:paraId="6D384092">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18.1递交的电子投标文件（不含备用光盘）必须进行加密。按照交易平台关于</w:t>
      </w:r>
      <w:r>
        <w:rPr>
          <w:rFonts w:hint="eastAsia" w:ascii="宋体" w:hAnsi="宋体" w:eastAsia="宋体" w:cs="宋体"/>
          <w:color w:val="auto"/>
          <w:sz w:val="24"/>
          <w:szCs w:val="24"/>
          <w:highlight w:val="none"/>
        </w:rPr>
        <w:t>全流程电子化项目的相关指南进行操作。详见：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D56EC28">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18.2 未按要求加密的投标文件，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w:t>
      </w:r>
      <w:r>
        <w:rPr>
          <w:rFonts w:hint="eastAsia" w:ascii="宋体" w:hAnsi="宋体" w:eastAsia="宋体" w:cs="宋体"/>
          <w:bCs/>
          <w:color w:val="auto"/>
          <w:sz w:val="24"/>
          <w:szCs w:val="24"/>
          <w:highlight w:val="none"/>
        </w:rPr>
        <w:t>将予以拒收。</w:t>
      </w:r>
    </w:p>
    <w:p w14:paraId="2196D475">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19．投标文件的递交和接收</w:t>
      </w:r>
    </w:p>
    <w:p w14:paraId="2515AA88">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19.1投标人通过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交易平台递交电子投标文件。</w:t>
      </w:r>
    </w:p>
    <w:p w14:paraId="6A4067F9">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19.2投标人完成电子</w:t>
      </w:r>
      <w:r>
        <w:rPr>
          <w:rFonts w:hint="eastAsia" w:ascii="宋体" w:hAnsi="宋体" w:eastAsia="宋体" w:cs="宋体"/>
          <w:color w:val="auto"/>
          <w:sz w:val="24"/>
          <w:szCs w:val="24"/>
          <w:highlight w:val="none"/>
        </w:rPr>
        <w:t>投标文件</w:t>
      </w:r>
      <w:r>
        <w:rPr>
          <w:rFonts w:hint="eastAsia" w:ascii="宋体" w:hAnsi="宋体" w:eastAsia="宋体" w:cs="宋体"/>
          <w:bCs/>
          <w:color w:val="auto"/>
          <w:sz w:val="24"/>
          <w:szCs w:val="24"/>
          <w:highlight w:val="none"/>
        </w:rPr>
        <w:t>上传后，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交易平台即时向投标人发出递交回执通知。递交时间以递交回执通知载明的传输完成时间为准。</w:t>
      </w:r>
    </w:p>
    <w:p w14:paraId="0B43B30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19.3逾期送达的电子投标文件，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1E3DD07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19.4 投标截止前，招标人拒绝接收符合条件的投标文件，投标人可向招标投标监督机构投诉。</w:t>
      </w:r>
    </w:p>
    <w:p w14:paraId="34C187F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19.5如技术标和经济标先后分别开启，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交易平台将按招标文件规定的时间分别开启技术标和经济标。</w:t>
      </w:r>
    </w:p>
    <w:p w14:paraId="660BC679">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20．投标文件提交的截止时间</w:t>
      </w:r>
    </w:p>
    <w:p w14:paraId="0F85C2BF">
      <w:pPr>
        <w:snapToGrid w:val="0"/>
        <w:spacing w:line="440" w:lineRule="exact"/>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20.1投标人应在投标须知前附表第17项所述的时间前提交投标文件。</w:t>
      </w:r>
    </w:p>
    <w:p w14:paraId="2265C87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068DAF23">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20.3 到投标截止时间止，招标人收到的投标文件少于3家的，招标人将重新组织招标（当N个标段同时招标且不允许兼中时，若有效投标人不足N+2家，则重新组织招标）。</w:t>
      </w:r>
    </w:p>
    <w:p w14:paraId="210F7E4E">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21．迟交的投标文件</w:t>
      </w:r>
    </w:p>
    <w:p w14:paraId="0270A35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 本须知前附表第17项规定的投标截止时间</w:t>
      </w:r>
      <w:r>
        <w:rPr>
          <w:rFonts w:hint="eastAsia" w:ascii="宋体" w:hAnsi="宋体" w:eastAsia="宋体" w:cs="宋体"/>
          <w:bCs/>
          <w:color w:val="auto"/>
          <w:sz w:val="24"/>
          <w:szCs w:val="24"/>
          <w:highlight w:val="none"/>
        </w:rPr>
        <w:t>后送达的电子投标文件，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交易平台将予以拒收。</w:t>
      </w:r>
    </w:p>
    <w:p w14:paraId="57416D3B">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22．投标文件的修改与撤回</w:t>
      </w:r>
    </w:p>
    <w:p w14:paraId="509E254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22.1在规定的投标截止时间前，投标人可以修改或撤回已递交的投标文件，但应以书面形式通知招标人。</w:t>
      </w:r>
    </w:p>
    <w:p w14:paraId="7C4A221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22.2投标人修改或撤回已递交的投标文件，需在交易平台发出修改或撤回通知，并按要求加盖电子印章。</w:t>
      </w:r>
      <w:r>
        <w:rPr>
          <w:rFonts w:hint="eastAsia" w:ascii="宋体" w:hAnsi="宋体" w:eastAsia="宋体" w:cs="宋体"/>
          <w:bCs/>
          <w:iCs/>
          <w:color w:val="auto"/>
          <w:sz w:val="24"/>
          <w:szCs w:val="24"/>
          <w:highlight w:val="none"/>
        </w:rPr>
        <w:t>电子招标投标交易平台收到通知后，</w:t>
      </w:r>
      <w:r>
        <w:rPr>
          <w:rFonts w:hint="eastAsia" w:ascii="宋体" w:hAnsi="宋体" w:eastAsia="宋体" w:cs="宋体"/>
          <w:color w:val="auto"/>
          <w:sz w:val="24"/>
          <w:szCs w:val="24"/>
          <w:highlight w:val="none"/>
        </w:rPr>
        <w:t>即时向投标人发出确认回执通知。</w:t>
      </w:r>
    </w:p>
    <w:p w14:paraId="4DE73DC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22.3修改后再次递交的，按19点的规定执行。</w:t>
      </w:r>
    </w:p>
    <w:p w14:paraId="214C612C">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22.4 在投标截止时间之后，投标人不得补充、修改和更换投标文件。</w:t>
      </w:r>
    </w:p>
    <w:p w14:paraId="3C3871D8">
      <w:pPr>
        <w:pStyle w:val="7"/>
        <w:snapToGrid w:val="0"/>
        <w:spacing w:before="0" w:beforeAutospacing="0" w:after="0" w:afterAutospacing="0" w:line="440" w:lineRule="exact"/>
        <w:rPr>
          <w:rFonts w:hint="eastAsia" w:ascii="宋体" w:hAnsi="宋体" w:eastAsia="宋体" w:cs="宋体"/>
          <w:color w:val="auto"/>
          <w:sz w:val="24"/>
          <w:szCs w:val="24"/>
          <w:highlight w:val="none"/>
        </w:rPr>
      </w:pPr>
      <w:bookmarkStart w:id="18" w:name="_Toc21525497"/>
      <w:bookmarkStart w:id="19" w:name="_Toc2272553"/>
      <w:bookmarkStart w:id="20" w:name="_Toc20628"/>
      <w:r>
        <w:rPr>
          <w:rFonts w:hint="eastAsia" w:ascii="宋体" w:hAnsi="宋体" w:eastAsia="宋体" w:cs="宋体"/>
          <w:color w:val="auto"/>
          <w:sz w:val="24"/>
          <w:szCs w:val="24"/>
          <w:highlight w:val="none"/>
        </w:rPr>
        <w:t>（五）开标、评标、定标及合同签定</w:t>
      </w:r>
      <w:bookmarkEnd w:id="18"/>
      <w:bookmarkEnd w:id="19"/>
      <w:bookmarkEnd w:id="20"/>
    </w:p>
    <w:p w14:paraId="17060E00">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23、开标。</w:t>
      </w:r>
    </w:p>
    <w:p w14:paraId="06F1B9B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详见第二章开标、评标及定标办法</w:t>
      </w:r>
    </w:p>
    <w:p w14:paraId="5C779B28">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24．评标过程的保密</w:t>
      </w:r>
    </w:p>
    <w:p w14:paraId="7D7C7B9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24.1 开标后，直至中标公示为止，凡属于对投标文件的审查、澄清、评价和比较有关的资料以及中标候选人的推荐情况，与评标有关的其他任何情况均严格保密。</w:t>
      </w:r>
    </w:p>
    <w:p w14:paraId="6F40585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24.2 在投标文件的评审和比较、中标候选人推荐以及授予合同的过程中，投标人向招标人和评标委员会施加不公正影响的任何行为，都将会导致其投标被拒绝。</w:t>
      </w:r>
    </w:p>
    <w:p w14:paraId="3500FA6C">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25．投标文件的澄清，计算错误的修正</w:t>
      </w:r>
    </w:p>
    <w:p w14:paraId="294469E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14:paraId="526CE105">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26．投标文件的评审、比较和否决</w:t>
      </w:r>
    </w:p>
    <w:p w14:paraId="7585A780">
      <w:pP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详见招标文件第二章开标、评标及定标办法。</w:t>
      </w:r>
    </w:p>
    <w:p w14:paraId="19DA84AD">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27．中标通知书</w:t>
      </w:r>
    </w:p>
    <w:p w14:paraId="146E7977">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27.1招标人将在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2DFF863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27.2招标人应当自确定中标人后，向招标投标监管机构提交招标投标情况的书面报告；经招投标监管机构备案后，方可发出中标通知书。</w:t>
      </w:r>
    </w:p>
    <w:p w14:paraId="55DB79BB">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27.3中标人必须在收到中标通知书后24小时之内以书面形式回复招标人，确认收到。</w:t>
      </w:r>
    </w:p>
    <w:p w14:paraId="4813F43E">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27.4在产生中标候选人后，招标人将中标候选人的投标文件商务部分文件的所有内容（包括人员、业绩、奖项等资料）在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交易平台和广东省招标投标监管网公开。</w:t>
      </w:r>
    </w:p>
    <w:p w14:paraId="0FBFD1DA">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28．合同协议书的签订</w:t>
      </w:r>
    </w:p>
    <w:p w14:paraId="4F35A9F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28.1 招标人与中标人将于中标通知书发出之日起30日内，按照招标文件和中标人的投标文件商定和签订合同，招标人和中标人不得再行订立背离合同实质性内容的其他协议。</w:t>
      </w:r>
    </w:p>
    <w:p w14:paraId="2C7458C5">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A5BFE76">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28.3非经招标人同意，中标人在投标过程中使用的银行名称及帐号至完成竣工结算不得变更，否则招标人有权停止工程款项的拔付及至解除合同，由此造成的一切责任由中标人承担。</w:t>
      </w:r>
    </w:p>
    <w:p w14:paraId="5FBEEA12">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28.4招标人支付工程款时，中标人应按规定开具发票。</w:t>
      </w:r>
    </w:p>
    <w:p w14:paraId="71196B09">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29．履约担保</w:t>
      </w:r>
    </w:p>
    <w:p w14:paraId="39525A24">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 在收到中标通知书后的15日内，中标人应按本须知前附表第20项的规定向招标人提交履约担保。</w:t>
      </w:r>
    </w:p>
    <w:p w14:paraId="2DA2E7FF">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E465672">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30．合同生效</w:t>
      </w:r>
    </w:p>
    <w:p w14:paraId="46236A2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30.1在合同双方全权代表在合同协议书上签字，并分别加盖双方单位的公章后，合同正式生效。</w:t>
      </w:r>
    </w:p>
    <w:p w14:paraId="17EED795">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31．其它费用</w:t>
      </w:r>
    </w:p>
    <w:p w14:paraId="5FFE3B4D">
      <w:pPr>
        <w:pStyle w:val="4"/>
        <w:snapToGrid w:val="0"/>
        <w:spacing w:after="0"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32．腐败与欺诈行为</w:t>
      </w:r>
    </w:p>
    <w:p w14:paraId="2E41A554">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在招标和合同实施期间，招标人要求投标人和承包人遵守最高的道德标准。</w:t>
      </w:r>
    </w:p>
    <w:p w14:paraId="13B02BB2">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32．1对本条款的规定，特定义如下词汇：</w:t>
      </w:r>
    </w:p>
    <w:p w14:paraId="2569FDE9">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1）、“腐败行为”是指在招标或合同执行期间，通过提供、给予、接受或索要任何有价值的东西，从而影响招标人有关人员工作的行为；</w:t>
      </w:r>
    </w:p>
    <w:p w14:paraId="2BABCBC7">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94FD378">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32．2如果投标人被认定在本招标的竞争中有腐败或欺诈行为，则会被取消投标资格。</w:t>
      </w:r>
    </w:p>
    <w:p w14:paraId="50B552D0">
      <w:pPr>
        <w:pStyle w:val="4"/>
        <w:snapToGrid w:val="0"/>
        <w:spacing w:after="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146F1D54">
      <w:pPr>
        <w:pStyle w:val="2"/>
        <w:spacing w:before="0" w:after="0"/>
        <w:jc w:val="center"/>
        <w:rPr>
          <w:rFonts w:hint="eastAsia" w:ascii="宋体" w:hAnsi="宋体" w:cs="宋体"/>
          <w:color w:val="auto"/>
          <w:highlight w:val="none"/>
        </w:rPr>
      </w:pPr>
      <w:r>
        <w:rPr>
          <w:rFonts w:hint="eastAsia" w:ascii="宋体" w:hAnsi="宋体" w:cs="宋体"/>
          <w:color w:val="auto"/>
          <w:sz w:val="24"/>
          <w:highlight w:val="none"/>
        </w:rPr>
        <w:br w:type="page"/>
      </w:r>
      <w:bookmarkStart w:id="21" w:name="_Toc27994"/>
      <w:r>
        <w:rPr>
          <w:rFonts w:hint="eastAsia" w:ascii="宋体" w:hAnsi="宋体" w:cs="宋体"/>
          <w:color w:val="auto"/>
          <w:sz w:val="32"/>
          <w:szCs w:val="32"/>
          <w:highlight w:val="none"/>
        </w:rPr>
        <w:t>第二章  开标、评标及定标办法</w:t>
      </w:r>
      <w:bookmarkEnd w:id="21"/>
    </w:p>
    <w:p w14:paraId="1F6408E4">
      <w:pPr>
        <w:pStyle w:val="6"/>
        <w:spacing w:before="0" w:after="0" w:line="416" w:lineRule="auto"/>
        <w:ind w:left="0"/>
        <w:rPr>
          <w:rFonts w:hint="eastAsia" w:ascii="宋体" w:hAnsi="宋体" w:cs="宋体"/>
          <w:color w:val="auto"/>
          <w:sz w:val="28"/>
          <w:szCs w:val="28"/>
          <w:highlight w:val="none"/>
        </w:rPr>
      </w:pPr>
      <w:bookmarkStart w:id="22" w:name="_Toc8427"/>
      <w:r>
        <w:rPr>
          <w:rFonts w:hint="eastAsia" w:ascii="宋体" w:hAnsi="宋体" w:cs="宋体"/>
          <w:color w:val="auto"/>
          <w:sz w:val="28"/>
          <w:szCs w:val="28"/>
          <w:highlight w:val="none"/>
        </w:rPr>
        <w:t>一、开标、评标及定标办法修改表</w:t>
      </w:r>
      <w:bookmarkEnd w:id="22"/>
    </w:p>
    <w:p w14:paraId="2B7F5B89">
      <w:pPr>
        <w:pStyle w:val="4"/>
        <w:snapToGrid w:val="0"/>
        <w:spacing w:after="0"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14:paraId="53C8B618">
      <w:pP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val="0"/>
          <w:color w:val="auto"/>
          <w:sz w:val="24"/>
          <w:szCs w:val="24"/>
          <w:highlight w:val="none"/>
        </w:rPr>
        <w:t>35.13</w:t>
      </w:r>
      <w:r>
        <w:rPr>
          <w:rFonts w:hint="eastAsia" w:ascii="宋体" w:hAnsi="宋体" w:eastAsia="宋体" w:cs="宋体"/>
          <w:b/>
          <w:color w:val="auto"/>
          <w:sz w:val="24"/>
          <w:szCs w:val="24"/>
          <w:highlight w:val="none"/>
        </w:rPr>
        <w:t xml:space="preserve">          修改类型：增加</w:t>
      </w:r>
    </w:p>
    <w:p w14:paraId="31D9F578">
      <w:pPr>
        <w:pBdr>
          <w:bottom w:val="single" w:color="000000" w:sz="6" w:space="1"/>
        </w:pBdr>
        <w:snapToGrid w:val="0"/>
        <w:spacing w:line="440" w:lineRule="exact"/>
        <w:ind w:firstLine="482" w:firstLineChars="200"/>
        <w:rPr>
          <w:rStyle w:val="80"/>
          <w:rFonts w:hint="eastAsia" w:ascii="宋体" w:hAnsi="宋体" w:eastAsia="宋体" w:cs="宋体"/>
          <w:color w:val="auto"/>
          <w:sz w:val="24"/>
          <w:szCs w:val="24"/>
          <w:highlight w:val="none"/>
          <w:u w:val="single"/>
        </w:rPr>
      </w:pPr>
      <w:r>
        <w:rPr>
          <w:rStyle w:val="80"/>
          <w:rFonts w:hint="eastAsia" w:ascii="宋体" w:hAnsi="宋体" w:eastAsia="宋体" w:cs="宋体"/>
          <w:b/>
          <w:color w:val="auto"/>
          <w:sz w:val="24"/>
          <w:szCs w:val="24"/>
          <w:highlight w:val="none"/>
        </w:rPr>
        <w:t>现文：</w:t>
      </w:r>
      <w:r>
        <w:rPr>
          <w:rStyle w:val="80"/>
          <w:rFonts w:hint="eastAsia" w:ascii="宋体" w:hAnsi="宋体" w:eastAsia="宋体" w:cs="宋体"/>
          <w:b/>
          <w:bCs/>
          <w:color w:val="auto"/>
          <w:sz w:val="24"/>
          <w:szCs w:val="24"/>
          <w:highlight w:val="none"/>
        </w:rPr>
        <w:t>35.13</w:t>
      </w:r>
      <w:r>
        <w:rPr>
          <w:rFonts w:hint="eastAsia" w:ascii="宋体" w:hAnsi="宋体" w:eastAsia="宋体" w:cs="宋体"/>
          <w:color w:val="auto"/>
          <w:sz w:val="24"/>
          <w:szCs w:val="24"/>
          <w:highlight w:val="none"/>
          <w:u w:val="single"/>
        </w:rPr>
        <w:t>本项目采用评定分离定标办法，其中：评标采用</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通过制</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评审，评标委员会对投标文件进行资格审查，再对通过资格审查的投标文件进行</w:t>
      </w:r>
      <w:r>
        <w:rPr>
          <w:rFonts w:hint="eastAsia" w:ascii="宋体" w:hAnsi="宋体" w:eastAsia="宋体" w:cs="宋体"/>
          <w:color w:val="auto"/>
          <w:sz w:val="24"/>
          <w:szCs w:val="24"/>
          <w:highlight w:val="none"/>
          <w:u w:val="single"/>
          <w:lang w:bidi="ar"/>
        </w:rPr>
        <w:t>技术标有效性审查和经济标有效性审查</w:t>
      </w:r>
      <w:r>
        <w:rPr>
          <w:rFonts w:hint="eastAsia" w:ascii="宋体" w:hAnsi="宋体" w:eastAsia="宋体" w:cs="宋体"/>
          <w:color w:val="auto"/>
          <w:sz w:val="24"/>
          <w:szCs w:val="24"/>
          <w:highlight w:val="none"/>
          <w:u w:val="single"/>
        </w:rPr>
        <w:t>，将通过</w:t>
      </w:r>
      <w:r>
        <w:rPr>
          <w:rFonts w:hint="eastAsia" w:ascii="宋体" w:hAnsi="宋体" w:eastAsia="宋体" w:cs="宋体"/>
          <w:color w:val="auto"/>
          <w:sz w:val="24"/>
          <w:szCs w:val="24"/>
          <w:highlight w:val="none"/>
          <w:u w:val="single"/>
          <w:lang w:bidi="ar"/>
        </w:rPr>
        <w:t>技术标有效性审查和经济标有效性审查</w:t>
      </w:r>
      <w:r>
        <w:rPr>
          <w:rFonts w:hint="eastAsia" w:ascii="宋体" w:hAnsi="宋体" w:eastAsia="宋体" w:cs="宋体"/>
          <w:color w:val="auto"/>
          <w:sz w:val="24"/>
          <w:szCs w:val="24"/>
          <w:highlight w:val="none"/>
          <w:u w:val="single"/>
        </w:rPr>
        <w:t>的合格投标人全部推荐为合格的中标候选人进入定标阶段。定标采用评分法</w:t>
      </w:r>
      <w:r>
        <w:rPr>
          <w:rStyle w:val="80"/>
          <w:rFonts w:hint="eastAsia" w:ascii="宋体" w:hAnsi="宋体" w:eastAsia="宋体" w:cs="宋体"/>
          <w:color w:val="auto"/>
          <w:sz w:val="24"/>
          <w:szCs w:val="24"/>
          <w:highlight w:val="none"/>
          <w:u w:val="single"/>
        </w:rPr>
        <w:t>。</w:t>
      </w:r>
    </w:p>
    <w:p w14:paraId="548336A8">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条款号：36.1            修改类型：修改</w:t>
      </w:r>
    </w:p>
    <w:p w14:paraId="3E3B96FA">
      <w:pP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767A498F">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 w:val="24"/>
          <w:szCs w:val="24"/>
          <w:highlight w:val="none"/>
          <w:u w:val="single"/>
        </w:rPr>
        <w:t>若投标人不参加开标会的，其投标文件在开标现场的投标人或招标人代表、招标代理机构代表及交易中心代表见证下公开开启、解密、公布，并视同该投标人认可开标结果。</w:t>
      </w:r>
    </w:p>
    <w:p w14:paraId="41DC308D">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条款号：36.3                修改类型：删除</w:t>
      </w:r>
    </w:p>
    <w:p w14:paraId="78B7ADF7">
      <w:pPr>
        <w:pBdr>
          <w:bottom w:val="single" w:color="auto" w:sz="6" w:space="1"/>
        </w:pBd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r>
        <w:rPr>
          <w:rFonts w:hint="eastAsia" w:ascii="宋体" w:hAnsi="宋体" w:eastAsia="宋体" w:cs="宋体"/>
          <w:bCs/>
          <w:color w:val="auto"/>
          <w:sz w:val="24"/>
          <w:szCs w:val="24"/>
          <w:highlight w:val="none"/>
        </w:rPr>
        <w:t>。</w:t>
      </w:r>
    </w:p>
    <w:p w14:paraId="29C8F7C8">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条款号：36.4                        修改类型：修改</w:t>
      </w:r>
    </w:p>
    <w:p w14:paraId="16F26454">
      <w:pPr>
        <w:pBdr>
          <w:bottom w:val="single" w:color="auto" w:sz="6" w:space="1"/>
        </w:pBdr>
        <w:snapToGrid w:val="0"/>
        <w:spacing w:line="440" w:lineRule="exact"/>
        <w:ind w:firstLine="484" w:firstLineChars="201"/>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14:paraId="14E0C244">
      <w:pPr>
        <w:pBdr>
          <w:bottom w:val="single" w:color="auto" w:sz="6" w:space="1"/>
        </w:pBdr>
        <w:snapToGrid w:val="0"/>
        <w:spacing w:line="440" w:lineRule="exact"/>
        <w:ind w:firstLine="484" w:firstLineChars="20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36.4若递交投标文件的投标人不足</w:t>
      </w: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家，则重新组织招标</w:t>
      </w:r>
      <w:r>
        <w:rPr>
          <w:rFonts w:hint="eastAsia" w:ascii="宋体" w:hAnsi="宋体" w:eastAsia="宋体" w:cs="宋体"/>
          <w:color w:val="auto"/>
          <w:sz w:val="24"/>
          <w:szCs w:val="24"/>
          <w:highlight w:val="none"/>
        </w:rPr>
        <w:t>。</w:t>
      </w:r>
    </w:p>
    <w:p w14:paraId="772FDC92">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条款号：36.5.1                修改类型：修改</w:t>
      </w:r>
    </w:p>
    <w:p w14:paraId="3675B3A1">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36.5.1在投标截止时间后一个小时内，投标人通过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5356EC7">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36.5.1在投标截止时间后一个小时内，投标人通过</w:t>
      </w:r>
      <w:r>
        <w:rPr>
          <w:rFonts w:hint="eastAsia" w:ascii="宋体" w:hAnsi="宋体" w:eastAsia="宋体" w:cs="宋体"/>
          <w:color w:val="auto"/>
          <w:sz w:val="24"/>
          <w:szCs w:val="24"/>
          <w:highlight w:val="none"/>
          <w:u w:val="single"/>
        </w:rPr>
        <w:t>广州交易集团有限公司（广州公共资源交易中心）</w:t>
      </w:r>
      <w:r>
        <w:rPr>
          <w:rFonts w:hint="eastAsia" w:ascii="宋体" w:hAnsi="宋体" w:eastAsia="宋体" w:cs="宋体"/>
          <w:color w:val="auto"/>
          <w:sz w:val="24"/>
          <w:szCs w:val="24"/>
          <w:highlight w:val="none"/>
        </w:rPr>
        <w:t>交易平台对已递交的电子投标文件进行解密。投标人完成解密后，再由</w:t>
      </w:r>
      <w:r>
        <w:rPr>
          <w:rFonts w:hint="eastAsia" w:ascii="宋体" w:hAnsi="宋体" w:eastAsia="宋体" w:cs="宋体"/>
          <w:color w:val="auto"/>
          <w:sz w:val="24"/>
          <w:szCs w:val="24"/>
          <w:highlight w:val="none"/>
          <w:u w:val="single"/>
        </w:rPr>
        <w:t>招标人或招标代理机构</w:t>
      </w:r>
      <w:r>
        <w:rPr>
          <w:rFonts w:hint="eastAsia" w:ascii="宋体" w:hAnsi="宋体" w:eastAsia="宋体" w:cs="宋体"/>
          <w:color w:val="auto"/>
          <w:sz w:val="24"/>
          <w:szCs w:val="24"/>
          <w:highlight w:val="none"/>
        </w:rPr>
        <w:t>进行解密。解密完成后，公布招标项目名称、投标人名称、投标保证金的递交情况、投标报价、工期及其他内容；</w:t>
      </w:r>
    </w:p>
    <w:p w14:paraId="553F7AB7">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条款号：36.5.3                 修改类型：修改</w:t>
      </w:r>
    </w:p>
    <w:p w14:paraId="1CEB7EFF">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投标人代表、招标人代表、监标人、记录人等有关人员在开标记录上签字确认；若有关人员不签字的，不影响开标程序；</w:t>
      </w:r>
    </w:p>
    <w:p w14:paraId="29D4BBE8">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投标人代表、招标人代表、监标人、记录人等有关人员在开标记录上签字确认；若有关人员不签字的，不影响开标程序；</w:t>
      </w:r>
      <w:r>
        <w:rPr>
          <w:rFonts w:hint="eastAsia" w:ascii="宋体" w:hAnsi="宋体" w:eastAsia="宋体" w:cs="宋体"/>
          <w:color w:val="auto"/>
          <w:sz w:val="24"/>
          <w:szCs w:val="24"/>
          <w:highlight w:val="none"/>
          <w:u w:val="single"/>
        </w:rPr>
        <w:t>若投标人不参加开标会的，或不签字确认的，视同该投标人认可开标结果。</w:t>
      </w:r>
    </w:p>
    <w:p w14:paraId="6AA02A38">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条款号：37.3.2          修改类型：修改</w:t>
      </w:r>
    </w:p>
    <w:p w14:paraId="6020E001">
      <w:pP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37.3.2向招标人报告评审意见，推荐合格的中标候选人。</w:t>
      </w:r>
    </w:p>
    <w:p w14:paraId="52F2297F">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37.3.2向招标人报告评审意见，推荐合格的中标候选</w:t>
      </w:r>
      <w:r>
        <w:rPr>
          <w:rFonts w:hint="eastAsia" w:ascii="宋体" w:hAnsi="宋体" w:eastAsia="宋体" w:cs="宋体"/>
          <w:color w:val="auto"/>
          <w:sz w:val="24"/>
          <w:szCs w:val="24"/>
          <w:highlight w:val="none"/>
          <w:u w:val="single"/>
        </w:rPr>
        <w:t>人【不排序，按统一社会信用代码后4位（除校验码外）大小排位</w:t>
      </w:r>
      <w:r>
        <w:rPr>
          <w:rFonts w:hint="eastAsia" w:ascii="宋体" w:hAnsi="宋体" w:eastAsia="宋体" w:cs="宋体"/>
          <w:color w:val="auto"/>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641DD686">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条款号：37.5          修改类型：修改</w:t>
      </w:r>
    </w:p>
    <w:p w14:paraId="7065D6F1">
      <w:pP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37.5评标结束后，评标委员会递交评标报告并依法推荐中标候选人。</w:t>
      </w:r>
    </w:p>
    <w:p w14:paraId="509A9408">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37.5评标结束后，评标委员会递交</w:t>
      </w:r>
      <w:r>
        <w:rPr>
          <w:rFonts w:hint="eastAsia" w:ascii="宋体" w:hAnsi="宋体" w:eastAsia="宋体" w:cs="宋体"/>
          <w:color w:val="auto"/>
          <w:sz w:val="24"/>
          <w:szCs w:val="24"/>
          <w:highlight w:val="none"/>
          <w:u w:val="single"/>
        </w:rPr>
        <w:t>资格审查报告和</w:t>
      </w:r>
      <w:r>
        <w:rPr>
          <w:rFonts w:hint="eastAsia" w:ascii="宋体" w:hAnsi="宋体" w:eastAsia="宋体" w:cs="宋体"/>
          <w:color w:val="auto"/>
          <w:sz w:val="24"/>
          <w:szCs w:val="24"/>
          <w:highlight w:val="none"/>
        </w:rPr>
        <w:t>评标报告并依法推荐</w:t>
      </w:r>
      <w:r>
        <w:rPr>
          <w:rFonts w:hint="eastAsia" w:ascii="宋体" w:hAnsi="宋体" w:eastAsia="宋体" w:cs="宋体"/>
          <w:color w:val="auto"/>
          <w:sz w:val="24"/>
          <w:szCs w:val="24"/>
          <w:highlight w:val="none"/>
          <w:u w:val="single"/>
        </w:rPr>
        <w:t>合格的中标候选人【不排序，按统一社会信用代码后4位（除校验码外）大小排位</w:t>
      </w:r>
      <w:r>
        <w:rPr>
          <w:rFonts w:hint="eastAsia" w:ascii="宋体" w:hAnsi="宋体" w:eastAsia="宋体" w:cs="宋体"/>
          <w:color w:val="auto"/>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3C7FDDF5">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条款号：38.1            修改类型：修改</w:t>
      </w:r>
    </w:p>
    <w:p w14:paraId="0851F4B1">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3AC1FA8">
      <w:pPr>
        <w:pBdr>
          <w:bottom w:val="single" w:color="auto" w:sz="4" w:space="0"/>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w:t>
      </w:r>
      <w:r>
        <w:rPr>
          <w:rFonts w:hint="eastAsia" w:ascii="宋体" w:hAnsi="宋体" w:eastAsia="宋体" w:cs="宋体"/>
          <w:color w:val="auto"/>
          <w:sz w:val="24"/>
          <w:szCs w:val="24"/>
          <w:highlight w:val="none"/>
          <w:u w:val="single"/>
        </w:rPr>
        <w:t>对投标文件含义不明确、对同类问题表述不一致、有明显文字和计算错误的内容以及细微偏差的</w:t>
      </w:r>
      <w:r>
        <w:rPr>
          <w:rFonts w:hint="eastAsia" w:ascii="宋体" w:hAnsi="宋体" w:eastAsia="宋体" w:cs="宋体"/>
          <w:color w:val="auto"/>
          <w:sz w:val="24"/>
          <w:szCs w:val="24"/>
          <w:highlight w:val="none"/>
        </w:rPr>
        <w:t>内容作出澄清。</w:t>
      </w:r>
    </w:p>
    <w:p w14:paraId="1509DCA3">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条款号：38.3                          修改类型：修改</w:t>
      </w:r>
    </w:p>
    <w:p w14:paraId="61C266F4">
      <w:pPr>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14:paraId="49937CC5">
      <w:pPr>
        <w:pBdr>
          <w:bottom w:val="single" w:color="auto" w:sz="6" w:space="1"/>
        </w:pBdr>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 xml:space="preserve">38.3 </w:t>
      </w:r>
      <w:r>
        <w:rPr>
          <w:rFonts w:hint="eastAsia" w:ascii="宋体" w:hAnsi="宋体" w:eastAsia="宋体" w:cs="宋体"/>
          <w:color w:val="auto"/>
          <w:sz w:val="24"/>
          <w:szCs w:val="24"/>
          <w:highlight w:val="none"/>
          <w:u w:val="single"/>
        </w:rPr>
        <w:t>评标委员会均应当阅读投标人的澄清</w:t>
      </w:r>
      <w:r>
        <w:rPr>
          <w:rFonts w:hint="eastAsia" w:ascii="宋体" w:hAnsi="宋体" w:eastAsia="宋体" w:cs="宋体"/>
          <w:color w:val="auto"/>
          <w:sz w:val="24"/>
          <w:szCs w:val="24"/>
          <w:highlight w:val="none"/>
        </w:rPr>
        <w:t>，但应独立参考澄清对投标文件进行评审。</w:t>
      </w:r>
    </w:p>
    <w:p w14:paraId="7C5EDD15">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条款号：38.5            修改类型：修改</w:t>
      </w:r>
    </w:p>
    <w:p w14:paraId="41A3EEE7">
      <w:pP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1522D104">
      <w:pPr>
        <w:pBdr>
          <w:bottom w:val="single" w:color="auto" w:sz="4" w:space="1"/>
        </w:pBdr>
        <w:tabs>
          <w:tab w:val="left" w:pos="4410"/>
        </w:tabs>
        <w:snapToGrid w:val="0"/>
        <w:spacing w:line="440" w:lineRule="exact"/>
        <w:ind w:firstLine="482" w:firstLineChars="20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38.5投标人如在本项目中存在串通投标、弄虚作假、行贿情形且在评标</w:t>
      </w:r>
      <w:r>
        <w:rPr>
          <w:rFonts w:hint="eastAsia" w:ascii="宋体" w:hAnsi="宋体" w:eastAsia="宋体" w:cs="宋体"/>
          <w:color w:val="auto"/>
          <w:sz w:val="24"/>
          <w:szCs w:val="24"/>
          <w:highlight w:val="none"/>
          <w:u w:val="single"/>
        </w:rPr>
        <w:t>或定标</w:t>
      </w:r>
      <w:r>
        <w:rPr>
          <w:rFonts w:hint="eastAsia" w:ascii="宋体" w:hAnsi="宋体" w:eastAsia="宋体" w:cs="宋体"/>
          <w:color w:val="auto"/>
          <w:sz w:val="24"/>
          <w:szCs w:val="24"/>
          <w:highlight w:val="none"/>
        </w:rPr>
        <w:t>过程中未被发现的，该投标不改变本项目评标结果排序，</w:t>
      </w:r>
      <w:r>
        <w:rPr>
          <w:rFonts w:hint="eastAsia" w:ascii="宋体" w:hAnsi="宋体" w:eastAsia="宋体" w:cs="宋体"/>
          <w:color w:val="auto"/>
          <w:sz w:val="24"/>
          <w:szCs w:val="24"/>
          <w:highlight w:val="none"/>
          <w:u w:val="single"/>
        </w:rPr>
        <w:t>若在定标过程中被确定为中标人，其中标无效，招标人可从其他合格的中标候选人中采用原定标办法，由原定标委员会重新确定中标人，也可以重新招标</w:t>
      </w:r>
      <w:r>
        <w:rPr>
          <w:rFonts w:hint="eastAsia" w:ascii="宋体" w:hAnsi="宋体" w:eastAsia="宋体" w:cs="宋体"/>
          <w:color w:val="auto"/>
          <w:sz w:val="24"/>
          <w:szCs w:val="24"/>
          <w:highlight w:val="none"/>
        </w:rPr>
        <w:t>。</w:t>
      </w:r>
    </w:p>
    <w:p w14:paraId="186B7AD3">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条款号：39                                修改类型：修改</w:t>
      </w:r>
    </w:p>
    <w:p w14:paraId="2329F434">
      <w:pPr>
        <w:snapToGrid w:val="0"/>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原文：39．定标</w:t>
      </w:r>
    </w:p>
    <w:p w14:paraId="5957D658">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39.1招标人根据评标委员会递交的评标报告，最终审定中标人。</w:t>
      </w:r>
    </w:p>
    <w:p w14:paraId="5095F940">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39.2依法必须进行公开招标的项目，招标人应当确定排名第一的中标候选人为中标人。</w:t>
      </w:r>
    </w:p>
    <w:p w14:paraId="09A99621">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292B9559">
      <w:pPr>
        <w:snapToGrid w:val="0"/>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FC40354">
      <w:pPr>
        <w:pBdr>
          <w:bottom w:val="single" w:color="auto" w:sz="6" w:space="1"/>
        </w:pBdr>
        <w:snapToGrid w:val="0"/>
        <w:spacing w:line="440" w:lineRule="exact"/>
        <w:ind w:firstLine="537" w:firstLineChars="22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39.5重新评标的，评标信息（含业绩、奖项等）仍以投标截止时投标人的信息为准。因特殊原因需要延长投标有效期，投标人拒绝延长投标有效期的，仍参与评标，但不被推荐为中标候选人。</w:t>
      </w:r>
    </w:p>
    <w:p w14:paraId="68DA34E3">
      <w:pPr>
        <w:pBdr>
          <w:bottom w:val="single" w:color="auto" w:sz="6" w:space="1"/>
        </w:pBdr>
        <w:snapToGrid w:val="0"/>
        <w:spacing w:line="440" w:lineRule="exact"/>
        <w:ind w:firstLine="540" w:firstLineChars="224"/>
        <w:jc w:val="left"/>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现文：</w:t>
      </w:r>
      <w:r>
        <w:rPr>
          <w:rFonts w:hint="eastAsia" w:ascii="宋体" w:hAnsi="宋体" w:eastAsia="宋体" w:cs="宋体"/>
          <w:color w:val="auto"/>
          <w:sz w:val="24"/>
          <w:szCs w:val="24"/>
          <w:highlight w:val="none"/>
        </w:rPr>
        <w:t>39.</w:t>
      </w:r>
      <w:r>
        <w:rPr>
          <w:rFonts w:hint="eastAsia" w:ascii="宋体" w:hAnsi="宋体" w:eastAsia="宋体" w:cs="宋体"/>
          <w:color w:val="auto"/>
          <w:sz w:val="24"/>
          <w:szCs w:val="24"/>
          <w:highlight w:val="none"/>
          <w:u w:val="single"/>
        </w:rPr>
        <w:t>定标详细规定条款详见本章第50条内容</w:t>
      </w:r>
      <w:r>
        <w:rPr>
          <w:rFonts w:hint="eastAsia" w:ascii="宋体" w:hAnsi="宋体" w:eastAsia="宋体" w:cs="宋体"/>
          <w:bCs/>
          <w:color w:val="auto"/>
          <w:sz w:val="24"/>
          <w:szCs w:val="24"/>
          <w:highlight w:val="none"/>
          <w:u w:val="single"/>
        </w:rPr>
        <w:t>。</w:t>
      </w:r>
    </w:p>
    <w:p w14:paraId="3C9CDF80">
      <w:pPr>
        <w:snapToGrid w:val="0"/>
        <w:spacing w:line="440" w:lineRule="exact"/>
        <w:ind w:firstLine="482" w:firstLineChars="200"/>
        <w:jc w:val="left"/>
        <w:outlineLvl w:val="9"/>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条款号：（二）开标评标办法程序和细则 注     修改类型：</w:t>
      </w:r>
      <w:r>
        <w:rPr>
          <w:rFonts w:hint="eastAsia" w:ascii="宋体" w:hAnsi="宋体" w:eastAsia="宋体" w:cs="宋体"/>
          <w:b/>
          <w:color w:val="auto"/>
          <w:sz w:val="24"/>
          <w:szCs w:val="24"/>
          <w:highlight w:val="none"/>
          <w:lang w:val="en-US" w:eastAsia="zh-CN"/>
        </w:rPr>
        <w:t>删除</w:t>
      </w:r>
    </w:p>
    <w:p w14:paraId="705E0CCF">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注：以下八种评标办法所述企业综合诚信评价分数即投标截止当日广州市住房和城乡建设局网站上公布的企业综合诚信评价60日诚信分。</w:t>
      </w:r>
    </w:p>
    <w:p w14:paraId="3DEEDD83">
      <w:pPr>
        <w:pBdr>
          <w:bottom w:val="single" w:color="auto" w:sz="6" w:space="1"/>
        </w:pBdr>
        <w:snapToGrid w:val="0"/>
        <w:spacing w:line="440" w:lineRule="exact"/>
        <w:jc w:val="left"/>
        <w:rPr>
          <w:rFonts w:hint="eastAsia" w:ascii="宋体" w:hAnsi="宋体" w:eastAsia="宋体" w:cs="宋体"/>
          <w:color w:val="auto"/>
          <w:sz w:val="24"/>
          <w:szCs w:val="24"/>
          <w:highlight w:val="none"/>
          <w:u w:val="single"/>
        </w:rPr>
      </w:pPr>
    </w:p>
    <w:p w14:paraId="5D30AAE7">
      <w:pPr>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 评标办法        修改类型：删除</w:t>
      </w:r>
    </w:p>
    <w:p w14:paraId="45C02757">
      <w:pPr>
        <w:pBdr>
          <w:bottom w:val="single" w:color="auto" w:sz="6" w:space="1"/>
        </w:pBdr>
        <w:snapToGrid w:val="0"/>
        <w:spacing w:line="440" w:lineRule="exact"/>
        <w:ind w:firstLine="482" w:firstLineChars="200"/>
        <w:jc w:val="left"/>
        <w:rPr>
          <w:rStyle w:val="49"/>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Style w:val="49"/>
          <w:rFonts w:hint="eastAsia" w:ascii="宋体" w:hAnsi="宋体" w:eastAsia="宋体" w:cs="宋体"/>
          <w:color w:val="auto"/>
          <w:sz w:val="24"/>
          <w:szCs w:val="24"/>
          <w:highlight w:val="none"/>
        </w:rPr>
        <w:t>可选</w:t>
      </w:r>
      <w:r>
        <w:rPr>
          <w:rFonts w:hint="eastAsia" w:ascii="宋体" w:hAnsi="宋体" w:eastAsia="宋体" w:cs="宋体"/>
          <w:color w:val="auto"/>
          <w:sz w:val="24"/>
          <w:szCs w:val="24"/>
          <w:highlight w:val="none"/>
          <w:u w:val="single"/>
        </w:rPr>
        <w:t>办法</w:t>
      </w:r>
      <w:r>
        <w:rPr>
          <w:rStyle w:val="49"/>
          <w:rFonts w:hint="eastAsia" w:ascii="宋体" w:hAnsi="宋体" w:eastAsia="宋体" w:cs="宋体"/>
          <w:color w:val="auto"/>
          <w:sz w:val="24"/>
          <w:szCs w:val="24"/>
          <w:highlight w:val="none"/>
        </w:rPr>
        <w:t>一（适合</w:t>
      </w:r>
      <w:r>
        <w:rPr>
          <w:rStyle w:val="49"/>
          <w:rFonts w:hint="eastAsia" w:ascii="宋体" w:hAnsi="宋体" w:eastAsia="宋体" w:cs="宋体"/>
          <w:color w:val="auto"/>
          <w:kern w:val="0"/>
          <w:sz w:val="24"/>
          <w:szCs w:val="24"/>
          <w:highlight w:val="none"/>
        </w:rPr>
        <w:t>综合评分法一</w:t>
      </w:r>
      <w:r>
        <w:rPr>
          <w:rStyle w:val="49"/>
          <w:rFonts w:hint="eastAsia" w:ascii="宋体" w:hAnsi="宋体" w:eastAsia="宋体" w:cs="宋体"/>
          <w:color w:val="auto"/>
          <w:sz w:val="24"/>
          <w:szCs w:val="24"/>
          <w:highlight w:val="none"/>
        </w:rPr>
        <w:t>，技术标与经济标先后分别开启）</w:t>
      </w:r>
    </w:p>
    <w:p w14:paraId="3BF30DD6">
      <w:pPr>
        <w:pBdr>
          <w:bottom w:val="single" w:color="auto" w:sz="6" w:space="1"/>
        </w:pBdr>
        <w:snapToGrid w:val="0"/>
        <w:spacing w:line="440" w:lineRule="exact"/>
        <w:ind w:firstLine="480" w:firstLineChars="200"/>
        <w:jc w:val="left"/>
        <w:rPr>
          <w:rStyle w:val="49"/>
          <w:rFonts w:hint="eastAsia" w:ascii="宋体" w:hAnsi="宋体" w:eastAsia="宋体" w:cs="宋体"/>
          <w:color w:val="auto"/>
          <w:sz w:val="24"/>
          <w:szCs w:val="24"/>
          <w:highlight w:val="none"/>
        </w:rPr>
      </w:pPr>
      <w:r>
        <w:rPr>
          <w:rStyle w:val="49"/>
          <w:rFonts w:hint="eastAsia" w:ascii="宋体" w:hAnsi="宋体" w:eastAsia="宋体" w:cs="宋体"/>
          <w:color w:val="auto"/>
          <w:sz w:val="24"/>
          <w:szCs w:val="24"/>
          <w:highlight w:val="none"/>
        </w:rPr>
        <w:t>可选</w:t>
      </w:r>
      <w:r>
        <w:rPr>
          <w:rFonts w:hint="eastAsia" w:ascii="宋体" w:hAnsi="宋体" w:eastAsia="宋体" w:cs="宋体"/>
          <w:color w:val="auto"/>
          <w:sz w:val="24"/>
          <w:szCs w:val="24"/>
          <w:highlight w:val="none"/>
          <w:u w:val="single"/>
        </w:rPr>
        <w:t>办法</w:t>
      </w:r>
      <w:r>
        <w:rPr>
          <w:rStyle w:val="49"/>
          <w:rFonts w:hint="eastAsia" w:ascii="宋体" w:hAnsi="宋体" w:eastAsia="宋体" w:cs="宋体"/>
          <w:color w:val="auto"/>
          <w:sz w:val="24"/>
          <w:szCs w:val="24"/>
          <w:highlight w:val="none"/>
        </w:rPr>
        <w:t>二（适合综合评分法一，技术标与经济标同时开启）</w:t>
      </w:r>
    </w:p>
    <w:p w14:paraId="0D344FCE">
      <w:pPr>
        <w:pBdr>
          <w:bottom w:val="single" w:color="auto" w:sz="6" w:space="1"/>
        </w:pBdr>
        <w:snapToGrid w:val="0"/>
        <w:spacing w:line="440" w:lineRule="exact"/>
        <w:ind w:firstLine="480" w:firstLineChars="200"/>
        <w:jc w:val="left"/>
        <w:rPr>
          <w:rStyle w:val="49"/>
          <w:rFonts w:hint="eastAsia" w:ascii="宋体" w:hAnsi="宋体" w:eastAsia="宋体" w:cs="宋体"/>
          <w:color w:val="auto"/>
          <w:sz w:val="24"/>
          <w:szCs w:val="24"/>
          <w:highlight w:val="none"/>
        </w:rPr>
      </w:pPr>
      <w:r>
        <w:rPr>
          <w:rStyle w:val="49"/>
          <w:rFonts w:hint="eastAsia" w:ascii="宋体" w:hAnsi="宋体" w:eastAsia="宋体" w:cs="宋体"/>
          <w:color w:val="auto"/>
          <w:sz w:val="24"/>
          <w:szCs w:val="24"/>
          <w:highlight w:val="none"/>
        </w:rPr>
        <w:t>可选办法三（适合综合评分法二，技术标与经济标先后分别开启）</w:t>
      </w:r>
    </w:p>
    <w:p w14:paraId="26914594">
      <w:pPr>
        <w:pBdr>
          <w:bottom w:val="single" w:color="auto" w:sz="6" w:space="1"/>
        </w:pBdr>
        <w:snapToGrid w:val="0"/>
        <w:spacing w:line="440" w:lineRule="exact"/>
        <w:ind w:firstLine="480" w:firstLineChars="200"/>
        <w:jc w:val="left"/>
        <w:rPr>
          <w:rStyle w:val="49"/>
          <w:rFonts w:hint="eastAsia" w:ascii="宋体" w:hAnsi="宋体" w:eastAsia="宋体" w:cs="宋体"/>
          <w:color w:val="auto"/>
          <w:sz w:val="24"/>
          <w:szCs w:val="24"/>
          <w:highlight w:val="none"/>
        </w:rPr>
      </w:pPr>
      <w:r>
        <w:rPr>
          <w:rStyle w:val="49"/>
          <w:rFonts w:hint="eastAsia" w:ascii="宋体" w:hAnsi="宋体" w:eastAsia="宋体" w:cs="宋体"/>
          <w:color w:val="auto"/>
          <w:sz w:val="24"/>
          <w:szCs w:val="24"/>
          <w:highlight w:val="none"/>
        </w:rPr>
        <w:t>可选办法四（适合综合评分法二，技术标与经济标同时开启）</w:t>
      </w:r>
    </w:p>
    <w:p w14:paraId="08E2C41A">
      <w:pPr>
        <w:pBdr>
          <w:bottom w:val="single" w:color="auto" w:sz="6" w:space="1"/>
        </w:pBdr>
        <w:snapToGrid w:val="0"/>
        <w:spacing w:line="440" w:lineRule="exact"/>
        <w:ind w:firstLine="480" w:firstLineChars="200"/>
        <w:jc w:val="left"/>
        <w:rPr>
          <w:rStyle w:val="49"/>
          <w:rFonts w:hint="eastAsia" w:ascii="宋体" w:hAnsi="宋体" w:eastAsia="宋体" w:cs="宋体"/>
          <w:color w:val="auto"/>
          <w:sz w:val="24"/>
          <w:szCs w:val="24"/>
          <w:highlight w:val="none"/>
        </w:rPr>
      </w:pPr>
      <w:r>
        <w:rPr>
          <w:rStyle w:val="49"/>
          <w:rFonts w:hint="eastAsia" w:ascii="宋体" w:hAnsi="宋体" w:eastAsia="宋体" w:cs="宋体"/>
          <w:color w:val="auto"/>
          <w:sz w:val="24"/>
          <w:szCs w:val="24"/>
          <w:highlight w:val="none"/>
        </w:rPr>
        <w:t>可选办法五（适合综合评分法三，技术标与经济标先后分别开启）</w:t>
      </w:r>
    </w:p>
    <w:p w14:paraId="3839D3F7">
      <w:pPr>
        <w:pBdr>
          <w:bottom w:val="single" w:color="auto" w:sz="6" w:space="1"/>
        </w:pBdr>
        <w:snapToGrid w:val="0"/>
        <w:spacing w:line="440" w:lineRule="exact"/>
        <w:ind w:firstLine="480" w:firstLineChars="200"/>
        <w:jc w:val="left"/>
        <w:rPr>
          <w:rStyle w:val="49"/>
          <w:rFonts w:hint="eastAsia" w:ascii="宋体" w:hAnsi="宋体" w:eastAsia="宋体" w:cs="宋体"/>
          <w:color w:val="auto"/>
          <w:sz w:val="24"/>
          <w:szCs w:val="24"/>
          <w:highlight w:val="none"/>
        </w:rPr>
      </w:pPr>
      <w:r>
        <w:rPr>
          <w:rStyle w:val="49"/>
          <w:rFonts w:hint="eastAsia" w:ascii="宋体" w:hAnsi="宋体" w:eastAsia="宋体" w:cs="宋体"/>
          <w:color w:val="auto"/>
          <w:sz w:val="24"/>
          <w:szCs w:val="24"/>
          <w:highlight w:val="none"/>
        </w:rPr>
        <w:t>可选办法六（适合综合评分法三，技术标与经济标同时开启）</w:t>
      </w:r>
    </w:p>
    <w:p w14:paraId="75C7EC66">
      <w:pPr>
        <w:pBdr>
          <w:bottom w:val="single" w:color="auto" w:sz="6" w:space="1"/>
        </w:pBdr>
        <w:snapToGrid w:val="0"/>
        <w:spacing w:line="440" w:lineRule="exact"/>
        <w:ind w:firstLine="480" w:firstLineChars="200"/>
        <w:jc w:val="left"/>
        <w:rPr>
          <w:rFonts w:hint="eastAsia" w:ascii="宋体" w:hAnsi="宋体" w:eastAsia="宋体" w:cs="宋体"/>
          <w:b/>
          <w:color w:val="auto"/>
          <w:sz w:val="24"/>
          <w:szCs w:val="24"/>
          <w:highlight w:val="none"/>
        </w:rPr>
      </w:pPr>
      <w:r>
        <w:rPr>
          <w:rStyle w:val="49"/>
          <w:rFonts w:hint="eastAsia" w:ascii="宋体" w:hAnsi="宋体" w:eastAsia="宋体" w:cs="宋体"/>
          <w:color w:val="auto"/>
          <w:sz w:val="24"/>
          <w:szCs w:val="24"/>
          <w:highlight w:val="none"/>
        </w:rPr>
        <w:t>可选办法八（适合经评审的最低投标价法，技术标与经济标同时开启）</w:t>
      </w:r>
    </w:p>
    <w:p w14:paraId="57A52AA2">
      <w:pPr>
        <w:snapToGrid w:val="0"/>
        <w:spacing w:line="440" w:lineRule="exact"/>
        <w:ind w:firstLine="482" w:firstLineChars="200"/>
        <w:rPr>
          <w:rStyle w:val="80"/>
          <w:rFonts w:hint="eastAsia" w:ascii="宋体" w:hAnsi="宋体" w:eastAsia="宋体" w:cs="宋体"/>
          <w:b/>
          <w:color w:val="auto"/>
          <w:sz w:val="24"/>
          <w:szCs w:val="24"/>
          <w:highlight w:val="none"/>
        </w:rPr>
      </w:pPr>
      <w:r>
        <w:rPr>
          <w:rStyle w:val="80"/>
          <w:rFonts w:hint="eastAsia" w:ascii="宋体" w:hAnsi="宋体" w:eastAsia="宋体" w:cs="宋体"/>
          <w:b/>
          <w:color w:val="auto"/>
          <w:sz w:val="24"/>
          <w:szCs w:val="24"/>
          <w:highlight w:val="none"/>
        </w:rPr>
        <w:t>条款号：40          修改类型：修改</w:t>
      </w:r>
    </w:p>
    <w:p w14:paraId="5D0ECAD4">
      <w:pPr>
        <w:snapToGrid w:val="0"/>
        <w:spacing w:line="440" w:lineRule="exact"/>
        <w:ind w:firstLine="482"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b/>
          <w:color w:val="auto"/>
          <w:sz w:val="24"/>
          <w:szCs w:val="24"/>
          <w:highlight w:val="none"/>
        </w:rPr>
        <w:t>原文：</w:t>
      </w:r>
    </w:p>
    <w:p w14:paraId="6DF6DDEE">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40．开标和评标程序</w:t>
      </w:r>
    </w:p>
    <w:p w14:paraId="3349A732">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40.1技术标（含资格审查文件）与经济标投标文件同时公开开标；</w:t>
      </w:r>
    </w:p>
    <w:p w14:paraId="22B71D6E">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40.2由评标委员会对所有已公开开标的投标人进行资格审查；</w:t>
      </w:r>
    </w:p>
    <w:p w14:paraId="3408FE60">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40.3技术标投标文件有效性审查；</w:t>
      </w:r>
    </w:p>
    <w:p w14:paraId="553CA12A">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40.4技术标详细审查评分；</w:t>
      </w:r>
    </w:p>
    <w:p w14:paraId="2B6EDA3D">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40.5经济标详细审查评分；</w:t>
      </w:r>
    </w:p>
    <w:p w14:paraId="15D895AE">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40.6评标委员会按照投标人总得分由高至低排序；</w:t>
      </w:r>
    </w:p>
    <w:p w14:paraId="144F2676">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40.7经济标投标文件有效性审查；</w:t>
      </w:r>
    </w:p>
    <w:p w14:paraId="32B77534">
      <w:pPr>
        <w:snapToGrid w:val="0"/>
        <w:spacing w:line="440" w:lineRule="exact"/>
        <w:ind w:firstLine="480" w:firstLineChars="200"/>
        <w:rPr>
          <w:rStyle w:val="80"/>
          <w:rFonts w:hint="eastAsia" w:ascii="宋体" w:hAnsi="宋体" w:eastAsia="宋体" w:cs="宋体"/>
          <w:color w:val="auto"/>
          <w:sz w:val="24"/>
          <w:szCs w:val="24"/>
          <w:highlight w:val="none"/>
        </w:rPr>
      </w:pPr>
      <w:r>
        <w:rPr>
          <w:rStyle w:val="80"/>
          <w:rFonts w:hint="eastAsia" w:ascii="宋体" w:hAnsi="宋体" w:eastAsia="宋体" w:cs="宋体"/>
          <w:color w:val="auto"/>
          <w:sz w:val="24"/>
          <w:szCs w:val="24"/>
          <w:highlight w:val="none"/>
        </w:rPr>
        <w:t>40.8评标委员会按排序向招标人推荐中标候选人名单，并递交资格审查报告及评标报告。</w:t>
      </w:r>
    </w:p>
    <w:p w14:paraId="297C0E5F">
      <w:pPr>
        <w:pBdr>
          <w:bottom w:val="single" w:color="000000" w:sz="6" w:space="1"/>
        </w:pBdr>
        <w:snapToGrid w:val="0"/>
        <w:spacing w:line="440" w:lineRule="exact"/>
        <w:ind w:firstLine="482" w:firstLineChars="200"/>
        <w:rPr>
          <w:rFonts w:hint="eastAsia" w:ascii="宋体" w:hAnsi="宋体" w:eastAsia="宋体" w:cs="宋体"/>
          <w:bCs/>
          <w:color w:val="auto"/>
          <w:sz w:val="24"/>
          <w:szCs w:val="24"/>
          <w:highlight w:val="none"/>
        </w:rPr>
      </w:pPr>
      <w:r>
        <w:rPr>
          <w:rStyle w:val="80"/>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40．开标和评标程序</w:t>
      </w:r>
      <w:r>
        <w:rPr>
          <w:rFonts w:hint="eastAsia" w:ascii="宋体" w:hAnsi="宋体" w:eastAsia="宋体" w:cs="宋体"/>
          <w:bCs/>
          <w:color w:val="auto"/>
          <w:sz w:val="24"/>
          <w:szCs w:val="24"/>
          <w:highlight w:val="none"/>
          <w:u w:val="single"/>
        </w:rPr>
        <w:t>及定标程序</w:t>
      </w:r>
    </w:p>
    <w:p w14:paraId="19E4A489">
      <w:pPr>
        <w:pBdr>
          <w:bottom w:val="single" w:color="000000" w:sz="6" w:space="1"/>
        </w:pBd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40.1</w:t>
      </w:r>
      <w:r>
        <w:rPr>
          <w:rFonts w:hint="eastAsia" w:ascii="宋体" w:hAnsi="宋体" w:eastAsia="宋体" w:cs="宋体"/>
          <w:color w:val="auto"/>
          <w:sz w:val="24"/>
          <w:szCs w:val="24"/>
          <w:highlight w:val="none"/>
          <w:u w:val="single"/>
        </w:rPr>
        <w:t>技术标（含资格审查文件）投标文件、经济标投标文件与定标文件同时公开开标</w:t>
      </w:r>
      <w:r>
        <w:rPr>
          <w:rFonts w:hint="eastAsia" w:ascii="宋体" w:hAnsi="宋体" w:eastAsia="宋体" w:cs="宋体"/>
          <w:bCs/>
          <w:color w:val="auto"/>
          <w:sz w:val="24"/>
          <w:szCs w:val="24"/>
          <w:highlight w:val="none"/>
        </w:rPr>
        <w:t>；</w:t>
      </w:r>
    </w:p>
    <w:p w14:paraId="6D43499E">
      <w:pPr>
        <w:pBdr>
          <w:bottom w:val="single" w:color="000000" w:sz="6" w:space="1"/>
        </w:pBd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40.2由评标委员会对所有已公开开标的投标人进行资格审查</w:t>
      </w:r>
      <w:r>
        <w:rPr>
          <w:rFonts w:hint="eastAsia" w:ascii="宋体" w:hAnsi="宋体" w:eastAsia="宋体" w:cs="宋体"/>
          <w:bCs/>
          <w:color w:val="auto"/>
          <w:sz w:val="24"/>
          <w:szCs w:val="24"/>
          <w:highlight w:val="none"/>
          <w:u w:val="single"/>
        </w:rPr>
        <w:t>，</w:t>
      </w:r>
      <w:r>
        <w:rPr>
          <w:rStyle w:val="80"/>
          <w:rFonts w:hint="eastAsia" w:ascii="宋体" w:hAnsi="宋体" w:eastAsia="宋体" w:cs="宋体"/>
          <w:color w:val="auto"/>
          <w:sz w:val="24"/>
          <w:szCs w:val="24"/>
          <w:highlight w:val="none"/>
          <w:u w:val="single"/>
        </w:rPr>
        <w:t>并编写资格审查报告；</w:t>
      </w:r>
    </w:p>
    <w:p w14:paraId="5C414B5A">
      <w:pPr>
        <w:pBdr>
          <w:bottom w:val="single" w:color="000000" w:sz="6" w:space="1"/>
        </w:pBd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40.3技术标投标文件有效性审查；</w:t>
      </w:r>
    </w:p>
    <w:p w14:paraId="0D2A8E5E">
      <w:pPr>
        <w:pBdr>
          <w:bottom w:val="single" w:color="000000" w:sz="6" w:space="1"/>
        </w:pBd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40.4</w:t>
      </w:r>
      <w:r>
        <w:rPr>
          <w:rFonts w:hint="eastAsia" w:ascii="宋体" w:hAnsi="宋体" w:eastAsia="宋体" w:cs="宋体"/>
          <w:bCs/>
          <w:color w:val="auto"/>
          <w:sz w:val="24"/>
          <w:szCs w:val="24"/>
          <w:highlight w:val="none"/>
          <w:u w:val="single"/>
        </w:rPr>
        <w:t>经济标投标文件有效性审查</w:t>
      </w:r>
      <w:r>
        <w:rPr>
          <w:rFonts w:hint="eastAsia" w:ascii="宋体" w:hAnsi="宋体" w:eastAsia="宋体" w:cs="宋体"/>
          <w:bCs/>
          <w:color w:val="auto"/>
          <w:sz w:val="24"/>
          <w:szCs w:val="24"/>
          <w:highlight w:val="none"/>
        </w:rPr>
        <w:t>；</w:t>
      </w:r>
    </w:p>
    <w:p w14:paraId="534A35F4">
      <w:pPr>
        <w:pBdr>
          <w:bottom w:val="single" w:color="000000" w:sz="6" w:space="1"/>
        </w:pBdr>
        <w:snapToGrid w:val="0"/>
        <w:spacing w:line="44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40.5</w:t>
      </w:r>
      <w:r>
        <w:rPr>
          <w:rFonts w:hint="eastAsia" w:ascii="宋体" w:hAnsi="宋体" w:eastAsia="宋体" w:cs="宋体"/>
          <w:bCs/>
          <w:color w:val="auto"/>
          <w:sz w:val="24"/>
          <w:szCs w:val="24"/>
          <w:highlight w:val="none"/>
          <w:u w:val="single"/>
        </w:rPr>
        <w:t>评标委员会编写资格审查报告及评标报告，向招标人推荐合格的中标候选人【不排序，按统一社会信用代码后4位（除校验码外）大小排位</w:t>
      </w:r>
      <w:r>
        <w:rPr>
          <w:rFonts w:hint="eastAsia" w:ascii="宋体" w:hAnsi="宋体" w:eastAsia="宋体" w:cs="宋体"/>
          <w:color w:val="auto"/>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eastAsia="宋体" w:cs="宋体"/>
          <w:bCs/>
          <w:color w:val="auto"/>
          <w:sz w:val="24"/>
          <w:szCs w:val="24"/>
          <w:highlight w:val="none"/>
          <w:u w:val="single"/>
        </w:rPr>
        <w:t>】。</w:t>
      </w:r>
    </w:p>
    <w:p w14:paraId="2FCFA30B">
      <w:pPr>
        <w:pBdr>
          <w:bottom w:val="single" w:color="000000" w:sz="6" w:space="1"/>
        </w:pBdr>
        <w:snapToGrid w:val="0"/>
        <w:spacing w:line="440" w:lineRule="exact"/>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rPr>
        <w:t>40.</w:t>
      </w:r>
      <w:r>
        <w:rPr>
          <w:rFonts w:hint="eastAsia" w:ascii="宋体" w:hAnsi="宋体" w:eastAsia="宋体" w:cs="宋体"/>
          <w:color w:val="auto"/>
          <w:sz w:val="24"/>
          <w:szCs w:val="24"/>
          <w:highlight w:val="none"/>
          <w:u w:val="single"/>
          <w:lang w:val="en-US" w:eastAsia="zh-CN"/>
        </w:rPr>
        <w:t>6</w:t>
      </w:r>
      <w:r>
        <w:rPr>
          <w:rFonts w:hint="eastAsia" w:ascii="宋体" w:hAnsi="宋体" w:eastAsia="宋体" w:cs="宋体"/>
          <w:color w:val="auto"/>
          <w:sz w:val="24"/>
          <w:szCs w:val="24"/>
          <w:highlight w:val="none"/>
          <w:u w:val="single"/>
        </w:rPr>
        <w:t>定标委员会对评标委员会推荐的合格中标候选人采用“评分”</w:t>
      </w:r>
      <w:r>
        <w:rPr>
          <w:rFonts w:hint="eastAsia" w:ascii="宋体" w:hAnsi="宋体" w:eastAsia="宋体" w:cs="宋体"/>
          <w:color w:val="auto"/>
          <w:sz w:val="24"/>
          <w:szCs w:val="24"/>
          <w:highlight w:val="none"/>
          <w:u w:val="single"/>
          <w:lang w:bidi="ar"/>
        </w:rPr>
        <w:t>的定标方法进行择优评审</w:t>
      </w:r>
      <w:r>
        <w:rPr>
          <w:rFonts w:hint="eastAsia" w:ascii="宋体" w:hAnsi="宋体" w:eastAsia="宋体" w:cs="宋体"/>
          <w:color w:val="auto"/>
          <w:sz w:val="24"/>
          <w:szCs w:val="24"/>
          <w:highlight w:val="none"/>
          <w:u w:val="single"/>
        </w:rPr>
        <w:t>确定中标人。定标结束后，定标委员会向招标人递交定标报告</w:t>
      </w:r>
      <w:r>
        <w:rPr>
          <w:rFonts w:hint="eastAsia" w:ascii="宋体" w:hAnsi="宋体" w:eastAsia="宋体" w:cs="宋体"/>
          <w:color w:val="auto"/>
          <w:sz w:val="24"/>
          <w:szCs w:val="24"/>
          <w:highlight w:val="none"/>
          <w:u w:val="single"/>
          <w:lang w:eastAsia="zh-CN"/>
        </w:rPr>
        <w:t>。</w:t>
      </w:r>
    </w:p>
    <w:p w14:paraId="1B0753C5">
      <w:pPr>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 41.1         修改类型：修改</w:t>
      </w:r>
    </w:p>
    <w:p w14:paraId="654BC2C3">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41.1 开标由招标人主持；</w:t>
      </w:r>
    </w:p>
    <w:p w14:paraId="73027113">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 xml:space="preserve">41.1 </w:t>
      </w:r>
      <w:r>
        <w:rPr>
          <w:rFonts w:hint="eastAsia" w:ascii="宋体" w:hAnsi="宋体" w:eastAsia="宋体" w:cs="宋体"/>
          <w:color w:val="auto"/>
          <w:sz w:val="24"/>
          <w:szCs w:val="24"/>
          <w:highlight w:val="none"/>
          <w:u w:val="single"/>
        </w:rPr>
        <w:t>开标由招标人或招标代理主持；</w:t>
      </w:r>
    </w:p>
    <w:p w14:paraId="62FAA91C">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条款号：41.2.1             修改类型：修改</w:t>
      </w:r>
    </w:p>
    <w:p w14:paraId="1B8A6C9D">
      <w:pPr>
        <w:pBdr>
          <w:bottom w:val="single" w:color="auto" w:sz="6" w:space="1"/>
        </w:pBd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bCs/>
          <w:color w:val="auto"/>
          <w:sz w:val="24"/>
          <w:szCs w:val="24"/>
          <w:highlight w:val="none"/>
        </w:rPr>
        <w:t>41.2.1</w:t>
      </w:r>
      <w:r>
        <w:rPr>
          <w:rFonts w:hint="eastAsia" w:ascii="宋体" w:hAnsi="宋体" w:eastAsia="宋体" w:cs="宋体"/>
          <w:bCs/>
          <w:color w:val="auto"/>
          <w:sz w:val="24"/>
          <w:szCs w:val="24"/>
          <w:highlight w:val="none"/>
        </w:rPr>
        <w:t>投标截止期前，各投标人递交投标文件（包括技术标投标文件、经济标投标文件）至</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交易平台。有关投标文件提交的事项详见第一章投标须知。</w:t>
      </w:r>
    </w:p>
    <w:p w14:paraId="5AC42301">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
          <w:bCs/>
          <w:color w:val="auto"/>
          <w:sz w:val="24"/>
          <w:szCs w:val="24"/>
          <w:highlight w:val="none"/>
        </w:rPr>
        <w:t>41.2.1</w:t>
      </w:r>
      <w:r>
        <w:rPr>
          <w:rFonts w:hint="eastAsia" w:ascii="宋体" w:hAnsi="宋体" w:eastAsia="宋体" w:cs="宋体"/>
          <w:bCs/>
          <w:color w:val="auto"/>
          <w:sz w:val="24"/>
          <w:szCs w:val="24"/>
          <w:highlight w:val="none"/>
        </w:rPr>
        <w:t>投标截止期前，各投标人递交投标文件（包括技术标</w:t>
      </w:r>
      <w:r>
        <w:rPr>
          <w:rFonts w:hint="eastAsia" w:ascii="宋体" w:hAnsi="宋体" w:eastAsia="宋体" w:cs="宋体"/>
          <w:color w:val="auto"/>
          <w:sz w:val="24"/>
          <w:szCs w:val="24"/>
          <w:highlight w:val="none"/>
          <w:u w:val="single"/>
        </w:rPr>
        <w:t>（含资格审查文件）</w:t>
      </w:r>
      <w:r>
        <w:rPr>
          <w:rFonts w:hint="eastAsia" w:ascii="宋体" w:hAnsi="宋体" w:eastAsia="宋体" w:cs="宋体"/>
          <w:bCs/>
          <w:color w:val="auto"/>
          <w:sz w:val="24"/>
          <w:szCs w:val="24"/>
          <w:highlight w:val="none"/>
        </w:rPr>
        <w:t>投标文件、经济标投标文件</w:t>
      </w:r>
      <w:r>
        <w:rPr>
          <w:rFonts w:hint="eastAsia" w:ascii="宋体" w:hAnsi="宋体" w:eastAsia="宋体" w:cs="宋体"/>
          <w:color w:val="auto"/>
          <w:sz w:val="24"/>
          <w:szCs w:val="24"/>
          <w:highlight w:val="none"/>
          <w:u w:val="single"/>
        </w:rPr>
        <w:t>、定标文件</w:t>
      </w:r>
      <w:r>
        <w:rPr>
          <w:rFonts w:hint="eastAsia" w:ascii="宋体" w:hAnsi="宋体" w:eastAsia="宋体" w:cs="宋体"/>
          <w:bCs/>
          <w:color w:val="auto"/>
          <w:sz w:val="24"/>
          <w:szCs w:val="24"/>
          <w:highlight w:val="none"/>
        </w:rPr>
        <w:t>）至</w:t>
      </w:r>
      <w:r>
        <w:rPr>
          <w:rFonts w:hint="eastAsia" w:ascii="宋体" w:hAnsi="宋体" w:eastAsia="宋体" w:cs="宋体"/>
          <w:bCs/>
          <w:color w:val="auto"/>
          <w:sz w:val="24"/>
          <w:szCs w:val="24"/>
          <w:highlight w:val="none"/>
          <w:u w:val="single"/>
        </w:rPr>
        <w:t>广州交易集团有限公司（广州公共资源交易中心）</w:t>
      </w:r>
      <w:r>
        <w:rPr>
          <w:rFonts w:hint="eastAsia" w:ascii="宋体" w:hAnsi="宋体" w:eastAsia="宋体" w:cs="宋体"/>
          <w:bCs/>
          <w:color w:val="auto"/>
          <w:sz w:val="24"/>
          <w:szCs w:val="24"/>
          <w:highlight w:val="none"/>
        </w:rPr>
        <w:t>交易平台。有关投标文件提交的事项详见第一章投标须知。</w:t>
      </w:r>
    </w:p>
    <w:p w14:paraId="1D758398">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条款号：41.2.2             修改类型：</w:t>
      </w:r>
      <w:r>
        <w:rPr>
          <w:rFonts w:hint="eastAsia" w:ascii="宋体" w:hAnsi="宋体" w:eastAsia="宋体" w:cs="宋体"/>
          <w:b/>
          <w:color w:val="auto"/>
          <w:sz w:val="24"/>
          <w:szCs w:val="24"/>
          <w:highlight w:val="none"/>
          <w:lang w:val="en-US" w:eastAsia="zh-CN"/>
        </w:rPr>
        <w:t>删除</w:t>
      </w:r>
    </w:p>
    <w:p w14:paraId="5F1122D6">
      <w:pPr>
        <w:pBdr>
          <w:bottom w:val="single" w:color="auto" w:sz="6" w:space="1"/>
        </w:pBd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bCs/>
          <w:color w:val="auto"/>
          <w:sz w:val="24"/>
          <w:szCs w:val="24"/>
          <w:highlight w:val="none"/>
        </w:rPr>
        <w:t>41.2.2</w:t>
      </w:r>
      <w:r>
        <w:rPr>
          <w:rFonts w:hint="eastAsia" w:ascii="宋体" w:hAnsi="宋体" w:eastAsia="宋体" w:cs="宋体"/>
          <w:color w:val="auto"/>
          <w:sz w:val="24"/>
          <w:szCs w:val="24"/>
          <w:highlight w:val="none"/>
        </w:rPr>
        <w:t>开标前，首先由招标人随机抽取确定该工程计算评标参考价的等分点值X</w:t>
      </w:r>
      <w:r>
        <w:rPr>
          <w:rFonts w:hint="eastAsia" w:ascii="宋体" w:hAnsi="宋体" w:eastAsia="宋体" w:cs="宋体"/>
          <w:bCs/>
          <w:color w:val="auto"/>
          <w:sz w:val="24"/>
          <w:szCs w:val="24"/>
          <w:highlight w:val="none"/>
        </w:rPr>
        <w:t>。</w:t>
      </w:r>
    </w:p>
    <w:p w14:paraId="62F235EE">
      <w:pP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条款号：41.3                        修改类型：修改</w:t>
      </w:r>
    </w:p>
    <w:p w14:paraId="010BC54E">
      <w:pPr>
        <w:pBdr>
          <w:bottom w:val="single" w:color="auto" w:sz="6" w:space="1"/>
        </w:pBdr>
        <w:wordWrap w:val="0"/>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41.3</w:t>
      </w:r>
      <w:r>
        <w:rPr>
          <w:rFonts w:hint="eastAsia" w:ascii="宋体" w:hAnsi="宋体" w:eastAsia="宋体" w:cs="宋体"/>
          <w:color w:val="auto"/>
          <w:sz w:val="24"/>
          <w:szCs w:val="24"/>
          <w:highlight w:val="none"/>
        </w:rPr>
        <w:t>招标人对开标过程进行记录，并存档备查，投标人在技术标开标记录上签字。</w:t>
      </w:r>
    </w:p>
    <w:p w14:paraId="3B9CECA5">
      <w:pPr>
        <w:pBdr>
          <w:bottom w:val="single" w:color="auto" w:sz="6" w:space="1"/>
        </w:pBd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41.3</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color w:val="auto"/>
          <w:sz w:val="24"/>
          <w:szCs w:val="24"/>
          <w:highlight w:val="none"/>
        </w:rPr>
        <w:t>对开标过程进行记录，并存档备查，</w:t>
      </w:r>
      <w:r>
        <w:rPr>
          <w:rFonts w:hint="eastAsia" w:ascii="宋体" w:hAnsi="宋体" w:eastAsia="宋体" w:cs="宋体"/>
          <w:color w:val="auto"/>
          <w:sz w:val="24"/>
          <w:szCs w:val="24"/>
          <w:highlight w:val="none"/>
          <w:u w:val="single"/>
        </w:rPr>
        <w:t>参加开标会的</w:t>
      </w:r>
      <w:r>
        <w:rPr>
          <w:rFonts w:hint="eastAsia" w:ascii="宋体" w:hAnsi="宋体" w:eastAsia="宋体" w:cs="宋体"/>
          <w:color w:val="auto"/>
          <w:sz w:val="24"/>
          <w:szCs w:val="24"/>
          <w:highlight w:val="none"/>
        </w:rPr>
        <w:t>投标人在开标记录上签字。</w:t>
      </w:r>
    </w:p>
    <w:p w14:paraId="0E2F4F56">
      <w:pP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条款号：41.4                        修改类型：修改</w:t>
      </w:r>
    </w:p>
    <w:p w14:paraId="48034991">
      <w:pPr>
        <w:pBdr>
          <w:bottom w:val="single" w:color="auto" w:sz="6" w:space="1"/>
        </w:pBdr>
        <w:wordWrap w:val="0"/>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41.4招标人将上述符合要求的投标文件，送至评标委员会进行评审</w:t>
      </w:r>
      <w:r>
        <w:rPr>
          <w:rFonts w:hint="eastAsia" w:ascii="宋体" w:hAnsi="宋体" w:eastAsia="宋体" w:cs="宋体"/>
          <w:color w:val="auto"/>
          <w:sz w:val="24"/>
          <w:szCs w:val="24"/>
          <w:highlight w:val="none"/>
        </w:rPr>
        <w:t>。</w:t>
      </w:r>
    </w:p>
    <w:p w14:paraId="412A29C6">
      <w:pPr>
        <w:pBdr>
          <w:bottom w:val="single" w:color="auto" w:sz="6" w:space="1"/>
        </w:pBd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41.4</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u w:val="single"/>
        </w:rPr>
        <w:t>或招标代理机构</w:t>
      </w:r>
      <w:r>
        <w:rPr>
          <w:rFonts w:hint="eastAsia" w:ascii="宋体" w:hAnsi="宋体" w:eastAsia="宋体" w:cs="宋体"/>
          <w:bCs/>
          <w:color w:val="auto"/>
          <w:sz w:val="24"/>
          <w:szCs w:val="24"/>
          <w:highlight w:val="none"/>
        </w:rPr>
        <w:t>将上述符合要求的投标文件，送至评标委员会进行评审</w:t>
      </w:r>
      <w:r>
        <w:rPr>
          <w:rFonts w:hint="eastAsia" w:ascii="宋体" w:hAnsi="宋体" w:eastAsia="宋体" w:cs="宋体"/>
          <w:color w:val="auto"/>
          <w:sz w:val="24"/>
          <w:szCs w:val="24"/>
          <w:highlight w:val="none"/>
        </w:rPr>
        <w:t>。</w:t>
      </w:r>
    </w:p>
    <w:p w14:paraId="0E0B93A2">
      <w:pPr>
        <w:wordWrap w:val="0"/>
        <w:adjustRightInd w:val="0"/>
        <w:snapToGrid w:val="0"/>
        <w:spacing w:line="440" w:lineRule="exact"/>
        <w:ind w:firstLine="482" w:firstLineChars="200"/>
        <w:jc w:val="left"/>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条款号：42.2                    修改类型：修改</w:t>
      </w:r>
    </w:p>
    <w:p w14:paraId="74525284">
      <w:pPr>
        <w:pStyle w:val="4"/>
        <w:tabs>
          <w:tab w:val="left" w:pos="7380"/>
        </w:tabs>
        <w:snapToGrid w:val="0"/>
        <w:spacing w:after="0"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42.2评标委员会的组成：方式。</w:t>
      </w:r>
    </w:p>
    <w:p w14:paraId="08D5EDBA">
      <w:pPr>
        <w:pStyle w:val="4"/>
        <w:tabs>
          <w:tab w:val="left" w:pos="7380"/>
        </w:tabs>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14:paraId="1DA06E76">
      <w:pPr>
        <w:pStyle w:val="4"/>
        <w:tabs>
          <w:tab w:val="left" w:pos="7380"/>
        </w:tabs>
        <w:snapToGrid w:val="0"/>
        <w:spacing w:after="0"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14:paraId="5643C184">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一 </w:t>
      </w:r>
      <w:r>
        <w:rPr>
          <w:rFonts w:hint="eastAsia" w:ascii="宋体" w:hAnsi="宋体" w:eastAsia="宋体" w:cs="宋体"/>
          <w:color w:val="auto"/>
          <w:sz w:val="24"/>
          <w:szCs w:val="24"/>
          <w:highlight w:val="none"/>
        </w:rPr>
        <w:t>。</w:t>
      </w:r>
    </w:p>
    <w:p w14:paraId="6FFD2882">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14:paraId="4230F928">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条款号：43.6          修改类型：修改</w:t>
      </w:r>
    </w:p>
    <w:p w14:paraId="1C604DF6">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43.6资格审查合格的投标人少于3名的（当N个标段同时招标且不允许兼中时，资格审查合格的投标人少于N+2名），则本项目招标失败。</w:t>
      </w:r>
    </w:p>
    <w:p w14:paraId="50CF420A">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u w:val="single"/>
        </w:rPr>
        <w:t>43.6资格审查合格的投标人少于3名的，则本项目招标失败。</w:t>
      </w:r>
    </w:p>
    <w:p w14:paraId="02576D96">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条款号：44.1          修改类型：修改</w:t>
      </w:r>
    </w:p>
    <w:p w14:paraId="05995959">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44.1</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4112346E">
      <w:pPr>
        <w:pBdr>
          <w:bottom w:val="single" w:color="auto" w:sz="6" w:space="1"/>
        </w:pBdr>
        <w:snapToGrid w:val="0"/>
        <w:spacing w:line="44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w:t>
      </w:r>
      <w:r>
        <w:rPr>
          <w:rFonts w:hint="eastAsia" w:ascii="宋体" w:hAnsi="宋体" w:eastAsia="宋体" w:cs="宋体"/>
          <w:bCs/>
          <w:color w:val="auto"/>
          <w:sz w:val="24"/>
          <w:szCs w:val="24"/>
          <w:highlight w:val="none"/>
          <w:u w:val="single"/>
        </w:rPr>
        <w:t>若通过技术标有效性审查的投标人不足3名，</w:t>
      </w:r>
      <w:r>
        <w:rPr>
          <w:rFonts w:hint="eastAsia" w:ascii="宋体" w:hAnsi="宋体" w:eastAsia="宋体" w:cs="宋体"/>
          <w:bCs/>
          <w:color w:val="auto"/>
          <w:sz w:val="24"/>
          <w:szCs w:val="24"/>
          <w:highlight w:val="none"/>
        </w:rPr>
        <w:t>则本项目招标失败。评委发现投标文件中含义不明确、对同类问题表述不一致、有明显文字和计算错误的，应当要求投标人作必要的澄清、说明后再判定投标人是否通过有效性审查，不得直接否决投标。</w:t>
      </w:r>
    </w:p>
    <w:p w14:paraId="0D75830D">
      <w:pPr>
        <w:snapToGrid w:val="0"/>
        <w:spacing w:line="440" w:lineRule="exact"/>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条款号：44.2                    修改类型：</w:t>
      </w:r>
      <w:r>
        <w:rPr>
          <w:rFonts w:hint="eastAsia" w:ascii="宋体" w:hAnsi="宋体" w:eastAsia="宋体" w:cs="宋体"/>
          <w:b/>
          <w:color w:val="auto"/>
          <w:sz w:val="24"/>
          <w:szCs w:val="24"/>
          <w:highlight w:val="none"/>
          <w:lang w:val="en-US" w:eastAsia="zh-CN"/>
        </w:rPr>
        <w:t>删除</w:t>
      </w:r>
    </w:p>
    <w:p w14:paraId="54652CD6">
      <w:pPr>
        <w:pBdr>
          <w:bottom w:val="single" w:color="auto" w:sz="6" w:space="1"/>
        </w:pBdr>
        <w:snapToGrid w:val="0"/>
        <w:spacing w:line="44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r>
        <w:rPr>
          <w:rFonts w:hint="eastAsia" w:ascii="宋体" w:hAnsi="宋体" w:eastAsia="宋体" w:cs="宋体"/>
          <w:bCs/>
          <w:color w:val="auto"/>
          <w:sz w:val="24"/>
          <w:szCs w:val="24"/>
          <w:highlight w:val="none"/>
        </w:rPr>
        <w:t>。</w:t>
      </w:r>
    </w:p>
    <w:p w14:paraId="261B85AB">
      <w:pPr>
        <w:widowControl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w:t>
      </w:r>
      <w:r>
        <w:rPr>
          <w:rFonts w:hint="eastAsia" w:ascii="宋体" w:hAnsi="宋体" w:eastAsia="宋体" w:cs="宋体"/>
          <w:b/>
          <w:color w:val="auto"/>
          <w:sz w:val="24"/>
          <w:szCs w:val="24"/>
          <w:highlight w:val="none"/>
        </w:rPr>
        <w:t>款号：45            修改类型：删除</w:t>
      </w:r>
    </w:p>
    <w:p w14:paraId="30315CF4">
      <w:pPr>
        <w:widowControl w:val="0"/>
        <w:snapToGrid w:val="0"/>
        <w:spacing w:line="440" w:lineRule="exact"/>
        <w:ind w:firstLine="484" w:firstLineChars="201"/>
        <w:textAlignment w:val="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
          <w:bCs/>
          <w:color w:val="auto"/>
          <w:sz w:val="24"/>
          <w:szCs w:val="24"/>
          <w:highlight w:val="none"/>
        </w:rPr>
        <w:t>45．经济标评审和得分汇总</w:t>
      </w:r>
    </w:p>
    <w:p w14:paraId="210122CD">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45.1若通过技术标有效性审查的投标人中所有投标报价均大于等于最高投标限价，则本项目招标失败，由招标人依法重新招标。</w:t>
      </w:r>
    </w:p>
    <w:p w14:paraId="71332CA1">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45.2按区间抽取法计算评标参考价：</w:t>
      </w:r>
    </w:p>
    <w:p w14:paraId="7858E6DE">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BE417B4">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评标参考价=（Q</w:t>
      </w:r>
      <w:r>
        <w:rPr>
          <w:rFonts w:hint="eastAsia" w:ascii="宋体" w:hAnsi="宋体" w:eastAsia="宋体" w:cs="宋体"/>
          <w:color w:val="auto"/>
          <w:sz w:val="24"/>
          <w:szCs w:val="24"/>
          <w:highlight w:val="none"/>
          <w:vertAlign w:val="subscript"/>
        </w:rPr>
        <w:t>高</w:t>
      </w: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）/100*Ｘ+Q</w:t>
      </w:r>
      <w:r>
        <w:rPr>
          <w:rFonts w:hint="eastAsia" w:ascii="宋体" w:hAnsi="宋体" w:eastAsia="宋体" w:cs="宋体"/>
          <w:color w:val="auto"/>
          <w:sz w:val="24"/>
          <w:szCs w:val="24"/>
          <w:highlight w:val="none"/>
          <w:vertAlign w:val="subscript"/>
        </w:rPr>
        <w:t>低</w:t>
      </w:r>
    </w:p>
    <w:p w14:paraId="6330BAAA">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：为达到或超过技术标及格分数线的投标人最低报价与工程成本警示价两者中的较高值；</w:t>
      </w:r>
    </w:p>
    <w:p w14:paraId="6D2F1887">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高</w:t>
      </w:r>
      <w:r>
        <w:rPr>
          <w:rFonts w:hint="eastAsia" w:ascii="宋体" w:hAnsi="宋体" w:eastAsia="宋体" w:cs="宋体"/>
          <w:color w:val="auto"/>
          <w:sz w:val="24"/>
          <w:szCs w:val="24"/>
          <w:highlight w:val="none"/>
        </w:rPr>
        <w:t>：为最高投标限价</w:t>
      </w:r>
    </w:p>
    <w:p w14:paraId="707EF3AF">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14:paraId="6CAFF47B">
      <w:pPr>
        <w:widowControl w:val="0"/>
        <w:snapToGrid w:val="0"/>
        <w:spacing w:line="44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45.3当标价等于评标参考价时得100分，标价每高于评标参考价1%，扣1.5分，每低于评标参考价1%，扣1分，扣至0分为止，得出经济分，精确到小数点后两位。</w:t>
      </w:r>
    </w:p>
    <w:p w14:paraId="0481F0F0">
      <w:pPr>
        <w:pBdr>
          <w:bottom w:val="single" w:color="auto" w:sz="6" w:space="1"/>
        </w:pBdr>
        <w:snapToGrid w:val="0"/>
        <w:spacing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45.4计算通过技术标有效性审查的投标人总得分。投标人总得分=（技术得分×技术得分权重＋经济得分×经济得分权重）×（1-诚信综合评价分数权重）＋诚信综合评价排名得分×诚信综合评价分数权重）。技术、经济得分权重按投标须知前附表的规定执行。总得分四舍五入保留两位小数</w:t>
      </w:r>
      <w:r>
        <w:rPr>
          <w:rFonts w:hint="eastAsia" w:ascii="宋体" w:hAnsi="宋体" w:eastAsia="宋体" w:cs="宋体"/>
          <w:bCs/>
          <w:color w:val="auto"/>
          <w:sz w:val="24"/>
          <w:szCs w:val="24"/>
          <w:highlight w:val="none"/>
        </w:rPr>
        <w:t>。</w:t>
      </w:r>
    </w:p>
    <w:p w14:paraId="2587368F">
      <w:pP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条款号：46.1                        修改类型：修改</w:t>
      </w:r>
    </w:p>
    <w:p w14:paraId="6CC4985C">
      <w:pPr>
        <w:wordWrap w:val="0"/>
        <w:adjustRightInd w:val="0"/>
        <w:snapToGrid w:val="0"/>
        <w:spacing w:line="440" w:lineRule="exact"/>
        <w:ind w:firstLine="482" w:firstLineChars="200"/>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843A0DD">
      <w:pPr>
        <w:pBdr>
          <w:bottom w:val="single" w:color="000000" w:sz="4" w:space="1"/>
        </w:pBdr>
        <w:wordWrap w:val="0"/>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46.1经济标的有效性审查：</w:t>
      </w:r>
      <w:r>
        <w:rPr>
          <w:rFonts w:hint="eastAsia" w:ascii="宋体" w:hAnsi="宋体" w:eastAsia="宋体" w:cs="宋体"/>
          <w:bCs/>
          <w:color w:val="auto"/>
          <w:sz w:val="24"/>
          <w:szCs w:val="24"/>
          <w:highlight w:val="none"/>
          <w:u w:val="singl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r>
        <w:rPr>
          <w:rFonts w:hint="eastAsia" w:ascii="宋体" w:hAnsi="宋体" w:eastAsia="宋体" w:cs="宋体"/>
          <w:color w:val="auto"/>
          <w:sz w:val="24"/>
          <w:szCs w:val="24"/>
          <w:highlight w:val="none"/>
        </w:rPr>
        <w:t>。</w:t>
      </w:r>
    </w:p>
    <w:p w14:paraId="5BE4FAE5">
      <w:pPr>
        <w:snapToGrid w:val="0"/>
        <w:spacing w:line="440" w:lineRule="exact"/>
        <w:ind w:firstLine="646" w:firstLineChars="26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条款号：47</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 xml:space="preserve">            修改类型：删除</w:t>
      </w:r>
    </w:p>
    <w:p w14:paraId="6A9137A5">
      <w:pPr>
        <w:pBdr>
          <w:bottom w:val="single" w:color="auto" w:sz="6" w:space="1"/>
        </w:pBdr>
        <w:snapToGrid w:val="0"/>
        <w:spacing w:line="440" w:lineRule="exact"/>
        <w:ind w:firstLine="602" w:firstLineChars="2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r>
        <w:rPr>
          <w:rFonts w:hint="eastAsia" w:ascii="宋体" w:hAnsi="宋体" w:eastAsia="宋体" w:cs="宋体"/>
          <w:color w:val="auto"/>
          <w:sz w:val="24"/>
          <w:szCs w:val="24"/>
          <w:highlight w:val="none"/>
        </w:rPr>
        <w:t>。</w:t>
      </w:r>
    </w:p>
    <w:p w14:paraId="1346B9DB">
      <w:pPr>
        <w:widowControl w:val="0"/>
        <w:snapToGrid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color w:val="auto"/>
          <w:kern w:val="0"/>
          <w:sz w:val="24"/>
          <w:szCs w:val="24"/>
          <w:highlight w:val="none"/>
        </w:rPr>
        <w:t>48</w:t>
      </w:r>
      <w:r>
        <w:rPr>
          <w:rFonts w:hint="eastAsia" w:ascii="宋体" w:hAnsi="宋体" w:eastAsia="宋体" w:cs="宋体"/>
          <w:b/>
          <w:color w:val="auto"/>
          <w:sz w:val="24"/>
          <w:szCs w:val="24"/>
          <w:highlight w:val="none"/>
        </w:rPr>
        <w:t xml:space="preserve">              修改类型：修改</w:t>
      </w:r>
    </w:p>
    <w:p w14:paraId="1CE6E66B">
      <w:pPr>
        <w:widowControl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kern w:val="0"/>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0B616883">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u w:val="singl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：48.</w:t>
      </w:r>
      <w:r>
        <w:rPr>
          <w:rFonts w:hint="eastAsia" w:ascii="宋体" w:hAnsi="宋体" w:eastAsia="宋体" w:cs="宋体"/>
          <w:color w:val="auto"/>
          <w:kern w:val="0"/>
          <w:sz w:val="24"/>
          <w:szCs w:val="24"/>
          <w:highlight w:val="none"/>
        </w:rPr>
        <w:t>评标委员会</w:t>
      </w:r>
      <w:r>
        <w:rPr>
          <w:rFonts w:hint="eastAsia" w:ascii="宋体" w:hAnsi="宋体" w:eastAsia="宋体" w:cs="宋体"/>
          <w:color w:val="auto"/>
          <w:kern w:val="0"/>
          <w:sz w:val="24"/>
          <w:szCs w:val="24"/>
          <w:highlight w:val="none"/>
          <w:u w:val="single"/>
        </w:rPr>
        <w:t>对投标文件进行资格审查，再对通过资格审查的投标文件进行技术标有效性审查及经济标有效性审查，评出合格的中标候选人。全部通过技术标有效性审查及经济有效性审查合格的中标候选人进入定标阶段【不排序，按统一社会信用代码后4位（除校验码外）大小排位</w:t>
      </w:r>
      <w:r>
        <w:rPr>
          <w:rFonts w:hint="eastAsia" w:ascii="宋体" w:hAnsi="宋体" w:eastAsia="宋体" w:cs="宋体"/>
          <w:color w:val="auto"/>
          <w:sz w:val="24"/>
          <w:szCs w:val="24"/>
          <w:highlight w:val="none"/>
          <w:u w:val="single"/>
          <w:lang w:bidi="ar"/>
        </w:rPr>
        <w:t>，如统一社会信用代码后4位（除校验码外）出现字母情况的，字母以“0”进行代替大小排位；如出现后4位（除校验码外）大小一致的，则随机排位</w:t>
      </w:r>
      <w:r>
        <w:rPr>
          <w:rFonts w:hint="eastAsia" w:ascii="宋体" w:hAnsi="宋体" w:eastAsia="宋体" w:cs="宋体"/>
          <w:color w:val="auto"/>
          <w:kern w:val="0"/>
          <w:sz w:val="24"/>
          <w:szCs w:val="24"/>
          <w:highlight w:val="none"/>
          <w:u w:val="single"/>
        </w:rPr>
        <w:t>】。并编制评标报告</w:t>
      </w:r>
      <w:r>
        <w:rPr>
          <w:rFonts w:hint="eastAsia" w:ascii="宋体" w:hAnsi="宋体" w:eastAsia="宋体" w:cs="宋体"/>
          <w:color w:val="auto"/>
          <w:kern w:val="0"/>
          <w:sz w:val="24"/>
          <w:szCs w:val="24"/>
          <w:highlight w:val="none"/>
        </w:rPr>
        <w:t>。</w:t>
      </w:r>
    </w:p>
    <w:p w14:paraId="42B4780B">
      <w:pPr>
        <w:wordWrap w:val="0"/>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color w:val="auto"/>
          <w:sz w:val="24"/>
          <w:szCs w:val="24"/>
          <w:highlight w:val="none"/>
        </w:rPr>
        <w:t xml:space="preserve">49  </w:t>
      </w:r>
      <w:r>
        <w:rPr>
          <w:rFonts w:hint="eastAsia" w:ascii="宋体" w:hAnsi="宋体" w:eastAsia="宋体" w:cs="宋体"/>
          <w:b/>
          <w:color w:val="auto"/>
          <w:sz w:val="24"/>
          <w:szCs w:val="24"/>
          <w:highlight w:val="none"/>
        </w:rPr>
        <w:t xml:space="preserve">                         修改类型：修改</w:t>
      </w:r>
    </w:p>
    <w:p w14:paraId="206E1CDC">
      <w:pPr>
        <w:wordWrap w:val="0"/>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p w14:paraId="3B55D5C0">
      <w:pPr>
        <w:pBdr>
          <w:bottom w:val="single" w:color="auto" w:sz="12" w:space="1"/>
        </w:pBdr>
        <w:wordWrap w:val="0"/>
        <w:adjustRightInd w:val="0"/>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49若通过经济标有效性审查的投标人不足三家，应当依法重新招标。</w:t>
      </w:r>
    </w:p>
    <w:p w14:paraId="51C0C4CA">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条款号：50                   修改类型：增加</w:t>
      </w:r>
    </w:p>
    <w:p w14:paraId="313E5BCB">
      <w:pPr>
        <w:snapToGrid w:val="0"/>
        <w:spacing w:line="440" w:lineRule="exact"/>
        <w:ind w:firstLine="472" w:firstLineChars="196"/>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rPr>
        <w:t>50.定标</w:t>
      </w:r>
    </w:p>
    <w:p w14:paraId="12437606">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50.1合格的中标候选人公示结束后，招标人按以下规定组建定标委员会，在评标委员会推荐的合格中标候选人确定中标人：</w:t>
      </w:r>
    </w:p>
    <w:p w14:paraId="12E38F46">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（1）定标由招标人依法组建的定标委员会负责，成员数量为5人或以上单数，定标委员会成员不得参与定标前期准备工作。</w:t>
      </w:r>
    </w:p>
    <w:p w14:paraId="3BFC73BE">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（2）招标人应当组建定标监督小组对定标过程进行见证监督。</w:t>
      </w:r>
    </w:p>
    <w:p w14:paraId="2B8C5B9F">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50.2 定标时间和地点：招标人在合格的中标候选人公示完成后10个工作日内在广州交易集团有限公司（广州公共资源交易中心）举行定标会议，招标人按规定程序在投标人须知的时间和地点完成定标工作。</w:t>
      </w:r>
    </w:p>
    <w:p w14:paraId="3DA73B44">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50.3定标规则及程序</w:t>
      </w:r>
    </w:p>
    <w:p w14:paraId="24BE5E4F">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50.3.1 本项目采用</w:t>
      </w:r>
      <w:r>
        <w:rPr>
          <w:rFonts w:hint="eastAsia" w:ascii="宋体" w:hAnsi="宋体" w:eastAsia="宋体" w:cs="宋体"/>
          <w:color w:val="auto"/>
          <w:sz w:val="24"/>
          <w:szCs w:val="24"/>
          <w:highlight w:val="none"/>
          <w:u w:val="single"/>
          <w:lang w:val="en-US" w:eastAsia="zh-CN"/>
        </w:rPr>
        <w:t>“评分</w:t>
      </w:r>
      <w:r>
        <w:rPr>
          <w:rFonts w:hint="default"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进行定标；</w:t>
      </w:r>
    </w:p>
    <w:p w14:paraId="5DA2AC68">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50.3.2 定标委员会根据定标因素对各合格的中标候选人的定标辅助资料进行评审比较</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定标因素</w:t>
      </w:r>
      <w:r>
        <w:rPr>
          <w:rFonts w:hint="eastAsia" w:ascii="宋体" w:hAnsi="宋体" w:eastAsia="宋体" w:cs="宋体"/>
          <w:color w:val="auto"/>
          <w:sz w:val="24"/>
          <w:szCs w:val="24"/>
          <w:highlight w:val="none"/>
          <w:u w:val="single"/>
          <w:lang w:val="en-US" w:eastAsia="zh-CN"/>
        </w:rPr>
        <w:t>包括</w:t>
      </w:r>
      <w:r>
        <w:rPr>
          <w:rFonts w:hint="eastAsia" w:ascii="宋体" w:hAnsi="宋体" w:eastAsia="宋体" w:cs="宋体"/>
          <w:color w:val="auto"/>
          <w:sz w:val="24"/>
          <w:szCs w:val="24"/>
          <w:highlight w:val="none"/>
          <w:u w:val="single"/>
          <w:lang w:val="en-US" w:eastAsia="zh-CN"/>
        </w:rPr>
        <w:t>价格因素、</w:t>
      </w:r>
      <w:r>
        <w:rPr>
          <w:rFonts w:hint="eastAsia" w:ascii="宋体" w:hAnsi="宋体" w:eastAsia="宋体" w:cs="宋体"/>
          <w:color w:val="auto"/>
          <w:sz w:val="24"/>
          <w:szCs w:val="24"/>
          <w:highlight w:val="none"/>
          <w:u w:val="single"/>
        </w:rPr>
        <w:t>方案因素、</w:t>
      </w:r>
      <w:r>
        <w:rPr>
          <w:rFonts w:hint="eastAsia" w:ascii="宋体" w:hAnsi="宋体" w:eastAsia="宋体" w:cs="宋体"/>
          <w:color w:val="auto"/>
          <w:sz w:val="24"/>
          <w:szCs w:val="24"/>
          <w:highlight w:val="none"/>
          <w:u w:val="single"/>
          <w:lang w:val="en-US" w:eastAsia="zh-CN"/>
        </w:rPr>
        <w:t>答辩</w:t>
      </w:r>
      <w:r>
        <w:rPr>
          <w:rFonts w:hint="eastAsia" w:ascii="宋体" w:hAnsi="宋体" w:eastAsia="宋体" w:cs="宋体"/>
          <w:color w:val="auto"/>
          <w:sz w:val="24"/>
          <w:szCs w:val="24"/>
          <w:highlight w:val="none"/>
          <w:u w:val="single"/>
        </w:rPr>
        <w:t>因素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资信因素</w:t>
      </w:r>
      <w:r>
        <w:rPr>
          <w:rFonts w:hint="eastAsia" w:ascii="宋体" w:hAnsi="宋体" w:eastAsia="宋体" w:cs="宋体"/>
          <w:color w:val="auto"/>
          <w:sz w:val="24"/>
          <w:szCs w:val="24"/>
          <w:highlight w:val="none"/>
          <w:u w:val="single"/>
        </w:rPr>
        <w:t>。</w:t>
      </w:r>
    </w:p>
    <w:p w14:paraId="3A622887">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50.3.3定标工作开始前，招标人（或招标代理单位）应当向定标委员会提供定标所需的信息，包括招标项目的范围、性质、特殊性、需求目标和实施要点，以及招标文件规定的定标方法、定标因素及标准等，但不得明示或者暗示其倾向或者排斥特定合格中标候选人。</w:t>
      </w:r>
    </w:p>
    <w:p w14:paraId="3B8068DC">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50.3.4定标委员会在开始定标前，应了解定标专家的职责及守则，认真阅读附表九《定标委员会成员声明》的内容并签名，签字后方可进行定标。</w:t>
      </w:r>
    </w:p>
    <w:p w14:paraId="59A1DF9C">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50.3.5定标过程中，定标委员会成员有回避事由、擅离职守或者因健康等原因不能继续定标的，招标人有权更换。被更换的定标委员会成员作出的评审结论无效，由更换后的定标委员会成员重新进行评审。</w:t>
      </w:r>
    </w:p>
    <w:p w14:paraId="455E3C31">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50.3.6 定标辅助资料为评标阶段的评标报告、投标人提交的投标文件与定标文件。</w:t>
      </w:r>
    </w:p>
    <w:p w14:paraId="1EB97E9B">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50.3.7 定标委员会根据定标辅助资料，在同等条件下，定标因素具体评价标准详见附表七《定标因素表》</w:t>
      </w:r>
    </w:p>
    <w:p w14:paraId="632E372A">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50.3.8 定标委员会根据合格的中标候选人总得分由高至低</w:t>
      </w:r>
      <w:r>
        <w:rPr>
          <w:rFonts w:hint="eastAsia" w:ascii="宋体" w:hAnsi="宋体" w:eastAsia="宋体" w:cs="宋体"/>
          <w:bCs/>
          <w:color w:val="auto"/>
          <w:sz w:val="24"/>
          <w:szCs w:val="24"/>
          <w:highlight w:val="none"/>
          <w:u w:val="single"/>
        </w:rPr>
        <w:t>对合格的中标候选人进行排序。</w:t>
      </w:r>
      <w:r>
        <w:rPr>
          <w:rFonts w:hint="eastAsia" w:ascii="宋体" w:hAnsi="宋体" w:eastAsia="宋体" w:cs="宋体"/>
          <w:color w:val="auto"/>
          <w:sz w:val="24"/>
          <w:szCs w:val="24"/>
          <w:highlight w:val="none"/>
          <w:u w:val="single"/>
        </w:rPr>
        <w:t>合格的中标候选人总得分=</w:t>
      </w:r>
      <w:r>
        <w:rPr>
          <w:rFonts w:hint="eastAsia" w:ascii="宋体" w:hAnsi="宋体" w:eastAsia="宋体" w:cs="宋体"/>
          <w:color w:val="auto"/>
          <w:sz w:val="24"/>
          <w:szCs w:val="24"/>
          <w:highlight w:val="none"/>
          <w:u w:val="single"/>
        </w:rPr>
        <w:t>价格因素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20分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方案因素（</w:t>
      </w:r>
      <w:r>
        <w:rPr>
          <w:rFonts w:hint="eastAsia" w:ascii="宋体" w:hAnsi="宋体" w:eastAsia="宋体" w:cs="宋体"/>
          <w:color w:val="auto"/>
          <w:sz w:val="24"/>
          <w:szCs w:val="24"/>
          <w:highlight w:val="none"/>
          <w:u w:val="single"/>
          <w:lang w:eastAsia="zh-CN"/>
        </w:rPr>
        <w:t>6</w:t>
      </w:r>
      <w:r>
        <w:rPr>
          <w:rFonts w:hint="eastAsia" w:ascii="宋体" w:hAnsi="宋体" w:eastAsia="宋体" w:cs="宋体"/>
          <w:color w:val="auto"/>
          <w:sz w:val="24"/>
          <w:szCs w:val="24"/>
          <w:highlight w:val="none"/>
          <w:u w:val="single"/>
        </w:rPr>
        <w:t>0分）+答辩因素</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10分</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+资信</w:t>
      </w:r>
      <w:r>
        <w:rPr>
          <w:rFonts w:hint="eastAsia" w:ascii="宋体" w:hAnsi="宋体" w:eastAsia="宋体" w:cs="宋体"/>
          <w:color w:val="auto"/>
          <w:sz w:val="24"/>
          <w:szCs w:val="24"/>
          <w:highlight w:val="none"/>
          <w:u w:val="single"/>
        </w:rPr>
        <w:t>因素（</w:t>
      </w:r>
      <w:r>
        <w:rPr>
          <w:rFonts w:hint="eastAsia" w:ascii="宋体" w:hAnsi="宋体" w:eastAsia="宋体" w:cs="宋体"/>
          <w:color w:val="auto"/>
          <w:sz w:val="24"/>
          <w:szCs w:val="24"/>
          <w:highlight w:val="none"/>
          <w:u w:val="single"/>
          <w:lang w:eastAsia="zh-CN"/>
        </w:rPr>
        <w:t>1</w:t>
      </w:r>
      <w:r>
        <w:rPr>
          <w:rFonts w:hint="eastAsia" w:ascii="宋体" w:hAnsi="宋体" w:eastAsia="宋体" w:cs="宋体"/>
          <w:color w:val="auto"/>
          <w:sz w:val="24"/>
          <w:szCs w:val="24"/>
          <w:highlight w:val="none"/>
          <w:u w:val="single"/>
        </w:rPr>
        <w:t>0分）</w:t>
      </w:r>
      <w:r>
        <w:rPr>
          <w:rFonts w:hint="eastAsia" w:ascii="宋体" w:hAnsi="宋体" w:eastAsia="宋体" w:cs="宋体"/>
          <w:color w:val="auto"/>
          <w:sz w:val="24"/>
          <w:szCs w:val="24"/>
          <w:highlight w:val="none"/>
          <w:u w:val="single"/>
        </w:rPr>
        <w:t>，总得分四舍五入保留两位小数。</w:t>
      </w:r>
    </w:p>
    <w:p w14:paraId="0C923CA8">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注：若合格的中标候选人总得分相同且影响定标排序的，以方案因素得分高的排前；若方案因素得分仍相同的，以价格因素得分高的排前，若价格因素得分仍相同的，由定标委员会采用记名投票方式确定排序。</w:t>
      </w:r>
    </w:p>
    <w:p w14:paraId="33EB88B2">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50.3.9定标委员会确定总得分最高的合格的中标候选人为中标人。</w:t>
      </w:r>
    </w:p>
    <w:p w14:paraId="725399E4">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50.3.10 编写定标报告，定标委员会全体确认后签署定标报告。</w:t>
      </w:r>
    </w:p>
    <w:p w14:paraId="45C220D6">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50.4定标委员会向招标人提交书面定标报告后即解散，定标过程中使用的文件、表格以及其他资料不得私自带离。</w:t>
      </w:r>
    </w:p>
    <w:p w14:paraId="3ADB03A8">
      <w:pPr>
        <w:pBdr>
          <w:bottom w:val="single" w:color="auto" w:sz="6" w:space="1"/>
        </w:pBdr>
        <w:snapToGrid w:val="0"/>
        <w:spacing w:line="44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50.5招标人应当在定标工作完成后的3日内公示中标结果。</w:t>
      </w:r>
    </w:p>
    <w:p w14:paraId="4292DC83">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50.6因质疑或投诉生效，重新评标或定标的，评标信息（含业绩、奖项等）、定标信息仍以投标截止时投标人的信息为准。因特殊原因需要延长投标有效期，投标人拒绝延长投标有效期的，仍参与评标、定标，但不被推荐为中标人。</w:t>
      </w:r>
    </w:p>
    <w:p w14:paraId="466DDACF">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50.7在合格中标候选人公示期间或在定标前，如有合格的中标候选人放弃中标候选人资格或者被查实存在影响中标候选人资格的违法行为等情形，且合格的中标候选人至少有1名的，招标人不再递补其他合格的中标候选人，可以继续定标或依法重新招标；如没有合格的中标候选人的，则依法重新招标。</w:t>
      </w:r>
    </w:p>
    <w:p w14:paraId="306D3CE1">
      <w:pPr>
        <w:pBdr>
          <w:bottom w:val="single" w:color="auto" w:sz="6" w:space="1"/>
        </w:pBdr>
        <w:snapToGrid w:val="0"/>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u w:val="single"/>
        </w:rPr>
        <w:t>50.8</w:t>
      </w:r>
      <w:r>
        <w:rPr>
          <w:rFonts w:hint="eastAsia" w:ascii="宋体" w:hAnsi="宋体" w:eastAsia="宋体" w:cs="宋体"/>
          <w:color w:val="auto"/>
          <w:sz w:val="24"/>
          <w:szCs w:val="24"/>
          <w:highlight w:val="none"/>
          <w:u w:val="single"/>
        </w:rPr>
        <w:t>在定标后，如中标人放弃中标、或因不可抗力提出不能履行合同，或者招标文件规定应当提交履约担保而在规定的期限内未能提交的，或经核查发现委派的项目负责人已在其他在建项目中担任本职务的，或者被查实存在影响中标结果的违法行为等情形，招标人有权取消其中标人资格或解除合同，可由原定标委员会根据原定标办法从其他合格的中标候选人中重新确定中标人，招标人也可以依法重新招标</w:t>
      </w:r>
      <w:r>
        <w:rPr>
          <w:rFonts w:hint="eastAsia" w:ascii="宋体" w:hAnsi="宋体" w:eastAsia="宋体" w:cs="宋体"/>
          <w:color w:val="auto"/>
          <w:sz w:val="24"/>
          <w:szCs w:val="24"/>
          <w:highlight w:val="none"/>
        </w:rPr>
        <w:t>。</w:t>
      </w:r>
    </w:p>
    <w:p w14:paraId="2F226039">
      <w:pP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条款号：附表一《资格审查表》          修改类型：修改</w:t>
      </w:r>
    </w:p>
    <w:p w14:paraId="1A22D128">
      <w:pP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详见《广州市建设工程施工公开招标项目招标文件范本GZZB2018-3》</w:t>
      </w:r>
    </w:p>
    <w:p w14:paraId="3F7A10C3">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详见本招标文件</w:t>
      </w:r>
      <w:r>
        <w:rPr>
          <w:rFonts w:hint="eastAsia" w:ascii="宋体" w:hAnsi="宋体" w:eastAsia="宋体" w:cs="宋体"/>
          <w:bCs/>
          <w:color w:val="auto"/>
          <w:sz w:val="24"/>
          <w:szCs w:val="24"/>
          <w:highlight w:val="none"/>
        </w:rPr>
        <w:t>附表一《资格审查表》</w:t>
      </w:r>
    </w:p>
    <w:p w14:paraId="4B4DBA97">
      <w:pP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条款号：附表二《技术标有效性审查表》          修改类型：修改</w:t>
      </w:r>
    </w:p>
    <w:p w14:paraId="0530C07C">
      <w:pP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详见《广州市建设工程施工公开招标项目招标文件范本GZZB2018-3》</w:t>
      </w:r>
    </w:p>
    <w:p w14:paraId="75CE2846">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详见本招标文件</w:t>
      </w:r>
      <w:r>
        <w:rPr>
          <w:rFonts w:hint="eastAsia" w:ascii="宋体" w:hAnsi="宋体" w:eastAsia="宋体" w:cs="宋体"/>
          <w:bCs/>
          <w:color w:val="auto"/>
          <w:sz w:val="24"/>
          <w:szCs w:val="24"/>
          <w:highlight w:val="none"/>
        </w:rPr>
        <w:t>附表二《技术标有效性审查表》</w:t>
      </w:r>
    </w:p>
    <w:p w14:paraId="25BDDB41">
      <w:pP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条款号：附表三《经济标有效性审查表》          修改类型：修改</w:t>
      </w:r>
    </w:p>
    <w:p w14:paraId="31431464">
      <w:pP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详见《广州市建设工程施工公开招标项目招标文件范本GZZB2018-3》</w:t>
      </w:r>
    </w:p>
    <w:p w14:paraId="1E3D372F">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详见本招标文件</w:t>
      </w:r>
      <w:r>
        <w:rPr>
          <w:rFonts w:hint="eastAsia" w:ascii="宋体" w:hAnsi="宋体" w:eastAsia="宋体" w:cs="宋体"/>
          <w:bCs/>
          <w:color w:val="auto"/>
          <w:sz w:val="24"/>
          <w:szCs w:val="24"/>
          <w:highlight w:val="none"/>
        </w:rPr>
        <w:t>附表三《经济标有效性审查表》</w:t>
      </w:r>
    </w:p>
    <w:p w14:paraId="39146B80">
      <w:pPr>
        <w:snapToGrid w:val="0"/>
        <w:spacing w:line="440" w:lineRule="exact"/>
        <w:ind w:firstLine="482" w:firstLineChars="200"/>
        <w:jc w:val="left"/>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条款号：附表四《技术标详细审查评分表》          修改类型：</w:t>
      </w:r>
      <w:r>
        <w:rPr>
          <w:rFonts w:hint="eastAsia" w:ascii="宋体" w:hAnsi="宋体" w:eastAsia="宋体" w:cs="宋体"/>
          <w:b/>
          <w:color w:val="auto"/>
          <w:sz w:val="24"/>
          <w:szCs w:val="24"/>
          <w:highlight w:val="none"/>
          <w:lang w:val="en-US" w:eastAsia="zh-CN"/>
        </w:rPr>
        <w:t>删除</w:t>
      </w:r>
    </w:p>
    <w:p w14:paraId="262A8819">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详见《广州市建设工程施工公开招标项目招标文件范本GZZB2018-3》</w:t>
      </w:r>
    </w:p>
    <w:p w14:paraId="7C9F9767">
      <w:pP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条款号：附表五          修改类型：删除</w:t>
      </w:r>
    </w:p>
    <w:p w14:paraId="438AA5A3">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原文：</w:t>
      </w:r>
      <w:r>
        <w:rPr>
          <w:rFonts w:hint="eastAsia" w:ascii="宋体" w:hAnsi="宋体" w:eastAsia="宋体" w:cs="宋体"/>
          <w:bCs/>
          <w:color w:val="auto"/>
          <w:sz w:val="24"/>
          <w:szCs w:val="24"/>
          <w:highlight w:val="none"/>
        </w:rPr>
        <w:t>详见《广州市建设工程施工公开招标项目招标文件范本GZZB2018-3》</w:t>
      </w:r>
    </w:p>
    <w:p w14:paraId="1D3559D2">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rPr>
        <w:t>附表</w:t>
      </w: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：《定标因素表（定标阶段用表）》</w:t>
      </w:r>
      <w:r>
        <w:rPr>
          <w:rFonts w:hint="eastAsia" w:ascii="宋体" w:hAnsi="宋体" w:eastAsia="宋体" w:cs="宋体"/>
          <w:b/>
          <w:color w:val="auto"/>
          <w:sz w:val="24"/>
          <w:szCs w:val="24"/>
          <w:highlight w:val="none"/>
        </w:rPr>
        <w:t xml:space="preserve">   修改类型：增加</w:t>
      </w:r>
    </w:p>
    <w:p w14:paraId="0C110020">
      <w:pPr>
        <w:pBdr>
          <w:bottom w:val="single" w:color="auto" w:sz="6" w:space="1"/>
        </w:pBdr>
        <w:snapToGrid w:val="0"/>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u w:val="single"/>
        </w:rPr>
        <w:t>详见附表七：《定标因素表（定标阶段用表）》。</w:t>
      </w:r>
    </w:p>
    <w:p w14:paraId="5AB04AEF">
      <w:pPr>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r>
        <w:rPr>
          <w:rFonts w:hint="eastAsia" w:ascii="宋体" w:hAnsi="宋体" w:eastAsia="宋体" w:cs="宋体"/>
          <w:b/>
          <w:bCs/>
          <w:color w:val="auto"/>
          <w:sz w:val="24"/>
          <w:szCs w:val="24"/>
          <w:highlight w:val="none"/>
        </w:rPr>
        <w:t>附表</w:t>
      </w: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：《总得分计算及排序表》</w:t>
      </w:r>
      <w:r>
        <w:rPr>
          <w:rFonts w:hint="eastAsia" w:ascii="宋体" w:hAnsi="宋体" w:eastAsia="宋体" w:cs="宋体"/>
          <w:b/>
          <w:color w:val="auto"/>
          <w:sz w:val="24"/>
          <w:szCs w:val="24"/>
          <w:highlight w:val="none"/>
        </w:rPr>
        <w:t xml:space="preserve">          修改类型：增加</w:t>
      </w:r>
    </w:p>
    <w:p w14:paraId="2FED205D">
      <w:pPr>
        <w:pBdr>
          <w:bottom w:val="single" w:color="auto" w:sz="6" w:space="1"/>
        </w:pBd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bCs/>
          <w:color w:val="auto"/>
          <w:sz w:val="24"/>
          <w:szCs w:val="24"/>
          <w:highlight w:val="none"/>
          <w:u w:val="single"/>
        </w:rPr>
        <w:t>详见附表</w:t>
      </w:r>
      <w:r>
        <w:rPr>
          <w:rFonts w:hint="eastAsia" w:ascii="宋体" w:hAnsi="宋体" w:eastAsia="宋体" w:cs="宋体"/>
          <w:bCs/>
          <w:color w:val="auto"/>
          <w:sz w:val="24"/>
          <w:szCs w:val="24"/>
          <w:highlight w:val="none"/>
          <w:u w:val="single"/>
          <w:lang w:val="en-US" w:eastAsia="zh-CN"/>
        </w:rPr>
        <w:t>八</w:t>
      </w:r>
      <w:r>
        <w:rPr>
          <w:rFonts w:hint="eastAsia" w:ascii="宋体" w:hAnsi="宋体" w:eastAsia="宋体" w:cs="宋体"/>
          <w:bCs/>
          <w:color w:val="auto"/>
          <w:sz w:val="24"/>
          <w:szCs w:val="24"/>
          <w:highlight w:val="none"/>
          <w:u w:val="single"/>
        </w:rPr>
        <w:t>：《总得分计算及排序表》。</w:t>
      </w:r>
    </w:p>
    <w:p w14:paraId="2CECE5C9">
      <w:pPr>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条款号：附</w:t>
      </w:r>
      <w:r>
        <w:rPr>
          <w:rFonts w:hint="eastAsia" w:ascii="宋体" w:hAnsi="宋体" w:eastAsia="宋体" w:cs="宋体"/>
          <w:b/>
          <w:color w:val="auto"/>
          <w:sz w:val="24"/>
          <w:szCs w:val="24"/>
          <w:highlight w:val="none"/>
          <w:lang w:val="en-US" w:eastAsia="zh-CN"/>
        </w:rPr>
        <w:t>件1</w:t>
      </w:r>
      <w:r>
        <w:rPr>
          <w:rFonts w:hint="eastAsia" w:ascii="宋体" w:hAnsi="宋体" w:eastAsia="宋体" w:cs="宋体"/>
          <w:b/>
          <w:color w:val="auto"/>
          <w:sz w:val="24"/>
          <w:szCs w:val="24"/>
          <w:highlight w:val="none"/>
        </w:rPr>
        <w:t>《评标委员会成员声明》               修改类型：新增</w:t>
      </w:r>
    </w:p>
    <w:p w14:paraId="0FD9F418">
      <w:pPr>
        <w:pBdr>
          <w:bottom w:val="single" w:color="auto" w:sz="6" w:space="1"/>
        </w:pBdr>
        <w:snapToGrid w:val="0"/>
        <w:spacing w:line="440" w:lineRule="exact"/>
        <w:ind w:firstLine="482" w:firstLineChars="200"/>
        <w:jc w:val="left"/>
        <w:rPr>
          <w:rFonts w:hint="eastAsia"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见后附：</w:t>
      </w:r>
      <w:r>
        <w:rPr>
          <w:rFonts w:hint="eastAsia" w:ascii="宋体" w:hAnsi="宋体" w:eastAsia="宋体" w:cs="宋体"/>
          <w:b w:val="0"/>
          <w:bCs/>
          <w:color w:val="auto"/>
          <w:sz w:val="24"/>
          <w:szCs w:val="24"/>
          <w:highlight w:val="none"/>
        </w:rPr>
        <w:t>附</w:t>
      </w:r>
      <w:r>
        <w:rPr>
          <w:rFonts w:hint="eastAsia" w:ascii="宋体" w:hAnsi="宋体" w:eastAsia="宋体" w:cs="宋体"/>
          <w:b w:val="0"/>
          <w:bCs/>
          <w:color w:val="auto"/>
          <w:sz w:val="24"/>
          <w:szCs w:val="24"/>
          <w:highlight w:val="none"/>
          <w:lang w:val="en-US" w:eastAsia="zh-CN"/>
        </w:rPr>
        <w:t>件1</w:t>
      </w:r>
      <w:r>
        <w:rPr>
          <w:rFonts w:hint="eastAsia" w:ascii="宋体" w:hAnsi="宋体" w:eastAsia="宋体" w:cs="宋体"/>
          <w:b w:val="0"/>
          <w:bCs/>
          <w:color w:val="auto"/>
          <w:sz w:val="24"/>
          <w:szCs w:val="24"/>
          <w:highlight w:val="none"/>
        </w:rPr>
        <w:t>《评标委员会成员声明》</w:t>
      </w:r>
      <w:r>
        <w:rPr>
          <w:rFonts w:hint="eastAsia" w:ascii="宋体" w:hAnsi="宋体" w:eastAsia="宋体" w:cs="宋体"/>
          <w:bCs/>
          <w:color w:val="auto"/>
          <w:sz w:val="24"/>
          <w:szCs w:val="24"/>
          <w:highlight w:val="none"/>
          <w:u w:val="none"/>
        </w:rPr>
        <w:t>。</w:t>
      </w:r>
    </w:p>
    <w:p w14:paraId="6591857A">
      <w:pPr>
        <w:adjustRightInd w:val="0"/>
        <w:snapToGrid w:val="0"/>
        <w:spacing w:line="440" w:lineRule="exact"/>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条款号：附</w:t>
      </w:r>
      <w:r>
        <w:rPr>
          <w:rFonts w:hint="eastAsia" w:ascii="宋体" w:hAnsi="宋体" w:eastAsia="宋体" w:cs="宋体"/>
          <w:b/>
          <w:color w:val="auto"/>
          <w:sz w:val="24"/>
          <w:szCs w:val="24"/>
          <w:highlight w:val="none"/>
          <w:lang w:val="en-US" w:eastAsia="zh-CN"/>
        </w:rPr>
        <w:t>件2</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定</w:t>
      </w:r>
      <w:r>
        <w:rPr>
          <w:rFonts w:hint="eastAsia" w:ascii="宋体" w:hAnsi="宋体" w:eastAsia="宋体" w:cs="宋体"/>
          <w:b/>
          <w:color w:val="auto"/>
          <w:sz w:val="24"/>
          <w:szCs w:val="24"/>
          <w:highlight w:val="none"/>
        </w:rPr>
        <w:t>标委员会成员声明》               修改类型：新增</w:t>
      </w:r>
    </w:p>
    <w:p w14:paraId="42A99435">
      <w:pPr>
        <w:snapToGrid w:val="0"/>
        <w:spacing w:line="440" w:lineRule="exact"/>
        <w:ind w:firstLine="482" w:firstLineChars="200"/>
        <w:jc w:val="left"/>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现文：</w:t>
      </w:r>
      <w:r>
        <w:rPr>
          <w:rFonts w:hint="eastAsia" w:ascii="宋体" w:hAnsi="宋体" w:eastAsia="宋体" w:cs="宋体"/>
          <w:color w:val="auto"/>
          <w:sz w:val="24"/>
          <w:szCs w:val="24"/>
          <w:highlight w:val="none"/>
        </w:rPr>
        <w:t>见后附</w:t>
      </w:r>
      <w:r>
        <w:rPr>
          <w:rFonts w:hint="eastAsia" w:ascii="宋体" w:hAnsi="宋体" w:eastAsia="宋体" w:cs="宋体"/>
          <w:b/>
          <w:bCs/>
          <w:color w:val="auto"/>
          <w:sz w:val="24"/>
          <w:szCs w:val="24"/>
          <w:highlight w:val="none"/>
        </w:rPr>
        <w:t>：附</w:t>
      </w:r>
      <w:r>
        <w:rPr>
          <w:rFonts w:hint="eastAsia" w:ascii="宋体" w:hAnsi="宋体" w:eastAsia="宋体" w:cs="宋体"/>
          <w:b/>
          <w:bCs/>
          <w:color w:val="auto"/>
          <w:sz w:val="24"/>
          <w:szCs w:val="24"/>
          <w:highlight w:val="none"/>
          <w:lang w:val="en-US" w:eastAsia="zh-CN"/>
        </w:rPr>
        <w:t>件2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定</w:t>
      </w:r>
      <w:r>
        <w:rPr>
          <w:rFonts w:hint="eastAsia" w:ascii="宋体" w:hAnsi="宋体" w:eastAsia="宋体" w:cs="宋体"/>
          <w:b/>
          <w:bCs/>
          <w:color w:val="auto"/>
          <w:sz w:val="24"/>
          <w:szCs w:val="24"/>
          <w:highlight w:val="none"/>
        </w:rPr>
        <w:t>标委员会成员声明》。</w:t>
      </w:r>
    </w:p>
    <w:p w14:paraId="660F631E">
      <w:pPr>
        <w:snapToGrid w:val="0"/>
        <w:spacing w:line="440" w:lineRule="exact"/>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注：以上修改，仅限于本范本中有可供选择条款的情形。</w:t>
      </w:r>
    </w:p>
    <w:p w14:paraId="225E63A6">
      <w:pPr>
        <w:snapToGrid w:val="0"/>
        <w:spacing w:line="440" w:lineRule="exact"/>
        <w:ind w:firstLine="482" w:firstLineChars="200"/>
        <w:jc w:val="left"/>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（以下无正文）</w:t>
      </w:r>
    </w:p>
    <w:p w14:paraId="5596BC99">
      <w:pPr>
        <w:pStyle w:val="6"/>
        <w:spacing w:before="0" w:after="0" w:line="360" w:lineRule="auto"/>
        <w:ind w:left="0"/>
        <w:rPr>
          <w:rFonts w:hint="eastAsia" w:ascii="宋体" w:hAnsi="宋体" w:cs="宋体"/>
          <w:color w:val="auto"/>
          <w:highlight w:val="none"/>
        </w:rPr>
      </w:pPr>
      <w:r>
        <w:rPr>
          <w:rFonts w:hint="eastAsia" w:ascii="宋体" w:hAnsi="宋体" w:cs="宋体"/>
          <w:color w:val="auto"/>
          <w:highlight w:val="none"/>
        </w:rPr>
        <w:br w:type="page"/>
      </w:r>
      <w:bookmarkStart w:id="23" w:name="_Toc30203"/>
      <w:r>
        <w:rPr>
          <w:rFonts w:hint="eastAsia" w:ascii="宋体" w:hAnsi="宋体" w:cs="宋体"/>
          <w:color w:val="auto"/>
          <w:sz w:val="28"/>
          <w:szCs w:val="28"/>
          <w:highlight w:val="none"/>
        </w:rPr>
        <w:t>二、开标、评标及定标办法</w:t>
      </w:r>
      <w:r>
        <w:rPr>
          <w:rFonts w:hint="eastAsia" w:ascii="宋体" w:hAnsi="宋体" w:cs="宋体"/>
          <w:color w:val="auto"/>
          <w:sz w:val="28"/>
          <w:szCs w:val="32"/>
          <w:highlight w:val="none"/>
        </w:rPr>
        <w:t>通用条款</w:t>
      </w:r>
      <w:bookmarkEnd w:id="23"/>
    </w:p>
    <w:p w14:paraId="6A0ABE55">
      <w:pPr>
        <w:pStyle w:val="7"/>
        <w:snapToGrid w:val="0"/>
        <w:spacing w:before="0" w:beforeLines="0" w:beforeAutospacing="0" w:after="0" w:afterLines="0" w:afterAutospacing="0" w:line="440" w:lineRule="exact"/>
        <w:ind w:firstLine="480" w:firstLineChars="200"/>
        <w:rPr>
          <w:rFonts w:hint="eastAsia" w:ascii="宋体" w:hAnsi="宋体" w:eastAsia="宋体" w:cs="宋体"/>
          <w:color w:val="auto"/>
          <w:sz w:val="24"/>
          <w:szCs w:val="24"/>
          <w:highlight w:val="none"/>
        </w:rPr>
      </w:pPr>
      <w:bookmarkStart w:id="24" w:name="_Toc2272557"/>
      <w:bookmarkStart w:id="25" w:name="_Toc21525501"/>
      <w:bookmarkStart w:id="26" w:name="_Toc16181"/>
      <w:bookmarkStart w:id="27" w:name="_Toc18768"/>
      <w:r>
        <w:rPr>
          <w:rFonts w:hint="eastAsia" w:ascii="宋体" w:hAnsi="宋体" w:eastAsia="宋体" w:cs="宋体"/>
          <w:color w:val="auto"/>
          <w:sz w:val="24"/>
          <w:szCs w:val="24"/>
          <w:highlight w:val="none"/>
        </w:rPr>
        <w:t>（一）总则</w:t>
      </w:r>
      <w:bookmarkEnd w:id="24"/>
      <w:bookmarkEnd w:id="25"/>
      <w:bookmarkEnd w:id="26"/>
    </w:p>
    <w:p w14:paraId="51816F86">
      <w:pPr>
        <w:snapToGrid w:val="0"/>
        <w:spacing w:beforeLines="0" w:afterLines="0" w:line="440" w:lineRule="exact"/>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35 开标、评标及定标所依据的规则</w:t>
      </w:r>
    </w:p>
    <w:p w14:paraId="5C80ACC2">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35.1《中华人民共和国招标投标法》；</w:t>
      </w:r>
    </w:p>
    <w:p w14:paraId="67F23C26">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35.2《中华人民共和国招标投标法实施条例》；</w:t>
      </w:r>
    </w:p>
    <w:p w14:paraId="7AAD381D">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35.3《评标委员会和评标方法暂行规定》（七部委第12号令）；</w:t>
      </w:r>
    </w:p>
    <w:p w14:paraId="110FE101">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35.4《工程建设项目施工招标投标办法》（七部委2003年第30号令）；</w:t>
      </w:r>
    </w:p>
    <w:p w14:paraId="38094DBD">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35.5《广东省实施〈中华人民共和国招标投标法〉办法》；</w:t>
      </w:r>
    </w:p>
    <w:p w14:paraId="4236BC35">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35.6《房屋建筑和市政基础设施工程施工招标投标管理办法》（建设部令第89号）；</w:t>
      </w:r>
    </w:p>
    <w:p w14:paraId="5E3FAF2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35.7《财政部 工业和信息化部关于印发〈政府采购促进中小企业发展管理办法〉的通知》（财库〔2020〕46号）；</w:t>
      </w:r>
    </w:p>
    <w:p w14:paraId="2FB22FBC">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35.8《广东省加强建设工程招标投标监督管理的若干规定》（粤发[2004]4号）；</w:t>
      </w:r>
    </w:p>
    <w:p w14:paraId="0477A5E7">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35.9《广东省政府采购促进中小企业发展实施细则（试行）》</w:t>
      </w:r>
    </w:p>
    <w:p w14:paraId="4FCC7A43">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35.10《广州市工程建设项目招标投标管理办法》（穗建规字〔2023〕12号）；</w:t>
      </w:r>
    </w:p>
    <w:p w14:paraId="5AFD71C6">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01BD0E0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35.12本项目招标文件。</w:t>
      </w:r>
    </w:p>
    <w:p w14:paraId="03FE642E">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36．开标</w:t>
      </w:r>
    </w:p>
    <w:p w14:paraId="6E40DF9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招标人按投标须知前附表第18项所规定的时间和地点公开开标，并邀请所有投标人参加。截标后，开标开始时间因故推迟的，相关评标信息仍以原定的开标开始时间的信息为准。</w:t>
      </w:r>
    </w:p>
    <w:p w14:paraId="075E417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招标人在招标文件要求提交投标文件的截止时间前收到的投标文件，开标时都当众予以解密、公布。</w:t>
      </w:r>
    </w:p>
    <w:p w14:paraId="4861A741">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7A880C2">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36.4若递交投标文件的投标人不足3家，则重新组织招标。（当N个标段同时招标且不允许兼中时，若有效投标人不足N+2家，则重新组织招标）</w:t>
      </w:r>
    </w:p>
    <w:p w14:paraId="63653D13">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36.5按下列程序进行开标：</w:t>
      </w:r>
    </w:p>
    <w:p w14:paraId="6CC88FE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36.5.1在投标截止时间后一个小时内，投标人通过交易平台对已递交的电子投标文件进行解密。投标人完成解密后，再由招标人进行解密。解密完成后，公布招标项目名称、投标人名称、投标保证金的递交情况、投标报价、工期及其他内容；</w:t>
      </w:r>
    </w:p>
    <w:p w14:paraId="2F6F2225">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36.5.2备用光盘的读取按投标须知前附表第36项的规定执行；</w:t>
      </w:r>
    </w:p>
    <w:p w14:paraId="3BFC5576">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36.5.3投标人代表、招标人代表、监标人、记录人等有关人员在开标记录上签字确认；若有关人员不签字的，不影响开标程序；</w:t>
      </w:r>
    </w:p>
    <w:p w14:paraId="2FD17726">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36.5.4开标结束。</w:t>
      </w:r>
    </w:p>
    <w:p w14:paraId="00CB43BD">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59FB517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36.7开标时，两个（含两个）以上的投标人加密打包投标文件电脑机器特征码一致的，不参与下一程序，并由评标委员会否决其投标。</w:t>
      </w:r>
    </w:p>
    <w:p w14:paraId="2BD48EB4">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37．评标</w:t>
      </w:r>
    </w:p>
    <w:p w14:paraId="578BC2A6">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37.1评标委员会由招标人依法组建。</w:t>
      </w:r>
    </w:p>
    <w:p w14:paraId="4A85B035">
      <w:pPr>
        <w:snapToGrid w:val="0"/>
        <w:spacing w:beforeLines="0" w:afterLines="0" w:line="440" w:lineRule="exact"/>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37.2评标委员会在开始评标前，应了解评标专家的职责及守则，认真阅读附件1《评标委员会成员声明》的内容并签名，签字后方可进行评标。</w:t>
      </w:r>
    </w:p>
    <w:p w14:paraId="0B2698DD">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37.3评标委员会的职责及守则：</w:t>
      </w:r>
    </w:p>
    <w:p w14:paraId="26A63EF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37.3.1根据评标细则，对投标文件进行认真评审，完成评审报告；</w:t>
      </w:r>
    </w:p>
    <w:p w14:paraId="1A1BD645">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37.3.2向招标人报告评审意见，推荐合格的中标候选人。</w:t>
      </w:r>
    </w:p>
    <w:p w14:paraId="2E65923E">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37.3.3</w:t>
      </w:r>
      <w:r>
        <w:rPr>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53F570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37.3.4全体参与评标人员：</w:t>
      </w:r>
    </w:p>
    <w:p w14:paraId="7E9C2007">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37.3.4.1 必须遵守评标纪律、不得泄密；</w:t>
      </w:r>
    </w:p>
    <w:p w14:paraId="4E43E001">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37.3.4.2 必须公正、不得循私；</w:t>
      </w:r>
    </w:p>
    <w:p w14:paraId="2A64F18F">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37.3.4.3 必须科学、不得草率；</w:t>
      </w:r>
    </w:p>
    <w:p w14:paraId="6A1821D8">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37.3.4.4 必须客观、不得带有成见；</w:t>
      </w:r>
    </w:p>
    <w:p w14:paraId="3877EDE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37.3.4.5 必须平等、不得强加于人；</w:t>
      </w:r>
    </w:p>
    <w:p w14:paraId="165CFA9C">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37.3.4.6 必须严谨、不得随意马虎。</w:t>
      </w:r>
    </w:p>
    <w:p w14:paraId="19B222D6">
      <w:pPr>
        <w:snapToGrid w:val="0"/>
        <w:spacing w:beforeLines="0" w:afterLines="0" w:line="440" w:lineRule="exact"/>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37.4 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p>
    <w:p w14:paraId="5420FEF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37.5评标结束后，评标委员会递交评标报告并依法推荐中标候选人。 </w:t>
      </w:r>
    </w:p>
    <w:p w14:paraId="6AA941E2">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38．投标文件的澄清</w:t>
      </w:r>
    </w:p>
    <w:p w14:paraId="7D588818">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76E690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38.2 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7C300361">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38.3 评标委员会或评标委员会专业评审组成员均应当阅读投标人的澄清，但应独立参考澄清对投标文件进行评审。</w:t>
      </w:r>
    </w:p>
    <w:p w14:paraId="6821A176">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1E62157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0BCCF60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39．定标</w:t>
      </w:r>
    </w:p>
    <w:p w14:paraId="1691706D">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39.1 招标人根据评标委员会递交的评标报告，最终审定中标人。</w:t>
      </w:r>
    </w:p>
    <w:p w14:paraId="262777B5">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39.2 依法必须进行公开招标的项目，招标人应当确定排名第一的中标候选人为中标人。</w:t>
      </w:r>
    </w:p>
    <w:p w14:paraId="4E3F766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727B4AB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5CDA415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14:paraId="57906D83">
      <w:pPr>
        <w:pStyle w:val="7"/>
        <w:snapToGrid w:val="0"/>
        <w:spacing w:before="0" w:beforeLines="0" w:beforeAutospacing="0" w:after="0" w:afterLines="0" w:afterAutospacing="0" w:line="440" w:lineRule="exact"/>
        <w:ind w:firstLine="480" w:firstLineChars="200"/>
        <w:rPr>
          <w:rFonts w:hint="eastAsia" w:ascii="宋体" w:hAnsi="宋体" w:eastAsia="宋体" w:cs="宋体"/>
          <w:color w:val="auto"/>
          <w:sz w:val="24"/>
          <w:szCs w:val="24"/>
          <w:highlight w:val="none"/>
        </w:rPr>
      </w:pPr>
      <w:bookmarkStart w:id="28" w:name="_Toc825"/>
      <w:r>
        <w:rPr>
          <w:rFonts w:hint="eastAsia" w:ascii="宋体" w:hAnsi="宋体" w:eastAsia="宋体" w:cs="宋体"/>
          <w:color w:val="auto"/>
          <w:sz w:val="24"/>
          <w:szCs w:val="24"/>
          <w:highlight w:val="none"/>
        </w:rPr>
        <w:t>（二）开标评标办法程序和细则</w:t>
      </w:r>
      <w:bookmarkEnd w:id="27"/>
      <w:bookmarkEnd w:id="28"/>
    </w:p>
    <w:p w14:paraId="1184C165">
      <w:pPr>
        <w:snapToGrid w:val="0"/>
        <w:spacing w:beforeLines="0" w:afterLines="0" w:line="440" w:lineRule="exact"/>
        <w:ind w:firstLine="480" w:firstLineChars="200"/>
        <w:rPr>
          <w:rFonts w:hint="eastAsia" w:ascii="宋体" w:hAnsi="宋体" w:eastAsia="宋体" w:cs="宋体"/>
          <w:color w:val="auto"/>
          <w:sz w:val="24"/>
          <w:szCs w:val="24"/>
          <w:highlight w:val="none"/>
        </w:rPr>
      </w:pPr>
      <w:bookmarkStart w:id="29" w:name="_Toc25301"/>
      <w:bookmarkStart w:id="30" w:name="_Toc2272564"/>
      <w:bookmarkStart w:id="31" w:name="_Toc21525509"/>
      <w:r>
        <w:rPr>
          <w:rFonts w:hint="eastAsia" w:ascii="宋体" w:hAnsi="宋体" w:eastAsia="宋体" w:cs="宋体"/>
          <w:color w:val="auto"/>
          <w:sz w:val="24"/>
          <w:szCs w:val="24"/>
          <w:highlight w:val="none"/>
        </w:rPr>
        <w:t>注：以下八种评标办法所述企业综合诚信评价分数即投标截止当日广州市工程招标行业协会网站上公布的企业综合诚信评价60日诚信分。</w:t>
      </w:r>
    </w:p>
    <w:bookmarkEnd w:id="29"/>
    <w:bookmarkEnd w:id="30"/>
    <w:bookmarkEnd w:id="31"/>
    <w:p w14:paraId="41018B01">
      <w:pPr>
        <w:pStyle w:val="8"/>
        <w:snapToGrid w:val="0"/>
        <w:spacing w:before="0"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可选办法七（适合综合评分法四，技术标与经济标同时开启）</w:t>
      </w:r>
    </w:p>
    <w:p w14:paraId="47DF7382">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40．开标和评标程序</w:t>
      </w:r>
    </w:p>
    <w:p w14:paraId="2A8B4277">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40.1技术标（含资格审查文件）与经济标投标文件同时公开开标；</w:t>
      </w:r>
    </w:p>
    <w:p w14:paraId="320939E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40.2由评标委员会对所有已公开开标的投标人进行资格审查；</w:t>
      </w:r>
    </w:p>
    <w:p w14:paraId="3E66CD21">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40.3技术标投标文件有效性审查；</w:t>
      </w:r>
    </w:p>
    <w:p w14:paraId="46016AF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40.4技术标详细审查评分；</w:t>
      </w:r>
    </w:p>
    <w:p w14:paraId="297868FF">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40.5经济标详细审查评分； </w:t>
      </w:r>
    </w:p>
    <w:p w14:paraId="01356CE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40.6评标委员会按照投标人总得分由高至低排序；</w:t>
      </w:r>
    </w:p>
    <w:p w14:paraId="2B8CD2C7">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40.7经济标投标文件有效性审查；</w:t>
      </w:r>
    </w:p>
    <w:p w14:paraId="5E1BEC84">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40.8评标委员会按排序向招标人推荐中标候选人名单，并递交资格审查报告及评标报告。</w:t>
      </w:r>
    </w:p>
    <w:p w14:paraId="54D722C0">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41．开标细则</w:t>
      </w:r>
    </w:p>
    <w:p w14:paraId="5988C468">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41.1开标由招标人主持；</w:t>
      </w:r>
    </w:p>
    <w:p w14:paraId="2F5269A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 细则</w:t>
      </w:r>
    </w:p>
    <w:p w14:paraId="2DC61F5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41.2.1投标截止期前，各投标人递交投标文件（包括技术标投标文件、经济标投标文件）至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交易平台。有关投标文件提交的事项详见第一章投标须知。 </w:t>
      </w:r>
    </w:p>
    <w:p w14:paraId="4A6B6390">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41.2.2开标前，首先由招标人随机抽取确定该工程计算评标参考价的等分点值X。</w:t>
      </w:r>
    </w:p>
    <w:p w14:paraId="7A1A21F9">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41.2.3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EC47C11">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41.2.4按36.5.1的规定完成解密后，公布下列内容，并予以记录，记录提交评标委员会评审： </w:t>
      </w:r>
    </w:p>
    <w:p w14:paraId="673D3823">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6F41AA1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41.3招标人对开标过程进行记录，并存档备查，投标人在技术标开标记录上签字。</w:t>
      </w:r>
    </w:p>
    <w:p w14:paraId="1748C2C0">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41.4 招标人将上述符合要求的投标文件，送至评标委员会进行评审。</w:t>
      </w:r>
    </w:p>
    <w:p w14:paraId="4B02C48E">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资格审查及评标细则</w:t>
      </w:r>
    </w:p>
    <w:p w14:paraId="181C2619">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42.1资格审查及评标均由招标人依法组建的评标委员会负责。</w:t>
      </w:r>
    </w:p>
    <w:p w14:paraId="6A357A74">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42.2评标委员会的组成：方式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125C0D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方式一：评标委员会为综合评标委员会，负责资格审查及评标工作。</w:t>
      </w:r>
    </w:p>
    <w:p w14:paraId="6ED669EA">
      <w:pPr>
        <w:pStyle w:val="4"/>
        <w:tabs>
          <w:tab w:val="left" w:pos="7380"/>
        </w:tabs>
        <w:snapToGrid w:val="0"/>
        <w:spacing w:beforeLines="0" w:after="0" w:afterLines="0"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方式二：评标委员会由技术评审组和经济评审组组成。其中：资格审查及技术评审由技术评标组负责，经济评审由经济评审组负责。</w:t>
      </w:r>
    </w:p>
    <w:p w14:paraId="2DEEEC16">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43．投标人资格审查</w:t>
      </w:r>
    </w:p>
    <w:p w14:paraId="079618ED">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523B78D0">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43.2汇总资格审查情况，编写资格审查报告。</w:t>
      </w:r>
    </w:p>
    <w:p w14:paraId="0031421B">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43.3资格审查不合格的投标文件不参加下一阶段的评标，不参与评标参考价的计算。</w:t>
      </w:r>
    </w:p>
    <w:p w14:paraId="21FCC5D7">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154852C6">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43.5资审合格后，投标人的资格发生变化而不满足投标人合格条件，在发出中标通知书前，资格问题仍未解决的，招标人将取消其中标资格。</w:t>
      </w:r>
    </w:p>
    <w:p w14:paraId="000D1390">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43.6资格审查合格的投标人少于3名的（当N个标段同时招标且不允许兼中时，资格审查合格的投标人少于N+2名），则本项目招标失败。</w:t>
      </w:r>
    </w:p>
    <w:p w14:paraId="7415D229">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44．技术标评审</w:t>
      </w:r>
    </w:p>
    <w:p w14:paraId="145423F1">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667E7AEB">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14:paraId="0F90CBD5">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45．经济标评审和得分汇总</w:t>
      </w:r>
    </w:p>
    <w:p w14:paraId="6C7A5DC5">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45.1若通过技术标有效性审查的投标人中所有投标报价均大于等于最高投标限价，则本项目招标失败，由招标人依法重新招标。</w:t>
      </w:r>
    </w:p>
    <w:p w14:paraId="3F37765E">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45.2计算评标参考价：</w:t>
      </w:r>
    </w:p>
    <w:p w14:paraId="3B1C1CF2">
      <w:pPr>
        <w:widowControl/>
        <w:snapToGrid w:val="0"/>
        <w:spacing w:beforeLines="0" w:afterLines="0" w:line="44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区间抽取法：</w:t>
      </w:r>
    </w:p>
    <w:p w14:paraId="5D6DF9BF">
      <w:pPr>
        <w:widowControl/>
        <w:snapToGrid w:val="0"/>
        <w:spacing w:beforeLines="0" w:afterLines="0" w:line="44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48988137">
      <w:pPr>
        <w:widowControl/>
        <w:snapToGrid w:val="0"/>
        <w:spacing w:beforeLines="0" w:afterLines="0" w:line="440" w:lineRule="exact"/>
        <w:ind w:firstLine="480" w:firstLineChars="200"/>
        <w:rPr>
          <w:rFonts w:hint="eastAsia" w:ascii="宋体" w:hAnsi="宋体" w:eastAsia="宋体" w:cs="宋体"/>
          <w:color w:val="auto"/>
          <w:kern w:val="0"/>
          <w:sz w:val="24"/>
          <w:szCs w:val="24"/>
          <w:highlight w:val="none"/>
          <w:vertAlign w:val="subscript"/>
        </w:rPr>
      </w:pPr>
      <w:r>
        <w:rPr>
          <w:rFonts w:hint="eastAsia" w:ascii="宋体" w:hAnsi="宋体" w:eastAsia="宋体" w:cs="宋体"/>
          <w:color w:val="auto"/>
          <w:kern w:val="0"/>
          <w:sz w:val="24"/>
          <w:szCs w:val="24"/>
          <w:highlight w:val="none"/>
        </w:rPr>
        <w:t>评标参考价=（Q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低</w:t>
      </w:r>
      <w:r>
        <w:rPr>
          <w:rFonts w:hint="eastAsia" w:ascii="宋体" w:hAnsi="宋体" w:eastAsia="宋体" w:cs="宋体"/>
          <w:color w:val="auto"/>
          <w:kern w:val="0"/>
          <w:sz w:val="24"/>
          <w:szCs w:val="24"/>
          <w:highlight w:val="none"/>
        </w:rPr>
        <w:t>）/100*Ｘ+Q</w:t>
      </w:r>
      <w:r>
        <w:rPr>
          <w:rFonts w:hint="eastAsia" w:ascii="宋体" w:hAnsi="宋体" w:eastAsia="宋体" w:cs="宋体"/>
          <w:color w:val="auto"/>
          <w:kern w:val="0"/>
          <w:sz w:val="24"/>
          <w:szCs w:val="24"/>
          <w:highlight w:val="none"/>
          <w:vertAlign w:val="subscript"/>
        </w:rPr>
        <w:t>低</w:t>
      </w:r>
    </w:p>
    <w:p w14:paraId="0DDECA2D">
      <w:pPr>
        <w:widowControl/>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Q</w:t>
      </w:r>
      <w:r>
        <w:rPr>
          <w:rFonts w:hint="eastAsia" w:ascii="宋体" w:hAnsi="宋体" w:eastAsia="宋体" w:cs="宋体"/>
          <w:color w:val="auto"/>
          <w:sz w:val="24"/>
          <w:szCs w:val="24"/>
          <w:highlight w:val="none"/>
          <w:vertAlign w:val="subscript"/>
        </w:rPr>
        <w:t>低</w:t>
      </w:r>
      <w:r>
        <w:rPr>
          <w:rFonts w:hint="eastAsia" w:ascii="宋体" w:hAnsi="宋体" w:eastAsia="宋体" w:cs="宋体"/>
          <w:color w:val="auto"/>
          <w:sz w:val="24"/>
          <w:szCs w:val="24"/>
          <w:highlight w:val="none"/>
        </w:rPr>
        <w:t>：为达到或超过技术标及格分数线的投标人最低报价与工程成本警示价两者中的较高值；</w:t>
      </w:r>
    </w:p>
    <w:p w14:paraId="50B65C6E">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Q</w:t>
      </w:r>
      <w:r>
        <w:rPr>
          <w:rFonts w:hint="eastAsia" w:ascii="宋体" w:hAnsi="宋体" w:eastAsia="宋体" w:cs="宋体"/>
          <w:color w:val="auto"/>
          <w:kern w:val="0"/>
          <w:sz w:val="24"/>
          <w:szCs w:val="24"/>
          <w:highlight w:val="none"/>
          <w:vertAlign w:val="subscript"/>
        </w:rPr>
        <w:t>高</w:t>
      </w:r>
      <w:r>
        <w:rPr>
          <w:rFonts w:hint="eastAsia" w:ascii="宋体" w:hAnsi="宋体" w:eastAsia="宋体" w:cs="宋体"/>
          <w:color w:val="auto"/>
          <w:sz w:val="24"/>
          <w:szCs w:val="24"/>
          <w:highlight w:val="none"/>
        </w:rPr>
        <w:t>：最高投标限价</w:t>
      </w:r>
    </w:p>
    <w:p w14:paraId="6064E682">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X：为等分点值，在开标前从[0,100]整数中随机抽取</w:t>
      </w:r>
    </w:p>
    <w:p w14:paraId="63C699D8">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45.3</w:t>
      </w:r>
      <w:r>
        <w:rPr>
          <w:rFonts w:hint="eastAsia" w:ascii="宋体" w:hAnsi="宋体" w:eastAsia="宋体" w:cs="宋体"/>
          <w:color w:val="auto"/>
          <w:sz w:val="24"/>
          <w:szCs w:val="24"/>
          <w:highlight w:val="none"/>
        </w:rPr>
        <w:t>当标价等于评标参考价时得100分，标价每高于评标参考价1%，扣1.5分，每低于评标参考价1%，扣1分，扣至0分为止，得出经济分，精确到小数点后两位。</w:t>
      </w:r>
    </w:p>
    <w:p w14:paraId="68E2B3B6">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04F9651">
      <w:pPr>
        <w:pStyle w:val="4"/>
        <w:tabs>
          <w:tab w:val="left" w:pos="7380"/>
        </w:tabs>
        <w:snapToGrid w:val="0"/>
        <w:spacing w:beforeLines="0" w:after="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46.经济标的有效性审查</w:t>
      </w:r>
    </w:p>
    <w:p w14:paraId="39B45B65">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884CE0E">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46.2经济标的算术校核。评标委员会对进行经济标有效性审查的投标文件投标报价按照就低不就高的原则进行算术校核，具体标准如下：</w:t>
      </w:r>
    </w:p>
    <w:p w14:paraId="5FDEB4B5">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46.2.1如果数字表示的金额和用文字表示的金额不一致时，应以文字表示的金额为准；</w:t>
      </w:r>
    </w:p>
    <w:p w14:paraId="1467924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46.2.2经算术复核的投标人报价与其投标报价不一致时，按就低不就高原则确定其最终报价；</w:t>
      </w:r>
    </w:p>
    <w:p w14:paraId="4F190477">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3A94EC0A">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46.2.4当合价、金额累加错误时，按就低不就高原则，如果累加修正值小于原累加值，则按累加修正值；如果累加修正值大于原累加值，则按原累加值；</w:t>
      </w:r>
    </w:p>
    <w:p w14:paraId="21EAD17D">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46.2.5如果投标人的有关规费、暂列金额、暂估价、绿色施工安全防护措施费等未按招标文件规定的金额填写的，由评标委员会按照招标文件规定的金额进行修正；</w:t>
      </w:r>
    </w:p>
    <w:p w14:paraId="633F52DB">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46.2.6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12912070">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46.2.7按就低不就高原则，当修正后报价小于原报价，总价按修正后报价；当修正后报价大于原报价，总价按原报价，并在签订合同时载明在结算价中扣除修正报价与原报价的差额。</w:t>
      </w:r>
    </w:p>
    <w:p w14:paraId="78A55552">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46.2.8按上述修正错误的原则及方法调整或修正投标文件的投标报价，调整后的投标报价对投标人起约束作用。如果投标人不接受修正后的报价，则取消其投标资格，并且其投标保证金也将不予退还。</w:t>
      </w:r>
    </w:p>
    <w:p w14:paraId="30227C40">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74799874">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48.评标委员会应在通过投标文件经济标有效性审查的投标人中，按步骤45.4确定的投标人第二阶段排序，推荐前3名依次为第一中标候选人至第三中标候选人，并编制评标报告。</w:t>
      </w:r>
    </w:p>
    <w:p w14:paraId="47CC06C8">
      <w:pPr>
        <w:snapToGrid w:val="0"/>
        <w:spacing w:beforeLines="0" w:afterLines="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49.若通过经济标有效性审查的投标人不足三家，应当依法重新招标。（当N个标段同时招标且不允许兼中时，若有效投标人不足N+2家，应当依法重新招标）</w:t>
      </w:r>
    </w:p>
    <w:p w14:paraId="27D1D2B7">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附件</w:t>
      </w:r>
      <w:r>
        <w:rPr>
          <w:rFonts w:ascii="宋体" w:hAnsi="宋体" w:cs="宋体"/>
          <w:b/>
          <w:color w:val="auto"/>
          <w:sz w:val="28"/>
          <w:szCs w:val="28"/>
          <w:highlight w:val="none"/>
        </w:rPr>
        <w:t>1</w:t>
      </w:r>
    </w:p>
    <w:p w14:paraId="1E44757B">
      <w:pPr>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评标委员会成员声明</w:t>
      </w:r>
    </w:p>
    <w:p w14:paraId="1D94EB08">
      <w:pPr>
        <w:spacing w:line="360" w:lineRule="auto"/>
        <w:rPr>
          <w:rFonts w:hint="eastAsia" w:ascii="宋体" w:hAnsi="宋体" w:cs="宋体"/>
          <w:color w:val="auto"/>
          <w:sz w:val="24"/>
          <w:szCs w:val="24"/>
          <w:highlight w:val="none"/>
        </w:rPr>
      </w:pP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本项目招标人</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0795B2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本人就参与</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项目的评标工作，作出郑重声明：</w:t>
      </w:r>
    </w:p>
    <w:p w14:paraId="29455EB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458BFF3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009B28F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744A08A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3F70C9B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26C517A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如果本人违反上述声明内容，造成的后果由本人自行承担。</w:t>
      </w:r>
    </w:p>
    <w:p w14:paraId="39248038">
      <w:pPr>
        <w:spacing w:line="360" w:lineRule="auto"/>
        <w:ind w:firstLine="480" w:firstLineChars="200"/>
        <w:rPr>
          <w:rFonts w:hint="eastAsia" w:ascii="宋体" w:hAnsi="宋体" w:cs="宋体"/>
          <w:color w:val="auto"/>
          <w:sz w:val="24"/>
          <w:szCs w:val="24"/>
          <w:highlight w:val="none"/>
        </w:rPr>
      </w:pPr>
    </w:p>
    <w:p w14:paraId="7A3CAB99">
      <w:pPr>
        <w:spacing w:line="360" w:lineRule="auto"/>
        <w:rPr>
          <w:rFonts w:ascii="宋体" w:hAnsi="宋体" w:cs="宋体"/>
          <w:b/>
          <w:color w:val="auto"/>
          <w:sz w:val="24"/>
          <w:szCs w:val="24"/>
          <w:highlight w:val="none"/>
          <w:u w:val="single"/>
        </w:rPr>
      </w:pPr>
      <w:r>
        <w:rPr>
          <w:rFonts w:ascii="宋体" w:hAnsi="宋体" w:cs="宋体"/>
          <w:color w:val="auto"/>
          <w:sz w:val="24"/>
          <w:szCs w:val="24"/>
          <w:highlight w:val="none"/>
        </w:rPr>
        <w:t xml:space="preserve">                             </w:t>
      </w:r>
      <w:r>
        <w:rPr>
          <w:rFonts w:hint="eastAsia" w:ascii="宋体" w:hAnsi="宋体" w:cs="宋体"/>
          <w:b/>
          <w:color w:val="auto"/>
          <w:sz w:val="24"/>
          <w:szCs w:val="24"/>
          <w:highlight w:val="none"/>
        </w:rPr>
        <w:t>声明人：</w:t>
      </w:r>
      <w:r>
        <w:rPr>
          <w:rFonts w:hint="eastAsia" w:ascii="宋体" w:hAnsi="宋体" w:cs="宋体"/>
          <w:b/>
          <w:color w:val="auto"/>
          <w:sz w:val="24"/>
          <w:szCs w:val="24"/>
          <w:highlight w:val="none"/>
          <w:u w:val="single"/>
        </w:rPr>
        <w:t>（签名）</w:t>
      </w:r>
      <w:r>
        <w:rPr>
          <w:rFonts w:ascii="宋体" w:hAnsi="宋体" w:cs="宋体"/>
          <w:b/>
          <w:color w:val="auto"/>
          <w:sz w:val="24"/>
          <w:szCs w:val="24"/>
          <w:highlight w:val="none"/>
          <w:u w:val="single"/>
        </w:rPr>
        <w:t xml:space="preserve">  </w:t>
      </w:r>
    </w:p>
    <w:p w14:paraId="2E24D49E">
      <w:pPr>
        <w:rPr>
          <w:rFonts w:hint="eastAsia" w:ascii="宋体" w:hAnsi="宋体" w:eastAsia="宋体" w:cs="宋体"/>
          <w:b/>
          <w:color w:val="auto"/>
          <w:sz w:val="28"/>
          <w:szCs w:val="28"/>
          <w:highlight w:val="none"/>
          <w:lang w:eastAsia="zh-CN"/>
        </w:rPr>
      </w:pPr>
      <w:r>
        <w:rPr>
          <w:rFonts w:ascii="宋体" w:hAnsi="宋体" w:cs="宋体"/>
          <w:b/>
          <w:color w:val="auto"/>
          <w:sz w:val="24"/>
          <w:szCs w:val="24"/>
          <w:highlight w:val="none"/>
          <w:u w:val="single"/>
        </w:rPr>
        <w:br w:type="page"/>
      </w:r>
      <w:r>
        <w:rPr>
          <w:rFonts w:hint="eastAsia" w:ascii="宋体" w:hAnsi="宋体" w:cs="宋体"/>
          <w:b/>
          <w:color w:val="auto"/>
          <w:sz w:val="28"/>
          <w:szCs w:val="28"/>
          <w:highlight w:val="none"/>
        </w:rPr>
        <w:t>附件</w:t>
      </w:r>
      <w:r>
        <w:rPr>
          <w:rFonts w:hint="eastAsia" w:ascii="宋体" w:hAnsi="宋体" w:cs="宋体"/>
          <w:b/>
          <w:color w:val="auto"/>
          <w:sz w:val="28"/>
          <w:szCs w:val="28"/>
          <w:highlight w:val="none"/>
          <w:lang w:val="en-US" w:eastAsia="zh-CN"/>
        </w:rPr>
        <w:t>2</w:t>
      </w:r>
    </w:p>
    <w:p w14:paraId="31F267A3">
      <w:pPr>
        <w:ind w:firstLine="723" w:firstLineChars="200"/>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lang w:val="en-US" w:eastAsia="zh-CN"/>
        </w:rPr>
        <w:t>定</w:t>
      </w:r>
      <w:r>
        <w:rPr>
          <w:rFonts w:hint="eastAsia" w:ascii="宋体" w:hAnsi="宋体" w:cs="宋体"/>
          <w:b/>
          <w:bCs/>
          <w:color w:val="auto"/>
          <w:sz w:val="36"/>
          <w:szCs w:val="36"/>
          <w:highlight w:val="none"/>
        </w:rPr>
        <w:t>标委员会成员声明</w:t>
      </w:r>
    </w:p>
    <w:p w14:paraId="5B6B5A1E">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本项目招标人</w:t>
      </w:r>
      <w:r>
        <w:rPr>
          <w:rFonts w:hint="eastAsia" w:ascii="宋体" w:hAnsi="宋体"/>
          <w:color w:val="auto"/>
          <w:sz w:val="24"/>
          <w:szCs w:val="24"/>
          <w:highlight w:val="none"/>
        </w:rPr>
        <w:t>：</w:t>
      </w:r>
    </w:p>
    <w:p w14:paraId="47D3B026">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本人就参与</w:t>
      </w:r>
      <w:r>
        <w:rPr>
          <w:rFonts w:hint="eastAsia" w:ascii="宋体" w:hAnsi="宋体"/>
          <w:color w:val="auto"/>
          <w:sz w:val="24"/>
          <w:szCs w:val="24"/>
          <w:highlight w:val="none"/>
          <w:u w:val="single"/>
        </w:rPr>
        <w:t xml:space="preserve"> </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 xml:space="preserve">（项目名称） </w:t>
      </w:r>
      <w:r>
        <w:rPr>
          <w:rFonts w:ascii="宋体" w:hAnsi="宋体"/>
          <w:color w:val="auto"/>
          <w:sz w:val="24"/>
          <w:szCs w:val="24"/>
          <w:highlight w:val="none"/>
          <w:u w:val="single"/>
        </w:rPr>
        <w:t xml:space="preserve">   </w:t>
      </w:r>
      <w:r>
        <w:rPr>
          <w:rFonts w:hint="eastAsia" w:ascii="宋体" w:hAnsi="宋体"/>
          <w:color w:val="auto"/>
          <w:sz w:val="24"/>
          <w:szCs w:val="24"/>
          <w:highlight w:val="none"/>
        </w:rPr>
        <w:t>项目的定标工作，作出郑重声明：</w:t>
      </w:r>
    </w:p>
    <w:p w14:paraId="06ADA311">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本人严格遵守定标场所管理规定，服从定标场所现场管理。本人完全知悉并自愿在评审过程中通过电子手写签名板产生电子形式的签名，并认同由此方式产生的签名与本人手写、电子签名具有同等效力；本人使用该签名所签署的定标（审）材料及内容均为本人充分理解并符合本人真实意思表示。</w:t>
      </w:r>
    </w:p>
    <w:p w14:paraId="1334DC65">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本项目定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198E7CEB">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本人将按照本项目招标文件规定的定标标准和方法，客观、公正地对投标文件提出评审意见，不故意拖延定标时间，或者敷衍塞责随意定标，不透露本项目定标委员会成员身份，不透露对本项目投标文件的评审和比较、中标人的情况、在定标过程中知悉的国家秘密和商业秘密以及与定标有关的其他情况。在本项目定标过程中，本人不对定标委员会其他成员的独立评审施加不当影响；不接受任何单位或者个人明示或者暗示提出的倾向或者排斥本项目特定投标人的要求；不对定标委员会其他成员或者其他人员发表带有倾向性、误导性的言论或者暗示性的意见建议。</w:t>
      </w:r>
    </w:p>
    <w:p w14:paraId="410CB4C3">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定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08DF9A4D">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招标监督机构依法处理本项目投诉、信访或者举报时，经调查后确认本人存在评审错误的，本人接受招标人不支付本项目评审酬劳、将本人列入招标人评（定）标专家回避名单等相关处理措施，本人也接受本项目招标监督机构依法对本人进行的处理。</w:t>
      </w:r>
    </w:p>
    <w:p w14:paraId="7E69C614">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如果本人违反上述声明内容，造成的后果由本人自行承担。</w:t>
      </w:r>
    </w:p>
    <w:p w14:paraId="222DFAB9">
      <w:pPr>
        <w:spacing w:line="360" w:lineRule="auto"/>
        <w:ind w:firstLine="480" w:firstLineChars="200"/>
        <w:rPr>
          <w:rFonts w:ascii="宋体" w:hAnsi="宋体"/>
          <w:color w:val="auto"/>
          <w:sz w:val="24"/>
          <w:szCs w:val="24"/>
          <w:highlight w:val="none"/>
        </w:rPr>
      </w:pPr>
    </w:p>
    <w:p w14:paraId="25805A6D">
      <w:pPr>
        <w:widowControl/>
        <w:wordWrap/>
        <w:snapToGrid/>
        <w:spacing w:line="360" w:lineRule="auto"/>
        <w:ind w:right="0" w:firstLine="560" w:firstLineChars="200"/>
        <w:jc w:val="left"/>
        <w:outlineLvl w:val="9"/>
        <w:rPr>
          <w:rFonts w:hint="eastAsia" w:ascii="宋体" w:hAnsi="宋体" w:eastAsia="宋体" w:cs="宋体"/>
          <w:color w:val="auto"/>
          <w:szCs w:val="21"/>
          <w:highlight w:val="none"/>
        </w:rPr>
      </w:pPr>
      <w:r>
        <w:rPr>
          <w:rFonts w:hint="eastAsia" w:ascii="宋体" w:hAnsi="宋体"/>
          <w:color w:val="auto"/>
          <w:sz w:val="28"/>
          <w:szCs w:val="28"/>
          <w:highlight w:val="none"/>
        </w:rPr>
        <w:t xml:space="preserve"> </w:t>
      </w:r>
      <w:r>
        <w:rPr>
          <w:rFonts w:ascii="宋体" w:hAnsi="宋体"/>
          <w:color w:val="auto"/>
          <w:sz w:val="28"/>
          <w:szCs w:val="28"/>
          <w:highlight w:val="none"/>
        </w:rPr>
        <w:t xml:space="preserve">                        </w:t>
      </w:r>
      <w:r>
        <w:rPr>
          <w:rFonts w:hint="eastAsia" w:ascii="宋体" w:hAnsi="宋体"/>
          <w:color w:val="auto"/>
          <w:sz w:val="28"/>
          <w:szCs w:val="28"/>
          <w:highlight w:val="none"/>
        </w:rPr>
        <w:t>声明人：</w:t>
      </w:r>
      <w:r>
        <w:rPr>
          <w:rFonts w:hint="eastAsia" w:ascii="宋体" w:hAnsi="宋体"/>
          <w:color w:val="auto"/>
          <w:sz w:val="28"/>
          <w:szCs w:val="28"/>
          <w:highlight w:val="none"/>
          <w:u w:val="single"/>
        </w:rPr>
        <w:t>（签名）</w:t>
      </w:r>
      <w:r>
        <w:rPr>
          <w:rFonts w:hint="eastAsia" w:ascii="宋体" w:hAnsi="宋体" w:cs="宋体"/>
          <w:color w:val="auto"/>
          <w:szCs w:val="21"/>
          <w:highlight w:val="none"/>
        </w:rPr>
        <w:br w:type="page"/>
      </w:r>
      <w:r>
        <w:rPr>
          <w:rFonts w:hint="eastAsia" w:ascii="宋体" w:hAnsi="宋体" w:eastAsia="宋体" w:cs="宋体"/>
          <w:color w:val="auto"/>
          <w:szCs w:val="21"/>
          <w:highlight w:val="none"/>
        </w:rPr>
        <w:t>附表一：</w:t>
      </w:r>
    </w:p>
    <w:p w14:paraId="481D4B3B">
      <w:pPr>
        <w:jc w:val="center"/>
        <w:outlineLvl w:val="4"/>
        <w:rPr>
          <w:rFonts w:hint="eastAsia" w:ascii="宋体" w:hAnsi="宋体" w:cs="宋体"/>
          <w:b/>
          <w:color w:val="auto"/>
          <w:sz w:val="32"/>
          <w:szCs w:val="32"/>
          <w:highlight w:val="none"/>
        </w:rPr>
      </w:pPr>
      <w:r>
        <w:rPr>
          <w:rFonts w:hint="eastAsia" w:ascii="宋体" w:hAnsi="宋体" w:cs="宋体"/>
          <w:b/>
          <w:color w:val="auto"/>
          <w:sz w:val="32"/>
          <w:szCs w:val="32"/>
          <w:highlight w:val="none"/>
        </w:rPr>
        <w:t>资格审查表</w:t>
      </w:r>
    </w:p>
    <w:p w14:paraId="40580D88">
      <w:pPr>
        <w:jc w:val="left"/>
        <w:rPr>
          <w:rFonts w:hint="eastAsia" w:ascii="宋体" w:hAnsi="宋体" w:cs="宋体"/>
          <w:color w:val="auto"/>
          <w:szCs w:val="21"/>
          <w:highlight w:val="none"/>
        </w:rPr>
      </w:pPr>
      <w:r>
        <w:rPr>
          <w:rFonts w:hint="eastAsia" w:ascii="宋体" w:hAnsi="宋体" w:cs="宋体"/>
          <w:color w:val="auto"/>
          <w:szCs w:val="21"/>
          <w:highlight w:val="none"/>
        </w:rPr>
        <w:t>工程名称：</w:t>
      </w:r>
    </w:p>
    <w:p w14:paraId="003713E2">
      <w:pPr>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8"/>
        <w:gridCol w:w="4420"/>
        <w:gridCol w:w="4189"/>
        <w:gridCol w:w="727"/>
      </w:tblGrid>
      <w:tr w14:paraId="515DF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28F5CB5D">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2219" w:type="pct"/>
            <w:tcBorders>
              <w:top w:val="single" w:color="auto" w:sz="4" w:space="0"/>
              <w:left w:val="single" w:color="auto" w:sz="4" w:space="0"/>
              <w:bottom w:val="single" w:color="auto" w:sz="4" w:space="0"/>
              <w:right w:val="single" w:color="auto" w:sz="4" w:space="0"/>
            </w:tcBorders>
            <w:vAlign w:val="center"/>
          </w:tcPr>
          <w:p w14:paraId="2B11DE84">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审查项目</w:t>
            </w:r>
          </w:p>
        </w:tc>
        <w:tc>
          <w:tcPr>
            <w:tcW w:w="2103" w:type="pct"/>
            <w:tcBorders>
              <w:top w:val="single" w:color="auto" w:sz="4" w:space="0"/>
              <w:left w:val="single" w:color="auto" w:sz="4" w:space="0"/>
              <w:bottom w:val="single" w:color="auto" w:sz="4" w:space="0"/>
              <w:right w:val="single" w:color="auto" w:sz="4" w:space="0"/>
            </w:tcBorders>
            <w:vAlign w:val="center"/>
          </w:tcPr>
          <w:p w14:paraId="1B295E20">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须审查的资料</w:t>
            </w:r>
          </w:p>
        </w:tc>
        <w:tc>
          <w:tcPr>
            <w:tcW w:w="365" w:type="pct"/>
            <w:tcBorders>
              <w:top w:val="single" w:color="auto" w:sz="4" w:space="0"/>
              <w:left w:val="single" w:color="auto" w:sz="4" w:space="0"/>
              <w:bottom w:val="single" w:color="auto" w:sz="4" w:space="0"/>
              <w:right w:val="single" w:color="auto" w:sz="4" w:space="0"/>
            </w:tcBorders>
            <w:vAlign w:val="center"/>
          </w:tcPr>
          <w:p w14:paraId="7C0CDEEC">
            <w:pPr>
              <w:spacing w:before="120" w:after="60"/>
              <w:jc w:val="center"/>
              <w:rPr>
                <w:rFonts w:hint="eastAsia" w:ascii="宋体" w:hAnsi="宋体" w:cs="宋体"/>
                <w:b/>
                <w:color w:val="auto"/>
                <w:szCs w:val="21"/>
                <w:highlight w:val="none"/>
              </w:rPr>
            </w:pPr>
            <w:r>
              <w:rPr>
                <w:rFonts w:hint="eastAsia" w:ascii="宋体" w:hAnsi="宋体" w:cs="宋体"/>
                <w:b/>
                <w:color w:val="auto"/>
                <w:szCs w:val="21"/>
                <w:highlight w:val="none"/>
              </w:rPr>
              <w:t>审查结果</w:t>
            </w:r>
          </w:p>
        </w:tc>
      </w:tr>
      <w:tr w14:paraId="73DB3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19E89077">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2219" w:type="pct"/>
            <w:tcBorders>
              <w:top w:val="single" w:color="auto" w:sz="4" w:space="0"/>
              <w:left w:val="single" w:color="auto" w:sz="4" w:space="0"/>
              <w:bottom w:val="single" w:color="auto" w:sz="4" w:space="0"/>
              <w:right w:val="single" w:color="auto" w:sz="4" w:space="0"/>
            </w:tcBorders>
            <w:vAlign w:val="center"/>
          </w:tcPr>
          <w:p w14:paraId="7ABF0D91">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2103" w:type="pct"/>
            <w:tcBorders>
              <w:top w:val="single" w:color="auto" w:sz="4" w:space="0"/>
              <w:left w:val="single" w:color="auto" w:sz="4" w:space="0"/>
              <w:bottom w:val="single" w:color="auto" w:sz="4" w:space="0"/>
              <w:right w:val="single" w:color="auto" w:sz="4" w:space="0"/>
            </w:tcBorders>
            <w:vAlign w:val="center"/>
          </w:tcPr>
          <w:p w14:paraId="23431391">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投标人声明、法定代表人证明书；委托投标的还应提供法定代表人授权委托证明书</w:t>
            </w:r>
          </w:p>
        </w:tc>
        <w:tc>
          <w:tcPr>
            <w:tcW w:w="365" w:type="pct"/>
            <w:tcBorders>
              <w:top w:val="single" w:color="auto" w:sz="4" w:space="0"/>
              <w:left w:val="single" w:color="auto" w:sz="4" w:space="0"/>
              <w:bottom w:val="single" w:color="auto" w:sz="4" w:space="0"/>
              <w:right w:val="single" w:color="auto" w:sz="4" w:space="0"/>
            </w:tcBorders>
            <w:vAlign w:val="center"/>
          </w:tcPr>
          <w:p w14:paraId="17C812D4">
            <w:pPr>
              <w:spacing w:before="120" w:after="60"/>
              <w:jc w:val="center"/>
              <w:rPr>
                <w:rFonts w:hint="eastAsia" w:ascii="宋体" w:hAnsi="宋体" w:cs="宋体"/>
                <w:color w:val="auto"/>
                <w:szCs w:val="21"/>
                <w:highlight w:val="none"/>
              </w:rPr>
            </w:pPr>
          </w:p>
        </w:tc>
      </w:tr>
      <w:tr w14:paraId="7825C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5CDF3BDB">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2219" w:type="pct"/>
            <w:tcBorders>
              <w:top w:val="single" w:color="auto" w:sz="4" w:space="0"/>
              <w:left w:val="single" w:color="auto" w:sz="4" w:space="0"/>
              <w:bottom w:val="single" w:color="auto" w:sz="4" w:space="0"/>
              <w:right w:val="single" w:color="auto" w:sz="4" w:space="0"/>
            </w:tcBorders>
            <w:vAlign w:val="center"/>
          </w:tcPr>
          <w:p w14:paraId="4E979F2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2103" w:type="pct"/>
            <w:tcBorders>
              <w:top w:val="single" w:color="auto" w:sz="4" w:space="0"/>
              <w:left w:val="single" w:color="auto" w:sz="4" w:space="0"/>
              <w:bottom w:val="single" w:color="auto" w:sz="4" w:space="0"/>
              <w:right w:val="single" w:color="auto" w:sz="4" w:space="0"/>
            </w:tcBorders>
            <w:vAlign w:val="center"/>
          </w:tcPr>
          <w:p w14:paraId="417F1A2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营业执照扫描件或电子证照</w:t>
            </w:r>
          </w:p>
        </w:tc>
        <w:tc>
          <w:tcPr>
            <w:tcW w:w="365" w:type="pct"/>
            <w:tcBorders>
              <w:top w:val="single" w:color="auto" w:sz="4" w:space="0"/>
              <w:left w:val="single" w:color="auto" w:sz="4" w:space="0"/>
              <w:bottom w:val="single" w:color="auto" w:sz="4" w:space="0"/>
              <w:right w:val="single" w:color="auto" w:sz="4" w:space="0"/>
            </w:tcBorders>
            <w:vAlign w:val="center"/>
          </w:tcPr>
          <w:p w14:paraId="694DCF6E">
            <w:pPr>
              <w:spacing w:before="120" w:after="60"/>
              <w:jc w:val="center"/>
              <w:rPr>
                <w:rFonts w:hint="eastAsia" w:ascii="宋体" w:hAnsi="宋体" w:cs="宋体"/>
                <w:color w:val="auto"/>
                <w:szCs w:val="21"/>
                <w:highlight w:val="none"/>
              </w:rPr>
            </w:pPr>
          </w:p>
        </w:tc>
      </w:tr>
      <w:tr w14:paraId="11064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62D41FA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2219" w:type="pct"/>
            <w:tcBorders>
              <w:top w:val="single" w:color="auto" w:sz="4" w:space="0"/>
              <w:left w:val="single" w:color="auto" w:sz="4" w:space="0"/>
              <w:bottom w:val="single" w:color="auto" w:sz="4" w:space="0"/>
              <w:right w:val="single" w:color="auto" w:sz="4" w:space="0"/>
            </w:tcBorders>
            <w:vAlign w:val="center"/>
          </w:tcPr>
          <w:p w14:paraId="7D47039C">
            <w:pPr>
              <w:jc w:val="center"/>
              <w:rPr>
                <w:rFonts w:hint="eastAsia"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5B51756A">
            <w:pPr>
              <w:jc w:val="center"/>
              <w:rPr>
                <w:rFonts w:hint="eastAsia" w:ascii="宋体" w:hAnsi="宋体" w:cs="宋体"/>
                <w:color w:val="auto"/>
                <w:szCs w:val="21"/>
                <w:highlight w:val="none"/>
              </w:rPr>
            </w:pPr>
            <w:r>
              <w:rPr>
                <w:rFonts w:hint="eastAsia" w:ascii="宋体" w:hAnsi="宋体" w:cs="宋体"/>
                <w:color w:val="auto"/>
                <w:szCs w:val="21"/>
                <w:highlight w:val="none"/>
              </w:rPr>
              <w:t>资质证书扫描件或电子证照、安全生产许可证扫描件或电子证照</w:t>
            </w:r>
          </w:p>
        </w:tc>
        <w:tc>
          <w:tcPr>
            <w:tcW w:w="365" w:type="pct"/>
            <w:tcBorders>
              <w:top w:val="single" w:color="auto" w:sz="4" w:space="0"/>
              <w:left w:val="single" w:color="auto" w:sz="4" w:space="0"/>
              <w:bottom w:val="single" w:color="auto" w:sz="4" w:space="0"/>
              <w:right w:val="single" w:color="auto" w:sz="4" w:space="0"/>
            </w:tcBorders>
            <w:vAlign w:val="center"/>
          </w:tcPr>
          <w:p w14:paraId="75CB9B8A">
            <w:pPr>
              <w:spacing w:before="120" w:after="60"/>
              <w:jc w:val="center"/>
              <w:rPr>
                <w:rFonts w:hint="eastAsia" w:ascii="宋体" w:hAnsi="宋体" w:cs="宋体"/>
                <w:color w:val="auto"/>
                <w:szCs w:val="21"/>
                <w:highlight w:val="none"/>
              </w:rPr>
            </w:pPr>
          </w:p>
        </w:tc>
      </w:tr>
      <w:tr w14:paraId="0F755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469539FA">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2219" w:type="pct"/>
            <w:tcBorders>
              <w:top w:val="single" w:color="auto" w:sz="4" w:space="0"/>
              <w:left w:val="single" w:color="auto" w:sz="4" w:space="0"/>
              <w:bottom w:val="single" w:color="auto" w:sz="4" w:space="0"/>
              <w:right w:val="single" w:color="auto" w:sz="4" w:space="0"/>
            </w:tcBorders>
            <w:vAlign w:val="center"/>
          </w:tcPr>
          <w:p w14:paraId="76C0D92A">
            <w:pPr>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61ADAFE3">
            <w:pPr>
              <w:jc w:val="center"/>
              <w:rPr>
                <w:rFonts w:hint="eastAsia" w:ascii="宋体" w:hAnsi="宋体" w:cs="宋体"/>
                <w:color w:val="auto"/>
                <w:szCs w:val="21"/>
                <w:highlight w:val="none"/>
              </w:rPr>
            </w:pPr>
            <w:r>
              <w:rPr>
                <w:rFonts w:hint="eastAsia" w:ascii="宋体" w:hAnsi="宋体" w:cs="宋体"/>
                <w:color w:val="auto"/>
                <w:szCs w:val="21"/>
                <w:highlight w:val="none"/>
              </w:rPr>
              <w:t>有效期内的建造师注册证书扫描件或电子证书（注：打印建造师电子证书后，在个人签名处手写本人签名再扫描提交。）</w:t>
            </w:r>
          </w:p>
        </w:tc>
        <w:tc>
          <w:tcPr>
            <w:tcW w:w="365" w:type="pct"/>
            <w:tcBorders>
              <w:top w:val="single" w:color="auto" w:sz="4" w:space="0"/>
              <w:left w:val="single" w:color="auto" w:sz="4" w:space="0"/>
              <w:bottom w:val="single" w:color="auto" w:sz="4" w:space="0"/>
              <w:right w:val="single" w:color="auto" w:sz="4" w:space="0"/>
            </w:tcBorders>
            <w:vAlign w:val="center"/>
          </w:tcPr>
          <w:p w14:paraId="11AAD05E">
            <w:pPr>
              <w:spacing w:before="120" w:after="60"/>
              <w:jc w:val="center"/>
              <w:rPr>
                <w:rFonts w:hint="eastAsia" w:ascii="宋体" w:hAnsi="宋体" w:cs="宋体"/>
                <w:color w:val="auto"/>
                <w:szCs w:val="21"/>
                <w:highlight w:val="none"/>
              </w:rPr>
            </w:pPr>
          </w:p>
        </w:tc>
      </w:tr>
      <w:tr w14:paraId="11F2F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3BA0E52C">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2219" w:type="pct"/>
            <w:tcBorders>
              <w:top w:val="single" w:color="auto" w:sz="4" w:space="0"/>
              <w:left w:val="single" w:color="auto" w:sz="4" w:space="0"/>
              <w:bottom w:val="single" w:color="auto" w:sz="4" w:space="0"/>
              <w:right w:val="single" w:color="auto" w:sz="4" w:space="0"/>
            </w:tcBorders>
            <w:vAlign w:val="center"/>
          </w:tcPr>
          <w:p w14:paraId="326F8C94">
            <w:pPr>
              <w:jc w:val="center"/>
              <w:rPr>
                <w:rFonts w:hint="eastAsia" w:ascii="宋体" w:hAnsi="宋体" w:cs="宋体"/>
                <w:color w:val="auto"/>
                <w:szCs w:val="21"/>
                <w:highlight w:val="none"/>
              </w:rPr>
            </w:pPr>
            <w:r>
              <w:rPr>
                <w:rFonts w:hint="eastAsia" w:ascii="宋体" w:hAnsi="宋体" w:cs="宋体"/>
                <w:color w:val="auto"/>
                <w:szCs w:val="21"/>
                <w:highlight w:val="none"/>
              </w:rPr>
              <w:t>持有</w:t>
            </w:r>
            <w:r>
              <w:rPr>
                <w:rFonts w:hint="eastAsia" w:ascii="宋体" w:hAnsi="宋体" w:cs="宋体"/>
                <w:color w:val="auto"/>
                <w:szCs w:val="21"/>
                <w:highlight w:val="none"/>
                <w:u w:val="single"/>
              </w:rPr>
              <w:t>在有效期内的</w:t>
            </w:r>
            <w:r>
              <w:rPr>
                <w:rFonts w:hint="eastAsia" w:ascii="宋体" w:hAnsi="宋体" w:cs="宋体"/>
                <w:color w:val="auto"/>
                <w:szCs w:val="21"/>
                <w:highlight w:val="none"/>
              </w:rPr>
              <w:t>项目负责人安全生产考核合格证（B类）或建筑施工企业项目负责人安全生产考核合格证</w:t>
            </w:r>
          </w:p>
        </w:tc>
        <w:tc>
          <w:tcPr>
            <w:tcW w:w="2103" w:type="pct"/>
            <w:tcBorders>
              <w:top w:val="single" w:color="auto" w:sz="4" w:space="0"/>
              <w:left w:val="single" w:color="auto" w:sz="4" w:space="0"/>
              <w:bottom w:val="single" w:color="auto" w:sz="4" w:space="0"/>
              <w:right w:val="single" w:color="auto" w:sz="4" w:space="0"/>
            </w:tcBorders>
            <w:vAlign w:val="center"/>
          </w:tcPr>
          <w:p w14:paraId="18688614">
            <w:pPr>
              <w:jc w:val="center"/>
              <w:rPr>
                <w:rFonts w:hint="eastAsia"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项目负责人安全生产考核合格证（B类）或建筑施工企业项目负责人安全生产考核合格证证书扫描件或电子证书</w:t>
            </w:r>
          </w:p>
        </w:tc>
        <w:tc>
          <w:tcPr>
            <w:tcW w:w="365" w:type="pct"/>
            <w:tcBorders>
              <w:top w:val="single" w:color="auto" w:sz="4" w:space="0"/>
              <w:left w:val="single" w:color="auto" w:sz="4" w:space="0"/>
              <w:bottom w:val="single" w:color="auto" w:sz="4" w:space="0"/>
              <w:right w:val="single" w:color="auto" w:sz="4" w:space="0"/>
            </w:tcBorders>
            <w:vAlign w:val="center"/>
          </w:tcPr>
          <w:p w14:paraId="3ADC1EFA">
            <w:pPr>
              <w:spacing w:before="120" w:after="60"/>
              <w:jc w:val="center"/>
              <w:rPr>
                <w:rFonts w:hint="eastAsia" w:ascii="宋体" w:hAnsi="宋体" w:cs="宋体"/>
                <w:color w:val="auto"/>
                <w:szCs w:val="21"/>
                <w:highlight w:val="none"/>
              </w:rPr>
            </w:pPr>
          </w:p>
        </w:tc>
      </w:tr>
      <w:tr w14:paraId="307BF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4F6820E0">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2219" w:type="pct"/>
            <w:tcBorders>
              <w:top w:val="single" w:color="auto" w:sz="4" w:space="0"/>
              <w:left w:val="single" w:color="auto" w:sz="4" w:space="0"/>
              <w:bottom w:val="single" w:color="auto" w:sz="4" w:space="0"/>
              <w:right w:val="single" w:color="auto" w:sz="4" w:space="0"/>
            </w:tcBorders>
            <w:vAlign w:val="center"/>
          </w:tcPr>
          <w:p w14:paraId="35C10EBB">
            <w:pPr>
              <w:jc w:val="center"/>
              <w:rPr>
                <w:rFonts w:hint="eastAsia"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775F3B10">
            <w:pPr>
              <w:jc w:val="center"/>
              <w:rPr>
                <w:rFonts w:hint="eastAsia" w:ascii="宋体" w:hAnsi="宋体" w:cs="宋体"/>
                <w:color w:val="auto"/>
                <w:szCs w:val="21"/>
                <w:highlight w:val="none"/>
              </w:rPr>
            </w:pPr>
            <w:r>
              <w:rPr>
                <w:rFonts w:hint="eastAsia" w:ascii="宋体" w:hAnsi="宋体" w:cs="宋体"/>
                <w:color w:val="auto"/>
                <w:szCs w:val="21"/>
                <w:highlight w:val="none"/>
              </w:rPr>
              <w:t>拟委托技术负责人的职称证书扫描件</w:t>
            </w:r>
          </w:p>
        </w:tc>
        <w:tc>
          <w:tcPr>
            <w:tcW w:w="365" w:type="pct"/>
            <w:tcBorders>
              <w:top w:val="single" w:color="auto" w:sz="4" w:space="0"/>
              <w:left w:val="single" w:color="auto" w:sz="4" w:space="0"/>
              <w:bottom w:val="single" w:color="auto" w:sz="4" w:space="0"/>
              <w:right w:val="single" w:color="auto" w:sz="4" w:space="0"/>
            </w:tcBorders>
            <w:vAlign w:val="center"/>
          </w:tcPr>
          <w:p w14:paraId="651E3F6C">
            <w:pPr>
              <w:spacing w:before="120" w:after="60"/>
              <w:jc w:val="center"/>
              <w:rPr>
                <w:rFonts w:hint="eastAsia" w:ascii="宋体" w:hAnsi="宋体" w:cs="宋体"/>
                <w:color w:val="auto"/>
                <w:szCs w:val="21"/>
                <w:highlight w:val="none"/>
              </w:rPr>
            </w:pPr>
          </w:p>
        </w:tc>
      </w:tr>
      <w:tr w14:paraId="16815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75F7B36E">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2219" w:type="pct"/>
            <w:tcBorders>
              <w:top w:val="single" w:color="auto" w:sz="4" w:space="0"/>
              <w:left w:val="single" w:color="auto" w:sz="4" w:space="0"/>
              <w:bottom w:val="single" w:color="auto" w:sz="4" w:space="0"/>
              <w:right w:val="single" w:color="auto" w:sz="4" w:space="0"/>
            </w:tcBorders>
            <w:vAlign w:val="center"/>
          </w:tcPr>
          <w:p w14:paraId="149C4A5B">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专职安全员须具有</w:t>
            </w:r>
            <w:r>
              <w:rPr>
                <w:rFonts w:hint="eastAsia" w:ascii="宋体" w:hAnsi="宋体" w:cs="宋体"/>
                <w:color w:val="auto"/>
                <w:szCs w:val="21"/>
                <w:highlight w:val="none"/>
                <w:u w:val="single"/>
              </w:rPr>
              <w:t>在有效期内的</w:t>
            </w:r>
            <w:r>
              <w:rPr>
                <w:rFonts w:hint="eastAsia" w:ascii="宋体" w:hAnsi="宋体" w:cs="宋体"/>
                <w:color w:val="auto"/>
                <w:szCs w:val="21"/>
                <w:highlight w:val="none"/>
              </w:rPr>
              <w:t>安全生产考核合格证（C类）或建筑施工企业专职安全生产管理人员安全生产考核合格证书</w:t>
            </w:r>
            <w:r>
              <w:rPr>
                <w:rFonts w:hint="eastAsia" w:ascii="宋体" w:hAnsi="宋体" w:cs="宋体"/>
                <w:color w:val="auto"/>
                <w:szCs w:val="21"/>
                <w:highlight w:val="none"/>
                <w:u w:val="single"/>
              </w:rPr>
              <w:t>（C3类）</w:t>
            </w:r>
          </w:p>
        </w:tc>
        <w:tc>
          <w:tcPr>
            <w:tcW w:w="2103" w:type="pct"/>
            <w:tcBorders>
              <w:top w:val="single" w:color="auto" w:sz="4" w:space="0"/>
              <w:left w:val="single" w:color="auto" w:sz="4" w:space="0"/>
              <w:bottom w:val="single" w:color="auto" w:sz="4" w:space="0"/>
              <w:right w:val="single" w:color="auto" w:sz="4" w:space="0"/>
            </w:tcBorders>
            <w:vAlign w:val="center"/>
          </w:tcPr>
          <w:p w14:paraId="04860455">
            <w:pPr>
              <w:jc w:val="center"/>
              <w:rPr>
                <w:rFonts w:hint="eastAsia" w:ascii="宋体" w:hAnsi="宋体" w:cs="宋体"/>
                <w:color w:val="auto"/>
                <w:szCs w:val="21"/>
                <w:highlight w:val="none"/>
              </w:rPr>
            </w:pPr>
            <w:r>
              <w:rPr>
                <w:rFonts w:hint="eastAsia" w:ascii="宋体" w:hAnsi="宋体" w:cs="宋体"/>
                <w:color w:val="auto"/>
                <w:szCs w:val="21"/>
                <w:highlight w:val="none"/>
              </w:rPr>
              <w:t>专职安全员的安全生产考核合格证（C类）或建筑施工企业专职安全生产管理人员安全生产考核合格证证书</w:t>
            </w:r>
            <w:r>
              <w:rPr>
                <w:rFonts w:hint="eastAsia" w:ascii="宋体" w:hAnsi="宋体" w:cs="宋体"/>
                <w:color w:val="auto"/>
                <w:szCs w:val="21"/>
                <w:highlight w:val="none"/>
                <w:u w:val="single"/>
              </w:rPr>
              <w:t>（C3类）</w:t>
            </w:r>
            <w:r>
              <w:rPr>
                <w:rFonts w:hint="eastAsia" w:ascii="宋体" w:hAnsi="宋体" w:cs="宋体"/>
                <w:color w:val="auto"/>
                <w:szCs w:val="21"/>
                <w:highlight w:val="none"/>
              </w:rPr>
              <w:t>扫描件或电子证书</w:t>
            </w:r>
          </w:p>
        </w:tc>
        <w:tc>
          <w:tcPr>
            <w:tcW w:w="365" w:type="pct"/>
            <w:tcBorders>
              <w:top w:val="single" w:color="auto" w:sz="4" w:space="0"/>
              <w:left w:val="single" w:color="auto" w:sz="4" w:space="0"/>
              <w:bottom w:val="single" w:color="auto" w:sz="4" w:space="0"/>
              <w:right w:val="single" w:color="auto" w:sz="4" w:space="0"/>
            </w:tcBorders>
            <w:vAlign w:val="center"/>
          </w:tcPr>
          <w:p w14:paraId="44EB582C">
            <w:pPr>
              <w:spacing w:before="120" w:after="60"/>
              <w:jc w:val="center"/>
              <w:rPr>
                <w:rFonts w:hint="eastAsia" w:ascii="宋体" w:hAnsi="宋体" w:cs="宋体"/>
                <w:color w:val="auto"/>
                <w:szCs w:val="21"/>
                <w:highlight w:val="none"/>
              </w:rPr>
            </w:pPr>
          </w:p>
        </w:tc>
      </w:tr>
      <w:tr w14:paraId="36B56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4CA89F0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2219" w:type="pct"/>
            <w:tcBorders>
              <w:top w:val="single" w:color="auto" w:sz="4" w:space="0"/>
              <w:left w:val="single" w:color="auto" w:sz="4" w:space="0"/>
              <w:bottom w:val="single" w:color="auto" w:sz="4" w:space="0"/>
              <w:right w:val="single" w:color="auto" w:sz="4" w:space="0"/>
            </w:tcBorders>
            <w:vAlign w:val="center"/>
          </w:tcPr>
          <w:p w14:paraId="6F9B00DA">
            <w:pPr>
              <w:jc w:val="center"/>
              <w:rPr>
                <w:rFonts w:hint="eastAsia" w:ascii="宋体" w:hAnsi="宋体" w:cs="宋体"/>
                <w:color w:val="auto"/>
                <w:szCs w:val="21"/>
                <w:highlight w:val="none"/>
              </w:rPr>
            </w:pPr>
            <w:r>
              <w:rPr>
                <w:rStyle w:val="80"/>
                <w:rFonts w:hint="eastAsia" w:ascii="宋体" w:hAnsi="宋体" w:cs="宋体"/>
                <w:color w:val="auto"/>
                <w:szCs w:val="21"/>
                <w:highlight w:val="none"/>
              </w:rPr>
              <w:t>投标人提供的投标人声明符合公告要求</w:t>
            </w:r>
          </w:p>
        </w:tc>
        <w:tc>
          <w:tcPr>
            <w:tcW w:w="2103" w:type="pct"/>
            <w:tcBorders>
              <w:top w:val="single" w:color="auto" w:sz="4" w:space="0"/>
              <w:left w:val="single" w:color="auto" w:sz="4" w:space="0"/>
              <w:bottom w:val="single" w:color="auto" w:sz="4" w:space="0"/>
              <w:right w:val="single" w:color="auto" w:sz="4" w:space="0"/>
            </w:tcBorders>
            <w:vAlign w:val="center"/>
          </w:tcPr>
          <w:p w14:paraId="4C7BEFD8">
            <w:pPr>
              <w:jc w:val="center"/>
              <w:rPr>
                <w:rFonts w:hint="eastAsia" w:ascii="宋体" w:hAnsi="宋体" w:cs="宋体"/>
                <w:color w:val="auto"/>
                <w:szCs w:val="21"/>
                <w:highlight w:val="none"/>
              </w:rPr>
            </w:pPr>
            <w:r>
              <w:rPr>
                <w:rStyle w:val="80"/>
                <w:rFonts w:hint="eastAsia" w:ascii="宋体" w:hAnsi="宋体" w:cs="宋体"/>
                <w:color w:val="auto"/>
                <w:szCs w:val="21"/>
                <w:highlight w:val="none"/>
              </w:rPr>
              <w:t>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4740E493">
            <w:pPr>
              <w:spacing w:before="120" w:after="60"/>
              <w:jc w:val="center"/>
              <w:rPr>
                <w:rFonts w:hint="eastAsia" w:ascii="宋体" w:hAnsi="宋体" w:cs="宋体"/>
                <w:color w:val="auto"/>
                <w:szCs w:val="21"/>
                <w:highlight w:val="none"/>
              </w:rPr>
            </w:pPr>
          </w:p>
        </w:tc>
      </w:tr>
      <w:tr w14:paraId="784B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478B03BE">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9</w:t>
            </w:r>
          </w:p>
        </w:tc>
        <w:tc>
          <w:tcPr>
            <w:tcW w:w="2219" w:type="pct"/>
            <w:tcBorders>
              <w:top w:val="single" w:color="auto" w:sz="4" w:space="0"/>
              <w:left w:val="single" w:color="auto" w:sz="4" w:space="0"/>
              <w:bottom w:val="single" w:color="auto" w:sz="4" w:space="0"/>
              <w:right w:val="single" w:color="auto" w:sz="4" w:space="0"/>
            </w:tcBorders>
            <w:vAlign w:val="center"/>
          </w:tcPr>
          <w:p w14:paraId="57B4FC6B">
            <w:pPr>
              <w:jc w:val="center"/>
              <w:rPr>
                <w:rFonts w:hint="eastAsia"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2103" w:type="pct"/>
            <w:tcBorders>
              <w:top w:val="single" w:color="auto" w:sz="4" w:space="0"/>
              <w:left w:val="single" w:color="auto" w:sz="4" w:space="0"/>
              <w:bottom w:val="single" w:color="auto" w:sz="4" w:space="0"/>
              <w:right w:val="single" w:color="auto" w:sz="4" w:space="0"/>
            </w:tcBorders>
            <w:vAlign w:val="center"/>
          </w:tcPr>
          <w:p w14:paraId="3E37671E">
            <w:pPr>
              <w:jc w:val="center"/>
              <w:rPr>
                <w:rFonts w:hint="eastAsia"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19F036DA">
            <w:pPr>
              <w:spacing w:before="120" w:after="60"/>
              <w:jc w:val="center"/>
              <w:rPr>
                <w:rFonts w:hint="eastAsia" w:ascii="宋体" w:hAnsi="宋体" w:cs="宋体"/>
                <w:color w:val="auto"/>
                <w:szCs w:val="21"/>
                <w:highlight w:val="none"/>
              </w:rPr>
            </w:pPr>
          </w:p>
        </w:tc>
      </w:tr>
      <w:tr w14:paraId="7FA36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15727214">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2219" w:type="pct"/>
            <w:tcBorders>
              <w:top w:val="single" w:color="auto" w:sz="4" w:space="0"/>
              <w:left w:val="single" w:color="auto" w:sz="4" w:space="0"/>
              <w:bottom w:val="single" w:color="auto" w:sz="4" w:space="0"/>
              <w:right w:val="single" w:color="auto" w:sz="4" w:space="0"/>
            </w:tcBorders>
            <w:shd w:val="clear" w:color="auto" w:fill="auto"/>
            <w:vAlign w:val="center"/>
          </w:tcPr>
          <w:p w14:paraId="19D8E46C">
            <w:pPr>
              <w:spacing w:before="120" w:after="60"/>
              <w:jc w:val="center"/>
              <w:rPr>
                <w:rFonts w:hint="eastAsia" w:ascii="宋体" w:hAnsi="宋体"/>
                <w:color w:val="auto"/>
                <w:szCs w:val="21"/>
                <w:highlight w:val="none"/>
              </w:rPr>
            </w:pPr>
            <w:r>
              <w:rPr>
                <w:rFonts w:hint="eastAsia" w:ascii="宋体" w:hAnsi="宋体"/>
                <w:color w:val="auto"/>
                <w:szCs w:val="21"/>
                <w:highlight w:val="none"/>
              </w:rPr>
              <w:t>资格审查前，投标人须</w:t>
            </w:r>
            <w:r>
              <w:rPr>
                <w:rFonts w:ascii="宋体" w:hAnsi="宋体"/>
                <w:color w:val="auto"/>
                <w:szCs w:val="21"/>
                <w:highlight w:val="none"/>
              </w:rPr>
              <w:t>在</w:t>
            </w:r>
            <w:r>
              <w:rPr>
                <w:rFonts w:hint="eastAsia" w:ascii="宋体" w:hAnsi="宋体"/>
                <w:color w:val="auto"/>
                <w:szCs w:val="21"/>
                <w:highlight w:val="none"/>
              </w:rPr>
              <w:t>广州市住房和城乡建设局建立企业信用档案及拟担任本工程项目负责人、专职安全员须是本企业中的在册人员</w:t>
            </w:r>
          </w:p>
        </w:tc>
        <w:tc>
          <w:tcPr>
            <w:tcW w:w="2103" w:type="pct"/>
            <w:tcBorders>
              <w:top w:val="single" w:color="auto" w:sz="4" w:space="0"/>
              <w:left w:val="single" w:color="auto" w:sz="4" w:space="0"/>
              <w:bottom w:val="single" w:color="auto" w:sz="4" w:space="0"/>
              <w:right w:val="single" w:color="auto" w:sz="4" w:space="0"/>
            </w:tcBorders>
            <w:shd w:val="clear" w:color="auto" w:fill="auto"/>
            <w:vAlign w:val="center"/>
          </w:tcPr>
          <w:p w14:paraId="079E484D">
            <w:pPr>
              <w:spacing w:before="120" w:after="60"/>
              <w:jc w:val="center"/>
              <w:rPr>
                <w:rFonts w:hint="eastAsia" w:ascii="宋体" w:hAnsi="宋体"/>
                <w:color w:val="auto"/>
                <w:szCs w:val="21"/>
                <w:highlight w:val="none"/>
              </w:rPr>
            </w:pPr>
            <w:r>
              <w:rPr>
                <w:rFonts w:hint="eastAsia" w:ascii="宋体" w:hAnsi="宋体"/>
                <w:color w:val="auto"/>
                <w:szCs w:val="21"/>
                <w:highlight w:val="none"/>
              </w:rPr>
              <w:t>投标人在广州市住建行业信用管理平台内企业信用档案的企业和人员信息</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0DAB213E">
            <w:pPr>
              <w:spacing w:before="120" w:after="60"/>
              <w:jc w:val="center"/>
              <w:rPr>
                <w:rFonts w:hint="eastAsia" w:ascii="宋体" w:hAnsi="宋体"/>
                <w:color w:val="auto"/>
                <w:szCs w:val="21"/>
                <w:highlight w:val="none"/>
              </w:rPr>
            </w:pPr>
          </w:p>
        </w:tc>
      </w:tr>
      <w:tr w14:paraId="4937A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02686A05">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11</w:t>
            </w:r>
          </w:p>
        </w:tc>
        <w:tc>
          <w:tcPr>
            <w:tcW w:w="2219" w:type="pct"/>
            <w:tcBorders>
              <w:top w:val="single" w:color="auto" w:sz="4" w:space="0"/>
              <w:left w:val="single" w:color="auto" w:sz="4" w:space="0"/>
              <w:bottom w:val="single" w:color="auto" w:sz="4" w:space="0"/>
              <w:right w:val="single" w:color="auto" w:sz="4" w:space="0"/>
            </w:tcBorders>
            <w:vAlign w:val="center"/>
          </w:tcPr>
          <w:p w14:paraId="4CF5E37E">
            <w:pPr>
              <w:jc w:val="center"/>
              <w:rPr>
                <w:rFonts w:hint="eastAsia" w:ascii="宋体" w:hAnsi="宋体" w:cs="宋体"/>
                <w:color w:val="auto"/>
                <w:szCs w:val="21"/>
                <w:highlight w:val="none"/>
              </w:rPr>
            </w:pPr>
            <w:r>
              <w:rPr>
                <w:rFonts w:hint="eastAsia" w:ascii="宋体" w:hAnsi="宋体" w:cs="宋体"/>
                <w:color w:val="auto"/>
                <w:szCs w:val="21"/>
                <w:highlight w:val="none"/>
              </w:rPr>
              <w:t>投标人未出现以下情形：</w:t>
            </w:r>
            <w:r>
              <w:rPr>
                <w:rFonts w:hint="eastAsia" w:ascii="宋体" w:hAnsi="宋体"/>
                <w:color w:val="auto"/>
                <w:szCs w:val="21"/>
                <w:highlight w:val="none"/>
              </w:rPr>
              <w:t>与其它投标人的单位负责人为同一人或者存在控股、管理关系的（按投标人提供的《投标人声明》第八条内容进行评审）。</w:t>
            </w:r>
          </w:p>
        </w:tc>
        <w:tc>
          <w:tcPr>
            <w:tcW w:w="2103" w:type="pct"/>
            <w:tcBorders>
              <w:top w:val="single" w:color="auto" w:sz="4" w:space="0"/>
              <w:left w:val="single" w:color="auto" w:sz="4" w:space="0"/>
              <w:bottom w:val="single" w:color="auto" w:sz="4" w:space="0"/>
              <w:right w:val="single" w:color="auto" w:sz="4" w:space="0"/>
            </w:tcBorders>
            <w:vAlign w:val="center"/>
          </w:tcPr>
          <w:p w14:paraId="1E96D29E">
            <w:pPr>
              <w:jc w:val="center"/>
              <w:rPr>
                <w:rFonts w:hint="eastAsia" w:ascii="宋体" w:hAnsi="宋体" w:cs="宋体"/>
                <w:color w:val="auto"/>
                <w:szCs w:val="21"/>
                <w:highlight w:val="none"/>
              </w:rPr>
            </w:pPr>
            <w:r>
              <w:rPr>
                <w:rFonts w:hint="eastAsia" w:ascii="宋体" w:hAnsi="宋体" w:cs="宋体"/>
                <w:color w:val="auto"/>
                <w:szCs w:val="21"/>
                <w:highlight w:val="none"/>
              </w:rPr>
              <w:t>投标人声明</w:t>
            </w:r>
          </w:p>
        </w:tc>
        <w:tc>
          <w:tcPr>
            <w:tcW w:w="365" w:type="pct"/>
            <w:tcBorders>
              <w:top w:val="single" w:color="auto" w:sz="4" w:space="0"/>
              <w:left w:val="single" w:color="auto" w:sz="4" w:space="0"/>
              <w:bottom w:val="single" w:color="auto" w:sz="4" w:space="0"/>
              <w:right w:val="single" w:color="auto" w:sz="4" w:space="0"/>
            </w:tcBorders>
            <w:vAlign w:val="center"/>
          </w:tcPr>
          <w:p w14:paraId="3382CCF0">
            <w:pPr>
              <w:spacing w:before="120" w:after="60"/>
              <w:jc w:val="center"/>
              <w:rPr>
                <w:rFonts w:hint="eastAsia" w:ascii="宋体" w:hAnsi="宋体" w:cs="宋体"/>
                <w:color w:val="auto"/>
                <w:szCs w:val="21"/>
                <w:highlight w:val="none"/>
              </w:rPr>
            </w:pPr>
          </w:p>
        </w:tc>
      </w:tr>
      <w:tr w14:paraId="6352D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0" w:type="pct"/>
            <w:tcBorders>
              <w:top w:val="single" w:color="auto" w:sz="4" w:space="0"/>
              <w:left w:val="single" w:color="auto" w:sz="4" w:space="0"/>
              <w:bottom w:val="single" w:color="auto" w:sz="4" w:space="0"/>
              <w:right w:val="single" w:color="auto" w:sz="4" w:space="0"/>
            </w:tcBorders>
            <w:vAlign w:val="center"/>
          </w:tcPr>
          <w:p w14:paraId="2DC30E0D">
            <w:pPr>
              <w:spacing w:before="120" w:after="60"/>
              <w:jc w:val="center"/>
              <w:rPr>
                <w:rFonts w:hint="eastAsia" w:ascii="宋体" w:hAnsi="宋体" w:cs="宋体"/>
                <w:color w:val="auto"/>
                <w:szCs w:val="21"/>
                <w:highlight w:val="none"/>
              </w:rPr>
            </w:pPr>
            <w:r>
              <w:rPr>
                <w:rFonts w:hint="eastAsia" w:ascii="宋体" w:hAnsi="宋体" w:cs="宋体"/>
                <w:color w:val="auto"/>
                <w:szCs w:val="21"/>
                <w:highlight w:val="none"/>
              </w:rPr>
              <w:t>12</w:t>
            </w:r>
          </w:p>
        </w:tc>
        <w:tc>
          <w:tcPr>
            <w:tcW w:w="2219" w:type="pct"/>
            <w:tcBorders>
              <w:top w:val="single" w:color="auto" w:sz="4" w:space="0"/>
              <w:left w:val="single" w:color="auto" w:sz="4" w:space="0"/>
              <w:bottom w:val="single" w:color="auto" w:sz="4" w:space="0"/>
              <w:right w:val="single" w:color="auto" w:sz="4" w:space="0"/>
            </w:tcBorders>
            <w:vAlign w:val="center"/>
          </w:tcPr>
          <w:p w14:paraId="453D3C57">
            <w:pPr>
              <w:jc w:val="center"/>
              <w:rPr>
                <w:rFonts w:hint="eastAsia" w:ascii="宋体" w:hAnsi="宋体" w:cs="宋体"/>
                <w:color w:val="auto"/>
                <w:szCs w:val="21"/>
                <w:highlight w:val="none"/>
              </w:rPr>
            </w:pPr>
            <w:r>
              <w:rPr>
                <w:rFonts w:hint="eastAsia" w:ascii="宋体" w:hAnsi="宋体" w:cs="宋体"/>
                <w:color w:val="auto"/>
                <w:szCs w:val="21"/>
                <w:highlight w:val="none"/>
              </w:rPr>
              <w:t>投标人</w:t>
            </w:r>
            <w:r>
              <w:rPr>
                <w:rFonts w:hint="eastAsia" w:ascii="宋体" w:hAnsi="宋体"/>
                <w:color w:val="auto"/>
                <w:szCs w:val="21"/>
                <w:highlight w:val="none"/>
              </w:rPr>
              <w:t>未被列入拖欠农民工工资失信联合惩戒对象名单</w:t>
            </w:r>
          </w:p>
        </w:tc>
        <w:tc>
          <w:tcPr>
            <w:tcW w:w="2103" w:type="pct"/>
            <w:tcBorders>
              <w:top w:val="single" w:color="auto" w:sz="4" w:space="0"/>
              <w:left w:val="single" w:color="auto" w:sz="4" w:space="0"/>
              <w:bottom w:val="single" w:color="auto" w:sz="4" w:space="0"/>
              <w:right w:val="single" w:color="auto" w:sz="4" w:space="0"/>
            </w:tcBorders>
            <w:vAlign w:val="center"/>
          </w:tcPr>
          <w:p w14:paraId="2EB480F2">
            <w:pPr>
              <w:jc w:val="center"/>
              <w:rPr>
                <w:rFonts w:hint="eastAsia" w:ascii="宋体" w:hAnsi="宋体" w:cs="宋体"/>
                <w:color w:val="auto"/>
                <w:szCs w:val="21"/>
                <w:highlight w:val="none"/>
              </w:rPr>
            </w:pPr>
            <w:r>
              <w:rPr>
                <w:rFonts w:hint="eastAsia" w:ascii="宋体" w:hAnsi="宋体"/>
                <w:color w:val="auto"/>
                <w:szCs w:val="21"/>
                <w:highlight w:val="none"/>
              </w:rPr>
              <w:t>投标人无需提供资料，按</w:t>
            </w:r>
            <w:r>
              <w:rPr>
                <w:rFonts w:hint="eastAsia" w:ascii="宋体" w:hAnsi="宋体"/>
                <w:color w:val="auto"/>
                <w:szCs w:val="21"/>
                <w:highlight w:val="none"/>
                <w:lang w:val="en-US" w:eastAsia="zh-CN"/>
              </w:rPr>
              <w:t>投标截止时间</w:t>
            </w:r>
            <w:r>
              <w:rPr>
                <w:rFonts w:hint="eastAsia" w:ascii="宋体" w:hAnsi="宋体"/>
                <w:color w:val="auto"/>
                <w:szCs w:val="21"/>
                <w:highlight w:val="none"/>
              </w:rPr>
              <w:t>广州交易集团有限公司（广州公共资源交易中心）交易系统比对的结果进行评审</w:t>
            </w:r>
          </w:p>
        </w:tc>
        <w:tc>
          <w:tcPr>
            <w:tcW w:w="365" w:type="pct"/>
            <w:tcBorders>
              <w:top w:val="single" w:color="auto" w:sz="4" w:space="0"/>
              <w:left w:val="single" w:color="auto" w:sz="4" w:space="0"/>
              <w:bottom w:val="single" w:color="auto" w:sz="4" w:space="0"/>
              <w:right w:val="single" w:color="auto" w:sz="4" w:space="0"/>
            </w:tcBorders>
            <w:vAlign w:val="center"/>
          </w:tcPr>
          <w:p w14:paraId="64A1388E">
            <w:pPr>
              <w:spacing w:before="120" w:after="60"/>
              <w:jc w:val="center"/>
              <w:rPr>
                <w:rFonts w:hint="eastAsia" w:ascii="宋体" w:hAnsi="宋体" w:cs="宋体"/>
                <w:color w:val="auto"/>
                <w:szCs w:val="21"/>
                <w:highlight w:val="none"/>
              </w:rPr>
            </w:pPr>
          </w:p>
        </w:tc>
      </w:tr>
    </w:tbl>
    <w:p w14:paraId="5C9FC8B5">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备注：1、每一项目符合的打“○”，不符合的打“×”； </w:t>
      </w:r>
    </w:p>
    <w:p w14:paraId="5CAB8ACC">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14:paraId="204535C7">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E7CECC6">
      <w:pPr>
        <w:ind w:firstLine="420" w:firstLineChars="200"/>
        <w:jc w:val="left"/>
        <w:rPr>
          <w:rFonts w:hint="eastAsia" w:ascii="宋体" w:hAnsi="宋体" w:cs="宋体"/>
          <w:color w:val="auto"/>
          <w:szCs w:val="21"/>
          <w:highlight w:val="none"/>
        </w:rPr>
      </w:pPr>
    </w:p>
    <w:p w14:paraId="48AF0E03">
      <w:pPr>
        <w:ind w:firstLine="420" w:firstLineChars="200"/>
        <w:jc w:val="left"/>
        <w:rPr>
          <w:rFonts w:hint="eastAsia" w:ascii="宋体" w:hAnsi="宋体" w:cs="宋体"/>
          <w:color w:val="auto"/>
          <w:szCs w:val="21"/>
          <w:highlight w:val="none"/>
        </w:rPr>
      </w:pPr>
    </w:p>
    <w:p w14:paraId="1B9DEFF3">
      <w:pPr>
        <w:ind w:firstLine="420" w:firstLineChars="200"/>
        <w:jc w:val="left"/>
        <w:rPr>
          <w:rFonts w:hint="eastAsia" w:ascii="宋体" w:hAnsi="宋体" w:cs="宋体"/>
          <w:color w:val="auto"/>
          <w:szCs w:val="21"/>
          <w:highlight w:val="none"/>
        </w:rPr>
        <w:sectPr>
          <w:pgSz w:w="11906" w:h="16838"/>
          <w:pgMar w:top="1440" w:right="1080" w:bottom="1440" w:left="1080" w:header="851" w:footer="907" w:gutter="0"/>
          <w:cols w:space="720" w:num="1"/>
          <w:titlePg/>
          <w:docGrid w:type="lines" w:linePitch="312" w:charSpace="0"/>
        </w:sectPr>
      </w:pPr>
    </w:p>
    <w:p w14:paraId="4F9D206F">
      <w:pPr>
        <w:wordWrap w:val="0"/>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附表二</w:t>
      </w:r>
    </w:p>
    <w:p w14:paraId="25292B14">
      <w:pPr>
        <w:jc w:val="center"/>
        <w:outlineLvl w:val="4"/>
        <w:rPr>
          <w:rFonts w:hint="eastAsia" w:ascii="宋体" w:hAnsi="宋体" w:cs="宋体"/>
          <w:b/>
          <w:color w:val="auto"/>
          <w:sz w:val="36"/>
          <w:szCs w:val="36"/>
          <w:highlight w:val="none"/>
        </w:rPr>
      </w:pPr>
      <w:r>
        <w:rPr>
          <w:rFonts w:hint="eastAsia" w:ascii="宋体" w:hAnsi="宋体" w:cs="宋体"/>
          <w:b/>
          <w:color w:val="auto"/>
          <w:sz w:val="36"/>
          <w:szCs w:val="36"/>
          <w:highlight w:val="none"/>
        </w:rPr>
        <w:t>技术标有效性审查表</w:t>
      </w:r>
    </w:p>
    <w:p w14:paraId="26594126">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4413"/>
        <w:gridCol w:w="1645"/>
        <w:gridCol w:w="1645"/>
        <w:gridCol w:w="1645"/>
        <w:gridCol w:w="1645"/>
        <w:gridCol w:w="1645"/>
        <w:gridCol w:w="1645"/>
      </w:tblGrid>
      <w:tr w14:paraId="4F1D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7F3FCFA4">
            <w:pPr>
              <w:adjustRightInd w:val="0"/>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481" w:type="pct"/>
            <w:tcBorders>
              <w:top w:val="single" w:color="auto" w:sz="4" w:space="0"/>
              <w:left w:val="single" w:color="auto" w:sz="4" w:space="0"/>
              <w:bottom w:val="single" w:color="auto" w:sz="4" w:space="0"/>
              <w:right w:val="single" w:color="auto" w:sz="4" w:space="0"/>
              <w:tl2br w:val="single" w:color="auto" w:sz="4" w:space="0"/>
            </w:tcBorders>
          </w:tcPr>
          <w:p w14:paraId="1E6FA836">
            <w:pPr>
              <w:adjustRightInd w:val="0"/>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71DFA3B6">
            <w:pPr>
              <w:adjustRightInd w:val="0"/>
              <w:rPr>
                <w:rFonts w:hint="eastAsia" w:ascii="宋体" w:hAnsi="宋体" w:cs="宋体"/>
                <w:color w:val="auto"/>
                <w:szCs w:val="21"/>
                <w:highlight w:val="none"/>
              </w:rPr>
            </w:pPr>
          </w:p>
          <w:p w14:paraId="6E35F0C2">
            <w:pPr>
              <w:adjustRightInd w:val="0"/>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552" w:type="pct"/>
            <w:tcBorders>
              <w:top w:val="single" w:color="auto" w:sz="4" w:space="0"/>
              <w:left w:val="single" w:color="auto" w:sz="4" w:space="0"/>
              <w:bottom w:val="single" w:color="auto" w:sz="4" w:space="0"/>
              <w:right w:val="single" w:color="auto" w:sz="4" w:space="0"/>
            </w:tcBorders>
          </w:tcPr>
          <w:p w14:paraId="0C8B0D7A">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FD8CA98">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C944D49">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0E6CD33">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C481C44">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B93AFA5">
            <w:pPr>
              <w:adjustRightInd w:val="0"/>
              <w:rPr>
                <w:rFonts w:hint="eastAsia" w:ascii="宋体" w:hAnsi="宋体" w:cs="宋体"/>
                <w:color w:val="auto"/>
                <w:szCs w:val="21"/>
                <w:highlight w:val="none"/>
              </w:rPr>
            </w:pPr>
          </w:p>
        </w:tc>
      </w:tr>
      <w:tr w14:paraId="7C2D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6F1538FC">
            <w:pPr>
              <w:adjustRightInd w:val="0"/>
              <w:rPr>
                <w:rFonts w:hint="eastAsia" w:ascii="宋体" w:hAnsi="宋体" w:cs="宋体"/>
                <w:color w:val="auto"/>
                <w:szCs w:val="21"/>
                <w:highlight w:val="none"/>
              </w:rPr>
            </w:pPr>
            <w:r>
              <w:rPr>
                <w:rFonts w:hint="eastAsia" w:ascii="宋体" w:hAnsi="宋体" w:cs="宋体"/>
                <w:color w:val="auto"/>
                <w:szCs w:val="21"/>
                <w:highlight w:val="none"/>
              </w:rPr>
              <w:t>1</w:t>
            </w:r>
          </w:p>
        </w:tc>
        <w:tc>
          <w:tcPr>
            <w:tcW w:w="1481" w:type="pct"/>
            <w:tcBorders>
              <w:top w:val="single" w:color="auto" w:sz="4" w:space="0"/>
              <w:left w:val="single" w:color="auto" w:sz="4" w:space="0"/>
              <w:bottom w:val="single" w:color="auto" w:sz="4" w:space="0"/>
              <w:right w:val="single" w:color="auto" w:sz="4" w:space="0"/>
            </w:tcBorders>
            <w:vAlign w:val="center"/>
          </w:tcPr>
          <w:p w14:paraId="2FB2EEFF">
            <w:pPr>
              <w:adjustRightInd w:val="0"/>
              <w:rPr>
                <w:rFonts w:hint="eastAsia" w:ascii="宋体" w:hAnsi="宋体" w:cs="宋体"/>
                <w:color w:val="auto"/>
                <w:szCs w:val="21"/>
                <w:highlight w:val="none"/>
              </w:rPr>
            </w:pPr>
            <w:r>
              <w:rPr>
                <w:rFonts w:hint="eastAsia" w:ascii="宋体" w:hAnsi="宋体" w:cs="宋体"/>
                <w:color w:val="auto"/>
                <w:szCs w:val="21"/>
                <w:highlight w:val="none"/>
                <w:u w:val="single"/>
              </w:rPr>
              <w:t>《广州建设工程施工招标投标书》中投标总工期</w:t>
            </w:r>
            <w:r>
              <w:rPr>
                <w:rFonts w:hint="eastAsia" w:ascii="宋体" w:hAnsi="宋体" w:cs="宋体"/>
                <w:color w:val="auto"/>
                <w:szCs w:val="21"/>
                <w:highlight w:val="none"/>
              </w:rPr>
              <w:t>不能满足完成投标项目工期的；</w:t>
            </w:r>
          </w:p>
        </w:tc>
        <w:tc>
          <w:tcPr>
            <w:tcW w:w="552" w:type="pct"/>
            <w:tcBorders>
              <w:top w:val="single" w:color="auto" w:sz="4" w:space="0"/>
              <w:left w:val="single" w:color="auto" w:sz="4" w:space="0"/>
              <w:bottom w:val="single" w:color="auto" w:sz="4" w:space="0"/>
              <w:right w:val="single" w:color="auto" w:sz="4" w:space="0"/>
            </w:tcBorders>
          </w:tcPr>
          <w:p w14:paraId="4D2274C3">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DDDBAE7">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A7B56D4">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7E63946">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F8A8BC6">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D370AB9">
            <w:pPr>
              <w:adjustRightInd w:val="0"/>
              <w:rPr>
                <w:rFonts w:hint="eastAsia" w:ascii="宋体" w:hAnsi="宋体" w:cs="宋体"/>
                <w:color w:val="auto"/>
                <w:szCs w:val="21"/>
                <w:highlight w:val="none"/>
              </w:rPr>
            </w:pPr>
          </w:p>
        </w:tc>
      </w:tr>
      <w:tr w14:paraId="6743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75596F5D">
            <w:pPr>
              <w:adjustRightInd w:val="0"/>
              <w:rPr>
                <w:rFonts w:hint="eastAsia" w:ascii="宋体" w:hAnsi="宋体" w:cs="宋体"/>
                <w:strike/>
                <w:color w:val="auto"/>
                <w:szCs w:val="21"/>
                <w:highlight w:val="none"/>
              </w:rPr>
            </w:pPr>
            <w:r>
              <w:rPr>
                <w:rFonts w:hint="eastAsia" w:ascii="宋体" w:hAnsi="宋体" w:cs="宋体"/>
                <w:color w:val="auto"/>
                <w:szCs w:val="21"/>
                <w:highlight w:val="none"/>
              </w:rPr>
              <w:t>2</w:t>
            </w:r>
          </w:p>
        </w:tc>
        <w:tc>
          <w:tcPr>
            <w:tcW w:w="1481" w:type="pct"/>
            <w:tcBorders>
              <w:top w:val="single" w:color="auto" w:sz="4" w:space="0"/>
              <w:left w:val="single" w:color="auto" w:sz="4" w:space="0"/>
              <w:bottom w:val="single" w:color="auto" w:sz="4" w:space="0"/>
              <w:right w:val="single" w:color="auto" w:sz="4" w:space="0"/>
            </w:tcBorders>
            <w:vAlign w:val="center"/>
          </w:tcPr>
          <w:p w14:paraId="401AF549">
            <w:pPr>
              <w:adjustRightInd w:val="0"/>
              <w:rPr>
                <w:rFonts w:hint="eastAsia" w:ascii="宋体" w:hAnsi="宋体" w:cs="宋体"/>
                <w:strike/>
                <w:color w:val="auto"/>
                <w:szCs w:val="21"/>
                <w:highlight w:val="none"/>
              </w:rPr>
            </w:pPr>
            <w:r>
              <w:rPr>
                <w:rFonts w:hint="eastAsia" w:ascii="宋体" w:hAnsi="宋体" w:cs="宋体"/>
                <w:color w:val="auto"/>
                <w:szCs w:val="21"/>
                <w:highlight w:val="none"/>
                <w:u w:val="single"/>
              </w:rPr>
              <w:t>《广州建设工程施工招标投标书》中工程质量标准不符合招标文件要求的；</w:t>
            </w:r>
          </w:p>
        </w:tc>
        <w:tc>
          <w:tcPr>
            <w:tcW w:w="552" w:type="pct"/>
            <w:tcBorders>
              <w:top w:val="single" w:color="auto" w:sz="4" w:space="0"/>
              <w:left w:val="single" w:color="auto" w:sz="4" w:space="0"/>
              <w:bottom w:val="single" w:color="auto" w:sz="4" w:space="0"/>
              <w:right w:val="single" w:color="auto" w:sz="4" w:space="0"/>
            </w:tcBorders>
          </w:tcPr>
          <w:p w14:paraId="5D97EDF2">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F115188">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0B73DD7">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92889FF">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E691A99">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9B1AD61">
            <w:pPr>
              <w:adjustRightInd w:val="0"/>
              <w:rPr>
                <w:rFonts w:hint="eastAsia" w:ascii="宋体" w:hAnsi="宋体" w:cs="宋体"/>
                <w:color w:val="auto"/>
                <w:szCs w:val="21"/>
                <w:highlight w:val="none"/>
              </w:rPr>
            </w:pPr>
          </w:p>
        </w:tc>
      </w:tr>
      <w:tr w14:paraId="47868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38016EE7">
            <w:pPr>
              <w:adjustRightInd w:val="0"/>
              <w:rPr>
                <w:rFonts w:hint="eastAsia" w:ascii="宋体" w:hAnsi="宋体" w:cs="宋体"/>
                <w:color w:val="auto"/>
                <w:szCs w:val="21"/>
                <w:highlight w:val="none"/>
              </w:rPr>
            </w:pPr>
            <w:r>
              <w:rPr>
                <w:rFonts w:hint="eastAsia" w:ascii="宋体" w:hAnsi="宋体" w:cs="宋体"/>
                <w:color w:val="auto"/>
                <w:szCs w:val="21"/>
                <w:highlight w:val="none"/>
              </w:rPr>
              <w:t>3</w:t>
            </w:r>
          </w:p>
        </w:tc>
        <w:tc>
          <w:tcPr>
            <w:tcW w:w="1481" w:type="pct"/>
            <w:tcBorders>
              <w:top w:val="single" w:color="auto" w:sz="4" w:space="0"/>
              <w:left w:val="single" w:color="auto" w:sz="4" w:space="0"/>
              <w:bottom w:val="single" w:color="auto" w:sz="4" w:space="0"/>
              <w:right w:val="single" w:color="auto" w:sz="4" w:space="0"/>
            </w:tcBorders>
            <w:vAlign w:val="center"/>
          </w:tcPr>
          <w:p w14:paraId="39479925">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投标文件中没有有效的法定代表人证明书，或由委托代理人签署或盖章的投标文件中没有法定代表人授权书；</w:t>
            </w:r>
          </w:p>
        </w:tc>
        <w:tc>
          <w:tcPr>
            <w:tcW w:w="552" w:type="pct"/>
            <w:tcBorders>
              <w:top w:val="single" w:color="auto" w:sz="4" w:space="0"/>
              <w:left w:val="single" w:color="auto" w:sz="4" w:space="0"/>
              <w:bottom w:val="single" w:color="auto" w:sz="4" w:space="0"/>
              <w:right w:val="single" w:color="auto" w:sz="4" w:space="0"/>
            </w:tcBorders>
          </w:tcPr>
          <w:p w14:paraId="73179CC8">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092E627">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6F76B92">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2BD12E3">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B1A527E">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5A0CC91">
            <w:pPr>
              <w:adjustRightInd w:val="0"/>
              <w:rPr>
                <w:rFonts w:hint="eastAsia" w:ascii="宋体" w:hAnsi="宋体" w:cs="宋体"/>
                <w:color w:val="auto"/>
                <w:szCs w:val="21"/>
                <w:highlight w:val="none"/>
              </w:rPr>
            </w:pPr>
          </w:p>
        </w:tc>
      </w:tr>
      <w:tr w14:paraId="02E99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4AE933C6">
            <w:pPr>
              <w:adjustRightInd w:val="0"/>
              <w:rPr>
                <w:rFonts w:hint="eastAsia" w:ascii="宋体" w:hAnsi="宋体" w:cs="宋体"/>
                <w:color w:val="auto"/>
                <w:szCs w:val="21"/>
                <w:highlight w:val="none"/>
              </w:rPr>
            </w:pPr>
            <w:r>
              <w:rPr>
                <w:rFonts w:hint="eastAsia" w:ascii="宋体" w:hAnsi="宋体" w:cs="宋体"/>
                <w:color w:val="auto"/>
                <w:szCs w:val="21"/>
                <w:highlight w:val="none"/>
              </w:rPr>
              <w:t>4</w:t>
            </w:r>
          </w:p>
        </w:tc>
        <w:tc>
          <w:tcPr>
            <w:tcW w:w="1481" w:type="pct"/>
            <w:tcBorders>
              <w:top w:val="single" w:color="auto" w:sz="4" w:space="0"/>
              <w:left w:val="single" w:color="auto" w:sz="4" w:space="0"/>
              <w:bottom w:val="single" w:color="auto" w:sz="4" w:space="0"/>
              <w:right w:val="single" w:color="auto" w:sz="4" w:space="0"/>
            </w:tcBorders>
            <w:vAlign w:val="center"/>
          </w:tcPr>
          <w:p w14:paraId="2D7F7312">
            <w:pPr>
              <w:adjustRightInd w:val="0"/>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（技术标</w:t>
            </w:r>
            <w:r>
              <w:rPr>
                <w:rFonts w:hint="eastAsia" w:ascii="宋体" w:hAnsi="宋体" w:cs="宋体"/>
                <w:color w:val="auto"/>
                <w:spacing w:val="-4"/>
                <w:highlight w:val="none"/>
                <w:u w:val="single"/>
              </w:rPr>
              <w:t>格式四、格式八、格式</w:t>
            </w:r>
            <w:r>
              <w:rPr>
                <w:rFonts w:hint="eastAsia" w:ascii="宋体" w:hAnsi="宋体" w:cs="宋体"/>
                <w:color w:val="auto"/>
                <w:spacing w:val="-4"/>
                <w:highlight w:val="none"/>
                <w:u w:val="single"/>
                <w:lang w:val="en-US" w:eastAsia="zh-CN"/>
              </w:rPr>
              <w:t>九</w:t>
            </w:r>
            <w:r>
              <w:rPr>
                <w:rFonts w:hint="eastAsia" w:ascii="宋体" w:hAnsi="宋体" w:cs="宋体"/>
                <w:color w:val="auto"/>
                <w:spacing w:val="-4"/>
                <w:highlight w:val="none"/>
                <w:u w:val="single"/>
              </w:rPr>
              <w:t>、格式十）</w:t>
            </w:r>
            <w:r>
              <w:rPr>
                <w:rFonts w:hint="eastAsia" w:ascii="宋体" w:hAnsi="宋体" w:cs="宋体"/>
                <w:color w:val="auto"/>
                <w:szCs w:val="21"/>
                <w:highlight w:val="none"/>
              </w:rPr>
              <w:t>填写，或主要内容不全，或关键字迹模糊、无法辨认的；</w:t>
            </w:r>
          </w:p>
        </w:tc>
        <w:tc>
          <w:tcPr>
            <w:tcW w:w="552" w:type="pct"/>
            <w:tcBorders>
              <w:top w:val="single" w:color="auto" w:sz="4" w:space="0"/>
              <w:left w:val="single" w:color="auto" w:sz="4" w:space="0"/>
              <w:bottom w:val="single" w:color="auto" w:sz="4" w:space="0"/>
              <w:right w:val="single" w:color="auto" w:sz="4" w:space="0"/>
            </w:tcBorders>
          </w:tcPr>
          <w:p w14:paraId="4D98FB06">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E7BD169">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4FC79E3">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493BFF64">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68D5E1C">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ED90CD7">
            <w:pPr>
              <w:adjustRightInd w:val="0"/>
              <w:rPr>
                <w:rFonts w:hint="eastAsia" w:ascii="宋体" w:hAnsi="宋体" w:cs="宋体"/>
                <w:color w:val="auto"/>
                <w:szCs w:val="21"/>
                <w:highlight w:val="none"/>
              </w:rPr>
            </w:pPr>
          </w:p>
        </w:tc>
      </w:tr>
      <w:tr w14:paraId="14A8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3" w:type="pct"/>
            <w:tcBorders>
              <w:top w:val="single" w:color="auto" w:sz="4" w:space="0"/>
              <w:left w:val="single" w:color="auto" w:sz="4" w:space="0"/>
              <w:bottom w:val="single" w:color="auto" w:sz="4" w:space="0"/>
              <w:right w:val="single" w:color="auto" w:sz="4" w:space="0"/>
            </w:tcBorders>
            <w:vAlign w:val="center"/>
          </w:tcPr>
          <w:p w14:paraId="0686A27E">
            <w:pPr>
              <w:adjustRightInd w:val="0"/>
              <w:rPr>
                <w:rFonts w:hint="eastAsia" w:ascii="宋体" w:hAnsi="宋体" w:cs="宋体"/>
                <w:color w:val="auto"/>
                <w:szCs w:val="21"/>
                <w:highlight w:val="none"/>
              </w:rPr>
            </w:pPr>
            <w:r>
              <w:rPr>
                <w:rFonts w:hint="eastAsia" w:ascii="宋体" w:hAnsi="宋体" w:cs="宋体"/>
                <w:color w:val="auto"/>
                <w:szCs w:val="21"/>
                <w:highlight w:val="none"/>
              </w:rPr>
              <w:t>5</w:t>
            </w:r>
          </w:p>
        </w:tc>
        <w:tc>
          <w:tcPr>
            <w:tcW w:w="1481" w:type="pct"/>
            <w:tcBorders>
              <w:top w:val="single" w:color="auto" w:sz="4" w:space="0"/>
              <w:left w:val="single" w:color="auto" w:sz="4" w:space="0"/>
              <w:bottom w:val="single" w:color="auto" w:sz="4" w:space="0"/>
              <w:right w:val="single" w:color="auto" w:sz="4" w:space="0"/>
            </w:tcBorders>
            <w:vAlign w:val="center"/>
          </w:tcPr>
          <w:p w14:paraId="294691B1">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w:t>
            </w:r>
            <w:r>
              <w:rPr>
                <w:rFonts w:hint="eastAsia" w:ascii="宋体" w:hAnsi="宋体" w:cs="宋体"/>
                <w:color w:val="auto"/>
                <w:szCs w:val="21"/>
                <w:highlight w:val="none"/>
                <w:lang w:val="en-US" w:eastAsia="zh-CN"/>
              </w:rPr>
              <w:t>办法</w:t>
            </w:r>
            <w:r>
              <w:rPr>
                <w:rFonts w:hint="eastAsia" w:ascii="宋体" w:hAnsi="宋体" w:cs="宋体"/>
                <w:color w:val="auto"/>
                <w:szCs w:val="21"/>
                <w:highlight w:val="none"/>
              </w:rPr>
              <w:t>》第十六条所禁止的情形的；</w:t>
            </w:r>
          </w:p>
        </w:tc>
        <w:tc>
          <w:tcPr>
            <w:tcW w:w="552" w:type="pct"/>
            <w:tcBorders>
              <w:top w:val="single" w:color="auto" w:sz="4" w:space="0"/>
              <w:left w:val="single" w:color="auto" w:sz="4" w:space="0"/>
              <w:bottom w:val="single" w:color="auto" w:sz="4" w:space="0"/>
              <w:right w:val="single" w:color="auto" w:sz="4" w:space="0"/>
            </w:tcBorders>
          </w:tcPr>
          <w:p w14:paraId="473A3A15">
            <w:pPr>
              <w:adjustRightInd w:val="0"/>
              <w:rPr>
                <w:rFonts w:hint="eastAsia" w:ascii="宋体" w:hAnsi="宋体" w:cs="宋体"/>
                <w:color w:val="auto"/>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04DACCDE">
            <w:pPr>
              <w:adjustRightInd w:val="0"/>
              <w:rPr>
                <w:rFonts w:hint="eastAsia" w:ascii="宋体" w:hAnsi="宋体" w:cs="宋体"/>
                <w:color w:val="auto"/>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68935E52">
            <w:pPr>
              <w:adjustRightInd w:val="0"/>
              <w:rPr>
                <w:rFonts w:hint="eastAsia" w:ascii="宋体" w:hAnsi="宋体" w:cs="宋体"/>
                <w:color w:val="auto"/>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699E55B3">
            <w:pPr>
              <w:adjustRightInd w:val="0"/>
              <w:rPr>
                <w:rFonts w:hint="eastAsia" w:ascii="宋体" w:hAnsi="宋体" w:cs="宋体"/>
                <w:color w:val="auto"/>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0B83EE07">
            <w:pPr>
              <w:adjustRightInd w:val="0"/>
              <w:rPr>
                <w:rFonts w:hint="eastAsia" w:ascii="宋体" w:hAnsi="宋体" w:cs="宋体"/>
                <w:color w:val="auto"/>
                <w:szCs w:val="21"/>
                <w:highlight w:val="none"/>
                <w:shd w:val="pct10" w:color="auto" w:fill="FFFFFF"/>
              </w:rPr>
            </w:pPr>
          </w:p>
        </w:tc>
        <w:tc>
          <w:tcPr>
            <w:tcW w:w="552" w:type="pct"/>
            <w:tcBorders>
              <w:top w:val="single" w:color="auto" w:sz="4" w:space="0"/>
              <w:left w:val="single" w:color="auto" w:sz="4" w:space="0"/>
              <w:bottom w:val="single" w:color="auto" w:sz="4" w:space="0"/>
              <w:right w:val="single" w:color="auto" w:sz="4" w:space="0"/>
            </w:tcBorders>
          </w:tcPr>
          <w:p w14:paraId="17C5AEBD">
            <w:pPr>
              <w:adjustRightInd w:val="0"/>
              <w:rPr>
                <w:rFonts w:hint="eastAsia" w:ascii="宋体" w:hAnsi="宋体" w:cs="宋体"/>
                <w:color w:val="auto"/>
                <w:szCs w:val="21"/>
                <w:highlight w:val="none"/>
                <w:shd w:val="pct10" w:color="auto" w:fill="FFFFFF"/>
              </w:rPr>
            </w:pPr>
          </w:p>
        </w:tc>
      </w:tr>
      <w:tr w14:paraId="7401D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424A709F">
            <w:pPr>
              <w:adjustRightInd w:val="0"/>
              <w:rPr>
                <w:rFonts w:hint="eastAsia" w:ascii="宋体" w:hAnsi="宋体" w:cs="宋体"/>
                <w:color w:val="auto"/>
                <w:szCs w:val="21"/>
                <w:highlight w:val="none"/>
              </w:rPr>
            </w:pPr>
            <w:r>
              <w:rPr>
                <w:rFonts w:hint="eastAsia" w:ascii="宋体" w:hAnsi="宋体" w:cs="宋体"/>
                <w:color w:val="auto"/>
                <w:szCs w:val="21"/>
                <w:highlight w:val="none"/>
              </w:rPr>
              <w:t>6</w:t>
            </w:r>
          </w:p>
        </w:tc>
        <w:tc>
          <w:tcPr>
            <w:tcW w:w="1481" w:type="pct"/>
            <w:tcBorders>
              <w:top w:val="single" w:color="auto" w:sz="4" w:space="0"/>
              <w:left w:val="single" w:color="auto" w:sz="4" w:space="0"/>
              <w:bottom w:val="single" w:color="auto" w:sz="4" w:space="0"/>
              <w:right w:val="single" w:color="auto" w:sz="4" w:space="0"/>
            </w:tcBorders>
            <w:vAlign w:val="center"/>
          </w:tcPr>
          <w:p w14:paraId="03CD50E2">
            <w:pPr>
              <w:adjustRightInd w:val="0"/>
              <w:rPr>
                <w:rFonts w:hint="eastAsia"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552" w:type="pct"/>
            <w:tcBorders>
              <w:top w:val="single" w:color="auto" w:sz="4" w:space="0"/>
              <w:left w:val="single" w:color="auto" w:sz="4" w:space="0"/>
              <w:bottom w:val="single" w:color="auto" w:sz="4" w:space="0"/>
              <w:right w:val="single" w:color="auto" w:sz="4" w:space="0"/>
            </w:tcBorders>
          </w:tcPr>
          <w:p w14:paraId="4AA8640D">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DDFF451">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2CFD60DA">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2050F2A">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C27D171">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F033B6E">
            <w:pPr>
              <w:adjustRightInd w:val="0"/>
              <w:rPr>
                <w:rFonts w:hint="eastAsia" w:ascii="宋体" w:hAnsi="宋体" w:cs="宋体"/>
                <w:color w:val="auto"/>
                <w:szCs w:val="21"/>
                <w:highlight w:val="none"/>
              </w:rPr>
            </w:pPr>
          </w:p>
        </w:tc>
      </w:tr>
      <w:tr w14:paraId="55EB4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3AA9BA19">
            <w:pPr>
              <w:adjustRightInd w:val="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w:t>
            </w:r>
          </w:p>
        </w:tc>
        <w:tc>
          <w:tcPr>
            <w:tcW w:w="1481" w:type="pct"/>
            <w:tcBorders>
              <w:top w:val="single" w:color="auto" w:sz="4" w:space="0"/>
              <w:left w:val="single" w:color="auto" w:sz="4" w:space="0"/>
              <w:bottom w:val="single" w:color="auto" w:sz="4" w:space="0"/>
              <w:right w:val="single" w:color="auto" w:sz="4" w:space="0"/>
            </w:tcBorders>
            <w:vAlign w:val="center"/>
          </w:tcPr>
          <w:p w14:paraId="25A1CC5C">
            <w:pPr>
              <w:adjustRightInd w:val="0"/>
              <w:rPr>
                <w:rFonts w:hint="eastAsia" w:ascii="宋体" w:hAnsi="宋体" w:cs="宋体"/>
                <w:color w:val="auto"/>
                <w:szCs w:val="21"/>
                <w:highlight w:val="none"/>
              </w:rPr>
            </w:pPr>
            <w:r>
              <w:rPr>
                <w:rFonts w:hint="eastAsia" w:ascii="宋体" w:hAnsi="宋体"/>
                <w:color w:val="auto"/>
                <w:szCs w:val="21"/>
                <w:highlight w:val="none"/>
              </w:rPr>
              <w:t>投标人未按要求提交投标保证金的</w:t>
            </w:r>
          </w:p>
        </w:tc>
        <w:tc>
          <w:tcPr>
            <w:tcW w:w="552" w:type="pct"/>
            <w:tcBorders>
              <w:top w:val="single" w:color="auto" w:sz="4" w:space="0"/>
              <w:left w:val="single" w:color="auto" w:sz="4" w:space="0"/>
              <w:bottom w:val="single" w:color="auto" w:sz="4" w:space="0"/>
              <w:right w:val="single" w:color="auto" w:sz="4" w:space="0"/>
            </w:tcBorders>
          </w:tcPr>
          <w:p w14:paraId="7225AD73">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F5296CF">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8D1E395">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328D0FD9">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05BA8CD">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576F42EC">
            <w:pPr>
              <w:adjustRightInd w:val="0"/>
              <w:rPr>
                <w:rFonts w:hint="eastAsia" w:ascii="宋体" w:hAnsi="宋体" w:cs="宋体"/>
                <w:color w:val="auto"/>
                <w:szCs w:val="21"/>
                <w:highlight w:val="none"/>
              </w:rPr>
            </w:pPr>
          </w:p>
        </w:tc>
      </w:tr>
      <w:tr w14:paraId="06A32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03" w:type="pct"/>
            <w:tcBorders>
              <w:top w:val="single" w:color="auto" w:sz="4" w:space="0"/>
              <w:left w:val="single" w:color="auto" w:sz="4" w:space="0"/>
              <w:bottom w:val="single" w:color="auto" w:sz="4" w:space="0"/>
              <w:right w:val="single" w:color="auto" w:sz="4" w:space="0"/>
            </w:tcBorders>
            <w:vAlign w:val="center"/>
          </w:tcPr>
          <w:p w14:paraId="15F4A65D">
            <w:pPr>
              <w:adjustRightInd w:val="0"/>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8</w:t>
            </w:r>
          </w:p>
        </w:tc>
        <w:tc>
          <w:tcPr>
            <w:tcW w:w="1481" w:type="pct"/>
            <w:tcBorders>
              <w:top w:val="single" w:color="auto" w:sz="4" w:space="0"/>
              <w:left w:val="single" w:color="auto" w:sz="4" w:space="0"/>
              <w:bottom w:val="single" w:color="auto" w:sz="4" w:space="0"/>
              <w:right w:val="single" w:color="auto" w:sz="4" w:space="0"/>
            </w:tcBorders>
            <w:vAlign w:val="center"/>
          </w:tcPr>
          <w:p w14:paraId="464572C1">
            <w:pPr>
              <w:adjustRightInd w:val="0"/>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投标人与本项目其他投标人加密打包投标文件电脑机器特征码一致的(以</w:t>
            </w:r>
            <w:r>
              <w:rPr>
                <w:rFonts w:hint="eastAsia" w:ascii="宋体" w:hAnsi="宋体"/>
                <w:color w:val="auto"/>
                <w:szCs w:val="21"/>
                <w:highlight w:val="none"/>
              </w:rPr>
              <w:t>广州交易集团有限公司（广州公共资源交易中心）</w:t>
            </w:r>
            <w:r>
              <w:rPr>
                <w:rFonts w:hint="eastAsia" w:ascii="宋体" w:hAnsi="宋体" w:cs="宋体"/>
                <w:color w:val="auto"/>
                <w:szCs w:val="21"/>
                <w:highlight w:val="none"/>
              </w:rPr>
              <w:t>交易平台评标系统的检索信息为准)</w:t>
            </w:r>
          </w:p>
        </w:tc>
        <w:tc>
          <w:tcPr>
            <w:tcW w:w="552" w:type="pct"/>
            <w:tcBorders>
              <w:top w:val="single" w:color="auto" w:sz="4" w:space="0"/>
              <w:left w:val="single" w:color="auto" w:sz="4" w:space="0"/>
              <w:bottom w:val="single" w:color="auto" w:sz="4" w:space="0"/>
              <w:right w:val="single" w:color="auto" w:sz="4" w:space="0"/>
            </w:tcBorders>
          </w:tcPr>
          <w:p w14:paraId="5813931D">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2FC7806">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04AB03D5">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1113A575">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786BD6D6">
            <w:pPr>
              <w:adjustRightInd w:val="0"/>
              <w:rPr>
                <w:rFonts w:hint="eastAsia" w:ascii="宋体" w:hAnsi="宋体" w:cs="宋体"/>
                <w:color w:val="auto"/>
                <w:szCs w:val="21"/>
                <w:highlight w:val="none"/>
              </w:rPr>
            </w:pPr>
          </w:p>
        </w:tc>
        <w:tc>
          <w:tcPr>
            <w:tcW w:w="552" w:type="pct"/>
            <w:tcBorders>
              <w:top w:val="single" w:color="auto" w:sz="4" w:space="0"/>
              <w:left w:val="single" w:color="auto" w:sz="4" w:space="0"/>
              <w:bottom w:val="single" w:color="auto" w:sz="4" w:space="0"/>
              <w:right w:val="single" w:color="auto" w:sz="4" w:space="0"/>
            </w:tcBorders>
          </w:tcPr>
          <w:p w14:paraId="65DF24F4">
            <w:pPr>
              <w:adjustRightInd w:val="0"/>
              <w:rPr>
                <w:rFonts w:hint="eastAsia" w:ascii="宋体" w:hAnsi="宋体" w:cs="宋体"/>
                <w:color w:val="auto"/>
                <w:szCs w:val="21"/>
                <w:highlight w:val="none"/>
              </w:rPr>
            </w:pPr>
          </w:p>
        </w:tc>
      </w:tr>
    </w:tbl>
    <w:p w14:paraId="1D378CAC">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注：1.本表使用GZZB2018-3招标文件范本，与范本内容不同之处均以下划线标明。技术标评审中，响应性、承诺性内容不应作为评分因素，可在该表中对上述内容进行符合性审查。审查标准须具备可操作性。</w:t>
      </w:r>
    </w:p>
    <w:p w14:paraId="6921899F">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68BD8903">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3.凡出现以上任何一项情形，结论均为无效，否则就为有效。</w:t>
      </w:r>
    </w:p>
    <w:p w14:paraId="2D7C9D91">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4.如对本表中某种情形的评审意见不一致时，以评标委员会过半数成员的意见作为评标委员会对该情形的认定结论。</w:t>
      </w:r>
    </w:p>
    <w:p w14:paraId="5FAAE356">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评委签名：</w:t>
      </w:r>
    </w:p>
    <w:p w14:paraId="7454F4D1">
      <w:pPr>
        <w:wordWrap w:val="0"/>
        <w:spacing w:line="360" w:lineRule="auto"/>
        <w:outlineLvl w:val="1"/>
        <w:rPr>
          <w:rFonts w:hint="eastAsia" w:ascii="宋体" w:hAnsi="宋体" w:eastAsia="宋体" w:cs="宋体"/>
          <w:color w:val="auto"/>
          <w:szCs w:val="21"/>
          <w:highlight w:val="none"/>
        </w:rPr>
      </w:pPr>
      <w:r>
        <w:rPr>
          <w:rFonts w:hint="eastAsia" w:ascii="宋体" w:hAnsi="宋体" w:cs="宋体"/>
          <w:color w:val="auto"/>
          <w:highlight w:val="none"/>
        </w:rPr>
        <w:br w:type="page"/>
      </w:r>
      <w:r>
        <w:rPr>
          <w:rFonts w:hint="eastAsia" w:ascii="宋体" w:hAnsi="宋体" w:eastAsia="宋体" w:cs="宋体"/>
          <w:color w:val="auto"/>
          <w:szCs w:val="21"/>
          <w:highlight w:val="none"/>
        </w:rPr>
        <w:t>附表三</w:t>
      </w:r>
    </w:p>
    <w:p w14:paraId="7BBE6BF0">
      <w:pPr>
        <w:jc w:val="center"/>
        <w:outlineLvl w:val="4"/>
        <w:rPr>
          <w:rFonts w:hint="eastAsia"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14:paraId="5D0622B0">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6263"/>
        <w:gridCol w:w="1177"/>
        <w:gridCol w:w="1385"/>
        <w:gridCol w:w="1385"/>
        <w:gridCol w:w="1382"/>
        <w:gridCol w:w="1386"/>
        <w:gridCol w:w="1386"/>
      </w:tblGrid>
      <w:tr w14:paraId="4369B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76" w:type="pct"/>
            <w:tcBorders>
              <w:top w:val="single" w:color="auto" w:sz="4" w:space="0"/>
              <w:left w:val="single" w:color="auto" w:sz="4" w:space="0"/>
              <w:bottom w:val="single" w:color="auto" w:sz="4" w:space="0"/>
              <w:right w:val="single" w:color="auto" w:sz="4" w:space="0"/>
            </w:tcBorders>
            <w:vAlign w:val="center"/>
          </w:tcPr>
          <w:p w14:paraId="77F26071">
            <w:pP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2102" w:type="pct"/>
            <w:tcBorders>
              <w:top w:val="single" w:color="auto" w:sz="4" w:space="0"/>
              <w:left w:val="single" w:color="auto" w:sz="4" w:space="0"/>
              <w:bottom w:val="single" w:color="auto" w:sz="4" w:space="0"/>
              <w:right w:val="single" w:color="auto" w:sz="4" w:space="0"/>
              <w:tl2br w:val="single" w:color="auto" w:sz="4" w:space="0"/>
            </w:tcBorders>
          </w:tcPr>
          <w:p w14:paraId="00F190F1">
            <w:pPr>
              <w:rPr>
                <w:rFonts w:hint="eastAsia" w:ascii="宋体" w:hAnsi="宋体" w:cs="宋体"/>
                <w:color w:val="auto"/>
                <w:szCs w:val="21"/>
                <w:highlight w:val="none"/>
              </w:rPr>
            </w:pPr>
            <w:r>
              <w:rPr>
                <w:rFonts w:hint="eastAsia" w:ascii="宋体" w:hAnsi="宋体" w:cs="宋体"/>
                <w:color w:val="auto"/>
                <w:szCs w:val="21"/>
                <w:highlight w:val="none"/>
              </w:rPr>
              <w:t xml:space="preserve">               投标人</w:t>
            </w:r>
          </w:p>
          <w:p w14:paraId="765D628A">
            <w:pPr>
              <w:rPr>
                <w:rFonts w:hint="eastAsia" w:ascii="宋体" w:hAnsi="宋体" w:cs="宋体"/>
                <w:color w:val="auto"/>
                <w:szCs w:val="21"/>
                <w:highlight w:val="none"/>
              </w:rPr>
            </w:pPr>
          </w:p>
          <w:p w14:paraId="035CD53D">
            <w:pPr>
              <w:rPr>
                <w:rFonts w:hint="eastAsia" w:ascii="宋体" w:hAnsi="宋体" w:cs="宋体"/>
                <w:color w:val="auto"/>
                <w:szCs w:val="21"/>
                <w:highlight w:val="none"/>
              </w:rPr>
            </w:pPr>
            <w:r>
              <w:rPr>
                <w:rFonts w:hint="eastAsia" w:ascii="宋体" w:hAnsi="宋体" w:cs="宋体"/>
                <w:color w:val="auto"/>
                <w:szCs w:val="21"/>
                <w:highlight w:val="none"/>
              </w:rPr>
              <w:t>评审内容</w:t>
            </w:r>
          </w:p>
        </w:tc>
        <w:tc>
          <w:tcPr>
            <w:tcW w:w="395" w:type="pct"/>
            <w:tcBorders>
              <w:top w:val="single" w:color="auto" w:sz="4" w:space="0"/>
              <w:left w:val="single" w:color="auto" w:sz="4" w:space="0"/>
              <w:bottom w:val="single" w:color="auto" w:sz="4" w:space="0"/>
              <w:right w:val="single" w:color="auto" w:sz="4" w:space="0"/>
            </w:tcBorders>
          </w:tcPr>
          <w:p w14:paraId="2ACA15F6">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24FD655">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16C4DAD">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10D27646">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2A4C062">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6597746">
            <w:pPr>
              <w:rPr>
                <w:rFonts w:hint="eastAsia" w:ascii="宋体" w:hAnsi="宋体" w:cs="宋体"/>
                <w:color w:val="auto"/>
                <w:szCs w:val="21"/>
                <w:highlight w:val="none"/>
              </w:rPr>
            </w:pPr>
          </w:p>
        </w:tc>
      </w:tr>
      <w:tr w14:paraId="04D7E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524F83D4">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2102" w:type="pct"/>
            <w:tcBorders>
              <w:top w:val="single" w:color="auto" w:sz="4" w:space="0"/>
              <w:left w:val="single" w:color="auto" w:sz="4" w:space="0"/>
              <w:bottom w:val="single" w:color="auto" w:sz="4" w:space="0"/>
              <w:right w:val="single" w:color="auto" w:sz="4" w:space="0"/>
            </w:tcBorders>
            <w:vAlign w:val="center"/>
          </w:tcPr>
          <w:p w14:paraId="6307D02F">
            <w:pPr>
              <w:rPr>
                <w:rFonts w:hint="eastAsia"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395" w:type="pct"/>
            <w:tcBorders>
              <w:top w:val="single" w:color="auto" w:sz="4" w:space="0"/>
              <w:left w:val="single" w:color="auto" w:sz="4" w:space="0"/>
              <w:bottom w:val="single" w:color="auto" w:sz="4" w:space="0"/>
              <w:right w:val="single" w:color="auto" w:sz="4" w:space="0"/>
            </w:tcBorders>
          </w:tcPr>
          <w:p w14:paraId="4621C3CD">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27C49F2">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E8CFFAE">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6D42EC1C">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70C169B">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3CC2C2B">
            <w:pPr>
              <w:rPr>
                <w:rFonts w:hint="eastAsia" w:ascii="宋体" w:hAnsi="宋体" w:cs="宋体"/>
                <w:color w:val="auto"/>
                <w:szCs w:val="21"/>
                <w:highlight w:val="none"/>
              </w:rPr>
            </w:pPr>
          </w:p>
        </w:tc>
      </w:tr>
      <w:tr w14:paraId="60998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088D4489">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2102" w:type="pct"/>
            <w:tcBorders>
              <w:top w:val="single" w:color="auto" w:sz="4" w:space="0"/>
              <w:left w:val="single" w:color="auto" w:sz="4" w:space="0"/>
              <w:bottom w:val="single" w:color="auto" w:sz="4" w:space="0"/>
              <w:right w:val="single" w:color="auto" w:sz="4" w:space="0"/>
            </w:tcBorders>
            <w:vAlign w:val="center"/>
          </w:tcPr>
          <w:p w14:paraId="0934EA89">
            <w:pPr>
              <w:rPr>
                <w:rFonts w:hint="eastAsia" w:ascii="宋体" w:hAnsi="宋体" w:cs="宋体"/>
                <w:color w:val="auto"/>
                <w:szCs w:val="21"/>
                <w:highlight w:val="none"/>
              </w:rPr>
            </w:pPr>
            <w:r>
              <w:rPr>
                <w:rFonts w:hint="eastAsia" w:ascii="宋体" w:hAnsi="宋体" w:cs="宋体"/>
                <w:color w:val="auto"/>
                <w:szCs w:val="21"/>
                <w:highlight w:val="none"/>
                <w:u w:val="none"/>
              </w:rPr>
              <w:t>投标总报价</w:t>
            </w:r>
            <w:r>
              <w:rPr>
                <w:rFonts w:hint="eastAsia" w:ascii="宋体" w:hAnsi="宋体" w:cs="宋体"/>
                <w:color w:val="auto"/>
                <w:szCs w:val="21"/>
                <w:highlight w:val="none"/>
              </w:rPr>
              <w:t>高于最高投标限价的；</w:t>
            </w:r>
          </w:p>
        </w:tc>
        <w:tc>
          <w:tcPr>
            <w:tcW w:w="395" w:type="pct"/>
            <w:tcBorders>
              <w:top w:val="single" w:color="auto" w:sz="4" w:space="0"/>
              <w:left w:val="single" w:color="auto" w:sz="4" w:space="0"/>
              <w:bottom w:val="single" w:color="auto" w:sz="4" w:space="0"/>
              <w:right w:val="single" w:color="auto" w:sz="4" w:space="0"/>
            </w:tcBorders>
          </w:tcPr>
          <w:p w14:paraId="186151DF">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81C7430">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89808E0">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60D22CD">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B0929F9">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3CD94A7">
            <w:pPr>
              <w:rPr>
                <w:rFonts w:hint="eastAsia" w:ascii="宋体" w:hAnsi="宋体" w:cs="宋体"/>
                <w:color w:val="auto"/>
                <w:szCs w:val="21"/>
                <w:highlight w:val="none"/>
              </w:rPr>
            </w:pPr>
          </w:p>
        </w:tc>
      </w:tr>
      <w:tr w14:paraId="1B26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31EB11C3">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2102" w:type="pct"/>
            <w:tcBorders>
              <w:top w:val="single" w:color="auto" w:sz="4" w:space="0"/>
              <w:left w:val="single" w:color="auto" w:sz="4" w:space="0"/>
              <w:bottom w:val="single" w:color="auto" w:sz="4" w:space="0"/>
              <w:right w:val="single" w:color="auto" w:sz="4" w:space="0"/>
            </w:tcBorders>
            <w:vAlign w:val="center"/>
          </w:tcPr>
          <w:p w14:paraId="49280417">
            <w:pPr>
              <w:autoSpaceDE w:val="0"/>
              <w:autoSpaceDN w:val="0"/>
              <w:adjustRightInd w:val="0"/>
              <w:ind w:left="-2" w:leftChars="-1"/>
              <w:jc w:val="left"/>
              <w:rPr>
                <w:rFonts w:hint="eastAsia" w:ascii="宋体" w:hAnsi="宋体" w:cs="宋体"/>
                <w:color w:val="auto"/>
                <w:szCs w:val="21"/>
                <w:highlight w:val="none"/>
              </w:rPr>
            </w:pPr>
            <w:r>
              <w:rPr>
                <w:rFonts w:hint="eastAsia" w:ascii="宋体" w:hAnsi="宋体" w:cs="宋体"/>
                <w:color w:val="auto"/>
                <w:szCs w:val="21"/>
                <w:highlight w:val="none"/>
              </w:rPr>
              <w:t>投标报价低于成本的；</w:t>
            </w:r>
          </w:p>
        </w:tc>
        <w:tc>
          <w:tcPr>
            <w:tcW w:w="395" w:type="pct"/>
            <w:tcBorders>
              <w:top w:val="single" w:color="auto" w:sz="4" w:space="0"/>
              <w:left w:val="single" w:color="auto" w:sz="4" w:space="0"/>
              <w:bottom w:val="single" w:color="auto" w:sz="4" w:space="0"/>
              <w:right w:val="single" w:color="auto" w:sz="4" w:space="0"/>
            </w:tcBorders>
          </w:tcPr>
          <w:p w14:paraId="611208FC">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A1F60E7">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D952C3B">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46C00CE3">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E48F0D0">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D302E85">
            <w:pPr>
              <w:rPr>
                <w:rFonts w:hint="eastAsia" w:ascii="宋体" w:hAnsi="宋体" w:cs="宋体"/>
                <w:color w:val="auto"/>
                <w:szCs w:val="21"/>
                <w:highlight w:val="none"/>
              </w:rPr>
            </w:pPr>
          </w:p>
        </w:tc>
      </w:tr>
      <w:tr w14:paraId="4C029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119BFF62">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2102" w:type="pct"/>
            <w:tcBorders>
              <w:top w:val="single" w:color="auto" w:sz="4" w:space="0"/>
              <w:left w:val="single" w:color="auto" w:sz="4" w:space="0"/>
              <w:bottom w:val="single" w:color="auto" w:sz="4" w:space="0"/>
              <w:right w:val="single" w:color="auto" w:sz="4" w:space="0"/>
            </w:tcBorders>
            <w:vAlign w:val="center"/>
          </w:tcPr>
          <w:p w14:paraId="497185D2">
            <w:pPr>
              <w:rPr>
                <w:rFonts w:hint="eastAsia" w:ascii="宋体" w:hAnsi="宋体" w:cs="宋体"/>
                <w:color w:val="auto"/>
                <w:szCs w:val="21"/>
                <w:highlight w:val="none"/>
              </w:rPr>
            </w:pPr>
            <w:r>
              <w:rPr>
                <w:rFonts w:hint="eastAsia" w:ascii="宋体" w:hAnsi="宋体" w:cs="宋体"/>
                <w:color w:val="auto"/>
                <w:szCs w:val="21"/>
                <w:highlight w:val="none"/>
              </w:rPr>
              <w:t>投标文件未按规定的格式</w:t>
            </w:r>
            <w:r>
              <w:rPr>
                <w:rFonts w:hint="eastAsia" w:ascii="宋体" w:hAnsi="宋体" w:cs="宋体"/>
                <w:color w:val="auto"/>
                <w:szCs w:val="21"/>
                <w:highlight w:val="none"/>
                <w:u w:val="single"/>
              </w:rPr>
              <w:t>（经济标格式三、格式四）</w:t>
            </w:r>
            <w:r>
              <w:rPr>
                <w:rFonts w:hint="eastAsia" w:ascii="宋体" w:hAnsi="宋体" w:cs="宋体"/>
                <w:color w:val="auto"/>
                <w:szCs w:val="21"/>
                <w:highlight w:val="none"/>
              </w:rPr>
              <w:t>填写，或主要内容不全，或关键字迹模糊、无法辨认的；</w:t>
            </w:r>
          </w:p>
        </w:tc>
        <w:tc>
          <w:tcPr>
            <w:tcW w:w="395" w:type="pct"/>
            <w:tcBorders>
              <w:top w:val="single" w:color="auto" w:sz="4" w:space="0"/>
              <w:left w:val="single" w:color="auto" w:sz="4" w:space="0"/>
              <w:bottom w:val="single" w:color="auto" w:sz="4" w:space="0"/>
              <w:right w:val="single" w:color="auto" w:sz="4" w:space="0"/>
            </w:tcBorders>
          </w:tcPr>
          <w:p w14:paraId="20F6E2AE">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3926D6F">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5A7718B">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6A805DA5">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EF91773">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27800E1">
            <w:pPr>
              <w:rPr>
                <w:rFonts w:hint="eastAsia" w:ascii="宋体" w:hAnsi="宋体" w:cs="宋体"/>
                <w:color w:val="auto"/>
                <w:szCs w:val="21"/>
                <w:highlight w:val="none"/>
              </w:rPr>
            </w:pPr>
          </w:p>
        </w:tc>
      </w:tr>
      <w:tr w14:paraId="24882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7893BE85">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2102" w:type="pct"/>
            <w:tcBorders>
              <w:top w:val="single" w:color="auto" w:sz="4" w:space="0"/>
              <w:left w:val="single" w:color="auto" w:sz="4" w:space="0"/>
              <w:bottom w:val="single" w:color="auto" w:sz="4" w:space="0"/>
              <w:right w:val="single" w:color="auto" w:sz="4" w:space="0"/>
            </w:tcBorders>
            <w:vAlign w:val="center"/>
          </w:tcPr>
          <w:p w14:paraId="44F5F6F6">
            <w:pPr>
              <w:rPr>
                <w:rFonts w:hint="eastAsia"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w:t>
            </w:r>
            <w:r>
              <w:rPr>
                <w:rFonts w:hint="eastAsia" w:ascii="宋体" w:hAnsi="宋体" w:cs="宋体"/>
                <w:color w:val="auto"/>
                <w:szCs w:val="21"/>
                <w:highlight w:val="none"/>
                <w:lang w:val="en-US" w:eastAsia="zh-CN"/>
              </w:rPr>
              <w:t>办法</w:t>
            </w:r>
            <w:r>
              <w:rPr>
                <w:rFonts w:hint="eastAsia" w:ascii="宋体" w:hAnsi="宋体" w:cs="宋体"/>
                <w:color w:val="auto"/>
                <w:szCs w:val="21"/>
                <w:highlight w:val="none"/>
              </w:rPr>
              <w:t>》第十六条所禁止的情形的；</w:t>
            </w:r>
          </w:p>
        </w:tc>
        <w:tc>
          <w:tcPr>
            <w:tcW w:w="395" w:type="pct"/>
            <w:tcBorders>
              <w:top w:val="single" w:color="auto" w:sz="4" w:space="0"/>
              <w:left w:val="single" w:color="auto" w:sz="4" w:space="0"/>
              <w:bottom w:val="single" w:color="auto" w:sz="4" w:space="0"/>
              <w:right w:val="single" w:color="auto" w:sz="4" w:space="0"/>
            </w:tcBorders>
          </w:tcPr>
          <w:p w14:paraId="6BFB1FDC">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7C6E3393">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C41C83F">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607A5302">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0C0F2D9D">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24B340AC">
            <w:pPr>
              <w:rPr>
                <w:rFonts w:hint="eastAsia" w:ascii="宋体" w:hAnsi="宋体" w:cs="宋体"/>
                <w:color w:val="auto"/>
                <w:szCs w:val="21"/>
                <w:highlight w:val="none"/>
              </w:rPr>
            </w:pPr>
          </w:p>
        </w:tc>
      </w:tr>
      <w:tr w14:paraId="524A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6AABD3BD">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2102" w:type="pct"/>
            <w:tcBorders>
              <w:top w:val="single" w:color="auto" w:sz="4" w:space="0"/>
              <w:left w:val="single" w:color="auto" w:sz="4" w:space="0"/>
              <w:bottom w:val="single" w:color="auto" w:sz="4" w:space="0"/>
              <w:right w:val="single" w:color="auto" w:sz="4" w:space="0"/>
            </w:tcBorders>
            <w:vAlign w:val="center"/>
          </w:tcPr>
          <w:p w14:paraId="3406183D">
            <w:pPr>
              <w:rPr>
                <w:rFonts w:hint="eastAsia"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395" w:type="pct"/>
            <w:tcBorders>
              <w:top w:val="single" w:color="auto" w:sz="4" w:space="0"/>
              <w:left w:val="single" w:color="auto" w:sz="4" w:space="0"/>
              <w:bottom w:val="single" w:color="auto" w:sz="4" w:space="0"/>
              <w:right w:val="single" w:color="auto" w:sz="4" w:space="0"/>
            </w:tcBorders>
          </w:tcPr>
          <w:p w14:paraId="2FE49BC3">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C68E16F">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E8C0445">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5FD41125">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45D9A31C">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99B52D8">
            <w:pPr>
              <w:rPr>
                <w:rFonts w:hint="eastAsia" w:ascii="宋体" w:hAnsi="宋体" w:cs="宋体"/>
                <w:color w:val="auto"/>
                <w:szCs w:val="21"/>
                <w:highlight w:val="none"/>
              </w:rPr>
            </w:pPr>
          </w:p>
        </w:tc>
      </w:tr>
      <w:tr w14:paraId="73BC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76" w:type="pct"/>
            <w:tcBorders>
              <w:top w:val="single" w:color="auto" w:sz="4" w:space="0"/>
              <w:left w:val="single" w:color="auto" w:sz="4" w:space="0"/>
              <w:bottom w:val="single" w:color="auto" w:sz="4" w:space="0"/>
              <w:right w:val="single" w:color="auto" w:sz="4" w:space="0"/>
            </w:tcBorders>
            <w:vAlign w:val="center"/>
          </w:tcPr>
          <w:p w14:paraId="61F21B52">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2102" w:type="pct"/>
            <w:tcBorders>
              <w:top w:val="single" w:color="auto" w:sz="4" w:space="0"/>
              <w:left w:val="single" w:color="auto" w:sz="4" w:space="0"/>
              <w:bottom w:val="single" w:color="auto" w:sz="4" w:space="0"/>
              <w:right w:val="single" w:color="auto" w:sz="4" w:space="0"/>
            </w:tcBorders>
            <w:vAlign w:val="center"/>
          </w:tcPr>
          <w:p w14:paraId="7837FC47">
            <w:pPr>
              <w:rPr>
                <w:rFonts w:hint="eastAsia"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395" w:type="pct"/>
            <w:tcBorders>
              <w:top w:val="single" w:color="auto" w:sz="4" w:space="0"/>
              <w:left w:val="single" w:color="auto" w:sz="4" w:space="0"/>
              <w:bottom w:val="single" w:color="auto" w:sz="4" w:space="0"/>
              <w:right w:val="single" w:color="auto" w:sz="4" w:space="0"/>
            </w:tcBorders>
          </w:tcPr>
          <w:p w14:paraId="0328B424">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F6E7465">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A7C85E8">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73F34439">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E608B7A">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6FB46439">
            <w:pPr>
              <w:rPr>
                <w:rFonts w:hint="eastAsia" w:ascii="宋体" w:hAnsi="宋体" w:cs="宋体"/>
                <w:color w:val="auto"/>
                <w:szCs w:val="21"/>
                <w:highlight w:val="none"/>
              </w:rPr>
            </w:pPr>
          </w:p>
        </w:tc>
      </w:tr>
      <w:tr w14:paraId="0FA4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6" w:type="pct"/>
            <w:tcBorders>
              <w:top w:val="single" w:color="auto" w:sz="4" w:space="0"/>
              <w:left w:val="single" w:color="auto" w:sz="4" w:space="0"/>
              <w:bottom w:val="single" w:color="auto" w:sz="4" w:space="0"/>
              <w:right w:val="single" w:color="auto" w:sz="4" w:space="0"/>
            </w:tcBorders>
            <w:vAlign w:val="center"/>
          </w:tcPr>
          <w:p w14:paraId="202E7615">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2102" w:type="pct"/>
            <w:tcBorders>
              <w:top w:val="single" w:color="auto" w:sz="4" w:space="0"/>
              <w:left w:val="single" w:color="auto" w:sz="4" w:space="0"/>
              <w:bottom w:val="single" w:color="auto" w:sz="4" w:space="0"/>
              <w:right w:val="single" w:color="auto" w:sz="4" w:space="0"/>
            </w:tcBorders>
            <w:vAlign w:val="center"/>
          </w:tcPr>
          <w:p w14:paraId="692B0002">
            <w:pPr>
              <w:rPr>
                <w:rFonts w:hint="eastAsia" w:ascii="宋体" w:hAnsi="宋体" w:cs="宋体"/>
                <w:color w:val="auto"/>
                <w:szCs w:val="21"/>
                <w:highlight w:val="none"/>
              </w:rPr>
            </w:pPr>
            <w:r>
              <w:rPr>
                <w:rFonts w:hint="eastAsia" w:ascii="宋体" w:hAnsi="宋体" w:cs="宋体"/>
                <w:color w:val="auto"/>
                <w:szCs w:val="21"/>
                <w:highlight w:val="none"/>
              </w:rPr>
              <w:t>投标人与本项目其他投标人的投标文件工程量清单编制机器硬件信息一致的（以</w:t>
            </w:r>
            <w:r>
              <w:rPr>
                <w:rFonts w:hint="eastAsia" w:ascii="宋体" w:hAnsi="宋体"/>
                <w:color w:val="auto"/>
                <w:szCs w:val="21"/>
                <w:highlight w:val="none"/>
              </w:rPr>
              <w:t>广州交易集团有限公司（广州公共资源交易中心）</w:t>
            </w:r>
            <w:r>
              <w:rPr>
                <w:rFonts w:hint="eastAsia" w:ascii="宋体" w:hAnsi="宋体" w:cs="宋体"/>
                <w:color w:val="auto"/>
                <w:szCs w:val="21"/>
                <w:highlight w:val="none"/>
              </w:rPr>
              <w:t>交易平台评标系统的检索信息为准）</w:t>
            </w:r>
          </w:p>
        </w:tc>
        <w:tc>
          <w:tcPr>
            <w:tcW w:w="395" w:type="pct"/>
            <w:tcBorders>
              <w:top w:val="single" w:color="auto" w:sz="4" w:space="0"/>
              <w:left w:val="single" w:color="auto" w:sz="4" w:space="0"/>
              <w:bottom w:val="single" w:color="auto" w:sz="4" w:space="0"/>
              <w:right w:val="single" w:color="auto" w:sz="4" w:space="0"/>
            </w:tcBorders>
          </w:tcPr>
          <w:p w14:paraId="2BF7E51B">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F070B96">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1611BC4C">
            <w:pPr>
              <w:rPr>
                <w:rFonts w:hint="eastAsia" w:ascii="宋体" w:hAnsi="宋体" w:cs="宋体"/>
                <w:color w:val="auto"/>
                <w:szCs w:val="21"/>
                <w:highlight w:val="none"/>
              </w:rPr>
            </w:pPr>
          </w:p>
        </w:tc>
        <w:tc>
          <w:tcPr>
            <w:tcW w:w="464" w:type="pct"/>
            <w:tcBorders>
              <w:top w:val="single" w:color="auto" w:sz="4" w:space="0"/>
              <w:left w:val="single" w:color="auto" w:sz="4" w:space="0"/>
              <w:bottom w:val="single" w:color="auto" w:sz="4" w:space="0"/>
              <w:right w:val="single" w:color="auto" w:sz="4" w:space="0"/>
            </w:tcBorders>
          </w:tcPr>
          <w:p w14:paraId="685DFBB2">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5DB8E6C4">
            <w:pPr>
              <w:rPr>
                <w:rFonts w:hint="eastAsia" w:ascii="宋体" w:hAnsi="宋体" w:cs="宋体"/>
                <w:color w:val="auto"/>
                <w:szCs w:val="21"/>
                <w:highlight w:val="none"/>
              </w:rPr>
            </w:pPr>
          </w:p>
        </w:tc>
        <w:tc>
          <w:tcPr>
            <w:tcW w:w="465" w:type="pct"/>
            <w:tcBorders>
              <w:top w:val="single" w:color="auto" w:sz="4" w:space="0"/>
              <w:left w:val="single" w:color="auto" w:sz="4" w:space="0"/>
              <w:bottom w:val="single" w:color="auto" w:sz="4" w:space="0"/>
              <w:right w:val="single" w:color="auto" w:sz="4" w:space="0"/>
            </w:tcBorders>
          </w:tcPr>
          <w:p w14:paraId="3FF8623A">
            <w:pPr>
              <w:rPr>
                <w:rFonts w:hint="eastAsia" w:ascii="宋体" w:hAnsi="宋体" w:cs="宋体"/>
                <w:color w:val="auto"/>
                <w:szCs w:val="21"/>
                <w:highlight w:val="none"/>
              </w:rPr>
            </w:pPr>
          </w:p>
        </w:tc>
      </w:tr>
    </w:tbl>
    <w:p w14:paraId="6279E184">
      <w:pPr>
        <w:pStyle w:val="4"/>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2FD5FCDA">
      <w:pPr>
        <w:pStyle w:val="4"/>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1.本表使用GZZB2018-3招标文件范本，与范本内容不同之处均以下划线标明。</w:t>
      </w:r>
    </w:p>
    <w:p w14:paraId="2DBEDA94">
      <w:pPr>
        <w:pStyle w:val="4"/>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2.凡出现以上任何一项情形，结论均为无效，否则就为有效。</w:t>
      </w:r>
    </w:p>
    <w:p w14:paraId="48CE9107">
      <w:pPr>
        <w:pStyle w:val="4"/>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3.如对本表中某种情形的评审意见不一致时，以评标委员会过半数成员的意见作为评标委员会对该情形的认定结论。</w:t>
      </w:r>
    </w:p>
    <w:p w14:paraId="79E904E1">
      <w:pPr>
        <w:pStyle w:val="4"/>
        <w:spacing w:after="0"/>
        <w:ind w:firstLineChars="200"/>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7731D9A">
      <w:pPr>
        <w:pStyle w:val="4"/>
        <w:spacing w:after="0"/>
        <w:ind w:firstLineChars="200"/>
        <w:jc w:val="left"/>
        <w:rPr>
          <w:rFonts w:hint="eastAsia" w:ascii="宋体" w:hAnsi="宋体" w:cs="宋体"/>
          <w:color w:val="auto"/>
          <w:sz w:val="21"/>
          <w:szCs w:val="21"/>
          <w:highlight w:val="none"/>
        </w:rPr>
        <w:sectPr>
          <w:pgSz w:w="16838" w:h="11906" w:orient="landscape"/>
          <w:pgMar w:top="1440" w:right="1080" w:bottom="1440" w:left="1080" w:header="851" w:footer="907" w:gutter="0"/>
          <w:cols w:space="720" w:num="1"/>
          <w:titlePg/>
          <w:docGrid w:type="lines" w:linePitch="312" w:charSpace="0"/>
        </w:sectPr>
      </w:pPr>
      <w:r>
        <w:rPr>
          <w:rFonts w:hint="eastAsia" w:ascii="宋体" w:hAnsi="宋体" w:cs="宋体"/>
          <w:color w:val="auto"/>
          <w:sz w:val="21"/>
          <w:szCs w:val="21"/>
          <w:highlight w:val="none"/>
        </w:rPr>
        <w:t>评委签名：</w:t>
      </w:r>
    </w:p>
    <w:p w14:paraId="5D4EEB7C">
      <w:pPr>
        <w:wordWrap w:val="0"/>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附表四：技术标详细审查评分表（删除）</w:t>
      </w:r>
    </w:p>
    <w:p w14:paraId="4A3A0807">
      <w:pPr>
        <w:wordWrap w:val="0"/>
        <w:spacing w:line="360" w:lineRule="auto"/>
        <w:outlineLvl w:val="1"/>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附表五：经济标评分表（适用于区间抽取法）（删除）</w:t>
      </w:r>
    </w:p>
    <w:p w14:paraId="4A5287F2">
      <w:pPr>
        <w:wordWrap w:val="0"/>
        <w:spacing w:line="360" w:lineRule="auto"/>
        <w:outlineLvl w:val="1"/>
        <w:rPr>
          <w:rFonts w:hint="eastAsia" w:ascii="宋体" w:hAnsi="宋体" w:eastAsia="宋体" w:cs="宋体"/>
          <w:b w:val="0"/>
          <w:color w:val="auto"/>
          <w:szCs w:val="21"/>
          <w:highlight w:val="none"/>
          <w:lang w:eastAsia="zh-CN"/>
        </w:rPr>
      </w:pPr>
      <w:r>
        <w:rPr>
          <w:rFonts w:hint="eastAsia" w:ascii="宋体" w:hAnsi="宋体" w:cs="宋体"/>
          <w:color w:val="auto"/>
          <w:szCs w:val="21"/>
          <w:highlight w:val="none"/>
        </w:rPr>
        <w:br w:type="page"/>
      </w:r>
      <w:r>
        <w:rPr>
          <w:rFonts w:hint="eastAsia" w:ascii="宋体" w:hAnsi="宋体" w:eastAsia="宋体" w:cs="宋体"/>
          <w:color w:val="auto"/>
          <w:szCs w:val="21"/>
          <w:highlight w:val="none"/>
        </w:rPr>
        <w:t>附表</w:t>
      </w:r>
      <w:r>
        <w:rPr>
          <w:rFonts w:hint="eastAsia" w:ascii="宋体" w:hAnsi="宋体" w:eastAsia="宋体" w:cs="宋体"/>
          <w:color w:val="auto"/>
          <w:szCs w:val="21"/>
          <w:highlight w:val="none"/>
          <w:lang w:val="en-US" w:eastAsia="zh-CN"/>
        </w:rPr>
        <w:t>六</w:t>
      </w:r>
    </w:p>
    <w:p w14:paraId="5AF64C3E">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75F6F587">
      <w:pPr>
        <w:rPr>
          <w:rFonts w:hint="eastAsia"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42"/>
        <w:tblW w:w="0" w:type="auto"/>
        <w:tblInd w:w="-116"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604EAB8E">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4FCD6A1A">
            <w:pPr>
              <w:rPr>
                <w:rFonts w:hint="eastAsia"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14:paraId="0EA65EEB">
            <w:pPr>
              <w:rPr>
                <w:rFonts w:hint="eastAsia"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14:paraId="68545B1D">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修正前投标</w:t>
            </w:r>
          </w:p>
          <w:p w14:paraId="473C0551">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14:paraId="5EFBE7D5">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修正后投标</w:t>
            </w:r>
          </w:p>
          <w:p w14:paraId="13970F4A">
            <w:pPr>
              <w:rPr>
                <w:rFonts w:hint="eastAsia"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14:paraId="5B5DC98D">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修正率</w:t>
            </w:r>
          </w:p>
          <w:p w14:paraId="7CB82BC2">
            <w:pPr>
              <w:rPr>
                <w:rFonts w:hint="eastAsia"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14:paraId="447DCF82">
            <w:pPr>
              <w:rPr>
                <w:rFonts w:hint="eastAsia"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0E80B638">
            <w:pPr>
              <w:rPr>
                <w:rFonts w:hint="eastAsia"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14:paraId="127615A4">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C529DD5">
            <w:pP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14:paraId="206ACE00">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14:paraId="03C69BA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052373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35BA6FD">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9CB09D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9BF690E">
            <w:pPr>
              <w:rPr>
                <w:rFonts w:hint="eastAsia" w:ascii="宋体" w:hAnsi="宋体" w:cs="宋体"/>
                <w:color w:val="auto"/>
                <w:kern w:val="0"/>
                <w:szCs w:val="21"/>
                <w:highlight w:val="none"/>
              </w:rPr>
            </w:pPr>
          </w:p>
        </w:tc>
      </w:tr>
      <w:tr w14:paraId="6E255A79">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87FD2A1">
            <w:pPr>
              <w:rPr>
                <w:rFonts w:hint="eastAsia"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14:paraId="664A1F3D">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14:paraId="4BFA2D3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7C20E3E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0460E92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0D372A5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7FB0DB43">
            <w:pPr>
              <w:rPr>
                <w:rFonts w:hint="eastAsia" w:ascii="宋体" w:hAnsi="宋体" w:cs="宋体"/>
                <w:color w:val="auto"/>
                <w:kern w:val="0"/>
                <w:szCs w:val="21"/>
                <w:highlight w:val="none"/>
              </w:rPr>
            </w:pPr>
          </w:p>
        </w:tc>
      </w:tr>
      <w:tr w14:paraId="1CA0DAB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4226160">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2AC172B4">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1431F4F">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20FE3B52">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9532B4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997F4E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094C44B4">
            <w:pPr>
              <w:rPr>
                <w:rFonts w:hint="eastAsia" w:ascii="宋体" w:hAnsi="宋体" w:cs="宋体"/>
                <w:color w:val="auto"/>
                <w:kern w:val="0"/>
                <w:szCs w:val="21"/>
                <w:highlight w:val="none"/>
              </w:rPr>
            </w:pPr>
          </w:p>
        </w:tc>
      </w:tr>
      <w:tr w14:paraId="7ED6D2F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51674079">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3713A91D">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0899C39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5EFB416">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86238A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11B4412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5E21C0FB">
            <w:pPr>
              <w:rPr>
                <w:rFonts w:hint="eastAsia" w:ascii="宋体" w:hAnsi="宋体" w:cs="宋体"/>
                <w:color w:val="auto"/>
                <w:kern w:val="0"/>
                <w:szCs w:val="21"/>
                <w:highlight w:val="none"/>
              </w:rPr>
            </w:pPr>
          </w:p>
        </w:tc>
      </w:tr>
      <w:tr w14:paraId="758DEBCA">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23F694DA">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4489699D">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14:paraId="2F0E961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618F5817">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CA96DE4">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62075FA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34BBB39E">
            <w:pPr>
              <w:rPr>
                <w:rFonts w:hint="eastAsia" w:ascii="宋体" w:hAnsi="宋体" w:cs="宋体"/>
                <w:color w:val="auto"/>
                <w:kern w:val="0"/>
                <w:szCs w:val="21"/>
                <w:highlight w:val="none"/>
              </w:rPr>
            </w:pPr>
          </w:p>
        </w:tc>
      </w:tr>
      <w:tr w14:paraId="4B8CBF26">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8A948DD">
            <w:pPr>
              <w:rPr>
                <w:rFonts w:hint="eastAsia"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14:paraId="4464B213">
            <w:pPr>
              <w:rPr>
                <w:rFonts w:hint="eastAsia"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14:paraId="301F0379">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5527C6D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393AB335">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3EC64E7B">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6A927C11">
            <w:pPr>
              <w:rPr>
                <w:rFonts w:hint="eastAsia" w:ascii="宋体" w:hAnsi="宋体" w:cs="宋体"/>
                <w:color w:val="auto"/>
                <w:kern w:val="0"/>
                <w:szCs w:val="21"/>
                <w:highlight w:val="none"/>
              </w:rPr>
            </w:pPr>
          </w:p>
        </w:tc>
      </w:tr>
      <w:tr w14:paraId="4DC9F1DF">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6F2C9C8">
            <w:pP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14:paraId="13767A00">
            <w:pPr>
              <w:rPr>
                <w:rFonts w:hint="eastAsia"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14:paraId="493BBA8E">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14:paraId="1403C40A">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14:paraId="5F6B549C">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14:paraId="78D7E263">
            <w:pP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14:paraId="4B262D5D">
            <w:pPr>
              <w:rPr>
                <w:rFonts w:hint="eastAsia"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14:paraId="09240786">
      <w:pPr>
        <w:rPr>
          <w:rFonts w:hint="eastAsia"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14:paraId="27EBF09D">
      <w:pPr>
        <w:rPr>
          <w:rFonts w:hint="eastAsia"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14:paraId="57924AB6">
      <w:pPr>
        <w:rPr>
          <w:rFonts w:hint="eastAsia" w:ascii="宋体" w:hAnsi="宋体" w:cs="宋体"/>
          <w:color w:val="auto"/>
          <w:highlight w:val="none"/>
        </w:rPr>
      </w:pPr>
    </w:p>
    <w:p w14:paraId="37FE5077">
      <w:pPr>
        <w:rPr>
          <w:rFonts w:hint="eastAsia" w:ascii="宋体" w:hAnsi="宋体" w:cs="宋体"/>
          <w:color w:val="auto"/>
          <w:highlight w:val="none"/>
        </w:rPr>
      </w:pPr>
      <w:r>
        <w:rPr>
          <w:rFonts w:hint="eastAsia" w:ascii="宋体" w:hAnsi="宋体" w:cs="宋体"/>
          <w:color w:val="auto"/>
          <w:highlight w:val="none"/>
        </w:rPr>
        <w:br w:type="page"/>
      </w:r>
    </w:p>
    <w:p w14:paraId="3285B707">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算术复核表</w:t>
      </w:r>
    </w:p>
    <w:p w14:paraId="6AE4340B">
      <w:pPr>
        <w:rPr>
          <w:rFonts w:hint="eastAsia" w:ascii="宋体" w:hAnsi="宋体" w:cs="宋体"/>
          <w:color w:val="auto"/>
          <w:szCs w:val="21"/>
          <w:highlight w:val="none"/>
        </w:rPr>
      </w:pPr>
      <w:r>
        <w:rPr>
          <w:rFonts w:hint="eastAsia" w:ascii="宋体" w:hAnsi="宋体" w:cs="宋体"/>
          <w:color w:val="auto"/>
          <w:szCs w:val="21"/>
          <w:highlight w:val="none"/>
        </w:rPr>
        <w:t>工程名称：</w:t>
      </w:r>
    </w:p>
    <w:tbl>
      <w:tblPr>
        <w:tblStyle w:val="42"/>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1EDCC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0EBF76FB">
            <w:pPr>
              <w:rPr>
                <w:rFonts w:hint="eastAsia"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14:paraId="481F5CD7">
            <w:pPr>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14:paraId="112AAE03">
            <w:pPr>
              <w:rPr>
                <w:rFonts w:hint="eastAsia"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101" w:type="dxa"/>
            <w:tcBorders>
              <w:top w:val="single" w:color="auto" w:sz="4" w:space="0"/>
              <w:left w:val="single" w:color="auto" w:sz="4" w:space="0"/>
              <w:bottom w:val="single" w:color="auto" w:sz="4" w:space="0"/>
              <w:right w:val="single" w:color="auto" w:sz="4" w:space="0"/>
            </w:tcBorders>
          </w:tcPr>
          <w:p w14:paraId="541CAD9E">
            <w:pPr>
              <w:rPr>
                <w:rFonts w:hint="eastAsia"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14:paraId="2546251D">
            <w:pPr>
              <w:rPr>
                <w:rFonts w:hint="eastAsia"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14:paraId="1B1C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E4872EA">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7F2AF1E">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22C65BF0">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A4F7069">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1D02068">
            <w:pPr>
              <w:rPr>
                <w:rFonts w:hint="eastAsia" w:ascii="宋体" w:hAnsi="宋体" w:cs="宋体"/>
                <w:color w:val="auto"/>
                <w:sz w:val="36"/>
                <w:szCs w:val="36"/>
                <w:highlight w:val="none"/>
              </w:rPr>
            </w:pPr>
          </w:p>
        </w:tc>
      </w:tr>
      <w:tr w14:paraId="42F7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900D992">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AE3408C">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89DD9A8">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8F4DC69">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BECD1B1">
            <w:pPr>
              <w:rPr>
                <w:rFonts w:hint="eastAsia" w:ascii="宋体" w:hAnsi="宋体" w:cs="宋体"/>
                <w:color w:val="auto"/>
                <w:sz w:val="36"/>
                <w:szCs w:val="36"/>
                <w:highlight w:val="none"/>
              </w:rPr>
            </w:pPr>
          </w:p>
        </w:tc>
      </w:tr>
      <w:tr w14:paraId="3835F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8E70E48">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61D6B368">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9C568C4">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04184F9">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6101CE01">
            <w:pPr>
              <w:rPr>
                <w:rFonts w:hint="eastAsia" w:ascii="宋体" w:hAnsi="宋体" w:cs="宋体"/>
                <w:color w:val="auto"/>
                <w:sz w:val="36"/>
                <w:szCs w:val="36"/>
                <w:highlight w:val="none"/>
              </w:rPr>
            </w:pPr>
          </w:p>
        </w:tc>
      </w:tr>
      <w:tr w14:paraId="3A92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529D343">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16114903">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586DA7E4">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4C7930AA">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1DAEF632">
            <w:pPr>
              <w:rPr>
                <w:rFonts w:hint="eastAsia" w:ascii="宋体" w:hAnsi="宋体" w:cs="宋体"/>
                <w:color w:val="auto"/>
                <w:sz w:val="36"/>
                <w:szCs w:val="36"/>
                <w:highlight w:val="none"/>
              </w:rPr>
            </w:pPr>
          </w:p>
        </w:tc>
      </w:tr>
      <w:tr w14:paraId="5C791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3E659C1">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1C5354F">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7AA21416">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5E922B48">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44576D8D">
            <w:pPr>
              <w:rPr>
                <w:rFonts w:hint="eastAsia" w:ascii="宋体" w:hAnsi="宋体" w:cs="宋体"/>
                <w:color w:val="auto"/>
                <w:sz w:val="36"/>
                <w:szCs w:val="36"/>
                <w:highlight w:val="none"/>
              </w:rPr>
            </w:pPr>
          </w:p>
        </w:tc>
      </w:tr>
      <w:tr w14:paraId="6B49A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750DDE54">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30974FC8">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65A6C231">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235C29C9">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318A2D75">
            <w:pPr>
              <w:rPr>
                <w:rFonts w:hint="eastAsia" w:ascii="宋体" w:hAnsi="宋体" w:cs="宋体"/>
                <w:color w:val="auto"/>
                <w:sz w:val="36"/>
                <w:szCs w:val="36"/>
                <w:highlight w:val="none"/>
              </w:rPr>
            </w:pPr>
          </w:p>
        </w:tc>
      </w:tr>
      <w:tr w14:paraId="3515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1228F6C">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2E2F7776">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78A9AAF">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0653A593">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76360227">
            <w:pPr>
              <w:rPr>
                <w:rFonts w:hint="eastAsia" w:ascii="宋体" w:hAnsi="宋体" w:cs="宋体"/>
                <w:color w:val="auto"/>
                <w:sz w:val="36"/>
                <w:szCs w:val="36"/>
                <w:highlight w:val="none"/>
              </w:rPr>
            </w:pPr>
          </w:p>
        </w:tc>
      </w:tr>
      <w:tr w14:paraId="3CB04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D212054">
            <w:pPr>
              <w:rPr>
                <w:rFonts w:hint="eastAsia"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14:paraId="7E3B78FD">
            <w:pPr>
              <w:rPr>
                <w:rFonts w:hint="eastAsia"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14:paraId="1A1A2BB4">
            <w:pPr>
              <w:rPr>
                <w:rFonts w:hint="eastAsia" w:ascii="宋体" w:hAnsi="宋体" w:cs="宋体"/>
                <w:color w:val="auto"/>
                <w:sz w:val="36"/>
                <w:szCs w:val="36"/>
                <w:highlight w:val="none"/>
              </w:rPr>
            </w:pPr>
          </w:p>
        </w:tc>
        <w:tc>
          <w:tcPr>
            <w:tcW w:w="3101" w:type="dxa"/>
            <w:tcBorders>
              <w:top w:val="single" w:color="auto" w:sz="4" w:space="0"/>
              <w:left w:val="single" w:color="auto" w:sz="4" w:space="0"/>
              <w:bottom w:val="single" w:color="auto" w:sz="4" w:space="0"/>
              <w:right w:val="single" w:color="auto" w:sz="4" w:space="0"/>
            </w:tcBorders>
          </w:tcPr>
          <w:p w14:paraId="381E7692">
            <w:pPr>
              <w:rPr>
                <w:rFonts w:hint="eastAsia"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14:paraId="208D12BE">
            <w:pPr>
              <w:rPr>
                <w:rFonts w:hint="eastAsia" w:ascii="宋体" w:hAnsi="宋体" w:cs="宋体"/>
                <w:color w:val="auto"/>
                <w:sz w:val="36"/>
                <w:szCs w:val="36"/>
                <w:highlight w:val="none"/>
              </w:rPr>
            </w:pPr>
          </w:p>
        </w:tc>
      </w:tr>
    </w:tbl>
    <w:p w14:paraId="41FAC97A">
      <w:pPr>
        <w:rPr>
          <w:rFonts w:hint="eastAsia" w:ascii="宋体" w:hAnsi="宋体" w:cs="宋体"/>
          <w:color w:val="auto"/>
          <w:szCs w:val="21"/>
          <w:highlight w:val="none"/>
        </w:rPr>
      </w:pPr>
      <w:r>
        <w:rPr>
          <w:rFonts w:hint="eastAsia" w:ascii="宋体" w:hAnsi="宋体" w:cs="宋体"/>
          <w:color w:val="auto"/>
          <w:szCs w:val="21"/>
          <w:highlight w:val="none"/>
        </w:rPr>
        <w:t>评委签名：</w:t>
      </w:r>
    </w:p>
    <w:p w14:paraId="2905A17F">
      <w:pPr>
        <w:wordWrap w:val="0"/>
        <w:spacing w:line="360" w:lineRule="auto"/>
        <w:outlineLvl w:val="1"/>
        <w:rPr>
          <w:rFonts w:hint="eastAsia" w:ascii="宋体" w:hAnsi="宋体" w:eastAsia="宋体" w:cs="宋体"/>
          <w:b w:val="0"/>
          <w:bCs w:val="0"/>
          <w:color w:val="auto"/>
          <w:szCs w:val="21"/>
          <w:highlight w:val="none"/>
          <w:lang w:eastAsia="zh-CN"/>
        </w:rPr>
      </w:pPr>
      <w:r>
        <w:rPr>
          <w:rFonts w:hint="eastAsia" w:ascii="宋体" w:hAnsi="宋体" w:cs="宋体"/>
          <w:color w:val="auto"/>
          <w:szCs w:val="21"/>
          <w:highlight w:val="none"/>
        </w:rPr>
        <w:br w:type="page"/>
      </w:r>
      <w:r>
        <w:rPr>
          <w:rFonts w:hint="eastAsia" w:ascii="宋体" w:hAnsi="宋体" w:eastAsia="宋体" w:cs="宋体"/>
          <w:b w:val="0"/>
          <w:bCs w:val="0"/>
          <w:color w:val="auto"/>
          <w:szCs w:val="21"/>
          <w:highlight w:val="none"/>
        </w:rPr>
        <w:t>附表</w:t>
      </w:r>
      <w:r>
        <w:rPr>
          <w:rFonts w:hint="eastAsia" w:ascii="宋体" w:hAnsi="宋体" w:eastAsia="宋体" w:cs="宋体"/>
          <w:b w:val="0"/>
          <w:bCs w:val="0"/>
          <w:color w:val="auto"/>
          <w:szCs w:val="21"/>
          <w:highlight w:val="none"/>
          <w:lang w:val="en-US" w:eastAsia="zh-CN"/>
        </w:rPr>
        <w:t>七</w:t>
      </w:r>
    </w:p>
    <w:p w14:paraId="76102D9A">
      <w:pPr>
        <w:jc w:val="center"/>
        <w:rPr>
          <w:rFonts w:ascii="Times New Roman" w:hAnsi="Times New Roman"/>
          <w:b/>
          <w:color w:val="auto"/>
          <w:sz w:val="28"/>
          <w:szCs w:val="28"/>
          <w:highlight w:val="none"/>
        </w:rPr>
      </w:pPr>
      <w:r>
        <w:rPr>
          <w:rFonts w:ascii="Times New Roman" w:hAnsi="Times New Roman"/>
          <w:b/>
          <w:color w:val="auto"/>
          <w:sz w:val="28"/>
          <w:szCs w:val="28"/>
          <w:highlight w:val="none"/>
        </w:rPr>
        <w:t>定标因素表（定标阶段用表）</w:t>
      </w:r>
    </w:p>
    <w:p w14:paraId="368EAD2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511"/>
        <w:gridCol w:w="1114"/>
        <w:gridCol w:w="11435"/>
      </w:tblGrid>
      <w:tr w14:paraId="100CA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383B299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3F176AB9">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评价项目</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3017925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3838" w:type="pct"/>
            <w:tcBorders>
              <w:top w:val="single" w:color="auto" w:sz="4" w:space="0"/>
              <w:left w:val="single" w:color="auto" w:sz="4" w:space="0"/>
              <w:bottom w:val="single" w:color="auto" w:sz="4" w:space="0"/>
              <w:right w:val="single" w:color="auto" w:sz="4" w:space="0"/>
            </w:tcBorders>
            <w:noWrap w:val="0"/>
            <w:vAlign w:val="center"/>
          </w:tcPr>
          <w:p w14:paraId="5232775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定标评价的内容</w:t>
            </w:r>
          </w:p>
        </w:tc>
      </w:tr>
      <w:tr w14:paraId="52387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0024069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42B66952">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价格因素</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1F6DDF31">
            <w:pPr>
              <w:spacing w:line="360" w:lineRule="auto"/>
              <w:jc w:val="center"/>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0</w:t>
            </w:r>
          </w:p>
        </w:tc>
        <w:tc>
          <w:tcPr>
            <w:tcW w:w="3838" w:type="pct"/>
            <w:tcBorders>
              <w:top w:val="single" w:color="auto" w:sz="4" w:space="0"/>
              <w:left w:val="single" w:color="auto" w:sz="4" w:space="0"/>
              <w:bottom w:val="single" w:color="auto" w:sz="4" w:space="0"/>
              <w:right w:val="single" w:color="auto" w:sz="4" w:space="0"/>
            </w:tcBorders>
            <w:noWrap w:val="0"/>
            <w:vAlign w:val="center"/>
          </w:tcPr>
          <w:p w14:paraId="689D9A95">
            <w:pPr>
              <w:pStyle w:val="22"/>
              <w:widowControl/>
              <w:spacing w:line="360" w:lineRule="auto"/>
              <w:jc w:val="left"/>
              <w:rPr>
                <w:rFonts w:hAnsi="宋体"/>
                <w:b/>
                <w:bCs/>
                <w:color w:val="auto"/>
                <w:sz w:val="24"/>
                <w:szCs w:val="24"/>
                <w:highlight w:val="none"/>
                <w:lang w:bidi="ar"/>
              </w:rPr>
            </w:pPr>
            <w:r>
              <w:rPr>
                <w:rFonts w:hint="eastAsia" w:hAnsi="宋体"/>
                <w:b/>
                <w:bCs/>
                <w:color w:val="auto"/>
                <w:sz w:val="24"/>
                <w:szCs w:val="24"/>
                <w:highlight w:val="none"/>
                <w:lang w:bidi="ar"/>
              </w:rPr>
              <w:t>定标委员会对合格的中标候选人投标报价进行评审：</w:t>
            </w:r>
          </w:p>
          <w:p w14:paraId="65D607EC">
            <w:pPr>
              <w:pStyle w:val="22"/>
              <w:widowControl/>
              <w:spacing w:line="360" w:lineRule="auto"/>
              <w:jc w:val="left"/>
              <w:rPr>
                <w:rFonts w:hAnsi="宋体"/>
                <w:color w:val="auto"/>
                <w:sz w:val="24"/>
                <w:szCs w:val="24"/>
                <w:highlight w:val="none"/>
                <w:lang w:bidi="ar"/>
              </w:rPr>
            </w:pPr>
            <w:r>
              <w:rPr>
                <w:rFonts w:hint="eastAsia" w:hAnsi="宋体"/>
                <w:color w:val="auto"/>
                <w:sz w:val="24"/>
                <w:szCs w:val="24"/>
                <w:highlight w:val="none"/>
                <w:lang w:bidi="ar"/>
              </w:rPr>
              <w:t>投标报价得分＝（评标基准价/投标报价）×价格分值，最高得20分。</w:t>
            </w:r>
          </w:p>
          <w:p w14:paraId="3C6EE1A1">
            <w:pPr>
              <w:spacing w:line="360" w:lineRule="auto"/>
              <w:jc w:val="left"/>
              <w:rPr>
                <w:rFonts w:hint="eastAsia" w:ascii="宋体" w:hAnsi="宋体" w:eastAsia="宋体" w:cs="宋体"/>
                <w:color w:val="auto"/>
                <w:sz w:val="24"/>
                <w:szCs w:val="24"/>
                <w:highlight w:val="none"/>
              </w:rPr>
            </w:pPr>
            <w:r>
              <w:rPr>
                <w:rFonts w:hint="eastAsia" w:hAnsi="宋体"/>
                <w:color w:val="auto"/>
                <w:sz w:val="24"/>
                <w:szCs w:val="24"/>
                <w:highlight w:val="none"/>
                <w:lang w:bidi="ar"/>
              </w:rPr>
              <w:t>注：合格的中标候选人的最低投标报价</w:t>
            </w:r>
            <w:r>
              <w:rPr>
                <w:rFonts w:hint="eastAsia" w:hAnsi="宋体"/>
                <w:color w:val="auto"/>
                <w:sz w:val="24"/>
                <w:szCs w:val="24"/>
                <w:highlight w:val="none"/>
                <w:lang w:val="en-US" w:eastAsia="zh-CN" w:bidi="ar"/>
              </w:rPr>
              <w:t>与</w:t>
            </w:r>
            <w:r>
              <w:rPr>
                <w:rFonts w:hint="eastAsia" w:ascii="宋体" w:hAnsi="宋体" w:eastAsia="宋体" w:cs="宋体"/>
                <w:color w:val="auto"/>
                <w:sz w:val="24"/>
                <w:szCs w:val="24"/>
                <w:highlight w:val="none"/>
                <w:u w:val="single"/>
              </w:rPr>
              <w:t>工程成本警戒价</w:t>
            </w:r>
            <w:r>
              <w:rPr>
                <w:rFonts w:hint="eastAsia" w:ascii="宋体" w:hAnsi="宋体" w:cs="宋体"/>
                <w:color w:val="auto"/>
                <w:sz w:val="24"/>
                <w:szCs w:val="24"/>
                <w:highlight w:val="none"/>
                <w:u w:val="single"/>
                <w:lang w:val="en-US" w:eastAsia="zh-CN"/>
              </w:rPr>
              <w:t>两者中的较高值</w:t>
            </w:r>
            <w:r>
              <w:rPr>
                <w:rFonts w:hint="eastAsia" w:hAnsi="宋体"/>
                <w:color w:val="auto"/>
                <w:sz w:val="24"/>
                <w:szCs w:val="24"/>
                <w:highlight w:val="none"/>
                <w:lang w:bidi="ar"/>
              </w:rPr>
              <w:t>为评标基准价。</w:t>
            </w:r>
          </w:p>
        </w:tc>
      </w:tr>
      <w:tr w14:paraId="547C7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79" w:type="pct"/>
            <w:vMerge w:val="restart"/>
            <w:tcBorders>
              <w:top w:val="single" w:color="auto" w:sz="4" w:space="0"/>
              <w:left w:val="single" w:color="auto" w:sz="4" w:space="0"/>
              <w:right w:val="single" w:color="auto" w:sz="4" w:space="0"/>
            </w:tcBorders>
            <w:noWrap w:val="0"/>
            <w:vAlign w:val="center"/>
          </w:tcPr>
          <w:p w14:paraId="382796C6">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07" w:type="pct"/>
            <w:vMerge w:val="restart"/>
            <w:tcBorders>
              <w:top w:val="single" w:color="auto" w:sz="4" w:space="0"/>
              <w:left w:val="single" w:color="auto" w:sz="4" w:space="0"/>
              <w:right w:val="single" w:color="auto" w:sz="4" w:space="0"/>
            </w:tcBorders>
            <w:noWrap w:val="0"/>
            <w:vAlign w:val="center"/>
          </w:tcPr>
          <w:p w14:paraId="28DAB49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方案因素</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37143627">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383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5E3BFBF">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定标委员会对合格的中标候选人的安全控制措施进行评审：</w:t>
            </w:r>
          </w:p>
          <w:p w14:paraId="17CF77BE">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olor w:val="auto"/>
                <w:sz w:val="24"/>
                <w:szCs w:val="24"/>
                <w:highlight w:val="none"/>
              </w:rPr>
              <w:t>针对本项目建立了完善的安全文明施工保证体系、施工安全管理制度，承诺不发生安全事故，有安全应急预案、目标明确、制度健全，施工安全保护措施，措施明确、具体、可行、针对性强，措施完善的，得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p w14:paraId="6F5C0632">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olor w:val="auto"/>
                <w:sz w:val="24"/>
                <w:szCs w:val="24"/>
                <w:highlight w:val="none"/>
              </w:rPr>
              <w:t>针对本项目建立了较完善的安全文明施工保证体系、施工安全管理制度，承诺不发生安全事故，有安全应急预案、目标明确、制度较健全，施工安全保护措施，措施较明确、较具体、较可行、针对性较强，措施较好的，得</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0ACB23D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olor w:val="auto"/>
                <w:sz w:val="24"/>
                <w:szCs w:val="24"/>
                <w:highlight w:val="none"/>
              </w:rPr>
              <w:t>针对本项目建立了完善的安全文明施工保证体系、施工安全管理制度，承诺不发生安全事故，有安全应急预案、目标、有制度，有施工安全保护措施，但明确性一般，具体、可行、针对性一般，措施一般的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14:paraId="003E719A">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）不满足前述要求者或不提供内容的，得[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-0]分。</w:t>
            </w:r>
          </w:p>
          <w:p w14:paraId="134C897B">
            <w:pPr>
              <w:spacing w:line="360" w:lineRule="auto"/>
              <w:jc w:val="left"/>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tc>
      </w:tr>
      <w:tr w14:paraId="02341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79" w:type="pct"/>
            <w:vMerge w:val="continue"/>
            <w:tcBorders>
              <w:left w:val="single" w:color="auto" w:sz="4" w:space="0"/>
              <w:right w:val="single" w:color="auto" w:sz="4" w:space="0"/>
            </w:tcBorders>
          </w:tcPr>
          <w:p w14:paraId="787F79AD">
            <w:pPr>
              <w:spacing w:line="360" w:lineRule="auto"/>
              <w:jc w:val="center"/>
              <w:rPr>
                <w:rFonts w:hint="eastAsia" w:ascii="宋体" w:hAnsi="宋体" w:eastAsia="宋体" w:cs="宋体"/>
                <w:color w:val="auto"/>
                <w:sz w:val="24"/>
                <w:szCs w:val="24"/>
                <w:highlight w:val="none"/>
              </w:rPr>
            </w:pPr>
          </w:p>
        </w:tc>
        <w:tc>
          <w:tcPr>
            <w:tcW w:w="507" w:type="pct"/>
            <w:vMerge w:val="continue"/>
            <w:tcBorders>
              <w:left w:val="single" w:color="auto" w:sz="4" w:space="0"/>
              <w:right w:val="single" w:color="auto" w:sz="4" w:space="0"/>
            </w:tcBorders>
          </w:tcPr>
          <w:p w14:paraId="7D93E149">
            <w:pPr>
              <w:spacing w:line="360" w:lineRule="auto"/>
              <w:jc w:val="center"/>
              <w:rPr>
                <w:rFonts w:hint="eastAsia" w:ascii="宋体" w:hAnsi="宋体" w:eastAsia="宋体" w:cs="宋体"/>
                <w:color w:val="auto"/>
                <w:sz w:val="24"/>
                <w:szCs w:val="24"/>
                <w:highlight w:val="none"/>
              </w:rPr>
            </w:pPr>
          </w:p>
        </w:tc>
        <w:tc>
          <w:tcPr>
            <w:tcW w:w="374" w:type="pct"/>
          </w:tcPr>
          <w:p w14:paraId="3D845A76">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3838" w:type="pct"/>
            <w:shd w:val="clear" w:color="auto" w:fill="auto"/>
            <w:vAlign w:val="center"/>
          </w:tcPr>
          <w:p w14:paraId="12BCBC7D">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定标委员会对合格的中标候选人的质量控制措施进行评审：</w:t>
            </w:r>
          </w:p>
          <w:p w14:paraId="1F92A99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olor w:val="auto"/>
                <w:sz w:val="24"/>
                <w:szCs w:val="24"/>
                <w:highlight w:val="none"/>
              </w:rPr>
              <w:t>针对本项目编制了施工质量目标、施工质量管理体系与程序、质量管理措施，根据本工程的质量目标，针对项目的特点，从质量保证体系、材料的检测、质量通病的防治等方面提出详细的质量保证措施，措施为完善的，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p w14:paraId="7D66B42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olor w:val="auto"/>
                <w:sz w:val="24"/>
                <w:szCs w:val="24"/>
                <w:highlight w:val="none"/>
              </w:rPr>
              <w:t>针对本项目编制了施工质量目标、施工质量管理体系与程序、质量管理措施，根据本工程的质量目标，针对项目的特点，从质量保证体系、材料的检测、质量通病的防治等方面提出较详细的质量保证措施，措施为较好的，得</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3F14BC81">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olor w:val="auto"/>
                <w:sz w:val="24"/>
                <w:szCs w:val="24"/>
                <w:highlight w:val="none"/>
              </w:rPr>
              <w:t>针对本项目编制了施工质量目标、施工质量管理体系与程序、质量管理措施，根据本工程的质量目标，针对项目的特点，从质量保证体系、材料的检测、质量通病的防治等方面提出质量保证措施，措施一般的</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14:paraId="5B4523E0">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）不满足前述要求者或不提供的内容的，得[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-0]分。</w:t>
            </w:r>
          </w:p>
          <w:p w14:paraId="44238D52">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tc>
      </w:tr>
      <w:tr w14:paraId="19CEC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79" w:type="pct"/>
            <w:vMerge w:val="continue"/>
            <w:tcBorders>
              <w:left w:val="single" w:color="auto" w:sz="4" w:space="0"/>
              <w:right w:val="single" w:color="auto" w:sz="4" w:space="0"/>
            </w:tcBorders>
          </w:tcPr>
          <w:p w14:paraId="0C6C8AED">
            <w:pPr>
              <w:spacing w:line="360" w:lineRule="auto"/>
              <w:jc w:val="center"/>
              <w:rPr>
                <w:rFonts w:hint="eastAsia" w:ascii="宋体" w:hAnsi="宋体" w:eastAsia="宋体" w:cs="宋体"/>
                <w:color w:val="auto"/>
                <w:sz w:val="24"/>
                <w:szCs w:val="24"/>
                <w:highlight w:val="none"/>
              </w:rPr>
            </w:pPr>
          </w:p>
        </w:tc>
        <w:tc>
          <w:tcPr>
            <w:tcW w:w="507" w:type="pct"/>
            <w:vMerge w:val="continue"/>
            <w:tcBorders>
              <w:left w:val="single" w:color="auto" w:sz="4" w:space="0"/>
              <w:right w:val="single" w:color="auto" w:sz="4" w:space="0"/>
            </w:tcBorders>
          </w:tcPr>
          <w:p w14:paraId="4E7E507B">
            <w:pPr>
              <w:spacing w:line="360" w:lineRule="auto"/>
              <w:jc w:val="center"/>
              <w:rPr>
                <w:rFonts w:hint="eastAsia" w:ascii="宋体" w:hAnsi="宋体" w:eastAsia="宋体" w:cs="宋体"/>
                <w:color w:val="auto"/>
                <w:sz w:val="24"/>
                <w:szCs w:val="24"/>
                <w:highlight w:val="none"/>
              </w:rPr>
            </w:pPr>
          </w:p>
        </w:tc>
        <w:tc>
          <w:tcPr>
            <w:tcW w:w="374" w:type="pct"/>
          </w:tcPr>
          <w:p w14:paraId="2C095E5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3838" w:type="pct"/>
            <w:shd w:val="clear" w:color="auto" w:fill="auto"/>
            <w:vAlign w:val="center"/>
          </w:tcPr>
          <w:p w14:paraId="23352FB4">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定标委员会对合格的中标候选人的进度控制措施进行评审：</w:t>
            </w:r>
          </w:p>
          <w:p w14:paraId="0F112CA5">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1</w:t>
            </w:r>
            <w:r>
              <w:rPr>
                <w:rFonts w:hint="eastAsia" w:ascii="宋体" w:hAnsi="宋体" w:cs="宋体"/>
                <w:color w:val="auto"/>
                <w:sz w:val="24"/>
                <w:szCs w:val="24"/>
                <w:highlight w:val="none"/>
              </w:rPr>
              <w:t>）针对本项目编制了施工总进度计划及工期保证措施，并针对项目特点编制施工总进度计划及工期保证措施，确保实现工程进度目标，措施完善的，得[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）分；</w:t>
            </w:r>
          </w:p>
          <w:p w14:paraId="17997244">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2</w:t>
            </w:r>
            <w:r>
              <w:rPr>
                <w:rFonts w:hint="eastAsia" w:ascii="宋体" w:hAnsi="宋体" w:cs="宋体"/>
                <w:color w:val="auto"/>
                <w:sz w:val="24"/>
                <w:szCs w:val="24"/>
                <w:highlight w:val="none"/>
              </w:rPr>
              <w:t>）针对本项目编制了施工总进度计划及工期保证措施，并针对项目特点编制施工总进度计划及工期保证措施，确保实现工程进度目标，措施为较好的，得[1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p w14:paraId="3770552C">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3）</w:t>
            </w:r>
            <w:r>
              <w:rPr>
                <w:rFonts w:hint="eastAsia" w:ascii="宋体" w:hAnsi="宋体" w:cs="宋体"/>
                <w:color w:val="auto"/>
                <w:sz w:val="24"/>
                <w:szCs w:val="24"/>
                <w:highlight w:val="none"/>
              </w:rPr>
              <w:t>针对本项目编制了施工总进度计划及工期保证措施，或针对项目特点编制施工总进度计划及工期保证措施，确保实现工程进度目标，措施一般的</w:t>
            </w:r>
            <w:r>
              <w:rPr>
                <w:rFonts w:hint="eastAsia" w:ascii="宋体" w:hAnsi="宋体" w:cs="宋体"/>
                <w:color w:val="auto"/>
                <w:kern w:val="0"/>
                <w:sz w:val="24"/>
                <w:szCs w:val="24"/>
                <w:highlight w:val="none"/>
              </w:rPr>
              <w:t>，</w:t>
            </w:r>
            <w:r>
              <w:rPr>
                <w:rFonts w:hint="eastAsia" w:ascii="宋体" w:hAnsi="宋体" w:cs="宋体"/>
                <w:color w:val="auto"/>
                <w:sz w:val="24"/>
                <w:szCs w:val="24"/>
                <w:highlight w:val="none"/>
              </w:rPr>
              <w:t>得[</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）分；</w:t>
            </w:r>
          </w:p>
          <w:p w14:paraId="331149ED">
            <w:pPr>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）不满足前述要求者或不提供内容的，得[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-0]分。</w:t>
            </w:r>
          </w:p>
          <w:p w14:paraId="7FEF1526">
            <w:pPr>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tc>
      </w:tr>
      <w:tr w14:paraId="4A67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79" w:type="pct"/>
            <w:vMerge w:val="continue"/>
            <w:tcBorders>
              <w:left w:val="single" w:color="auto" w:sz="4" w:space="0"/>
              <w:right w:val="single" w:color="auto" w:sz="4" w:space="0"/>
            </w:tcBorders>
          </w:tcPr>
          <w:p w14:paraId="07EEE719">
            <w:pPr>
              <w:spacing w:line="360" w:lineRule="auto"/>
              <w:jc w:val="center"/>
              <w:rPr>
                <w:rFonts w:hint="eastAsia" w:ascii="宋体" w:hAnsi="宋体" w:eastAsia="宋体" w:cs="宋体"/>
                <w:color w:val="auto"/>
                <w:sz w:val="24"/>
                <w:szCs w:val="24"/>
                <w:highlight w:val="none"/>
              </w:rPr>
            </w:pPr>
          </w:p>
        </w:tc>
        <w:tc>
          <w:tcPr>
            <w:tcW w:w="507" w:type="pct"/>
            <w:vMerge w:val="continue"/>
            <w:tcBorders>
              <w:left w:val="single" w:color="auto" w:sz="4" w:space="0"/>
              <w:right w:val="single" w:color="auto" w:sz="4" w:space="0"/>
            </w:tcBorders>
          </w:tcPr>
          <w:p w14:paraId="42F886CE">
            <w:pPr>
              <w:spacing w:line="360" w:lineRule="auto"/>
              <w:jc w:val="center"/>
              <w:rPr>
                <w:rFonts w:hint="eastAsia" w:ascii="宋体" w:hAnsi="宋体" w:eastAsia="宋体" w:cs="宋体"/>
                <w:color w:val="auto"/>
                <w:sz w:val="24"/>
                <w:szCs w:val="24"/>
                <w:highlight w:val="none"/>
              </w:rPr>
            </w:pPr>
          </w:p>
        </w:tc>
        <w:tc>
          <w:tcPr>
            <w:tcW w:w="374" w:type="pct"/>
          </w:tcPr>
          <w:p w14:paraId="6353AF3C">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3838" w:type="pct"/>
            <w:shd w:val="clear" w:color="auto" w:fill="auto"/>
            <w:vAlign w:val="center"/>
          </w:tcPr>
          <w:p w14:paraId="0E49F4F3">
            <w:pPr>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定标委员会对合格的中标候选人的绿色节能控制措施进行评审：</w:t>
            </w:r>
          </w:p>
          <w:p w14:paraId="73627496">
            <w:pPr>
              <w:pStyle w:val="22"/>
              <w:spacing w:line="360" w:lineRule="auto"/>
              <w:rPr>
                <w:rFonts w:hAnsi="宋体"/>
                <w:color w:val="auto"/>
                <w:sz w:val="24"/>
                <w:szCs w:val="24"/>
                <w:highlight w:val="none"/>
              </w:rPr>
            </w:pPr>
            <w:r>
              <w:rPr>
                <w:rFonts w:hint="eastAsia" w:hAnsi="宋体" w:cs="宋体"/>
                <w:color w:val="auto"/>
                <w:sz w:val="24"/>
                <w:szCs w:val="24"/>
                <w:highlight w:val="none"/>
              </w:rPr>
              <w:t>（1）</w:t>
            </w:r>
            <w:r>
              <w:rPr>
                <w:rFonts w:hint="eastAsia" w:hAnsi="宋体"/>
                <w:color w:val="auto"/>
                <w:sz w:val="24"/>
                <w:szCs w:val="24"/>
                <w:highlight w:val="none"/>
              </w:rPr>
              <w:t>有绿色节能控制措施，措施明确、具体、可行、针对性强，措施完善的，并有承诺在施工过程中通过科学管理和先进的技术手段，最大限度地节约资源与减少对环境的负面影响，以达到四节一环保（节能、节地、节水、节材和环境保护）的目标，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hAnsi="宋体" w:cs="宋体"/>
                <w:color w:val="auto"/>
                <w:sz w:val="24"/>
                <w:szCs w:val="24"/>
                <w:highlight w:val="none"/>
              </w:rPr>
              <w:t>分</w:t>
            </w:r>
            <w:r>
              <w:rPr>
                <w:rFonts w:hint="eastAsia" w:hAnsi="宋体"/>
                <w:color w:val="auto"/>
                <w:sz w:val="24"/>
                <w:szCs w:val="24"/>
                <w:highlight w:val="none"/>
              </w:rPr>
              <w:t>；</w:t>
            </w:r>
          </w:p>
          <w:p w14:paraId="176C8961">
            <w:pPr>
              <w:spacing w:line="360" w:lineRule="auto"/>
              <w:rPr>
                <w:rFonts w:ascii="宋体" w:hAnsi="宋体"/>
                <w:color w:val="auto"/>
                <w:sz w:val="24"/>
                <w:szCs w:val="24"/>
                <w:highlight w:val="none"/>
              </w:rPr>
            </w:pPr>
            <w:r>
              <w:rPr>
                <w:rFonts w:hint="eastAsia" w:hAnsi="宋体"/>
                <w:color w:val="auto"/>
                <w:sz w:val="24"/>
                <w:szCs w:val="24"/>
                <w:highlight w:val="none"/>
              </w:rPr>
              <w:t>（2）</w:t>
            </w:r>
            <w:r>
              <w:rPr>
                <w:rFonts w:hint="eastAsia" w:ascii="宋体" w:hAnsi="宋体"/>
                <w:color w:val="auto"/>
                <w:sz w:val="24"/>
                <w:szCs w:val="24"/>
                <w:highlight w:val="none"/>
              </w:rPr>
              <w:t>有绿色节能控制措施，措施较明确、较具体、较可行、针对性较强，措施较完善的，有承诺在施工过程中通过科学管理和先进的技术手段，较好地节约资源与减少对环境的负面影响，以达到四节一环保（节能、节地、节水、节材和环境保护）的目标，得</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r>
              <w:rPr>
                <w:rFonts w:hint="eastAsia" w:ascii="宋体" w:hAnsi="宋体"/>
                <w:color w:val="auto"/>
                <w:sz w:val="24"/>
                <w:szCs w:val="24"/>
                <w:highlight w:val="none"/>
              </w:rPr>
              <w:t>；</w:t>
            </w:r>
          </w:p>
          <w:p w14:paraId="42386E60">
            <w:pPr>
              <w:pStyle w:val="22"/>
              <w:spacing w:line="360" w:lineRule="auto"/>
              <w:rPr>
                <w:rFonts w:hAnsi="宋体"/>
                <w:color w:val="auto"/>
                <w:sz w:val="24"/>
                <w:szCs w:val="24"/>
                <w:highlight w:val="none"/>
              </w:rPr>
            </w:pPr>
            <w:r>
              <w:rPr>
                <w:rFonts w:hint="eastAsia" w:hAnsi="宋体"/>
                <w:color w:val="auto"/>
                <w:sz w:val="24"/>
                <w:szCs w:val="24"/>
                <w:highlight w:val="none"/>
              </w:rPr>
              <w:t>（3）有绿色节能控制措施，但明确性一般，具体、可行、针对性一般，措施一般的，有承诺在施工过程中通过科学管理和先进的技术手段，节约资源与减少对环境的负面影响，达到四节一环保（节能、节地、节水、节材和环境保护）的目标，</w:t>
            </w:r>
            <w:r>
              <w:rPr>
                <w:rFonts w:hint="eastAsia" w:hAnsi="宋体" w:cs="宋体"/>
                <w:color w:val="auto"/>
                <w:sz w:val="24"/>
                <w:szCs w:val="24"/>
                <w:highlight w:val="none"/>
              </w:rPr>
              <w:t>得</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w:t>
            </w:r>
            <w:r>
              <w:rPr>
                <w:rFonts w:hint="eastAsia" w:hAnsi="宋体" w:cs="宋体"/>
                <w:color w:val="auto"/>
                <w:sz w:val="24"/>
                <w:szCs w:val="24"/>
                <w:highlight w:val="none"/>
              </w:rPr>
              <w:t>分；</w:t>
            </w:r>
          </w:p>
          <w:p w14:paraId="04538D6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ascii="宋体" w:hAnsi="宋体" w:cs="宋体"/>
                <w:color w:val="auto"/>
                <w:sz w:val="24"/>
                <w:szCs w:val="24"/>
                <w:highlight w:val="none"/>
              </w:rPr>
              <w:t>4</w:t>
            </w:r>
            <w:r>
              <w:rPr>
                <w:rFonts w:hint="eastAsia" w:ascii="宋体" w:hAnsi="宋体" w:cs="宋体"/>
                <w:color w:val="auto"/>
                <w:sz w:val="24"/>
                <w:szCs w:val="24"/>
                <w:highlight w:val="none"/>
              </w:rPr>
              <w:t>）不满足前述要求者或不提供内容的，得[</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-0]分。</w:t>
            </w:r>
          </w:p>
          <w:p w14:paraId="38C638AE">
            <w:pPr>
              <w:spacing w:line="360" w:lineRule="auto"/>
              <w:rPr>
                <w:rFonts w:hint="eastAsia" w:ascii="Times New Roman" w:hAnsi="Times New Roman" w:eastAsia="宋体" w:cs="Times New Roman"/>
                <w:color w:val="auto"/>
                <w:kern w:val="2"/>
                <w:sz w:val="24"/>
                <w:szCs w:val="24"/>
                <w:highlight w:val="none"/>
                <w:lang w:val="en-US" w:eastAsia="zh-CN" w:bidi="ar-SA"/>
              </w:rPr>
            </w:pP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分。</w:t>
            </w:r>
          </w:p>
        </w:tc>
      </w:tr>
      <w:tr w14:paraId="339B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79" w:type="pct"/>
            <w:tcBorders>
              <w:top w:val="single" w:color="auto" w:sz="4" w:space="0"/>
              <w:left w:val="single" w:color="auto" w:sz="4" w:space="0"/>
              <w:bottom w:val="single" w:color="auto" w:sz="4" w:space="0"/>
              <w:right w:val="single" w:color="auto" w:sz="4" w:space="0"/>
            </w:tcBorders>
            <w:noWrap w:val="0"/>
            <w:vAlign w:val="center"/>
          </w:tcPr>
          <w:p w14:paraId="5184A283">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906EA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答辩</w:t>
            </w:r>
            <w:r>
              <w:rPr>
                <w:rFonts w:hint="eastAsia" w:ascii="宋体" w:hAnsi="宋体" w:eastAsia="宋体" w:cs="宋体"/>
                <w:color w:val="auto"/>
                <w:sz w:val="24"/>
                <w:szCs w:val="24"/>
                <w:highlight w:val="none"/>
              </w:rPr>
              <w:t>因素</w:t>
            </w:r>
          </w:p>
        </w:tc>
        <w:tc>
          <w:tcPr>
            <w:tcW w:w="374" w:type="pct"/>
            <w:tcBorders>
              <w:top w:val="single" w:color="auto" w:sz="4" w:space="0"/>
              <w:left w:val="single" w:color="auto" w:sz="4" w:space="0"/>
              <w:bottom w:val="single" w:color="auto" w:sz="4" w:space="0"/>
              <w:right w:val="single" w:color="auto" w:sz="4" w:space="0"/>
            </w:tcBorders>
            <w:noWrap w:val="0"/>
            <w:vAlign w:val="center"/>
          </w:tcPr>
          <w:p w14:paraId="7318A33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838" w:type="pct"/>
            <w:tcBorders>
              <w:top w:val="single" w:color="auto" w:sz="4" w:space="0"/>
              <w:left w:val="single" w:color="auto" w:sz="4" w:space="0"/>
              <w:bottom w:val="single" w:color="auto" w:sz="4" w:space="0"/>
              <w:right w:val="single" w:color="auto" w:sz="4" w:space="0"/>
            </w:tcBorders>
            <w:noWrap w:val="0"/>
            <w:vAlign w:val="center"/>
          </w:tcPr>
          <w:p w14:paraId="39CE7A9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格的中标候选人拟派项目负责人或技术负责人对拟派团队履约能力与履约水平的介绍，介绍内容包括但不限于：公司简介、项目管理班子人员、施工资源需求计划、施工总平面布置规划、安全控制措施、质量控制措施、绿色节能控制措施及进度控制措施、对招标人提出的施工现场建筑垃圾源头减量的具体要求以及建筑垃圾综合利用产品的使用要求提供相应措施等；</w:t>
            </w:r>
          </w:p>
          <w:p w14:paraId="4DC537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2、合格的中标候选人拟派项目负责人或技术负责人针对定标委员会提出的问题进行回答。</w:t>
            </w:r>
          </w:p>
          <w:p w14:paraId="4D49FDF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3、原则上，介绍及答辩时间不超过</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分钟，其中介绍时间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0分钟，答辩时间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分钟，具体以实际情况为准。</w:t>
            </w:r>
          </w:p>
          <w:p w14:paraId="03667C7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横向比较各投标人的答辩情况：</w:t>
            </w:r>
          </w:p>
          <w:p w14:paraId="22F0AB1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优：对工程内容熟悉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措施具体</w:t>
            </w:r>
            <w:r>
              <w:rPr>
                <w:rFonts w:hint="eastAsia" w:ascii="宋体" w:hAnsi="宋体" w:eastAsia="宋体" w:cs="宋体"/>
                <w:color w:val="auto"/>
                <w:sz w:val="24"/>
                <w:szCs w:val="24"/>
                <w:highlight w:val="none"/>
              </w:rPr>
              <w:t>（包括对公司简介、项目管理班子人员、施工资源需求计划、施工总平面布置规划、安全控制措施、质量控制措施、绿色节能控制措施及进度控制措施、对招标人提出的施工现场建筑垃圾源头减量的具体要求以及建筑垃圾综合利用产品的使用要求提供相应措施</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），答辩思路清晰，应变能力强。优得8（不含）分-10（含）分。</w:t>
            </w:r>
          </w:p>
          <w:p w14:paraId="37EF58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良：对工程内容</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熟悉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措施简单</w:t>
            </w:r>
            <w:r>
              <w:rPr>
                <w:rFonts w:hint="eastAsia" w:ascii="宋体" w:hAnsi="宋体" w:eastAsia="宋体" w:cs="宋体"/>
                <w:color w:val="auto"/>
                <w:sz w:val="24"/>
                <w:szCs w:val="24"/>
                <w:highlight w:val="none"/>
              </w:rPr>
              <w:t>（包括对公司简介、项目管理班子人员、施工资源需求计划、施工总平面布置规划、安全控制措施、质量控制措施、绿色节能控制措施及进度控制措施、对招标人提出的施工现场建筑垃圾源头减量的具体要求以及建筑垃圾综合利用产品的使用要求提供相应措施</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），答辩思路清晰，应变能力</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rPr>
              <w:t>强。良得6（不含）分-8（含）分。</w:t>
            </w:r>
          </w:p>
          <w:p w14:paraId="2FAE28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中：对工程内容熟悉</w:t>
            </w:r>
            <w:r>
              <w:rPr>
                <w:rFonts w:hint="eastAsia" w:ascii="宋体" w:hAnsi="宋体" w:eastAsia="宋体" w:cs="宋体"/>
                <w:color w:val="auto"/>
                <w:sz w:val="24"/>
                <w:szCs w:val="24"/>
                <w:highlight w:val="none"/>
                <w:lang w:val="en-US" w:eastAsia="zh-CN"/>
              </w:rPr>
              <w:t>程度</w:t>
            </w:r>
            <w:r>
              <w:rPr>
                <w:rFonts w:hint="eastAsia" w:ascii="宋体" w:hAnsi="宋体" w:eastAsia="宋体" w:cs="宋体"/>
                <w:color w:val="auto"/>
                <w:sz w:val="24"/>
                <w:szCs w:val="24"/>
                <w:highlight w:val="none"/>
              </w:rPr>
              <w:t>一般，答辩思路一般，应变能力一般。中得3（不含）分-6（含）分。</w:t>
            </w:r>
          </w:p>
          <w:p w14:paraId="0446810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差：对工程内容不熟悉，答辩思路不清晰，应变能力较差。差得0（不含）分-3（含）分。</w:t>
            </w:r>
          </w:p>
          <w:p w14:paraId="537C11D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注：如项目负责人</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技术负责人均没有出席答辩会议的，得0分。</w:t>
            </w:r>
            <w:r>
              <w:rPr>
                <w:rFonts w:hint="eastAsia" w:ascii="宋体" w:hAnsi="宋体" w:cs="宋体"/>
                <w:color w:val="auto"/>
                <w:sz w:val="24"/>
                <w:szCs w:val="24"/>
                <w:highlight w:val="none"/>
              </w:rPr>
              <w:t>本项最高得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r>
      <w:tr w14:paraId="6F29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279" w:type="pct"/>
          </w:tcPr>
          <w:p w14:paraId="2F3569C0">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07" w:type="pct"/>
          </w:tcPr>
          <w:p w14:paraId="0FE286A8">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资信因素</w:t>
            </w:r>
          </w:p>
        </w:tc>
        <w:tc>
          <w:tcPr>
            <w:tcW w:w="374" w:type="pct"/>
          </w:tcPr>
          <w:p w14:paraId="6934946F">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3838" w:type="pct"/>
            <w:shd w:val="clear" w:color="auto" w:fill="auto"/>
            <w:vAlign w:val="center"/>
          </w:tcPr>
          <w:p w14:paraId="625BBBB8">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投标人具备有效的质量管理体系认证证书、环境管理体系认证证书、职业健康安全管理体系认证证书、信息安全管理体系认证证书和知识产权管理体系认证证书（或知识产权合规管理体系认证证书）得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分；具有其中四项的，得</w:t>
            </w: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分，具有其中三项的，得</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分，具有其中两项的，得</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分，具有其中一项的，得</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分。本项最高得</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分。</w:t>
            </w:r>
          </w:p>
        </w:tc>
      </w:tr>
    </w:tbl>
    <w:p w14:paraId="3B2809A0">
      <w:pPr>
        <w:spacing w:line="360" w:lineRule="auto"/>
        <w:ind w:right="-325" w:rightChars="-1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57756180">
      <w:pPr>
        <w:spacing w:line="360" w:lineRule="auto"/>
        <w:ind w:right="-325" w:rightChars="-15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各合格的中标候选人拟派的项目负责人或技术负责人必须携带本单位法定代表人证明书原件、法定代表人授权委托证明书原件，本人身份证原件参与介绍及答辩；否则，不允许参与本项目介绍及答辩，后果自负；</w:t>
      </w:r>
    </w:p>
    <w:p w14:paraId="2A393C27">
      <w:pPr>
        <w:spacing w:line="360" w:lineRule="auto"/>
        <w:ind w:right="-325" w:rightChars="-15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2、答辩进场顺序：如采用现场答辩形式时，按拟派项目负责人或技术负责人签到顺序</w:t>
      </w:r>
      <w:r>
        <w:rPr>
          <w:rFonts w:hint="eastAsia" w:ascii="宋体" w:hAnsi="宋体" w:eastAsia="宋体" w:cs="宋体"/>
          <w:color w:val="auto"/>
          <w:sz w:val="24"/>
          <w:szCs w:val="24"/>
          <w:highlight w:val="none"/>
          <w:lang w:val="en-US" w:eastAsia="zh-CN"/>
        </w:rPr>
        <w:t>按照开标记录表</w:t>
      </w:r>
      <w:r>
        <w:rPr>
          <w:rFonts w:hint="eastAsia" w:ascii="宋体" w:hAnsi="宋体" w:eastAsia="宋体" w:cs="宋体"/>
          <w:color w:val="auto"/>
          <w:sz w:val="24"/>
          <w:szCs w:val="24"/>
          <w:highlight w:val="none"/>
        </w:rPr>
        <w:t>顺序号，按由小至大依次进场答辩</w:t>
      </w:r>
      <w:r>
        <w:rPr>
          <w:rFonts w:hint="eastAsia" w:ascii="宋体" w:hAnsi="宋体" w:eastAsia="宋体" w:cs="宋体"/>
          <w:color w:val="auto"/>
          <w:sz w:val="24"/>
          <w:szCs w:val="24"/>
          <w:highlight w:val="none"/>
          <w:lang w:eastAsia="zh-CN"/>
        </w:rPr>
        <w:t>。</w:t>
      </w:r>
    </w:p>
    <w:p w14:paraId="6ADD5F94">
      <w:pPr>
        <w:spacing w:line="360" w:lineRule="auto"/>
        <w:rPr>
          <w:rFonts w:hint="eastAsia" w:ascii="宋体" w:hAnsi="宋体" w:eastAsia="宋体" w:cs="宋体"/>
          <w:color w:val="auto"/>
          <w:sz w:val="24"/>
          <w:szCs w:val="24"/>
          <w:highlight w:val="none"/>
        </w:rPr>
      </w:pPr>
    </w:p>
    <w:p w14:paraId="13E01797">
      <w:pPr>
        <w:spacing w:line="360" w:lineRule="auto"/>
        <w:rPr>
          <w:rFonts w:hint="eastAsia" w:ascii="宋体" w:hAnsi="宋体" w:eastAsia="宋体" w:cs="宋体"/>
          <w:color w:val="auto"/>
          <w:sz w:val="24"/>
          <w:szCs w:val="24"/>
          <w:highlight w:val="none"/>
        </w:rPr>
        <w:sectPr>
          <w:headerReference r:id="rId10" w:type="default"/>
          <w:footerReference r:id="rId11" w:type="default"/>
          <w:pgSz w:w="16838" w:h="11905" w:orient="landscape"/>
          <w:pgMar w:top="1440" w:right="1080" w:bottom="1440" w:left="1080" w:header="851" w:footer="992" w:gutter="0"/>
          <w:cols w:space="720" w:num="1"/>
          <w:docGrid w:type="lines" w:linePitch="322" w:charSpace="0"/>
        </w:sectPr>
      </w:pPr>
    </w:p>
    <w:p w14:paraId="518C0B30">
      <w:pPr>
        <w:wordWrap w:val="0"/>
        <w:spacing w:line="360" w:lineRule="auto"/>
        <w:outlineLvl w:val="1"/>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附表</w:t>
      </w:r>
      <w:r>
        <w:rPr>
          <w:rFonts w:hint="eastAsia" w:ascii="宋体" w:hAnsi="宋体" w:eastAsia="宋体" w:cs="宋体"/>
          <w:b w:val="0"/>
          <w:bCs w:val="0"/>
          <w:color w:val="auto"/>
          <w:sz w:val="21"/>
          <w:szCs w:val="21"/>
          <w:highlight w:val="none"/>
          <w:lang w:val="en-US" w:eastAsia="zh-CN"/>
        </w:rPr>
        <w:t>八</w:t>
      </w:r>
    </w:p>
    <w:p w14:paraId="3D8D01F9">
      <w:pPr>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总得分计算及排序表</w:t>
      </w:r>
    </w:p>
    <w:p w14:paraId="287FEF8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bl>
      <w:tblPr>
        <w:tblStyle w:val="4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3370"/>
        <w:gridCol w:w="1911"/>
        <w:gridCol w:w="1911"/>
        <w:gridCol w:w="1911"/>
        <w:gridCol w:w="1914"/>
        <w:gridCol w:w="1547"/>
        <w:gridCol w:w="990"/>
      </w:tblGrid>
      <w:tr w14:paraId="09B6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448" w:type="pct"/>
            <w:noWrap w:val="0"/>
            <w:vAlign w:val="center"/>
          </w:tcPr>
          <w:p w14:paraId="0CA0C9F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131" w:type="pct"/>
            <w:noWrap w:val="0"/>
            <w:vAlign w:val="center"/>
          </w:tcPr>
          <w:p w14:paraId="728F154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合格的中标候选人</w:t>
            </w:r>
          </w:p>
        </w:tc>
        <w:tc>
          <w:tcPr>
            <w:tcW w:w="641" w:type="pct"/>
            <w:noWrap w:val="0"/>
            <w:vAlign w:val="center"/>
          </w:tcPr>
          <w:p w14:paraId="7BD1A42C">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价格</w:t>
            </w:r>
            <w:r>
              <w:rPr>
                <w:rFonts w:hint="eastAsia" w:ascii="宋体" w:hAnsi="宋体" w:eastAsia="宋体" w:cs="宋体"/>
                <w:color w:val="auto"/>
                <w:sz w:val="24"/>
                <w:szCs w:val="24"/>
                <w:highlight w:val="none"/>
              </w:rPr>
              <w:t>因素得分</w:t>
            </w:r>
          </w:p>
        </w:tc>
        <w:tc>
          <w:tcPr>
            <w:tcW w:w="641" w:type="pct"/>
            <w:noWrap w:val="0"/>
            <w:vAlign w:val="center"/>
          </w:tcPr>
          <w:p w14:paraId="6FAD216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因素得分</w:t>
            </w:r>
          </w:p>
        </w:tc>
        <w:tc>
          <w:tcPr>
            <w:tcW w:w="641" w:type="pct"/>
            <w:noWrap w:val="0"/>
            <w:vAlign w:val="center"/>
          </w:tcPr>
          <w:p w14:paraId="5CFCBBE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答辩</w:t>
            </w:r>
            <w:r>
              <w:rPr>
                <w:rFonts w:hint="eastAsia" w:ascii="宋体" w:hAnsi="宋体" w:eastAsia="宋体" w:cs="宋体"/>
                <w:color w:val="auto"/>
                <w:sz w:val="24"/>
                <w:szCs w:val="24"/>
                <w:highlight w:val="none"/>
              </w:rPr>
              <w:t>因素得分</w:t>
            </w:r>
          </w:p>
        </w:tc>
        <w:tc>
          <w:tcPr>
            <w:tcW w:w="642" w:type="pct"/>
            <w:noWrap w:val="0"/>
            <w:vAlign w:val="center"/>
          </w:tcPr>
          <w:p w14:paraId="36E8923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资信</w:t>
            </w:r>
            <w:r>
              <w:rPr>
                <w:rFonts w:hint="eastAsia" w:ascii="宋体" w:hAnsi="宋体" w:eastAsia="宋体" w:cs="宋体"/>
                <w:color w:val="auto"/>
                <w:sz w:val="24"/>
                <w:szCs w:val="24"/>
                <w:highlight w:val="none"/>
              </w:rPr>
              <w:t>因素得分</w:t>
            </w:r>
          </w:p>
        </w:tc>
        <w:tc>
          <w:tcPr>
            <w:tcW w:w="519" w:type="pct"/>
            <w:noWrap w:val="0"/>
            <w:vAlign w:val="center"/>
          </w:tcPr>
          <w:p w14:paraId="6346B8B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总得分</w:t>
            </w:r>
          </w:p>
        </w:tc>
        <w:tc>
          <w:tcPr>
            <w:tcW w:w="332" w:type="pct"/>
            <w:noWrap w:val="0"/>
            <w:vAlign w:val="center"/>
          </w:tcPr>
          <w:p w14:paraId="19E6F55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排序</w:t>
            </w:r>
          </w:p>
        </w:tc>
      </w:tr>
      <w:tr w14:paraId="2910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noWrap w:val="0"/>
            <w:vAlign w:val="top"/>
          </w:tcPr>
          <w:p w14:paraId="1D66E306">
            <w:pPr>
              <w:spacing w:line="360" w:lineRule="auto"/>
              <w:rPr>
                <w:rFonts w:hint="eastAsia" w:ascii="宋体" w:hAnsi="宋体" w:eastAsia="宋体" w:cs="宋体"/>
                <w:color w:val="auto"/>
                <w:sz w:val="24"/>
                <w:szCs w:val="24"/>
                <w:highlight w:val="none"/>
              </w:rPr>
            </w:pPr>
          </w:p>
        </w:tc>
        <w:tc>
          <w:tcPr>
            <w:tcW w:w="1131" w:type="pct"/>
            <w:noWrap w:val="0"/>
            <w:vAlign w:val="top"/>
          </w:tcPr>
          <w:p w14:paraId="627655D3">
            <w:pPr>
              <w:spacing w:line="360" w:lineRule="auto"/>
              <w:rPr>
                <w:rFonts w:hint="eastAsia" w:ascii="宋体" w:hAnsi="宋体" w:eastAsia="宋体" w:cs="宋体"/>
                <w:color w:val="auto"/>
                <w:sz w:val="24"/>
                <w:szCs w:val="24"/>
                <w:highlight w:val="none"/>
              </w:rPr>
            </w:pPr>
          </w:p>
        </w:tc>
        <w:tc>
          <w:tcPr>
            <w:tcW w:w="641" w:type="pct"/>
            <w:noWrap w:val="0"/>
            <w:vAlign w:val="top"/>
          </w:tcPr>
          <w:p w14:paraId="21E97180">
            <w:pPr>
              <w:spacing w:line="360" w:lineRule="auto"/>
              <w:rPr>
                <w:rFonts w:hint="eastAsia" w:ascii="宋体" w:hAnsi="宋体" w:eastAsia="宋体" w:cs="宋体"/>
                <w:color w:val="auto"/>
                <w:sz w:val="24"/>
                <w:szCs w:val="24"/>
                <w:highlight w:val="none"/>
              </w:rPr>
            </w:pPr>
          </w:p>
        </w:tc>
        <w:tc>
          <w:tcPr>
            <w:tcW w:w="641" w:type="pct"/>
            <w:noWrap w:val="0"/>
            <w:vAlign w:val="top"/>
          </w:tcPr>
          <w:p w14:paraId="22A11EC2">
            <w:pPr>
              <w:spacing w:line="360" w:lineRule="auto"/>
              <w:rPr>
                <w:rFonts w:hint="eastAsia" w:ascii="宋体" w:hAnsi="宋体" w:eastAsia="宋体" w:cs="宋体"/>
                <w:color w:val="auto"/>
                <w:sz w:val="24"/>
                <w:szCs w:val="24"/>
                <w:highlight w:val="none"/>
              </w:rPr>
            </w:pPr>
          </w:p>
        </w:tc>
        <w:tc>
          <w:tcPr>
            <w:tcW w:w="641" w:type="pct"/>
            <w:noWrap w:val="0"/>
            <w:vAlign w:val="top"/>
          </w:tcPr>
          <w:p w14:paraId="3E87A473">
            <w:pPr>
              <w:spacing w:line="360" w:lineRule="auto"/>
              <w:rPr>
                <w:rFonts w:hint="eastAsia" w:ascii="宋体" w:hAnsi="宋体" w:eastAsia="宋体" w:cs="宋体"/>
                <w:color w:val="auto"/>
                <w:sz w:val="24"/>
                <w:szCs w:val="24"/>
                <w:highlight w:val="none"/>
              </w:rPr>
            </w:pPr>
          </w:p>
        </w:tc>
        <w:tc>
          <w:tcPr>
            <w:tcW w:w="642" w:type="pct"/>
            <w:noWrap w:val="0"/>
            <w:vAlign w:val="top"/>
          </w:tcPr>
          <w:p w14:paraId="138838AC">
            <w:pPr>
              <w:spacing w:line="360" w:lineRule="auto"/>
              <w:rPr>
                <w:rFonts w:hint="eastAsia" w:ascii="宋体" w:hAnsi="宋体" w:eastAsia="宋体" w:cs="宋体"/>
                <w:color w:val="auto"/>
                <w:sz w:val="24"/>
                <w:szCs w:val="24"/>
                <w:highlight w:val="none"/>
              </w:rPr>
            </w:pPr>
          </w:p>
        </w:tc>
        <w:tc>
          <w:tcPr>
            <w:tcW w:w="519" w:type="pct"/>
            <w:noWrap w:val="0"/>
            <w:vAlign w:val="top"/>
          </w:tcPr>
          <w:p w14:paraId="29B33DBC">
            <w:pPr>
              <w:spacing w:line="360" w:lineRule="auto"/>
              <w:rPr>
                <w:rFonts w:hint="eastAsia" w:ascii="宋体" w:hAnsi="宋体" w:eastAsia="宋体" w:cs="宋体"/>
                <w:color w:val="auto"/>
                <w:sz w:val="24"/>
                <w:szCs w:val="24"/>
                <w:highlight w:val="none"/>
              </w:rPr>
            </w:pPr>
          </w:p>
        </w:tc>
        <w:tc>
          <w:tcPr>
            <w:tcW w:w="332" w:type="pct"/>
            <w:noWrap w:val="0"/>
            <w:vAlign w:val="top"/>
          </w:tcPr>
          <w:p w14:paraId="1B146716">
            <w:pPr>
              <w:spacing w:line="360" w:lineRule="auto"/>
              <w:rPr>
                <w:rFonts w:hint="eastAsia" w:ascii="宋体" w:hAnsi="宋体" w:eastAsia="宋体" w:cs="宋体"/>
                <w:color w:val="auto"/>
                <w:sz w:val="24"/>
                <w:szCs w:val="24"/>
                <w:highlight w:val="none"/>
              </w:rPr>
            </w:pPr>
          </w:p>
        </w:tc>
      </w:tr>
      <w:tr w14:paraId="38DC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448" w:type="pct"/>
            <w:noWrap w:val="0"/>
            <w:vAlign w:val="top"/>
          </w:tcPr>
          <w:p w14:paraId="71B21F47">
            <w:pPr>
              <w:spacing w:line="360" w:lineRule="auto"/>
              <w:rPr>
                <w:rFonts w:hint="eastAsia" w:ascii="宋体" w:hAnsi="宋体" w:eastAsia="宋体" w:cs="宋体"/>
                <w:color w:val="auto"/>
                <w:sz w:val="24"/>
                <w:szCs w:val="24"/>
                <w:highlight w:val="none"/>
              </w:rPr>
            </w:pPr>
          </w:p>
        </w:tc>
        <w:tc>
          <w:tcPr>
            <w:tcW w:w="1131" w:type="pct"/>
            <w:noWrap w:val="0"/>
            <w:vAlign w:val="top"/>
          </w:tcPr>
          <w:p w14:paraId="2179FBC2">
            <w:pPr>
              <w:spacing w:line="360" w:lineRule="auto"/>
              <w:rPr>
                <w:rFonts w:hint="eastAsia" w:ascii="宋体" w:hAnsi="宋体" w:eastAsia="宋体" w:cs="宋体"/>
                <w:color w:val="auto"/>
                <w:sz w:val="24"/>
                <w:szCs w:val="24"/>
                <w:highlight w:val="none"/>
              </w:rPr>
            </w:pPr>
          </w:p>
        </w:tc>
        <w:tc>
          <w:tcPr>
            <w:tcW w:w="641" w:type="pct"/>
            <w:noWrap w:val="0"/>
            <w:vAlign w:val="top"/>
          </w:tcPr>
          <w:p w14:paraId="7504C5FE">
            <w:pPr>
              <w:spacing w:line="360" w:lineRule="auto"/>
              <w:rPr>
                <w:rFonts w:hint="eastAsia" w:ascii="宋体" w:hAnsi="宋体" w:eastAsia="宋体" w:cs="宋体"/>
                <w:color w:val="auto"/>
                <w:sz w:val="24"/>
                <w:szCs w:val="24"/>
                <w:highlight w:val="none"/>
              </w:rPr>
            </w:pPr>
          </w:p>
        </w:tc>
        <w:tc>
          <w:tcPr>
            <w:tcW w:w="641" w:type="pct"/>
            <w:noWrap w:val="0"/>
            <w:vAlign w:val="top"/>
          </w:tcPr>
          <w:p w14:paraId="4FEC1D7F">
            <w:pPr>
              <w:spacing w:line="360" w:lineRule="auto"/>
              <w:rPr>
                <w:rFonts w:hint="eastAsia" w:ascii="宋体" w:hAnsi="宋体" w:eastAsia="宋体" w:cs="宋体"/>
                <w:color w:val="auto"/>
                <w:sz w:val="24"/>
                <w:szCs w:val="24"/>
                <w:highlight w:val="none"/>
              </w:rPr>
            </w:pPr>
          </w:p>
        </w:tc>
        <w:tc>
          <w:tcPr>
            <w:tcW w:w="641" w:type="pct"/>
            <w:noWrap w:val="0"/>
            <w:vAlign w:val="top"/>
          </w:tcPr>
          <w:p w14:paraId="5281FAAC">
            <w:pPr>
              <w:spacing w:line="360" w:lineRule="auto"/>
              <w:rPr>
                <w:rFonts w:hint="eastAsia" w:ascii="宋体" w:hAnsi="宋体" w:eastAsia="宋体" w:cs="宋体"/>
                <w:color w:val="auto"/>
                <w:sz w:val="24"/>
                <w:szCs w:val="24"/>
                <w:highlight w:val="none"/>
              </w:rPr>
            </w:pPr>
          </w:p>
        </w:tc>
        <w:tc>
          <w:tcPr>
            <w:tcW w:w="642" w:type="pct"/>
            <w:noWrap w:val="0"/>
            <w:vAlign w:val="top"/>
          </w:tcPr>
          <w:p w14:paraId="5DC1E7F1">
            <w:pPr>
              <w:spacing w:line="360" w:lineRule="auto"/>
              <w:rPr>
                <w:rFonts w:hint="eastAsia" w:ascii="宋体" w:hAnsi="宋体" w:eastAsia="宋体" w:cs="宋体"/>
                <w:color w:val="auto"/>
                <w:sz w:val="24"/>
                <w:szCs w:val="24"/>
                <w:highlight w:val="none"/>
              </w:rPr>
            </w:pPr>
          </w:p>
        </w:tc>
        <w:tc>
          <w:tcPr>
            <w:tcW w:w="519" w:type="pct"/>
            <w:noWrap w:val="0"/>
            <w:vAlign w:val="top"/>
          </w:tcPr>
          <w:p w14:paraId="68AB721A">
            <w:pPr>
              <w:spacing w:line="360" w:lineRule="auto"/>
              <w:rPr>
                <w:rFonts w:hint="eastAsia" w:ascii="宋体" w:hAnsi="宋体" w:eastAsia="宋体" w:cs="宋体"/>
                <w:color w:val="auto"/>
                <w:sz w:val="24"/>
                <w:szCs w:val="24"/>
                <w:highlight w:val="none"/>
              </w:rPr>
            </w:pPr>
          </w:p>
        </w:tc>
        <w:tc>
          <w:tcPr>
            <w:tcW w:w="332" w:type="pct"/>
            <w:noWrap w:val="0"/>
            <w:vAlign w:val="top"/>
          </w:tcPr>
          <w:p w14:paraId="568F6BF2">
            <w:pPr>
              <w:spacing w:line="360" w:lineRule="auto"/>
              <w:rPr>
                <w:rFonts w:hint="eastAsia" w:ascii="宋体" w:hAnsi="宋体" w:eastAsia="宋体" w:cs="宋体"/>
                <w:color w:val="auto"/>
                <w:sz w:val="24"/>
                <w:szCs w:val="24"/>
                <w:highlight w:val="none"/>
              </w:rPr>
            </w:pPr>
          </w:p>
        </w:tc>
      </w:tr>
      <w:tr w14:paraId="5DB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448" w:type="pct"/>
            <w:noWrap w:val="0"/>
            <w:vAlign w:val="top"/>
          </w:tcPr>
          <w:p w14:paraId="3A09ABF2">
            <w:pPr>
              <w:spacing w:line="360" w:lineRule="auto"/>
              <w:rPr>
                <w:rFonts w:hint="eastAsia" w:ascii="宋体" w:hAnsi="宋体" w:eastAsia="宋体" w:cs="宋体"/>
                <w:color w:val="auto"/>
                <w:sz w:val="24"/>
                <w:szCs w:val="24"/>
                <w:highlight w:val="none"/>
              </w:rPr>
            </w:pPr>
          </w:p>
        </w:tc>
        <w:tc>
          <w:tcPr>
            <w:tcW w:w="1131" w:type="pct"/>
            <w:noWrap w:val="0"/>
            <w:vAlign w:val="top"/>
          </w:tcPr>
          <w:p w14:paraId="795F75C0">
            <w:pPr>
              <w:spacing w:line="360" w:lineRule="auto"/>
              <w:rPr>
                <w:rFonts w:hint="eastAsia" w:ascii="宋体" w:hAnsi="宋体" w:eastAsia="宋体" w:cs="宋体"/>
                <w:color w:val="auto"/>
                <w:sz w:val="24"/>
                <w:szCs w:val="24"/>
                <w:highlight w:val="none"/>
              </w:rPr>
            </w:pPr>
          </w:p>
        </w:tc>
        <w:tc>
          <w:tcPr>
            <w:tcW w:w="641" w:type="pct"/>
            <w:noWrap w:val="0"/>
            <w:vAlign w:val="top"/>
          </w:tcPr>
          <w:p w14:paraId="30E56E86">
            <w:pPr>
              <w:spacing w:line="360" w:lineRule="auto"/>
              <w:rPr>
                <w:rFonts w:hint="eastAsia" w:ascii="宋体" w:hAnsi="宋体" w:eastAsia="宋体" w:cs="宋体"/>
                <w:color w:val="auto"/>
                <w:sz w:val="24"/>
                <w:szCs w:val="24"/>
                <w:highlight w:val="none"/>
              </w:rPr>
            </w:pPr>
          </w:p>
        </w:tc>
        <w:tc>
          <w:tcPr>
            <w:tcW w:w="641" w:type="pct"/>
            <w:noWrap w:val="0"/>
            <w:vAlign w:val="top"/>
          </w:tcPr>
          <w:p w14:paraId="0EA4C6CF">
            <w:pPr>
              <w:spacing w:line="360" w:lineRule="auto"/>
              <w:rPr>
                <w:rFonts w:hint="eastAsia" w:ascii="宋体" w:hAnsi="宋体" w:eastAsia="宋体" w:cs="宋体"/>
                <w:color w:val="auto"/>
                <w:sz w:val="24"/>
                <w:szCs w:val="24"/>
                <w:highlight w:val="none"/>
              </w:rPr>
            </w:pPr>
          </w:p>
        </w:tc>
        <w:tc>
          <w:tcPr>
            <w:tcW w:w="641" w:type="pct"/>
            <w:noWrap w:val="0"/>
            <w:vAlign w:val="top"/>
          </w:tcPr>
          <w:p w14:paraId="6E5E395E">
            <w:pPr>
              <w:spacing w:line="360" w:lineRule="auto"/>
              <w:rPr>
                <w:rFonts w:hint="eastAsia" w:ascii="宋体" w:hAnsi="宋体" w:eastAsia="宋体" w:cs="宋体"/>
                <w:color w:val="auto"/>
                <w:sz w:val="24"/>
                <w:szCs w:val="24"/>
                <w:highlight w:val="none"/>
              </w:rPr>
            </w:pPr>
          </w:p>
        </w:tc>
        <w:tc>
          <w:tcPr>
            <w:tcW w:w="642" w:type="pct"/>
            <w:noWrap w:val="0"/>
            <w:vAlign w:val="top"/>
          </w:tcPr>
          <w:p w14:paraId="33200F93">
            <w:pPr>
              <w:spacing w:line="360" w:lineRule="auto"/>
              <w:rPr>
                <w:rFonts w:hint="eastAsia" w:ascii="宋体" w:hAnsi="宋体" w:eastAsia="宋体" w:cs="宋体"/>
                <w:color w:val="auto"/>
                <w:sz w:val="24"/>
                <w:szCs w:val="24"/>
                <w:highlight w:val="none"/>
              </w:rPr>
            </w:pPr>
          </w:p>
        </w:tc>
        <w:tc>
          <w:tcPr>
            <w:tcW w:w="519" w:type="pct"/>
            <w:noWrap w:val="0"/>
            <w:vAlign w:val="top"/>
          </w:tcPr>
          <w:p w14:paraId="6227C473">
            <w:pPr>
              <w:spacing w:line="360" w:lineRule="auto"/>
              <w:rPr>
                <w:rFonts w:hint="eastAsia" w:ascii="宋体" w:hAnsi="宋体" w:eastAsia="宋体" w:cs="宋体"/>
                <w:color w:val="auto"/>
                <w:sz w:val="24"/>
                <w:szCs w:val="24"/>
                <w:highlight w:val="none"/>
              </w:rPr>
            </w:pPr>
          </w:p>
        </w:tc>
        <w:tc>
          <w:tcPr>
            <w:tcW w:w="332" w:type="pct"/>
            <w:noWrap w:val="0"/>
            <w:vAlign w:val="top"/>
          </w:tcPr>
          <w:p w14:paraId="5BDA33BB">
            <w:pPr>
              <w:spacing w:line="360" w:lineRule="auto"/>
              <w:rPr>
                <w:rFonts w:hint="eastAsia" w:ascii="宋体" w:hAnsi="宋体" w:eastAsia="宋体" w:cs="宋体"/>
                <w:color w:val="auto"/>
                <w:sz w:val="24"/>
                <w:szCs w:val="24"/>
                <w:highlight w:val="none"/>
              </w:rPr>
            </w:pPr>
          </w:p>
        </w:tc>
      </w:tr>
      <w:tr w14:paraId="264DD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48" w:type="pct"/>
            <w:noWrap w:val="0"/>
            <w:vAlign w:val="top"/>
          </w:tcPr>
          <w:p w14:paraId="664D7057">
            <w:pPr>
              <w:spacing w:line="360" w:lineRule="auto"/>
              <w:rPr>
                <w:rFonts w:hint="eastAsia" w:ascii="宋体" w:hAnsi="宋体" w:eastAsia="宋体" w:cs="宋体"/>
                <w:color w:val="auto"/>
                <w:sz w:val="24"/>
                <w:szCs w:val="24"/>
                <w:highlight w:val="none"/>
              </w:rPr>
            </w:pPr>
          </w:p>
        </w:tc>
        <w:tc>
          <w:tcPr>
            <w:tcW w:w="1131" w:type="pct"/>
            <w:noWrap w:val="0"/>
            <w:vAlign w:val="top"/>
          </w:tcPr>
          <w:p w14:paraId="07BB4BF2">
            <w:pPr>
              <w:spacing w:line="360" w:lineRule="auto"/>
              <w:rPr>
                <w:rFonts w:hint="eastAsia" w:ascii="宋体" w:hAnsi="宋体" w:eastAsia="宋体" w:cs="宋体"/>
                <w:color w:val="auto"/>
                <w:sz w:val="24"/>
                <w:szCs w:val="24"/>
                <w:highlight w:val="none"/>
              </w:rPr>
            </w:pPr>
          </w:p>
        </w:tc>
        <w:tc>
          <w:tcPr>
            <w:tcW w:w="641" w:type="pct"/>
            <w:noWrap w:val="0"/>
            <w:vAlign w:val="top"/>
          </w:tcPr>
          <w:p w14:paraId="537287E0">
            <w:pPr>
              <w:spacing w:line="360" w:lineRule="auto"/>
              <w:rPr>
                <w:rFonts w:hint="eastAsia" w:ascii="宋体" w:hAnsi="宋体" w:eastAsia="宋体" w:cs="宋体"/>
                <w:color w:val="auto"/>
                <w:sz w:val="24"/>
                <w:szCs w:val="24"/>
                <w:highlight w:val="none"/>
              </w:rPr>
            </w:pPr>
          </w:p>
        </w:tc>
        <w:tc>
          <w:tcPr>
            <w:tcW w:w="641" w:type="pct"/>
            <w:noWrap w:val="0"/>
            <w:vAlign w:val="top"/>
          </w:tcPr>
          <w:p w14:paraId="1BBD628D">
            <w:pPr>
              <w:spacing w:line="360" w:lineRule="auto"/>
              <w:rPr>
                <w:rFonts w:hint="eastAsia" w:ascii="宋体" w:hAnsi="宋体" w:eastAsia="宋体" w:cs="宋体"/>
                <w:color w:val="auto"/>
                <w:sz w:val="24"/>
                <w:szCs w:val="24"/>
                <w:highlight w:val="none"/>
              </w:rPr>
            </w:pPr>
          </w:p>
        </w:tc>
        <w:tc>
          <w:tcPr>
            <w:tcW w:w="641" w:type="pct"/>
            <w:noWrap w:val="0"/>
            <w:vAlign w:val="top"/>
          </w:tcPr>
          <w:p w14:paraId="648ED5A9">
            <w:pPr>
              <w:spacing w:line="360" w:lineRule="auto"/>
              <w:rPr>
                <w:rFonts w:hint="eastAsia" w:ascii="宋体" w:hAnsi="宋体" w:eastAsia="宋体" w:cs="宋体"/>
                <w:color w:val="auto"/>
                <w:sz w:val="24"/>
                <w:szCs w:val="24"/>
                <w:highlight w:val="none"/>
              </w:rPr>
            </w:pPr>
          </w:p>
        </w:tc>
        <w:tc>
          <w:tcPr>
            <w:tcW w:w="642" w:type="pct"/>
            <w:noWrap w:val="0"/>
            <w:vAlign w:val="top"/>
          </w:tcPr>
          <w:p w14:paraId="68A06688">
            <w:pPr>
              <w:spacing w:line="360" w:lineRule="auto"/>
              <w:rPr>
                <w:rFonts w:hint="eastAsia" w:ascii="宋体" w:hAnsi="宋体" w:eastAsia="宋体" w:cs="宋体"/>
                <w:color w:val="auto"/>
                <w:sz w:val="24"/>
                <w:szCs w:val="24"/>
                <w:highlight w:val="none"/>
              </w:rPr>
            </w:pPr>
          </w:p>
        </w:tc>
        <w:tc>
          <w:tcPr>
            <w:tcW w:w="519" w:type="pct"/>
            <w:noWrap w:val="0"/>
            <w:vAlign w:val="top"/>
          </w:tcPr>
          <w:p w14:paraId="72A76618">
            <w:pPr>
              <w:spacing w:line="360" w:lineRule="auto"/>
              <w:rPr>
                <w:rFonts w:hint="eastAsia" w:ascii="宋体" w:hAnsi="宋体" w:eastAsia="宋体" w:cs="宋体"/>
                <w:color w:val="auto"/>
                <w:sz w:val="24"/>
                <w:szCs w:val="24"/>
                <w:highlight w:val="none"/>
              </w:rPr>
            </w:pPr>
          </w:p>
        </w:tc>
        <w:tc>
          <w:tcPr>
            <w:tcW w:w="332" w:type="pct"/>
            <w:noWrap w:val="0"/>
            <w:vAlign w:val="top"/>
          </w:tcPr>
          <w:p w14:paraId="79B8302B">
            <w:pPr>
              <w:spacing w:line="360" w:lineRule="auto"/>
              <w:rPr>
                <w:rFonts w:hint="eastAsia" w:ascii="宋体" w:hAnsi="宋体" w:eastAsia="宋体" w:cs="宋体"/>
                <w:color w:val="auto"/>
                <w:sz w:val="24"/>
                <w:szCs w:val="24"/>
                <w:highlight w:val="none"/>
              </w:rPr>
            </w:pPr>
          </w:p>
        </w:tc>
      </w:tr>
    </w:tbl>
    <w:p w14:paraId="7E71D099">
      <w:pPr>
        <w:pStyle w:val="1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注：合格的中标候选人</w:t>
      </w:r>
      <w:r>
        <w:rPr>
          <w:rFonts w:hint="eastAsia" w:ascii="宋体" w:hAnsi="宋体" w:eastAsia="宋体" w:cs="宋体"/>
          <w:color w:val="auto"/>
          <w:sz w:val="24"/>
          <w:szCs w:val="24"/>
          <w:highlight w:val="none"/>
          <w:lang w:val="en-US" w:eastAsia="zh-CN"/>
        </w:rPr>
        <w:t>的总</w:t>
      </w:r>
      <w:r>
        <w:rPr>
          <w:rFonts w:hint="eastAsia" w:ascii="宋体" w:hAnsi="宋体" w:eastAsia="宋体" w:cs="宋体"/>
          <w:color w:val="auto"/>
          <w:sz w:val="24"/>
          <w:szCs w:val="24"/>
          <w:highlight w:val="none"/>
        </w:rPr>
        <w:t>得分为所有定标委员会成员对同一合格的中标候选人的评分</w:t>
      </w:r>
      <w:r>
        <w:rPr>
          <w:rFonts w:hint="eastAsia" w:ascii="宋体" w:hAnsi="宋体" w:eastAsia="宋体" w:cs="宋体"/>
          <w:color w:val="auto"/>
          <w:sz w:val="24"/>
          <w:szCs w:val="24"/>
          <w:highlight w:val="none"/>
          <w:lang w:val="en-US" w:eastAsia="zh-CN"/>
        </w:rPr>
        <w:t>的算术平均值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保留两位小数</w:t>
      </w:r>
      <w:r>
        <w:rPr>
          <w:rFonts w:hint="eastAsia" w:ascii="宋体" w:hAnsi="宋体" w:eastAsia="宋体" w:cs="宋体"/>
          <w:color w:val="auto"/>
          <w:sz w:val="24"/>
          <w:szCs w:val="24"/>
          <w:highlight w:val="none"/>
          <w:lang w:val="en-US" w:eastAsia="zh-CN"/>
        </w:rPr>
        <w:t>第三位小数</w:t>
      </w:r>
      <w:r>
        <w:rPr>
          <w:rFonts w:hint="eastAsia" w:ascii="宋体" w:hAnsi="宋体" w:eastAsia="宋体" w:cs="宋体"/>
          <w:color w:val="auto"/>
          <w:sz w:val="24"/>
          <w:szCs w:val="24"/>
          <w:highlight w:val="none"/>
        </w:rPr>
        <w:t>四舍五入。</w:t>
      </w:r>
    </w:p>
    <w:p w14:paraId="2237640F">
      <w:pPr>
        <w:spacing w:line="360" w:lineRule="auto"/>
        <w:ind w:left="275" w:hanging="314" w:hangingChars="131"/>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定标委员会签名：</w:t>
      </w:r>
    </w:p>
    <w:p w14:paraId="3C85C8FE">
      <w:pPr>
        <w:pStyle w:val="117"/>
        <w:spacing w:line="360" w:lineRule="auto"/>
        <w:rPr>
          <w:rFonts w:hint="eastAsia" w:ascii="宋体" w:hAnsi="宋体" w:eastAsia="宋体" w:cs="宋体"/>
          <w:color w:val="auto"/>
          <w:sz w:val="24"/>
          <w:szCs w:val="24"/>
          <w:highlight w:val="none"/>
        </w:rPr>
      </w:pPr>
    </w:p>
    <w:p w14:paraId="24773ACF">
      <w:pPr>
        <w:spacing w:line="360" w:lineRule="auto"/>
        <w:ind w:left="275" w:right="960" w:hanging="314" w:hangingChars="131"/>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E223D32">
      <w:pPr>
        <w:spacing w:line="360" w:lineRule="auto"/>
        <w:jc w:val="center"/>
        <w:rPr>
          <w:rFonts w:hint="eastAsia" w:ascii="宋体" w:hAnsi="宋体" w:cs="宋体"/>
          <w:color w:val="auto"/>
          <w:szCs w:val="21"/>
          <w:highlight w:val="none"/>
        </w:rPr>
        <w:sectPr>
          <w:headerReference r:id="rId13" w:type="first"/>
          <w:footerReference r:id="rId15" w:type="first"/>
          <w:headerReference r:id="rId12" w:type="default"/>
          <w:footerReference r:id="rId14" w:type="default"/>
          <w:pgSz w:w="16838" w:h="11906" w:orient="landscape"/>
          <w:pgMar w:top="1440" w:right="1080" w:bottom="1440" w:left="1080" w:header="851" w:footer="907" w:gutter="0"/>
          <w:cols w:space="720" w:num="1"/>
          <w:titlePg/>
          <w:docGrid w:type="lines" w:linePitch="312" w:charSpace="0"/>
        </w:sectPr>
      </w:pPr>
    </w:p>
    <w:p w14:paraId="79AC5B7A">
      <w:pPr>
        <w:pStyle w:val="2"/>
        <w:spacing w:before="0" w:after="0"/>
        <w:jc w:val="center"/>
        <w:rPr>
          <w:rFonts w:hint="eastAsia" w:ascii="宋体" w:hAnsi="宋体" w:cs="宋体"/>
          <w:color w:val="auto"/>
          <w:sz w:val="32"/>
          <w:szCs w:val="32"/>
          <w:highlight w:val="none"/>
        </w:rPr>
      </w:pPr>
      <w:bookmarkStart w:id="32" w:name="_Toc11586"/>
      <w:r>
        <w:rPr>
          <w:rFonts w:hint="eastAsia" w:ascii="宋体" w:hAnsi="宋体" w:cs="宋体"/>
          <w:color w:val="auto"/>
          <w:sz w:val="32"/>
          <w:szCs w:val="32"/>
          <w:highlight w:val="none"/>
        </w:rPr>
        <w:t>第三章  合同条款</w:t>
      </w:r>
      <w:bookmarkEnd w:id="32"/>
    </w:p>
    <w:p w14:paraId="2F36DF18">
      <w:pPr>
        <w:spacing w:line="360" w:lineRule="auto"/>
        <w:jc w:val="center"/>
        <w:rPr>
          <w:rFonts w:hint="eastAsia" w:ascii="宋体" w:hAnsi="宋体" w:cs="宋体"/>
          <w:b/>
          <w:color w:val="auto"/>
          <w:sz w:val="28"/>
          <w:szCs w:val="28"/>
          <w:highlight w:val="none"/>
        </w:rPr>
      </w:pPr>
      <w:r>
        <w:rPr>
          <w:rFonts w:hint="eastAsia" w:ascii="宋体" w:hAnsi="宋体" w:cs="宋体"/>
          <w:color w:val="auto"/>
          <w:sz w:val="28"/>
          <w:szCs w:val="28"/>
          <w:highlight w:val="none"/>
        </w:rPr>
        <w:t>（另册）</w:t>
      </w:r>
    </w:p>
    <w:p w14:paraId="463F9A62">
      <w:pPr>
        <w:pStyle w:val="2"/>
        <w:numPr>
          <w:ilvl w:val="0"/>
          <w:numId w:val="2"/>
        </w:numPr>
        <w:spacing w:before="0" w:after="0"/>
        <w:jc w:val="center"/>
        <w:rPr>
          <w:rFonts w:hint="eastAsia" w:ascii="宋体" w:hAnsi="宋体" w:cs="宋体"/>
          <w:color w:val="auto"/>
          <w:sz w:val="32"/>
          <w:szCs w:val="32"/>
          <w:highlight w:val="none"/>
        </w:rPr>
      </w:pPr>
      <w:bookmarkStart w:id="33" w:name="_Toc3417"/>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投标文件格式</w:t>
      </w:r>
      <w:bookmarkEnd w:id="33"/>
    </w:p>
    <w:p w14:paraId="75259E8D">
      <w:pPr>
        <w:topLinePunct/>
        <w:adjustRightInd w:val="0"/>
        <w:snapToGrid w:val="0"/>
        <w:spacing w:line="360" w:lineRule="auto"/>
        <w:jc w:val="center"/>
        <w:outlineLvl w:val="1"/>
        <w:rPr>
          <w:rFonts w:hint="eastAsia" w:ascii="宋体" w:hAnsi="宋体" w:cs="宋体"/>
          <w:b/>
          <w:snapToGrid w:val="0"/>
          <w:color w:val="auto"/>
          <w:spacing w:val="4"/>
          <w:kern w:val="0"/>
          <w:sz w:val="30"/>
          <w:szCs w:val="30"/>
          <w:highlight w:val="none"/>
        </w:rPr>
      </w:pPr>
      <w:bookmarkStart w:id="34" w:name="_Toc8084"/>
      <w:bookmarkStart w:id="35" w:name="_Toc20786"/>
      <w:bookmarkStart w:id="36" w:name="_Toc7019446"/>
      <w:bookmarkStart w:id="37" w:name="_Toc62134853"/>
      <w:bookmarkStart w:id="38" w:name="_Toc14697646"/>
      <w:r>
        <w:rPr>
          <w:rFonts w:hint="eastAsia" w:ascii="宋体" w:hAnsi="宋体" w:cs="宋体"/>
          <w:b/>
          <w:snapToGrid w:val="0"/>
          <w:color w:val="auto"/>
          <w:spacing w:val="4"/>
          <w:kern w:val="0"/>
          <w:sz w:val="30"/>
          <w:szCs w:val="30"/>
          <w:highlight w:val="none"/>
        </w:rPr>
        <w:t>一、技术标投标文件格式</w:t>
      </w:r>
      <w:bookmarkEnd w:id="34"/>
      <w:bookmarkEnd w:id="35"/>
      <w:bookmarkEnd w:id="36"/>
      <w:bookmarkEnd w:id="37"/>
      <w:bookmarkEnd w:id="38"/>
    </w:p>
    <w:p w14:paraId="5DBE8DB7">
      <w:pPr>
        <w:widowControl/>
        <w:spacing w:before="100" w:beforeAutospacing="1" w:after="100" w:afterAutospacing="1"/>
        <w:jc w:val="left"/>
        <w:outlineLvl w:val="2"/>
        <w:rPr>
          <w:b/>
          <w:color w:val="auto"/>
          <w:kern w:val="0"/>
          <w:sz w:val="24"/>
          <w:szCs w:val="24"/>
          <w:highlight w:val="none"/>
        </w:rPr>
      </w:pPr>
      <w:r>
        <w:rPr>
          <w:rFonts w:hint="eastAsia" w:ascii="宋体" w:hAnsi="宋体" w:cs="宋体"/>
          <w:color w:val="auto"/>
          <w:kern w:val="0"/>
          <w:sz w:val="27"/>
          <w:szCs w:val="27"/>
          <w:highlight w:val="none"/>
        </w:rPr>
        <w:br w:type="page"/>
      </w:r>
      <w:bookmarkStart w:id="39" w:name="_Toc7478"/>
      <w:bookmarkStart w:id="40" w:name="_Toc504722505"/>
      <w:bookmarkStart w:id="41" w:name="_Toc4489937"/>
      <w:bookmarkStart w:id="42" w:name="_Toc62134856"/>
      <w:bookmarkStart w:id="43" w:name="_Toc14697649"/>
      <w:bookmarkStart w:id="44" w:name="_Toc22278"/>
      <w:r>
        <w:rPr>
          <w:rFonts w:hint="eastAsia"/>
          <w:b/>
          <w:color w:val="auto"/>
          <w:kern w:val="0"/>
          <w:sz w:val="24"/>
          <w:szCs w:val="24"/>
          <w:highlight w:val="none"/>
        </w:rPr>
        <w:t>格式一：技术标封面</w:t>
      </w:r>
      <w:bookmarkEnd w:id="39"/>
    </w:p>
    <w:p w14:paraId="6E2700A8">
      <w:pPr>
        <w:topLinePunct/>
        <w:adjustRightInd w:val="0"/>
        <w:snapToGrid w:val="0"/>
        <w:spacing w:line="360" w:lineRule="auto"/>
        <w:ind w:firstLine="496" w:firstLineChars="200"/>
        <w:rPr>
          <w:snapToGrid w:val="0"/>
          <w:color w:val="auto"/>
          <w:spacing w:val="4"/>
          <w:kern w:val="0"/>
          <w:sz w:val="24"/>
          <w:szCs w:val="24"/>
          <w:highlight w:val="none"/>
        </w:rPr>
      </w:pPr>
    </w:p>
    <w:p w14:paraId="15E52D3A">
      <w:pPr>
        <w:topLinePunct/>
        <w:adjustRightInd w:val="0"/>
        <w:snapToGrid w:val="0"/>
        <w:spacing w:line="360" w:lineRule="auto"/>
        <w:ind w:firstLine="496" w:firstLineChars="200"/>
        <w:rPr>
          <w:snapToGrid w:val="0"/>
          <w:color w:val="auto"/>
          <w:spacing w:val="4"/>
          <w:kern w:val="0"/>
          <w:sz w:val="24"/>
          <w:szCs w:val="24"/>
          <w:highlight w:val="none"/>
        </w:rPr>
      </w:pPr>
    </w:p>
    <w:p w14:paraId="31EBA5DF">
      <w:pPr>
        <w:topLinePunct/>
        <w:adjustRightInd w:val="0"/>
        <w:snapToGrid w:val="0"/>
        <w:spacing w:line="360" w:lineRule="auto"/>
        <w:ind w:firstLine="496" w:firstLineChars="200"/>
        <w:rPr>
          <w:snapToGrid w:val="0"/>
          <w:color w:val="auto"/>
          <w:spacing w:val="4"/>
          <w:kern w:val="0"/>
          <w:sz w:val="24"/>
          <w:szCs w:val="24"/>
          <w:highlight w:val="none"/>
        </w:rPr>
      </w:pPr>
    </w:p>
    <w:p w14:paraId="16B3FCEF">
      <w:pPr>
        <w:topLinePunct/>
        <w:adjustRightInd w:val="0"/>
        <w:snapToGrid w:val="0"/>
        <w:spacing w:line="360" w:lineRule="auto"/>
        <w:jc w:val="center"/>
        <w:rPr>
          <w:snapToGrid w:val="0"/>
          <w:color w:val="auto"/>
          <w:spacing w:val="4"/>
          <w:kern w:val="0"/>
          <w:sz w:val="36"/>
          <w:szCs w:val="36"/>
          <w:highlight w:val="none"/>
          <w:u w:val="single"/>
        </w:rPr>
      </w:pPr>
      <w:r>
        <w:rPr>
          <w:rFonts w:hint="eastAsia"/>
          <w:snapToGrid w:val="0"/>
          <w:color w:val="auto"/>
          <w:spacing w:val="4"/>
          <w:kern w:val="0"/>
          <w:sz w:val="36"/>
          <w:szCs w:val="36"/>
          <w:highlight w:val="none"/>
          <w:u w:val="single"/>
        </w:rPr>
        <w:t xml:space="preserve">[工程名称] </w:t>
      </w:r>
    </w:p>
    <w:p w14:paraId="1E9D5B34">
      <w:pPr>
        <w:topLinePunct/>
        <w:adjustRightInd w:val="0"/>
        <w:snapToGrid w:val="0"/>
        <w:spacing w:line="360" w:lineRule="auto"/>
        <w:ind w:firstLine="496" w:firstLineChars="200"/>
        <w:rPr>
          <w:snapToGrid w:val="0"/>
          <w:color w:val="auto"/>
          <w:spacing w:val="4"/>
          <w:kern w:val="0"/>
          <w:sz w:val="24"/>
          <w:szCs w:val="24"/>
          <w:highlight w:val="none"/>
        </w:rPr>
      </w:pPr>
    </w:p>
    <w:p w14:paraId="028056B0">
      <w:pPr>
        <w:topLinePunct/>
        <w:adjustRightInd w:val="0"/>
        <w:snapToGrid w:val="0"/>
        <w:spacing w:line="360" w:lineRule="auto"/>
        <w:ind w:firstLine="496" w:firstLineChars="200"/>
        <w:rPr>
          <w:snapToGrid w:val="0"/>
          <w:color w:val="auto"/>
          <w:spacing w:val="4"/>
          <w:kern w:val="0"/>
          <w:sz w:val="24"/>
          <w:szCs w:val="24"/>
          <w:highlight w:val="none"/>
        </w:rPr>
      </w:pPr>
    </w:p>
    <w:p w14:paraId="64300147">
      <w:pPr>
        <w:topLinePunct/>
        <w:adjustRightInd w:val="0"/>
        <w:snapToGrid w:val="0"/>
        <w:spacing w:line="360" w:lineRule="auto"/>
        <w:ind w:firstLine="496" w:firstLineChars="200"/>
        <w:rPr>
          <w:snapToGrid w:val="0"/>
          <w:color w:val="auto"/>
          <w:spacing w:val="4"/>
          <w:kern w:val="0"/>
          <w:sz w:val="24"/>
          <w:szCs w:val="24"/>
          <w:highlight w:val="none"/>
        </w:rPr>
      </w:pPr>
    </w:p>
    <w:p w14:paraId="18A6BA8C">
      <w:pPr>
        <w:topLinePunct/>
        <w:adjustRightInd w:val="0"/>
        <w:snapToGrid w:val="0"/>
        <w:spacing w:line="360" w:lineRule="auto"/>
        <w:ind w:firstLine="496" w:firstLineChars="200"/>
        <w:rPr>
          <w:snapToGrid w:val="0"/>
          <w:color w:val="auto"/>
          <w:spacing w:val="4"/>
          <w:kern w:val="0"/>
          <w:sz w:val="24"/>
          <w:szCs w:val="24"/>
          <w:highlight w:val="none"/>
        </w:rPr>
      </w:pPr>
    </w:p>
    <w:p w14:paraId="0CF49DB6">
      <w:pPr>
        <w:topLinePunct/>
        <w:adjustRightInd w:val="0"/>
        <w:snapToGrid w:val="0"/>
        <w:spacing w:line="360" w:lineRule="auto"/>
        <w:jc w:val="center"/>
        <w:rPr>
          <w:snapToGrid w:val="0"/>
          <w:color w:val="auto"/>
          <w:spacing w:val="4"/>
          <w:kern w:val="0"/>
          <w:sz w:val="84"/>
          <w:szCs w:val="84"/>
          <w:highlight w:val="none"/>
        </w:rPr>
      </w:pPr>
      <w:r>
        <w:rPr>
          <w:rFonts w:hint="eastAsia"/>
          <w:snapToGrid w:val="0"/>
          <w:color w:val="auto"/>
          <w:spacing w:val="4"/>
          <w:kern w:val="0"/>
          <w:sz w:val="84"/>
          <w:szCs w:val="84"/>
          <w:highlight w:val="none"/>
        </w:rPr>
        <w:t>投标文件</w:t>
      </w:r>
    </w:p>
    <w:p w14:paraId="0046E6B1">
      <w:pPr>
        <w:topLinePunct/>
        <w:adjustRightInd w:val="0"/>
        <w:snapToGrid w:val="0"/>
        <w:spacing w:line="360" w:lineRule="auto"/>
        <w:jc w:val="center"/>
        <w:rPr>
          <w:snapToGrid w:val="0"/>
          <w:color w:val="auto"/>
          <w:spacing w:val="4"/>
          <w:kern w:val="0"/>
          <w:sz w:val="36"/>
          <w:szCs w:val="36"/>
          <w:highlight w:val="none"/>
        </w:rPr>
      </w:pPr>
      <w:r>
        <w:rPr>
          <w:rFonts w:hint="eastAsia"/>
          <w:snapToGrid w:val="0"/>
          <w:color w:val="auto"/>
          <w:spacing w:val="4"/>
          <w:kern w:val="0"/>
          <w:sz w:val="36"/>
          <w:szCs w:val="36"/>
          <w:highlight w:val="none"/>
        </w:rPr>
        <w:t>第一册  【技术投标文件（含资格审查文件）】</w:t>
      </w:r>
    </w:p>
    <w:p w14:paraId="7D43DBFE">
      <w:pPr>
        <w:topLinePunct/>
        <w:adjustRightInd w:val="0"/>
        <w:snapToGrid w:val="0"/>
        <w:spacing w:line="360" w:lineRule="auto"/>
        <w:ind w:firstLine="496" w:firstLineChars="200"/>
        <w:rPr>
          <w:snapToGrid w:val="0"/>
          <w:color w:val="auto"/>
          <w:spacing w:val="4"/>
          <w:kern w:val="0"/>
          <w:sz w:val="24"/>
          <w:szCs w:val="24"/>
          <w:highlight w:val="none"/>
        </w:rPr>
      </w:pPr>
    </w:p>
    <w:p w14:paraId="0663F9B3">
      <w:pPr>
        <w:topLinePunct/>
        <w:adjustRightInd w:val="0"/>
        <w:snapToGrid w:val="0"/>
        <w:spacing w:line="360" w:lineRule="auto"/>
        <w:ind w:firstLine="496" w:firstLineChars="200"/>
        <w:rPr>
          <w:snapToGrid w:val="0"/>
          <w:color w:val="auto"/>
          <w:spacing w:val="4"/>
          <w:kern w:val="0"/>
          <w:sz w:val="24"/>
          <w:szCs w:val="24"/>
          <w:highlight w:val="none"/>
        </w:rPr>
      </w:pPr>
    </w:p>
    <w:p w14:paraId="5B0BD231">
      <w:pPr>
        <w:topLinePunct/>
        <w:adjustRightInd w:val="0"/>
        <w:snapToGrid w:val="0"/>
        <w:spacing w:line="360" w:lineRule="auto"/>
        <w:ind w:firstLine="496" w:firstLineChars="200"/>
        <w:rPr>
          <w:snapToGrid w:val="0"/>
          <w:color w:val="auto"/>
          <w:spacing w:val="4"/>
          <w:kern w:val="0"/>
          <w:sz w:val="24"/>
          <w:szCs w:val="24"/>
          <w:highlight w:val="none"/>
        </w:rPr>
      </w:pPr>
    </w:p>
    <w:p w14:paraId="4341FAE7">
      <w:pPr>
        <w:topLinePunct/>
        <w:adjustRightInd w:val="0"/>
        <w:snapToGrid w:val="0"/>
        <w:spacing w:line="360" w:lineRule="auto"/>
        <w:ind w:firstLine="496" w:firstLineChars="200"/>
        <w:rPr>
          <w:snapToGrid w:val="0"/>
          <w:color w:val="auto"/>
          <w:spacing w:val="4"/>
          <w:kern w:val="0"/>
          <w:sz w:val="24"/>
          <w:szCs w:val="24"/>
          <w:highlight w:val="none"/>
        </w:rPr>
      </w:pPr>
    </w:p>
    <w:p w14:paraId="3EF9C6C7">
      <w:pPr>
        <w:topLinePunct/>
        <w:adjustRightInd w:val="0"/>
        <w:snapToGrid w:val="0"/>
        <w:spacing w:line="360" w:lineRule="auto"/>
        <w:ind w:firstLine="496" w:firstLineChars="200"/>
        <w:rPr>
          <w:snapToGrid w:val="0"/>
          <w:color w:val="auto"/>
          <w:spacing w:val="4"/>
          <w:kern w:val="0"/>
          <w:sz w:val="24"/>
          <w:szCs w:val="24"/>
          <w:highlight w:val="none"/>
        </w:rPr>
      </w:pPr>
    </w:p>
    <w:p w14:paraId="04C11040">
      <w:pPr>
        <w:topLinePunct/>
        <w:adjustRightInd w:val="0"/>
        <w:snapToGrid w:val="0"/>
        <w:spacing w:line="360" w:lineRule="auto"/>
        <w:ind w:firstLine="496" w:firstLineChars="200"/>
        <w:rPr>
          <w:snapToGrid w:val="0"/>
          <w:color w:val="auto"/>
          <w:spacing w:val="4"/>
          <w:kern w:val="0"/>
          <w:sz w:val="24"/>
          <w:szCs w:val="24"/>
          <w:highlight w:val="none"/>
        </w:rPr>
      </w:pPr>
    </w:p>
    <w:p w14:paraId="3964FA22">
      <w:pPr>
        <w:topLinePunct/>
        <w:adjustRightInd w:val="0"/>
        <w:snapToGrid w:val="0"/>
        <w:spacing w:line="360" w:lineRule="auto"/>
        <w:ind w:firstLine="616" w:firstLineChars="200"/>
        <w:jc w:val="left"/>
        <w:rPr>
          <w:snapToGrid w:val="0"/>
          <w:color w:val="auto"/>
          <w:spacing w:val="4"/>
          <w:kern w:val="0"/>
          <w:sz w:val="30"/>
          <w:szCs w:val="30"/>
          <w:highlight w:val="none"/>
        </w:rPr>
      </w:pPr>
      <w:r>
        <w:rPr>
          <w:rFonts w:hint="eastAsia"/>
          <w:snapToGrid w:val="0"/>
          <w:color w:val="auto"/>
          <w:spacing w:val="4"/>
          <w:kern w:val="0"/>
          <w:sz w:val="30"/>
          <w:szCs w:val="30"/>
          <w:highlight w:val="none"/>
        </w:rPr>
        <w:t>投标人：</w:t>
      </w:r>
      <w:r>
        <w:rPr>
          <w:rFonts w:hint="eastAsia"/>
          <w:snapToGrid w:val="0"/>
          <w:color w:val="auto"/>
          <w:spacing w:val="4"/>
          <w:kern w:val="0"/>
          <w:sz w:val="30"/>
          <w:szCs w:val="30"/>
          <w:highlight w:val="none"/>
          <w:u w:val="single"/>
        </w:rPr>
        <w:t xml:space="preserve">    （填写投标人单位名称）    </w:t>
      </w:r>
    </w:p>
    <w:p w14:paraId="285890A6">
      <w:pPr>
        <w:topLinePunct/>
        <w:adjustRightInd w:val="0"/>
        <w:snapToGrid w:val="0"/>
        <w:spacing w:line="360" w:lineRule="auto"/>
        <w:ind w:firstLine="616" w:firstLineChars="200"/>
        <w:jc w:val="left"/>
        <w:rPr>
          <w:snapToGrid w:val="0"/>
          <w:color w:val="auto"/>
          <w:spacing w:val="4"/>
          <w:kern w:val="0"/>
          <w:sz w:val="30"/>
          <w:szCs w:val="30"/>
          <w:highlight w:val="none"/>
        </w:rPr>
      </w:pPr>
    </w:p>
    <w:p w14:paraId="36BAC4B9">
      <w:pPr>
        <w:topLinePunct/>
        <w:adjustRightInd w:val="0"/>
        <w:snapToGrid w:val="0"/>
        <w:spacing w:line="360" w:lineRule="auto"/>
        <w:ind w:firstLine="616" w:firstLineChars="200"/>
        <w:jc w:val="left"/>
        <w:rPr>
          <w:snapToGrid w:val="0"/>
          <w:color w:val="auto"/>
          <w:spacing w:val="4"/>
          <w:kern w:val="0"/>
          <w:sz w:val="24"/>
          <w:szCs w:val="24"/>
          <w:highlight w:val="none"/>
        </w:rPr>
      </w:pPr>
      <w:r>
        <w:rPr>
          <w:rFonts w:hint="eastAsia"/>
          <w:snapToGrid w:val="0"/>
          <w:color w:val="auto"/>
          <w:spacing w:val="4"/>
          <w:kern w:val="0"/>
          <w:sz w:val="30"/>
          <w:szCs w:val="30"/>
          <w:highlight w:val="none"/>
        </w:rPr>
        <w:t>日  期：</w:t>
      </w:r>
      <w:r>
        <w:rPr>
          <w:rFonts w:hint="eastAsia"/>
          <w:snapToGrid w:val="0"/>
          <w:color w:val="auto"/>
          <w:spacing w:val="4"/>
          <w:kern w:val="0"/>
          <w:sz w:val="30"/>
          <w:szCs w:val="30"/>
          <w:highlight w:val="none"/>
          <w:u w:val="single"/>
        </w:rPr>
        <w:t xml:space="preserve">                                            </w:t>
      </w:r>
    </w:p>
    <w:p w14:paraId="7B89115C">
      <w:pPr>
        <w:rPr>
          <w:color w:val="auto"/>
          <w:sz w:val="24"/>
          <w:szCs w:val="24"/>
          <w:highlight w:val="none"/>
        </w:rPr>
      </w:pPr>
    </w:p>
    <w:p w14:paraId="65BC369C">
      <w:pPr>
        <w:rPr>
          <w:rFonts w:hint="eastAsia" w:ascii="宋体" w:hAnsi="宋体" w:cs="宋体"/>
          <w:color w:val="auto"/>
          <w:spacing w:val="4"/>
          <w:kern w:val="0"/>
          <w:sz w:val="24"/>
          <w:szCs w:val="24"/>
          <w:highlight w:val="none"/>
        </w:rPr>
      </w:pPr>
      <w:r>
        <w:rPr>
          <w:color w:val="auto"/>
          <w:sz w:val="24"/>
          <w:szCs w:val="24"/>
          <w:highlight w:val="none"/>
        </w:rPr>
        <w:br w:type="page"/>
      </w:r>
      <w:r>
        <w:rPr>
          <w:rFonts w:hint="eastAsia" w:ascii="宋体" w:hAnsi="宋体" w:cs="宋体"/>
          <w:color w:val="auto"/>
          <w:spacing w:val="4"/>
          <w:kern w:val="0"/>
          <w:sz w:val="24"/>
          <w:szCs w:val="24"/>
          <w:highlight w:val="none"/>
        </w:rPr>
        <w:t>格式一-1：目录</w:t>
      </w:r>
    </w:p>
    <w:p w14:paraId="5CFB2322">
      <w:pPr>
        <w:autoSpaceDE w:val="0"/>
        <w:autoSpaceDN w:val="0"/>
        <w:adjustRightInd w:val="0"/>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目录</w:t>
      </w:r>
    </w:p>
    <w:p w14:paraId="7FBFC545">
      <w:pPr>
        <w:tabs>
          <w:tab w:val="left" w:pos="720"/>
        </w:tabs>
        <w:snapToGrid w:val="0"/>
        <w:spacing w:line="360" w:lineRule="auto"/>
        <w:jc w:val="center"/>
        <w:rPr>
          <w:rFonts w:hint="eastAsia" w:ascii="宋体" w:hAnsi="宋体" w:cs="宋体"/>
          <w:color w:val="auto"/>
          <w:sz w:val="24"/>
          <w:szCs w:val="24"/>
          <w:highlight w:val="none"/>
        </w:rPr>
      </w:pPr>
    </w:p>
    <w:p w14:paraId="58B37449">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（格式自拟，需标明页码）</w:t>
      </w:r>
    </w:p>
    <w:p w14:paraId="2FDAAC76">
      <w:pPr>
        <w:pStyle w:val="38"/>
        <w:ind w:left="0" w:leftChars="0"/>
        <w:rPr>
          <w:rFonts w:hint="eastAsia" w:ascii="宋体" w:hAnsi="宋体" w:cs="宋体"/>
          <w:color w:val="auto"/>
          <w:szCs w:val="20"/>
          <w:highlight w:val="none"/>
        </w:rPr>
      </w:pPr>
    </w:p>
    <w:p w14:paraId="154E2C32">
      <w:pPr>
        <w:tabs>
          <w:tab w:val="left" w:pos="720"/>
        </w:tabs>
        <w:snapToGrid w:val="0"/>
        <w:spacing w:line="360" w:lineRule="auto"/>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注：本目录不作为技术标有效性审查的否决性审查内容。</w:t>
      </w:r>
    </w:p>
    <w:p w14:paraId="19290BD7">
      <w:pPr>
        <w:rPr>
          <w:color w:val="auto"/>
          <w:sz w:val="24"/>
          <w:szCs w:val="24"/>
          <w:highlight w:val="none"/>
        </w:rPr>
      </w:pPr>
    </w:p>
    <w:p w14:paraId="34D7548C">
      <w:pPr>
        <w:widowControl/>
        <w:spacing w:before="100" w:beforeAutospacing="1" w:after="100" w:afterAutospacing="1"/>
        <w:jc w:val="left"/>
        <w:outlineLvl w:val="2"/>
        <w:rPr>
          <w:b/>
          <w:color w:val="auto"/>
          <w:kern w:val="0"/>
          <w:sz w:val="24"/>
          <w:szCs w:val="24"/>
          <w:highlight w:val="none"/>
        </w:rPr>
      </w:pPr>
      <w:r>
        <w:rPr>
          <w:b/>
          <w:color w:val="auto"/>
          <w:kern w:val="44"/>
          <w:sz w:val="24"/>
          <w:szCs w:val="24"/>
          <w:highlight w:val="none"/>
        </w:rPr>
        <w:br w:type="page"/>
      </w:r>
      <w:bookmarkStart w:id="45" w:name="_Toc26285"/>
      <w:r>
        <w:rPr>
          <w:rFonts w:hint="eastAsia"/>
          <w:b/>
          <w:color w:val="auto"/>
          <w:kern w:val="0"/>
          <w:sz w:val="24"/>
          <w:szCs w:val="24"/>
          <w:highlight w:val="none"/>
        </w:rPr>
        <w:t>格式二：广州建设工程施工招标投标书</w:t>
      </w:r>
      <w:bookmarkEnd w:id="45"/>
    </w:p>
    <w:p w14:paraId="5ABDB7CC">
      <w:pPr>
        <w:autoSpaceDE w:val="0"/>
        <w:autoSpaceDN w:val="0"/>
        <w:adjustRightInd w:val="0"/>
        <w:spacing w:line="360" w:lineRule="auto"/>
        <w:jc w:val="center"/>
        <w:rPr>
          <w:b/>
          <w:bCs/>
          <w:color w:val="auto"/>
          <w:sz w:val="30"/>
          <w:szCs w:val="30"/>
          <w:highlight w:val="none"/>
        </w:rPr>
      </w:pPr>
      <w:r>
        <w:rPr>
          <w:rFonts w:hint="eastAsia" w:cs="宋体"/>
          <w:b/>
          <w:bCs/>
          <w:color w:val="auto"/>
          <w:sz w:val="30"/>
          <w:szCs w:val="30"/>
          <w:highlight w:val="none"/>
          <w:lang w:val="zh-CN"/>
        </w:rPr>
        <w:t>广州建设工程施工招标投标书</w:t>
      </w:r>
    </w:p>
    <w:tbl>
      <w:tblPr>
        <w:tblStyle w:val="4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64"/>
        <w:gridCol w:w="3796"/>
      </w:tblGrid>
      <w:tr w14:paraId="3393F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76A581B2">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lang w:val="zh-CN"/>
              </w:rPr>
              <w:t>工</w:t>
            </w:r>
            <w:r>
              <w:rPr>
                <w:rFonts w:cs="宋体"/>
                <w:b/>
                <w:color w:val="auto"/>
                <w:sz w:val="24"/>
                <w:szCs w:val="24"/>
                <w:highlight w:val="none"/>
                <w:lang w:val="zh-CN"/>
              </w:rPr>
              <w:t xml:space="preserve"> </w:t>
            </w:r>
            <w:r>
              <w:rPr>
                <w:rFonts w:hint="eastAsia" w:cs="宋体"/>
                <w:b/>
                <w:color w:val="auto"/>
                <w:sz w:val="24"/>
                <w:szCs w:val="24"/>
                <w:highlight w:val="none"/>
                <w:lang w:val="zh-CN"/>
              </w:rPr>
              <w:t>程</w:t>
            </w:r>
            <w:r>
              <w:rPr>
                <w:rFonts w:cs="宋体"/>
                <w:b/>
                <w:color w:val="auto"/>
                <w:sz w:val="24"/>
                <w:szCs w:val="24"/>
                <w:highlight w:val="none"/>
                <w:lang w:val="zh-CN"/>
              </w:rPr>
              <w:t xml:space="preserve"> </w:t>
            </w:r>
            <w:r>
              <w:rPr>
                <w:rFonts w:hint="eastAsia" w:cs="宋体"/>
                <w:b/>
                <w:color w:val="auto"/>
                <w:sz w:val="24"/>
                <w:szCs w:val="24"/>
                <w:highlight w:val="none"/>
                <w:lang w:val="zh-CN"/>
              </w:rPr>
              <w:t>名</w:t>
            </w:r>
            <w:r>
              <w:rPr>
                <w:rFonts w:cs="宋体"/>
                <w:b/>
                <w:color w:val="auto"/>
                <w:sz w:val="24"/>
                <w:szCs w:val="24"/>
                <w:highlight w:val="none"/>
                <w:lang w:val="zh-CN"/>
              </w:rPr>
              <w:t xml:space="preserve"> </w:t>
            </w:r>
            <w:r>
              <w:rPr>
                <w:rFonts w:hint="eastAsia" w:cs="宋体"/>
                <w:b/>
                <w:color w:val="auto"/>
                <w:sz w:val="24"/>
                <w:szCs w:val="24"/>
                <w:highlight w:val="none"/>
                <w:lang w:val="zh-CN"/>
              </w:rPr>
              <w:t>称</w:t>
            </w:r>
          </w:p>
        </w:tc>
        <w:tc>
          <w:tcPr>
            <w:tcW w:w="1905" w:type="pct"/>
            <w:tcBorders>
              <w:top w:val="single" w:color="auto" w:sz="4" w:space="0"/>
              <w:left w:val="single" w:color="auto" w:sz="4" w:space="0"/>
              <w:bottom w:val="single" w:color="auto" w:sz="4" w:space="0"/>
              <w:right w:val="single" w:color="auto" w:sz="4" w:space="0"/>
            </w:tcBorders>
          </w:tcPr>
          <w:p w14:paraId="0692C196">
            <w:pPr>
              <w:autoSpaceDE w:val="0"/>
              <w:autoSpaceDN w:val="0"/>
              <w:adjustRightInd w:val="0"/>
              <w:rPr>
                <w:rFonts w:cs="宋体"/>
                <w:b/>
                <w:bCs/>
                <w:color w:val="auto"/>
                <w:sz w:val="24"/>
                <w:szCs w:val="24"/>
                <w:highlight w:val="none"/>
                <w:lang w:val="zh-CN"/>
              </w:rPr>
            </w:pPr>
          </w:p>
        </w:tc>
      </w:tr>
      <w:tr w14:paraId="314CB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6EA38EAF">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lang w:val="zh-CN"/>
              </w:rPr>
              <w:t>投标总报价（元）</w:t>
            </w:r>
          </w:p>
        </w:tc>
        <w:tc>
          <w:tcPr>
            <w:tcW w:w="1905" w:type="pct"/>
            <w:tcBorders>
              <w:top w:val="single" w:color="auto" w:sz="4" w:space="0"/>
              <w:left w:val="single" w:color="auto" w:sz="4" w:space="0"/>
              <w:bottom w:val="single" w:color="auto" w:sz="4" w:space="0"/>
              <w:right w:val="single" w:color="auto" w:sz="4" w:space="0"/>
            </w:tcBorders>
            <w:vAlign w:val="center"/>
          </w:tcPr>
          <w:p w14:paraId="325040C6">
            <w:pPr>
              <w:autoSpaceDE w:val="0"/>
              <w:autoSpaceDN w:val="0"/>
              <w:adjustRightInd w:val="0"/>
              <w:rPr>
                <w:rFonts w:cs="宋体"/>
                <w:b/>
                <w:bCs/>
                <w:color w:val="auto"/>
                <w:sz w:val="24"/>
                <w:szCs w:val="24"/>
                <w:highlight w:val="none"/>
                <w:lang w:val="zh-CN"/>
              </w:rPr>
            </w:pPr>
          </w:p>
        </w:tc>
      </w:tr>
      <w:tr w14:paraId="2786B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46DE5FEE">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lang w:val="zh-CN"/>
              </w:rPr>
              <w:t>其中：</w:t>
            </w:r>
            <w:r>
              <w:rPr>
                <w:rFonts w:hint="eastAsia" w:cs="宋体"/>
                <w:b/>
                <w:bCs/>
                <w:color w:val="auto"/>
                <w:sz w:val="24"/>
                <w:szCs w:val="24"/>
                <w:highlight w:val="none"/>
                <w:lang w:val="zh-CN"/>
              </w:rPr>
              <w:t>人工费</w:t>
            </w:r>
            <w:r>
              <w:rPr>
                <w:rFonts w:hint="eastAsia" w:cs="宋体"/>
                <w:b/>
                <w:color w:val="auto"/>
                <w:sz w:val="24"/>
                <w:szCs w:val="24"/>
                <w:highlight w:val="none"/>
                <w:lang w:val="zh-CN"/>
              </w:rPr>
              <w:t>（元）</w:t>
            </w:r>
          </w:p>
        </w:tc>
        <w:tc>
          <w:tcPr>
            <w:tcW w:w="1905" w:type="pct"/>
            <w:tcBorders>
              <w:top w:val="single" w:color="auto" w:sz="4" w:space="0"/>
              <w:left w:val="single" w:color="auto" w:sz="4" w:space="0"/>
              <w:bottom w:val="single" w:color="auto" w:sz="4" w:space="0"/>
              <w:right w:val="single" w:color="auto" w:sz="4" w:space="0"/>
            </w:tcBorders>
            <w:vAlign w:val="center"/>
          </w:tcPr>
          <w:p w14:paraId="5D3A113A">
            <w:pPr>
              <w:autoSpaceDE w:val="0"/>
              <w:autoSpaceDN w:val="0"/>
              <w:adjustRightInd w:val="0"/>
              <w:rPr>
                <w:rFonts w:cs="宋体"/>
                <w:b/>
                <w:bCs/>
                <w:color w:val="auto"/>
                <w:sz w:val="24"/>
                <w:szCs w:val="24"/>
                <w:highlight w:val="none"/>
                <w:lang w:val="zh-CN"/>
              </w:rPr>
            </w:pPr>
          </w:p>
        </w:tc>
      </w:tr>
      <w:tr w14:paraId="7D480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0B699263">
            <w:pPr>
              <w:widowControl/>
              <w:jc w:val="center"/>
              <w:rPr>
                <w:rFonts w:cs="宋体"/>
                <w:b/>
                <w:bCs/>
                <w:color w:val="auto"/>
                <w:sz w:val="24"/>
                <w:szCs w:val="24"/>
                <w:highlight w:val="none"/>
                <w:lang w:val="zh-CN"/>
              </w:rPr>
            </w:pPr>
            <w:r>
              <w:rPr>
                <w:rFonts w:hint="eastAsia" w:cs="宋体"/>
                <w:b/>
                <w:bCs/>
                <w:color w:val="auto"/>
                <w:sz w:val="24"/>
                <w:szCs w:val="24"/>
                <w:highlight w:val="none"/>
                <w:lang w:val="zh-CN"/>
              </w:rPr>
              <w:t>其中：</w:t>
            </w:r>
            <w:r>
              <w:rPr>
                <w:rFonts w:hint="eastAsia" w:cs="宋体"/>
                <w:b/>
                <w:color w:val="auto"/>
                <w:sz w:val="24"/>
                <w:szCs w:val="24"/>
                <w:highlight w:val="none"/>
                <w:lang w:val="zh-CN"/>
              </w:rPr>
              <w:t>绿色施工安全防护措施费（元）</w:t>
            </w:r>
          </w:p>
        </w:tc>
        <w:tc>
          <w:tcPr>
            <w:tcW w:w="1905" w:type="pct"/>
            <w:tcBorders>
              <w:top w:val="single" w:color="auto" w:sz="4" w:space="0"/>
              <w:left w:val="single" w:color="auto" w:sz="4" w:space="0"/>
              <w:bottom w:val="single" w:color="auto" w:sz="4" w:space="0"/>
              <w:right w:val="single" w:color="auto" w:sz="4" w:space="0"/>
            </w:tcBorders>
            <w:vAlign w:val="center"/>
          </w:tcPr>
          <w:p w14:paraId="40A81C2F">
            <w:pPr>
              <w:autoSpaceDE w:val="0"/>
              <w:autoSpaceDN w:val="0"/>
              <w:adjustRightInd w:val="0"/>
              <w:rPr>
                <w:rFonts w:cs="宋体"/>
                <w:b/>
                <w:bCs/>
                <w:color w:val="auto"/>
                <w:sz w:val="24"/>
                <w:szCs w:val="24"/>
                <w:highlight w:val="none"/>
                <w:lang w:val="zh-CN"/>
              </w:rPr>
            </w:pPr>
          </w:p>
        </w:tc>
      </w:tr>
      <w:tr w14:paraId="1614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619502B1">
            <w:pPr>
              <w:jc w:val="center"/>
              <w:rPr>
                <w:rFonts w:cs="宋体"/>
                <w:b/>
                <w:color w:val="auto"/>
                <w:sz w:val="24"/>
                <w:szCs w:val="24"/>
                <w:highlight w:val="none"/>
                <w:lang w:val="zh-CN"/>
              </w:rPr>
            </w:pPr>
            <w:r>
              <w:rPr>
                <w:rFonts w:hint="eastAsia" w:cs="宋体"/>
                <w:b/>
                <w:color w:val="auto"/>
                <w:sz w:val="24"/>
                <w:szCs w:val="24"/>
                <w:highlight w:val="none"/>
                <w:lang w:val="zh-CN"/>
              </w:rPr>
              <w:t>投标总工期</w:t>
            </w:r>
          </w:p>
        </w:tc>
        <w:tc>
          <w:tcPr>
            <w:tcW w:w="1905" w:type="pct"/>
            <w:tcBorders>
              <w:top w:val="single" w:color="auto" w:sz="4" w:space="0"/>
              <w:left w:val="single" w:color="auto" w:sz="4" w:space="0"/>
              <w:bottom w:val="single" w:color="auto" w:sz="4" w:space="0"/>
              <w:right w:val="single" w:color="auto" w:sz="4" w:space="0"/>
            </w:tcBorders>
          </w:tcPr>
          <w:p w14:paraId="47528E34">
            <w:pPr>
              <w:autoSpaceDE w:val="0"/>
              <w:autoSpaceDN w:val="0"/>
              <w:adjustRightInd w:val="0"/>
              <w:rPr>
                <w:rFonts w:cs="宋体"/>
                <w:b/>
                <w:bCs/>
                <w:color w:val="auto"/>
                <w:sz w:val="24"/>
                <w:szCs w:val="24"/>
                <w:highlight w:val="none"/>
                <w:lang w:val="zh-CN"/>
              </w:rPr>
            </w:pPr>
          </w:p>
        </w:tc>
      </w:tr>
      <w:tr w14:paraId="033A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0E549FF1">
            <w:pPr>
              <w:jc w:val="center"/>
              <w:rPr>
                <w:b/>
                <w:color w:val="auto"/>
                <w:sz w:val="24"/>
                <w:szCs w:val="24"/>
                <w:highlight w:val="none"/>
              </w:rPr>
            </w:pPr>
            <w:r>
              <w:rPr>
                <w:rFonts w:hint="eastAsia" w:cs="宋体"/>
                <w:b/>
                <w:color w:val="auto"/>
                <w:sz w:val="24"/>
                <w:szCs w:val="24"/>
                <w:highlight w:val="none"/>
                <w:lang w:val="zh-CN"/>
              </w:rPr>
              <w:t>工程质量标准</w:t>
            </w:r>
          </w:p>
        </w:tc>
        <w:tc>
          <w:tcPr>
            <w:tcW w:w="1905" w:type="pct"/>
            <w:tcBorders>
              <w:top w:val="single" w:color="auto" w:sz="4" w:space="0"/>
              <w:left w:val="single" w:color="auto" w:sz="4" w:space="0"/>
              <w:bottom w:val="single" w:color="auto" w:sz="4" w:space="0"/>
              <w:right w:val="single" w:color="auto" w:sz="4" w:space="0"/>
            </w:tcBorders>
          </w:tcPr>
          <w:p w14:paraId="38B57581">
            <w:pPr>
              <w:autoSpaceDE w:val="0"/>
              <w:autoSpaceDN w:val="0"/>
              <w:adjustRightInd w:val="0"/>
              <w:rPr>
                <w:rFonts w:cs="宋体"/>
                <w:b/>
                <w:bCs/>
                <w:color w:val="auto"/>
                <w:sz w:val="24"/>
                <w:szCs w:val="24"/>
                <w:highlight w:val="none"/>
                <w:lang w:val="zh-CN"/>
              </w:rPr>
            </w:pPr>
          </w:p>
        </w:tc>
      </w:tr>
      <w:tr w14:paraId="1100E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3094" w:type="pct"/>
            <w:tcBorders>
              <w:top w:val="single" w:color="auto" w:sz="4" w:space="0"/>
              <w:left w:val="single" w:color="auto" w:sz="4" w:space="0"/>
              <w:bottom w:val="single" w:color="auto" w:sz="4" w:space="0"/>
              <w:right w:val="single" w:color="auto" w:sz="4" w:space="0"/>
            </w:tcBorders>
            <w:vAlign w:val="center"/>
          </w:tcPr>
          <w:p w14:paraId="2B472498">
            <w:pPr>
              <w:autoSpaceDE w:val="0"/>
              <w:autoSpaceDN w:val="0"/>
              <w:adjustRightInd w:val="0"/>
              <w:jc w:val="center"/>
              <w:rPr>
                <w:rFonts w:cs="宋体"/>
                <w:b/>
                <w:bCs/>
                <w:color w:val="auto"/>
                <w:sz w:val="24"/>
                <w:szCs w:val="24"/>
                <w:highlight w:val="none"/>
                <w:lang w:val="zh-CN"/>
              </w:rPr>
            </w:pPr>
            <w:r>
              <w:rPr>
                <w:rFonts w:hint="eastAsia" w:cs="宋体"/>
                <w:b/>
                <w:color w:val="auto"/>
                <w:sz w:val="24"/>
                <w:szCs w:val="24"/>
                <w:highlight w:val="none"/>
                <w:lang w:val="zh-CN"/>
              </w:rPr>
              <w:t>保</w:t>
            </w:r>
            <w:r>
              <w:rPr>
                <w:rFonts w:cs="宋体"/>
                <w:b/>
                <w:color w:val="auto"/>
                <w:sz w:val="24"/>
                <w:szCs w:val="24"/>
                <w:highlight w:val="none"/>
                <w:lang w:val="zh-CN"/>
              </w:rPr>
              <w:t xml:space="preserve"> </w:t>
            </w:r>
            <w:r>
              <w:rPr>
                <w:rFonts w:hint="eastAsia" w:cs="宋体"/>
                <w:b/>
                <w:color w:val="auto"/>
                <w:sz w:val="24"/>
                <w:szCs w:val="24"/>
                <w:highlight w:val="none"/>
                <w:lang w:val="zh-CN"/>
              </w:rPr>
              <w:t>修</w:t>
            </w:r>
            <w:r>
              <w:rPr>
                <w:rFonts w:cs="宋体"/>
                <w:b/>
                <w:color w:val="auto"/>
                <w:sz w:val="24"/>
                <w:szCs w:val="24"/>
                <w:highlight w:val="none"/>
                <w:lang w:val="zh-CN"/>
              </w:rPr>
              <w:t xml:space="preserve"> </w:t>
            </w:r>
            <w:r>
              <w:rPr>
                <w:rFonts w:hint="eastAsia" w:cs="宋体"/>
                <w:b/>
                <w:color w:val="auto"/>
                <w:sz w:val="24"/>
                <w:szCs w:val="24"/>
                <w:highlight w:val="none"/>
                <w:lang w:val="zh-CN"/>
              </w:rPr>
              <w:t>期</w:t>
            </w:r>
            <w:r>
              <w:rPr>
                <w:rFonts w:cs="宋体"/>
                <w:b/>
                <w:color w:val="auto"/>
                <w:sz w:val="24"/>
                <w:szCs w:val="24"/>
                <w:highlight w:val="none"/>
                <w:lang w:val="zh-CN"/>
              </w:rPr>
              <w:t xml:space="preserve"> </w:t>
            </w:r>
            <w:r>
              <w:rPr>
                <w:rFonts w:hint="eastAsia" w:cs="宋体"/>
                <w:b/>
                <w:color w:val="auto"/>
                <w:sz w:val="24"/>
                <w:szCs w:val="24"/>
                <w:highlight w:val="none"/>
                <w:lang w:val="zh-CN"/>
              </w:rPr>
              <w:t>限</w:t>
            </w:r>
          </w:p>
        </w:tc>
        <w:tc>
          <w:tcPr>
            <w:tcW w:w="1905" w:type="pct"/>
            <w:tcBorders>
              <w:top w:val="single" w:color="auto" w:sz="4" w:space="0"/>
              <w:left w:val="single" w:color="auto" w:sz="4" w:space="0"/>
              <w:bottom w:val="single" w:color="auto" w:sz="4" w:space="0"/>
              <w:right w:val="single" w:color="auto" w:sz="4" w:space="0"/>
            </w:tcBorders>
          </w:tcPr>
          <w:p w14:paraId="035281BB">
            <w:pPr>
              <w:autoSpaceDE w:val="0"/>
              <w:autoSpaceDN w:val="0"/>
              <w:adjustRightInd w:val="0"/>
              <w:rPr>
                <w:rFonts w:cs="宋体"/>
                <w:b/>
                <w:bCs/>
                <w:color w:val="auto"/>
                <w:sz w:val="24"/>
                <w:szCs w:val="24"/>
                <w:highlight w:val="none"/>
                <w:lang w:val="zh-CN"/>
              </w:rPr>
            </w:pPr>
          </w:p>
        </w:tc>
      </w:tr>
    </w:tbl>
    <w:p w14:paraId="1ACB24C7">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注：</w:t>
      </w:r>
    </w:p>
    <w:p w14:paraId="70C62A36">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1、此表投标总工期需以投标人投标文件工期计划中承诺的工期填写。</w:t>
      </w:r>
    </w:p>
    <w:p w14:paraId="5F09C7B5">
      <w:pP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2、因本项目工期紧张，投标人须根据总工期要求，结合自身的工程进度管理经验，采取足够措施，确保项目在承诺的工期内完成。</w:t>
      </w:r>
    </w:p>
    <w:p w14:paraId="6A6DAA49">
      <w:pPr>
        <w:rPr>
          <w:b/>
          <w:color w:val="auto"/>
          <w:kern w:val="0"/>
          <w:sz w:val="24"/>
          <w:szCs w:val="24"/>
          <w:highlight w:val="none"/>
        </w:rPr>
      </w:pPr>
      <w:r>
        <w:rPr>
          <w:rFonts w:hint="eastAsia"/>
          <w:b/>
          <w:color w:val="auto"/>
          <w:kern w:val="0"/>
          <w:sz w:val="24"/>
          <w:szCs w:val="24"/>
          <w:highlight w:val="none"/>
        </w:rPr>
        <w:br w:type="page"/>
      </w:r>
      <w:bookmarkStart w:id="46" w:name="_Toc25907"/>
      <w:r>
        <w:rPr>
          <w:rFonts w:hint="eastAsia"/>
          <w:b/>
          <w:color w:val="auto"/>
          <w:kern w:val="0"/>
          <w:sz w:val="24"/>
          <w:szCs w:val="24"/>
          <w:highlight w:val="none"/>
        </w:rPr>
        <w:t>格式三：法定代表人证明书、授权委托书</w:t>
      </w:r>
      <w:bookmarkEnd w:id="46"/>
    </w:p>
    <w:p w14:paraId="42B6BD96">
      <w:pPr>
        <w:rPr>
          <w:rFonts w:hint="eastAsia" w:ascii="宋体" w:hAnsi="宋体" w:cs="宋体"/>
          <w:b/>
          <w:color w:val="auto"/>
          <w:sz w:val="24"/>
          <w:szCs w:val="24"/>
          <w:highlight w:val="none"/>
        </w:rPr>
      </w:pPr>
    </w:p>
    <w:p w14:paraId="0412BEC2">
      <w:pPr>
        <w:jc w:val="cente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法定代表人证明书、授权委托书</w:t>
      </w:r>
    </w:p>
    <w:p w14:paraId="49F44C73">
      <w:pPr>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（1）法定代表人证明书</w:t>
      </w:r>
    </w:p>
    <w:p w14:paraId="63913C24">
      <w:pPr>
        <w:topLinePunct/>
        <w:adjustRightInd w:val="0"/>
        <w:snapToGrid w:val="0"/>
        <w:spacing w:line="360" w:lineRule="auto"/>
        <w:jc w:val="righ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）第　号</w:t>
      </w:r>
    </w:p>
    <w:p w14:paraId="444C74AF">
      <w:pPr>
        <w:topLinePunct/>
        <w:adjustRightInd w:val="0"/>
        <w:snapToGrid w:val="0"/>
        <w:spacing w:line="360" w:lineRule="auto"/>
        <w:ind w:firstLine="420" w:firstLineChars="200"/>
        <w:rPr>
          <w:rFonts w:hint="eastAsia" w:ascii="宋体" w:hAnsi="宋体" w:cs="宋体"/>
          <w:color w:val="auto"/>
          <w:spacing w:val="4"/>
          <w:kern w:val="0"/>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76200</wp:posOffset>
                </wp:positionH>
                <wp:positionV relativeFrom="paragraph">
                  <wp:posOffset>41275</wp:posOffset>
                </wp:positionV>
                <wp:extent cx="5716905" cy="2773680"/>
                <wp:effectExtent l="4445" t="5080" r="12700" b="2159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5716905" cy="2773680"/>
                        </a:xfrm>
                        <a:prstGeom prst="rect">
                          <a:avLst/>
                        </a:prstGeom>
                        <a:solidFill>
                          <a:srgbClr val="FFFFFF"/>
                        </a:solidFill>
                        <a:ln w="9525">
                          <a:solidFill>
                            <a:srgbClr val="000000"/>
                          </a:solidFill>
                          <a:miter lim="800000"/>
                        </a:ln>
                        <a:effectLst/>
                      </wps:spPr>
                      <wps:txbx>
                        <w:txbxContent>
                          <w:p w14:paraId="4505FB06">
                            <w:pPr>
                              <w:pStyle w:val="56"/>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7A8DDD26">
                            <w:pPr>
                              <w:pStyle w:val="56"/>
                              <w:spacing w:line="240" w:lineRule="auto"/>
                              <w:ind w:firstLine="0" w:firstLineChars="0"/>
                              <w:rPr>
                                <w:rFonts w:hint="eastAsia" w:ascii="宋体" w:hAnsi="宋体" w:cs="宋体"/>
                                <w:szCs w:val="28"/>
                              </w:rPr>
                            </w:pPr>
                            <w:r>
                              <w:rPr>
                                <w:rFonts w:hint="eastAsia" w:ascii="宋体" w:hAnsi="宋体" w:cs="宋体"/>
                                <w:szCs w:val="28"/>
                              </w:rPr>
                              <w:t>特此证明。</w:t>
                            </w:r>
                          </w:p>
                          <w:p w14:paraId="4273FFE7">
                            <w:pPr>
                              <w:pStyle w:val="56"/>
                              <w:spacing w:line="240" w:lineRule="auto"/>
                              <w:ind w:firstLine="0" w:firstLineChars="0"/>
                              <w:rPr>
                                <w:rFonts w:hint="eastAsia"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581E90AD">
                            <w:pPr>
                              <w:pStyle w:val="56"/>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5B86B3FE">
                            <w:pPr>
                              <w:pStyle w:val="56"/>
                              <w:spacing w:line="240" w:lineRule="auto"/>
                              <w:ind w:firstLine="0" w:firstLineChars="0"/>
                              <w:rPr>
                                <w:rFonts w:hint="eastAsia"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5FA2B8D4">
                            <w:pPr>
                              <w:pStyle w:val="56"/>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3F9A9AE3">
                            <w:pPr>
                              <w:pStyle w:val="56"/>
                              <w:ind w:firstLine="0" w:firstLineChars="0"/>
                              <w:rPr>
                                <w:rFonts w:hint="eastAsia" w:ascii="宋体" w:hAnsi="宋体" w:cs="宋体"/>
                                <w:szCs w:val="28"/>
                              </w:rPr>
                            </w:pPr>
                            <w:r>
                              <w:rPr>
                                <w:rFonts w:hint="eastAsia" w:ascii="宋体" w:hAnsi="宋体" w:cs="宋体"/>
                                <w:szCs w:val="28"/>
                              </w:rPr>
                              <w:t>　　　　　　　　　　           单位：　　　　　　　　　　　（盖章）</w:t>
                            </w:r>
                          </w:p>
                          <w:p w14:paraId="49EDF4CE">
                            <w:pPr>
                              <w:pStyle w:val="56"/>
                              <w:ind w:firstLine="0" w:firstLineChars="0"/>
                              <w:rPr>
                                <w:rFonts w:hint="eastAsia" w:ascii="宋体" w:hAnsi="宋体" w:cs="宋体"/>
                                <w:szCs w:val="28"/>
                              </w:rPr>
                            </w:pPr>
                            <w:r>
                              <w:rPr>
                                <w:rFonts w:hint="eastAsia" w:ascii="宋体" w:hAnsi="宋体" w:cs="宋体"/>
                                <w:szCs w:val="28"/>
                              </w:rPr>
                              <w:t>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pt;margin-top:3.25pt;height:218.4pt;width:450.15pt;z-index:251660288;mso-width-relative:page;mso-height-relative:page;" fillcolor="#FFFFFF" filled="t" stroked="t" coordsize="21600,21600" o:gfxdata="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ITCfNcAAAAIAQAADwAAAAAAAAAB&#10;ACAAAAAiAAAAZHJzL2Rvd25yZXYueG1sUEsBAhQAFAAAAAgAh07iQFrlzP1KAgAAlgQAAA4AAAAA&#10;AAAAAQAgAAAAJgEAAGRycy9lMm9Eb2MueG1sUEsFBgAAAAAGAAYAWQEAAOIFAAAAAA==&#10;">
                <v:fill on="t" focussize="0,0"/>
                <v:stroke color="#000000" miterlimit="8" joinstyle="miter"/>
                <v:imagedata o:title=""/>
                <o:lock v:ext="edit" aspectratio="f"/>
                <v:textbox>
                  <w:txbxContent>
                    <w:p w14:paraId="4505FB06">
                      <w:pPr>
                        <w:pStyle w:val="56"/>
                        <w:spacing w:line="240" w:lineRule="auto"/>
                        <w:ind w:firstLine="0" w:firstLineChars="0"/>
                        <w:rPr>
                          <w:rFonts w:hint="eastAsia" w:ascii="宋体" w:hAnsi="宋体" w:cs="宋体"/>
                          <w:szCs w:val="28"/>
                        </w:rPr>
                      </w:pPr>
                      <w:r>
                        <w:rPr>
                          <w:rFonts w:hint="eastAsia" w:ascii="宋体" w:hAnsi="宋体" w:cs="宋体"/>
                          <w:szCs w:val="28"/>
                        </w:rPr>
                        <w:t>　　</w:t>
                      </w:r>
                      <w:r>
                        <w:rPr>
                          <w:rFonts w:hint="eastAsia" w:ascii="宋体" w:hAnsi="宋体" w:cs="宋体"/>
                          <w:szCs w:val="28"/>
                          <w:u w:val="single"/>
                        </w:rPr>
                        <w:t>　　　　　　</w:t>
                      </w:r>
                      <w:r>
                        <w:rPr>
                          <w:rFonts w:hint="eastAsia" w:ascii="宋体" w:hAnsi="宋体" w:cs="宋体"/>
                          <w:szCs w:val="28"/>
                        </w:rPr>
                        <w:t>现任我单位</w:t>
                      </w:r>
                      <w:r>
                        <w:rPr>
                          <w:rFonts w:hint="eastAsia" w:ascii="宋体" w:hAnsi="宋体" w:cs="宋体"/>
                          <w:szCs w:val="28"/>
                          <w:u w:val="single"/>
                        </w:rPr>
                        <w:t>　　　　　</w:t>
                      </w:r>
                      <w:r>
                        <w:rPr>
                          <w:rFonts w:hint="eastAsia" w:ascii="宋体" w:hAnsi="宋体" w:cs="宋体"/>
                          <w:szCs w:val="28"/>
                        </w:rPr>
                        <w:t>职务，为法定代表人（负责人），</w:t>
                      </w:r>
                    </w:p>
                    <w:p w14:paraId="7A8DDD26">
                      <w:pPr>
                        <w:pStyle w:val="56"/>
                        <w:spacing w:line="240" w:lineRule="auto"/>
                        <w:ind w:firstLine="0" w:firstLineChars="0"/>
                        <w:rPr>
                          <w:rFonts w:hint="eastAsia" w:ascii="宋体" w:hAnsi="宋体" w:cs="宋体"/>
                          <w:szCs w:val="28"/>
                        </w:rPr>
                      </w:pPr>
                      <w:r>
                        <w:rPr>
                          <w:rFonts w:hint="eastAsia" w:ascii="宋体" w:hAnsi="宋体" w:cs="宋体"/>
                          <w:szCs w:val="28"/>
                        </w:rPr>
                        <w:t>特此证明。</w:t>
                      </w:r>
                    </w:p>
                    <w:p w14:paraId="4273FFE7">
                      <w:pPr>
                        <w:pStyle w:val="56"/>
                        <w:spacing w:line="240" w:lineRule="auto"/>
                        <w:ind w:firstLine="0" w:firstLineChars="0"/>
                        <w:rPr>
                          <w:rFonts w:hint="eastAsia" w:ascii="宋体" w:hAnsi="宋体" w:cs="宋体"/>
                          <w:szCs w:val="28"/>
                        </w:rPr>
                      </w:pPr>
                      <w:r>
                        <w:rPr>
                          <w:rFonts w:hint="eastAsia" w:ascii="宋体" w:hAnsi="宋体" w:cs="宋体"/>
                          <w:szCs w:val="28"/>
                        </w:rPr>
                        <w:t>有效期限：</w:t>
                      </w:r>
                      <w:r>
                        <w:rPr>
                          <w:rFonts w:hint="eastAsia" w:ascii="宋体" w:hAnsi="宋体" w:cs="宋体"/>
                          <w:szCs w:val="28"/>
                          <w:u w:val="single"/>
                        </w:rPr>
                        <w:t xml:space="preserve">                                  </w:t>
                      </w:r>
                    </w:p>
                    <w:p w14:paraId="581E90AD">
                      <w:pPr>
                        <w:pStyle w:val="56"/>
                        <w:spacing w:line="240" w:lineRule="auto"/>
                        <w:ind w:firstLine="0" w:firstLineChars="0"/>
                        <w:rPr>
                          <w:rFonts w:hint="eastAsia" w:ascii="宋体" w:hAnsi="宋体" w:cs="宋体"/>
                          <w:szCs w:val="28"/>
                        </w:rPr>
                      </w:pPr>
                      <w:r>
                        <w:rPr>
                          <w:rFonts w:hint="eastAsia" w:ascii="宋体" w:hAnsi="宋体" w:cs="宋体"/>
                          <w:szCs w:val="28"/>
                        </w:rPr>
                        <w:t>附：法定代表人（负责人）性别：</w:t>
                      </w:r>
                      <w:r>
                        <w:rPr>
                          <w:rFonts w:hint="eastAsia" w:ascii="宋体" w:hAnsi="宋体" w:cs="宋体"/>
                          <w:szCs w:val="28"/>
                          <w:u w:val="single"/>
                        </w:rPr>
                        <w:t>　　</w:t>
                      </w:r>
                      <w:r>
                        <w:rPr>
                          <w:rFonts w:hint="eastAsia" w:ascii="宋体" w:hAnsi="宋体" w:cs="宋体"/>
                          <w:szCs w:val="28"/>
                        </w:rPr>
                        <w:t>年龄：</w:t>
                      </w:r>
                      <w:r>
                        <w:rPr>
                          <w:rFonts w:hint="eastAsia" w:ascii="宋体" w:hAnsi="宋体" w:cs="宋体"/>
                          <w:szCs w:val="28"/>
                          <w:u w:val="single"/>
                        </w:rPr>
                        <w:t>　　</w:t>
                      </w:r>
                      <w:r>
                        <w:rPr>
                          <w:rFonts w:hint="eastAsia" w:ascii="宋体" w:hAnsi="宋体" w:cs="宋体"/>
                          <w:szCs w:val="28"/>
                        </w:rPr>
                        <w:t>身份证号码：</w:t>
                      </w:r>
                      <w:r>
                        <w:rPr>
                          <w:rFonts w:hint="eastAsia" w:ascii="宋体" w:hAnsi="宋体" w:cs="宋体"/>
                          <w:szCs w:val="28"/>
                          <w:u w:val="single"/>
                        </w:rPr>
                        <w:t xml:space="preserve">             </w:t>
                      </w:r>
                    </w:p>
                    <w:p w14:paraId="5B86B3FE">
                      <w:pPr>
                        <w:pStyle w:val="56"/>
                        <w:spacing w:line="240" w:lineRule="auto"/>
                        <w:ind w:firstLine="0" w:firstLineChars="0"/>
                        <w:rPr>
                          <w:rFonts w:hint="eastAsia" w:ascii="宋体" w:hAnsi="宋体" w:cs="宋体"/>
                          <w:szCs w:val="28"/>
                        </w:rPr>
                      </w:pPr>
                      <w:r>
                        <w:rPr>
                          <w:rFonts w:hint="eastAsia" w:ascii="宋体" w:hAnsi="宋体" w:cs="宋体"/>
                          <w:kern w:val="1"/>
                        </w:rPr>
                        <w:t>统一社会信用代码</w:t>
                      </w:r>
                      <w:r>
                        <w:rPr>
                          <w:rFonts w:hint="eastAsia" w:ascii="宋体" w:hAnsi="宋体" w:cs="宋体"/>
                          <w:szCs w:val="28"/>
                        </w:rPr>
                        <w:t>：</w:t>
                      </w:r>
                      <w:r>
                        <w:rPr>
                          <w:rFonts w:hint="eastAsia" w:ascii="宋体" w:hAnsi="宋体" w:cs="宋体"/>
                          <w:szCs w:val="28"/>
                          <w:u w:val="single"/>
                        </w:rPr>
                        <w:t>　　　　　　　　　　</w:t>
                      </w:r>
                      <w:r>
                        <w:rPr>
                          <w:rFonts w:hint="eastAsia" w:ascii="宋体" w:hAnsi="宋体" w:cs="宋体"/>
                          <w:szCs w:val="28"/>
                        </w:rPr>
                        <w:t>企业类型：</w:t>
                      </w:r>
                      <w:r>
                        <w:rPr>
                          <w:rFonts w:hint="eastAsia" w:ascii="宋体" w:hAnsi="宋体" w:cs="宋体"/>
                          <w:szCs w:val="28"/>
                          <w:u w:val="single"/>
                        </w:rPr>
                        <w:t xml:space="preserve">                          </w:t>
                      </w:r>
                    </w:p>
                    <w:p w14:paraId="5FA2B8D4">
                      <w:pPr>
                        <w:pStyle w:val="56"/>
                        <w:spacing w:line="240" w:lineRule="auto"/>
                        <w:ind w:firstLine="0" w:firstLineChars="0"/>
                        <w:rPr>
                          <w:rFonts w:hint="eastAsia" w:ascii="宋体" w:hAnsi="宋体" w:cs="宋体"/>
                          <w:szCs w:val="28"/>
                        </w:rPr>
                      </w:pPr>
                      <w:r>
                        <w:rPr>
                          <w:rFonts w:hint="eastAsia" w:ascii="宋体" w:hAnsi="宋体" w:cs="宋体"/>
                          <w:szCs w:val="28"/>
                        </w:rPr>
                        <w:t>经营范围：</w:t>
                      </w:r>
                      <w:r>
                        <w:rPr>
                          <w:rFonts w:hint="eastAsia" w:ascii="宋体" w:hAnsi="宋体" w:cs="宋体"/>
                          <w:szCs w:val="28"/>
                          <w:u w:val="single"/>
                        </w:rPr>
                        <w:t xml:space="preserve">                                       </w:t>
                      </w:r>
                    </w:p>
                    <w:p w14:paraId="3F9A9AE3">
                      <w:pPr>
                        <w:pStyle w:val="56"/>
                        <w:ind w:firstLine="0" w:firstLineChars="0"/>
                        <w:rPr>
                          <w:rFonts w:hint="eastAsia" w:ascii="宋体" w:hAnsi="宋体" w:cs="宋体"/>
                          <w:szCs w:val="28"/>
                        </w:rPr>
                      </w:pPr>
                      <w:r>
                        <w:rPr>
                          <w:rFonts w:hint="eastAsia" w:ascii="宋体" w:hAnsi="宋体" w:cs="宋体"/>
                          <w:szCs w:val="28"/>
                        </w:rPr>
                        <w:t>　　　　　　　　　　           单位：　　　　　　　　　　　（盖章）</w:t>
                      </w:r>
                    </w:p>
                    <w:p w14:paraId="49EDF4CE">
                      <w:pPr>
                        <w:pStyle w:val="56"/>
                        <w:ind w:firstLine="0" w:firstLineChars="0"/>
                        <w:rPr>
                          <w:rFonts w:hint="eastAsia" w:ascii="宋体" w:hAnsi="宋体" w:cs="宋体"/>
                          <w:szCs w:val="28"/>
                        </w:rPr>
                      </w:pPr>
                      <w:r>
                        <w:rPr>
                          <w:rFonts w:hint="eastAsia" w:ascii="宋体" w:hAnsi="宋体" w:cs="宋体"/>
                          <w:szCs w:val="28"/>
                        </w:rPr>
                        <w:t>　　　　　　                                           年  月  日</w:t>
                      </w:r>
                    </w:p>
                  </w:txbxContent>
                </v:textbox>
              </v:shape>
            </w:pict>
          </mc:Fallback>
        </mc:AlternateContent>
      </w:r>
    </w:p>
    <w:p w14:paraId="4224C6A8">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授权委</w:t>
      </w:r>
    </w:p>
    <w:p w14:paraId="58F2881A">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66DAAAEF">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托证明书</w:t>
      </w:r>
    </w:p>
    <w:p w14:paraId="2ABB5888">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）第　号</w:t>
      </w:r>
    </w:p>
    <w:p w14:paraId="6CF2D870">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注：按提供的该表格格式填写，或使用从工商管理部门购买的表格填写。</w:t>
      </w:r>
    </w:p>
    <w:p w14:paraId="479D9ABA">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73918A1">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2E50AB44">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（2）法定代表人授权委托书</w:t>
      </w:r>
    </w:p>
    <w:p w14:paraId="4B3F5CE7">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xml:space="preserve">                                                     </w:t>
      </w:r>
    </w:p>
    <w:p w14:paraId="351EEEAC">
      <w:pPr>
        <w:topLinePunct/>
        <w:adjustRightInd w:val="0"/>
        <w:snapToGrid w:val="0"/>
        <w:spacing w:line="360" w:lineRule="auto"/>
        <w:ind w:firstLine="496" w:firstLineChars="200"/>
        <w:jc w:val="lef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（2）法定代表人授权委托书</w:t>
      </w:r>
    </w:p>
    <w:p w14:paraId="6F05D72F">
      <w:pPr>
        <w:topLinePunct/>
        <w:adjustRightInd w:val="0"/>
        <w:snapToGrid w:val="0"/>
        <w:spacing w:line="360" w:lineRule="auto"/>
        <w:ind w:firstLine="496" w:firstLineChars="200"/>
        <w:jc w:val="right"/>
        <w:rPr>
          <w:rFonts w:hint="eastAsia" w:ascii="宋体" w:hAnsi="宋体" w:cs="宋体"/>
          <w:color w:val="auto"/>
          <w:spacing w:val="4"/>
          <w:kern w:val="0"/>
          <w:sz w:val="24"/>
          <w:szCs w:val="24"/>
          <w:highlight w:val="none"/>
        </w:rPr>
      </w:pPr>
      <w:r>
        <w:rPr>
          <w:rFonts w:hint="eastAsia" w:ascii="宋体" w:hAnsi="宋体" w:cs="宋体"/>
          <w:color w:val="auto"/>
          <w:spacing w:val="4"/>
          <w:kern w:val="0"/>
          <w:sz w:val="24"/>
          <w:szCs w:val="24"/>
          <w:highlight w:val="none"/>
        </w:rPr>
        <w:t>（   ）第  号</w:t>
      </w:r>
    </w:p>
    <w:p w14:paraId="66E545F8">
      <w:pPr>
        <w:topLinePunct/>
        <w:adjustRightInd w:val="0"/>
        <w:snapToGrid w:val="0"/>
        <w:spacing w:line="360" w:lineRule="auto"/>
        <w:ind w:firstLine="420" w:firstLineChars="200"/>
        <w:rPr>
          <w:rFonts w:hint="eastAsia" w:ascii="宋体" w:hAnsi="宋体" w:cs="宋体"/>
          <w:color w:val="auto"/>
          <w:spacing w:val="4"/>
          <w:kern w:val="0"/>
          <w:sz w:val="24"/>
          <w:szCs w:val="24"/>
          <w:highlight w:val="none"/>
        </w:rPr>
      </w:pPr>
      <w:r>
        <w:rPr>
          <w:rFonts w:hint="eastAsia" w:ascii="宋体" w:hAnsi="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117475</wp:posOffset>
                </wp:positionH>
                <wp:positionV relativeFrom="paragraph">
                  <wp:posOffset>36195</wp:posOffset>
                </wp:positionV>
                <wp:extent cx="5692140" cy="2621915"/>
                <wp:effectExtent l="4445" t="4445" r="18415" b="2159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692140" cy="2621915"/>
                        </a:xfrm>
                        <a:prstGeom prst="rect">
                          <a:avLst/>
                        </a:prstGeom>
                        <a:solidFill>
                          <a:srgbClr val="FFFFFF"/>
                        </a:solidFill>
                        <a:ln w="9525">
                          <a:solidFill>
                            <a:srgbClr val="000000"/>
                          </a:solidFill>
                          <a:miter lim="800000"/>
                        </a:ln>
                        <a:effectLst/>
                      </wps:spPr>
                      <wps:txbx>
                        <w:txbxContent>
                          <w:p w14:paraId="6879062F">
                            <w:pPr>
                              <w:pStyle w:val="56"/>
                              <w:spacing w:line="240" w:lineRule="auto"/>
                              <w:ind w:firstLine="0" w:firstLineChars="0"/>
                              <w:rPr>
                                <w:rFonts w:hint="eastAsia" w:ascii="宋体" w:hAnsi="宋体" w:cs="宋体"/>
                                <w:szCs w:val="28"/>
                              </w:rPr>
                            </w:pPr>
                            <w:r>
                              <w:rPr>
                                <w:rFonts w:ascii="宋体" w:hAnsi="宋体" w:cs="宋体"/>
                                <w:szCs w:val="28"/>
                              </w:rPr>
                              <w:t xml:space="preserve">    </w:t>
                            </w:r>
                          </w:p>
                          <w:p w14:paraId="6B929FAE">
                            <w:pPr>
                              <w:pStyle w:val="56"/>
                              <w:spacing w:line="240" w:lineRule="auto"/>
                              <w:ind w:firstLine="0" w:firstLineChars="0"/>
                              <w:rPr>
                                <w:rFonts w:hint="eastAsia"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2A8C1150">
                            <w:pPr>
                              <w:pStyle w:val="56"/>
                              <w:spacing w:line="240" w:lineRule="auto"/>
                              <w:ind w:firstLine="0" w:firstLineChars="0"/>
                              <w:rPr>
                                <w:rFonts w:hint="eastAsia" w:ascii="宋体" w:hAnsi="宋体" w:cs="宋体"/>
                              </w:rPr>
                            </w:pPr>
                            <w:r>
                              <w:rPr>
                                <w:rFonts w:hint="eastAsia" w:ascii="宋体" w:hAnsi="宋体" w:cs="宋体"/>
                              </w:rPr>
                              <w:t xml:space="preserve">                                                                 </w:t>
                            </w:r>
                          </w:p>
                          <w:p w14:paraId="672E09F1">
                            <w:pPr>
                              <w:pStyle w:val="56"/>
                              <w:spacing w:line="240" w:lineRule="auto"/>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14:paraId="7DCB5AA5">
                            <w:pPr>
                              <w:pStyle w:val="56"/>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55A87F56">
                            <w:pPr>
                              <w:pStyle w:val="56"/>
                              <w:spacing w:line="240" w:lineRule="auto"/>
                              <w:ind w:firstLine="0" w:firstLineChars="0"/>
                              <w:rPr>
                                <w:rFonts w:hint="eastAsia"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3E8DB47A">
                            <w:pPr>
                              <w:pStyle w:val="56"/>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032C350F">
                            <w:pPr>
                              <w:snapToGrid w:val="0"/>
                              <w:spacing w:line="360" w:lineRule="auto"/>
                              <w:rPr>
                                <w:rFonts w:hint="eastAsia"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355BC2DB">
                            <w:pPr>
                              <w:spacing w:line="360" w:lineRule="auto"/>
                              <w:rPr>
                                <w:rFonts w:hint="eastAsia"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1E597D58">
                            <w:pPr>
                              <w:spacing w:line="360" w:lineRule="auto"/>
                              <w:rPr>
                                <w:rFonts w:hint="eastAsia" w:ascii="宋体" w:hAnsi="宋体" w:cs="宋体"/>
                                <w:u w:val="single"/>
                              </w:rPr>
                            </w:pPr>
                            <w:r>
                              <w:rPr>
                                <w:rFonts w:hint="eastAsia" w:ascii="宋体" w:hAnsi="宋体" w:cs="宋体"/>
                                <w:szCs w:val="28"/>
                              </w:rPr>
                              <w:t xml:space="preserve"> 年  月  日</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25pt;margin-top:2.85pt;height:206.45pt;width:448.2pt;z-index:251661312;mso-width-relative:page;mso-height-relative:page;" fillcolor="#FFFFFF" filled="t" stroked="t" coordsize="21600,21600" o:gfxdata="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Iwh9vfXAAAACAEAAA8AAAAAAAAAAQAg&#10;AAAAIgAAAGRycy9kb3ducmV2LnhtbFBLAQIUABQAAAAIAIdO4kCrR9R2SAIAAJYEAAAOAAAAAAAA&#10;AAEAIAAAACYBAABkcnMvZTJvRG9jLnhtbFBLBQYAAAAABgAGAFkBAADgBQAAAAA=&#10;">
                <v:fill on="t" focussize="0,0"/>
                <v:stroke color="#000000" miterlimit="8" joinstyle="miter"/>
                <v:imagedata o:title=""/>
                <o:lock v:ext="edit" aspectratio="f"/>
                <v:textbox>
                  <w:txbxContent>
                    <w:p w14:paraId="6879062F">
                      <w:pPr>
                        <w:pStyle w:val="56"/>
                        <w:spacing w:line="240" w:lineRule="auto"/>
                        <w:ind w:firstLine="0" w:firstLineChars="0"/>
                        <w:rPr>
                          <w:rFonts w:hint="eastAsia" w:ascii="宋体" w:hAnsi="宋体" w:cs="宋体"/>
                          <w:szCs w:val="28"/>
                        </w:rPr>
                      </w:pPr>
                      <w:r>
                        <w:rPr>
                          <w:rFonts w:ascii="宋体" w:hAnsi="宋体" w:cs="宋体"/>
                          <w:szCs w:val="28"/>
                        </w:rPr>
                        <w:t xml:space="preserve">    </w:t>
                      </w:r>
                    </w:p>
                    <w:p w14:paraId="6B929FAE">
                      <w:pPr>
                        <w:pStyle w:val="56"/>
                        <w:spacing w:line="240" w:lineRule="auto"/>
                        <w:ind w:firstLine="0" w:firstLineChars="0"/>
                        <w:rPr>
                          <w:rFonts w:hint="eastAsia" w:ascii="宋体" w:hAnsi="宋体" w:cs="宋体"/>
                        </w:rPr>
                      </w:pPr>
                      <w:r>
                        <w:rPr>
                          <w:rFonts w:hint="eastAsia" w:ascii="宋体" w:hAnsi="宋体" w:cs="宋体"/>
                          <w:szCs w:val="28"/>
                        </w:rPr>
                        <w:t xml:space="preserve">    </w:t>
                      </w:r>
                      <w:r>
                        <w:rPr>
                          <w:rFonts w:hint="eastAsia" w:ascii="宋体" w:hAnsi="宋体" w:cs="宋体"/>
                        </w:rPr>
                        <w:t>兹授权</w:t>
                      </w:r>
                      <w:r>
                        <w:rPr>
                          <w:rFonts w:hint="eastAsia" w:ascii="宋体" w:hAnsi="宋体" w:cs="宋体"/>
                          <w:u w:val="single"/>
                        </w:rPr>
                        <w:t xml:space="preserve">                </w:t>
                      </w:r>
                      <w:r>
                        <w:rPr>
                          <w:rFonts w:hint="eastAsia" w:ascii="宋体" w:hAnsi="宋体" w:cs="宋体"/>
                        </w:rPr>
                        <w:t xml:space="preserve">为我方委托代理人，其权限是：                </w:t>
                      </w:r>
                    </w:p>
                    <w:p w14:paraId="2A8C1150">
                      <w:pPr>
                        <w:pStyle w:val="56"/>
                        <w:spacing w:line="240" w:lineRule="auto"/>
                        <w:ind w:firstLine="0" w:firstLineChars="0"/>
                        <w:rPr>
                          <w:rFonts w:hint="eastAsia" w:ascii="宋体" w:hAnsi="宋体" w:cs="宋体"/>
                        </w:rPr>
                      </w:pPr>
                      <w:r>
                        <w:rPr>
                          <w:rFonts w:hint="eastAsia" w:ascii="宋体" w:hAnsi="宋体" w:cs="宋体"/>
                        </w:rPr>
                        <w:t xml:space="preserve">                                                                 </w:t>
                      </w:r>
                    </w:p>
                    <w:p w14:paraId="672E09F1">
                      <w:pPr>
                        <w:pStyle w:val="56"/>
                        <w:spacing w:line="240" w:lineRule="auto"/>
                        <w:ind w:firstLine="0" w:firstLineChars="0"/>
                        <w:rPr>
                          <w:rFonts w:hint="eastAsia" w:ascii="宋体" w:hAnsi="宋体" w:cs="宋体"/>
                        </w:rPr>
                      </w:pPr>
                      <w:r>
                        <w:rPr>
                          <w:rFonts w:hint="eastAsia" w:ascii="宋体" w:hAnsi="宋体" w:cs="宋体"/>
                        </w:rPr>
                        <w:t>有效期限：</w:t>
                      </w:r>
                      <w:r>
                        <w:rPr>
                          <w:rFonts w:hint="eastAsia" w:ascii="宋体" w:hAnsi="宋体" w:cs="宋体"/>
                          <w:u w:val="single"/>
                        </w:rPr>
                        <w:t xml:space="preserve">                                                        </w:t>
                      </w:r>
                    </w:p>
                    <w:p w14:paraId="7DCB5AA5">
                      <w:pPr>
                        <w:pStyle w:val="56"/>
                        <w:spacing w:line="240" w:lineRule="auto"/>
                        <w:ind w:firstLine="0" w:firstLineChars="0"/>
                        <w:rPr>
                          <w:rFonts w:hint="eastAsia" w:ascii="宋体" w:hAnsi="宋体" w:cs="宋体"/>
                        </w:rPr>
                      </w:pPr>
                      <w:r>
                        <w:rPr>
                          <w:rFonts w:hint="eastAsia" w:ascii="宋体" w:hAnsi="宋体" w:cs="宋体"/>
                        </w:rPr>
                        <w:t>附：代理人性别：</w:t>
                      </w:r>
                      <w:r>
                        <w:rPr>
                          <w:rFonts w:hint="eastAsia" w:ascii="宋体" w:hAnsi="宋体" w:cs="宋体"/>
                          <w:u w:val="single"/>
                        </w:rPr>
                        <w:t xml:space="preserve">     </w:t>
                      </w:r>
                      <w:r>
                        <w:rPr>
                          <w:rFonts w:hint="eastAsia" w:ascii="宋体" w:hAnsi="宋体" w:cs="宋体"/>
                        </w:rPr>
                        <w:t>年龄：</w:t>
                      </w:r>
                      <w:r>
                        <w:rPr>
                          <w:rFonts w:hint="eastAsia" w:ascii="宋体" w:hAnsi="宋体" w:cs="宋体"/>
                          <w:u w:val="single"/>
                        </w:rPr>
                        <w:t xml:space="preserve">     </w:t>
                      </w:r>
                      <w:r>
                        <w:rPr>
                          <w:rFonts w:hint="eastAsia" w:ascii="宋体" w:hAnsi="宋体" w:cs="宋体"/>
                        </w:rPr>
                        <w:t>身份证号码：</w:t>
                      </w:r>
                      <w:r>
                        <w:rPr>
                          <w:rFonts w:hint="eastAsia" w:ascii="宋体" w:hAnsi="宋体" w:cs="宋体"/>
                          <w:u w:val="single"/>
                        </w:rPr>
                        <w:t xml:space="preserve">                       </w:t>
                      </w:r>
                    </w:p>
                    <w:p w14:paraId="55A87F56">
                      <w:pPr>
                        <w:pStyle w:val="56"/>
                        <w:spacing w:line="240" w:lineRule="auto"/>
                        <w:ind w:firstLine="0" w:firstLineChars="0"/>
                        <w:rPr>
                          <w:rFonts w:hint="eastAsia" w:ascii="宋体" w:hAnsi="宋体" w:cs="宋体"/>
                        </w:rPr>
                      </w:pPr>
                      <w:r>
                        <w:rPr>
                          <w:rFonts w:hint="eastAsia" w:ascii="宋体" w:hAnsi="宋体" w:cs="宋体"/>
                          <w:kern w:val="1"/>
                        </w:rPr>
                        <w:t>统一社会信用代码：</w:t>
                      </w:r>
                      <w:r>
                        <w:rPr>
                          <w:rFonts w:hint="eastAsia" w:ascii="宋体" w:hAnsi="宋体" w:cs="宋体"/>
                          <w:u w:val="single"/>
                        </w:rPr>
                        <w:t xml:space="preserve">                  </w:t>
                      </w:r>
                      <w:r>
                        <w:rPr>
                          <w:rFonts w:hint="eastAsia" w:ascii="宋体" w:hAnsi="宋体" w:cs="宋体"/>
                        </w:rPr>
                        <w:t>企业类型：</w:t>
                      </w:r>
                      <w:r>
                        <w:rPr>
                          <w:rFonts w:hint="eastAsia" w:ascii="宋体" w:hAnsi="宋体" w:cs="宋体"/>
                          <w:u w:val="single"/>
                        </w:rPr>
                        <w:t xml:space="preserve">                            </w:t>
                      </w:r>
                    </w:p>
                    <w:p w14:paraId="3E8DB47A">
                      <w:pPr>
                        <w:pStyle w:val="56"/>
                        <w:spacing w:line="240" w:lineRule="auto"/>
                        <w:ind w:firstLine="0" w:firstLineChars="0"/>
                        <w:rPr>
                          <w:rFonts w:hint="eastAsia" w:ascii="宋体" w:hAnsi="宋体" w:cs="宋体"/>
                        </w:rPr>
                      </w:pPr>
                      <w:r>
                        <w:rPr>
                          <w:rFonts w:hint="eastAsia" w:ascii="宋体" w:hAnsi="宋体" w:cs="宋体"/>
                        </w:rPr>
                        <w:t>经营范围：</w:t>
                      </w:r>
                      <w:r>
                        <w:rPr>
                          <w:rFonts w:hint="eastAsia" w:ascii="宋体" w:hAnsi="宋体" w:cs="宋体"/>
                          <w:u w:val="single"/>
                        </w:rPr>
                        <w:t xml:space="preserve">                                                        </w:t>
                      </w:r>
                    </w:p>
                    <w:p w14:paraId="032C350F">
                      <w:pPr>
                        <w:snapToGrid w:val="0"/>
                        <w:spacing w:line="360" w:lineRule="auto"/>
                        <w:rPr>
                          <w:rFonts w:hint="eastAsia" w:ascii="宋体" w:hAnsi="宋体" w:cs="宋体"/>
                          <w:sz w:val="24"/>
                        </w:rPr>
                      </w:pPr>
                      <w:r>
                        <w:rPr>
                          <w:rFonts w:hint="eastAsia" w:ascii="宋体" w:hAnsi="宋体" w:cs="宋体"/>
                          <w:snapToGrid w:val="0"/>
                          <w:spacing w:val="4"/>
                          <w:sz w:val="24"/>
                          <w:szCs w:val="24"/>
                        </w:rPr>
                        <w:t>法定代表人（负</w:t>
                      </w:r>
                      <w:r>
                        <w:rPr>
                          <w:rFonts w:hint="eastAsia" w:ascii="宋体" w:hAnsi="宋体" w:cs="宋体"/>
                          <w:sz w:val="24"/>
                        </w:rPr>
                        <w:t>责人）：</w:t>
                      </w:r>
                      <w:r>
                        <w:rPr>
                          <w:rFonts w:hint="eastAsia" w:ascii="宋体" w:hAnsi="宋体" w:cs="宋体"/>
                          <w:sz w:val="24"/>
                          <w:u w:val="single"/>
                        </w:rPr>
                        <w:t xml:space="preserve">　　　          </w:t>
                      </w:r>
                      <w:r>
                        <w:rPr>
                          <w:rFonts w:hint="eastAsia" w:ascii="宋体" w:hAnsi="宋体" w:cs="宋体"/>
                          <w:sz w:val="24"/>
                        </w:rPr>
                        <w:t>（签名或盖章）</w:t>
                      </w:r>
                    </w:p>
                    <w:p w14:paraId="355BC2DB">
                      <w:pPr>
                        <w:spacing w:line="360" w:lineRule="auto"/>
                        <w:rPr>
                          <w:rFonts w:hint="eastAsia" w:ascii="宋体" w:hAnsi="宋体" w:cs="宋体"/>
                          <w:u w:val="single"/>
                        </w:rPr>
                      </w:pPr>
                      <w:r>
                        <w:rPr>
                          <w:rFonts w:hint="eastAsia" w:ascii="宋体" w:hAnsi="宋体" w:cs="宋体"/>
                          <w:snapToGrid w:val="0"/>
                          <w:spacing w:val="4"/>
                          <w:sz w:val="24"/>
                          <w:szCs w:val="24"/>
                        </w:rPr>
                        <w:t>授权单位：（盖章）</w:t>
                      </w:r>
                      <w:r>
                        <w:rPr>
                          <w:rFonts w:hint="eastAsia" w:ascii="宋体" w:hAnsi="宋体" w:cs="宋体"/>
                          <w:u w:val="single"/>
                        </w:rPr>
                        <w:t xml:space="preserve">       </w:t>
                      </w:r>
                    </w:p>
                    <w:p w14:paraId="1E597D58">
                      <w:pPr>
                        <w:spacing w:line="360" w:lineRule="auto"/>
                        <w:rPr>
                          <w:rFonts w:hint="eastAsia" w:ascii="宋体" w:hAnsi="宋体" w:cs="宋体"/>
                          <w:u w:val="single"/>
                        </w:rPr>
                      </w:pPr>
                      <w:r>
                        <w:rPr>
                          <w:rFonts w:hint="eastAsia" w:ascii="宋体" w:hAnsi="宋体" w:cs="宋体"/>
                          <w:szCs w:val="28"/>
                        </w:rPr>
                        <w:t xml:space="preserve"> 年  月  日</w:t>
                      </w:r>
                    </w:p>
                  </w:txbxContent>
                </v:textbox>
              </v:shape>
            </w:pict>
          </mc:Fallback>
        </mc:AlternateContent>
      </w:r>
    </w:p>
    <w:p w14:paraId="222E5A71">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3A10A78E">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6039A06A">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7EDF8CD3">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453B0E1B">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6F3049FD">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09389B51">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44C4545F">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58D585AB">
      <w:pPr>
        <w:topLinePunct/>
        <w:adjustRightInd w:val="0"/>
        <w:snapToGrid w:val="0"/>
        <w:spacing w:line="360" w:lineRule="auto"/>
        <w:ind w:firstLine="496" w:firstLineChars="200"/>
        <w:rPr>
          <w:rFonts w:hint="eastAsia" w:ascii="宋体" w:hAnsi="宋体" w:cs="宋体"/>
          <w:color w:val="auto"/>
          <w:spacing w:val="4"/>
          <w:kern w:val="0"/>
          <w:sz w:val="24"/>
          <w:szCs w:val="24"/>
          <w:highlight w:val="none"/>
        </w:rPr>
      </w:pPr>
    </w:p>
    <w:p w14:paraId="4D814ABC">
      <w:pPr>
        <w:topLinePunct/>
        <w:adjustRightInd w:val="0"/>
        <w:snapToGrid w:val="0"/>
        <w:ind w:firstLine="438" w:firstLineChars="200"/>
        <w:jc w:val="left"/>
        <w:rPr>
          <w:rFonts w:hint="eastAsia" w:ascii="宋体" w:hAnsi="宋体" w:cs="宋体"/>
          <w:b/>
          <w:color w:val="auto"/>
          <w:spacing w:val="4"/>
          <w:kern w:val="0"/>
          <w:szCs w:val="21"/>
          <w:highlight w:val="none"/>
        </w:rPr>
      </w:pPr>
      <w:r>
        <w:rPr>
          <w:rFonts w:hint="eastAsia" w:ascii="宋体" w:hAnsi="宋体" w:cs="宋体"/>
          <w:b/>
          <w:color w:val="auto"/>
          <w:spacing w:val="4"/>
          <w:kern w:val="0"/>
          <w:szCs w:val="21"/>
          <w:highlight w:val="none"/>
        </w:rPr>
        <w:t>后附法定代表人和委托代理人身份证。</w:t>
      </w:r>
    </w:p>
    <w:p w14:paraId="3676036E">
      <w:pPr>
        <w:pStyle w:val="56"/>
        <w:spacing w:line="240" w:lineRule="auto"/>
        <w:ind w:firstLine="436"/>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注：该格式仅供参考。</w:t>
      </w:r>
    </w:p>
    <w:p w14:paraId="38890AE7">
      <w:pPr>
        <w:pStyle w:val="56"/>
        <w:ind w:firstLine="0" w:firstLineChars="0"/>
        <w:outlineLvl w:val="2"/>
        <w:rPr>
          <w:b/>
          <w:color w:val="auto"/>
          <w:spacing w:val="0"/>
          <w:highlight w:val="none"/>
        </w:rPr>
      </w:pPr>
      <w:r>
        <w:rPr>
          <w:rFonts w:hint="eastAsia"/>
          <w:b/>
          <w:color w:val="auto"/>
          <w:spacing w:val="0"/>
          <w:highlight w:val="none"/>
        </w:rPr>
        <w:br w:type="page"/>
      </w:r>
      <w:bookmarkStart w:id="47" w:name="_Toc28307"/>
      <w:r>
        <w:rPr>
          <w:rFonts w:hint="eastAsia"/>
          <w:b/>
          <w:color w:val="auto"/>
          <w:spacing w:val="0"/>
          <w:highlight w:val="none"/>
        </w:rPr>
        <w:t>格式四：投标函</w:t>
      </w:r>
      <w:bookmarkEnd w:id="47"/>
    </w:p>
    <w:p w14:paraId="19D4BEC1">
      <w:pPr>
        <w:rPr>
          <w:rFonts w:hint="eastAsia" w:ascii="宋体" w:hAnsi="宋体" w:cs="宋体"/>
          <w:b/>
          <w:bCs/>
          <w:color w:val="auto"/>
          <w:sz w:val="24"/>
          <w:szCs w:val="24"/>
          <w:highlight w:val="none"/>
        </w:rPr>
      </w:pPr>
    </w:p>
    <w:p w14:paraId="3445FC56">
      <w:pPr>
        <w:pStyle w:val="103"/>
        <w:rPr>
          <w:rFonts w:hint="eastAsia" w:ascii="宋体" w:hAnsi="宋体" w:eastAsia="宋体" w:cs="宋体"/>
          <w:color w:val="auto"/>
          <w:highlight w:val="none"/>
        </w:rPr>
      </w:pPr>
      <w:r>
        <w:rPr>
          <w:rFonts w:hint="eastAsia" w:ascii="宋体" w:hAnsi="宋体" w:eastAsia="宋体" w:cs="宋体"/>
          <w:color w:val="auto"/>
          <w:highlight w:val="none"/>
        </w:rPr>
        <w:t>投 标 函</w:t>
      </w:r>
    </w:p>
    <w:p w14:paraId="3E3EA204">
      <w:pPr>
        <w:pStyle w:val="56"/>
        <w:ind w:firstLine="496"/>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（招标人名称） </w:t>
      </w:r>
    </w:p>
    <w:p w14:paraId="0F424123">
      <w:pPr>
        <w:pStyle w:val="56"/>
        <w:ind w:firstLine="496"/>
        <w:rPr>
          <w:rFonts w:hint="eastAsia" w:ascii="宋体" w:hAnsi="宋体" w:cs="宋体"/>
          <w:color w:val="auto"/>
          <w:highlight w:val="none"/>
        </w:rPr>
      </w:pPr>
      <w:r>
        <w:rPr>
          <w:rFonts w:hint="eastAsia" w:ascii="宋体" w:hAnsi="宋体" w:cs="宋体"/>
          <w:color w:val="auto"/>
          <w:highlight w:val="none"/>
        </w:rPr>
        <w:t>1.根据招标人</w:t>
      </w:r>
      <w:r>
        <w:rPr>
          <w:rFonts w:hint="eastAsia" w:ascii="宋体" w:hAnsi="宋体" w:cs="宋体"/>
          <w:color w:val="auto"/>
          <w:highlight w:val="none"/>
          <w:u w:val="single"/>
        </w:rPr>
        <w:t xml:space="preserve"> （工程项目名称） </w:t>
      </w:r>
      <w:r>
        <w:rPr>
          <w:rFonts w:hint="eastAsia" w:ascii="宋体" w:hAnsi="宋体" w:cs="宋体"/>
          <w:color w:val="auto"/>
          <w:highlight w:val="none"/>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34A755CF">
      <w:pPr>
        <w:pStyle w:val="56"/>
        <w:ind w:firstLine="496"/>
        <w:rPr>
          <w:rFonts w:hint="eastAsia" w:ascii="宋体" w:hAnsi="宋体" w:cs="宋体"/>
          <w:color w:val="auto"/>
          <w:highlight w:val="none"/>
        </w:rPr>
      </w:pPr>
      <w:r>
        <w:rPr>
          <w:rFonts w:hint="eastAsia" w:ascii="宋体" w:hAnsi="宋体" w:cs="宋体"/>
          <w:color w:val="auto"/>
          <w:highlight w:val="none"/>
        </w:rPr>
        <w:t>2.我方已详细审核全部招标文件，包括修改文件（如有时）及有关附件。</w:t>
      </w:r>
    </w:p>
    <w:p w14:paraId="14B35A4E">
      <w:pPr>
        <w:pStyle w:val="56"/>
        <w:ind w:firstLine="496"/>
        <w:rPr>
          <w:rFonts w:hint="eastAsia" w:ascii="宋体" w:hAnsi="宋体" w:cs="宋体"/>
          <w:color w:val="auto"/>
          <w:highlight w:val="none"/>
        </w:rPr>
      </w:pPr>
      <w:r>
        <w:rPr>
          <w:rFonts w:hint="eastAsia" w:ascii="宋体" w:hAnsi="宋体" w:cs="宋体"/>
          <w:color w:val="auto"/>
          <w:highlight w:val="none"/>
        </w:rPr>
        <w:t>3.如果我方中标，我方保证按照合同文件中规定的开工日期开始施工，并按规定的预计竣工日期完成和交付全部工程。</w:t>
      </w:r>
    </w:p>
    <w:p w14:paraId="34DC3B32">
      <w:pPr>
        <w:pStyle w:val="56"/>
        <w:ind w:firstLine="496"/>
        <w:rPr>
          <w:rFonts w:hint="eastAsia" w:ascii="宋体" w:hAnsi="宋体" w:cs="宋体"/>
          <w:color w:val="auto"/>
          <w:highlight w:val="none"/>
        </w:rPr>
      </w:pPr>
      <w:r>
        <w:rPr>
          <w:rFonts w:hint="eastAsia" w:ascii="宋体" w:hAnsi="宋体" w:cs="宋体"/>
          <w:color w:val="auto"/>
          <w:highlight w:val="none"/>
        </w:rPr>
        <w:t>4.如果我方中标，我方承诺在充分考虑场地环境变化及政策性调整等风险因素的前提下，继续补充完善施工组织设计，直至招标人满意为止并加以实施，由此产生的费用已包含在投标报价中。</w:t>
      </w:r>
    </w:p>
    <w:p w14:paraId="714C0934">
      <w:pPr>
        <w:pStyle w:val="56"/>
        <w:ind w:firstLine="496"/>
        <w:rPr>
          <w:rFonts w:hint="eastAsia" w:ascii="宋体" w:hAnsi="宋体" w:cs="宋体"/>
          <w:color w:val="auto"/>
          <w:highlight w:val="none"/>
        </w:rPr>
      </w:pPr>
      <w:r>
        <w:rPr>
          <w:rFonts w:hint="eastAsia" w:ascii="宋体" w:hAnsi="宋体" w:cs="宋体"/>
          <w:color w:val="auto"/>
          <w:highlight w:val="none"/>
        </w:rPr>
        <w:t>5.如果我方中标，我方承诺按《建设工程质量管理条例》（中华人民共和国国务院令第714号）、《建设工程安全生产管理条例》（中华人民共和国国务院令第393号）的规定对承包工程的全部建设工程质量和施工现场的安全生产负责。</w:t>
      </w:r>
    </w:p>
    <w:p w14:paraId="071B5A66">
      <w:pPr>
        <w:pStyle w:val="56"/>
        <w:ind w:firstLine="496"/>
        <w:rPr>
          <w:rFonts w:hint="eastAsia" w:ascii="宋体" w:hAnsi="宋体" w:cs="宋体"/>
          <w:color w:val="auto"/>
          <w:highlight w:val="none"/>
        </w:rPr>
      </w:pPr>
      <w:r>
        <w:rPr>
          <w:rFonts w:hint="eastAsia" w:ascii="宋体" w:hAnsi="宋体" w:cs="宋体"/>
          <w:color w:val="auto"/>
          <w:highlight w:val="none"/>
        </w:rPr>
        <w:t>6.如果我方中标，我方将按照招标文件的规定，按时提交履约担保，以保障本项目优质、优价、按期、顺利完成。</w:t>
      </w:r>
    </w:p>
    <w:p w14:paraId="633F9DA8">
      <w:pPr>
        <w:pStyle w:val="56"/>
        <w:ind w:firstLine="496"/>
        <w:rPr>
          <w:rFonts w:hint="eastAsia" w:ascii="宋体" w:hAnsi="宋体" w:cs="宋体"/>
          <w:color w:val="auto"/>
          <w:highlight w:val="none"/>
        </w:rPr>
      </w:pPr>
      <w:r>
        <w:rPr>
          <w:rFonts w:hint="eastAsia" w:ascii="宋体" w:hAnsi="宋体" w:cs="宋体"/>
          <w:color w:val="auto"/>
          <w:highlight w:val="none"/>
        </w:rPr>
        <w:t>7.我方同意所提交的投标文件在招标文件投标须知中第15条规定的投标有效期内有效，在此期限届满之前，本投标书始终将对我方具有约束力，并随时接受中标。</w:t>
      </w:r>
    </w:p>
    <w:p w14:paraId="2489F6BA">
      <w:pPr>
        <w:pStyle w:val="56"/>
        <w:ind w:firstLine="496"/>
        <w:rPr>
          <w:rFonts w:hint="eastAsia" w:ascii="宋体" w:hAnsi="宋体" w:cs="宋体"/>
          <w:color w:val="auto"/>
          <w:highlight w:val="none"/>
        </w:rPr>
      </w:pPr>
      <w:r>
        <w:rPr>
          <w:rFonts w:hint="eastAsia" w:ascii="宋体" w:hAnsi="宋体" w:cs="宋体"/>
          <w:color w:val="auto"/>
          <w:highlight w:val="none"/>
        </w:rPr>
        <w:t>8.在合同协议书正式签署生效之前，本投标书连同你单位的中标通知书将构成我们双方之间共同遵守的文件，对双方具有约束力。</w:t>
      </w:r>
    </w:p>
    <w:p w14:paraId="32EA1B6A">
      <w:pPr>
        <w:pStyle w:val="56"/>
        <w:ind w:firstLine="496"/>
        <w:rPr>
          <w:rFonts w:hint="eastAsia" w:ascii="宋体" w:hAnsi="宋体" w:cs="宋体"/>
          <w:color w:val="auto"/>
          <w:highlight w:val="none"/>
        </w:rPr>
      </w:pPr>
      <w:r>
        <w:rPr>
          <w:rFonts w:hint="eastAsia" w:ascii="宋体" w:hAnsi="宋体" w:cs="宋体"/>
          <w:color w:val="auto"/>
          <w:highlight w:val="none"/>
        </w:rPr>
        <w:t>9.如果我方在投标文件有效期内撤回投标文件；或在接到中标通知书后28天内未能或拒绝签订合同协议书；或未能按招标文件要求提交履约担保，你单位有权另选中标单位。</w:t>
      </w:r>
    </w:p>
    <w:p w14:paraId="4A358137">
      <w:pPr>
        <w:pStyle w:val="56"/>
        <w:ind w:firstLine="496"/>
        <w:rPr>
          <w:rFonts w:hint="eastAsia" w:ascii="宋体" w:hAnsi="宋体" w:cs="宋体"/>
          <w:color w:val="auto"/>
          <w:highlight w:val="none"/>
        </w:rPr>
      </w:pPr>
      <w:r>
        <w:rPr>
          <w:rFonts w:hint="eastAsia" w:ascii="宋体" w:hAnsi="宋体" w:cs="宋体"/>
          <w:color w:val="auto"/>
          <w:highlight w:val="none"/>
        </w:rPr>
        <w:t>10.我方理解，你单位不一定接受最低标价的投标或你单位接到的其它任何投标。同时也理解，你单位不负担我方的任何投标费用。</w:t>
      </w:r>
    </w:p>
    <w:p w14:paraId="63A421B2">
      <w:pPr>
        <w:pStyle w:val="56"/>
        <w:ind w:firstLine="496"/>
        <w:rPr>
          <w:rFonts w:hint="eastAsia" w:ascii="宋体" w:hAnsi="宋体" w:cs="宋体"/>
          <w:color w:val="auto"/>
          <w:highlight w:val="none"/>
        </w:rPr>
      </w:pPr>
      <w:r>
        <w:rPr>
          <w:rFonts w:hint="eastAsia" w:ascii="宋体" w:hAnsi="宋体" w:cs="宋体"/>
          <w:color w:val="auto"/>
          <w:highlight w:val="none"/>
        </w:rPr>
        <w:t>11.我方已详细审核招标文件中第二部分投标须知修改表第13.4条款，我方承诺按照招标文件的规定执行。当投标单价不超过招标控制价综合单价时，该清单项目的中标单价为该项目的结算单价，在工程结算时将不得变更。</w:t>
      </w:r>
    </w:p>
    <w:p w14:paraId="57B2DC2E">
      <w:pPr>
        <w:pStyle w:val="56"/>
        <w:ind w:left="0" w:leftChars="0" w:firstLine="5039" w:firstLineChars="2032"/>
        <w:rPr>
          <w:rFonts w:hint="default" w:ascii="宋体" w:hAnsi="宋体" w:eastAsia="宋体" w:cs="宋体"/>
          <w:color w:val="auto"/>
          <w:highlight w:val="none"/>
          <w:lang w:val="en-US" w:eastAsia="zh-CN"/>
        </w:rPr>
      </w:pPr>
      <w:r>
        <w:rPr>
          <w:rFonts w:hint="eastAsia" w:ascii="宋体" w:hAnsi="宋体" w:cs="宋体"/>
          <w:color w:val="auto"/>
          <w:highlight w:val="none"/>
        </w:rPr>
        <w:t>投标人</w:t>
      </w:r>
      <w:r>
        <w:rPr>
          <w:rFonts w:hint="eastAsia" w:ascii="宋体" w:hAnsi="宋体" w:cs="宋体"/>
          <w:color w:val="auto"/>
          <w:highlight w:val="none"/>
          <w:lang w:val="en-US" w:eastAsia="zh-CN"/>
        </w:rPr>
        <w:t>名称</w:t>
      </w:r>
      <w:r>
        <w:rPr>
          <w:rFonts w:hint="eastAsia" w:ascii="宋体" w:hAnsi="宋体" w:cs="宋体"/>
          <w:color w:val="auto"/>
          <w:highlight w:val="none"/>
        </w:rPr>
        <w:t>：</w:t>
      </w:r>
      <w:r>
        <w:rPr>
          <w:rFonts w:hint="eastAsia" w:ascii="宋体" w:hAnsi="宋体" w:cs="宋体"/>
          <w:color w:val="auto"/>
          <w:highlight w:val="none"/>
          <w:lang w:val="en-US" w:eastAsia="zh-CN"/>
        </w:rPr>
        <w:t xml:space="preserve">  </w:t>
      </w:r>
    </w:p>
    <w:p w14:paraId="38565543">
      <w:pPr>
        <w:pStyle w:val="56"/>
        <w:ind w:firstLine="5155" w:firstLineChars="2079"/>
        <w:rPr>
          <w:rFonts w:hint="eastAsia" w:ascii="宋体" w:hAnsi="宋体" w:cs="宋体"/>
          <w:color w:val="auto"/>
          <w:highlight w:val="none"/>
        </w:rPr>
      </w:pPr>
      <w:r>
        <w:rPr>
          <w:rFonts w:hint="eastAsia" w:ascii="宋体" w:hAnsi="宋体" w:cs="宋体"/>
          <w:color w:val="auto"/>
          <w:highlight w:val="none"/>
        </w:rPr>
        <w:t>日    期：    年    月    日</w:t>
      </w:r>
    </w:p>
    <w:p w14:paraId="00A279AB">
      <w:pPr>
        <w:rPr>
          <w:rFonts w:hint="eastAsia" w:ascii="宋体" w:hAnsi="宋体" w:cs="宋体"/>
          <w:color w:val="auto"/>
          <w:highlight w:val="none"/>
        </w:rPr>
      </w:pPr>
    </w:p>
    <w:p w14:paraId="02807DDE">
      <w:pPr>
        <w:outlineLvl w:val="2"/>
        <w:rPr>
          <w:b/>
          <w:color w:val="auto"/>
          <w:kern w:val="0"/>
          <w:sz w:val="24"/>
          <w:szCs w:val="24"/>
          <w:highlight w:val="none"/>
        </w:rPr>
      </w:pPr>
      <w:r>
        <w:rPr>
          <w:rFonts w:hint="eastAsia"/>
          <w:b/>
          <w:color w:val="auto"/>
          <w:kern w:val="0"/>
          <w:sz w:val="24"/>
          <w:szCs w:val="24"/>
          <w:highlight w:val="none"/>
        </w:rPr>
        <w:br w:type="page"/>
      </w:r>
      <w:bookmarkStart w:id="48" w:name="_Toc17034"/>
      <w:r>
        <w:rPr>
          <w:rFonts w:hint="eastAsia"/>
          <w:b/>
          <w:color w:val="auto"/>
          <w:kern w:val="0"/>
          <w:sz w:val="24"/>
          <w:szCs w:val="24"/>
          <w:highlight w:val="none"/>
        </w:rPr>
        <w:t>格式五：投入人员汇总表</w:t>
      </w:r>
      <w:bookmarkEnd w:id="48"/>
    </w:p>
    <w:p w14:paraId="5AD7294C">
      <w:pPr>
        <w:topLinePunct/>
        <w:adjustRightInd w:val="0"/>
        <w:snapToGrid w:val="0"/>
        <w:spacing w:line="360" w:lineRule="auto"/>
        <w:ind w:firstLine="616"/>
        <w:jc w:val="center"/>
        <w:rPr>
          <w:rFonts w:eastAsia="黑体"/>
          <w:snapToGrid w:val="0"/>
          <w:color w:val="auto"/>
          <w:spacing w:val="4"/>
          <w:sz w:val="36"/>
          <w:szCs w:val="36"/>
          <w:highlight w:val="none"/>
        </w:rPr>
      </w:pPr>
      <w:r>
        <w:rPr>
          <w:rFonts w:hint="eastAsia" w:eastAsia="黑体"/>
          <w:snapToGrid w:val="0"/>
          <w:color w:val="auto"/>
          <w:spacing w:val="4"/>
          <w:sz w:val="36"/>
          <w:szCs w:val="36"/>
          <w:highlight w:val="none"/>
        </w:rPr>
        <w:t>投入人员汇总表</w:t>
      </w:r>
    </w:p>
    <w:tbl>
      <w:tblPr>
        <w:tblStyle w:val="42"/>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1134"/>
        <w:gridCol w:w="2211"/>
        <w:gridCol w:w="1701"/>
        <w:gridCol w:w="960"/>
        <w:gridCol w:w="2750"/>
      </w:tblGrid>
      <w:tr w14:paraId="6A7C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5F8FBFF7">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序号</w:t>
            </w:r>
          </w:p>
        </w:tc>
        <w:tc>
          <w:tcPr>
            <w:tcW w:w="1134" w:type="dxa"/>
            <w:vAlign w:val="center"/>
          </w:tcPr>
          <w:p w14:paraId="2CFC135F">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姓名</w:t>
            </w:r>
          </w:p>
        </w:tc>
        <w:tc>
          <w:tcPr>
            <w:tcW w:w="2211" w:type="dxa"/>
            <w:vAlign w:val="center"/>
          </w:tcPr>
          <w:p w14:paraId="29120FCF">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职称/资格证书</w:t>
            </w:r>
          </w:p>
        </w:tc>
        <w:tc>
          <w:tcPr>
            <w:tcW w:w="1701" w:type="dxa"/>
            <w:vAlign w:val="center"/>
          </w:tcPr>
          <w:p w14:paraId="12A4792B">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在本项目任职</w:t>
            </w:r>
          </w:p>
        </w:tc>
        <w:tc>
          <w:tcPr>
            <w:tcW w:w="960" w:type="dxa"/>
            <w:vAlign w:val="center"/>
          </w:tcPr>
          <w:p w14:paraId="1A0484D3">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数量</w:t>
            </w:r>
          </w:p>
        </w:tc>
        <w:tc>
          <w:tcPr>
            <w:tcW w:w="2750" w:type="dxa"/>
            <w:vAlign w:val="center"/>
          </w:tcPr>
          <w:p w14:paraId="57DB05ED">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基本要求</w:t>
            </w:r>
          </w:p>
        </w:tc>
      </w:tr>
      <w:tr w14:paraId="7684C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0AD9136">
            <w:pPr>
              <w:widowControl/>
              <w:jc w:val="center"/>
              <w:rPr>
                <w:rFonts w:hint="eastAsia" w:ascii="宋体" w:hAnsi="宋体" w:cs="宋体"/>
                <w:color w:val="auto"/>
                <w:kern w:val="0"/>
                <w:szCs w:val="21"/>
                <w:highlight w:val="none"/>
              </w:rPr>
            </w:pPr>
          </w:p>
        </w:tc>
        <w:tc>
          <w:tcPr>
            <w:tcW w:w="1134" w:type="dxa"/>
            <w:vAlign w:val="center"/>
          </w:tcPr>
          <w:p w14:paraId="7D748166">
            <w:pPr>
              <w:widowControl/>
              <w:jc w:val="center"/>
              <w:rPr>
                <w:rFonts w:hint="eastAsia" w:ascii="宋体" w:hAnsi="宋体" w:cs="宋体"/>
                <w:color w:val="auto"/>
                <w:kern w:val="0"/>
                <w:szCs w:val="21"/>
                <w:highlight w:val="none"/>
              </w:rPr>
            </w:pPr>
          </w:p>
        </w:tc>
        <w:tc>
          <w:tcPr>
            <w:tcW w:w="2211" w:type="dxa"/>
            <w:vAlign w:val="center"/>
          </w:tcPr>
          <w:p w14:paraId="35C2FF53">
            <w:pPr>
              <w:widowControl/>
              <w:jc w:val="center"/>
              <w:rPr>
                <w:rFonts w:hint="eastAsia" w:ascii="宋体" w:hAnsi="宋体" w:cs="宋体"/>
                <w:color w:val="auto"/>
                <w:kern w:val="0"/>
                <w:szCs w:val="21"/>
                <w:highlight w:val="none"/>
              </w:rPr>
            </w:pPr>
          </w:p>
        </w:tc>
        <w:tc>
          <w:tcPr>
            <w:tcW w:w="1701" w:type="dxa"/>
            <w:vAlign w:val="center"/>
          </w:tcPr>
          <w:p w14:paraId="2BA9463C">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项目负责人</w:t>
            </w:r>
          </w:p>
        </w:tc>
        <w:tc>
          <w:tcPr>
            <w:tcW w:w="960" w:type="dxa"/>
            <w:vAlign w:val="center"/>
          </w:tcPr>
          <w:p w14:paraId="51001D5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50" w:type="dxa"/>
            <w:vAlign w:val="center"/>
          </w:tcPr>
          <w:p w14:paraId="377D271C">
            <w:pPr>
              <w:widowControl/>
              <w:jc w:val="center"/>
              <w:textAlignment w:val="center"/>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满足招标公告第九条要求。</w:t>
            </w:r>
          </w:p>
        </w:tc>
      </w:tr>
      <w:tr w14:paraId="48673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DF83055">
            <w:pPr>
              <w:widowControl/>
              <w:jc w:val="center"/>
              <w:rPr>
                <w:rFonts w:hint="eastAsia" w:ascii="宋体" w:hAnsi="宋体" w:cs="宋体"/>
                <w:color w:val="auto"/>
                <w:kern w:val="0"/>
                <w:szCs w:val="21"/>
                <w:highlight w:val="none"/>
              </w:rPr>
            </w:pPr>
          </w:p>
        </w:tc>
        <w:tc>
          <w:tcPr>
            <w:tcW w:w="1134" w:type="dxa"/>
            <w:vAlign w:val="center"/>
          </w:tcPr>
          <w:p w14:paraId="00B2F44B">
            <w:pPr>
              <w:widowControl/>
              <w:jc w:val="center"/>
              <w:rPr>
                <w:rFonts w:hint="eastAsia" w:ascii="宋体" w:hAnsi="宋体" w:cs="宋体"/>
                <w:color w:val="auto"/>
                <w:kern w:val="0"/>
                <w:szCs w:val="21"/>
                <w:highlight w:val="none"/>
              </w:rPr>
            </w:pPr>
          </w:p>
        </w:tc>
        <w:tc>
          <w:tcPr>
            <w:tcW w:w="2211" w:type="dxa"/>
            <w:vAlign w:val="center"/>
          </w:tcPr>
          <w:p w14:paraId="341DAE82">
            <w:pPr>
              <w:widowControl/>
              <w:jc w:val="center"/>
              <w:rPr>
                <w:rFonts w:hint="eastAsia" w:ascii="宋体" w:hAnsi="宋体" w:cs="宋体"/>
                <w:color w:val="auto"/>
                <w:kern w:val="0"/>
                <w:szCs w:val="21"/>
                <w:highlight w:val="none"/>
              </w:rPr>
            </w:pPr>
          </w:p>
        </w:tc>
        <w:tc>
          <w:tcPr>
            <w:tcW w:w="1701" w:type="dxa"/>
            <w:vAlign w:val="center"/>
          </w:tcPr>
          <w:p w14:paraId="0019B4C2">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技术负责人</w:t>
            </w:r>
          </w:p>
        </w:tc>
        <w:tc>
          <w:tcPr>
            <w:tcW w:w="960" w:type="dxa"/>
            <w:vAlign w:val="center"/>
          </w:tcPr>
          <w:p w14:paraId="30D8625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1</w:t>
            </w:r>
          </w:p>
        </w:tc>
        <w:tc>
          <w:tcPr>
            <w:tcW w:w="2750" w:type="dxa"/>
            <w:vAlign w:val="center"/>
          </w:tcPr>
          <w:p w14:paraId="6BC9BDE8">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满足招标公告第九条要求。</w:t>
            </w:r>
          </w:p>
        </w:tc>
      </w:tr>
      <w:tr w14:paraId="1910E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FA47EFA">
            <w:pPr>
              <w:widowControl/>
              <w:jc w:val="center"/>
              <w:rPr>
                <w:rFonts w:hint="eastAsia" w:ascii="宋体" w:hAnsi="宋体" w:cs="宋体"/>
                <w:color w:val="auto"/>
                <w:kern w:val="0"/>
                <w:szCs w:val="21"/>
                <w:highlight w:val="none"/>
              </w:rPr>
            </w:pPr>
          </w:p>
        </w:tc>
        <w:tc>
          <w:tcPr>
            <w:tcW w:w="1134" w:type="dxa"/>
            <w:vAlign w:val="center"/>
          </w:tcPr>
          <w:p w14:paraId="0498E358">
            <w:pPr>
              <w:widowControl/>
              <w:jc w:val="center"/>
              <w:rPr>
                <w:rFonts w:hint="eastAsia" w:ascii="宋体" w:hAnsi="宋体" w:cs="宋体"/>
                <w:color w:val="auto"/>
                <w:kern w:val="0"/>
                <w:szCs w:val="21"/>
                <w:highlight w:val="none"/>
              </w:rPr>
            </w:pPr>
          </w:p>
        </w:tc>
        <w:tc>
          <w:tcPr>
            <w:tcW w:w="2211" w:type="dxa"/>
            <w:vAlign w:val="center"/>
          </w:tcPr>
          <w:p w14:paraId="5A4BEA44">
            <w:pPr>
              <w:widowControl/>
              <w:jc w:val="center"/>
              <w:rPr>
                <w:rFonts w:hint="eastAsia" w:ascii="宋体" w:hAnsi="宋体" w:cs="宋体"/>
                <w:color w:val="auto"/>
                <w:kern w:val="0"/>
                <w:szCs w:val="21"/>
                <w:highlight w:val="none"/>
              </w:rPr>
            </w:pPr>
          </w:p>
        </w:tc>
        <w:tc>
          <w:tcPr>
            <w:tcW w:w="1701" w:type="dxa"/>
            <w:vAlign w:val="center"/>
          </w:tcPr>
          <w:p w14:paraId="198F83DF">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专职安全员</w:t>
            </w:r>
          </w:p>
        </w:tc>
        <w:tc>
          <w:tcPr>
            <w:tcW w:w="960" w:type="dxa"/>
            <w:vAlign w:val="center"/>
          </w:tcPr>
          <w:p w14:paraId="6BA14840">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w:t>
            </w:r>
          </w:p>
        </w:tc>
        <w:tc>
          <w:tcPr>
            <w:tcW w:w="2750" w:type="dxa"/>
            <w:vAlign w:val="center"/>
          </w:tcPr>
          <w:p w14:paraId="48441275">
            <w:pPr>
              <w:widowControl/>
              <w:jc w:val="center"/>
              <w:textAlignment w:val="center"/>
              <w:rPr>
                <w:rFonts w:hint="eastAsia" w:ascii="宋体" w:hAnsi="宋体" w:cs="宋体"/>
                <w:color w:val="auto"/>
                <w:kern w:val="0"/>
                <w:szCs w:val="21"/>
                <w:highlight w:val="none"/>
              </w:rPr>
            </w:pPr>
            <w:r>
              <w:rPr>
                <w:rFonts w:hint="eastAsia" w:ascii="宋体" w:hAnsi="宋体" w:cs="宋体"/>
                <w:color w:val="auto"/>
                <w:kern w:val="0"/>
                <w:szCs w:val="21"/>
                <w:highlight w:val="none"/>
                <w:lang w:bidi="ar"/>
              </w:rPr>
              <w:t>满足招标公告第九条要求。</w:t>
            </w:r>
          </w:p>
        </w:tc>
      </w:tr>
      <w:tr w14:paraId="50290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4E4B0FD9">
            <w:pPr>
              <w:widowControl/>
              <w:jc w:val="center"/>
              <w:rPr>
                <w:rFonts w:hint="eastAsia" w:ascii="宋体" w:hAnsi="宋体" w:cs="宋体"/>
                <w:color w:val="auto"/>
                <w:kern w:val="0"/>
                <w:szCs w:val="21"/>
                <w:highlight w:val="none"/>
              </w:rPr>
            </w:pPr>
          </w:p>
        </w:tc>
        <w:tc>
          <w:tcPr>
            <w:tcW w:w="1134" w:type="dxa"/>
            <w:vAlign w:val="center"/>
          </w:tcPr>
          <w:p w14:paraId="2E10F9A9">
            <w:pPr>
              <w:widowControl/>
              <w:jc w:val="center"/>
              <w:rPr>
                <w:rFonts w:hint="eastAsia" w:ascii="宋体" w:hAnsi="宋体" w:cs="宋体"/>
                <w:color w:val="auto"/>
                <w:kern w:val="0"/>
                <w:szCs w:val="21"/>
                <w:highlight w:val="none"/>
              </w:rPr>
            </w:pPr>
          </w:p>
        </w:tc>
        <w:tc>
          <w:tcPr>
            <w:tcW w:w="2211" w:type="dxa"/>
            <w:vAlign w:val="center"/>
          </w:tcPr>
          <w:p w14:paraId="5EDECBB4">
            <w:pPr>
              <w:widowControl/>
              <w:jc w:val="center"/>
              <w:rPr>
                <w:rFonts w:hint="eastAsia" w:ascii="宋体" w:hAnsi="宋体" w:cs="宋体"/>
                <w:color w:val="auto"/>
                <w:kern w:val="0"/>
                <w:szCs w:val="21"/>
                <w:highlight w:val="none"/>
              </w:rPr>
            </w:pPr>
          </w:p>
        </w:tc>
        <w:tc>
          <w:tcPr>
            <w:tcW w:w="1701" w:type="dxa"/>
            <w:vAlign w:val="center"/>
          </w:tcPr>
          <w:p w14:paraId="1AECFBA2">
            <w:pPr>
              <w:widowControl/>
              <w:jc w:val="center"/>
              <w:textAlignment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 w:val="18"/>
                <w:szCs w:val="18"/>
                <w:highlight w:val="none"/>
              </w:rPr>
              <w:t>……</w:t>
            </w:r>
          </w:p>
        </w:tc>
        <w:tc>
          <w:tcPr>
            <w:tcW w:w="960" w:type="dxa"/>
            <w:vAlign w:val="center"/>
          </w:tcPr>
          <w:p w14:paraId="3EDD4F46">
            <w:pPr>
              <w:widowControl/>
              <w:jc w:val="center"/>
              <w:rPr>
                <w:rFonts w:hint="eastAsia" w:ascii="宋体" w:hAnsi="宋体" w:eastAsia="宋体" w:cs="宋体"/>
                <w:color w:val="auto"/>
                <w:kern w:val="0"/>
                <w:szCs w:val="21"/>
                <w:highlight w:val="none"/>
                <w:lang w:val="en-US" w:eastAsia="zh-CN"/>
              </w:rPr>
            </w:pPr>
          </w:p>
        </w:tc>
        <w:tc>
          <w:tcPr>
            <w:tcW w:w="2750" w:type="dxa"/>
            <w:vAlign w:val="center"/>
          </w:tcPr>
          <w:p w14:paraId="483B84AF">
            <w:pPr>
              <w:widowControl/>
              <w:jc w:val="center"/>
              <w:textAlignment w:val="center"/>
              <w:rPr>
                <w:rFonts w:hint="eastAsia" w:ascii="宋体" w:hAnsi="宋体" w:cs="宋体"/>
                <w:color w:val="auto"/>
                <w:kern w:val="0"/>
                <w:szCs w:val="21"/>
                <w:highlight w:val="none"/>
              </w:rPr>
            </w:pPr>
          </w:p>
        </w:tc>
      </w:tr>
      <w:tr w14:paraId="35A2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95869A4">
            <w:pPr>
              <w:widowControl/>
              <w:jc w:val="center"/>
              <w:rPr>
                <w:rFonts w:hint="eastAsia" w:ascii="宋体" w:hAnsi="宋体" w:cs="宋体"/>
                <w:color w:val="auto"/>
                <w:kern w:val="0"/>
                <w:szCs w:val="21"/>
                <w:highlight w:val="none"/>
              </w:rPr>
            </w:pPr>
          </w:p>
        </w:tc>
        <w:tc>
          <w:tcPr>
            <w:tcW w:w="1134" w:type="dxa"/>
            <w:vAlign w:val="center"/>
          </w:tcPr>
          <w:p w14:paraId="0AF5A797">
            <w:pPr>
              <w:widowControl/>
              <w:jc w:val="center"/>
              <w:rPr>
                <w:rFonts w:hint="eastAsia" w:ascii="宋体" w:hAnsi="宋体" w:cs="宋体"/>
                <w:color w:val="auto"/>
                <w:kern w:val="0"/>
                <w:szCs w:val="21"/>
                <w:highlight w:val="none"/>
              </w:rPr>
            </w:pPr>
          </w:p>
        </w:tc>
        <w:tc>
          <w:tcPr>
            <w:tcW w:w="2211" w:type="dxa"/>
            <w:vAlign w:val="center"/>
          </w:tcPr>
          <w:p w14:paraId="002894EC">
            <w:pPr>
              <w:widowControl/>
              <w:jc w:val="center"/>
              <w:rPr>
                <w:rFonts w:hint="eastAsia" w:ascii="宋体" w:hAnsi="宋体" w:cs="宋体"/>
                <w:color w:val="auto"/>
                <w:kern w:val="0"/>
                <w:szCs w:val="21"/>
                <w:highlight w:val="none"/>
              </w:rPr>
            </w:pPr>
          </w:p>
        </w:tc>
        <w:tc>
          <w:tcPr>
            <w:tcW w:w="1701" w:type="dxa"/>
            <w:vAlign w:val="center"/>
          </w:tcPr>
          <w:p w14:paraId="4B4DFAF1">
            <w:pPr>
              <w:widowControl/>
              <w:jc w:val="center"/>
              <w:textAlignment w:val="center"/>
              <w:rPr>
                <w:rFonts w:hint="default" w:ascii="宋体" w:hAnsi="宋体" w:eastAsia="宋体" w:cs="宋体"/>
                <w:color w:val="auto"/>
                <w:kern w:val="0"/>
                <w:szCs w:val="21"/>
                <w:highlight w:val="none"/>
                <w:lang w:val="en-US" w:eastAsia="zh-CN"/>
              </w:rPr>
            </w:pPr>
          </w:p>
        </w:tc>
        <w:tc>
          <w:tcPr>
            <w:tcW w:w="960" w:type="dxa"/>
            <w:vAlign w:val="center"/>
          </w:tcPr>
          <w:p w14:paraId="29CD1182">
            <w:pPr>
              <w:widowControl/>
              <w:jc w:val="center"/>
              <w:rPr>
                <w:rFonts w:hint="eastAsia" w:ascii="宋体" w:hAnsi="宋体" w:cs="宋体"/>
                <w:color w:val="auto"/>
                <w:kern w:val="0"/>
                <w:szCs w:val="21"/>
                <w:highlight w:val="none"/>
              </w:rPr>
            </w:pPr>
          </w:p>
        </w:tc>
        <w:tc>
          <w:tcPr>
            <w:tcW w:w="2750" w:type="dxa"/>
            <w:vAlign w:val="center"/>
          </w:tcPr>
          <w:p w14:paraId="10F7C084">
            <w:pPr>
              <w:widowControl/>
              <w:jc w:val="center"/>
              <w:textAlignment w:val="center"/>
              <w:rPr>
                <w:rFonts w:hint="eastAsia" w:ascii="宋体" w:hAnsi="宋体" w:cs="宋体"/>
                <w:color w:val="auto"/>
                <w:kern w:val="0"/>
                <w:szCs w:val="21"/>
                <w:highlight w:val="none"/>
              </w:rPr>
            </w:pPr>
          </w:p>
        </w:tc>
      </w:tr>
      <w:tr w14:paraId="78E9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6686EC2">
            <w:pPr>
              <w:widowControl/>
              <w:jc w:val="center"/>
              <w:rPr>
                <w:rFonts w:hint="eastAsia" w:ascii="宋体" w:hAnsi="宋体" w:cs="宋体"/>
                <w:color w:val="auto"/>
                <w:kern w:val="0"/>
                <w:szCs w:val="21"/>
                <w:highlight w:val="none"/>
              </w:rPr>
            </w:pPr>
          </w:p>
        </w:tc>
        <w:tc>
          <w:tcPr>
            <w:tcW w:w="1134" w:type="dxa"/>
            <w:vAlign w:val="center"/>
          </w:tcPr>
          <w:p w14:paraId="459FBA2E">
            <w:pPr>
              <w:widowControl/>
              <w:jc w:val="center"/>
              <w:rPr>
                <w:rFonts w:hint="eastAsia" w:ascii="宋体" w:hAnsi="宋体" w:cs="宋体"/>
                <w:color w:val="auto"/>
                <w:kern w:val="0"/>
                <w:szCs w:val="21"/>
                <w:highlight w:val="none"/>
              </w:rPr>
            </w:pPr>
          </w:p>
        </w:tc>
        <w:tc>
          <w:tcPr>
            <w:tcW w:w="2211" w:type="dxa"/>
            <w:vAlign w:val="center"/>
          </w:tcPr>
          <w:p w14:paraId="110C1BA6">
            <w:pPr>
              <w:widowControl/>
              <w:jc w:val="center"/>
              <w:rPr>
                <w:rFonts w:hint="eastAsia" w:ascii="宋体" w:hAnsi="宋体" w:cs="宋体"/>
                <w:color w:val="auto"/>
                <w:kern w:val="0"/>
                <w:szCs w:val="21"/>
                <w:highlight w:val="none"/>
              </w:rPr>
            </w:pPr>
          </w:p>
        </w:tc>
        <w:tc>
          <w:tcPr>
            <w:tcW w:w="1701" w:type="dxa"/>
            <w:vAlign w:val="center"/>
          </w:tcPr>
          <w:p w14:paraId="256EC483">
            <w:pPr>
              <w:widowControl/>
              <w:jc w:val="center"/>
              <w:textAlignment w:val="center"/>
              <w:rPr>
                <w:rFonts w:hint="eastAsia" w:ascii="宋体" w:hAnsi="宋体" w:cs="宋体"/>
                <w:color w:val="auto"/>
                <w:kern w:val="0"/>
                <w:szCs w:val="21"/>
                <w:highlight w:val="none"/>
              </w:rPr>
            </w:pPr>
          </w:p>
        </w:tc>
        <w:tc>
          <w:tcPr>
            <w:tcW w:w="960" w:type="dxa"/>
            <w:vAlign w:val="center"/>
          </w:tcPr>
          <w:p w14:paraId="6E4B5BF0">
            <w:pPr>
              <w:widowControl/>
              <w:jc w:val="center"/>
              <w:rPr>
                <w:rFonts w:hint="eastAsia" w:ascii="宋体" w:hAnsi="宋体" w:cs="宋体"/>
                <w:color w:val="auto"/>
                <w:kern w:val="0"/>
                <w:szCs w:val="21"/>
                <w:highlight w:val="none"/>
              </w:rPr>
            </w:pPr>
          </w:p>
        </w:tc>
        <w:tc>
          <w:tcPr>
            <w:tcW w:w="2750" w:type="dxa"/>
            <w:vAlign w:val="center"/>
          </w:tcPr>
          <w:p w14:paraId="35F0E675">
            <w:pPr>
              <w:widowControl/>
              <w:jc w:val="center"/>
              <w:textAlignment w:val="center"/>
              <w:rPr>
                <w:rFonts w:hint="eastAsia" w:ascii="宋体" w:hAnsi="宋体" w:cs="宋体"/>
                <w:color w:val="auto"/>
                <w:kern w:val="0"/>
                <w:szCs w:val="21"/>
                <w:highlight w:val="none"/>
              </w:rPr>
            </w:pPr>
          </w:p>
        </w:tc>
      </w:tr>
      <w:tr w14:paraId="1F431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2BCF896">
            <w:pPr>
              <w:widowControl/>
              <w:jc w:val="center"/>
              <w:rPr>
                <w:rFonts w:hint="eastAsia" w:ascii="宋体" w:hAnsi="宋体" w:cs="宋体"/>
                <w:color w:val="auto"/>
                <w:kern w:val="0"/>
                <w:szCs w:val="21"/>
                <w:highlight w:val="none"/>
              </w:rPr>
            </w:pPr>
          </w:p>
        </w:tc>
        <w:tc>
          <w:tcPr>
            <w:tcW w:w="1134" w:type="dxa"/>
            <w:vAlign w:val="center"/>
          </w:tcPr>
          <w:p w14:paraId="4C670237">
            <w:pPr>
              <w:widowControl/>
              <w:jc w:val="center"/>
              <w:rPr>
                <w:rFonts w:hint="eastAsia" w:ascii="宋体" w:hAnsi="宋体" w:cs="宋体"/>
                <w:color w:val="auto"/>
                <w:kern w:val="0"/>
                <w:szCs w:val="21"/>
                <w:highlight w:val="none"/>
              </w:rPr>
            </w:pPr>
          </w:p>
        </w:tc>
        <w:tc>
          <w:tcPr>
            <w:tcW w:w="2211" w:type="dxa"/>
            <w:shd w:val="clear" w:color="auto" w:fill="auto"/>
            <w:vAlign w:val="center"/>
          </w:tcPr>
          <w:p w14:paraId="43CE09FC">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701" w:type="dxa"/>
            <w:shd w:val="clear" w:color="auto" w:fill="auto"/>
            <w:vAlign w:val="center"/>
          </w:tcPr>
          <w:p w14:paraId="34BE59D9">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960" w:type="dxa"/>
            <w:shd w:val="clear" w:color="auto" w:fill="auto"/>
            <w:vAlign w:val="center"/>
          </w:tcPr>
          <w:p w14:paraId="101ABFBB">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2750" w:type="dxa"/>
            <w:shd w:val="clear" w:color="auto" w:fill="auto"/>
            <w:vAlign w:val="center"/>
          </w:tcPr>
          <w:p w14:paraId="4A12EB8F">
            <w:pPr>
              <w:widowControl/>
              <w:jc w:val="center"/>
              <w:textAlignment w:val="center"/>
              <w:rPr>
                <w:rFonts w:hint="eastAsia" w:ascii="宋体" w:hAnsi="宋体" w:eastAsia="宋体" w:cs="宋体"/>
                <w:color w:val="auto"/>
                <w:kern w:val="0"/>
                <w:sz w:val="21"/>
                <w:szCs w:val="21"/>
                <w:highlight w:val="none"/>
                <w:lang w:val="en-US" w:eastAsia="zh-CN" w:bidi="ar"/>
              </w:rPr>
            </w:pPr>
          </w:p>
        </w:tc>
      </w:tr>
      <w:tr w14:paraId="4B30B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2012767F">
            <w:pPr>
              <w:widowControl/>
              <w:jc w:val="center"/>
              <w:rPr>
                <w:rFonts w:hint="eastAsia" w:ascii="宋体" w:hAnsi="宋体" w:cs="宋体"/>
                <w:color w:val="auto"/>
                <w:kern w:val="0"/>
                <w:szCs w:val="21"/>
                <w:highlight w:val="none"/>
              </w:rPr>
            </w:pPr>
          </w:p>
        </w:tc>
        <w:tc>
          <w:tcPr>
            <w:tcW w:w="1134" w:type="dxa"/>
            <w:vAlign w:val="center"/>
          </w:tcPr>
          <w:p w14:paraId="3BECF9E4">
            <w:pPr>
              <w:widowControl/>
              <w:jc w:val="center"/>
              <w:rPr>
                <w:rFonts w:hint="eastAsia" w:ascii="宋体" w:hAnsi="宋体" w:cs="宋体"/>
                <w:color w:val="auto"/>
                <w:kern w:val="0"/>
                <w:szCs w:val="21"/>
                <w:highlight w:val="none"/>
              </w:rPr>
            </w:pPr>
          </w:p>
        </w:tc>
        <w:tc>
          <w:tcPr>
            <w:tcW w:w="2211" w:type="dxa"/>
            <w:shd w:val="clear" w:color="auto" w:fill="auto"/>
            <w:vAlign w:val="center"/>
          </w:tcPr>
          <w:p w14:paraId="7CB72A8C">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701" w:type="dxa"/>
            <w:shd w:val="clear" w:color="auto" w:fill="auto"/>
            <w:vAlign w:val="center"/>
          </w:tcPr>
          <w:p w14:paraId="582FCED1">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60" w:type="dxa"/>
            <w:shd w:val="clear" w:color="auto" w:fill="auto"/>
            <w:vAlign w:val="center"/>
          </w:tcPr>
          <w:p w14:paraId="55F24A87">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2750" w:type="dxa"/>
            <w:shd w:val="clear" w:color="auto" w:fill="auto"/>
            <w:vAlign w:val="center"/>
          </w:tcPr>
          <w:p w14:paraId="09BBE673">
            <w:pPr>
              <w:widowControl/>
              <w:jc w:val="center"/>
              <w:rPr>
                <w:rFonts w:hint="eastAsia" w:ascii="宋体" w:hAnsi="宋体" w:eastAsia="宋体" w:cs="宋体"/>
                <w:color w:val="auto"/>
                <w:kern w:val="2"/>
                <w:sz w:val="21"/>
                <w:szCs w:val="21"/>
                <w:highlight w:val="none"/>
                <w:lang w:val="en-US" w:eastAsia="zh-CN" w:bidi="ar-SA"/>
              </w:rPr>
            </w:pPr>
          </w:p>
        </w:tc>
      </w:tr>
      <w:tr w14:paraId="3226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1FC352E9">
            <w:pPr>
              <w:widowControl/>
              <w:jc w:val="center"/>
              <w:rPr>
                <w:rFonts w:hint="eastAsia" w:ascii="宋体" w:hAnsi="宋体" w:cs="宋体"/>
                <w:color w:val="auto"/>
                <w:kern w:val="0"/>
                <w:szCs w:val="21"/>
                <w:highlight w:val="none"/>
              </w:rPr>
            </w:pPr>
          </w:p>
        </w:tc>
        <w:tc>
          <w:tcPr>
            <w:tcW w:w="1134" w:type="dxa"/>
            <w:vAlign w:val="center"/>
          </w:tcPr>
          <w:p w14:paraId="4B0D2FAA">
            <w:pPr>
              <w:widowControl/>
              <w:jc w:val="center"/>
              <w:rPr>
                <w:rFonts w:hint="eastAsia" w:ascii="宋体" w:hAnsi="宋体" w:cs="宋体"/>
                <w:color w:val="auto"/>
                <w:kern w:val="0"/>
                <w:szCs w:val="21"/>
                <w:highlight w:val="none"/>
              </w:rPr>
            </w:pPr>
          </w:p>
        </w:tc>
        <w:tc>
          <w:tcPr>
            <w:tcW w:w="2211" w:type="dxa"/>
            <w:shd w:val="clear" w:color="auto" w:fill="auto"/>
            <w:vAlign w:val="center"/>
          </w:tcPr>
          <w:p w14:paraId="510C9256">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701" w:type="dxa"/>
            <w:shd w:val="clear" w:color="auto" w:fill="auto"/>
            <w:vAlign w:val="center"/>
          </w:tcPr>
          <w:p w14:paraId="74F351AE">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960" w:type="dxa"/>
            <w:shd w:val="clear" w:color="auto" w:fill="auto"/>
            <w:vAlign w:val="center"/>
          </w:tcPr>
          <w:p w14:paraId="11C75A08">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2750" w:type="dxa"/>
            <w:shd w:val="clear" w:color="auto" w:fill="auto"/>
            <w:vAlign w:val="center"/>
          </w:tcPr>
          <w:p w14:paraId="120A6840">
            <w:pPr>
              <w:widowControl/>
              <w:jc w:val="center"/>
              <w:rPr>
                <w:rFonts w:hint="eastAsia" w:ascii="宋体" w:hAnsi="宋体" w:eastAsia="宋体" w:cs="宋体"/>
                <w:color w:val="auto"/>
                <w:kern w:val="0"/>
                <w:sz w:val="21"/>
                <w:szCs w:val="21"/>
                <w:highlight w:val="none"/>
                <w:lang w:val="en-US" w:eastAsia="zh-CN" w:bidi="ar-SA"/>
              </w:rPr>
            </w:pPr>
          </w:p>
        </w:tc>
      </w:tr>
      <w:tr w14:paraId="76C3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0AA59DEE">
            <w:pPr>
              <w:widowControl/>
              <w:jc w:val="center"/>
              <w:rPr>
                <w:rFonts w:hint="eastAsia" w:ascii="宋体" w:hAnsi="宋体" w:cs="宋体"/>
                <w:color w:val="auto"/>
                <w:kern w:val="0"/>
                <w:szCs w:val="21"/>
                <w:highlight w:val="none"/>
              </w:rPr>
            </w:pPr>
          </w:p>
        </w:tc>
        <w:tc>
          <w:tcPr>
            <w:tcW w:w="1134" w:type="dxa"/>
            <w:vAlign w:val="center"/>
          </w:tcPr>
          <w:p w14:paraId="24EDD940">
            <w:pPr>
              <w:widowControl/>
              <w:jc w:val="center"/>
              <w:rPr>
                <w:rFonts w:hint="eastAsia" w:ascii="宋体" w:hAnsi="宋体" w:cs="宋体"/>
                <w:color w:val="auto"/>
                <w:kern w:val="0"/>
                <w:szCs w:val="21"/>
                <w:highlight w:val="none"/>
              </w:rPr>
            </w:pPr>
          </w:p>
        </w:tc>
        <w:tc>
          <w:tcPr>
            <w:tcW w:w="2211" w:type="dxa"/>
            <w:shd w:val="clear" w:color="auto" w:fill="auto"/>
            <w:vAlign w:val="center"/>
          </w:tcPr>
          <w:p w14:paraId="2728549F">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701" w:type="dxa"/>
            <w:shd w:val="clear" w:color="auto" w:fill="auto"/>
            <w:vAlign w:val="center"/>
          </w:tcPr>
          <w:p w14:paraId="7BD3DBB1">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60" w:type="dxa"/>
            <w:shd w:val="clear" w:color="auto" w:fill="auto"/>
            <w:vAlign w:val="center"/>
          </w:tcPr>
          <w:p w14:paraId="731C373C">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2750" w:type="dxa"/>
            <w:shd w:val="clear" w:color="auto" w:fill="auto"/>
            <w:vAlign w:val="center"/>
          </w:tcPr>
          <w:p w14:paraId="3D4E65B1">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0FE72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9272F39">
            <w:pPr>
              <w:widowControl/>
              <w:jc w:val="center"/>
              <w:rPr>
                <w:rFonts w:hint="eastAsia" w:ascii="宋体" w:hAnsi="宋体" w:cs="宋体"/>
                <w:color w:val="auto"/>
                <w:kern w:val="0"/>
                <w:szCs w:val="21"/>
                <w:highlight w:val="none"/>
              </w:rPr>
            </w:pPr>
          </w:p>
        </w:tc>
        <w:tc>
          <w:tcPr>
            <w:tcW w:w="1134" w:type="dxa"/>
            <w:vAlign w:val="center"/>
          </w:tcPr>
          <w:p w14:paraId="52A14158">
            <w:pPr>
              <w:widowControl/>
              <w:jc w:val="center"/>
              <w:rPr>
                <w:rFonts w:hint="eastAsia" w:ascii="宋体" w:hAnsi="宋体" w:cs="宋体"/>
                <w:color w:val="auto"/>
                <w:kern w:val="0"/>
                <w:szCs w:val="21"/>
                <w:highlight w:val="none"/>
              </w:rPr>
            </w:pPr>
          </w:p>
        </w:tc>
        <w:tc>
          <w:tcPr>
            <w:tcW w:w="2211" w:type="dxa"/>
            <w:shd w:val="clear" w:color="auto" w:fill="auto"/>
            <w:vAlign w:val="center"/>
          </w:tcPr>
          <w:p w14:paraId="2FA27B5E">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701" w:type="dxa"/>
            <w:shd w:val="clear" w:color="auto" w:fill="auto"/>
            <w:vAlign w:val="center"/>
          </w:tcPr>
          <w:p w14:paraId="6E3FB686">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60" w:type="dxa"/>
            <w:shd w:val="clear" w:color="auto" w:fill="auto"/>
            <w:vAlign w:val="center"/>
          </w:tcPr>
          <w:p w14:paraId="6EE07257">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2750" w:type="dxa"/>
            <w:shd w:val="clear" w:color="auto" w:fill="auto"/>
            <w:vAlign w:val="center"/>
          </w:tcPr>
          <w:p w14:paraId="615D2331">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06A3D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6AC3642C">
            <w:pPr>
              <w:widowControl/>
              <w:jc w:val="center"/>
              <w:rPr>
                <w:rFonts w:hint="eastAsia" w:ascii="宋体" w:hAnsi="宋体" w:cs="宋体"/>
                <w:color w:val="auto"/>
                <w:kern w:val="0"/>
                <w:szCs w:val="21"/>
                <w:highlight w:val="none"/>
              </w:rPr>
            </w:pPr>
          </w:p>
        </w:tc>
        <w:tc>
          <w:tcPr>
            <w:tcW w:w="1134" w:type="dxa"/>
            <w:vAlign w:val="center"/>
          </w:tcPr>
          <w:p w14:paraId="0287CED7">
            <w:pPr>
              <w:widowControl/>
              <w:jc w:val="center"/>
              <w:rPr>
                <w:rFonts w:hint="eastAsia" w:ascii="宋体" w:hAnsi="宋体" w:cs="宋体"/>
                <w:color w:val="auto"/>
                <w:kern w:val="0"/>
                <w:szCs w:val="21"/>
                <w:highlight w:val="none"/>
              </w:rPr>
            </w:pPr>
          </w:p>
        </w:tc>
        <w:tc>
          <w:tcPr>
            <w:tcW w:w="2211" w:type="dxa"/>
            <w:shd w:val="clear" w:color="auto" w:fill="auto"/>
            <w:vAlign w:val="center"/>
          </w:tcPr>
          <w:p w14:paraId="060349E7">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701" w:type="dxa"/>
            <w:shd w:val="clear" w:color="auto" w:fill="auto"/>
            <w:vAlign w:val="center"/>
          </w:tcPr>
          <w:p w14:paraId="01FAEA63">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60" w:type="dxa"/>
            <w:shd w:val="clear" w:color="auto" w:fill="auto"/>
            <w:vAlign w:val="center"/>
          </w:tcPr>
          <w:p w14:paraId="77031DC5">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2750" w:type="dxa"/>
            <w:shd w:val="clear" w:color="auto" w:fill="auto"/>
            <w:vAlign w:val="center"/>
          </w:tcPr>
          <w:p w14:paraId="4304043A">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35CB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7762CFC1">
            <w:pPr>
              <w:widowControl/>
              <w:jc w:val="center"/>
              <w:rPr>
                <w:rFonts w:hint="eastAsia" w:ascii="宋体" w:hAnsi="宋体" w:cs="宋体"/>
                <w:color w:val="auto"/>
                <w:kern w:val="0"/>
                <w:szCs w:val="21"/>
                <w:highlight w:val="none"/>
              </w:rPr>
            </w:pPr>
          </w:p>
        </w:tc>
        <w:tc>
          <w:tcPr>
            <w:tcW w:w="1134" w:type="dxa"/>
            <w:vAlign w:val="center"/>
          </w:tcPr>
          <w:p w14:paraId="133AFA82">
            <w:pPr>
              <w:widowControl/>
              <w:jc w:val="center"/>
              <w:rPr>
                <w:rFonts w:hint="eastAsia" w:ascii="宋体" w:hAnsi="宋体" w:cs="宋体"/>
                <w:color w:val="auto"/>
                <w:kern w:val="0"/>
                <w:szCs w:val="21"/>
                <w:highlight w:val="none"/>
              </w:rPr>
            </w:pPr>
          </w:p>
        </w:tc>
        <w:tc>
          <w:tcPr>
            <w:tcW w:w="2211" w:type="dxa"/>
            <w:shd w:val="clear" w:color="auto" w:fill="auto"/>
            <w:vAlign w:val="center"/>
          </w:tcPr>
          <w:p w14:paraId="54E4A2BD">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701" w:type="dxa"/>
            <w:shd w:val="clear" w:color="auto" w:fill="auto"/>
            <w:vAlign w:val="center"/>
          </w:tcPr>
          <w:p w14:paraId="2D41D932">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60" w:type="dxa"/>
            <w:shd w:val="clear" w:color="auto" w:fill="auto"/>
            <w:vAlign w:val="center"/>
          </w:tcPr>
          <w:p w14:paraId="31EB5A3D">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2750" w:type="dxa"/>
            <w:shd w:val="clear" w:color="auto" w:fill="auto"/>
            <w:vAlign w:val="center"/>
          </w:tcPr>
          <w:p w14:paraId="79F7EB58">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1EE74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37" w:type="dxa"/>
            <w:vAlign w:val="center"/>
          </w:tcPr>
          <w:p w14:paraId="3060278B">
            <w:pPr>
              <w:widowControl/>
              <w:jc w:val="center"/>
              <w:rPr>
                <w:rFonts w:hint="eastAsia" w:ascii="宋体" w:hAnsi="宋体" w:cs="宋体"/>
                <w:color w:val="auto"/>
                <w:kern w:val="0"/>
                <w:sz w:val="18"/>
                <w:szCs w:val="18"/>
                <w:highlight w:val="none"/>
              </w:rPr>
            </w:pPr>
          </w:p>
        </w:tc>
        <w:tc>
          <w:tcPr>
            <w:tcW w:w="1134" w:type="dxa"/>
            <w:vAlign w:val="center"/>
          </w:tcPr>
          <w:p w14:paraId="0C183906">
            <w:pPr>
              <w:widowControl/>
              <w:jc w:val="center"/>
              <w:rPr>
                <w:rFonts w:hint="eastAsia" w:ascii="宋体" w:hAnsi="宋体" w:cs="宋体"/>
                <w:color w:val="auto"/>
                <w:kern w:val="0"/>
                <w:sz w:val="18"/>
                <w:szCs w:val="18"/>
                <w:highlight w:val="none"/>
              </w:rPr>
            </w:pPr>
          </w:p>
        </w:tc>
        <w:tc>
          <w:tcPr>
            <w:tcW w:w="2211" w:type="dxa"/>
            <w:vAlign w:val="center"/>
          </w:tcPr>
          <w:p w14:paraId="1665D555">
            <w:pPr>
              <w:widowControl/>
              <w:jc w:val="center"/>
              <w:rPr>
                <w:rFonts w:hint="eastAsia" w:ascii="宋体" w:hAnsi="宋体" w:cs="宋体"/>
                <w:color w:val="auto"/>
                <w:kern w:val="0"/>
                <w:sz w:val="18"/>
                <w:szCs w:val="18"/>
                <w:highlight w:val="none"/>
              </w:rPr>
            </w:pPr>
          </w:p>
        </w:tc>
        <w:tc>
          <w:tcPr>
            <w:tcW w:w="1701" w:type="dxa"/>
            <w:vAlign w:val="center"/>
          </w:tcPr>
          <w:p w14:paraId="23CFE232">
            <w:pPr>
              <w:widowControl/>
              <w:jc w:val="center"/>
              <w:rPr>
                <w:rFonts w:hint="eastAsia" w:ascii="宋体" w:hAnsi="宋体" w:cs="宋体"/>
                <w:color w:val="auto"/>
                <w:kern w:val="0"/>
                <w:sz w:val="18"/>
                <w:szCs w:val="18"/>
                <w:highlight w:val="none"/>
              </w:rPr>
            </w:pPr>
          </w:p>
        </w:tc>
        <w:tc>
          <w:tcPr>
            <w:tcW w:w="960" w:type="dxa"/>
            <w:vAlign w:val="center"/>
          </w:tcPr>
          <w:p w14:paraId="23596888">
            <w:pPr>
              <w:widowControl/>
              <w:jc w:val="center"/>
              <w:rPr>
                <w:rFonts w:hint="eastAsia" w:ascii="宋体" w:hAnsi="宋体" w:cs="宋体"/>
                <w:color w:val="auto"/>
                <w:kern w:val="0"/>
                <w:sz w:val="18"/>
                <w:szCs w:val="18"/>
                <w:highlight w:val="none"/>
              </w:rPr>
            </w:pPr>
          </w:p>
        </w:tc>
        <w:tc>
          <w:tcPr>
            <w:tcW w:w="2750" w:type="dxa"/>
            <w:vAlign w:val="center"/>
          </w:tcPr>
          <w:p w14:paraId="622E94D5">
            <w:pPr>
              <w:widowControl/>
              <w:rPr>
                <w:rFonts w:hint="eastAsia" w:ascii="宋体" w:hAnsi="宋体" w:cs="宋体"/>
                <w:color w:val="auto"/>
                <w:kern w:val="0"/>
                <w:sz w:val="18"/>
                <w:szCs w:val="18"/>
                <w:highlight w:val="none"/>
              </w:rPr>
            </w:pPr>
          </w:p>
        </w:tc>
      </w:tr>
    </w:tbl>
    <w:p w14:paraId="1029458F">
      <w:pPr>
        <w:widowControl/>
        <w:shd w:val="clear" w:color="auto" w:fill="FFFFFF"/>
        <w:adjustRightInd w:val="0"/>
        <w:ind w:firstLine="402" w:firstLineChars="200"/>
        <w:jc w:val="left"/>
        <w:rPr>
          <w:rFonts w:hint="eastAsia" w:ascii="宋体" w:hAnsi="宋体" w:cs="宋体"/>
          <w:color w:val="auto"/>
          <w:sz w:val="20"/>
          <w:szCs w:val="20"/>
          <w:highlight w:val="none"/>
        </w:rPr>
      </w:pPr>
      <w:r>
        <w:rPr>
          <w:rFonts w:hint="eastAsia" w:ascii="宋体" w:hAnsi="宋体" w:cs="宋体"/>
          <w:b/>
          <w:bCs/>
          <w:color w:val="auto"/>
          <w:kern w:val="0"/>
          <w:sz w:val="20"/>
          <w:szCs w:val="20"/>
          <w:highlight w:val="none"/>
        </w:rPr>
        <w:t>注</w:t>
      </w:r>
      <w:r>
        <w:rPr>
          <w:rFonts w:hint="eastAsia" w:ascii="宋体" w:hAnsi="宋体" w:cs="宋体"/>
          <w:color w:val="auto"/>
          <w:kern w:val="0"/>
          <w:sz w:val="20"/>
          <w:szCs w:val="20"/>
          <w:highlight w:val="none"/>
        </w:rPr>
        <w:t>：</w:t>
      </w:r>
      <w:r>
        <w:rPr>
          <w:rFonts w:ascii="宋体" w:hAnsi="宋体" w:cs="宋体"/>
          <w:color w:val="auto"/>
          <w:kern w:val="0"/>
          <w:sz w:val="20"/>
          <w:szCs w:val="20"/>
          <w:highlight w:val="none"/>
        </w:rPr>
        <w:t>1</w:t>
      </w:r>
      <w:r>
        <w:rPr>
          <w:rFonts w:hint="eastAsia" w:ascii="宋体" w:hAnsi="宋体" w:cs="宋体"/>
          <w:color w:val="auto"/>
          <w:kern w:val="0"/>
          <w:sz w:val="20"/>
          <w:szCs w:val="20"/>
          <w:highlight w:val="none"/>
        </w:rPr>
        <w:t>、本表为项目主要人员的基本要求，投标单位可根据自身情况增加专业技术管理人员，</w:t>
      </w:r>
      <w:r>
        <w:rPr>
          <w:rFonts w:hint="eastAsia" w:ascii="宋体" w:hAnsi="宋体" w:cs="宋体"/>
          <w:color w:val="auto"/>
          <w:sz w:val="20"/>
          <w:szCs w:val="20"/>
          <w:highlight w:val="none"/>
        </w:rPr>
        <w:t>各岗位人员不得相互兼职。</w:t>
      </w:r>
    </w:p>
    <w:p w14:paraId="22CC6203">
      <w:pPr>
        <w:widowControl/>
        <w:shd w:val="clear" w:color="auto" w:fill="FFFFFF"/>
        <w:adjustRightInd w:val="0"/>
        <w:ind w:firstLine="400" w:firstLineChars="200"/>
        <w:jc w:val="left"/>
        <w:rPr>
          <w:rFonts w:ascii="宋体"/>
          <w:color w:val="auto"/>
          <w:kern w:val="0"/>
          <w:sz w:val="20"/>
          <w:szCs w:val="20"/>
          <w:highlight w:val="none"/>
        </w:rPr>
      </w:pPr>
      <w:r>
        <w:rPr>
          <w:rFonts w:hint="eastAsia" w:ascii="宋体" w:hAnsi="宋体" w:cs="宋体"/>
          <w:color w:val="auto"/>
          <w:kern w:val="0"/>
          <w:sz w:val="20"/>
          <w:szCs w:val="20"/>
          <w:highlight w:val="none"/>
        </w:rPr>
        <w:t>2、本表主要人员需提供</w:t>
      </w:r>
      <w:r>
        <w:rPr>
          <w:rFonts w:hint="eastAsia" w:ascii="宋体" w:hAnsi="宋体" w:cs="宋体"/>
          <w:color w:val="auto"/>
          <w:kern w:val="0"/>
          <w:sz w:val="20"/>
          <w:szCs w:val="20"/>
          <w:highlight w:val="none"/>
          <w:u w:val="single"/>
        </w:rPr>
        <w:t>投标截止时间前近</w:t>
      </w:r>
      <w:r>
        <w:rPr>
          <w:rFonts w:ascii="宋体" w:hAnsi="宋体" w:cs="宋体"/>
          <w:color w:val="auto"/>
          <w:kern w:val="0"/>
          <w:sz w:val="20"/>
          <w:szCs w:val="20"/>
          <w:highlight w:val="none"/>
          <w:u w:val="single"/>
        </w:rPr>
        <w:t>1</w:t>
      </w:r>
      <w:r>
        <w:rPr>
          <w:rFonts w:hint="eastAsia" w:ascii="宋体" w:hAnsi="宋体" w:cs="宋体"/>
          <w:color w:val="auto"/>
          <w:kern w:val="0"/>
          <w:sz w:val="20"/>
          <w:szCs w:val="20"/>
          <w:highlight w:val="none"/>
          <w:u w:val="single"/>
        </w:rPr>
        <w:t>个月（2025年</w:t>
      </w:r>
      <w:r>
        <w:rPr>
          <w:rFonts w:hint="eastAsia" w:ascii="宋体" w:hAnsi="宋体" w:cs="宋体"/>
          <w:color w:val="auto"/>
          <w:kern w:val="0"/>
          <w:sz w:val="20"/>
          <w:szCs w:val="20"/>
          <w:highlight w:val="none"/>
          <w:u w:val="single"/>
          <w:lang w:val="en-US" w:eastAsia="zh-CN"/>
        </w:rPr>
        <w:t>5</w:t>
      </w:r>
      <w:r>
        <w:rPr>
          <w:rFonts w:hint="eastAsia" w:ascii="宋体" w:hAnsi="宋体" w:cs="宋体"/>
          <w:color w:val="auto"/>
          <w:kern w:val="0"/>
          <w:sz w:val="20"/>
          <w:szCs w:val="20"/>
          <w:highlight w:val="none"/>
          <w:u w:val="single"/>
        </w:rPr>
        <w:t>月）</w:t>
      </w:r>
      <w:r>
        <w:rPr>
          <w:rFonts w:hint="eastAsia" w:ascii="宋体" w:hAnsi="宋体" w:eastAsia="宋体" w:cs="宋体"/>
          <w:color w:val="auto"/>
          <w:sz w:val="21"/>
          <w:szCs w:val="21"/>
          <w:highlight w:val="none"/>
          <w:shd w:val="clear" w:color="auto" w:fill="FFFFFF"/>
        </w:rPr>
        <w:t>在投标单位购买社保缴纳证明材料（若当地政策允许两个月缴纳一次社保的，可提供2025年4月在投标单位购买社保缴纳证明材料，须同时提供允许隔月缴纳社保的相关证明文件；若当地政府部门允许企业缓缴社会保险费且投标人未缴纳的，投标人可提供当地政府部门允许缓缴社保的相关文件作为缴纳社保的证明</w:t>
      </w:r>
      <w:r>
        <w:rPr>
          <w:rFonts w:hint="eastAsia" w:hAnsi="宋体" w:cs="宋体"/>
          <w:color w:val="auto"/>
          <w:sz w:val="21"/>
          <w:szCs w:val="21"/>
          <w:highlight w:val="none"/>
          <w:shd w:val="clear" w:color="auto" w:fill="FFFFFF"/>
          <w:lang w:eastAsia="zh-CN"/>
        </w:rPr>
        <w:t>）</w:t>
      </w:r>
      <w:r>
        <w:rPr>
          <w:rFonts w:hint="eastAsia" w:ascii="宋体" w:hAnsi="宋体" w:cs="宋体"/>
          <w:color w:val="auto"/>
          <w:kern w:val="0"/>
          <w:sz w:val="20"/>
          <w:szCs w:val="20"/>
          <w:highlight w:val="none"/>
        </w:rPr>
        <w:t>，项目主要人员需提供的其他证明文件复印件详见上表备注要求和《技术标详细审查评分标准》要求。</w:t>
      </w:r>
    </w:p>
    <w:p w14:paraId="6BA010B1">
      <w:pPr>
        <w:widowControl/>
        <w:shd w:val="clear" w:color="auto" w:fill="FFFFFF"/>
        <w:adjustRightInd w:val="0"/>
        <w:ind w:firstLine="400" w:firstLineChars="200"/>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3、拟投入的人员未经招标人同意，中标后不得更换，否则按合同约定承担违约责任。</w:t>
      </w:r>
    </w:p>
    <w:p w14:paraId="1449B958">
      <w:pPr>
        <w:pStyle w:val="22"/>
        <w:rPr>
          <w:color w:val="auto"/>
          <w:highlight w:val="none"/>
        </w:rPr>
      </w:pPr>
    </w:p>
    <w:p w14:paraId="0610E14A">
      <w:pPr>
        <w:pStyle w:val="56"/>
        <w:ind w:firstLine="3596" w:firstLineChars="1450"/>
        <w:rPr>
          <w:rFonts w:ascii="宋体"/>
          <w:color w:val="auto"/>
          <w:highlight w:val="none"/>
        </w:rPr>
      </w:pPr>
    </w:p>
    <w:p w14:paraId="568A3CB1">
      <w:pPr>
        <w:pStyle w:val="56"/>
        <w:ind w:firstLine="3306" w:firstLineChars="1450"/>
        <w:rPr>
          <w:rFonts w:ascii="宋体"/>
          <w:color w:val="auto"/>
          <w:sz w:val="22"/>
          <w:szCs w:val="22"/>
          <w:highlight w:val="none"/>
        </w:rPr>
      </w:pPr>
      <w:r>
        <w:rPr>
          <w:rFonts w:hint="eastAsia" w:ascii="宋体" w:hAnsi="宋体" w:cs="宋体"/>
          <w:color w:val="auto"/>
          <w:sz w:val="22"/>
          <w:szCs w:val="22"/>
          <w:highlight w:val="none"/>
        </w:rPr>
        <w:t>投标人</w:t>
      </w:r>
      <w:r>
        <w:rPr>
          <w:rFonts w:hint="eastAsia" w:ascii="宋体" w:hAnsi="宋体" w:cs="宋体"/>
          <w:color w:val="auto"/>
          <w:sz w:val="22"/>
          <w:szCs w:val="22"/>
          <w:highlight w:val="none"/>
          <w:lang w:val="en-US" w:eastAsia="zh-CN"/>
        </w:rPr>
        <w:t>名称</w:t>
      </w:r>
      <w:r>
        <w:rPr>
          <w:rFonts w:hint="eastAsia" w:ascii="宋体" w:hAnsi="宋体" w:cs="宋体"/>
          <w:color w:val="auto"/>
          <w:sz w:val="22"/>
          <w:szCs w:val="22"/>
          <w:highlight w:val="none"/>
        </w:rPr>
        <w:t>：</w:t>
      </w:r>
    </w:p>
    <w:p w14:paraId="65BD8A22">
      <w:pPr>
        <w:ind w:firstLine="3300" w:firstLineChars="1500"/>
        <w:rPr>
          <w:rFonts w:ascii="宋体"/>
          <w:color w:val="auto"/>
          <w:sz w:val="22"/>
          <w:highlight w:val="none"/>
        </w:rPr>
      </w:pPr>
      <w:r>
        <w:rPr>
          <w:rFonts w:hint="eastAsia" w:ascii="宋体" w:hAnsi="宋体" w:cs="宋体"/>
          <w:color w:val="auto"/>
          <w:sz w:val="22"/>
          <w:highlight w:val="none"/>
        </w:rPr>
        <w:t>日期：   年   月   日</w:t>
      </w:r>
    </w:p>
    <w:p w14:paraId="207635F3">
      <w:pPr>
        <w:widowControl/>
        <w:spacing w:line="360" w:lineRule="auto"/>
        <w:jc w:val="left"/>
        <w:outlineLvl w:val="2"/>
        <w:rPr>
          <w:b/>
          <w:color w:val="auto"/>
          <w:kern w:val="0"/>
          <w:sz w:val="24"/>
          <w:szCs w:val="24"/>
          <w:highlight w:val="none"/>
        </w:rPr>
      </w:pPr>
      <w:r>
        <w:rPr>
          <w:rFonts w:ascii="宋体"/>
          <w:b/>
          <w:bCs/>
          <w:color w:val="auto"/>
          <w:highlight w:val="none"/>
        </w:rPr>
        <w:br w:type="page"/>
      </w:r>
      <w:bookmarkStart w:id="49" w:name="_Toc14737"/>
      <w:r>
        <w:rPr>
          <w:rFonts w:hint="eastAsia"/>
          <w:b/>
          <w:color w:val="auto"/>
          <w:kern w:val="0"/>
          <w:sz w:val="24"/>
          <w:szCs w:val="24"/>
          <w:highlight w:val="none"/>
        </w:rPr>
        <w:t>格式六：项目负责人（或其他项目管理机构人员）基本情况及业绩表</w:t>
      </w:r>
      <w:bookmarkEnd w:id="49"/>
    </w:p>
    <w:p w14:paraId="0A2D787C">
      <w:pPr>
        <w:pStyle w:val="103"/>
        <w:spacing w:line="240" w:lineRule="auto"/>
        <w:rPr>
          <w:rFonts w:hint="eastAsia" w:ascii="宋体" w:hAnsi="宋体" w:eastAsia="宋体" w:cs="宋体"/>
          <w:color w:val="auto"/>
          <w:sz w:val="32"/>
          <w:szCs w:val="32"/>
          <w:highlight w:val="none"/>
        </w:rPr>
      </w:pPr>
    </w:p>
    <w:p w14:paraId="79C5D036">
      <w:pPr>
        <w:pStyle w:val="103"/>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项目负责人（或其他项目管理机构人员）基本情况及业绩表</w:t>
      </w:r>
    </w:p>
    <w:tbl>
      <w:tblPr>
        <w:tblStyle w:val="42"/>
        <w:tblW w:w="4998" w:type="pct"/>
        <w:jc w:val="center"/>
        <w:tblLayout w:type="autofit"/>
        <w:tblCellMar>
          <w:top w:w="0" w:type="dxa"/>
          <w:left w:w="28" w:type="dxa"/>
          <w:bottom w:w="0" w:type="dxa"/>
          <w:right w:w="28" w:type="dxa"/>
        </w:tblCellMar>
      </w:tblPr>
      <w:tblGrid>
        <w:gridCol w:w="939"/>
        <w:gridCol w:w="751"/>
        <w:gridCol w:w="956"/>
        <w:gridCol w:w="723"/>
        <w:gridCol w:w="727"/>
        <w:gridCol w:w="690"/>
        <w:gridCol w:w="276"/>
        <w:gridCol w:w="1093"/>
        <w:gridCol w:w="413"/>
        <w:gridCol w:w="1695"/>
        <w:gridCol w:w="163"/>
        <w:gridCol w:w="1372"/>
      </w:tblGrid>
      <w:tr w14:paraId="06556CBF">
        <w:tblPrEx>
          <w:tblCellMar>
            <w:top w:w="0" w:type="dxa"/>
            <w:left w:w="28" w:type="dxa"/>
            <w:bottom w:w="0" w:type="dxa"/>
            <w:right w:w="28" w:type="dxa"/>
          </w:tblCellMar>
        </w:tblPrEx>
        <w:trPr>
          <w:trHeight w:val="90" w:hRule="atLeast"/>
          <w:jc w:val="center"/>
        </w:trPr>
        <w:tc>
          <w:tcPr>
            <w:tcW w:w="862" w:type="pct"/>
            <w:gridSpan w:val="2"/>
            <w:tcBorders>
              <w:top w:val="single" w:color="auto" w:sz="4" w:space="0"/>
              <w:left w:val="single" w:color="auto" w:sz="4" w:space="0"/>
              <w:bottom w:val="single" w:color="auto" w:sz="6" w:space="0"/>
              <w:right w:val="single" w:color="auto" w:sz="6" w:space="0"/>
            </w:tcBorders>
            <w:vAlign w:val="center"/>
          </w:tcPr>
          <w:p w14:paraId="609A328C">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姓名</w:t>
            </w:r>
          </w:p>
        </w:tc>
        <w:tc>
          <w:tcPr>
            <w:tcW w:w="857" w:type="pct"/>
            <w:gridSpan w:val="2"/>
            <w:tcBorders>
              <w:top w:val="single" w:color="auto" w:sz="4" w:space="0"/>
              <w:left w:val="single" w:color="auto" w:sz="6" w:space="0"/>
              <w:bottom w:val="single" w:color="auto" w:sz="6" w:space="0"/>
              <w:right w:val="single" w:color="auto" w:sz="6" w:space="0"/>
            </w:tcBorders>
            <w:vAlign w:val="center"/>
          </w:tcPr>
          <w:p w14:paraId="29BC6748">
            <w:pPr>
              <w:jc w:val="center"/>
              <w:rPr>
                <w:rFonts w:hint="eastAsia" w:ascii="宋体" w:hAnsi="宋体" w:cs="宋体"/>
                <w:b/>
                <w:bCs/>
                <w:color w:val="auto"/>
                <w:kern w:val="28"/>
                <w:position w:val="-40"/>
                <w:szCs w:val="21"/>
                <w:highlight w:val="none"/>
              </w:rPr>
            </w:pPr>
          </w:p>
        </w:tc>
        <w:tc>
          <w:tcPr>
            <w:tcW w:w="723" w:type="pct"/>
            <w:gridSpan w:val="2"/>
            <w:tcBorders>
              <w:top w:val="single" w:color="auto" w:sz="4" w:space="0"/>
              <w:left w:val="single" w:color="auto" w:sz="6" w:space="0"/>
              <w:bottom w:val="single" w:color="auto" w:sz="6" w:space="0"/>
              <w:right w:val="single" w:color="auto" w:sz="6" w:space="0"/>
            </w:tcBorders>
            <w:vAlign w:val="center"/>
          </w:tcPr>
          <w:p w14:paraId="6B821FB1">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性别</w:t>
            </w:r>
          </w:p>
        </w:tc>
        <w:tc>
          <w:tcPr>
            <w:tcW w:w="698" w:type="pct"/>
            <w:gridSpan w:val="2"/>
            <w:tcBorders>
              <w:top w:val="single" w:color="auto" w:sz="4" w:space="0"/>
              <w:left w:val="single" w:color="auto" w:sz="6" w:space="0"/>
              <w:bottom w:val="single" w:color="auto" w:sz="6" w:space="0"/>
              <w:right w:val="single" w:color="auto" w:sz="6" w:space="0"/>
            </w:tcBorders>
            <w:vAlign w:val="center"/>
          </w:tcPr>
          <w:p w14:paraId="5CC8FE90">
            <w:pPr>
              <w:jc w:val="center"/>
              <w:rPr>
                <w:rFonts w:hint="eastAsia" w:ascii="宋体" w:hAnsi="宋体" w:cs="宋体"/>
                <w:b/>
                <w:bCs/>
                <w:color w:val="auto"/>
                <w:kern w:val="28"/>
                <w:position w:val="-40"/>
                <w:szCs w:val="21"/>
                <w:highlight w:val="none"/>
              </w:rPr>
            </w:pPr>
          </w:p>
        </w:tc>
        <w:tc>
          <w:tcPr>
            <w:tcW w:w="1159" w:type="pct"/>
            <w:gridSpan w:val="3"/>
            <w:tcBorders>
              <w:top w:val="single" w:color="auto" w:sz="4" w:space="0"/>
              <w:left w:val="single" w:color="auto" w:sz="6" w:space="0"/>
              <w:bottom w:val="single" w:color="auto" w:sz="6" w:space="0"/>
              <w:right w:val="single" w:color="auto" w:sz="6" w:space="0"/>
            </w:tcBorders>
            <w:vAlign w:val="center"/>
          </w:tcPr>
          <w:p w14:paraId="325A239B">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技术职称</w:t>
            </w:r>
          </w:p>
        </w:tc>
        <w:tc>
          <w:tcPr>
            <w:tcW w:w="697" w:type="pct"/>
            <w:tcBorders>
              <w:top w:val="single" w:color="auto" w:sz="4" w:space="0"/>
              <w:left w:val="single" w:color="auto" w:sz="6" w:space="0"/>
              <w:bottom w:val="single" w:color="auto" w:sz="6" w:space="0"/>
              <w:right w:val="single" w:color="auto" w:sz="4" w:space="0"/>
            </w:tcBorders>
            <w:vAlign w:val="center"/>
          </w:tcPr>
          <w:p w14:paraId="15FCC5B1">
            <w:pPr>
              <w:jc w:val="center"/>
              <w:rPr>
                <w:rFonts w:hint="eastAsia" w:ascii="宋体" w:hAnsi="宋体" w:cs="宋体"/>
                <w:b/>
                <w:bCs/>
                <w:color w:val="auto"/>
                <w:kern w:val="28"/>
                <w:position w:val="-40"/>
                <w:szCs w:val="21"/>
                <w:highlight w:val="none"/>
              </w:rPr>
            </w:pPr>
          </w:p>
        </w:tc>
      </w:tr>
      <w:tr w14:paraId="182F3D8A">
        <w:tblPrEx>
          <w:tblCellMar>
            <w:top w:w="0" w:type="dxa"/>
            <w:left w:w="28" w:type="dxa"/>
            <w:bottom w:w="0" w:type="dxa"/>
            <w:right w:w="28" w:type="dxa"/>
          </w:tblCellMar>
        </w:tblPrEx>
        <w:trPr>
          <w:trHeight w:val="90" w:hRule="atLeast"/>
          <w:jc w:val="center"/>
        </w:trPr>
        <w:tc>
          <w:tcPr>
            <w:tcW w:w="862" w:type="pct"/>
            <w:gridSpan w:val="2"/>
            <w:tcBorders>
              <w:top w:val="single" w:color="auto" w:sz="6" w:space="0"/>
              <w:left w:val="single" w:color="auto" w:sz="4" w:space="0"/>
              <w:bottom w:val="single" w:color="auto" w:sz="6" w:space="0"/>
              <w:right w:val="single" w:color="auto" w:sz="6" w:space="0"/>
            </w:tcBorders>
            <w:vAlign w:val="center"/>
          </w:tcPr>
          <w:p w14:paraId="0AA951B1">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身份证号</w:t>
            </w:r>
          </w:p>
        </w:tc>
        <w:tc>
          <w:tcPr>
            <w:tcW w:w="857" w:type="pct"/>
            <w:gridSpan w:val="2"/>
            <w:tcBorders>
              <w:top w:val="single" w:color="auto" w:sz="6" w:space="0"/>
              <w:left w:val="single" w:color="auto" w:sz="6" w:space="0"/>
              <w:bottom w:val="single" w:color="auto" w:sz="6" w:space="0"/>
              <w:right w:val="single" w:color="auto" w:sz="6" w:space="0"/>
            </w:tcBorders>
            <w:vAlign w:val="center"/>
          </w:tcPr>
          <w:p w14:paraId="7ACD286F">
            <w:pPr>
              <w:jc w:val="center"/>
              <w:rPr>
                <w:rFonts w:hint="eastAsia" w:ascii="宋体" w:hAnsi="宋体" w:cs="宋体"/>
                <w:b/>
                <w:bCs/>
                <w:color w:val="auto"/>
                <w:kern w:val="28"/>
                <w:position w:val="-40"/>
                <w:szCs w:val="21"/>
                <w:highlight w:val="none"/>
              </w:rPr>
            </w:pPr>
          </w:p>
        </w:tc>
        <w:tc>
          <w:tcPr>
            <w:tcW w:w="723" w:type="pct"/>
            <w:gridSpan w:val="2"/>
            <w:tcBorders>
              <w:top w:val="single" w:color="auto" w:sz="6" w:space="0"/>
              <w:left w:val="single" w:color="auto" w:sz="6" w:space="0"/>
              <w:bottom w:val="single" w:color="auto" w:sz="6" w:space="0"/>
              <w:right w:val="single" w:color="auto" w:sz="6" w:space="0"/>
            </w:tcBorders>
            <w:vAlign w:val="center"/>
          </w:tcPr>
          <w:p w14:paraId="6B1DB9FC">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学历</w:t>
            </w:r>
          </w:p>
        </w:tc>
        <w:tc>
          <w:tcPr>
            <w:tcW w:w="698" w:type="pct"/>
            <w:gridSpan w:val="2"/>
            <w:tcBorders>
              <w:top w:val="single" w:color="auto" w:sz="6" w:space="0"/>
              <w:left w:val="single" w:color="auto" w:sz="6" w:space="0"/>
              <w:bottom w:val="single" w:color="auto" w:sz="6" w:space="0"/>
              <w:right w:val="single" w:color="auto" w:sz="6" w:space="0"/>
            </w:tcBorders>
            <w:vAlign w:val="center"/>
          </w:tcPr>
          <w:p w14:paraId="4E2A5FF8">
            <w:pPr>
              <w:jc w:val="center"/>
              <w:rPr>
                <w:rFonts w:hint="eastAsia" w:ascii="宋体" w:hAnsi="宋体" w:cs="宋体"/>
                <w:b/>
                <w:bCs/>
                <w:color w:val="auto"/>
                <w:kern w:val="28"/>
                <w:position w:val="-40"/>
                <w:szCs w:val="21"/>
                <w:highlight w:val="none"/>
              </w:rPr>
            </w:pPr>
          </w:p>
        </w:tc>
        <w:tc>
          <w:tcPr>
            <w:tcW w:w="1159" w:type="pct"/>
            <w:gridSpan w:val="3"/>
            <w:tcBorders>
              <w:top w:val="single" w:color="auto" w:sz="6" w:space="0"/>
              <w:left w:val="single" w:color="auto" w:sz="6" w:space="0"/>
              <w:bottom w:val="single" w:color="auto" w:sz="6" w:space="0"/>
              <w:right w:val="single" w:color="auto" w:sz="6" w:space="0"/>
            </w:tcBorders>
            <w:vAlign w:val="center"/>
          </w:tcPr>
          <w:p w14:paraId="7B3351F9">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所学专业</w:t>
            </w:r>
          </w:p>
        </w:tc>
        <w:tc>
          <w:tcPr>
            <w:tcW w:w="697" w:type="pct"/>
            <w:tcBorders>
              <w:top w:val="single" w:color="auto" w:sz="6" w:space="0"/>
              <w:left w:val="single" w:color="auto" w:sz="6" w:space="0"/>
              <w:bottom w:val="single" w:color="auto" w:sz="6" w:space="0"/>
              <w:right w:val="single" w:color="auto" w:sz="4" w:space="0"/>
            </w:tcBorders>
            <w:vAlign w:val="center"/>
          </w:tcPr>
          <w:p w14:paraId="5712855D">
            <w:pPr>
              <w:jc w:val="center"/>
              <w:rPr>
                <w:rFonts w:hint="eastAsia" w:ascii="宋体" w:hAnsi="宋体" w:cs="宋体"/>
                <w:b/>
                <w:bCs/>
                <w:color w:val="auto"/>
                <w:kern w:val="28"/>
                <w:position w:val="-40"/>
                <w:szCs w:val="21"/>
                <w:highlight w:val="none"/>
              </w:rPr>
            </w:pPr>
          </w:p>
        </w:tc>
      </w:tr>
      <w:tr w14:paraId="1CB8F935">
        <w:tblPrEx>
          <w:tblCellMar>
            <w:top w:w="0" w:type="dxa"/>
            <w:left w:w="28" w:type="dxa"/>
            <w:bottom w:w="0" w:type="dxa"/>
            <w:right w:w="28" w:type="dxa"/>
          </w:tblCellMar>
        </w:tblPrEx>
        <w:trPr>
          <w:trHeight w:val="90" w:hRule="atLeast"/>
          <w:jc w:val="center"/>
        </w:trPr>
        <w:tc>
          <w:tcPr>
            <w:tcW w:w="862" w:type="pct"/>
            <w:gridSpan w:val="2"/>
            <w:tcBorders>
              <w:top w:val="single" w:color="auto" w:sz="6" w:space="0"/>
              <w:left w:val="single" w:color="auto" w:sz="4" w:space="0"/>
              <w:bottom w:val="single" w:color="auto" w:sz="6" w:space="0"/>
              <w:right w:val="single" w:color="auto" w:sz="6" w:space="0"/>
            </w:tcBorders>
            <w:vAlign w:val="center"/>
          </w:tcPr>
          <w:p w14:paraId="4E56592A">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社保号</w:t>
            </w:r>
          </w:p>
        </w:tc>
        <w:tc>
          <w:tcPr>
            <w:tcW w:w="857" w:type="pct"/>
            <w:gridSpan w:val="2"/>
            <w:tcBorders>
              <w:top w:val="single" w:color="auto" w:sz="6" w:space="0"/>
              <w:left w:val="single" w:color="auto" w:sz="6" w:space="0"/>
              <w:bottom w:val="single" w:color="auto" w:sz="6" w:space="0"/>
              <w:right w:val="single" w:color="auto" w:sz="6" w:space="0"/>
            </w:tcBorders>
            <w:vAlign w:val="center"/>
          </w:tcPr>
          <w:p w14:paraId="194D2873">
            <w:pPr>
              <w:jc w:val="center"/>
              <w:rPr>
                <w:rFonts w:hint="eastAsia" w:ascii="宋体" w:hAnsi="宋体" w:cs="宋体"/>
                <w:b/>
                <w:bCs/>
                <w:color w:val="auto"/>
                <w:kern w:val="28"/>
                <w:position w:val="-40"/>
                <w:szCs w:val="21"/>
                <w:highlight w:val="none"/>
              </w:rPr>
            </w:pPr>
          </w:p>
        </w:tc>
        <w:tc>
          <w:tcPr>
            <w:tcW w:w="1422" w:type="pct"/>
            <w:gridSpan w:val="4"/>
            <w:tcBorders>
              <w:top w:val="single" w:color="auto" w:sz="6" w:space="0"/>
              <w:left w:val="single" w:color="auto" w:sz="6" w:space="0"/>
              <w:bottom w:val="single" w:color="auto" w:sz="6" w:space="0"/>
              <w:right w:val="single" w:color="auto" w:sz="6" w:space="0"/>
            </w:tcBorders>
            <w:vAlign w:val="center"/>
          </w:tcPr>
          <w:p w14:paraId="7613D691">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拟在本项目担任职务</w:t>
            </w:r>
          </w:p>
        </w:tc>
        <w:tc>
          <w:tcPr>
            <w:tcW w:w="1857" w:type="pct"/>
            <w:gridSpan w:val="4"/>
            <w:tcBorders>
              <w:top w:val="single" w:color="auto" w:sz="6" w:space="0"/>
              <w:left w:val="single" w:color="auto" w:sz="6" w:space="0"/>
              <w:bottom w:val="single" w:color="auto" w:sz="6" w:space="0"/>
              <w:right w:val="single" w:color="auto" w:sz="4" w:space="0"/>
            </w:tcBorders>
            <w:vAlign w:val="center"/>
          </w:tcPr>
          <w:p w14:paraId="19649D5D">
            <w:pPr>
              <w:jc w:val="center"/>
              <w:rPr>
                <w:rFonts w:hint="eastAsia" w:ascii="宋体" w:hAnsi="宋体" w:cs="宋体"/>
                <w:b/>
                <w:bCs/>
                <w:color w:val="auto"/>
                <w:kern w:val="28"/>
                <w:position w:val="-40"/>
                <w:szCs w:val="21"/>
                <w:highlight w:val="none"/>
              </w:rPr>
            </w:pPr>
          </w:p>
        </w:tc>
      </w:tr>
      <w:tr w14:paraId="1F0D5DC5">
        <w:tblPrEx>
          <w:tblCellMar>
            <w:top w:w="0" w:type="dxa"/>
            <w:left w:w="28" w:type="dxa"/>
            <w:bottom w:w="0" w:type="dxa"/>
            <w:right w:w="28" w:type="dxa"/>
          </w:tblCellMar>
        </w:tblPrEx>
        <w:trPr>
          <w:trHeight w:val="1298" w:hRule="atLeast"/>
          <w:jc w:val="center"/>
        </w:trPr>
        <w:tc>
          <w:tcPr>
            <w:tcW w:w="5000" w:type="pct"/>
            <w:gridSpan w:val="12"/>
            <w:tcBorders>
              <w:top w:val="single" w:color="auto" w:sz="4" w:space="0"/>
              <w:left w:val="single" w:color="auto" w:sz="4" w:space="0"/>
              <w:bottom w:val="single" w:color="auto" w:sz="4" w:space="0"/>
              <w:right w:val="single" w:color="auto" w:sz="4" w:space="0"/>
            </w:tcBorders>
            <w:vAlign w:val="center"/>
          </w:tcPr>
          <w:p w14:paraId="40A014FE">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从业经历</w:t>
            </w:r>
          </w:p>
          <w:p w14:paraId="1EDD273E">
            <w:pPr>
              <w:jc w:val="center"/>
              <w:rPr>
                <w:rFonts w:hint="eastAsia" w:ascii="宋体" w:hAnsi="宋体" w:cs="宋体"/>
                <w:b/>
                <w:bCs/>
                <w:color w:val="auto"/>
                <w:kern w:val="28"/>
                <w:position w:val="-40"/>
                <w:szCs w:val="21"/>
                <w:highlight w:val="none"/>
              </w:rPr>
            </w:pPr>
          </w:p>
        </w:tc>
      </w:tr>
      <w:tr w14:paraId="6D88BF79">
        <w:tblPrEx>
          <w:tblCellMar>
            <w:top w:w="0" w:type="dxa"/>
            <w:left w:w="28" w:type="dxa"/>
            <w:bottom w:w="0" w:type="dxa"/>
            <w:right w:w="28" w:type="dxa"/>
          </w:tblCellMar>
        </w:tblPrEx>
        <w:trPr>
          <w:trHeight w:val="798" w:hRule="atLeast"/>
          <w:jc w:val="center"/>
        </w:trPr>
        <w:tc>
          <w:tcPr>
            <w:tcW w:w="5000" w:type="pct"/>
            <w:gridSpan w:val="12"/>
            <w:tcBorders>
              <w:top w:val="single" w:color="auto" w:sz="4" w:space="0"/>
              <w:left w:val="single" w:color="auto" w:sz="4" w:space="0"/>
              <w:bottom w:val="single" w:color="auto" w:sz="4" w:space="0"/>
              <w:right w:val="single" w:color="auto" w:sz="4" w:space="0"/>
            </w:tcBorders>
            <w:vAlign w:val="center"/>
          </w:tcPr>
          <w:p w14:paraId="39C47FA6">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本人完成施工项目概况</w:t>
            </w:r>
          </w:p>
        </w:tc>
      </w:tr>
      <w:tr w14:paraId="4B8F35E7">
        <w:tblPrEx>
          <w:tblCellMar>
            <w:top w:w="0" w:type="dxa"/>
            <w:left w:w="28" w:type="dxa"/>
            <w:bottom w:w="0" w:type="dxa"/>
            <w:right w:w="28" w:type="dxa"/>
          </w:tblCellMar>
        </w:tblPrEx>
        <w:trPr>
          <w:trHeight w:val="1286"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226EDA7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序号</w:t>
            </w:r>
          </w:p>
        </w:tc>
        <w:tc>
          <w:tcPr>
            <w:tcW w:w="871" w:type="pct"/>
            <w:gridSpan w:val="2"/>
            <w:tcBorders>
              <w:top w:val="single" w:color="auto" w:sz="4" w:space="0"/>
              <w:left w:val="single" w:color="auto" w:sz="4" w:space="0"/>
              <w:bottom w:val="single" w:color="auto" w:sz="4" w:space="0"/>
              <w:right w:val="single" w:color="auto" w:sz="4" w:space="0"/>
            </w:tcBorders>
            <w:vAlign w:val="center"/>
          </w:tcPr>
          <w:p w14:paraId="06CB715D">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项目名称</w:t>
            </w:r>
          </w:p>
        </w:tc>
        <w:tc>
          <w:tcPr>
            <w:tcW w:w="740" w:type="pct"/>
            <w:gridSpan w:val="2"/>
            <w:tcBorders>
              <w:top w:val="single" w:color="auto" w:sz="4" w:space="0"/>
              <w:left w:val="single" w:color="auto" w:sz="4" w:space="0"/>
              <w:bottom w:val="single" w:color="auto" w:sz="4" w:space="0"/>
              <w:right w:val="single" w:color="auto" w:sz="4" w:space="0"/>
            </w:tcBorders>
            <w:vAlign w:val="center"/>
          </w:tcPr>
          <w:p w14:paraId="0CCAF143">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项目规模</w:t>
            </w:r>
          </w:p>
          <w:p w14:paraId="50558857">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指标</w:t>
            </w:r>
          </w:p>
        </w:tc>
        <w:tc>
          <w:tcPr>
            <w:tcW w:w="493" w:type="pct"/>
            <w:gridSpan w:val="2"/>
            <w:tcBorders>
              <w:top w:val="single" w:color="auto" w:sz="4" w:space="0"/>
              <w:left w:val="single" w:color="auto" w:sz="4" w:space="0"/>
              <w:bottom w:val="single" w:color="auto" w:sz="4" w:space="0"/>
              <w:right w:val="single" w:color="auto" w:sz="4" w:space="0"/>
            </w:tcBorders>
            <w:vAlign w:val="center"/>
          </w:tcPr>
          <w:p w14:paraId="3BF53F38">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项目</w:t>
            </w:r>
          </w:p>
          <w:p w14:paraId="06AD741F">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地址</w:t>
            </w: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2A069798">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起止</w:t>
            </w:r>
          </w:p>
          <w:p w14:paraId="0E49460A">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时间</w:t>
            </w:r>
          </w:p>
        </w:tc>
        <w:tc>
          <w:tcPr>
            <w:tcW w:w="865" w:type="pct"/>
            <w:tcBorders>
              <w:top w:val="single" w:color="auto" w:sz="4" w:space="0"/>
              <w:left w:val="single" w:color="auto" w:sz="4" w:space="0"/>
              <w:bottom w:val="single" w:color="auto" w:sz="4" w:space="0"/>
              <w:right w:val="single" w:color="auto" w:sz="4" w:space="0"/>
            </w:tcBorders>
            <w:vAlign w:val="center"/>
          </w:tcPr>
          <w:p w14:paraId="127BB2F2">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本人在工程项目所担任职务</w:t>
            </w:r>
          </w:p>
        </w:tc>
        <w:tc>
          <w:tcPr>
            <w:tcW w:w="780" w:type="pct"/>
            <w:gridSpan w:val="2"/>
            <w:tcBorders>
              <w:top w:val="single" w:color="auto" w:sz="4" w:space="0"/>
              <w:left w:val="single" w:color="auto" w:sz="4" w:space="0"/>
              <w:bottom w:val="single" w:color="auto" w:sz="4" w:space="0"/>
              <w:right w:val="single" w:color="auto" w:sz="4" w:space="0"/>
            </w:tcBorders>
            <w:vAlign w:val="center"/>
          </w:tcPr>
          <w:p w14:paraId="65F157A5">
            <w:pPr>
              <w:jc w:val="center"/>
              <w:rPr>
                <w:rFonts w:hint="eastAsia" w:ascii="宋体" w:hAnsi="宋体" w:cs="宋体"/>
                <w:b/>
                <w:bCs/>
                <w:color w:val="auto"/>
                <w:kern w:val="28"/>
                <w:position w:val="-40"/>
                <w:szCs w:val="21"/>
                <w:highlight w:val="none"/>
              </w:rPr>
            </w:pPr>
            <w:r>
              <w:rPr>
                <w:rFonts w:hint="eastAsia" w:ascii="宋体" w:hAnsi="宋体" w:cs="宋体"/>
                <w:b/>
                <w:bCs/>
                <w:color w:val="auto"/>
                <w:kern w:val="28"/>
                <w:position w:val="-40"/>
                <w:szCs w:val="21"/>
                <w:highlight w:val="none"/>
              </w:rPr>
              <w:t>完成项目的建筑业企业及资质等级</w:t>
            </w:r>
          </w:p>
        </w:tc>
      </w:tr>
      <w:tr w14:paraId="2863C0F9">
        <w:tblPrEx>
          <w:tblCellMar>
            <w:top w:w="0" w:type="dxa"/>
            <w:left w:w="28" w:type="dxa"/>
            <w:bottom w:w="0" w:type="dxa"/>
            <w:right w:w="28" w:type="dxa"/>
          </w:tblCellMar>
        </w:tblPrEx>
        <w:trPr>
          <w:trHeight w:val="90"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5132196F">
            <w:pPr>
              <w:jc w:val="center"/>
              <w:rPr>
                <w:rFonts w:hint="eastAsia" w:ascii="宋体" w:hAnsi="宋体" w:cs="宋体"/>
                <w:color w:val="auto"/>
                <w:kern w:val="28"/>
                <w:position w:val="-40"/>
                <w:szCs w:val="21"/>
                <w:highlight w:val="none"/>
              </w:rPr>
            </w:pPr>
          </w:p>
        </w:tc>
        <w:tc>
          <w:tcPr>
            <w:tcW w:w="871" w:type="pct"/>
            <w:gridSpan w:val="2"/>
            <w:tcBorders>
              <w:top w:val="single" w:color="auto" w:sz="4" w:space="0"/>
              <w:left w:val="single" w:color="auto" w:sz="4" w:space="0"/>
              <w:bottom w:val="single" w:color="auto" w:sz="4" w:space="0"/>
              <w:right w:val="single" w:color="auto" w:sz="4" w:space="0"/>
            </w:tcBorders>
            <w:vAlign w:val="center"/>
          </w:tcPr>
          <w:p w14:paraId="6EC504E9">
            <w:pPr>
              <w:jc w:val="center"/>
              <w:rPr>
                <w:rFonts w:hint="eastAsia" w:ascii="宋体" w:hAnsi="宋体" w:cs="宋体"/>
                <w:color w:val="auto"/>
                <w:kern w:val="28"/>
                <w:position w:val="-40"/>
                <w:szCs w:val="21"/>
                <w:highlight w:val="none"/>
              </w:rPr>
            </w:pPr>
          </w:p>
        </w:tc>
        <w:tc>
          <w:tcPr>
            <w:tcW w:w="740" w:type="pct"/>
            <w:gridSpan w:val="2"/>
            <w:tcBorders>
              <w:top w:val="single" w:color="auto" w:sz="4" w:space="0"/>
              <w:left w:val="single" w:color="auto" w:sz="4" w:space="0"/>
              <w:bottom w:val="single" w:color="auto" w:sz="4" w:space="0"/>
              <w:right w:val="single" w:color="auto" w:sz="4" w:space="0"/>
            </w:tcBorders>
            <w:vAlign w:val="center"/>
          </w:tcPr>
          <w:p w14:paraId="6B217DA2">
            <w:pPr>
              <w:jc w:val="center"/>
              <w:rPr>
                <w:rFonts w:hint="eastAsia" w:ascii="宋体" w:hAnsi="宋体" w:cs="宋体"/>
                <w:color w:val="auto"/>
                <w:kern w:val="28"/>
                <w:position w:val="-40"/>
                <w:szCs w:val="21"/>
                <w:highlight w:val="none"/>
              </w:rPr>
            </w:pPr>
          </w:p>
        </w:tc>
        <w:tc>
          <w:tcPr>
            <w:tcW w:w="493" w:type="pct"/>
            <w:gridSpan w:val="2"/>
            <w:tcBorders>
              <w:top w:val="single" w:color="auto" w:sz="4" w:space="0"/>
              <w:left w:val="single" w:color="auto" w:sz="4" w:space="0"/>
              <w:bottom w:val="single" w:color="auto" w:sz="4" w:space="0"/>
              <w:right w:val="single" w:color="auto" w:sz="4" w:space="0"/>
            </w:tcBorders>
            <w:vAlign w:val="center"/>
          </w:tcPr>
          <w:p w14:paraId="1D200339">
            <w:pPr>
              <w:jc w:val="center"/>
              <w:rPr>
                <w:rFonts w:hint="eastAsia" w:ascii="宋体" w:hAnsi="宋体" w:cs="宋体"/>
                <w:color w:val="auto"/>
                <w:kern w:val="28"/>
                <w:position w:val="-40"/>
                <w:szCs w:val="21"/>
                <w:highlight w:val="none"/>
              </w:rPr>
            </w:pP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4E3A4122">
            <w:pPr>
              <w:jc w:val="center"/>
              <w:rPr>
                <w:rFonts w:hint="eastAsia" w:ascii="宋体" w:hAnsi="宋体" w:cs="宋体"/>
                <w:color w:val="auto"/>
                <w:kern w:val="28"/>
                <w:position w:val="-40"/>
                <w:szCs w:val="21"/>
                <w:highlight w:val="none"/>
              </w:rPr>
            </w:pPr>
          </w:p>
        </w:tc>
        <w:tc>
          <w:tcPr>
            <w:tcW w:w="865" w:type="pct"/>
            <w:tcBorders>
              <w:top w:val="single" w:color="auto" w:sz="4" w:space="0"/>
              <w:left w:val="single" w:color="auto" w:sz="4" w:space="0"/>
              <w:bottom w:val="single" w:color="auto" w:sz="4" w:space="0"/>
              <w:right w:val="single" w:color="auto" w:sz="4" w:space="0"/>
            </w:tcBorders>
            <w:vAlign w:val="center"/>
          </w:tcPr>
          <w:p w14:paraId="20326FA5">
            <w:pPr>
              <w:jc w:val="center"/>
              <w:rPr>
                <w:rFonts w:hint="eastAsia" w:ascii="宋体" w:hAnsi="宋体" w:cs="宋体"/>
                <w:color w:val="auto"/>
                <w:kern w:val="28"/>
                <w:position w:val="-40"/>
                <w:szCs w:val="21"/>
                <w:highlight w:val="none"/>
              </w:rPr>
            </w:pPr>
          </w:p>
        </w:tc>
        <w:tc>
          <w:tcPr>
            <w:tcW w:w="780" w:type="pct"/>
            <w:gridSpan w:val="2"/>
            <w:tcBorders>
              <w:top w:val="single" w:color="auto" w:sz="4" w:space="0"/>
              <w:left w:val="single" w:color="auto" w:sz="4" w:space="0"/>
              <w:bottom w:val="single" w:color="auto" w:sz="4" w:space="0"/>
              <w:right w:val="single" w:color="auto" w:sz="4" w:space="0"/>
            </w:tcBorders>
            <w:vAlign w:val="center"/>
          </w:tcPr>
          <w:p w14:paraId="28671F0C">
            <w:pPr>
              <w:jc w:val="center"/>
              <w:rPr>
                <w:rFonts w:hint="eastAsia" w:ascii="宋体" w:hAnsi="宋体" w:cs="宋体"/>
                <w:color w:val="auto"/>
                <w:kern w:val="28"/>
                <w:position w:val="-40"/>
                <w:szCs w:val="21"/>
                <w:highlight w:val="none"/>
              </w:rPr>
            </w:pPr>
          </w:p>
        </w:tc>
      </w:tr>
      <w:tr w14:paraId="198D01E9">
        <w:tblPrEx>
          <w:tblCellMar>
            <w:top w:w="0" w:type="dxa"/>
            <w:left w:w="28" w:type="dxa"/>
            <w:bottom w:w="0" w:type="dxa"/>
            <w:right w:w="28" w:type="dxa"/>
          </w:tblCellMar>
        </w:tblPrEx>
        <w:trPr>
          <w:trHeight w:val="637" w:hRule="atLeast"/>
          <w:jc w:val="center"/>
        </w:trPr>
        <w:tc>
          <w:tcPr>
            <w:tcW w:w="479" w:type="pct"/>
            <w:tcBorders>
              <w:top w:val="single" w:color="auto" w:sz="4" w:space="0"/>
              <w:left w:val="single" w:color="auto" w:sz="4" w:space="0"/>
              <w:bottom w:val="single" w:color="auto" w:sz="4" w:space="0"/>
              <w:right w:val="single" w:color="auto" w:sz="4" w:space="0"/>
            </w:tcBorders>
            <w:vAlign w:val="center"/>
          </w:tcPr>
          <w:p w14:paraId="70122DEE">
            <w:pPr>
              <w:jc w:val="center"/>
              <w:rPr>
                <w:rFonts w:hint="eastAsia" w:ascii="宋体" w:hAnsi="宋体" w:cs="宋体"/>
                <w:color w:val="auto"/>
                <w:kern w:val="28"/>
                <w:position w:val="-40"/>
                <w:szCs w:val="21"/>
                <w:highlight w:val="none"/>
              </w:rPr>
            </w:pPr>
          </w:p>
        </w:tc>
        <w:tc>
          <w:tcPr>
            <w:tcW w:w="871" w:type="pct"/>
            <w:gridSpan w:val="2"/>
            <w:tcBorders>
              <w:top w:val="single" w:color="auto" w:sz="4" w:space="0"/>
              <w:left w:val="single" w:color="auto" w:sz="4" w:space="0"/>
              <w:bottom w:val="single" w:color="auto" w:sz="4" w:space="0"/>
              <w:right w:val="single" w:color="auto" w:sz="4" w:space="0"/>
            </w:tcBorders>
            <w:vAlign w:val="center"/>
          </w:tcPr>
          <w:p w14:paraId="2B821C85">
            <w:pPr>
              <w:jc w:val="center"/>
              <w:rPr>
                <w:rFonts w:hint="eastAsia" w:ascii="宋体" w:hAnsi="宋体" w:cs="宋体"/>
                <w:color w:val="auto"/>
                <w:kern w:val="28"/>
                <w:position w:val="-40"/>
                <w:szCs w:val="21"/>
                <w:highlight w:val="none"/>
              </w:rPr>
            </w:pPr>
          </w:p>
        </w:tc>
        <w:tc>
          <w:tcPr>
            <w:tcW w:w="740" w:type="pct"/>
            <w:gridSpan w:val="2"/>
            <w:tcBorders>
              <w:top w:val="single" w:color="auto" w:sz="4" w:space="0"/>
              <w:left w:val="single" w:color="auto" w:sz="4" w:space="0"/>
              <w:bottom w:val="single" w:color="auto" w:sz="4" w:space="0"/>
              <w:right w:val="single" w:color="auto" w:sz="4" w:space="0"/>
            </w:tcBorders>
            <w:vAlign w:val="center"/>
          </w:tcPr>
          <w:p w14:paraId="1818F8B5">
            <w:pPr>
              <w:jc w:val="center"/>
              <w:rPr>
                <w:rFonts w:hint="eastAsia" w:ascii="宋体" w:hAnsi="宋体" w:cs="宋体"/>
                <w:color w:val="auto"/>
                <w:kern w:val="28"/>
                <w:position w:val="-40"/>
                <w:szCs w:val="21"/>
                <w:highlight w:val="none"/>
              </w:rPr>
            </w:pPr>
          </w:p>
        </w:tc>
        <w:tc>
          <w:tcPr>
            <w:tcW w:w="493" w:type="pct"/>
            <w:gridSpan w:val="2"/>
            <w:tcBorders>
              <w:top w:val="single" w:color="auto" w:sz="4" w:space="0"/>
              <w:left w:val="single" w:color="auto" w:sz="4" w:space="0"/>
              <w:bottom w:val="single" w:color="auto" w:sz="4" w:space="0"/>
              <w:right w:val="single" w:color="auto" w:sz="4" w:space="0"/>
            </w:tcBorders>
            <w:vAlign w:val="center"/>
          </w:tcPr>
          <w:p w14:paraId="7ACEDCA9">
            <w:pPr>
              <w:jc w:val="center"/>
              <w:rPr>
                <w:rFonts w:hint="eastAsia" w:ascii="宋体" w:hAnsi="宋体" w:cs="宋体"/>
                <w:color w:val="auto"/>
                <w:kern w:val="28"/>
                <w:position w:val="-40"/>
                <w:szCs w:val="21"/>
                <w:highlight w:val="none"/>
              </w:rPr>
            </w:pPr>
          </w:p>
        </w:tc>
        <w:tc>
          <w:tcPr>
            <w:tcW w:w="768" w:type="pct"/>
            <w:gridSpan w:val="2"/>
            <w:tcBorders>
              <w:top w:val="single" w:color="auto" w:sz="4" w:space="0"/>
              <w:left w:val="single" w:color="auto" w:sz="4" w:space="0"/>
              <w:bottom w:val="single" w:color="auto" w:sz="4" w:space="0"/>
              <w:right w:val="single" w:color="auto" w:sz="4" w:space="0"/>
            </w:tcBorders>
            <w:vAlign w:val="center"/>
          </w:tcPr>
          <w:p w14:paraId="119AE39B">
            <w:pPr>
              <w:jc w:val="center"/>
              <w:rPr>
                <w:rFonts w:hint="eastAsia" w:ascii="宋体" w:hAnsi="宋体" w:cs="宋体"/>
                <w:color w:val="auto"/>
                <w:kern w:val="28"/>
                <w:position w:val="-40"/>
                <w:szCs w:val="21"/>
                <w:highlight w:val="none"/>
              </w:rPr>
            </w:pPr>
          </w:p>
        </w:tc>
        <w:tc>
          <w:tcPr>
            <w:tcW w:w="865" w:type="pct"/>
            <w:tcBorders>
              <w:top w:val="single" w:color="auto" w:sz="4" w:space="0"/>
              <w:left w:val="single" w:color="auto" w:sz="4" w:space="0"/>
              <w:bottom w:val="single" w:color="auto" w:sz="4" w:space="0"/>
              <w:right w:val="single" w:color="auto" w:sz="4" w:space="0"/>
            </w:tcBorders>
            <w:vAlign w:val="center"/>
          </w:tcPr>
          <w:p w14:paraId="319740D6">
            <w:pPr>
              <w:jc w:val="center"/>
              <w:rPr>
                <w:rFonts w:hint="eastAsia" w:ascii="宋体" w:hAnsi="宋体" w:cs="宋体"/>
                <w:color w:val="auto"/>
                <w:kern w:val="28"/>
                <w:position w:val="-40"/>
                <w:szCs w:val="21"/>
                <w:highlight w:val="none"/>
              </w:rPr>
            </w:pPr>
          </w:p>
        </w:tc>
        <w:tc>
          <w:tcPr>
            <w:tcW w:w="780" w:type="pct"/>
            <w:gridSpan w:val="2"/>
            <w:tcBorders>
              <w:top w:val="single" w:color="auto" w:sz="4" w:space="0"/>
              <w:left w:val="single" w:color="auto" w:sz="4" w:space="0"/>
              <w:bottom w:val="single" w:color="auto" w:sz="4" w:space="0"/>
              <w:right w:val="single" w:color="auto" w:sz="4" w:space="0"/>
            </w:tcBorders>
            <w:vAlign w:val="center"/>
          </w:tcPr>
          <w:p w14:paraId="2E979E20">
            <w:pPr>
              <w:jc w:val="center"/>
              <w:rPr>
                <w:rFonts w:hint="eastAsia" w:ascii="宋体" w:hAnsi="宋体" w:cs="宋体"/>
                <w:color w:val="auto"/>
                <w:kern w:val="28"/>
                <w:position w:val="-40"/>
                <w:szCs w:val="21"/>
                <w:highlight w:val="none"/>
              </w:rPr>
            </w:pPr>
          </w:p>
        </w:tc>
      </w:tr>
    </w:tbl>
    <w:p w14:paraId="0CF1484F">
      <w:pPr>
        <w:wordWrap w:val="0"/>
        <w:jc w:val="right"/>
        <w:rPr>
          <w:rFonts w:hint="eastAsia" w:ascii="宋体" w:hAnsi="宋体" w:cs="宋体"/>
          <w:b/>
          <w:bCs/>
          <w:color w:val="auto"/>
          <w:sz w:val="22"/>
          <w:highlight w:val="none"/>
        </w:rPr>
      </w:pPr>
    </w:p>
    <w:p w14:paraId="46D90B1D">
      <w:pPr>
        <w:ind w:firstLine="442" w:firstLineChars="200"/>
        <w:textAlignment w:val="baseline"/>
        <w:rPr>
          <w:rFonts w:hint="eastAsia" w:ascii="宋体" w:hAnsi="宋体" w:cs="宋体"/>
          <w:b/>
          <w:bCs/>
          <w:color w:val="auto"/>
          <w:sz w:val="22"/>
          <w:highlight w:val="none"/>
        </w:rPr>
      </w:pPr>
      <w:r>
        <w:rPr>
          <w:rFonts w:hint="eastAsia" w:ascii="宋体" w:hAnsi="宋体" w:cs="宋体"/>
          <w:b/>
          <w:bCs/>
          <w:color w:val="auto"/>
          <w:sz w:val="22"/>
          <w:highlight w:val="none"/>
        </w:rPr>
        <w:t>我公司承诺上述内容真实有效</w:t>
      </w:r>
      <w:r>
        <w:rPr>
          <w:rFonts w:hint="eastAsia" w:ascii="宋体" w:hAnsi="宋体" w:cs="宋体"/>
          <w:b/>
          <w:bCs/>
          <w:color w:val="auto"/>
          <w:sz w:val="22"/>
          <w:highlight w:val="none"/>
          <w:lang w:eastAsia="zh-CN"/>
        </w:rPr>
        <w:t>，</w:t>
      </w:r>
      <w:r>
        <w:rPr>
          <w:rFonts w:hint="eastAsia" w:ascii="宋体" w:hAnsi="宋体" w:cs="宋体"/>
          <w:b/>
          <w:bCs/>
          <w:color w:val="auto"/>
          <w:sz w:val="22"/>
          <w:highlight w:val="none"/>
        </w:rPr>
        <w:t>除身份证号外，同意上述内容在评标后全部公开。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14:paraId="3823112F">
      <w:pPr>
        <w:pStyle w:val="56"/>
        <w:ind w:firstLine="3318" w:firstLineChars="1450"/>
        <w:rPr>
          <w:rFonts w:ascii="宋体"/>
          <w:b/>
          <w:bCs/>
          <w:color w:val="auto"/>
          <w:sz w:val="22"/>
          <w:szCs w:val="22"/>
          <w:highlight w:val="none"/>
        </w:rPr>
      </w:pPr>
      <w:r>
        <w:rPr>
          <w:rFonts w:hint="eastAsia" w:ascii="宋体" w:hAnsi="宋体" w:cs="宋体"/>
          <w:b/>
          <w:bCs/>
          <w:color w:val="auto"/>
          <w:sz w:val="22"/>
          <w:szCs w:val="22"/>
          <w:highlight w:val="none"/>
        </w:rPr>
        <w:t>投标人</w:t>
      </w:r>
      <w:r>
        <w:rPr>
          <w:rFonts w:hint="eastAsia" w:ascii="宋体" w:hAnsi="宋体" w:cs="宋体"/>
          <w:b/>
          <w:bCs/>
          <w:color w:val="auto"/>
          <w:sz w:val="22"/>
          <w:szCs w:val="22"/>
          <w:highlight w:val="none"/>
          <w:lang w:val="en-US" w:eastAsia="zh-CN"/>
        </w:rPr>
        <w:t>名称</w:t>
      </w:r>
      <w:r>
        <w:rPr>
          <w:rFonts w:hint="eastAsia" w:ascii="宋体" w:hAnsi="宋体" w:cs="宋体"/>
          <w:b/>
          <w:bCs/>
          <w:color w:val="auto"/>
          <w:sz w:val="22"/>
          <w:szCs w:val="22"/>
          <w:highlight w:val="none"/>
        </w:rPr>
        <w:t>：</w:t>
      </w:r>
    </w:p>
    <w:p w14:paraId="582B58B7">
      <w:pPr>
        <w:ind w:firstLine="3313" w:firstLineChars="1500"/>
        <w:rPr>
          <w:rFonts w:ascii="宋体"/>
          <w:b/>
          <w:bCs/>
          <w:color w:val="auto"/>
          <w:sz w:val="22"/>
          <w:highlight w:val="none"/>
        </w:rPr>
      </w:pPr>
      <w:r>
        <w:rPr>
          <w:rFonts w:hint="eastAsia" w:ascii="宋体" w:hAnsi="宋体" w:cs="宋体"/>
          <w:b/>
          <w:bCs/>
          <w:color w:val="auto"/>
          <w:sz w:val="22"/>
          <w:highlight w:val="none"/>
        </w:rPr>
        <w:t>日期：   年   月   日</w:t>
      </w:r>
    </w:p>
    <w:p w14:paraId="2B8CA678">
      <w:pPr>
        <w:widowControl/>
        <w:spacing w:line="360" w:lineRule="auto"/>
        <w:jc w:val="left"/>
        <w:outlineLvl w:val="2"/>
        <w:rPr>
          <w:rFonts w:hint="eastAsia" w:ascii="宋体" w:hAnsi="宋体" w:cs="宋体"/>
          <w:b/>
          <w:color w:val="auto"/>
          <w:sz w:val="24"/>
          <w:szCs w:val="24"/>
          <w:highlight w:val="none"/>
        </w:rPr>
      </w:pPr>
      <w:r>
        <w:rPr>
          <w:rFonts w:hint="eastAsia" w:ascii="宋体" w:hAnsi="宋体" w:cs="宋体"/>
          <w:b/>
          <w:bCs/>
          <w:color w:val="auto"/>
          <w:sz w:val="24"/>
          <w:szCs w:val="24"/>
          <w:highlight w:val="none"/>
        </w:rPr>
        <w:br w:type="page"/>
      </w:r>
      <w:bookmarkStart w:id="50" w:name="_Toc29227"/>
      <w:r>
        <w:rPr>
          <w:rFonts w:hint="eastAsia" w:ascii="宋体" w:hAnsi="宋体" w:cs="宋体"/>
          <w:b/>
          <w:color w:val="auto"/>
          <w:sz w:val="24"/>
          <w:szCs w:val="24"/>
          <w:highlight w:val="none"/>
        </w:rPr>
        <w:t>格式七：施工项目管理团队人员信息表</w:t>
      </w:r>
      <w:bookmarkEnd w:id="50"/>
    </w:p>
    <w:tbl>
      <w:tblPr>
        <w:tblStyle w:val="42"/>
        <w:tblW w:w="5000" w:type="pct"/>
        <w:jc w:val="center"/>
        <w:tblLayout w:type="autofit"/>
        <w:tblCellMar>
          <w:top w:w="0" w:type="dxa"/>
          <w:left w:w="108" w:type="dxa"/>
          <w:bottom w:w="0" w:type="dxa"/>
          <w:right w:w="108" w:type="dxa"/>
        </w:tblCellMar>
      </w:tblPr>
      <w:tblGrid>
        <w:gridCol w:w="893"/>
        <w:gridCol w:w="1584"/>
        <w:gridCol w:w="2379"/>
        <w:gridCol w:w="1980"/>
        <w:gridCol w:w="3126"/>
      </w:tblGrid>
      <w:tr w14:paraId="1FC73C1E">
        <w:tblPrEx>
          <w:tblCellMar>
            <w:top w:w="0" w:type="dxa"/>
            <w:left w:w="108" w:type="dxa"/>
            <w:bottom w:w="0" w:type="dxa"/>
            <w:right w:w="108" w:type="dxa"/>
          </w:tblCellMar>
        </w:tblPrEx>
        <w:trPr>
          <w:trHeight w:val="482" w:hRule="atLeast"/>
          <w:jc w:val="center"/>
        </w:trPr>
        <w:tc>
          <w:tcPr>
            <w:tcW w:w="5000" w:type="pct"/>
            <w:gridSpan w:val="5"/>
            <w:tcBorders>
              <w:top w:val="nil"/>
              <w:left w:val="nil"/>
              <w:bottom w:val="single" w:color="auto" w:sz="4" w:space="0"/>
              <w:right w:val="nil"/>
            </w:tcBorders>
            <w:vAlign w:val="center"/>
          </w:tcPr>
          <w:p w14:paraId="4551B0F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 w:val="28"/>
                <w:szCs w:val="28"/>
                <w:highlight w:val="none"/>
              </w:rPr>
              <w:t>施工项目管理团队人员信息表</w:t>
            </w:r>
          </w:p>
        </w:tc>
      </w:tr>
      <w:tr w14:paraId="56AAC0E1">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291FA5C">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795" w:type="pct"/>
            <w:tcBorders>
              <w:top w:val="single" w:color="auto" w:sz="4" w:space="0"/>
              <w:left w:val="single" w:color="auto" w:sz="4" w:space="0"/>
              <w:bottom w:val="single" w:color="auto" w:sz="4" w:space="0"/>
              <w:right w:val="single" w:color="auto" w:sz="4" w:space="0"/>
            </w:tcBorders>
            <w:vAlign w:val="center"/>
          </w:tcPr>
          <w:p w14:paraId="01B0C6E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姓名</w:t>
            </w:r>
          </w:p>
        </w:tc>
        <w:tc>
          <w:tcPr>
            <w:tcW w:w="1194" w:type="pct"/>
            <w:tcBorders>
              <w:top w:val="single" w:color="auto" w:sz="4" w:space="0"/>
              <w:left w:val="single" w:color="auto" w:sz="4" w:space="0"/>
              <w:bottom w:val="single" w:color="auto" w:sz="4" w:space="0"/>
              <w:right w:val="single" w:color="auto" w:sz="4" w:space="0"/>
            </w:tcBorders>
            <w:vAlign w:val="center"/>
          </w:tcPr>
          <w:p w14:paraId="54F4D6B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994" w:type="pct"/>
            <w:tcBorders>
              <w:top w:val="single" w:color="auto" w:sz="4" w:space="0"/>
              <w:left w:val="single" w:color="auto" w:sz="4" w:space="0"/>
              <w:bottom w:val="single" w:color="auto" w:sz="4" w:space="0"/>
              <w:right w:val="single" w:color="auto" w:sz="4" w:space="0"/>
            </w:tcBorders>
            <w:vAlign w:val="center"/>
          </w:tcPr>
          <w:p w14:paraId="2C13F9B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w:t>
            </w:r>
          </w:p>
        </w:tc>
        <w:tc>
          <w:tcPr>
            <w:tcW w:w="1567" w:type="pct"/>
            <w:tcBorders>
              <w:top w:val="single" w:color="auto" w:sz="4" w:space="0"/>
              <w:left w:val="single" w:color="auto" w:sz="4" w:space="0"/>
              <w:bottom w:val="single" w:color="auto" w:sz="4" w:space="0"/>
              <w:right w:val="single" w:color="auto" w:sz="4" w:space="0"/>
            </w:tcBorders>
            <w:vAlign w:val="center"/>
          </w:tcPr>
          <w:p w14:paraId="4E9A297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职称证书或资格证书编号</w:t>
            </w:r>
          </w:p>
        </w:tc>
      </w:tr>
      <w:tr w14:paraId="2FAA4B59">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50689A0">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71EBE622">
            <w:pPr>
              <w:widowControl/>
              <w:jc w:val="center"/>
              <w:rPr>
                <w:rFonts w:hint="eastAsia" w:ascii="宋体" w:hAnsi="宋体" w:cs="宋体"/>
                <w:color w:val="auto"/>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605E8ED7">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技术负责人</w:t>
            </w:r>
          </w:p>
        </w:tc>
        <w:tc>
          <w:tcPr>
            <w:tcW w:w="994" w:type="pct"/>
            <w:tcBorders>
              <w:top w:val="single" w:color="auto" w:sz="4" w:space="0"/>
              <w:left w:val="single" w:color="auto" w:sz="4" w:space="0"/>
              <w:bottom w:val="single" w:color="auto" w:sz="4" w:space="0"/>
              <w:right w:val="single" w:color="auto" w:sz="4" w:space="0"/>
            </w:tcBorders>
            <w:vAlign w:val="center"/>
          </w:tcPr>
          <w:p w14:paraId="56BF5353">
            <w:pPr>
              <w:widowControl/>
              <w:jc w:val="center"/>
              <w:rPr>
                <w:rFonts w:hint="eastAsia" w:ascii="宋体" w:hAnsi="宋体" w:cs="宋体"/>
                <w:color w:val="auto"/>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2383D298">
            <w:pPr>
              <w:widowControl/>
              <w:jc w:val="center"/>
              <w:rPr>
                <w:rFonts w:hint="eastAsia" w:ascii="宋体" w:hAnsi="宋体" w:cs="宋体"/>
                <w:color w:val="auto"/>
                <w:kern w:val="0"/>
                <w:szCs w:val="21"/>
                <w:highlight w:val="none"/>
              </w:rPr>
            </w:pPr>
          </w:p>
        </w:tc>
      </w:tr>
      <w:tr w14:paraId="249BE1FB">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5884B8A">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66BD182">
            <w:pPr>
              <w:widowControl/>
              <w:jc w:val="center"/>
              <w:rPr>
                <w:rFonts w:hint="eastAsia" w:ascii="宋体" w:hAnsi="宋体" w:cs="宋体"/>
                <w:color w:val="auto"/>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4294E12F">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 w:val="21"/>
                <w:szCs w:val="21"/>
                <w:highlight w:val="none"/>
                <w:lang w:val="en-US" w:eastAsia="zh-CN" w:bidi="ar"/>
              </w:rPr>
              <w:t>……</w:t>
            </w:r>
          </w:p>
        </w:tc>
        <w:tc>
          <w:tcPr>
            <w:tcW w:w="994" w:type="pct"/>
            <w:tcBorders>
              <w:top w:val="single" w:color="auto" w:sz="4" w:space="0"/>
              <w:left w:val="single" w:color="auto" w:sz="4" w:space="0"/>
              <w:bottom w:val="single" w:color="auto" w:sz="4" w:space="0"/>
              <w:right w:val="single" w:color="auto" w:sz="4" w:space="0"/>
            </w:tcBorders>
            <w:vAlign w:val="center"/>
          </w:tcPr>
          <w:p w14:paraId="005A2F84">
            <w:pPr>
              <w:widowControl/>
              <w:jc w:val="center"/>
              <w:rPr>
                <w:rFonts w:hint="eastAsia" w:ascii="宋体" w:hAnsi="宋体" w:cs="宋体"/>
                <w:color w:val="auto"/>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15E56248">
            <w:pPr>
              <w:widowControl/>
              <w:jc w:val="center"/>
              <w:rPr>
                <w:rFonts w:hint="eastAsia" w:ascii="宋体" w:hAnsi="宋体" w:cs="宋体"/>
                <w:color w:val="auto"/>
                <w:kern w:val="0"/>
                <w:szCs w:val="21"/>
                <w:highlight w:val="none"/>
              </w:rPr>
            </w:pPr>
          </w:p>
        </w:tc>
      </w:tr>
      <w:tr w14:paraId="4C320DEE">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074988A0">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79188A82">
            <w:pPr>
              <w:widowControl/>
              <w:jc w:val="center"/>
              <w:rPr>
                <w:rFonts w:hint="eastAsia" w:ascii="宋体" w:hAnsi="宋体" w:cs="宋体"/>
                <w:color w:val="auto"/>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5DF0857D">
            <w:pPr>
              <w:widowControl/>
              <w:jc w:val="center"/>
              <w:textAlignment w:val="center"/>
              <w:rPr>
                <w:rFonts w:hint="eastAsia" w:ascii="宋体" w:hAnsi="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6E5A13A4">
            <w:pPr>
              <w:widowControl/>
              <w:jc w:val="center"/>
              <w:rPr>
                <w:rFonts w:hint="eastAsia" w:ascii="宋体" w:hAnsi="宋体" w:cs="宋体"/>
                <w:color w:val="auto"/>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55D439C3">
            <w:pPr>
              <w:widowControl/>
              <w:jc w:val="center"/>
              <w:rPr>
                <w:rFonts w:hint="eastAsia" w:ascii="宋体" w:hAnsi="宋体" w:cs="宋体"/>
                <w:color w:val="auto"/>
                <w:kern w:val="0"/>
                <w:szCs w:val="21"/>
                <w:highlight w:val="none"/>
              </w:rPr>
            </w:pPr>
          </w:p>
        </w:tc>
      </w:tr>
      <w:tr w14:paraId="48E9C68E">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156CA1FA">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37F9DF3">
            <w:pPr>
              <w:widowControl/>
              <w:jc w:val="center"/>
              <w:rPr>
                <w:rFonts w:hint="eastAsia" w:ascii="宋体" w:hAnsi="宋体" w:cs="宋体"/>
                <w:color w:val="auto"/>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79E282E6">
            <w:pPr>
              <w:widowControl/>
              <w:jc w:val="center"/>
              <w:textAlignment w:val="center"/>
              <w:rPr>
                <w:rFonts w:hint="eastAsia" w:ascii="宋体" w:hAnsi="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051515EA">
            <w:pPr>
              <w:widowControl/>
              <w:jc w:val="center"/>
              <w:rPr>
                <w:rFonts w:hint="eastAsia" w:ascii="宋体" w:hAnsi="宋体" w:cs="宋体"/>
                <w:color w:val="auto"/>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5C443678">
            <w:pPr>
              <w:widowControl/>
              <w:jc w:val="center"/>
              <w:rPr>
                <w:rFonts w:hint="eastAsia" w:ascii="宋体" w:hAnsi="宋体" w:cs="宋体"/>
                <w:color w:val="auto"/>
                <w:kern w:val="0"/>
                <w:szCs w:val="21"/>
                <w:highlight w:val="none"/>
              </w:rPr>
            </w:pPr>
          </w:p>
        </w:tc>
      </w:tr>
      <w:tr w14:paraId="248C2FAD">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BB36179">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0C6CA4AA">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51CD921C">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592EF936">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0B1DFAFC">
            <w:pPr>
              <w:widowControl/>
              <w:jc w:val="center"/>
              <w:textAlignment w:val="center"/>
              <w:rPr>
                <w:rFonts w:hint="eastAsia" w:ascii="宋体" w:hAnsi="宋体" w:eastAsia="宋体" w:cs="宋体"/>
                <w:color w:val="auto"/>
                <w:kern w:val="0"/>
                <w:sz w:val="21"/>
                <w:szCs w:val="21"/>
                <w:highlight w:val="none"/>
                <w:lang w:val="en-US" w:eastAsia="zh-CN" w:bidi="ar"/>
              </w:rPr>
            </w:pPr>
          </w:p>
        </w:tc>
      </w:tr>
      <w:tr w14:paraId="451EE53D">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7D08431C">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4A0F13DF">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48A94C91">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64970F57">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6B1C28BD">
            <w:pPr>
              <w:widowControl/>
              <w:jc w:val="center"/>
              <w:rPr>
                <w:rFonts w:hint="eastAsia" w:ascii="宋体" w:hAnsi="宋体" w:eastAsia="宋体" w:cs="宋体"/>
                <w:color w:val="auto"/>
                <w:kern w:val="2"/>
                <w:sz w:val="21"/>
                <w:szCs w:val="21"/>
                <w:highlight w:val="none"/>
                <w:lang w:val="en-US" w:eastAsia="zh-CN" w:bidi="ar-SA"/>
              </w:rPr>
            </w:pPr>
          </w:p>
        </w:tc>
      </w:tr>
      <w:tr w14:paraId="15B25B8C">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3AEC9F2">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61CDD235">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65C9CCAC">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2651C5F5">
            <w:pPr>
              <w:widowControl/>
              <w:jc w:val="center"/>
              <w:textAlignment w:val="center"/>
              <w:rPr>
                <w:rFonts w:hint="eastAsia" w:ascii="宋体" w:hAnsi="宋体" w:eastAsia="宋体" w:cs="宋体"/>
                <w:color w:val="auto"/>
                <w:kern w:val="0"/>
                <w:sz w:val="21"/>
                <w:szCs w:val="21"/>
                <w:highlight w:val="none"/>
                <w:lang w:val="en-US" w:eastAsia="zh-CN" w:bidi="ar"/>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262D56D1">
            <w:pPr>
              <w:widowControl/>
              <w:jc w:val="center"/>
              <w:rPr>
                <w:rFonts w:hint="eastAsia" w:ascii="宋体" w:hAnsi="宋体" w:eastAsia="宋体" w:cs="宋体"/>
                <w:color w:val="auto"/>
                <w:kern w:val="0"/>
                <w:sz w:val="21"/>
                <w:szCs w:val="21"/>
                <w:highlight w:val="none"/>
                <w:lang w:val="en-US" w:eastAsia="zh-CN" w:bidi="ar-SA"/>
              </w:rPr>
            </w:pPr>
          </w:p>
        </w:tc>
      </w:tr>
      <w:tr w14:paraId="07D96A2C">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22DDB3DF">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35922955">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7EE7687C">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30FAE68A">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0D1702B0">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015E0DA1">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F75DA5D">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1A0BEA33">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770B3E72">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7AE5A4DA">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53437933">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2E7C310F">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5C2ECE62">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1684AC95">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07000F01">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5EDE781E">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1F10A7CE">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624DC965">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47F15C47">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shd w:val="clear" w:color="auto" w:fill="auto"/>
            <w:vAlign w:val="center"/>
          </w:tcPr>
          <w:p w14:paraId="7FA627D4">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194" w:type="pct"/>
            <w:tcBorders>
              <w:top w:val="single" w:color="auto" w:sz="4" w:space="0"/>
              <w:left w:val="single" w:color="auto" w:sz="4" w:space="0"/>
              <w:bottom w:val="single" w:color="auto" w:sz="4" w:space="0"/>
              <w:right w:val="single" w:color="auto" w:sz="4" w:space="0"/>
            </w:tcBorders>
            <w:shd w:val="clear" w:color="auto" w:fill="auto"/>
            <w:vAlign w:val="center"/>
          </w:tcPr>
          <w:p w14:paraId="605AEAF5">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994" w:type="pct"/>
            <w:tcBorders>
              <w:top w:val="single" w:color="auto" w:sz="4" w:space="0"/>
              <w:left w:val="single" w:color="auto" w:sz="4" w:space="0"/>
              <w:bottom w:val="single" w:color="auto" w:sz="4" w:space="0"/>
              <w:right w:val="single" w:color="auto" w:sz="4" w:space="0"/>
            </w:tcBorders>
            <w:shd w:val="clear" w:color="auto" w:fill="auto"/>
            <w:vAlign w:val="center"/>
          </w:tcPr>
          <w:p w14:paraId="5FA703CD">
            <w:pPr>
              <w:widowControl/>
              <w:jc w:val="center"/>
              <w:textAlignment w:val="center"/>
              <w:rPr>
                <w:rFonts w:hint="eastAsia" w:ascii="宋体" w:hAnsi="宋体" w:eastAsia="宋体" w:cs="宋体"/>
                <w:color w:val="auto"/>
                <w:kern w:val="2"/>
                <w:sz w:val="21"/>
                <w:szCs w:val="21"/>
                <w:highlight w:val="none"/>
                <w:lang w:val="en-US" w:eastAsia="zh-CN" w:bidi="ar-SA"/>
              </w:rPr>
            </w:pPr>
          </w:p>
        </w:tc>
        <w:tc>
          <w:tcPr>
            <w:tcW w:w="1567" w:type="pct"/>
            <w:tcBorders>
              <w:top w:val="single" w:color="auto" w:sz="4" w:space="0"/>
              <w:left w:val="single" w:color="auto" w:sz="4" w:space="0"/>
              <w:bottom w:val="single" w:color="auto" w:sz="4" w:space="0"/>
              <w:right w:val="single" w:color="auto" w:sz="4" w:space="0"/>
            </w:tcBorders>
            <w:shd w:val="clear" w:color="auto" w:fill="auto"/>
            <w:vAlign w:val="center"/>
          </w:tcPr>
          <w:p w14:paraId="1BED8801">
            <w:pPr>
              <w:widowControl/>
              <w:jc w:val="center"/>
              <w:textAlignment w:val="center"/>
              <w:rPr>
                <w:rFonts w:hint="eastAsia" w:ascii="宋体" w:hAnsi="宋体" w:eastAsia="宋体" w:cs="宋体"/>
                <w:color w:val="auto"/>
                <w:kern w:val="2"/>
                <w:sz w:val="21"/>
                <w:szCs w:val="21"/>
                <w:highlight w:val="none"/>
                <w:lang w:val="en-US" w:eastAsia="zh-CN" w:bidi="ar-SA"/>
              </w:rPr>
            </w:pPr>
          </w:p>
        </w:tc>
      </w:tr>
      <w:tr w14:paraId="7A9D401F">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3995EDA7">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34A5DA83">
            <w:pPr>
              <w:widowControl/>
              <w:jc w:val="center"/>
              <w:rPr>
                <w:rFonts w:hint="eastAsia" w:ascii="宋体" w:hAnsi="宋体" w:cs="宋体"/>
                <w:color w:val="auto"/>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10737E2E">
            <w:pPr>
              <w:widowControl/>
              <w:jc w:val="center"/>
              <w:textAlignment w:val="center"/>
              <w:rPr>
                <w:rFonts w:hint="eastAsia" w:ascii="宋体" w:hAnsi="宋体" w:cs="宋体"/>
                <w:color w:val="auto"/>
                <w:kern w:val="0"/>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616B3784">
            <w:pPr>
              <w:widowControl/>
              <w:jc w:val="center"/>
              <w:rPr>
                <w:rFonts w:hint="eastAsia" w:ascii="宋体" w:hAnsi="宋体" w:cs="宋体"/>
                <w:color w:val="auto"/>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3275F15A">
            <w:pPr>
              <w:widowControl/>
              <w:jc w:val="center"/>
              <w:rPr>
                <w:rFonts w:hint="eastAsia" w:ascii="宋体" w:hAnsi="宋体" w:cs="宋体"/>
                <w:color w:val="auto"/>
                <w:kern w:val="0"/>
                <w:szCs w:val="21"/>
                <w:highlight w:val="none"/>
              </w:rPr>
            </w:pPr>
          </w:p>
        </w:tc>
      </w:tr>
      <w:tr w14:paraId="3321735C">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3F26CD8">
            <w:pPr>
              <w:widowControl/>
              <w:numPr>
                <w:ilvl w:val="0"/>
                <w:numId w:val="3"/>
              </w:numPr>
              <w:jc w:val="center"/>
              <w:rPr>
                <w:rFonts w:hint="eastAsia" w:ascii="宋体" w:hAnsi="宋体" w:cs="宋体"/>
                <w:color w:val="auto"/>
                <w:kern w:val="0"/>
                <w:szCs w:val="21"/>
                <w:highlight w:val="none"/>
              </w:rPr>
            </w:pPr>
          </w:p>
        </w:tc>
        <w:tc>
          <w:tcPr>
            <w:tcW w:w="795" w:type="pct"/>
            <w:tcBorders>
              <w:top w:val="single" w:color="auto" w:sz="4" w:space="0"/>
              <w:left w:val="single" w:color="auto" w:sz="4" w:space="0"/>
              <w:bottom w:val="single" w:color="auto" w:sz="4" w:space="0"/>
              <w:right w:val="single" w:color="auto" w:sz="4" w:space="0"/>
            </w:tcBorders>
            <w:vAlign w:val="center"/>
          </w:tcPr>
          <w:p w14:paraId="64ED54A6">
            <w:pPr>
              <w:widowControl/>
              <w:jc w:val="center"/>
              <w:rPr>
                <w:rFonts w:hint="eastAsia" w:ascii="宋体" w:hAnsi="宋体" w:cs="宋体"/>
                <w:color w:val="auto"/>
                <w:kern w:val="0"/>
                <w:szCs w:val="21"/>
                <w:highlight w:val="none"/>
              </w:rPr>
            </w:pPr>
          </w:p>
        </w:tc>
        <w:tc>
          <w:tcPr>
            <w:tcW w:w="1194" w:type="pct"/>
            <w:tcBorders>
              <w:top w:val="single" w:color="auto" w:sz="4" w:space="0"/>
              <w:left w:val="single" w:color="auto" w:sz="4" w:space="0"/>
              <w:bottom w:val="single" w:color="auto" w:sz="4" w:space="0"/>
              <w:right w:val="single" w:color="auto" w:sz="4" w:space="0"/>
            </w:tcBorders>
            <w:vAlign w:val="center"/>
          </w:tcPr>
          <w:p w14:paraId="00D68EF7">
            <w:pPr>
              <w:widowControl/>
              <w:jc w:val="center"/>
              <w:textAlignment w:val="center"/>
              <w:rPr>
                <w:rFonts w:hint="eastAsia" w:ascii="宋体" w:hAnsi="宋体" w:cs="宋体"/>
                <w:color w:val="auto"/>
                <w:szCs w:val="21"/>
                <w:highlight w:val="none"/>
              </w:rPr>
            </w:pPr>
          </w:p>
        </w:tc>
        <w:tc>
          <w:tcPr>
            <w:tcW w:w="994" w:type="pct"/>
            <w:tcBorders>
              <w:top w:val="single" w:color="auto" w:sz="4" w:space="0"/>
              <w:left w:val="single" w:color="auto" w:sz="4" w:space="0"/>
              <w:bottom w:val="single" w:color="auto" w:sz="4" w:space="0"/>
              <w:right w:val="single" w:color="auto" w:sz="4" w:space="0"/>
            </w:tcBorders>
            <w:vAlign w:val="center"/>
          </w:tcPr>
          <w:p w14:paraId="299F431C">
            <w:pPr>
              <w:widowControl/>
              <w:jc w:val="center"/>
              <w:rPr>
                <w:rFonts w:hint="eastAsia" w:ascii="宋体" w:hAnsi="宋体" w:cs="宋体"/>
                <w:color w:val="auto"/>
                <w:kern w:val="0"/>
                <w:szCs w:val="21"/>
                <w:highlight w:val="none"/>
              </w:rPr>
            </w:pPr>
          </w:p>
        </w:tc>
        <w:tc>
          <w:tcPr>
            <w:tcW w:w="1567" w:type="pct"/>
            <w:tcBorders>
              <w:top w:val="single" w:color="auto" w:sz="4" w:space="0"/>
              <w:left w:val="single" w:color="auto" w:sz="4" w:space="0"/>
              <w:bottom w:val="single" w:color="auto" w:sz="4" w:space="0"/>
              <w:right w:val="single" w:color="auto" w:sz="4" w:space="0"/>
            </w:tcBorders>
            <w:vAlign w:val="center"/>
          </w:tcPr>
          <w:p w14:paraId="606126C8">
            <w:pPr>
              <w:widowControl/>
              <w:jc w:val="center"/>
              <w:rPr>
                <w:rFonts w:hint="eastAsia" w:ascii="宋体" w:hAnsi="宋体" w:cs="宋体"/>
                <w:color w:val="auto"/>
                <w:kern w:val="0"/>
                <w:szCs w:val="21"/>
                <w:highlight w:val="none"/>
              </w:rPr>
            </w:pPr>
          </w:p>
        </w:tc>
      </w:tr>
      <w:tr w14:paraId="1278B05D">
        <w:tblPrEx>
          <w:tblCellMar>
            <w:top w:w="0" w:type="dxa"/>
            <w:left w:w="108" w:type="dxa"/>
            <w:bottom w:w="0" w:type="dxa"/>
            <w:right w:w="108" w:type="dxa"/>
          </w:tblCellMar>
        </w:tblPrEx>
        <w:trPr>
          <w:trHeight w:val="482" w:hRule="atLeast"/>
          <w:jc w:val="center"/>
        </w:trPr>
        <w:tc>
          <w:tcPr>
            <w:tcW w:w="448" w:type="pct"/>
            <w:tcBorders>
              <w:top w:val="single" w:color="auto" w:sz="4" w:space="0"/>
              <w:left w:val="single" w:color="auto" w:sz="4" w:space="0"/>
              <w:bottom w:val="single" w:color="auto" w:sz="4" w:space="0"/>
              <w:right w:val="single" w:color="auto" w:sz="4" w:space="0"/>
            </w:tcBorders>
            <w:vAlign w:val="center"/>
          </w:tcPr>
          <w:p w14:paraId="6108BBC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w:t>
            </w:r>
          </w:p>
        </w:tc>
        <w:tc>
          <w:tcPr>
            <w:tcW w:w="795" w:type="pct"/>
            <w:tcBorders>
              <w:top w:val="single" w:color="auto" w:sz="4" w:space="0"/>
              <w:left w:val="single" w:color="auto" w:sz="4" w:space="0"/>
              <w:bottom w:val="single" w:color="auto" w:sz="4" w:space="0"/>
              <w:right w:val="single" w:color="auto" w:sz="4" w:space="0"/>
            </w:tcBorders>
            <w:vAlign w:val="center"/>
          </w:tcPr>
          <w:p w14:paraId="0769B9B7">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194" w:type="pct"/>
            <w:tcBorders>
              <w:top w:val="single" w:color="auto" w:sz="4" w:space="0"/>
              <w:left w:val="single" w:color="auto" w:sz="4" w:space="0"/>
              <w:bottom w:val="single" w:color="auto" w:sz="4" w:space="0"/>
              <w:right w:val="single" w:color="auto" w:sz="4" w:space="0"/>
            </w:tcBorders>
            <w:vAlign w:val="center"/>
          </w:tcPr>
          <w:p w14:paraId="376E0096">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994" w:type="pct"/>
            <w:tcBorders>
              <w:top w:val="single" w:color="auto" w:sz="4" w:space="0"/>
              <w:left w:val="single" w:color="auto" w:sz="4" w:space="0"/>
              <w:bottom w:val="single" w:color="auto" w:sz="4" w:space="0"/>
              <w:right w:val="single" w:color="auto" w:sz="4" w:space="0"/>
            </w:tcBorders>
            <w:vAlign w:val="center"/>
          </w:tcPr>
          <w:p w14:paraId="0CF52861">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c>
          <w:tcPr>
            <w:tcW w:w="1567" w:type="pct"/>
            <w:tcBorders>
              <w:top w:val="single" w:color="auto" w:sz="4" w:space="0"/>
              <w:left w:val="single" w:color="auto" w:sz="4" w:space="0"/>
              <w:bottom w:val="single" w:color="auto" w:sz="4" w:space="0"/>
              <w:right w:val="single" w:color="auto" w:sz="4" w:space="0"/>
            </w:tcBorders>
            <w:vAlign w:val="center"/>
          </w:tcPr>
          <w:p w14:paraId="5C9463EB">
            <w:pPr>
              <w:widowControl/>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　</w:t>
            </w:r>
          </w:p>
        </w:tc>
      </w:tr>
      <w:tr w14:paraId="2324BA03">
        <w:tblPrEx>
          <w:tblCellMar>
            <w:top w:w="0" w:type="dxa"/>
            <w:left w:w="108" w:type="dxa"/>
            <w:bottom w:w="0" w:type="dxa"/>
            <w:right w:w="108" w:type="dxa"/>
          </w:tblCellMar>
        </w:tblPrEx>
        <w:trPr>
          <w:trHeight w:val="482"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F118743">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备注：</w:t>
            </w:r>
          </w:p>
          <w:p w14:paraId="488AE7D7">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1、“岗位”要求（除项目负责人和专职安全员外）由招标人根据项目管理需要在本表备注中明确提出。以上项目管理团队人员信息将由交易系统提取后供各相关单位在履约时比对、查核。</w:t>
            </w:r>
          </w:p>
          <w:p w14:paraId="67E850AC">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20DAA1B9">
            <w:pPr>
              <w:widowControl/>
              <w:jc w:val="left"/>
              <w:rPr>
                <w:rFonts w:hint="eastAsia" w:ascii="宋体" w:hAnsi="宋体" w:cs="宋体"/>
                <w:color w:val="auto"/>
                <w:sz w:val="20"/>
                <w:szCs w:val="20"/>
                <w:highlight w:val="none"/>
              </w:rPr>
            </w:pPr>
            <w:r>
              <w:rPr>
                <w:rFonts w:hint="eastAsia" w:ascii="宋体" w:hAnsi="宋体" w:cs="宋体"/>
                <w:color w:val="auto"/>
                <w:sz w:val="20"/>
                <w:szCs w:val="20"/>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14:paraId="5DC653E3">
            <w:pPr>
              <w:pStyle w:val="6"/>
              <w:spacing w:before="0" w:after="0" w:line="240" w:lineRule="auto"/>
              <w:ind w:left="0"/>
              <w:jc w:val="both"/>
              <w:rPr>
                <w:rFonts w:hint="eastAsia" w:ascii="宋体" w:hAnsi="宋体" w:cs="宋体"/>
                <w:color w:val="auto"/>
                <w:sz w:val="21"/>
                <w:szCs w:val="21"/>
                <w:highlight w:val="none"/>
              </w:rPr>
            </w:pPr>
            <w:bookmarkStart w:id="51" w:name="_Toc19453"/>
            <w:r>
              <w:rPr>
                <w:rFonts w:hint="eastAsia" w:ascii="宋体" w:hAnsi="宋体" w:cs="宋体"/>
                <w:b w:val="0"/>
                <w:bCs/>
                <w:color w:val="auto"/>
                <w:sz w:val="20"/>
                <w:szCs w:val="20"/>
                <w:highlight w:val="none"/>
              </w:rPr>
              <w:t>4</w:t>
            </w:r>
            <w:r>
              <w:rPr>
                <w:rFonts w:hint="eastAsia" w:ascii="宋体" w:hAnsi="宋体" w:cs="宋体"/>
                <w:b w:val="0"/>
                <w:bCs/>
                <w:color w:val="auto"/>
                <w:kern w:val="2"/>
                <w:sz w:val="20"/>
                <w:szCs w:val="20"/>
                <w:highlight w:val="none"/>
              </w:rPr>
              <w:t>、本表中投标人提供的“技术负责人”需满足招标公告要求，其余人员不全或未满足招标文件要求的，中标后须按招标文件的要求补充完善并报发包人审批同意；涉及违约的，还需按合同约定承担相应的违约责任。</w:t>
            </w:r>
            <w:bookmarkEnd w:id="51"/>
          </w:p>
        </w:tc>
      </w:tr>
    </w:tbl>
    <w:p w14:paraId="65937AAE">
      <w:pPr>
        <w:pStyle w:val="56"/>
        <w:ind w:right="496" w:firstLine="3610" w:firstLineChars="1450"/>
        <w:rPr>
          <w:rFonts w:hint="eastAsia" w:ascii="宋体" w:hAnsi="宋体" w:cs="宋体"/>
          <w:b/>
          <w:bCs/>
          <w:color w:val="auto"/>
          <w:highlight w:val="none"/>
        </w:rPr>
      </w:pPr>
    </w:p>
    <w:p w14:paraId="08A182F0">
      <w:pPr>
        <w:pStyle w:val="56"/>
        <w:ind w:right="496" w:firstLine="3610" w:firstLineChars="1450"/>
        <w:rPr>
          <w:rFonts w:hint="eastAsia" w:ascii="宋体" w:hAnsi="宋体" w:cs="宋体"/>
          <w:b/>
          <w:bCs/>
          <w:color w:val="auto"/>
          <w:highlight w:val="none"/>
        </w:rPr>
      </w:pPr>
    </w:p>
    <w:p w14:paraId="6BB734D6">
      <w:pPr>
        <w:pStyle w:val="56"/>
        <w:ind w:right="496" w:firstLine="3610" w:firstLineChars="1450"/>
        <w:rPr>
          <w:rFonts w:hint="eastAsia" w:ascii="宋体" w:hAnsi="宋体" w:cs="宋体"/>
          <w:b/>
          <w:bCs/>
          <w:color w:val="auto"/>
          <w:highlight w:val="none"/>
        </w:rPr>
      </w:pPr>
    </w:p>
    <w:p w14:paraId="38B16BB8">
      <w:pPr>
        <w:pStyle w:val="56"/>
        <w:ind w:right="496" w:firstLine="0" w:firstLineChars="0"/>
        <w:outlineLvl w:val="2"/>
        <w:rPr>
          <w:rFonts w:hint="eastAsia" w:ascii="宋体" w:hAnsi="宋体" w:cs="宋体"/>
          <w:b/>
          <w:color w:val="auto"/>
          <w:spacing w:val="0"/>
          <w:kern w:val="2"/>
          <w:highlight w:val="none"/>
        </w:rPr>
      </w:pPr>
      <w:r>
        <w:rPr>
          <w:rFonts w:hint="eastAsia" w:ascii="宋体" w:hAnsi="宋体" w:cs="宋体"/>
          <w:b/>
          <w:bCs/>
          <w:color w:val="auto"/>
          <w:highlight w:val="none"/>
        </w:rPr>
        <w:br w:type="page"/>
      </w:r>
      <w:bookmarkStart w:id="52" w:name="_Toc3554"/>
      <w:r>
        <w:rPr>
          <w:rFonts w:hint="eastAsia" w:ascii="宋体" w:hAnsi="宋体" w:cs="宋体"/>
          <w:b/>
          <w:color w:val="auto"/>
          <w:spacing w:val="0"/>
          <w:kern w:val="2"/>
          <w:highlight w:val="none"/>
        </w:rPr>
        <w:t>格式</w:t>
      </w:r>
      <w:r>
        <w:rPr>
          <w:rFonts w:hint="eastAsia" w:ascii="宋体" w:hAnsi="宋体" w:cs="宋体"/>
          <w:b/>
          <w:color w:val="auto"/>
          <w:spacing w:val="0"/>
          <w:kern w:val="2"/>
          <w:highlight w:val="none"/>
          <w:lang w:val="en-US" w:eastAsia="zh-CN"/>
        </w:rPr>
        <w:t>八</w:t>
      </w:r>
      <w:r>
        <w:rPr>
          <w:rFonts w:hint="eastAsia" w:ascii="宋体" w:hAnsi="宋体" w:cs="宋体"/>
          <w:b/>
          <w:color w:val="auto"/>
          <w:spacing w:val="0"/>
          <w:kern w:val="2"/>
          <w:highlight w:val="none"/>
        </w:rPr>
        <w:t>：</w:t>
      </w:r>
      <w:bookmarkEnd w:id="40"/>
      <w:bookmarkEnd w:id="41"/>
      <w:bookmarkEnd w:id="42"/>
      <w:bookmarkEnd w:id="43"/>
      <w:bookmarkEnd w:id="44"/>
      <w:r>
        <w:rPr>
          <w:rFonts w:hint="eastAsia" w:ascii="宋体" w:hAnsi="宋体" w:cs="宋体"/>
          <w:b/>
          <w:color w:val="auto"/>
          <w:spacing w:val="0"/>
          <w:kern w:val="2"/>
          <w:highlight w:val="none"/>
        </w:rPr>
        <w:t>危险性较大的分部分项工程清单及超过一定规模的危险性较大的分部分项工程清单</w:t>
      </w:r>
      <w:bookmarkEnd w:id="52"/>
    </w:p>
    <w:p w14:paraId="6D407E50">
      <w:pPr>
        <w:autoSpaceDE w:val="0"/>
        <w:autoSpaceDN w:val="0"/>
        <w:adjustRightInd w:val="0"/>
        <w:jc w:val="center"/>
        <w:rPr>
          <w:rFonts w:hint="eastAsia" w:ascii="宋体" w:hAnsi="宋体" w:cs="宋体"/>
          <w:b/>
          <w:bCs/>
          <w:color w:val="auto"/>
          <w:sz w:val="36"/>
          <w:szCs w:val="36"/>
          <w:highlight w:val="none"/>
          <w:lang w:val="zh-CN"/>
        </w:rPr>
      </w:pPr>
      <w:bookmarkStart w:id="53" w:name="_Toc4489938"/>
      <w:bookmarkStart w:id="54" w:name="_Toc20655"/>
      <w:bookmarkStart w:id="55" w:name="_Toc62134857"/>
      <w:bookmarkStart w:id="56" w:name="_Toc504722506"/>
      <w:bookmarkStart w:id="57" w:name="_Toc14697650"/>
      <w:bookmarkStart w:id="58" w:name="_Toc337720092"/>
      <w:bookmarkStart w:id="59" w:name="_Toc291101119"/>
      <w:bookmarkStart w:id="60" w:name="_Toc248650371"/>
      <w:bookmarkStart w:id="61" w:name="_Toc352240524"/>
      <w:bookmarkStart w:id="62" w:name="_Toc464131225"/>
      <w:bookmarkStart w:id="63" w:name="_Toc395261100"/>
      <w:bookmarkStart w:id="64" w:name="_Toc226209004"/>
      <w:bookmarkStart w:id="65" w:name="_Toc352623422"/>
      <w:bookmarkStart w:id="66" w:name="_Toc254961556"/>
      <w:bookmarkStart w:id="67" w:name="_Toc449308421"/>
      <w:bookmarkStart w:id="68" w:name="_Toc358370579"/>
      <w:bookmarkStart w:id="69" w:name="_Toc369536771"/>
      <w:r>
        <w:rPr>
          <w:rFonts w:hint="eastAsia" w:ascii="宋体" w:hAnsi="宋体" w:cs="宋体"/>
          <w:b/>
          <w:bCs/>
          <w:color w:val="auto"/>
          <w:sz w:val="36"/>
          <w:szCs w:val="36"/>
          <w:highlight w:val="none"/>
          <w:lang w:val="zh-CN"/>
        </w:rPr>
        <w:t>危险性较大的分部分项工程清单及超过一定规模的危险性较大的分部分项工程清单</w:t>
      </w:r>
    </w:p>
    <w:p w14:paraId="718BB724">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1、根据中华人民共和国住房和城乡建设部令第47号《危险性较大的分部分项工程安全管理规定》（以下简称“47号文”），投标人在投标时须补充完善危大工程清单并明确相应的安全管理措施。</w:t>
      </w:r>
    </w:p>
    <w:p w14:paraId="12C62E9C">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2、招标人根据设计文件的要求及47号文的规定列出“危险性较大的分部分项工程清单及超过一定规模的危险性较大的分部分项工程清单”中与本招标项目相关的清单项，具体详见第5点“打√”标识。</w:t>
      </w:r>
    </w:p>
    <w:p w14:paraId="4B0FAA53">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（1）投标单位同意建设单位在清单中标识的该项请在对应项打“√”标识，并于投标文件中提供相应的安全管理措施。</w:t>
      </w:r>
    </w:p>
    <w:p w14:paraId="6A456F7E">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（2）投标单位对清单中认为需要补充的该项请在对应项打“√”标识，并于投标文件中提供相应的安全管理措施。</w:t>
      </w:r>
    </w:p>
    <w:p w14:paraId="36CC2D5D">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（3）投标单位不同意建设单位在清单中标识的该项请在对应项打“×”标识，并在备注栏填上相关说明。</w:t>
      </w:r>
    </w:p>
    <w:p w14:paraId="1DDF5E2B">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3、投标单位应当在投标时根据招标人提供的下述第5点清单，在中标后提供的施工组织中编制专项施工方案。</w:t>
      </w:r>
    </w:p>
    <w:p w14:paraId="04E29EB0">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4、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FD72BC2">
      <w:pPr>
        <w:pStyle w:val="111"/>
        <w:autoSpaceDE w:val="0"/>
        <w:autoSpaceDN w:val="0"/>
        <w:spacing w:line="360" w:lineRule="auto"/>
        <w:ind w:firstLine="480"/>
        <w:rPr>
          <w:rFonts w:hint="eastAsia" w:ascii="宋体" w:hAnsi="宋体" w:cs="宋体"/>
          <w:color w:val="auto"/>
          <w:sz w:val="24"/>
          <w:szCs w:val="28"/>
          <w:highlight w:val="none"/>
        </w:rPr>
      </w:pPr>
      <w:r>
        <w:rPr>
          <w:rFonts w:hint="eastAsia" w:ascii="宋体" w:hAnsi="宋体" w:cs="宋体"/>
          <w:color w:val="auto"/>
          <w:sz w:val="24"/>
          <w:szCs w:val="28"/>
          <w:highlight w:val="none"/>
        </w:rPr>
        <w:t>5、危险性较大的分部分项工程清单及超过一定规模的危险性较大的分部分项工程清单：</w:t>
      </w:r>
    </w:p>
    <w:tbl>
      <w:tblPr>
        <w:tblStyle w:val="4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77"/>
        <w:gridCol w:w="1367"/>
        <w:gridCol w:w="1580"/>
        <w:gridCol w:w="1234"/>
      </w:tblGrid>
      <w:tr w14:paraId="476D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9" w:type="pct"/>
            <w:tcBorders>
              <w:top w:val="single" w:color="auto" w:sz="4" w:space="0"/>
              <w:left w:val="single" w:color="auto" w:sz="4" w:space="0"/>
              <w:bottom w:val="single" w:color="auto" w:sz="4" w:space="0"/>
              <w:right w:val="single" w:color="auto" w:sz="4" w:space="0"/>
            </w:tcBorders>
            <w:vAlign w:val="center"/>
          </w:tcPr>
          <w:p w14:paraId="45B02576">
            <w:pPr>
              <w:pStyle w:val="111"/>
              <w:autoSpaceDE w:val="0"/>
              <w:autoSpaceDN w:val="0"/>
              <w:spacing w:line="360" w:lineRule="auto"/>
              <w:ind w:firstLine="482"/>
              <w:rPr>
                <w:rFonts w:hint="eastAsia" w:ascii="宋体" w:hAnsi="宋体" w:cs="宋体"/>
                <w:b/>
                <w:color w:val="auto"/>
                <w:sz w:val="24"/>
                <w:highlight w:val="none"/>
              </w:rPr>
            </w:pPr>
            <w:r>
              <w:rPr>
                <w:rFonts w:hint="eastAsia" w:ascii="宋体" w:hAnsi="宋体" w:cs="宋体"/>
                <w:b/>
                <w:color w:val="auto"/>
                <w:sz w:val="24"/>
                <w:highlight w:val="none"/>
              </w:rPr>
              <w:t>一、危险性较大的分部分项工程清单</w:t>
            </w:r>
          </w:p>
        </w:tc>
        <w:tc>
          <w:tcPr>
            <w:tcW w:w="686" w:type="pct"/>
            <w:tcBorders>
              <w:top w:val="single" w:color="auto" w:sz="4" w:space="0"/>
              <w:left w:val="single" w:color="auto" w:sz="4" w:space="0"/>
              <w:bottom w:val="single" w:color="auto" w:sz="4" w:space="0"/>
              <w:right w:val="single" w:color="auto" w:sz="4" w:space="0"/>
            </w:tcBorders>
            <w:vAlign w:val="center"/>
          </w:tcPr>
          <w:p w14:paraId="7D471757">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建设单位</w:t>
            </w:r>
          </w:p>
        </w:tc>
        <w:tc>
          <w:tcPr>
            <w:tcW w:w="793" w:type="pct"/>
            <w:tcBorders>
              <w:top w:val="single" w:color="auto" w:sz="4" w:space="0"/>
              <w:left w:val="single" w:color="auto" w:sz="4" w:space="0"/>
              <w:bottom w:val="single" w:color="auto" w:sz="4" w:space="0"/>
              <w:right w:val="single" w:color="auto" w:sz="4" w:space="0"/>
            </w:tcBorders>
            <w:vAlign w:val="center"/>
          </w:tcPr>
          <w:p w14:paraId="3BDDCD3B">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投标单位</w:t>
            </w:r>
          </w:p>
        </w:tc>
        <w:tc>
          <w:tcPr>
            <w:tcW w:w="619" w:type="pct"/>
            <w:tcBorders>
              <w:top w:val="single" w:color="auto" w:sz="4" w:space="0"/>
              <w:left w:val="single" w:color="auto" w:sz="4" w:space="0"/>
              <w:bottom w:val="single" w:color="auto" w:sz="4" w:space="0"/>
              <w:right w:val="single" w:color="auto" w:sz="4" w:space="0"/>
            </w:tcBorders>
            <w:vAlign w:val="center"/>
          </w:tcPr>
          <w:p w14:paraId="48227E31">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备注</w:t>
            </w:r>
          </w:p>
        </w:tc>
      </w:tr>
      <w:tr w14:paraId="19936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78A44052">
            <w:pPr>
              <w:jc w:val="left"/>
              <w:rPr>
                <w:rFonts w:hint="eastAsia" w:ascii="宋体" w:hAnsi="宋体" w:cs="宋体"/>
                <w:color w:val="auto"/>
                <w:sz w:val="24"/>
                <w:highlight w:val="none"/>
              </w:rPr>
            </w:pPr>
            <w:r>
              <w:rPr>
                <w:rFonts w:hint="eastAsia" w:ascii="宋体" w:hAnsi="宋体" w:cs="宋体"/>
                <w:color w:val="auto"/>
                <w:sz w:val="24"/>
                <w:highlight w:val="none"/>
              </w:rPr>
              <w:t>一、基坑支护</w:t>
            </w:r>
          </w:p>
        </w:tc>
        <w:tc>
          <w:tcPr>
            <w:tcW w:w="686" w:type="pct"/>
            <w:tcBorders>
              <w:top w:val="single" w:color="auto" w:sz="4" w:space="0"/>
              <w:left w:val="single" w:color="auto" w:sz="4" w:space="0"/>
              <w:bottom w:val="single" w:color="auto" w:sz="4" w:space="0"/>
              <w:right w:val="single" w:color="auto" w:sz="4" w:space="0"/>
            </w:tcBorders>
            <w:vAlign w:val="center"/>
          </w:tcPr>
          <w:p w14:paraId="2B8FD50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15FFDBF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99BDBA8">
            <w:pPr>
              <w:jc w:val="center"/>
              <w:rPr>
                <w:rFonts w:hint="eastAsia" w:ascii="宋体" w:hAnsi="宋体" w:cs="宋体"/>
                <w:color w:val="auto"/>
                <w:sz w:val="24"/>
                <w:szCs w:val="36"/>
                <w:highlight w:val="none"/>
              </w:rPr>
            </w:pPr>
          </w:p>
        </w:tc>
      </w:tr>
      <w:tr w14:paraId="6C23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2A41E7D9">
            <w:pPr>
              <w:jc w:val="left"/>
              <w:rPr>
                <w:rFonts w:hint="eastAsia" w:ascii="宋体" w:hAnsi="宋体" w:cs="宋体"/>
                <w:color w:val="auto"/>
                <w:sz w:val="24"/>
                <w:highlight w:val="none"/>
              </w:rPr>
            </w:pPr>
            <w:r>
              <w:rPr>
                <w:rFonts w:hint="eastAsia" w:ascii="宋体" w:hAnsi="宋体" w:cs="宋体"/>
                <w:color w:val="auto"/>
                <w:sz w:val="24"/>
                <w:highlight w:val="none"/>
              </w:rPr>
              <w:t>（一）开挖深度超过3m（含3m）的基坑（槽）的土方开挖、支护、降水工程。</w:t>
            </w:r>
          </w:p>
        </w:tc>
        <w:tc>
          <w:tcPr>
            <w:tcW w:w="686" w:type="pct"/>
            <w:tcBorders>
              <w:top w:val="single" w:color="auto" w:sz="4" w:space="0"/>
              <w:left w:val="single" w:color="auto" w:sz="4" w:space="0"/>
              <w:bottom w:val="single" w:color="auto" w:sz="4" w:space="0"/>
              <w:right w:val="single" w:color="auto" w:sz="4" w:space="0"/>
            </w:tcBorders>
            <w:vAlign w:val="center"/>
          </w:tcPr>
          <w:p w14:paraId="24005776">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76CD4C0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04253081">
            <w:pPr>
              <w:jc w:val="center"/>
              <w:rPr>
                <w:rFonts w:hint="eastAsia" w:ascii="宋体" w:hAnsi="宋体" w:cs="宋体"/>
                <w:color w:val="auto"/>
                <w:sz w:val="24"/>
                <w:szCs w:val="36"/>
                <w:highlight w:val="none"/>
              </w:rPr>
            </w:pPr>
          </w:p>
        </w:tc>
      </w:tr>
      <w:tr w14:paraId="22335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6A027D2">
            <w:pPr>
              <w:jc w:val="left"/>
              <w:rPr>
                <w:rFonts w:hint="eastAsia" w:ascii="宋体" w:hAnsi="宋体" w:cs="宋体"/>
                <w:color w:val="auto"/>
                <w:sz w:val="24"/>
                <w:highlight w:val="none"/>
              </w:rPr>
            </w:pPr>
            <w:r>
              <w:rPr>
                <w:rFonts w:hint="eastAsia" w:ascii="宋体" w:hAnsi="宋体" w:cs="宋体"/>
                <w:color w:val="auto"/>
                <w:sz w:val="24"/>
                <w:highlight w:val="none"/>
              </w:rPr>
              <w:t>（二）开挖深度虽未超过3m，但地质条件、周围环境和地下管线复杂，或影响毗邻建、构筑物安全的基坑（槽）的土方开挖、支护、降水工程。</w:t>
            </w:r>
          </w:p>
        </w:tc>
        <w:tc>
          <w:tcPr>
            <w:tcW w:w="686" w:type="pct"/>
            <w:tcBorders>
              <w:top w:val="single" w:color="auto" w:sz="4" w:space="0"/>
              <w:left w:val="single" w:color="auto" w:sz="4" w:space="0"/>
              <w:bottom w:val="single" w:color="auto" w:sz="4" w:space="0"/>
              <w:right w:val="single" w:color="auto" w:sz="4" w:space="0"/>
            </w:tcBorders>
            <w:vAlign w:val="center"/>
          </w:tcPr>
          <w:p w14:paraId="0CB60B9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7F9721F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2AEBC3A">
            <w:pPr>
              <w:jc w:val="center"/>
              <w:rPr>
                <w:rFonts w:hint="eastAsia" w:ascii="宋体" w:hAnsi="宋体" w:cs="宋体"/>
                <w:color w:val="auto"/>
                <w:sz w:val="24"/>
                <w:szCs w:val="36"/>
                <w:highlight w:val="none"/>
              </w:rPr>
            </w:pPr>
          </w:p>
        </w:tc>
      </w:tr>
      <w:tr w14:paraId="3E42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7D61E81">
            <w:pPr>
              <w:jc w:val="left"/>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686" w:type="pct"/>
            <w:tcBorders>
              <w:top w:val="single" w:color="auto" w:sz="4" w:space="0"/>
              <w:left w:val="single" w:color="auto" w:sz="4" w:space="0"/>
              <w:bottom w:val="single" w:color="auto" w:sz="4" w:space="0"/>
              <w:right w:val="single" w:color="auto" w:sz="4" w:space="0"/>
            </w:tcBorders>
            <w:vAlign w:val="center"/>
          </w:tcPr>
          <w:p w14:paraId="22A86D29">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0244031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4F7AEA12">
            <w:pPr>
              <w:jc w:val="center"/>
              <w:rPr>
                <w:rFonts w:hint="eastAsia" w:ascii="宋体" w:hAnsi="宋体" w:cs="宋体"/>
                <w:color w:val="auto"/>
                <w:sz w:val="24"/>
                <w:szCs w:val="36"/>
                <w:highlight w:val="none"/>
              </w:rPr>
            </w:pPr>
          </w:p>
        </w:tc>
      </w:tr>
      <w:tr w14:paraId="13922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6FF3AD23">
            <w:pPr>
              <w:jc w:val="left"/>
              <w:rPr>
                <w:rFonts w:hint="eastAsia" w:ascii="宋体" w:hAnsi="宋体" w:cs="宋体"/>
                <w:color w:val="auto"/>
                <w:sz w:val="24"/>
                <w:highlight w:val="none"/>
              </w:rPr>
            </w:pPr>
            <w:r>
              <w:rPr>
                <w:rFonts w:hint="eastAsia" w:ascii="宋体" w:hAnsi="宋体" w:cs="宋体"/>
                <w:color w:val="auto"/>
                <w:sz w:val="24"/>
                <w:highlight w:val="none"/>
              </w:rPr>
              <w:t>（一）各类工具式模板工程：包括滑模、爬模、飞模、隧道模等工程。</w:t>
            </w:r>
          </w:p>
        </w:tc>
        <w:tc>
          <w:tcPr>
            <w:tcW w:w="686" w:type="pct"/>
            <w:tcBorders>
              <w:top w:val="single" w:color="auto" w:sz="4" w:space="0"/>
              <w:left w:val="single" w:color="auto" w:sz="4" w:space="0"/>
              <w:bottom w:val="single" w:color="auto" w:sz="4" w:space="0"/>
              <w:right w:val="single" w:color="auto" w:sz="4" w:space="0"/>
            </w:tcBorders>
            <w:vAlign w:val="center"/>
          </w:tcPr>
          <w:p w14:paraId="015DDFA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215B281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4E4C780D">
            <w:pPr>
              <w:jc w:val="center"/>
              <w:rPr>
                <w:rFonts w:hint="eastAsia" w:ascii="宋体" w:hAnsi="宋体" w:cs="宋体"/>
                <w:color w:val="auto"/>
                <w:sz w:val="24"/>
                <w:szCs w:val="36"/>
                <w:highlight w:val="none"/>
              </w:rPr>
            </w:pPr>
          </w:p>
        </w:tc>
      </w:tr>
      <w:tr w14:paraId="3DC50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5894AD44">
            <w:pPr>
              <w:jc w:val="left"/>
              <w:rPr>
                <w:rFonts w:hint="eastAsia" w:ascii="宋体" w:hAnsi="宋体" w:cs="宋体"/>
                <w:color w:val="auto"/>
                <w:sz w:val="24"/>
                <w:highlight w:val="none"/>
              </w:rPr>
            </w:pPr>
            <w:r>
              <w:rPr>
                <w:rFonts w:hint="eastAsia" w:ascii="宋体" w:hAnsi="宋体" w:cs="宋体"/>
                <w:color w:val="auto"/>
                <w:sz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686" w:type="pct"/>
            <w:tcBorders>
              <w:top w:val="single" w:color="auto" w:sz="4" w:space="0"/>
              <w:left w:val="single" w:color="auto" w:sz="4" w:space="0"/>
              <w:bottom w:val="single" w:color="auto" w:sz="4" w:space="0"/>
              <w:right w:val="single" w:color="auto" w:sz="4" w:space="0"/>
            </w:tcBorders>
            <w:vAlign w:val="center"/>
          </w:tcPr>
          <w:p w14:paraId="29FA9610">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036FDFE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7915496">
            <w:pPr>
              <w:jc w:val="center"/>
              <w:rPr>
                <w:rFonts w:hint="eastAsia" w:ascii="宋体" w:hAnsi="宋体" w:cs="宋体"/>
                <w:color w:val="auto"/>
                <w:sz w:val="24"/>
                <w:szCs w:val="36"/>
                <w:highlight w:val="none"/>
              </w:rPr>
            </w:pPr>
          </w:p>
        </w:tc>
      </w:tr>
      <w:tr w14:paraId="4301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6A2D32EA">
            <w:pPr>
              <w:widowControl/>
              <w:spacing w:line="360" w:lineRule="atLeast"/>
              <w:jc w:val="left"/>
              <w:rPr>
                <w:rFonts w:hint="eastAsia" w:ascii="宋体" w:hAnsi="宋体" w:cs="宋体"/>
                <w:color w:val="auto"/>
                <w:sz w:val="24"/>
                <w:highlight w:val="none"/>
              </w:rPr>
            </w:pPr>
            <w:r>
              <w:rPr>
                <w:rFonts w:hint="eastAsia" w:ascii="宋体" w:hAnsi="宋体" w:cs="宋体"/>
                <w:color w:val="auto"/>
                <w:sz w:val="24"/>
                <w:highlight w:val="none"/>
              </w:rPr>
              <w:t>（三）承重支撑体系：用于钢结构安装等满堂支撑体系。</w:t>
            </w:r>
          </w:p>
        </w:tc>
        <w:tc>
          <w:tcPr>
            <w:tcW w:w="686" w:type="pct"/>
            <w:tcBorders>
              <w:top w:val="single" w:color="auto" w:sz="4" w:space="0"/>
              <w:left w:val="single" w:color="auto" w:sz="4" w:space="0"/>
              <w:bottom w:val="single" w:color="auto" w:sz="4" w:space="0"/>
              <w:right w:val="single" w:color="auto" w:sz="4" w:space="0"/>
            </w:tcBorders>
            <w:vAlign w:val="center"/>
          </w:tcPr>
          <w:p w14:paraId="2004D41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68B0757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3906828">
            <w:pPr>
              <w:jc w:val="center"/>
              <w:rPr>
                <w:rFonts w:hint="eastAsia" w:ascii="宋体" w:hAnsi="宋体" w:cs="宋体"/>
                <w:color w:val="auto"/>
                <w:sz w:val="24"/>
                <w:szCs w:val="36"/>
                <w:highlight w:val="none"/>
              </w:rPr>
            </w:pPr>
          </w:p>
        </w:tc>
      </w:tr>
      <w:tr w14:paraId="18881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5BB4C874">
            <w:pPr>
              <w:widowControl/>
              <w:spacing w:line="360" w:lineRule="atLeast"/>
              <w:jc w:val="left"/>
              <w:rPr>
                <w:rFonts w:hint="eastAsia"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686" w:type="pct"/>
            <w:tcBorders>
              <w:top w:val="single" w:color="auto" w:sz="4" w:space="0"/>
              <w:left w:val="single" w:color="auto" w:sz="4" w:space="0"/>
              <w:bottom w:val="single" w:color="auto" w:sz="4" w:space="0"/>
              <w:right w:val="single" w:color="auto" w:sz="4" w:space="0"/>
            </w:tcBorders>
            <w:vAlign w:val="center"/>
          </w:tcPr>
          <w:p w14:paraId="06016D0A">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7DD4E9D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45ED882A">
            <w:pPr>
              <w:jc w:val="center"/>
              <w:rPr>
                <w:rFonts w:hint="eastAsia" w:ascii="宋体" w:hAnsi="宋体" w:cs="宋体"/>
                <w:color w:val="auto"/>
                <w:sz w:val="24"/>
                <w:szCs w:val="36"/>
                <w:highlight w:val="none"/>
              </w:rPr>
            </w:pPr>
          </w:p>
        </w:tc>
      </w:tr>
      <w:tr w14:paraId="006D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6068D12B">
            <w:pPr>
              <w:widowControl/>
              <w:spacing w:line="360" w:lineRule="atLeast"/>
              <w:jc w:val="left"/>
              <w:rPr>
                <w:rFonts w:hint="eastAsia" w:ascii="宋体" w:hAnsi="宋体" w:cs="宋体"/>
                <w:color w:val="auto"/>
                <w:sz w:val="24"/>
                <w:highlight w:val="none"/>
              </w:rPr>
            </w:pPr>
            <w:r>
              <w:rPr>
                <w:rFonts w:hint="eastAsia" w:ascii="宋体" w:hAnsi="宋体" w:cs="宋体"/>
                <w:color w:val="auto"/>
                <w:sz w:val="24"/>
                <w:highlight w:val="none"/>
              </w:rPr>
              <w:t>（一）采用非常规起重设备、方法，且单件起吊重量在10kN及以上的起重吊装工程。</w:t>
            </w:r>
          </w:p>
        </w:tc>
        <w:tc>
          <w:tcPr>
            <w:tcW w:w="686" w:type="pct"/>
            <w:tcBorders>
              <w:top w:val="single" w:color="auto" w:sz="4" w:space="0"/>
              <w:left w:val="single" w:color="auto" w:sz="4" w:space="0"/>
              <w:bottom w:val="single" w:color="auto" w:sz="4" w:space="0"/>
              <w:right w:val="single" w:color="auto" w:sz="4" w:space="0"/>
            </w:tcBorders>
            <w:vAlign w:val="center"/>
          </w:tcPr>
          <w:p w14:paraId="5622159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4BF9DEF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E4D7138">
            <w:pPr>
              <w:jc w:val="center"/>
              <w:rPr>
                <w:rFonts w:hint="eastAsia" w:ascii="宋体" w:hAnsi="宋体" w:cs="宋体"/>
                <w:color w:val="auto"/>
                <w:sz w:val="24"/>
                <w:szCs w:val="36"/>
                <w:highlight w:val="none"/>
              </w:rPr>
            </w:pPr>
          </w:p>
        </w:tc>
      </w:tr>
      <w:tr w14:paraId="6305D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53A66C1D">
            <w:pPr>
              <w:jc w:val="left"/>
              <w:rPr>
                <w:rFonts w:hint="eastAsia" w:ascii="宋体" w:hAnsi="宋体" w:cs="宋体"/>
                <w:color w:val="auto"/>
                <w:sz w:val="24"/>
                <w:highlight w:val="none"/>
              </w:rPr>
            </w:pPr>
            <w:r>
              <w:rPr>
                <w:rFonts w:hint="eastAsia" w:ascii="宋体" w:hAnsi="宋体" w:cs="宋体"/>
                <w:color w:val="auto"/>
                <w:sz w:val="24"/>
                <w:highlight w:val="none"/>
              </w:rPr>
              <w:t>（二）采用起重机械进行安装的工程。</w:t>
            </w:r>
          </w:p>
        </w:tc>
        <w:tc>
          <w:tcPr>
            <w:tcW w:w="686" w:type="pct"/>
            <w:tcBorders>
              <w:top w:val="single" w:color="auto" w:sz="4" w:space="0"/>
              <w:left w:val="single" w:color="auto" w:sz="4" w:space="0"/>
              <w:bottom w:val="single" w:color="auto" w:sz="4" w:space="0"/>
              <w:right w:val="single" w:color="auto" w:sz="4" w:space="0"/>
            </w:tcBorders>
            <w:vAlign w:val="center"/>
          </w:tcPr>
          <w:p w14:paraId="6063FC34">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675F96B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38D8D785">
            <w:pPr>
              <w:jc w:val="center"/>
              <w:rPr>
                <w:rFonts w:hint="eastAsia" w:ascii="宋体" w:hAnsi="宋体" w:cs="宋体"/>
                <w:color w:val="auto"/>
                <w:sz w:val="24"/>
                <w:szCs w:val="36"/>
                <w:highlight w:val="none"/>
              </w:rPr>
            </w:pPr>
          </w:p>
        </w:tc>
      </w:tr>
      <w:tr w14:paraId="575E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4F112FDD">
            <w:pPr>
              <w:jc w:val="left"/>
              <w:rPr>
                <w:rFonts w:hint="eastAsia" w:ascii="宋体" w:hAnsi="宋体" w:cs="宋体"/>
                <w:color w:val="auto"/>
                <w:sz w:val="24"/>
                <w:highlight w:val="none"/>
              </w:rPr>
            </w:pPr>
            <w:r>
              <w:rPr>
                <w:rFonts w:hint="eastAsia" w:ascii="宋体" w:hAnsi="宋体" w:cs="宋体"/>
                <w:color w:val="auto"/>
                <w:sz w:val="24"/>
                <w:highlight w:val="none"/>
              </w:rPr>
              <w:t>（三）起重机械安装和拆卸工程。</w:t>
            </w:r>
          </w:p>
        </w:tc>
        <w:tc>
          <w:tcPr>
            <w:tcW w:w="686" w:type="pct"/>
            <w:tcBorders>
              <w:top w:val="single" w:color="auto" w:sz="4" w:space="0"/>
              <w:left w:val="single" w:color="auto" w:sz="4" w:space="0"/>
              <w:bottom w:val="single" w:color="auto" w:sz="4" w:space="0"/>
              <w:right w:val="single" w:color="auto" w:sz="4" w:space="0"/>
            </w:tcBorders>
            <w:vAlign w:val="center"/>
          </w:tcPr>
          <w:p w14:paraId="0595D37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6FAB1E7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94D3BDE">
            <w:pPr>
              <w:jc w:val="center"/>
              <w:rPr>
                <w:rFonts w:hint="eastAsia" w:ascii="宋体" w:hAnsi="宋体" w:cs="宋体"/>
                <w:color w:val="auto"/>
                <w:sz w:val="24"/>
                <w:szCs w:val="36"/>
                <w:highlight w:val="none"/>
              </w:rPr>
            </w:pPr>
          </w:p>
        </w:tc>
      </w:tr>
      <w:tr w14:paraId="167B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443F899B">
            <w:pPr>
              <w:jc w:val="left"/>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686" w:type="pct"/>
            <w:tcBorders>
              <w:top w:val="single" w:color="auto" w:sz="4" w:space="0"/>
              <w:left w:val="single" w:color="auto" w:sz="4" w:space="0"/>
              <w:bottom w:val="single" w:color="auto" w:sz="4" w:space="0"/>
              <w:right w:val="single" w:color="auto" w:sz="4" w:space="0"/>
            </w:tcBorders>
            <w:vAlign w:val="center"/>
          </w:tcPr>
          <w:p w14:paraId="6AC20FE5">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4F232C7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112F9DFF">
            <w:pPr>
              <w:jc w:val="center"/>
              <w:rPr>
                <w:rFonts w:hint="eastAsia" w:ascii="宋体" w:hAnsi="宋体" w:cs="宋体"/>
                <w:color w:val="auto"/>
                <w:sz w:val="24"/>
                <w:szCs w:val="36"/>
                <w:highlight w:val="none"/>
              </w:rPr>
            </w:pPr>
          </w:p>
        </w:tc>
      </w:tr>
      <w:tr w14:paraId="09B8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0DD0F528">
            <w:pPr>
              <w:jc w:val="left"/>
              <w:rPr>
                <w:rFonts w:hint="eastAsia" w:ascii="宋体" w:hAnsi="宋体" w:cs="宋体"/>
                <w:color w:val="auto"/>
                <w:sz w:val="24"/>
                <w:highlight w:val="none"/>
              </w:rPr>
            </w:pPr>
            <w:r>
              <w:rPr>
                <w:rFonts w:hint="eastAsia" w:ascii="宋体" w:hAnsi="宋体" w:cs="宋体"/>
                <w:color w:val="auto"/>
                <w:sz w:val="24"/>
                <w:highlight w:val="none"/>
              </w:rPr>
              <w:t>（一）搭设高度24m及以上的落地式钢管脚手架工程（包括采光井、电梯井脚手架）。</w:t>
            </w:r>
          </w:p>
        </w:tc>
        <w:tc>
          <w:tcPr>
            <w:tcW w:w="686" w:type="pct"/>
            <w:tcBorders>
              <w:top w:val="single" w:color="auto" w:sz="4" w:space="0"/>
              <w:left w:val="single" w:color="auto" w:sz="4" w:space="0"/>
              <w:bottom w:val="single" w:color="auto" w:sz="4" w:space="0"/>
              <w:right w:val="single" w:color="auto" w:sz="4" w:space="0"/>
            </w:tcBorders>
            <w:vAlign w:val="center"/>
          </w:tcPr>
          <w:p w14:paraId="4577300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10FE89F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37CDE731">
            <w:pPr>
              <w:jc w:val="center"/>
              <w:rPr>
                <w:rFonts w:hint="eastAsia" w:ascii="宋体" w:hAnsi="宋体" w:cs="宋体"/>
                <w:color w:val="auto"/>
                <w:sz w:val="24"/>
                <w:szCs w:val="36"/>
                <w:highlight w:val="none"/>
              </w:rPr>
            </w:pPr>
          </w:p>
        </w:tc>
      </w:tr>
      <w:tr w14:paraId="4CFD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DBF1A5F">
            <w:pPr>
              <w:jc w:val="left"/>
              <w:rPr>
                <w:rFonts w:hint="eastAsia" w:ascii="宋体" w:hAnsi="宋体" w:cs="宋体"/>
                <w:color w:val="auto"/>
                <w:sz w:val="24"/>
                <w:highlight w:val="none"/>
              </w:rPr>
            </w:pPr>
            <w:r>
              <w:rPr>
                <w:rFonts w:hint="eastAsia" w:ascii="宋体" w:hAnsi="宋体" w:cs="宋体"/>
                <w:color w:val="auto"/>
                <w:sz w:val="24"/>
                <w:highlight w:val="none"/>
              </w:rPr>
              <w:t>（二）附着式升降脚手架工程。</w:t>
            </w:r>
          </w:p>
        </w:tc>
        <w:tc>
          <w:tcPr>
            <w:tcW w:w="686" w:type="pct"/>
            <w:tcBorders>
              <w:top w:val="single" w:color="auto" w:sz="4" w:space="0"/>
              <w:left w:val="single" w:color="auto" w:sz="4" w:space="0"/>
              <w:bottom w:val="single" w:color="auto" w:sz="4" w:space="0"/>
              <w:right w:val="single" w:color="auto" w:sz="4" w:space="0"/>
            </w:tcBorders>
            <w:vAlign w:val="center"/>
          </w:tcPr>
          <w:p w14:paraId="22EA5E81">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7368EFE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1D95CFEB">
            <w:pPr>
              <w:jc w:val="center"/>
              <w:rPr>
                <w:rFonts w:hint="eastAsia" w:ascii="宋体" w:hAnsi="宋体" w:cs="宋体"/>
                <w:color w:val="auto"/>
                <w:sz w:val="24"/>
                <w:szCs w:val="36"/>
                <w:highlight w:val="none"/>
              </w:rPr>
            </w:pPr>
          </w:p>
        </w:tc>
      </w:tr>
      <w:tr w14:paraId="52688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786BC6D9">
            <w:pPr>
              <w:jc w:val="left"/>
              <w:rPr>
                <w:rFonts w:hint="eastAsia" w:ascii="宋体" w:hAnsi="宋体" w:cs="宋体"/>
                <w:color w:val="auto"/>
                <w:sz w:val="24"/>
                <w:highlight w:val="none"/>
              </w:rPr>
            </w:pPr>
            <w:r>
              <w:rPr>
                <w:rFonts w:hint="eastAsia" w:ascii="宋体" w:hAnsi="宋体" w:cs="宋体"/>
                <w:color w:val="auto"/>
                <w:sz w:val="24"/>
                <w:highlight w:val="none"/>
              </w:rPr>
              <w:t>（三）悬挑式脚手架工程。</w:t>
            </w:r>
          </w:p>
        </w:tc>
        <w:tc>
          <w:tcPr>
            <w:tcW w:w="686" w:type="pct"/>
            <w:tcBorders>
              <w:top w:val="single" w:color="auto" w:sz="4" w:space="0"/>
              <w:left w:val="single" w:color="auto" w:sz="4" w:space="0"/>
              <w:bottom w:val="single" w:color="auto" w:sz="4" w:space="0"/>
              <w:right w:val="single" w:color="auto" w:sz="4" w:space="0"/>
            </w:tcBorders>
            <w:vAlign w:val="center"/>
          </w:tcPr>
          <w:p w14:paraId="56288FF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65BE845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4791A09B">
            <w:pPr>
              <w:jc w:val="center"/>
              <w:rPr>
                <w:rFonts w:hint="eastAsia" w:ascii="宋体" w:hAnsi="宋体" w:cs="宋体"/>
                <w:color w:val="auto"/>
                <w:sz w:val="24"/>
                <w:szCs w:val="36"/>
                <w:highlight w:val="none"/>
              </w:rPr>
            </w:pPr>
          </w:p>
        </w:tc>
      </w:tr>
      <w:tr w14:paraId="385E2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06058D5">
            <w:pPr>
              <w:jc w:val="left"/>
              <w:rPr>
                <w:rFonts w:hint="eastAsia" w:ascii="宋体" w:hAnsi="宋体" w:cs="宋体"/>
                <w:color w:val="auto"/>
                <w:sz w:val="24"/>
                <w:highlight w:val="none"/>
              </w:rPr>
            </w:pPr>
            <w:r>
              <w:rPr>
                <w:rFonts w:hint="eastAsia" w:ascii="宋体" w:hAnsi="宋体" w:cs="宋体"/>
                <w:color w:val="auto"/>
                <w:sz w:val="24"/>
                <w:highlight w:val="none"/>
              </w:rPr>
              <w:t>（四）高处作业吊篮。</w:t>
            </w:r>
          </w:p>
        </w:tc>
        <w:tc>
          <w:tcPr>
            <w:tcW w:w="686" w:type="pct"/>
            <w:tcBorders>
              <w:top w:val="single" w:color="auto" w:sz="4" w:space="0"/>
              <w:left w:val="single" w:color="auto" w:sz="4" w:space="0"/>
              <w:bottom w:val="single" w:color="auto" w:sz="4" w:space="0"/>
              <w:right w:val="single" w:color="auto" w:sz="4" w:space="0"/>
            </w:tcBorders>
            <w:vAlign w:val="center"/>
          </w:tcPr>
          <w:p w14:paraId="37CCBEF5">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31C5336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D48107A">
            <w:pPr>
              <w:jc w:val="center"/>
              <w:rPr>
                <w:rFonts w:hint="eastAsia" w:ascii="宋体" w:hAnsi="宋体" w:cs="宋体"/>
                <w:color w:val="auto"/>
                <w:sz w:val="24"/>
                <w:szCs w:val="36"/>
                <w:highlight w:val="none"/>
              </w:rPr>
            </w:pPr>
          </w:p>
        </w:tc>
      </w:tr>
      <w:tr w14:paraId="2318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99" w:type="pct"/>
            <w:tcBorders>
              <w:top w:val="single" w:color="auto" w:sz="4" w:space="0"/>
              <w:left w:val="single" w:color="auto" w:sz="4" w:space="0"/>
              <w:bottom w:val="single" w:color="auto" w:sz="4" w:space="0"/>
              <w:right w:val="single" w:color="auto" w:sz="4" w:space="0"/>
            </w:tcBorders>
          </w:tcPr>
          <w:p w14:paraId="37643AF4">
            <w:pPr>
              <w:jc w:val="left"/>
              <w:rPr>
                <w:rFonts w:hint="eastAsia" w:ascii="宋体" w:hAnsi="宋体" w:cs="宋体"/>
                <w:color w:val="auto"/>
                <w:sz w:val="24"/>
                <w:highlight w:val="none"/>
              </w:rPr>
            </w:pPr>
            <w:r>
              <w:rPr>
                <w:rFonts w:hint="eastAsia" w:ascii="宋体" w:hAnsi="宋体" w:cs="宋体"/>
                <w:color w:val="auto"/>
                <w:sz w:val="24"/>
                <w:highlight w:val="none"/>
              </w:rPr>
              <w:t>（五）卸料平台、操作平台工程。</w:t>
            </w:r>
          </w:p>
        </w:tc>
        <w:tc>
          <w:tcPr>
            <w:tcW w:w="686" w:type="pct"/>
            <w:tcBorders>
              <w:top w:val="single" w:color="auto" w:sz="4" w:space="0"/>
              <w:left w:val="single" w:color="auto" w:sz="4" w:space="0"/>
              <w:bottom w:val="single" w:color="auto" w:sz="4" w:space="0"/>
              <w:right w:val="single" w:color="auto" w:sz="4" w:space="0"/>
            </w:tcBorders>
            <w:vAlign w:val="center"/>
          </w:tcPr>
          <w:p w14:paraId="574D7490">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0BE7D7F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193859E5">
            <w:pPr>
              <w:jc w:val="center"/>
              <w:rPr>
                <w:rFonts w:hint="eastAsia" w:ascii="宋体" w:hAnsi="宋体" w:cs="宋体"/>
                <w:color w:val="auto"/>
                <w:sz w:val="24"/>
                <w:szCs w:val="36"/>
                <w:highlight w:val="none"/>
              </w:rPr>
            </w:pPr>
          </w:p>
        </w:tc>
      </w:tr>
      <w:tr w14:paraId="6AE7A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07642409">
            <w:pPr>
              <w:jc w:val="left"/>
              <w:rPr>
                <w:rFonts w:hint="eastAsia" w:ascii="宋体" w:hAnsi="宋体" w:cs="宋体"/>
                <w:color w:val="auto"/>
                <w:sz w:val="24"/>
                <w:highlight w:val="none"/>
              </w:rPr>
            </w:pPr>
            <w:r>
              <w:rPr>
                <w:rFonts w:hint="eastAsia" w:ascii="宋体" w:hAnsi="宋体" w:cs="宋体"/>
                <w:color w:val="auto"/>
                <w:sz w:val="24"/>
                <w:highlight w:val="none"/>
              </w:rPr>
              <w:t>（六）异型脚手架工程。</w:t>
            </w:r>
          </w:p>
        </w:tc>
        <w:tc>
          <w:tcPr>
            <w:tcW w:w="686" w:type="pct"/>
            <w:tcBorders>
              <w:top w:val="single" w:color="auto" w:sz="4" w:space="0"/>
              <w:left w:val="single" w:color="auto" w:sz="4" w:space="0"/>
              <w:bottom w:val="single" w:color="auto" w:sz="4" w:space="0"/>
              <w:right w:val="single" w:color="auto" w:sz="4" w:space="0"/>
            </w:tcBorders>
            <w:vAlign w:val="center"/>
          </w:tcPr>
          <w:p w14:paraId="65030DA1">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5022D38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2CDB4A56">
            <w:pPr>
              <w:jc w:val="center"/>
              <w:rPr>
                <w:rFonts w:hint="eastAsia" w:ascii="宋体" w:hAnsi="宋体" w:cs="宋体"/>
                <w:color w:val="auto"/>
                <w:sz w:val="24"/>
                <w:szCs w:val="36"/>
                <w:highlight w:val="none"/>
              </w:rPr>
            </w:pPr>
          </w:p>
        </w:tc>
      </w:tr>
      <w:tr w14:paraId="51D6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6320A54">
            <w:pPr>
              <w:jc w:val="left"/>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686" w:type="pct"/>
            <w:tcBorders>
              <w:top w:val="single" w:color="auto" w:sz="4" w:space="0"/>
              <w:left w:val="single" w:color="auto" w:sz="4" w:space="0"/>
              <w:bottom w:val="single" w:color="auto" w:sz="4" w:space="0"/>
              <w:right w:val="single" w:color="auto" w:sz="4" w:space="0"/>
            </w:tcBorders>
            <w:vAlign w:val="center"/>
          </w:tcPr>
          <w:p w14:paraId="3C658DB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7B9478E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B4C82AD">
            <w:pPr>
              <w:jc w:val="center"/>
              <w:rPr>
                <w:rFonts w:hint="eastAsia" w:ascii="宋体" w:hAnsi="宋体" w:cs="宋体"/>
                <w:color w:val="auto"/>
                <w:sz w:val="24"/>
                <w:szCs w:val="36"/>
                <w:highlight w:val="none"/>
              </w:rPr>
            </w:pPr>
          </w:p>
        </w:tc>
      </w:tr>
      <w:tr w14:paraId="009A5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9" w:type="pct"/>
            <w:tcBorders>
              <w:top w:val="single" w:color="auto" w:sz="4" w:space="0"/>
              <w:left w:val="single" w:color="auto" w:sz="4" w:space="0"/>
              <w:bottom w:val="single" w:color="auto" w:sz="4" w:space="0"/>
              <w:right w:val="single" w:color="auto" w:sz="4" w:space="0"/>
            </w:tcBorders>
          </w:tcPr>
          <w:p w14:paraId="1A4D4F0B">
            <w:pPr>
              <w:jc w:val="left"/>
              <w:rPr>
                <w:rFonts w:hint="eastAsia" w:ascii="宋体" w:hAnsi="宋体" w:cs="宋体"/>
                <w:color w:val="auto"/>
                <w:sz w:val="24"/>
                <w:highlight w:val="none"/>
              </w:rPr>
            </w:pPr>
            <w:r>
              <w:rPr>
                <w:rFonts w:hint="eastAsia" w:ascii="宋体" w:hAnsi="宋体" w:cs="宋体"/>
                <w:color w:val="auto"/>
                <w:sz w:val="24"/>
                <w:highlight w:val="none"/>
              </w:rPr>
              <w:t>可能影响行人、交通、电力设施、通讯设施或其它建、构筑物安全的拆除工程。</w:t>
            </w:r>
          </w:p>
        </w:tc>
        <w:tc>
          <w:tcPr>
            <w:tcW w:w="686" w:type="pct"/>
            <w:tcBorders>
              <w:top w:val="single" w:color="auto" w:sz="4" w:space="0"/>
              <w:left w:val="single" w:color="auto" w:sz="4" w:space="0"/>
              <w:bottom w:val="single" w:color="auto" w:sz="4" w:space="0"/>
              <w:right w:val="single" w:color="auto" w:sz="4" w:space="0"/>
            </w:tcBorders>
            <w:vAlign w:val="center"/>
          </w:tcPr>
          <w:p w14:paraId="69EA7F16">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0E399FF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6A4FF64">
            <w:pPr>
              <w:jc w:val="center"/>
              <w:rPr>
                <w:rFonts w:hint="eastAsia" w:ascii="宋体" w:hAnsi="宋体" w:cs="宋体"/>
                <w:color w:val="auto"/>
                <w:sz w:val="24"/>
                <w:szCs w:val="36"/>
                <w:highlight w:val="none"/>
              </w:rPr>
            </w:pPr>
          </w:p>
        </w:tc>
      </w:tr>
      <w:tr w14:paraId="18AA0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0C110EFD">
            <w:pPr>
              <w:jc w:val="left"/>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686" w:type="pct"/>
            <w:tcBorders>
              <w:top w:val="single" w:color="auto" w:sz="4" w:space="0"/>
              <w:left w:val="single" w:color="auto" w:sz="4" w:space="0"/>
              <w:bottom w:val="single" w:color="auto" w:sz="4" w:space="0"/>
              <w:right w:val="single" w:color="auto" w:sz="4" w:space="0"/>
            </w:tcBorders>
            <w:vAlign w:val="center"/>
          </w:tcPr>
          <w:p w14:paraId="451376B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458F379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7B40DB5">
            <w:pPr>
              <w:jc w:val="center"/>
              <w:rPr>
                <w:rFonts w:hint="eastAsia" w:ascii="宋体" w:hAnsi="宋体" w:cs="宋体"/>
                <w:color w:val="auto"/>
                <w:sz w:val="24"/>
                <w:szCs w:val="36"/>
                <w:highlight w:val="none"/>
              </w:rPr>
            </w:pPr>
          </w:p>
        </w:tc>
      </w:tr>
      <w:tr w14:paraId="0C96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45996F51">
            <w:pPr>
              <w:jc w:val="left"/>
              <w:rPr>
                <w:rFonts w:hint="eastAsia" w:ascii="宋体" w:hAnsi="宋体" w:cs="宋体"/>
                <w:color w:val="auto"/>
                <w:sz w:val="24"/>
                <w:highlight w:val="none"/>
              </w:rPr>
            </w:pPr>
            <w:r>
              <w:rPr>
                <w:rFonts w:hint="eastAsia" w:ascii="宋体" w:hAnsi="宋体" w:cs="宋体"/>
                <w:color w:val="auto"/>
                <w:sz w:val="24"/>
                <w:highlight w:val="none"/>
              </w:rPr>
              <w:t>采用矿山法、盾构法、顶管法施工的隧道、洞室工程。</w:t>
            </w:r>
          </w:p>
        </w:tc>
        <w:tc>
          <w:tcPr>
            <w:tcW w:w="686" w:type="pct"/>
            <w:tcBorders>
              <w:top w:val="single" w:color="auto" w:sz="4" w:space="0"/>
              <w:left w:val="single" w:color="auto" w:sz="4" w:space="0"/>
              <w:bottom w:val="single" w:color="auto" w:sz="4" w:space="0"/>
              <w:right w:val="single" w:color="auto" w:sz="4" w:space="0"/>
            </w:tcBorders>
            <w:vAlign w:val="center"/>
          </w:tcPr>
          <w:p w14:paraId="354BF176">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1C4216F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723961C">
            <w:pPr>
              <w:jc w:val="center"/>
              <w:rPr>
                <w:rFonts w:hint="eastAsia" w:ascii="宋体" w:hAnsi="宋体" w:cs="宋体"/>
                <w:color w:val="auto"/>
                <w:sz w:val="24"/>
                <w:szCs w:val="36"/>
                <w:highlight w:val="none"/>
              </w:rPr>
            </w:pPr>
          </w:p>
        </w:tc>
      </w:tr>
      <w:tr w14:paraId="2706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42EF0095">
            <w:pPr>
              <w:jc w:val="left"/>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686" w:type="pct"/>
            <w:tcBorders>
              <w:top w:val="single" w:color="auto" w:sz="4" w:space="0"/>
              <w:left w:val="single" w:color="auto" w:sz="4" w:space="0"/>
              <w:bottom w:val="single" w:color="auto" w:sz="4" w:space="0"/>
              <w:right w:val="single" w:color="auto" w:sz="4" w:space="0"/>
            </w:tcBorders>
            <w:vAlign w:val="center"/>
          </w:tcPr>
          <w:p w14:paraId="5FB71D57">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4D1CA45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0AF414AD">
            <w:pPr>
              <w:jc w:val="center"/>
              <w:rPr>
                <w:rFonts w:hint="eastAsia" w:ascii="宋体" w:hAnsi="宋体" w:cs="宋体"/>
                <w:color w:val="auto"/>
                <w:sz w:val="24"/>
                <w:szCs w:val="36"/>
                <w:highlight w:val="none"/>
              </w:rPr>
            </w:pPr>
          </w:p>
        </w:tc>
      </w:tr>
      <w:tr w14:paraId="19DA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04512BF0">
            <w:pPr>
              <w:jc w:val="left"/>
              <w:rPr>
                <w:rFonts w:hint="eastAsia" w:ascii="宋体" w:hAnsi="宋体" w:cs="宋体"/>
                <w:color w:val="auto"/>
                <w:sz w:val="24"/>
                <w:highlight w:val="none"/>
              </w:rPr>
            </w:pPr>
            <w:r>
              <w:rPr>
                <w:rFonts w:hint="eastAsia" w:ascii="宋体" w:hAnsi="宋体" w:cs="宋体"/>
                <w:color w:val="auto"/>
                <w:sz w:val="24"/>
                <w:highlight w:val="none"/>
              </w:rPr>
              <w:t>（一）建筑幕墙安装工程。</w:t>
            </w:r>
          </w:p>
        </w:tc>
        <w:tc>
          <w:tcPr>
            <w:tcW w:w="686" w:type="pct"/>
            <w:tcBorders>
              <w:top w:val="single" w:color="auto" w:sz="4" w:space="0"/>
              <w:left w:val="single" w:color="auto" w:sz="4" w:space="0"/>
              <w:bottom w:val="single" w:color="auto" w:sz="4" w:space="0"/>
              <w:right w:val="single" w:color="auto" w:sz="4" w:space="0"/>
            </w:tcBorders>
            <w:vAlign w:val="center"/>
          </w:tcPr>
          <w:p w14:paraId="3A4274DE">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06DCDBE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38BC7F88">
            <w:pPr>
              <w:jc w:val="center"/>
              <w:rPr>
                <w:rFonts w:hint="eastAsia" w:ascii="宋体" w:hAnsi="宋体" w:cs="宋体"/>
                <w:color w:val="auto"/>
                <w:sz w:val="24"/>
                <w:szCs w:val="36"/>
                <w:highlight w:val="none"/>
              </w:rPr>
            </w:pPr>
          </w:p>
        </w:tc>
      </w:tr>
      <w:tr w14:paraId="46F26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3B52A73">
            <w:pPr>
              <w:jc w:val="left"/>
              <w:rPr>
                <w:rFonts w:hint="eastAsia" w:ascii="宋体" w:hAnsi="宋体" w:cs="宋体"/>
                <w:color w:val="auto"/>
                <w:sz w:val="24"/>
                <w:highlight w:val="none"/>
              </w:rPr>
            </w:pPr>
            <w:r>
              <w:rPr>
                <w:rFonts w:hint="eastAsia" w:ascii="宋体" w:hAnsi="宋体" w:cs="宋体"/>
                <w:color w:val="auto"/>
                <w:sz w:val="24"/>
                <w:highlight w:val="none"/>
              </w:rPr>
              <w:t>（二）钢结构、网架和索膜结构安装工程。</w:t>
            </w:r>
          </w:p>
        </w:tc>
        <w:tc>
          <w:tcPr>
            <w:tcW w:w="686" w:type="pct"/>
            <w:tcBorders>
              <w:top w:val="single" w:color="auto" w:sz="4" w:space="0"/>
              <w:left w:val="single" w:color="auto" w:sz="4" w:space="0"/>
              <w:bottom w:val="single" w:color="auto" w:sz="4" w:space="0"/>
              <w:right w:val="single" w:color="auto" w:sz="4" w:space="0"/>
            </w:tcBorders>
            <w:vAlign w:val="center"/>
          </w:tcPr>
          <w:p w14:paraId="1037F55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3E9C9AE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70D4CF6D">
            <w:pPr>
              <w:jc w:val="center"/>
              <w:rPr>
                <w:rFonts w:hint="eastAsia" w:ascii="宋体" w:hAnsi="宋体" w:cs="宋体"/>
                <w:color w:val="auto"/>
                <w:sz w:val="24"/>
                <w:szCs w:val="36"/>
                <w:highlight w:val="none"/>
              </w:rPr>
            </w:pPr>
          </w:p>
        </w:tc>
      </w:tr>
      <w:tr w14:paraId="7661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29CB8583">
            <w:pPr>
              <w:jc w:val="left"/>
              <w:rPr>
                <w:rFonts w:hint="eastAsia" w:ascii="宋体" w:hAnsi="宋体" w:cs="宋体"/>
                <w:color w:val="auto"/>
                <w:sz w:val="24"/>
                <w:highlight w:val="none"/>
              </w:rPr>
            </w:pPr>
            <w:r>
              <w:rPr>
                <w:rFonts w:hint="eastAsia" w:ascii="宋体" w:hAnsi="宋体" w:cs="宋体"/>
                <w:color w:val="auto"/>
                <w:sz w:val="24"/>
                <w:highlight w:val="none"/>
              </w:rPr>
              <w:t>（三）人工挖孔桩工程。</w:t>
            </w:r>
          </w:p>
        </w:tc>
        <w:tc>
          <w:tcPr>
            <w:tcW w:w="686" w:type="pct"/>
            <w:tcBorders>
              <w:top w:val="single" w:color="auto" w:sz="4" w:space="0"/>
              <w:left w:val="single" w:color="auto" w:sz="4" w:space="0"/>
              <w:bottom w:val="single" w:color="auto" w:sz="4" w:space="0"/>
              <w:right w:val="single" w:color="auto" w:sz="4" w:space="0"/>
            </w:tcBorders>
            <w:vAlign w:val="center"/>
          </w:tcPr>
          <w:p w14:paraId="0DAD4914">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7C14C218">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17114A80">
            <w:pPr>
              <w:jc w:val="center"/>
              <w:rPr>
                <w:rFonts w:hint="eastAsia" w:ascii="宋体" w:hAnsi="宋体" w:cs="宋体"/>
                <w:color w:val="auto"/>
                <w:sz w:val="24"/>
                <w:szCs w:val="36"/>
                <w:highlight w:val="none"/>
              </w:rPr>
            </w:pPr>
          </w:p>
        </w:tc>
      </w:tr>
      <w:tr w14:paraId="53F3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2899" w:type="pct"/>
            <w:tcBorders>
              <w:top w:val="single" w:color="auto" w:sz="4" w:space="0"/>
              <w:left w:val="single" w:color="auto" w:sz="4" w:space="0"/>
              <w:bottom w:val="single" w:color="auto" w:sz="4" w:space="0"/>
              <w:right w:val="single" w:color="auto" w:sz="4" w:space="0"/>
            </w:tcBorders>
          </w:tcPr>
          <w:p w14:paraId="316D3610">
            <w:pPr>
              <w:jc w:val="left"/>
              <w:rPr>
                <w:rFonts w:hint="eastAsia" w:ascii="宋体" w:hAnsi="宋体" w:cs="宋体"/>
                <w:color w:val="auto"/>
                <w:sz w:val="24"/>
                <w:highlight w:val="none"/>
              </w:rPr>
            </w:pPr>
            <w:r>
              <w:rPr>
                <w:rFonts w:hint="eastAsia" w:ascii="宋体" w:hAnsi="宋体" w:cs="宋体"/>
                <w:color w:val="auto"/>
                <w:sz w:val="24"/>
                <w:highlight w:val="none"/>
              </w:rPr>
              <w:t>（四）水下作业工程。</w:t>
            </w:r>
          </w:p>
        </w:tc>
        <w:tc>
          <w:tcPr>
            <w:tcW w:w="686" w:type="pct"/>
            <w:tcBorders>
              <w:top w:val="single" w:color="auto" w:sz="4" w:space="0"/>
              <w:left w:val="single" w:color="auto" w:sz="4" w:space="0"/>
              <w:bottom w:val="single" w:color="auto" w:sz="4" w:space="0"/>
              <w:right w:val="single" w:color="auto" w:sz="4" w:space="0"/>
            </w:tcBorders>
            <w:vAlign w:val="center"/>
          </w:tcPr>
          <w:p w14:paraId="68E660E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6C6A3E4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D8C37FA">
            <w:pPr>
              <w:jc w:val="center"/>
              <w:rPr>
                <w:rFonts w:hint="eastAsia" w:ascii="宋体" w:hAnsi="宋体" w:cs="宋体"/>
                <w:color w:val="auto"/>
                <w:sz w:val="24"/>
                <w:szCs w:val="36"/>
                <w:highlight w:val="none"/>
              </w:rPr>
            </w:pPr>
          </w:p>
        </w:tc>
      </w:tr>
      <w:tr w14:paraId="4E2C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5B948E13">
            <w:pPr>
              <w:jc w:val="left"/>
              <w:rPr>
                <w:rFonts w:hint="eastAsia" w:ascii="宋体" w:hAnsi="宋体" w:cs="宋体"/>
                <w:color w:val="auto"/>
                <w:sz w:val="24"/>
                <w:highlight w:val="none"/>
              </w:rPr>
            </w:pPr>
            <w:r>
              <w:rPr>
                <w:rFonts w:hint="eastAsia" w:ascii="宋体" w:hAnsi="宋体" w:cs="宋体"/>
                <w:color w:val="auto"/>
                <w:sz w:val="24"/>
                <w:highlight w:val="none"/>
              </w:rPr>
              <w:t>（五）装配式建筑混凝土预制构件安装工程。</w:t>
            </w:r>
          </w:p>
        </w:tc>
        <w:tc>
          <w:tcPr>
            <w:tcW w:w="686" w:type="pct"/>
            <w:tcBorders>
              <w:top w:val="single" w:color="auto" w:sz="4" w:space="0"/>
              <w:left w:val="single" w:color="auto" w:sz="4" w:space="0"/>
              <w:bottom w:val="single" w:color="auto" w:sz="4" w:space="0"/>
              <w:right w:val="single" w:color="auto" w:sz="4" w:space="0"/>
            </w:tcBorders>
            <w:vAlign w:val="center"/>
          </w:tcPr>
          <w:p w14:paraId="3D7BB3EA">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507EC7B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557CBF5">
            <w:pPr>
              <w:jc w:val="center"/>
              <w:rPr>
                <w:rFonts w:hint="eastAsia" w:ascii="宋体" w:hAnsi="宋体" w:cs="宋体"/>
                <w:color w:val="auto"/>
                <w:sz w:val="24"/>
                <w:szCs w:val="36"/>
                <w:highlight w:val="none"/>
              </w:rPr>
            </w:pPr>
          </w:p>
        </w:tc>
      </w:tr>
      <w:tr w14:paraId="5385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799A5B26">
            <w:pPr>
              <w:jc w:val="left"/>
              <w:rPr>
                <w:rFonts w:hint="eastAsia" w:ascii="宋体" w:hAnsi="宋体" w:cs="宋体"/>
                <w:color w:val="auto"/>
                <w:sz w:val="24"/>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686" w:type="pct"/>
            <w:tcBorders>
              <w:top w:val="single" w:color="auto" w:sz="4" w:space="0"/>
              <w:left w:val="single" w:color="auto" w:sz="4" w:space="0"/>
              <w:bottom w:val="single" w:color="auto" w:sz="4" w:space="0"/>
              <w:right w:val="single" w:color="auto" w:sz="4" w:space="0"/>
            </w:tcBorders>
            <w:vAlign w:val="center"/>
          </w:tcPr>
          <w:p w14:paraId="49313A8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725BA2C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39C8696">
            <w:pPr>
              <w:jc w:val="center"/>
              <w:rPr>
                <w:rFonts w:hint="eastAsia" w:ascii="宋体" w:hAnsi="宋体" w:cs="宋体"/>
                <w:color w:val="auto"/>
                <w:sz w:val="24"/>
                <w:szCs w:val="36"/>
                <w:highlight w:val="none"/>
              </w:rPr>
            </w:pPr>
          </w:p>
        </w:tc>
      </w:tr>
      <w:tr w14:paraId="46C3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vAlign w:val="center"/>
          </w:tcPr>
          <w:p w14:paraId="52DD93C5">
            <w:pPr>
              <w:widowControl/>
              <w:spacing w:line="360" w:lineRule="atLeast"/>
              <w:rPr>
                <w:rFonts w:hint="eastAsia" w:ascii="宋体" w:hAnsi="宋体" w:cs="宋体"/>
                <w:b/>
                <w:color w:val="auto"/>
                <w:sz w:val="24"/>
                <w:highlight w:val="none"/>
              </w:rPr>
            </w:pPr>
            <w:r>
              <w:rPr>
                <w:rFonts w:hint="eastAsia" w:ascii="宋体" w:hAnsi="宋体" w:cs="宋体"/>
                <w:b/>
                <w:bCs/>
                <w:color w:val="auto"/>
                <w:sz w:val="24"/>
                <w:highlight w:val="none"/>
              </w:rPr>
              <w:t>二、超过一定规模的危险性较大的分部分项工程清单</w:t>
            </w:r>
          </w:p>
        </w:tc>
        <w:tc>
          <w:tcPr>
            <w:tcW w:w="686" w:type="pct"/>
            <w:tcBorders>
              <w:top w:val="single" w:color="auto" w:sz="4" w:space="0"/>
              <w:left w:val="single" w:color="auto" w:sz="4" w:space="0"/>
              <w:bottom w:val="single" w:color="auto" w:sz="4" w:space="0"/>
              <w:right w:val="single" w:color="auto" w:sz="4" w:space="0"/>
            </w:tcBorders>
            <w:vAlign w:val="center"/>
          </w:tcPr>
          <w:p w14:paraId="370E5009">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2EAFBA7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69558B4">
            <w:pPr>
              <w:jc w:val="center"/>
              <w:rPr>
                <w:rFonts w:hint="eastAsia" w:ascii="宋体" w:hAnsi="宋体" w:cs="宋体"/>
                <w:color w:val="auto"/>
                <w:sz w:val="24"/>
                <w:szCs w:val="36"/>
                <w:highlight w:val="none"/>
              </w:rPr>
            </w:pPr>
          </w:p>
        </w:tc>
      </w:tr>
      <w:tr w14:paraId="4B3D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EC8BE6C">
            <w:pPr>
              <w:jc w:val="left"/>
              <w:rPr>
                <w:rFonts w:hint="eastAsia" w:ascii="宋体" w:hAnsi="宋体" w:cs="宋体"/>
                <w:color w:val="auto"/>
                <w:sz w:val="24"/>
                <w:highlight w:val="none"/>
              </w:rPr>
            </w:pPr>
            <w:r>
              <w:rPr>
                <w:rFonts w:hint="eastAsia" w:ascii="宋体" w:hAnsi="宋体" w:cs="宋体"/>
                <w:color w:val="auto"/>
                <w:sz w:val="24"/>
                <w:highlight w:val="none"/>
              </w:rPr>
              <w:t>一、深基坑工程</w:t>
            </w:r>
          </w:p>
        </w:tc>
        <w:tc>
          <w:tcPr>
            <w:tcW w:w="686" w:type="pct"/>
            <w:tcBorders>
              <w:top w:val="single" w:color="auto" w:sz="4" w:space="0"/>
              <w:left w:val="single" w:color="auto" w:sz="4" w:space="0"/>
              <w:bottom w:val="single" w:color="auto" w:sz="4" w:space="0"/>
              <w:right w:val="single" w:color="auto" w:sz="4" w:space="0"/>
            </w:tcBorders>
            <w:vAlign w:val="center"/>
          </w:tcPr>
          <w:p w14:paraId="3DA6279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369F016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75D772E2">
            <w:pPr>
              <w:jc w:val="center"/>
              <w:rPr>
                <w:rFonts w:hint="eastAsia" w:ascii="宋体" w:hAnsi="宋体" w:cs="宋体"/>
                <w:color w:val="auto"/>
                <w:sz w:val="24"/>
                <w:szCs w:val="36"/>
                <w:highlight w:val="none"/>
              </w:rPr>
            </w:pPr>
          </w:p>
        </w:tc>
      </w:tr>
      <w:tr w14:paraId="57F6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7DB02F64">
            <w:pPr>
              <w:jc w:val="left"/>
              <w:rPr>
                <w:rFonts w:hint="eastAsia" w:ascii="宋体" w:hAnsi="宋体" w:cs="宋体"/>
                <w:color w:val="auto"/>
                <w:sz w:val="24"/>
                <w:highlight w:val="none"/>
              </w:rPr>
            </w:pPr>
            <w:r>
              <w:rPr>
                <w:rFonts w:hint="eastAsia" w:ascii="宋体" w:hAnsi="宋体" w:cs="宋体"/>
                <w:color w:val="auto"/>
                <w:sz w:val="24"/>
                <w:highlight w:val="none"/>
              </w:rPr>
              <w:t>开挖深度超过5m（含5m）的基坑（槽）的土方开挖、支护、降水工程。</w:t>
            </w:r>
          </w:p>
        </w:tc>
        <w:tc>
          <w:tcPr>
            <w:tcW w:w="686" w:type="pct"/>
            <w:tcBorders>
              <w:top w:val="single" w:color="auto" w:sz="4" w:space="0"/>
              <w:left w:val="single" w:color="auto" w:sz="4" w:space="0"/>
              <w:bottom w:val="single" w:color="auto" w:sz="4" w:space="0"/>
              <w:right w:val="single" w:color="auto" w:sz="4" w:space="0"/>
            </w:tcBorders>
            <w:vAlign w:val="center"/>
          </w:tcPr>
          <w:p w14:paraId="5A6F8445">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7055EBD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00F998A">
            <w:pPr>
              <w:jc w:val="center"/>
              <w:rPr>
                <w:rFonts w:hint="eastAsia" w:ascii="宋体" w:hAnsi="宋体" w:cs="宋体"/>
                <w:color w:val="auto"/>
                <w:sz w:val="24"/>
                <w:szCs w:val="36"/>
                <w:highlight w:val="none"/>
              </w:rPr>
            </w:pPr>
          </w:p>
        </w:tc>
      </w:tr>
      <w:tr w14:paraId="604D5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E552BA0">
            <w:pPr>
              <w:jc w:val="left"/>
              <w:rPr>
                <w:rFonts w:hint="eastAsia" w:ascii="宋体" w:hAnsi="宋体" w:cs="宋体"/>
                <w:color w:val="auto"/>
                <w:sz w:val="24"/>
                <w:highlight w:val="none"/>
              </w:rPr>
            </w:pPr>
            <w:r>
              <w:rPr>
                <w:rFonts w:hint="eastAsia" w:ascii="宋体" w:hAnsi="宋体" w:cs="宋体"/>
                <w:color w:val="auto"/>
                <w:sz w:val="24"/>
                <w:highlight w:val="none"/>
              </w:rPr>
              <w:t>二、模板工程及支撑体系</w:t>
            </w:r>
          </w:p>
        </w:tc>
        <w:tc>
          <w:tcPr>
            <w:tcW w:w="686" w:type="pct"/>
            <w:tcBorders>
              <w:top w:val="single" w:color="auto" w:sz="4" w:space="0"/>
              <w:left w:val="single" w:color="auto" w:sz="4" w:space="0"/>
              <w:bottom w:val="single" w:color="auto" w:sz="4" w:space="0"/>
              <w:right w:val="single" w:color="auto" w:sz="4" w:space="0"/>
            </w:tcBorders>
            <w:vAlign w:val="center"/>
          </w:tcPr>
          <w:p w14:paraId="651904B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4320386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1AD92D2C">
            <w:pPr>
              <w:jc w:val="center"/>
              <w:rPr>
                <w:rFonts w:hint="eastAsia" w:ascii="宋体" w:hAnsi="宋体" w:cs="宋体"/>
                <w:color w:val="auto"/>
                <w:sz w:val="24"/>
                <w:szCs w:val="36"/>
                <w:highlight w:val="none"/>
              </w:rPr>
            </w:pPr>
          </w:p>
        </w:tc>
      </w:tr>
      <w:tr w14:paraId="5EC7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6091AC50">
            <w:pPr>
              <w:jc w:val="left"/>
              <w:rPr>
                <w:rFonts w:hint="eastAsia" w:ascii="宋体" w:hAnsi="宋体" w:cs="宋体"/>
                <w:color w:val="auto"/>
                <w:sz w:val="24"/>
                <w:highlight w:val="none"/>
              </w:rPr>
            </w:pPr>
            <w:r>
              <w:rPr>
                <w:rFonts w:hint="eastAsia" w:ascii="宋体" w:hAnsi="宋体" w:cs="宋体"/>
                <w:color w:val="auto"/>
                <w:sz w:val="24"/>
                <w:highlight w:val="none"/>
              </w:rPr>
              <w:t>（一）各类工具式模板工程：包括滑模、爬模、飞模、隧道模等工程。</w:t>
            </w:r>
          </w:p>
        </w:tc>
        <w:tc>
          <w:tcPr>
            <w:tcW w:w="686" w:type="pct"/>
            <w:tcBorders>
              <w:top w:val="single" w:color="auto" w:sz="4" w:space="0"/>
              <w:left w:val="single" w:color="auto" w:sz="4" w:space="0"/>
              <w:bottom w:val="single" w:color="auto" w:sz="4" w:space="0"/>
              <w:right w:val="single" w:color="auto" w:sz="4" w:space="0"/>
            </w:tcBorders>
            <w:vAlign w:val="center"/>
          </w:tcPr>
          <w:p w14:paraId="072F5888">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64510B0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40563B9C">
            <w:pPr>
              <w:jc w:val="center"/>
              <w:rPr>
                <w:rFonts w:hint="eastAsia" w:ascii="宋体" w:hAnsi="宋体" w:cs="宋体"/>
                <w:color w:val="auto"/>
                <w:sz w:val="24"/>
                <w:szCs w:val="36"/>
                <w:highlight w:val="none"/>
              </w:rPr>
            </w:pPr>
          </w:p>
        </w:tc>
      </w:tr>
      <w:tr w14:paraId="032C4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62FC428">
            <w:pPr>
              <w:jc w:val="left"/>
              <w:rPr>
                <w:rFonts w:hint="eastAsia" w:ascii="宋体" w:hAnsi="宋体" w:cs="宋体"/>
                <w:color w:val="auto"/>
                <w:sz w:val="24"/>
                <w:highlight w:val="none"/>
              </w:rPr>
            </w:pPr>
            <w:r>
              <w:rPr>
                <w:rFonts w:hint="eastAsia" w:ascii="宋体" w:hAnsi="宋体" w:cs="宋体"/>
                <w:color w:val="auto"/>
                <w:sz w:val="24"/>
                <w:highlight w:val="none"/>
              </w:rPr>
              <w:t>（二）混凝土模板支撑工程：搭设高度8m及以上，或搭设跨度18m及以上，或施工总荷载（设计值）15kN/m2及以上，或集中线荷载（设计值）20kN/m及以上。</w:t>
            </w:r>
          </w:p>
        </w:tc>
        <w:tc>
          <w:tcPr>
            <w:tcW w:w="686" w:type="pct"/>
            <w:tcBorders>
              <w:top w:val="single" w:color="auto" w:sz="4" w:space="0"/>
              <w:left w:val="single" w:color="auto" w:sz="4" w:space="0"/>
              <w:bottom w:val="single" w:color="auto" w:sz="4" w:space="0"/>
              <w:right w:val="single" w:color="auto" w:sz="4" w:space="0"/>
            </w:tcBorders>
            <w:vAlign w:val="center"/>
          </w:tcPr>
          <w:p w14:paraId="44818D5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20EF254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073E7CD2">
            <w:pPr>
              <w:jc w:val="center"/>
              <w:rPr>
                <w:rFonts w:hint="eastAsia" w:ascii="宋体" w:hAnsi="宋体" w:cs="宋体"/>
                <w:color w:val="auto"/>
                <w:sz w:val="24"/>
                <w:szCs w:val="36"/>
                <w:highlight w:val="none"/>
              </w:rPr>
            </w:pPr>
          </w:p>
        </w:tc>
      </w:tr>
      <w:tr w14:paraId="728C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0D320E08">
            <w:pPr>
              <w:jc w:val="left"/>
              <w:rPr>
                <w:rFonts w:hint="eastAsia" w:ascii="宋体" w:hAnsi="宋体" w:cs="宋体"/>
                <w:color w:val="auto"/>
                <w:sz w:val="24"/>
                <w:highlight w:val="none"/>
              </w:rPr>
            </w:pPr>
            <w:r>
              <w:rPr>
                <w:rFonts w:hint="eastAsia" w:ascii="宋体" w:hAnsi="宋体" w:cs="宋体"/>
                <w:color w:val="auto"/>
                <w:sz w:val="24"/>
                <w:highlight w:val="none"/>
              </w:rPr>
              <w:t>（三）承重支撑体系：用于钢结构安装等满堂支撑体系，承受单点集中荷载7kN及以上。</w:t>
            </w:r>
          </w:p>
        </w:tc>
        <w:tc>
          <w:tcPr>
            <w:tcW w:w="686" w:type="pct"/>
            <w:tcBorders>
              <w:top w:val="single" w:color="auto" w:sz="4" w:space="0"/>
              <w:left w:val="single" w:color="auto" w:sz="4" w:space="0"/>
              <w:bottom w:val="single" w:color="auto" w:sz="4" w:space="0"/>
              <w:right w:val="single" w:color="auto" w:sz="4" w:space="0"/>
            </w:tcBorders>
            <w:vAlign w:val="center"/>
          </w:tcPr>
          <w:p w14:paraId="3124BB66">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07522D1F">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20F7AFE0">
            <w:pPr>
              <w:jc w:val="center"/>
              <w:rPr>
                <w:rFonts w:hint="eastAsia" w:ascii="宋体" w:hAnsi="宋体" w:cs="宋体"/>
                <w:color w:val="auto"/>
                <w:sz w:val="24"/>
                <w:szCs w:val="36"/>
                <w:highlight w:val="none"/>
              </w:rPr>
            </w:pPr>
          </w:p>
        </w:tc>
      </w:tr>
      <w:tr w14:paraId="1CACB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9B1EAD1">
            <w:pPr>
              <w:jc w:val="left"/>
              <w:rPr>
                <w:rFonts w:hint="eastAsia" w:ascii="宋体" w:hAnsi="宋体" w:cs="宋体"/>
                <w:color w:val="auto"/>
                <w:sz w:val="24"/>
                <w:highlight w:val="none"/>
              </w:rPr>
            </w:pPr>
            <w:r>
              <w:rPr>
                <w:rFonts w:hint="eastAsia" w:ascii="宋体" w:hAnsi="宋体" w:cs="宋体"/>
                <w:color w:val="auto"/>
                <w:sz w:val="24"/>
                <w:highlight w:val="none"/>
              </w:rPr>
              <w:t>三、起重吊装及起重机械安装拆卸工程</w:t>
            </w:r>
          </w:p>
        </w:tc>
        <w:tc>
          <w:tcPr>
            <w:tcW w:w="686" w:type="pct"/>
            <w:tcBorders>
              <w:top w:val="single" w:color="auto" w:sz="4" w:space="0"/>
              <w:left w:val="single" w:color="auto" w:sz="4" w:space="0"/>
              <w:bottom w:val="single" w:color="auto" w:sz="4" w:space="0"/>
              <w:right w:val="single" w:color="auto" w:sz="4" w:space="0"/>
            </w:tcBorders>
            <w:vAlign w:val="center"/>
          </w:tcPr>
          <w:p w14:paraId="5CCCA8A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019C357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9DEB258">
            <w:pPr>
              <w:jc w:val="center"/>
              <w:rPr>
                <w:rFonts w:hint="eastAsia" w:ascii="宋体" w:hAnsi="宋体" w:cs="宋体"/>
                <w:color w:val="auto"/>
                <w:sz w:val="24"/>
                <w:szCs w:val="36"/>
                <w:highlight w:val="none"/>
              </w:rPr>
            </w:pPr>
          </w:p>
        </w:tc>
      </w:tr>
      <w:tr w14:paraId="60F5A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94F4F47">
            <w:pPr>
              <w:jc w:val="left"/>
              <w:rPr>
                <w:rFonts w:hint="eastAsia" w:ascii="宋体" w:hAnsi="宋体" w:cs="宋体"/>
                <w:color w:val="auto"/>
                <w:sz w:val="24"/>
                <w:highlight w:val="none"/>
              </w:rPr>
            </w:pPr>
            <w:r>
              <w:rPr>
                <w:rFonts w:hint="eastAsia" w:ascii="宋体" w:hAnsi="宋体" w:cs="宋体"/>
                <w:color w:val="auto"/>
                <w:sz w:val="24"/>
                <w:highlight w:val="none"/>
              </w:rPr>
              <w:t>（一）采用非常规起重设备、方法，且单件起吊重量在100kN及以上的起重吊装工程。</w:t>
            </w:r>
          </w:p>
        </w:tc>
        <w:tc>
          <w:tcPr>
            <w:tcW w:w="686" w:type="pct"/>
            <w:tcBorders>
              <w:top w:val="single" w:color="auto" w:sz="4" w:space="0"/>
              <w:left w:val="single" w:color="auto" w:sz="4" w:space="0"/>
              <w:bottom w:val="single" w:color="auto" w:sz="4" w:space="0"/>
              <w:right w:val="single" w:color="auto" w:sz="4" w:space="0"/>
            </w:tcBorders>
            <w:vAlign w:val="center"/>
          </w:tcPr>
          <w:p w14:paraId="25C7411C">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5637B17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EE8C5FB">
            <w:pPr>
              <w:jc w:val="center"/>
              <w:rPr>
                <w:rFonts w:hint="eastAsia" w:ascii="宋体" w:hAnsi="宋体" w:cs="宋体"/>
                <w:color w:val="auto"/>
                <w:sz w:val="24"/>
                <w:szCs w:val="36"/>
                <w:highlight w:val="none"/>
              </w:rPr>
            </w:pPr>
          </w:p>
        </w:tc>
      </w:tr>
      <w:tr w14:paraId="0649A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083E9F5">
            <w:pPr>
              <w:jc w:val="left"/>
              <w:rPr>
                <w:rFonts w:hint="eastAsia" w:ascii="宋体" w:hAnsi="宋体" w:cs="宋体"/>
                <w:color w:val="auto"/>
                <w:sz w:val="24"/>
                <w:highlight w:val="none"/>
              </w:rPr>
            </w:pPr>
            <w:r>
              <w:rPr>
                <w:rFonts w:hint="eastAsia" w:ascii="宋体" w:hAnsi="宋体" w:cs="宋体"/>
                <w:color w:val="auto"/>
                <w:sz w:val="24"/>
                <w:highlight w:val="none"/>
              </w:rPr>
              <w:t>（二）起重量300kN及以上，或搭设总高度200m及以上，或搭设基础标高在200m及以上的起重机械安装和拆卸工程。</w:t>
            </w:r>
          </w:p>
        </w:tc>
        <w:tc>
          <w:tcPr>
            <w:tcW w:w="686" w:type="pct"/>
            <w:tcBorders>
              <w:top w:val="single" w:color="auto" w:sz="4" w:space="0"/>
              <w:left w:val="single" w:color="auto" w:sz="4" w:space="0"/>
              <w:bottom w:val="single" w:color="auto" w:sz="4" w:space="0"/>
              <w:right w:val="single" w:color="auto" w:sz="4" w:space="0"/>
            </w:tcBorders>
            <w:vAlign w:val="center"/>
          </w:tcPr>
          <w:p w14:paraId="433450B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24CE2B6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FC10187">
            <w:pPr>
              <w:jc w:val="center"/>
              <w:rPr>
                <w:rFonts w:hint="eastAsia" w:ascii="宋体" w:hAnsi="宋体" w:cs="宋体"/>
                <w:color w:val="auto"/>
                <w:sz w:val="24"/>
                <w:szCs w:val="36"/>
                <w:highlight w:val="none"/>
              </w:rPr>
            </w:pPr>
          </w:p>
        </w:tc>
      </w:tr>
      <w:tr w14:paraId="303CF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7F8EAA39">
            <w:pPr>
              <w:jc w:val="left"/>
              <w:rPr>
                <w:rFonts w:hint="eastAsia" w:ascii="宋体" w:hAnsi="宋体" w:cs="宋体"/>
                <w:color w:val="auto"/>
                <w:sz w:val="24"/>
                <w:highlight w:val="none"/>
              </w:rPr>
            </w:pPr>
            <w:r>
              <w:rPr>
                <w:rFonts w:hint="eastAsia" w:ascii="宋体" w:hAnsi="宋体" w:cs="宋体"/>
                <w:color w:val="auto"/>
                <w:sz w:val="24"/>
                <w:highlight w:val="none"/>
              </w:rPr>
              <w:t>四、脚手架工程</w:t>
            </w:r>
          </w:p>
        </w:tc>
        <w:tc>
          <w:tcPr>
            <w:tcW w:w="686" w:type="pct"/>
            <w:tcBorders>
              <w:top w:val="single" w:color="auto" w:sz="4" w:space="0"/>
              <w:left w:val="single" w:color="auto" w:sz="4" w:space="0"/>
              <w:bottom w:val="single" w:color="auto" w:sz="4" w:space="0"/>
              <w:right w:val="single" w:color="auto" w:sz="4" w:space="0"/>
            </w:tcBorders>
            <w:vAlign w:val="center"/>
          </w:tcPr>
          <w:p w14:paraId="48AB6B3F">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134AED12">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29A95E15">
            <w:pPr>
              <w:jc w:val="center"/>
              <w:rPr>
                <w:rFonts w:hint="eastAsia" w:ascii="宋体" w:hAnsi="宋体" w:cs="宋体"/>
                <w:color w:val="auto"/>
                <w:sz w:val="24"/>
                <w:szCs w:val="36"/>
                <w:highlight w:val="none"/>
              </w:rPr>
            </w:pPr>
          </w:p>
        </w:tc>
      </w:tr>
      <w:tr w14:paraId="4C4A7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037B33CF">
            <w:pPr>
              <w:jc w:val="left"/>
              <w:rPr>
                <w:rFonts w:hint="eastAsia" w:ascii="宋体" w:hAnsi="宋体" w:cs="宋体"/>
                <w:color w:val="auto"/>
                <w:sz w:val="24"/>
                <w:highlight w:val="none"/>
              </w:rPr>
            </w:pPr>
            <w:r>
              <w:rPr>
                <w:rFonts w:hint="eastAsia" w:ascii="宋体" w:hAnsi="宋体" w:cs="宋体"/>
                <w:color w:val="auto"/>
                <w:sz w:val="24"/>
                <w:highlight w:val="none"/>
              </w:rPr>
              <w:t>（一）搭设高度50m及以上的落地式钢管脚手架工程。</w:t>
            </w:r>
          </w:p>
        </w:tc>
        <w:tc>
          <w:tcPr>
            <w:tcW w:w="686" w:type="pct"/>
            <w:tcBorders>
              <w:top w:val="single" w:color="auto" w:sz="4" w:space="0"/>
              <w:left w:val="single" w:color="auto" w:sz="4" w:space="0"/>
              <w:bottom w:val="single" w:color="auto" w:sz="4" w:space="0"/>
              <w:right w:val="single" w:color="auto" w:sz="4" w:space="0"/>
            </w:tcBorders>
            <w:vAlign w:val="center"/>
          </w:tcPr>
          <w:p w14:paraId="2F5C1C0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7CEE40F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76B98D9D">
            <w:pPr>
              <w:jc w:val="center"/>
              <w:rPr>
                <w:rFonts w:hint="eastAsia" w:ascii="宋体" w:hAnsi="宋体" w:cs="宋体"/>
                <w:color w:val="auto"/>
                <w:sz w:val="24"/>
                <w:szCs w:val="36"/>
                <w:highlight w:val="none"/>
              </w:rPr>
            </w:pPr>
          </w:p>
        </w:tc>
      </w:tr>
      <w:tr w14:paraId="3BB7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8FBC72E">
            <w:pPr>
              <w:jc w:val="left"/>
              <w:rPr>
                <w:rFonts w:hint="eastAsia" w:ascii="宋体" w:hAnsi="宋体" w:cs="宋体"/>
                <w:color w:val="auto"/>
                <w:sz w:val="24"/>
                <w:highlight w:val="none"/>
              </w:rPr>
            </w:pPr>
            <w:r>
              <w:rPr>
                <w:rFonts w:hint="eastAsia" w:ascii="宋体" w:hAnsi="宋体" w:cs="宋体"/>
                <w:color w:val="auto"/>
                <w:sz w:val="24"/>
                <w:highlight w:val="none"/>
              </w:rPr>
              <w:t>（二）提升高度在150m及以上的附着式升降脚手架工程或附着式升降操作平台工程。</w:t>
            </w:r>
          </w:p>
        </w:tc>
        <w:tc>
          <w:tcPr>
            <w:tcW w:w="686" w:type="pct"/>
            <w:tcBorders>
              <w:top w:val="single" w:color="auto" w:sz="4" w:space="0"/>
              <w:left w:val="single" w:color="auto" w:sz="4" w:space="0"/>
              <w:bottom w:val="single" w:color="auto" w:sz="4" w:space="0"/>
              <w:right w:val="single" w:color="auto" w:sz="4" w:space="0"/>
            </w:tcBorders>
            <w:vAlign w:val="center"/>
          </w:tcPr>
          <w:p w14:paraId="5BDF4F24">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6726F14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2E379654">
            <w:pPr>
              <w:jc w:val="center"/>
              <w:rPr>
                <w:rFonts w:hint="eastAsia" w:ascii="宋体" w:hAnsi="宋体" w:cs="宋体"/>
                <w:color w:val="auto"/>
                <w:sz w:val="24"/>
                <w:szCs w:val="36"/>
                <w:highlight w:val="none"/>
              </w:rPr>
            </w:pPr>
          </w:p>
        </w:tc>
      </w:tr>
      <w:tr w14:paraId="45D9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576CED83">
            <w:pPr>
              <w:jc w:val="left"/>
              <w:rPr>
                <w:rFonts w:hint="eastAsia" w:ascii="宋体" w:hAnsi="宋体" w:cs="宋体"/>
                <w:color w:val="auto"/>
                <w:sz w:val="24"/>
                <w:highlight w:val="none"/>
              </w:rPr>
            </w:pPr>
            <w:r>
              <w:rPr>
                <w:rFonts w:hint="eastAsia" w:ascii="宋体" w:hAnsi="宋体" w:cs="宋体"/>
                <w:color w:val="auto"/>
                <w:sz w:val="24"/>
                <w:highlight w:val="none"/>
              </w:rPr>
              <w:t>（三）分段架体搭设高度20m及以上的悬挑式脚手架工程。</w:t>
            </w:r>
          </w:p>
        </w:tc>
        <w:tc>
          <w:tcPr>
            <w:tcW w:w="686" w:type="pct"/>
            <w:tcBorders>
              <w:top w:val="single" w:color="auto" w:sz="4" w:space="0"/>
              <w:left w:val="single" w:color="auto" w:sz="4" w:space="0"/>
              <w:bottom w:val="single" w:color="auto" w:sz="4" w:space="0"/>
              <w:right w:val="single" w:color="auto" w:sz="4" w:space="0"/>
            </w:tcBorders>
            <w:vAlign w:val="center"/>
          </w:tcPr>
          <w:p w14:paraId="34EBDFF9">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6D379BC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227237AE">
            <w:pPr>
              <w:jc w:val="center"/>
              <w:rPr>
                <w:rFonts w:hint="eastAsia" w:ascii="宋体" w:hAnsi="宋体" w:cs="宋体"/>
                <w:color w:val="auto"/>
                <w:sz w:val="24"/>
                <w:szCs w:val="36"/>
                <w:highlight w:val="none"/>
              </w:rPr>
            </w:pPr>
          </w:p>
        </w:tc>
      </w:tr>
      <w:tr w14:paraId="4CEC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426C34F9">
            <w:pPr>
              <w:jc w:val="left"/>
              <w:rPr>
                <w:rFonts w:hint="eastAsia" w:ascii="宋体" w:hAnsi="宋体" w:cs="宋体"/>
                <w:color w:val="auto"/>
                <w:sz w:val="24"/>
                <w:highlight w:val="none"/>
              </w:rPr>
            </w:pPr>
            <w:r>
              <w:rPr>
                <w:rFonts w:hint="eastAsia" w:ascii="宋体" w:hAnsi="宋体" w:cs="宋体"/>
                <w:color w:val="auto"/>
                <w:sz w:val="24"/>
                <w:highlight w:val="none"/>
              </w:rPr>
              <w:t>五、拆除工程</w:t>
            </w:r>
          </w:p>
        </w:tc>
        <w:tc>
          <w:tcPr>
            <w:tcW w:w="686" w:type="pct"/>
            <w:tcBorders>
              <w:top w:val="single" w:color="auto" w:sz="4" w:space="0"/>
              <w:left w:val="single" w:color="auto" w:sz="4" w:space="0"/>
              <w:bottom w:val="single" w:color="auto" w:sz="4" w:space="0"/>
              <w:right w:val="single" w:color="auto" w:sz="4" w:space="0"/>
            </w:tcBorders>
            <w:vAlign w:val="center"/>
          </w:tcPr>
          <w:p w14:paraId="2B8189BE">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1E637CB4">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2E4F861">
            <w:pPr>
              <w:jc w:val="center"/>
              <w:rPr>
                <w:rFonts w:hint="eastAsia" w:ascii="宋体" w:hAnsi="宋体" w:cs="宋体"/>
                <w:color w:val="auto"/>
                <w:sz w:val="24"/>
                <w:szCs w:val="36"/>
                <w:highlight w:val="none"/>
              </w:rPr>
            </w:pPr>
          </w:p>
        </w:tc>
      </w:tr>
      <w:tr w14:paraId="7F0EA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3D0AEA96">
            <w:pPr>
              <w:jc w:val="left"/>
              <w:rPr>
                <w:rFonts w:hint="eastAsia" w:ascii="宋体" w:hAnsi="宋体" w:cs="宋体"/>
                <w:color w:val="auto"/>
                <w:sz w:val="24"/>
                <w:highlight w:val="none"/>
              </w:rPr>
            </w:pPr>
            <w:r>
              <w:rPr>
                <w:rFonts w:hint="eastAsia" w:ascii="宋体" w:hAnsi="宋体" w:cs="宋体"/>
                <w:color w:val="auto"/>
                <w:sz w:val="24"/>
                <w:highlight w:val="none"/>
              </w:rPr>
              <w:t>（一）码头、桥梁、高架、烟囱、水塔或拆除中容易引起有毒有害气（液）体或粉尘扩散、易燃易爆事故发生的特殊建、构筑物的拆除工程。</w:t>
            </w:r>
          </w:p>
        </w:tc>
        <w:tc>
          <w:tcPr>
            <w:tcW w:w="686" w:type="pct"/>
            <w:tcBorders>
              <w:top w:val="single" w:color="auto" w:sz="4" w:space="0"/>
              <w:left w:val="single" w:color="auto" w:sz="4" w:space="0"/>
              <w:bottom w:val="single" w:color="auto" w:sz="4" w:space="0"/>
              <w:right w:val="single" w:color="auto" w:sz="4" w:space="0"/>
            </w:tcBorders>
            <w:vAlign w:val="center"/>
          </w:tcPr>
          <w:p w14:paraId="259AD245">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6CF5E07B">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1B958FE5">
            <w:pPr>
              <w:jc w:val="center"/>
              <w:rPr>
                <w:rFonts w:hint="eastAsia" w:ascii="宋体" w:hAnsi="宋体" w:cs="宋体"/>
                <w:color w:val="auto"/>
                <w:sz w:val="24"/>
                <w:szCs w:val="36"/>
                <w:highlight w:val="none"/>
              </w:rPr>
            </w:pPr>
          </w:p>
        </w:tc>
      </w:tr>
      <w:tr w14:paraId="3EEA8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4DDE2F65">
            <w:pPr>
              <w:jc w:val="left"/>
              <w:rPr>
                <w:rFonts w:hint="eastAsia" w:ascii="宋体" w:hAnsi="宋体" w:cs="宋体"/>
                <w:color w:val="auto"/>
                <w:sz w:val="24"/>
                <w:highlight w:val="none"/>
              </w:rPr>
            </w:pPr>
            <w:r>
              <w:rPr>
                <w:rFonts w:hint="eastAsia" w:ascii="宋体" w:hAnsi="宋体" w:cs="宋体"/>
                <w:color w:val="auto"/>
                <w:sz w:val="24"/>
                <w:highlight w:val="none"/>
              </w:rPr>
              <w:t>（二）文物保护建筑、优秀历史建筑或历史文化风貌区影响范围内的拆除工程。</w:t>
            </w:r>
          </w:p>
        </w:tc>
        <w:tc>
          <w:tcPr>
            <w:tcW w:w="686" w:type="pct"/>
            <w:tcBorders>
              <w:top w:val="single" w:color="auto" w:sz="4" w:space="0"/>
              <w:left w:val="single" w:color="auto" w:sz="4" w:space="0"/>
              <w:bottom w:val="single" w:color="auto" w:sz="4" w:space="0"/>
              <w:right w:val="single" w:color="auto" w:sz="4" w:space="0"/>
            </w:tcBorders>
            <w:vAlign w:val="center"/>
          </w:tcPr>
          <w:p w14:paraId="0DAE16C2">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6512EACB">
            <w:pPr>
              <w:jc w:val="center"/>
              <w:rPr>
                <w:rFonts w:hint="eastAsia" w:ascii="宋体" w:hAnsi="宋体" w:cs="宋体"/>
                <w:color w:val="auto"/>
                <w:sz w:val="24"/>
                <w:szCs w:val="36"/>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74EB205A">
            <w:pPr>
              <w:jc w:val="center"/>
              <w:rPr>
                <w:rFonts w:hint="eastAsia" w:ascii="宋体" w:hAnsi="宋体" w:cs="宋体"/>
                <w:color w:val="auto"/>
                <w:sz w:val="24"/>
                <w:szCs w:val="36"/>
                <w:highlight w:val="none"/>
              </w:rPr>
            </w:pPr>
          </w:p>
        </w:tc>
      </w:tr>
      <w:tr w14:paraId="79B1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63454104">
            <w:pPr>
              <w:jc w:val="left"/>
              <w:rPr>
                <w:rFonts w:hint="eastAsia" w:ascii="宋体" w:hAnsi="宋体" w:cs="宋体"/>
                <w:color w:val="auto"/>
                <w:sz w:val="24"/>
                <w:highlight w:val="none"/>
              </w:rPr>
            </w:pPr>
            <w:r>
              <w:rPr>
                <w:rFonts w:hint="eastAsia" w:ascii="宋体" w:hAnsi="宋体" w:cs="宋体"/>
                <w:color w:val="auto"/>
                <w:sz w:val="24"/>
                <w:highlight w:val="none"/>
              </w:rPr>
              <w:t>六、暗挖工程</w:t>
            </w:r>
          </w:p>
        </w:tc>
        <w:tc>
          <w:tcPr>
            <w:tcW w:w="686" w:type="pct"/>
            <w:tcBorders>
              <w:top w:val="single" w:color="auto" w:sz="4" w:space="0"/>
              <w:left w:val="single" w:color="auto" w:sz="4" w:space="0"/>
              <w:bottom w:val="single" w:color="auto" w:sz="4" w:space="0"/>
              <w:right w:val="single" w:color="auto" w:sz="4" w:space="0"/>
            </w:tcBorders>
            <w:vAlign w:val="center"/>
          </w:tcPr>
          <w:p w14:paraId="2A5598A0">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1402DAA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22DD07BF">
            <w:pPr>
              <w:jc w:val="center"/>
              <w:rPr>
                <w:rFonts w:hint="eastAsia" w:ascii="宋体" w:hAnsi="宋体" w:cs="宋体"/>
                <w:color w:val="auto"/>
                <w:sz w:val="24"/>
                <w:szCs w:val="36"/>
                <w:highlight w:val="none"/>
              </w:rPr>
            </w:pPr>
          </w:p>
        </w:tc>
      </w:tr>
      <w:tr w14:paraId="09C96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478A55C">
            <w:pPr>
              <w:jc w:val="left"/>
              <w:rPr>
                <w:rFonts w:hint="eastAsia" w:ascii="宋体" w:hAnsi="宋体" w:cs="宋体"/>
                <w:color w:val="auto"/>
                <w:sz w:val="24"/>
                <w:highlight w:val="none"/>
              </w:rPr>
            </w:pPr>
            <w:r>
              <w:rPr>
                <w:rFonts w:hint="eastAsia" w:ascii="宋体" w:hAnsi="宋体" w:cs="宋体"/>
                <w:color w:val="auto"/>
                <w:sz w:val="24"/>
                <w:highlight w:val="none"/>
              </w:rPr>
              <w:t>采用矿山法、盾构法、顶管法施工的隧道、洞室工程。</w:t>
            </w:r>
          </w:p>
        </w:tc>
        <w:tc>
          <w:tcPr>
            <w:tcW w:w="686" w:type="pct"/>
            <w:tcBorders>
              <w:top w:val="single" w:color="auto" w:sz="4" w:space="0"/>
              <w:left w:val="single" w:color="auto" w:sz="4" w:space="0"/>
              <w:bottom w:val="single" w:color="auto" w:sz="4" w:space="0"/>
              <w:right w:val="single" w:color="auto" w:sz="4" w:space="0"/>
            </w:tcBorders>
            <w:vAlign w:val="center"/>
          </w:tcPr>
          <w:p w14:paraId="69474F41">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025B599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8510A63">
            <w:pPr>
              <w:jc w:val="center"/>
              <w:rPr>
                <w:rFonts w:hint="eastAsia" w:ascii="宋体" w:hAnsi="宋体" w:cs="宋体"/>
                <w:color w:val="auto"/>
                <w:sz w:val="24"/>
                <w:szCs w:val="36"/>
                <w:highlight w:val="none"/>
              </w:rPr>
            </w:pPr>
          </w:p>
        </w:tc>
      </w:tr>
      <w:tr w14:paraId="7F84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4C756C0">
            <w:pPr>
              <w:jc w:val="left"/>
              <w:rPr>
                <w:rFonts w:hint="eastAsia" w:ascii="宋体" w:hAnsi="宋体" w:cs="宋体"/>
                <w:color w:val="auto"/>
                <w:sz w:val="24"/>
                <w:highlight w:val="none"/>
              </w:rPr>
            </w:pPr>
            <w:r>
              <w:rPr>
                <w:rFonts w:hint="eastAsia" w:ascii="宋体" w:hAnsi="宋体" w:cs="宋体"/>
                <w:color w:val="auto"/>
                <w:sz w:val="24"/>
                <w:highlight w:val="none"/>
              </w:rPr>
              <w:t>七、其它</w:t>
            </w:r>
          </w:p>
        </w:tc>
        <w:tc>
          <w:tcPr>
            <w:tcW w:w="686" w:type="pct"/>
            <w:tcBorders>
              <w:top w:val="single" w:color="auto" w:sz="4" w:space="0"/>
              <w:left w:val="single" w:color="auto" w:sz="4" w:space="0"/>
              <w:bottom w:val="single" w:color="auto" w:sz="4" w:space="0"/>
              <w:right w:val="single" w:color="auto" w:sz="4" w:space="0"/>
            </w:tcBorders>
            <w:vAlign w:val="center"/>
          </w:tcPr>
          <w:p w14:paraId="1A90E14D">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7699854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163B46F">
            <w:pPr>
              <w:jc w:val="center"/>
              <w:rPr>
                <w:rFonts w:hint="eastAsia" w:ascii="宋体" w:hAnsi="宋体" w:cs="宋体"/>
                <w:color w:val="auto"/>
                <w:sz w:val="24"/>
                <w:szCs w:val="36"/>
                <w:highlight w:val="none"/>
              </w:rPr>
            </w:pPr>
          </w:p>
        </w:tc>
      </w:tr>
      <w:tr w14:paraId="10C0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523FB58C">
            <w:pPr>
              <w:jc w:val="left"/>
              <w:rPr>
                <w:rFonts w:hint="eastAsia" w:ascii="宋体" w:hAnsi="宋体" w:cs="宋体"/>
                <w:color w:val="auto"/>
                <w:sz w:val="24"/>
                <w:highlight w:val="none"/>
              </w:rPr>
            </w:pPr>
            <w:r>
              <w:rPr>
                <w:rFonts w:hint="eastAsia" w:ascii="宋体" w:hAnsi="宋体" w:cs="宋体"/>
                <w:color w:val="auto"/>
                <w:sz w:val="24"/>
                <w:highlight w:val="none"/>
              </w:rPr>
              <w:t>（一）施工高度50m及以上的建筑幕墙安装工程。</w:t>
            </w:r>
          </w:p>
        </w:tc>
        <w:tc>
          <w:tcPr>
            <w:tcW w:w="686" w:type="pct"/>
            <w:tcBorders>
              <w:top w:val="single" w:color="auto" w:sz="4" w:space="0"/>
              <w:left w:val="single" w:color="auto" w:sz="4" w:space="0"/>
              <w:bottom w:val="single" w:color="auto" w:sz="4" w:space="0"/>
              <w:right w:val="single" w:color="auto" w:sz="4" w:space="0"/>
            </w:tcBorders>
            <w:vAlign w:val="center"/>
          </w:tcPr>
          <w:p w14:paraId="03DE8B0E">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2073B67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72C29B9B">
            <w:pPr>
              <w:jc w:val="center"/>
              <w:rPr>
                <w:rFonts w:hint="eastAsia" w:ascii="宋体" w:hAnsi="宋体" w:cs="宋体"/>
                <w:color w:val="auto"/>
                <w:sz w:val="24"/>
                <w:szCs w:val="36"/>
                <w:highlight w:val="none"/>
              </w:rPr>
            </w:pPr>
          </w:p>
        </w:tc>
      </w:tr>
      <w:tr w14:paraId="0F0AF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7CA2FD59">
            <w:pPr>
              <w:jc w:val="left"/>
              <w:rPr>
                <w:rFonts w:hint="eastAsia" w:ascii="宋体" w:hAnsi="宋体" w:cs="宋体"/>
                <w:color w:val="auto"/>
                <w:sz w:val="24"/>
                <w:highlight w:val="none"/>
              </w:rPr>
            </w:pPr>
            <w:r>
              <w:rPr>
                <w:rFonts w:hint="eastAsia" w:ascii="宋体" w:hAnsi="宋体" w:cs="宋体"/>
                <w:color w:val="auto"/>
                <w:sz w:val="24"/>
                <w:highlight w:val="none"/>
              </w:rPr>
              <w:t>（二）跨度36m及以上的钢结构安装工程，或跨度60m及以上的网架和索膜结构安装工程。</w:t>
            </w:r>
          </w:p>
        </w:tc>
        <w:tc>
          <w:tcPr>
            <w:tcW w:w="686" w:type="pct"/>
            <w:tcBorders>
              <w:top w:val="single" w:color="auto" w:sz="4" w:space="0"/>
              <w:left w:val="single" w:color="auto" w:sz="4" w:space="0"/>
              <w:bottom w:val="single" w:color="auto" w:sz="4" w:space="0"/>
              <w:right w:val="single" w:color="auto" w:sz="4" w:space="0"/>
            </w:tcBorders>
            <w:vAlign w:val="center"/>
          </w:tcPr>
          <w:p w14:paraId="592D49C4">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219257E3">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014FA835">
            <w:pPr>
              <w:jc w:val="center"/>
              <w:rPr>
                <w:rFonts w:hint="eastAsia" w:ascii="宋体" w:hAnsi="宋体" w:cs="宋体"/>
                <w:color w:val="auto"/>
                <w:sz w:val="24"/>
                <w:szCs w:val="36"/>
                <w:highlight w:val="none"/>
              </w:rPr>
            </w:pPr>
          </w:p>
        </w:tc>
      </w:tr>
      <w:tr w14:paraId="62AC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0EA04F82">
            <w:pPr>
              <w:jc w:val="left"/>
              <w:rPr>
                <w:rFonts w:hint="eastAsia" w:ascii="宋体" w:hAnsi="宋体" w:cs="宋体"/>
                <w:color w:val="auto"/>
                <w:sz w:val="24"/>
                <w:highlight w:val="none"/>
              </w:rPr>
            </w:pPr>
            <w:r>
              <w:rPr>
                <w:rFonts w:hint="eastAsia" w:ascii="宋体" w:hAnsi="宋体" w:cs="宋体"/>
                <w:color w:val="auto"/>
                <w:sz w:val="24"/>
                <w:highlight w:val="none"/>
              </w:rPr>
              <w:t>（三）开挖深度16m及以上的人工挖孔桩工程。</w:t>
            </w:r>
          </w:p>
        </w:tc>
        <w:tc>
          <w:tcPr>
            <w:tcW w:w="686" w:type="pct"/>
            <w:tcBorders>
              <w:top w:val="single" w:color="auto" w:sz="4" w:space="0"/>
              <w:left w:val="single" w:color="auto" w:sz="4" w:space="0"/>
              <w:bottom w:val="single" w:color="auto" w:sz="4" w:space="0"/>
              <w:right w:val="single" w:color="auto" w:sz="4" w:space="0"/>
            </w:tcBorders>
            <w:vAlign w:val="center"/>
          </w:tcPr>
          <w:p w14:paraId="1BB022AC">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6545338E">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5B3D5FF8">
            <w:pPr>
              <w:jc w:val="center"/>
              <w:rPr>
                <w:rFonts w:hint="eastAsia" w:ascii="宋体" w:hAnsi="宋体" w:cs="宋体"/>
                <w:color w:val="auto"/>
                <w:sz w:val="24"/>
                <w:szCs w:val="36"/>
                <w:highlight w:val="none"/>
              </w:rPr>
            </w:pPr>
          </w:p>
        </w:tc>
      </w:tr>
      <w:tr w14:paraId="119C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74445DB3">
            <w:pPr>
              <w:jc w:val="left"/>
              <w:rPr>
                <w:rFonts w:hint="eastAsia" w:ascii="宋体" w:hAnsi="宋体" w:cs="宋体"/>
                <w:color w:val="auto"/>
                <w:sz w:val="24"/>
                <w:highlight w:val="none"/>
              </w:rPr>
            </w:pPr>
            <w:r>
              <w:rPr>
                <w:rFonts w:hint="eastAsia" w:ascii="宋体" w:hAnsi="宋体" w:cs="宋体"/>
                <w:color w:val="auto"/>
                <w:sz w:val="24"/>
                <w:highlight w:val="none"/>
              </w:rPr>
              <w:t>（四）水下作业工程。</w:t>
            </w:r>
          </w:p>
        </w:tc>
        <w:tc>
          <w:tcPr>
            <w:tcW w:w="686" w:type="pct"/>
            <w:tcBorders>
              <w:top w:val="single" w:color="auto" w:sz="4" w:space="0"/>
              <w:left w:val="single" w:color="auto" w:sz="4" w:space="0"/>
              <w:bottom w:val="single" w:color="auto" w:sz="4" w:space="0"/>
              <w:right w:val="single" w:color="auto" w:sz="4" w:space="0"/>
            </w:tcBorders>
            <w:vAlign w:val="center"/>
          </w:tcPr>
          <w:p w14:paraId="4DA411CC">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2103A3D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656F2D31">
            <w:pPr>
              <w:jc w:val="center"/>
              <w:rPr>
                <w:rFonts w:hint="eastAsia" w:ascii="宋体" w:hAnsi="宋体" w:cs="宋体"/>
                <w:color w:val="auto"/>
                <w:sz w:val="24"/>
                <w:szCs w:val="36"/>
                <w:highlight w:val="none"/>
              </w:rPr>
            </w:pPr>
          </w:p>
        </w:tc>
      </w:tr>
      <w:tr w14:paraId="159C9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50B6F89C">
            <w:pPr>
              <w:jc w:val="left"/>
              <w:rPr>
                <w:rFonts w:hint="eastAsia" w:ascii="宋体" w:hAnsi="宋体" w:cs="宋体"/>
                <w:color w:val="auto"/>
                <w:sz w:val="24"/>
                <w:highlight w:val="none"/>
              </w:rPr>
            </w:pPr>
            <w:r>
              <w:rPr>
                <w:rFonts w:hint="eastAsia" w:ascii="宋体" w:hAnsi="宋体" w:cs="宋体"/>
                <w:color w:val="auto"/>
                <w:sz w:val="24"/>
                <w:highlight w:val="none"/>
              </w:rPr>
              <w:t>（五）重量1000kN及以上的大型结构整体顶升、平移、转体等施工工艺。</w:t>
            </w:r>
          </w:p>
        </w:tc>
        <w:tc>
          <w:tcPr>
            <w:tcW w:w="686" w:type="pct"/>
            <w:tcBorders>
              <w:top w:val="single" w:color="auto" w:sz="4" w:space="0"/>
              <w:left w:val="single" w:color="auto" w:sz="4" w:space="0"/>
              <w:bottom w:val="single" w:color="auto" w:sz="4" w:space="0"/>
              <w:right w:val="single" w:color="auto" w:sz="4" w:space="0"/>
            </w:tcBorders>
            <w:vAlign w:val="center"/>
          </w:tcPr>
          <w:p w14:paraId="38998585">
            <w:pPr>
              <w:jc w:val="center"/>
              <w:rPr>
                <w:rFonts w:hint="eastAsia" w:ascii="宋体" w:hAnsi="宋体" w:cs="宋体"/>
                <w:color w:val="auto"/>
                <w:highlight w:val="none"/>
              </w:rPr>
            </w:pPr>
            <w:r>
              <w:rPr>
                <w:rFonts w:hint="eastAsia" w:ascii="宋体" w:hAnsi="宋体" w:cs="宋体"/>
                <w:color w:val="auto"/>
                <w:sz w:val="24"/>
                <w:szCs w:val="36"/>
                <w:highlight w:val="none"/>
              </w:rPr>
              <w:t xml:space="preserve">( </w:t>
            </w:r>
            <w:r>
              <w:rPr>
                <w:rFonts w:hint="eastAsia" w:ascii="宋体" w:hAnsi="宋体" w:cs="宋体"/>
                <w:color w:val="auto"/>
                <w:sz w:val="24"/>
                <w:szCs w:val="28"/>
                <w:highlight w:val="none"/>
              </w:rPr>
              <w:t xml:space="preserve">  </w:t>
            </w:r>
            <w:r>
              <w:rPr>
                <w:rFonts w:hint="eastAsia" w:ascii="宋体" w:hAnsi="宋体" w:cs="宋体"/>
                <w:color w:val="auto"/>
                <w:sz w:val="24"/>
                <w:szCs w:val="36"/>
                <w:highlight w:val="none"/>
              </w:rPr>
              <w:t xml:space="preserve"> )</w:t>
            </w:r>
          </w:p>
        </w:tc>
        <w:tc>
          <w:tcPr>
            <w:tcW w:w="793" w:type="pct"/>
            <w:tcBorders>
              <w:top w:val="single" w:color="auto" w:sz="4" w:space="0"/>
              <w:left w:val="single" w:color="auto" w:sz="4" w:space="0"/>
              <w:bottom w:val="single" w:color="auto" w:sz="4" w:space="0"/>
              <w:right w:val="single" w:color="auto" w:sz="4" w:space="0"/>
            </w:tcBorders>
            <w:vAlign w:val="center"/>
          </w:tcPr>
          <w:p w14:paraId="6A561E61">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3D5A69F9">
            <w:pPr>
              <w:jc w:val="center"/>
              <w:rPr>
                <w:rFonts w:hint="eastAsia" w:ascii="宋体" w:hAnsi="宋体" w:cs="宋体"/>
                <w:color w:val="auto"/>
                <w:sz w:val="24"/>
                <w:szCs w:val="36"/>
                <w:highlight w:val="none"/>
              </w:rPr>
            </w:pPr>
          </w:p>
        </w:tc>
      </w:tr>
      <w:tr w14:paraId="48CBC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99" w:type="pct"/>
            <w:tcBorders>
              <w:top w:val="single" w:color="auto" w:sz="4" w:space="0"/>
              <w:left w:val="single" w:color="auto" w:sz="4" w:space="0"/>
              <w:bottom w:val="single" w:color="auto" w:sz="4" w:space="0"/>
              <w:right w:val="single" w:color="auto" w:sz="4" w:space="0"/>
            </w:tcBorders>
          </w:tcPr>
          <w:p w14:paraId="1DA81C7A">
            <w:pPr>
              <w:jc w:val="left"/>
              <w:rPr>
                <w:rFonts w:hint="eastAsia" w:ascii="宋体" w:hAnsi="宋体" w:cs="宋体"/>
                <w:color w:val="auto"/>
                <w:sz w:val="24"/>
                <w:highlight w:val="none"/>
              </w:rPr>
            </w:pPr>
            <w:r>
              <w:rPr>
                <w:rFonts w:hint="eastAsia" w:ascii="宋体" w:hAnsi="宋体" w:cs="宋体"/>
                <w:color w:val="auto"/>
                <w:sz w:val="24"/>
                <w:highlight w:val="none"/>
              </w:rPr>
              <w:t>（六）采用新技术、新工艺、新材料、新设备可能影响工程施工安全，尚无国家、行业及地方技术标准的分部分项工程。</w:t>
            </w:r>
          </w:p>
        </w:tc>
        <w:tc>
          <w:tcPr>
            <w:tcW w:w="686" w:type="pct"/>
            <w:tcBorders>
              <w:top w:val="single" w:color="auto" w:sz="4" w:space="0"/>
              <w:left w:val="single" w:color="auto" w:sz="4" w:space="0"/>
              <w:bottom w:val="single" w:color="auto" w:sz="4" w:space="0"/>
              <w:right w:val="single" w:color="auto" w:sz="4" w:space="0"/>
            </w:tcBorders>
            <w:vAlign w:val="center"/>
          </w:tcPr>
          <w:p w14:paraId="77A9665A">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793" w:type="pct"/>
            <w:tcBorders>
              <w:top w:val="single" w:color="auto" w:sz="4" w:space="0"/>
              <w:left w:val="single" w:color="auto" w:sz="4" w:space="0"/>
              <w:bottom w:val="single" w:color="auto" w:sz="4" w:space="0"/>
              <w:right w:val="single" w:color="auto" w:sz="4" w:space="0"/>
            </w:tcBorders>
            <w:vAlign w:val="center"/>
          </w:tcPr>
          <w:p w14:paraId="22C03B56">
            <w:pPr>
              <w:jc w:val="center"/>
              <w:rPr>
                <w:rFonts w:hint="eastAsia" w:ascii="宋体" w:hAnsi="宋体" w:cs="宋体"/>
                <w:color w:val="auto"/>
                <w:highlight w:val="none"/>
              </w:rPr>
            </w:pPr>
            <w:r>
              <w:rPr>
                <w:rFonts w:hint="eastAsia" w:ascii="宋体" w:hAnsi="宋体" w:cs="宋体"/>
                <w:color w:val="auto"/>
                <w:sz w:val="24"/>
                <w:szCs w:val="36"/>
                <w:highlight w:val="none"/>
              </w:rPr>
              <w:t>(    )</w:t>
            </w:r>
          </w:p>
        </w:tc>
        <w:tc>
          <w:tcPr>
            <w:tcW w:w="619" w:type="pct"/>
            <w:tcBorders>
              <w:top w:val="single" w:color="auto" w:sz="4" w:space="0"/>
              <w:left w:val="single" w:color="auto" w:sz="4" w:space="0"/>
              <w:bottom w:val="single" w:color="auto" w:sz="4" w:space="0"/>
              <w:right w:val="single" w:color="auto" w:sz="4" w:space="0"/>
            </w:tcBorders>
            <w:vAlign w:val="center"/>
          </w:tcPr>
          <w:p w14:paraId="202DB7D0">
            <w:pPr>
              <w:jc w:val="center"/>
              <w:rPr>
                <w:rFonts w:hint="eastAsia" w:ascii="宋体" w:hAnsi="宋体" w:cs="宋体"/>
                <w:color w:val="auto"/>
                <w:sz w:val="24"/>
                <w:szCs w:val="36"/>
                <w:highlight w:val="none"/>
              </w:rPr>
            </w:pPr>
          </w:p>
        </w:tc>
      </w:tr>
    </w:tbl>
    <w:p w14:paraId="1E2A736B">
      <w:pPr>
        <w:pStyle w:val="111"/>
        <w:autoSpaceDE w:val="0"/>
        <w:autoSpaceDN w:val="0"/>
        <w:spacing w:line="360" w:lineRule="auto"/>
        <w:ind w:firstLine="480"/>
        <w:rPr>
          <w:rFonts w:hint="eastAsia" w:ascii="宋体" w:hAnsi="宋体" w:cs="宋体"/>
          <w:color w:val="auto"/>
          <w:sz w:val="24"/>
          <w:szCs w:val="28"/>
          <w:highlight w:val="none"/>
        </w:rPr>
      </w:pPr>
    </w:p>
    <w:p w14:paraId="58EF9032">
      <w:pPr>
        <w:spacing w:line="360" w:lineRule="auto"/>
        <w:ind w:firstLine="3000" w:firstLineChars="1250"/>
        <w:rPr>
          <w:rFonts w:hint="eastAsia" w:ascii="宋体" w:hAnsi="宋体" w:cs="宋体"/>
          <w:color w:val="auto"/>
          <w:sz w:val="24"/>
          <w:szCs w:val="20"/>
          <w:highlight w:val="none"/>
          <w:u w:val="single"/>
        </w:rPr>
      </w:pPr>
      <w:r>
        <w:rPr>
          <w:rFonts w:hint="eastAsia" w:ascii="宋体" w:hAnsi="宋体" w:cs="宋体"/>
          <w:color w:val="auto"/>
          <w:sz w:val="24"/>
          <w:szCs w:val="20"/>
          <w:highlight w:val="none"/>
        </w:rPr>
        <w:t>投标人名称：</w:t>
      </w:r>
    </w:p>
    <w:p w14:paraId="12226D4A">
      <w:pPr>
        <w:spacing w:line="360" w:lineRule="auto"/>
        <w:ind w:firstLine="3000" w:firstLineChars="1250"/>
        <w:rPr>
          <w:rFonts w:hint="eastAsia" w:ascii="宋体" w:hAnsi="宋体" w:cs="宋体"/>
          <w:color w:val="auto"/>
          <w:sz w:val="24"/>
          <w:highlight w:val="none"/>
        </w:rPr>
      </w:pPr>
      <w:r>
        <w:rPr>
          <w:rFonts w:hint="eastAsia" w:ascii="宋体" w:hAnsi="宋体" w:cs="宋体"/>
          <w:color w:val="auto"/>
          <w:sz w:val="24"/>
          <w:szCs w:val="20"/>
          <w:highlight w:val="none"/>
        </w:rPr>
        <w:t>日期：   年  月  日</w:t>
      </w:r>
    </w:p>
    <w:p w14:paraId="5943826A">
      <w:pPr>
        <w:spacing w:line="360" w:lineRule="auto"/>
        <w:ind w:firstLine="3000" w:firstLineChars="1250"/>
        <w:rPr>
          <w:rFonts w:hint="eastAsia" w:ascii="宋体" w:hAnsi="宋体" w:cs="宋体"/>
          <w:color w:val="auto"/>
          <w:sz w:val="24"/>
          <w:highlight w:val="none"/>
        </w:rPr>
      </w:pPr>
    </w:p>
    <w:p w14:paraId="5693D658">
      <w:pPr>
        <w:snapToGrid w:val="0"/>
        <w:spacing w:line="360" w:lineRule="auto"/>
        <w:jc w:val="center"/>
        <w:rPr>
          <w:rFonts w:hint="eastAsia" w:ascii="宋体" w:hAnsi="宋体" w:cs="宋体"/>
          <w:b/>
          <w:bCs/>
          <w:color w:val="auto"/>
          <w:highlight w:val="none"/>
        </w:rPr>
      </w:pPr>
    </w:p>
    <w:p w14:paraId="7AE7F453">
      <w:pPr>
        <w:pStyle w:val="56"/>
        <w:ind w:right="496" w:firstLine="0" w:firstLineChars="0"/>
        <w:outlineLvl w:val="2"/>
        <w:rPr>
          <w:rFonts w:ascii="宋体"/>
          <w:b/>
          <w:bCs/>
          <w:color w:val="auto"/>
          <w:highlight w:val="none"/>
        </w:rPr>
      </w:pPr>
      <w:r>
        <w:rPr>
          <w:rFonts w:hint="eastAsia" w:ascii="宋体" w:hAnsi="宋体" w:cs="宋体"/>
          <w:color w:val="auto"/>
          <w:sz w:val="24"/>
          <w:szCs w:val="24"/>
          <w:highlight w:val="none"/>
        </w:rPr>
        <w:br w:type="page"/>
      </w:r>
      <w:bookmarkEnd w:id="53"/>
      <w:bookmarkEnd w:id="54"/>
      <w:bookmarkEnd w:id="55"/>
      <w:bookmarkEnd w:id="56"/>
      <w:bookmarkEnd w:id="57"/>
      <w:bookmarkStart w:id="70" w:name="_Toc4136"/>
      <w:r>
        <w:rPr>
          <w:rFonts w:hint="eastAsia" w:ascii="宋体" w:hAnsi="宋体" w:cs="宋体"/>
          <w:b/>
          <w:bCs/>
          <w:color w:val="auto"/>
          <w:sz w:val="24"/>
          <w:szCs w:val="24"/>
          <w:highlight w:val="none"/>
        </w:rPr>
        <w:t>格式</w:t>
      </w:r>
      <w:r>
        <w:rPr>
          <w:rFonts w:hint="eastAsia" w:ascii="宋体" w:hAnsi="宋体" w:cs="宋体"/>
          <w:b/>
          <w:bCs/>
          <w:color w:val="auto"/>
          <w:sz w:val="24"/>
          <w:szCs w:val="24"/>
          <w:highlight w:val="none"/>
          <w:lang w:val="en-US" w:eastAsia="zh-CN"/>
        </w:rPr>
        <w:t>九</w:t>
      </w:r>
      <w:r>
        <w:rPr>
          <w:rFonts w:hint="eastAsia" w:ascii="宋体" w:hAnsi="宋体" w:cs="宋体"/>
          <w:b/>
          <w:bCs/>
          <w:color w:val="auto"/>
          <w:sz w:val="24"/>
          <w:szCs w:val="24"/>
          <w:highlight w:val="none"/>
        </w:rPr>
        <w:t>：</w:t>
      </w:r>
      <w:bookmarkEnd w:id="70"/>
      <w:bookmarkStart w:id="71" w:name="_Toc153024508"/>
      <w:bookmarkStart w:id="72" w:name="_Toc7032"/>
      <w:bookmarkStart w:id="73" w:name="_Toc83906657"/>
      <w:bookmarkStart w:id="74" w:name="_Toc80701962"/>
      <w:bookmarkStart w:id="75" w:name="_Toc80952401"/>
      <w:bookmarkStart w:id="76" w:name="_Hlk150093894"/>
      <w:r>
        <w:rPr>
          <w:rFonts w:hint="eastAsia" w:cs="宋体"/>
          <w:b/>
          <w:bCs/>
          <w:color w:val="auto"/>
          <w:highlight w:val="none"/>
        </w:rPr>
        <w:t>响应招标文件所附施工组织设计要点的承诺书</w:t>
      </w:r>
      <w:bookmarkEnd w:id="71"/>
      <w:bookmarkEnd w:id="72"/>
    </w:p>
    <w:p w14:paraId="62C20763">
      <w:pPr>
        <w:rPr>
          <w:rFonts w:ascii="宋体"/>
          <w:b/>
          <w:bCs/>
          <w:color w:val="auto"/>
          <w:highlight w:val="none"/>
        </w:rPr>
      </w:pPr>
    </w:p>
    <w:p w14:paraId="2177EE8B">
      <w:pPr>
        <w:autoSpaceDE w:val="0"/>
        <w:autoSpaceDN w:val="0"/>
        <w:adjustRightInd w:val="0"/>
        <w:jc w:val="center"/>
        <w:rPr>
          <w:rFonts w:hint="eastAsia" w:ascii="宋体" w:hAnsi="宋体" w:cs="仿宋"/>
          <w:b/>
          <w:bCs/>
          <w:color w:val="auto"/>
          <w:sz w:val="32"/>
          <w:szCs w:val="32"/>
          <w:highlight w:val="none"/>
          <w:lang w:val="zh-CN"/>
        </w:rPr>
      </w:pPr>
      <w:r>
        <w:rPr>
          <w:rFonts w:hint="eastAsia" w:ascii="宋体" w:hAnsi="宋体" w:cs="仿宋"/>
          <w:b/>
          <w:bCs/>
          <w:color w:val="auto"/>
          <w:sz w:val="32"/>
          <w:szCs w:val="32"/>
          <w:highlight w:val="none"/>
          <w:lang w:val="zh-CN"/>
        </w:rPr>
        <w:t>响应招标文件所附施工组织设计要点的承诺书</w:t>
      </w:r>
    </w:p>
    <w:p w14:paraId="1CDAE69F">
      <w:pPr>
        <w:pStyle w:val="56"/>
        <w:ind w:firstLine="0" w:firstLineChars="0"/>
        <w:rPr>
          <w:rFonts w:cs="仿宋"/>
          <w:color w:val="auto"/>
          <w:highlight w:val="none"/>
          <w:u w:val="single"/>
        </w:rPr>
      </w:pPr>
    </w:p>
    <w:p w14:paraId="0AC05C1A">
      <w:pPr>
        <w:pStyle w:val="56"/>
        <w:ind w:firstLine="0" w:firstLineChars="0"/>
        <w:rPr>
          <w:rFonts w:cs="仿宋"/>
          <w:color w:val="auto"/>
          <w:highlight w:val="none"/>
          <w:u w:val="single"/>
        </w:rPr>
      </w:pPr>
      <w:r>
        <w:rPr>
          <w:rFonts w:hint="eastAsia" w:cs="仿宋"/>
          <w:color w:val="auto"/>
          <w:highlight w:val="none"/>
          <w:u w:val="single"/>
        </w:rPr>
        <w:t>（招标人）：</w:t>
      </w:r>
    </w:p>
    <w:p w14:paraId="5761B6E2">
      <w:pPr>
        <w:pStyle w:val="56"/>
        <w:ind w:firstLine="496"/>
        <w:rPr>
          <w:rFonts w:cs="仿宋"/>
          <w:color w:val="auto"/>
          <w:highlight w:val="none"/>
        </w:rPr>
      </w:pPr>
      <w:r>
        <w:rPr>
          <w:rFonts w:hint="eastAsia" w:cs="仿宋"/>
          <w:color w:val="auto"/>
          <w:highlight w:val="none"/>
        </w:rPr>
        <w:t>我方承诺，如中标承建</w:t>
      </w:r>
      <w:r>
        <w:rPr>
          <w:rFonts w:hint="eastAsia" w:cs="仿宋"/>
          <w:color w:val="auto"/>
          <w:highlight w:val="none"/>
          <w:u w:val="single"/>
        </w:rPr>
        <w:t xml:space="preserve">      (项目名称)     </w:t>
      </w:r>
      <w:r>
        <w:rPr>
          <w:rFonts w:hint="eastAsia" w:cs="仿宋"/>
          <w:color w:val="auto"/>
          <w:highlight w:val="none"/>
        </w:rPr>
        <w:t>，将按招标文件所附的本工程施工组织设计要点进行响应的基础上自行组织施工。并承诺在中标后按招标文件所附的施工组织设计要点基础上编制详细的施工组织设计，并报经监理单位和建设单位审批后实施。</w:t>
      </w:r>
    </w:p>
    <w:p w14:paraId="4F2BAFA6">
      <w:pPr>
        <w:pStyle w:val="56"/>
        <w:ind w:firstLine="0" w:firstLineChars="0"/>
        <w:rPr>
          <w:rFonts w:cs="仿宋"/>
          <w:color w:val="auto"/>
          <w:szCs w:val="21"/>
          <w:highlight w:val="none"/>
        </w:rPr>
      </w:pPr>
    </w:p>
    <w:p w14:paraId="4A7667B9">
      <w:pPr>
        <w:pStyle w:val="56"/>
        <w:ind w:firstLine="3596" w:firstLineChars="1450"/>
        <w:rPr>
          <w:rFonts w:cs="仿宋"/>
          <w:color w:val="auto"/>
          <w:highlight w:val="none"/>
        </w:rPr>
      </w:pPr>
      <w:r>
        <w:rPr>
          <w:rFonts w:hint="eastAsia" w:cs="仿宋"/>
          <w:color w:val="auto"/>
          <w:highlight w:val="none"/>
        </w:rPr>
        <w:t>投标人</w:t>
      </w:r>
      <w:r>
        <w:rPr>
          <w:rFonts w:hint="eastAsia" w:cs="仿宋"/>
          <w:color w:val="auto"/>
          <w:highlight w:val="none"/>
          <w:lang w:val="en-US" w:eastAsia="zh-CN"/>
        </w:rPr>
        <w:t>名称</w:t>
      </w:r>
      <w:r>
        <w:rPr>
          <w:rFonts w:hint="eastAsia" w:cs="仿宋"/>
          <w:color w:val="auto"/>
          <w:highlight w:val="none"/>
        </w:rPr>
        <w:t>：</w:t>
      </w:r>
    </w:p>
    <w:p w14:paraId="5A26249B">
      <w:pPr>
        <w:pStyle w:val="56"/>
        <w:ind w:firstLine="3596" w:firstLineChars="1450"/>
        <w:rPr>
          <w:rFonts w:cs="仿宋"/>
          <w:color w:val="auto"/>
          <w:highlight w:val="none"/>
        </w:rPr>
      </w:pPr>
      <w:r>
        <w:rPr>
          <w:rFonts w:hint="eastAsia" w:cs="仿宋"/>
          <w:color w:val="auto"/>
          <w:highlight w:val="none"/>
        </w:rPr>
        <w:t xml:space="preserve">日   期：    年    月    日  </w:t>
      </w:r>
    </w:p>
    <w:p w14:paraId="1FE75D1B">
      <w:pPr>
        <w:topLinePunct/>
        <w:adjustRightInd w:val="0"/>
        <w:snapToGrid w:val="0"/>
        <w:spacing w:line="360" w:lineRule="auto"/>
        <w:ind w:firstLine="193" w:firstLineChars="80"/>
        <w:jc w:val="left"/>
        <w:outlineLvl w:val="2"/>
        <w:rPr>
          <w:rFonts w:hint="eastAsia" w:ascii="宋体" w:hAnsi="宋体" w:cs="宋体"/>
          <w:b/>
          <w:color w:val="auto"/>
          <w:spacing w:val="4"/>
          <w:kern w:val="0"/>
          <w:sz w:val="24"/>
          <w:szCs w:val="24"/>
          <w:highlight w:val="none"/>
        </w:rPr>
      </w:pPr>
      <w:r>
        <w:rPr>
          <w:rFonts w:hint="eastAsia" w:ascii="宋体" w:hAnsi="宋体" w:cs="宋体"/>
          <w:b/>
          <w:bCs/>
          <w:color w:val="auto"/>
          <w:sz w:val="24"/>
          <w:szCs w:val="24"/>
          <w:highlight w:val="none"/>
        </w:rPr>
        <w:br w:type="page"/>
      </w:r>
      <w:bookmarkStart w:id="77" w:name="_Toc14393"/>
      <w:r>
        <w:rPr>
          <w:rFonts w:hint="eastAsia" w:ascii="宋体" w:hAnsi="宋体" w:cs="宋体"/>
          <w:b/>
          <w:color w:val="auto"/>
          <w:spacing w:val="4"/>
          <w:kern w:val="0"/>
          <w:sz w:val="24"/>
          <w:szCs w:val="24"/>
          <w:highlight w:val="none"/>
        </w:rPr>
        <w:t>格式十：参与编制技术标投标文件人员名单</w:t>
      </w:r>
      <w:bookmarkEnd w:id="73"/>
      <w:bookmarkEnd w:id="74"/>
      <w:bookmarkEnd w:id="75"/>
      <w:bookmarkEnd w:id="77"/>
    </w:p>
    <w:p w14:paraId="5C1FCCC4">
      <w:pPr>
        <w:tabs>
          <w:tab w:val="left" w:pos="720"/>
        </w:tabs>
        <w:snapToGrid w:val="0"/>
        <w:spacing w:line="360" w:lineRule="auto"/>
        <w:rPr>
          <w:rFonts w:hint="eastAsia" w:ascii="宋体" w:hAnsi="宋体" w:cs="宋体"/>
          <w:color w:val="auto"/>
          <w:szCs w:val="21"/>
          <w:highlight w:val="none"/>
        </w:rPr>
      </w:pPr>
    </w:p>
    <w:p w14:paraId="016A7D45">
      <w:pPr>
        <w:topLinePunct/>
        <w:adjustRightInd w:val="0"/>
        <w:snapToGrid w:val="0"/>
        <w:spacing w:before="156" w:after="156" w:line="360" w:lineRule="auto"/>
        <w:ind w:firstLine="617"/>
        <w:jc w:val="center"/>
        <w:rPr>
          <w:rFonts w:hint="eastAsia" w:ascii="宋体" w:hAnsi="宋体" w:cs="宋体"/>
          <w:b/>
          <w:bCs/>
          <w:snapToGrid w:val="0"/>
          <w:color w:val="auto"/>
          <w:spacing w:val="4"/>
          <w:kern w:val="0"/>
          <w:sz w:val="36"/>
          <w:szCs w:val="36"/>
          <w:highlight w:val="none"/>
        </w:rPr>
      </w:pPr>
      <w:r>
        <w:rPr>
          <w:rFonts w:hint="eastAsia" w:ascii="宋体" w:hAnsi="宋体" w:cs="宋体"/>
          <w:b/>
          <w:bCs/>
          <w:snapToGrid w:val="0"/>
          <w:color w:val="auto"/>
          <w:spacing w:val="4"/>
          <w:kern w:val="0"/>
          <w:sz w:val="36"/>
          <w:szCs w:val="36"/>
          <w:highlight w:val="none"/>
        </w:rPr>
        <w:t>参与编制技术标投标文件人员名单</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1614"/>
        <w:gridCol w:w="2736"/>
        <w:gridCol w:w="2624"/>
        <w:gridCol w:w="1596"/>
      </w:tblGrid>
      <w:tr w14:paraId="56889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14:paraId="1697B6DD">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投标人名称</w:t>
            </w:r>
          </w:p>
        </w:tc>
      </w:tr>
      <w:tr w14:paraId="7FA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73E78AD9">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810" w:type="pct"/>
            <w:tcBorders>
              <w:top w:val="single" w:color="auto" w:sz="4" w:space="0"/>
              <w:left w:val="single" w:color="auto" w:sz="4" w:space="0"/>
              <w:bottom w:val="single" w:color="auto" w:sz="4" w:space="0"/>
              <w:right w:val="single" w:color="auto" w:sz="4" w:space="0"/>
            </w:tcBorders>
            <w:vAlign w:val="center"/>
          </w:tcPr>
          <w:p w14:paraId="034EA1B2">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373" w:type="pct"/>
            <w:tcBorders>
              <w:top w:val="single" w:color="auto" w:sz="4" w:space="0"/>
              <w:left w:val="single" w:color="auto" w:sz="4" w:space="0"/>
              <w:bottom w:val="single" w:color="auto" w:sz="4" w:space="0"/>
              <w:right w:val="single" w:color="auto" w:sz="4" w:space="0"/>
            </w:tcBorders>
            <w:vAlign w:val="center"/>
          </w:tcPr>
          <w:p w14:paraId="28DE1DF5">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所承担工作</w:t>
            </w:r>
          </w:p>
        </w:tc>
        <w:tc>
          <w:tcPr>
            <w:tcW w:w="1317" w:type="pct"/>
            <w:tcBorders>
              <w:top w:val="single" w:color="auto" w:sz="4" w:space="0"/>
              <w:left w:val="single" w:color="auto" w:sz="4" w:space="0"/>
              <w:bottom w:val="single" w:color="auto" w:sz="4" w:space="0"/>
              <w:right w:val="single" w:color="auto" w:sz="4" w:space="0"/>
            </w:tcBorders>
            <w:vAlign w:val="center"/>
          </w:tcPr>
          <w:p w14:paraId="33815853">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身份证号码</w:t>
            </w:r>
          </w:p>
        </w:tc>
        <w:tc>
          <w:tcPr>
            <w:tcW w:w="800" w:type="pct"/>
            <w:tcBorders>
              <w:top w:val="single" w:color="auto" w:sz="4" w:space="0"/>
              <w:left w:val="single" w:color="auto" w:sz="4" w:space="0"/>
              <w:bottom w:val="single" w:color="auto" w:sz="4" w:space="0"/>
              <w:right w:val="single" w:color="auto" w:sz="4" w:space="0"/>
            </w:tcBorders>
            <w:vAlign w:val="center"/>
          </w:tcPr>
          <w:p w14:paraId="7E1EC237">
            <w:pPr>
              <w:tabs>
                <w:tab w:val="left" w:pos="720"/>
              </w:tabs>
              <w:snapToGrid w:val="0"/>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本人签名栏</w:t>
            </w:r>
          </w:p>
        </w:tc>
      </w:tr>
      <w:tr w14:paraId="46DA8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7F4101C5">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6D32BECC">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02EEBC03">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1CC02F93">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034CD42D">
            <w:pPr>
              <w:tabs>
                <w:tab w:val="left" w:pos="720"/>
              </w:tabs>
              <w:snapToGrid w:val="0"/>
              <w:spacing w:line="360" w:lineRule="auto"/>
              <w:jc w:val="center"/>
              <w:rPr>
                <w:rFonts w:hint="eastAsia" w:ascii="宋体" w:hAnsi="宋体" w:cs="宋体"/>
                <w:color w:val="auto"/>
                <w:szCs w:val="21"/>
                <w:highlight w:val="none"/>
              </w:rPr>
            </w:pPr>
          </w:p>
        </w:tc>
      </w:tr>
      <w:tr w14:paraId="09346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689A7E66">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54202779">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4D5D58E1">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7ED71211">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171B1369">
            <w:pPr>
              <w:tabs>
                <w:tab w:val="left" w:pos="720"/>
              </w:tabs>
              <w:snapToGrid w:val="0"/>
              <w:spacing w:line="360" w:lineRule="auto"/>
              <w:jc w:val="center"/>
              <w:rPr>
                <w:rFonts w:hint="eastAsia" w:ascii="宋体" w:hAnsi="宋体" w:cs="宋体"/>
                <w:color w:val="auto"/>
                <w:szCs w:val="21"/>
                <w:highlight w:val="none"/>
              </w:rPr>
            </w:pPr>
          </w:p>
        </w:tc>
      </w:tr>
      <w:tr w14:paraId="2CE9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9ECA942">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0B8BFD3B">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0C34364D">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738CD6DE">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61779BCB">
            <w:pPr>
              <w:tabs>
                <w:tab w:val="left" w:pos="720"/>
              </w:tabs>
              <w:snapToGrid w:val="0"/>
              <w:spacing w:line="360" w:lineRule="auto"/>
              <w:jc w:val="center"/>
              <w:rPr>
                <w:rFonts w:hint="eastAsia" w:ascii="宋体" w:hAnsi="宋体" w:cs="宋体"/>
                <w:color w:val="auto"/>
                <w:szCs w:val="21"/>
                <w:highlight w:val="none"/>
              </w:rPr>
            </w:pPr>
          </w:p>
        </w:tc>
      </w:tr>
      <w:tr w14:paraId="0D6D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1CBA1DC5">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5A61BE83">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00659BA1">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0DF02A41">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0F0B2F37">
            <w:pPr>
              <w:tabs>
                <w:tab w:val="left" w:pos="720"/>
              </w:tabs>
              <w:snapToGrid w:val="0"/>
              <w:spacing w:line="360" w:lineRule="auto"/>
              <w:jc w:val="center"/>
              <w:rPr>
                <w:rFonts w:hint="eastAsia" w:ascii="宋体" w:hAnsi="宋体" w:cs="宋体"/>
                <w:color w:val="auto"/>
                <w:szCs w:val="21"/>
                <w:highlight w:val="none"/>
              </w:rPr>
            </w:pPr>
          </w:p>
        </w:tc>
      </w:tr>
      <w:tr w14:paraId="620D3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443E9BCC">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5E66373C">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6AF8B926">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062A91FA">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4B4E06B7">
            <w:pPr>
              <w:tabs>
                <w:tab w:val="left" w:pos="720"/>
              </w:tabs>
              <w:snapToGrid w:val="0"/>
              <w:spacing w:line="360" w:lineRule="auto"/>
              <w:jc w:val="center"/>
              <w:rPr>
                <w:rFonts w:hint="eastAsia" w:ascii="宋体" w:hAnsi="宋体" w:cs="宋体"/>
                <w:color w:val="auto"/>
                <w:szCs w:val="21"/>
                <w:highlight w:val="none"/>
              </w:rPr>
            </w:pPr>
          </w:p>
        </w:tc>
      </w:tr>
      <w:tr w14:paraId="676A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5D766EE4">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1AB3E537">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7FEBF77B">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2436BB15">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5BB7F54C">
            <w:pPr>
              <w:tabs>
                <w:tab w:val="left" w:pos="720"/>
              </w:tabs>
              <w:snapToGrid w:val="0"/>
              <w:spacing w:line="360" w:lineRule="auto"/>
              <w:jc w:val="center"/>
              <w:rPr>
                <w:rFonts w:hint="eastAsia" w:ascii="宋体" w:hAnsi="宋体" w:cs="宋体"/>
                <w:color w:val="auto"/>
                <w:szCs w:val="21"/>
                <w:highlight w:val="none"/>
              </w:rPr>
            </w:pPr>
          </w:p>
        </w:tc>
      </w:tr>
      <w:tr w14:paraId="42B7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2AA3251C">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7DD67877">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29984EFE">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147B8B77">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42E105EC">
            <w:pPr>
              <w:tabs>
                <w:tab w:val="left" w:pos="720"/>
              </w:tabs>
              <w:snapToGrid w:val="0"/>
              <w:spacing w:line="360" w:lineRule="auto"/>
              <w:jc w:val="center"/>
              <w:rPr>
                <w:rFonts w:hint="eastAsia" w:ascii="宋体" w:hAnsi="宋体" w:cs="宋体"/>
                <w:color w:val="auto"/>
                <w:szCs w:val="21"/>
                <w:highlight w:val="none"/>
              </w:rPr>
            </w:pPr>
          </w:p>
        </w:tc>
      </w:tr>
      <w:tr w14:paraId="46E44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99" w:type="pct"/>
            <w:tcBorders>
              <w:top w:val="single" w:color="auto" w:sz="4" w:space="0"/>
              <w:left w:val="single" w:color="auto" w:sz="4" w:space="0"/>
              <w:bottom w:val="single" w:color="auto" w:sz="4" w:space="0"/>
              <w:right w:val="single" w:color="auto" w:sz="4" w:space="0"/>
            </w:tcBorders>
            <w:vAlign w:val="center"/>
          </w:tcPr>
          <w:p w14:paraId="52B7D80E">
            <w:pPr>
              <w:tabs>
                <w:tab w:val="left" w:pos="720"/>
              </w:tabs>
              <w:snapToGrid w:val="0"/>
              <w:spacing w:line="360" w:lineRule="auto"/>
              <w:jc w:val="center"/>
              <w:rPr>
                <w:rFonts w:hint="eastAsia" w:ascii="宋体" w:hAnsi="宋体" w:cs="宋体"/>
                <w:color w:val="auto"/>
                <w:szCs w:val="21"/>
                <w:highlight w:val="none"/>
              </w:rPr>
            </w:pPr>
          </w:p>
        </w:tc>
        <w:tc>
          <w:tcPr>
            <w:tcW w:w="810" w:type="pct"/>
            <w:tcBorders>
              <w:top w:val="single" w:color="auto" w:sz="4" w:space="0"/>
              <w:left w:val="single" w:color="auto" w:sz="4" w:space="0"/>
              <w:bottom w:val="single" w:color="auto" w:sz="4" w:space="0"/>
              <w:right w:val="single" w:color="auto" w:sz="4" w:space="0"/>
            </w:tcBorders>
            <w:vAlign w:val="center"/>
          </w:tcPr>
          <w:p w14:paraId="53C35C23">
            <w:pPr>
              <w:tabs>
                <w:tab w:val="left" w:pos="720"/>
              </w:tabs>
              <w:snapToGrid w:val="0"/>
              <w:spacing w:line="360" w:lineRule="auto"/>
              <w:jc w:val="center"/>
              <w:rPr>
                <w:rFonts w:hint="eastAsia" w:ascii="宋体" w:hAnsi="宋体" w:cs="宋体"/>
                <w:color w:val="auto"/>
                <w:szCs w:val="21"/>
                <w:highlight w:val="none"/>
              </w:rPr>
            </w:pPr>
          </w:p>
        </w:tc>
        <w:tc>
          <w:tcPr>
            <w:tcW w:w="1373" w:type="pct"/>
            <w:tcBorders>
              <w:top w:val="single" w:color="auto" w:sz="4" w:space="0"/>
              <w:left w:val="single" w:color="auto" w:sz="4" w:space="0"/>
              <w:bottom w:val="single" w:color="auto" w:sz="4" w:space="0"/>
              <w:right w:val="single" w:color="auto" w:sz="4" w:space="0"/>
            </w:tcBorders>
            <w:vAlign w:val="center"/>
          </w:tcPr>
          <w:p w14:paraId="6FB5E87E">
            <w:pPr>
              <w:tabs>
                <w:tab w:val="left" w:pos="720"/>
              </w:tabs>
              <w:snapToGrid w:val="0"/>
              <w:spacing w:line="360" w:lineRule="auto"/>
              <w:jc w:val="center"/>
              <w:rPr>
                <w:rFonts w:hint="eastAsia" w:ascii="宋体" w:hAnsi="宋体" w:cs="宋体"/>
                <w:color w:val="auto"/>
                <w:szCs w:val="21"/>
                <w:highlight w:val="none"/>
              </w:rPr>
            </w:pPr>
          </w:p>
        </w:tc>
        <w:tc>
          <w:tcPr>
            <w:tcW w:w="1317" w:type="pct"/>
            <w:tcBorders>
              <w:top w:val="single" w:color="auto" w:sz="4" w:space="0"/>
              <w:left w:val="single" w:color="auto" w:sz="4" w:space="0"/>
              <w:bottom w:val="single" w:color="auto" w:sz="4" w:space="0"/>
              <w:right w:val="single" w:color="auto" w:sz="4" w:space="0"/>
            </w:tcBorders>
            <w:vAlign w:val="center"/>
          </w:tcPr>
          <w:p w14:paraId="5B4D3F9C">
            <w:pPr>
              <w:tabs>
                <w:tab w:val="left" w:pos="720"/>
              </w:tabs>
              <w:snapToGrid w:val="0"/>
              <w:spacing w:line="360" w:lineRule="auto"/>
              <w:jc w:val="center"/>
              <w:rPr>
                <w:rFonts w:hint="eastAsia" w:ascii="宋体" w:hAnsi="宋体" w:cs="宋体"/>
                <w:color w:val="auto"/>
                <w:szCs w:val="21"/>
                <w:highlight w:val="none"/>
              </w:rPr>
            </w:pPr>
          </w:p>
        </w:tc>
        <w:tc>
          <w:tcPr>
            <w:tcW w:w="800" w:type="pct"/>
            <w:tcBorders>
              <w:top w:val="single" w:color="auto" w:sz="4" w:space="0"/>
              <w:left w:val="single" w:color="auto" w:sz="4" w:space="0"/>
              <w:bottom w:val="single" w:color="auto" w:sz="4" w:space="0"/>
              <w:right w:val="single" w:color="auto" w:sz="4" w:space="0"/>
            </w:tcBorders>
            <w:vAlign w:val="center"/>
          </w:tcPr>
          <w:p w14:paraId="2FD2580F">
            <w:pPr>
              <w:tabs>
                <w:tab w:val="left" w:pos="720"/>
              </w:tabs>
              <w:snapToGrid w:val="0"/>
              <w:spacing w:line="360" w:lineRule="auto"/>
              <w:jc w:val="center"/>
              <w:rPr>
                <w:rFonts w:hint="eastAsia" w:ascii="宋体" w:hAnsi="宋体" w:cs="宋体"/>
                <w:color w:val="auto"/>
                <w:szCs w:val="21"/>
                <w:highlight w:val="none"/>
              </w:rPr>
            </w:pPr>
          </w:p>
        </w:tc>
      </w:tr>
      <w:bookmarkEnd w:id="76"/>
    </w:tbl>
    <w:p w14:paraId="3B11C887">
      <w:pPr>
        <w:tabs>
          <w:tab w:val="left" w:pos="720"/>
        </w:tabs>
        <w:snapToGrid w:val="0"/>
        <w:jc w:val="left"/>
        <w:rPr>
          <w:rFonts w:hint="eastAsia" w:ascii="宋体" w:hAnsi="宋体" w:cs="宋体"/>
          <w:color w:val="auto"/>
          <w:sz w:val="22"/>
          <w:highlight w:val="none"/>
        </w:rPr>
      </w:pPr>
      <w:r>
        <w:rPr>
          <w:rFonts w:hint="eastAsia" w:ascii="宋体" w:hAnsi="宋体" w:cs="宋体"/>
          <w:color w:val="auto"/>
          <w:sz w:val="22"/>
          <w:highlight w:val="none"/>
        </w:rPr>
        <w:t>注：请填写参与编制技术标书的所有人员名单，如：编制技术投标方案、负责清样校对（如有）、负责打印及复印（如有）等所有人员在内的人员名单。</w:t>
      </w:r>
    </w:p>
    <w:bookmarkEnd w:id="58"/>
    <w:bookmarkEnd w:id="59"/>
    <w:bookmarkEnd w:id="60"/>
    <w:bookmarkEnd w:id="61"/>
    <w:bookmarkEnd w:id="62"/>
    <w:bookmarkEnd w:id="63"/>
    <w:bookmarkEnd w:id="64"/>
    <w:bookmarkEnd w:id="65"/>
    <w:bookmarkEnd w:id="66"/>
    <w:bookmarkEnd w:id="67"/>
    <w:bookmarkEnd w:id="68"/>
    <w:bookmarkEnd w:id="69"/>
    <w:p w14:paraId="1A57B302">
      <w:pPr>
        <w:rPr>
          <w:rFonts w:hint="eastAsia" w:ascii="宋体" w:hAnsi="宋体" w:cs="宋体"/>
          <w:color w:val="auto"/>
          <w:highlight w:val="none"/>
        </w:rPr>
      </w:pPr>
    </w:p>
    <w:p w14:paraId="127F313C">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524712F4">
      <w:pPr>
        <w:topLinePunct/>
        <w:adjustRightInd w:val="0"/>
        <w:snapToGrid w:val="0"/>
        <w:spacing w:line="360" w:lineRule="auto"/>
        <w:outlineLvl w:val="1"/>
        <w:rPr>
          <w:rFonts w:hint="eastAsia" w:ascii="宋体" w:hAnsi="宋体" w:cs="宋体"/>
          <w:b/>
          <w:snapToGrid w:val="0"/>
          <w:color w:val="auto"/>
          <w:spacing w:val="4"/>
          <w:kern w:val="0"/>
          <w:sz w:val="30"/>
          <w:szCs w:val="30"/>
          <w:highlight w:val="none"/>
        </w:rPr>
      </w:pPr>
      <w:bookmarkStart w:id="78" w:name="_Toc14697669"/>
      <w:bookmarkStart w:id="79" w:name="_Toc62134866"/>
      <w:bookmarkStart w:id="80" w:name="_Toc7019447"/>
      <w:bookmarkStart w:id="81" w:name="_Toc21343"/>
      <w:r>
        <w:rPr>
          <w:rFonts w:hint="eastAsia" w:ascii="宋体" w:hAnsi="宋体" w:cs="宋体"/>
          <w:b/>
          <w:snapToGrid w:val="0"/>
          <w:color w:val="auto"/>
          <w:spacing w:val="4"/>
          <w:kern w:val="0"/>
          <w:sz w:val="30"/>
          <w:szCs w:val="30"/>
          <w:highlight w:val="none"/>
        </w:rPr>
        <w:br w:type="page"/>
      </w:r>
      <w:bookmarkStart w:id="82" w:name="_Toc28432"/>
      <w:r>
        <w:rPr>
          <w:rFonts w:hint="eastAsia" w:ascii="宋体" w:hAnsi="宋体" w:cs="宋体"/>
          <w:b/>
          <w:snapToGrid w:val="0"/>
          <w:color w:val="auto"/>
          <w:spacing w:val="4"/>
          <w:kern w:val="0"/>
          <w:sz w:val="30"/>
          <w:szCs w:val="30"/>
          <w:highlight w:val="none"/>
        </w:rPr>
        <w:t>二、经济标投标文件格式</w:t>
      </w:r>
      <w:bookmarkEnd w:id="78"/>
      <w:bookmarkEnd w:id="79"/>
      <w:bookmarkEnd w:id="80"/>
      <w:bookmarkEnd w:id="81"/>
      <w:bookmarkEnd w:id="82"/>
    </w:p>
    <w:p w14:paraId="3A251DE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5A85FB87">
      <w:pPr>
        <w:outlineLvl w:val="2"/>
        <w:rPr>
          <w:rFonts w:hint="eastAsia" w:ascii="宋体" w:hAnsi="宋体" w:cs="宋体"/>
          <w:b/>
          <w:color w:val="auto"/>
          <w:sz w:val="24"/>
          <w:szCs w:val="24"/>
          <w:highlight w:val="none"/>
        </w:rPr>
      </w:pPr>
      <w:bookmarkStart w:id="83" w:name="_Toc295"/>
      <w:r>
        <w:rPr>
          <w:rFonts w:hint="eastAsia" w:ascii="宋体" w:hAnsi="宋体" w:cs="宋体"/>
          <w:b/>
          <w:color w:val="auto"/>
          <w:sz w:val="24"/>
          <w:szCs w:val="24"/>
          <w:highlight w:val="none"/>
        </w:rPr>
        <w:t>格式一：经济标封面</w:t>
      </w:r>
      <w:bookmarkEnd w:id="83"/>
    </w:p>
    <w:p w14:paraId="3E560023">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11CB87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FB3A990">
      <w:pPr>
        <w:topLinePunct/>
        <w:adjustRightInd w:val="0"/>
        <w:snapToGrid w:val="0"/>
        <w:spacing w:line="360" w:lineRule="auto"/>
        <w:jc w:val="center"/>
        <w:rPr>
          <w:rFonts w:hint="eastAsia" w:ascii="宋体" w:hAnsi="宋体" w:cs="宋体"/>
          <w:snapToGrid w:val="0"/>
          <w:color w:val="auto"/>
          <w:spacing w:val="4"/>
          <w:kern w:val="0"/>
          <w:sz w:val="36"/>
          <w:szCs w:val="36"/>
          <w:highlight w:val="none"/>
          <w:u w:val="single"/>
        </w:rPr>
      </w:pPr>
      <w:r>
        <w:rPr>
          <w:rFonts w:hint="eastAsia" w:ascii="宋体" w:hAnsi="宋体" w:cs="宋体"/>
          <w:snapToGrid w:val="0"/>
          <w:color w:val="auto"/>
          <w:spacing w:val="4"/>
          <w:kern w:val="0"/>
          <w:sz w:val="36"/>
          <w:szCs w:val="36"/>
          <w:highlight w:val="none"/>
          <w:u w:val="single"/>
        </w:rPr>
        <w:t xml:space="preserve">[工程名称] </w:t>
      </w:r>
    </w:p>
    <w:p w14:paraId="4551423B">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7F92CD1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31665ACE">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326A7D1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FBCA2C5">
      <w:pPr>
        <w:topLinePunct/>
        <w:adjustRightInd w:val="0"/>
        <w:snapToGrid w:val="0"/>
        <w:spacing w:line="360" w:lineRule="auto"/>
        <w:jc w:val="center"/>
        <w:rPr>
          <w:rFonts w:hint="eastAsia" w:ascii="宋体" w:hAnsi="宋体" w:cs="宋体"/>
          <w:snapToGrid w:val="0"/>
          <w:color w:val="auto"/>
          <w:spacing w:val="4"/>
          <w:kern w:val="0"/>
          <w:sz w:val="84"/>
          <w:szCs w:val="84"/>
          <w:highlight w:val="none"/>
        </w:rPr>
      </w:pPr>
      <w:r>
        <w:rPr>
          <w:rFonts w:hint="eastAsia" w:ascii="宋体" w:hAnsi="宋体" w:cs="宋体"/>
          <w:snapToGrid w:val="0"/>
          <w:color w:val="auto"/>
          <w:spacing w:val="4"/>
          <w:kern w:val="0"/>
          <w:sz w:val="84"/>
          <w:szCs w:val="84"/>
          <w:highlight w:val="none"/>
        </w:rPr>
        <w:t>投标文件</w:t>
      </w:r>
    </w:p>
    <w:p w14:paraId="1DB21C31">
      <w:pPr>
        <w:topLinePunct/>
        <w:adjustRightInd w:val="0"/>
        <w:snapToGrid w:val="0"/>
        <w:spacing w:line="360" w:lineRule="auto"/>
        <w:jc w:val="center"/>
        <w:rPr>
          <w:rFonts w:hint="eastAsia" w:ascii="宋体" w:hAnsi="宋体" w:cs="宋体"/>
          <w:snapToGrid w:val="0"/>
          <w:color w:val="auto"/>
          <w:spacing w:val="4"/>
          <w:kern w:val="0"/>
          <w:sz w:val="36"/>
          <w:szCs w:val="36"/>
          <w:highlight w:val="none"/>
        </w:rPr>
      </w:pPr>
      <w:r>
        <w:rPr>
          <w:rFonts w:hint="eastAsia" w:ascii="宋体" w:hAnsi="宋体" w:cs="宋体"/>
          <w:snapToGrid w:val="0"/>
          <w:color w:val="auto"/>
          <w:spacing w:val="4"/>
          <w:kern w:val="0"/>
          <w:sz w:val="36"/>
          <w:szCs w:val="36"/>
          <w:highlight w:val="none"/>
        </w:rPr>
        <w:t>第二册 （经济标书）</w:t>
      </w:r>
    </w:p>
    <w:p w14:paraId="28CC859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 xml:space="preserve">   </w:t>
      </w:r>
    </w:p>
    <w:p w14:paraId="2989CD9A">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7D12DD90">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5186D788">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668528FD">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5E1B2742">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F5317DF">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投标人：</w:t>
      </w:r>
      <w:r>
        <w:rPr>
          <w:rFonts w:hint="eastAsia" w:ascii="宋体" w:hAnsi="宋体" w:cs="宋体"/>
          <w:snapToGrid w:val="0"/>
          <w:color w:val="auto"/>
          <w:spacing w:val="4"/>
          <w:kern w:val="0"/>
          <w:sz w:val="30"/>
          <w:szCs w:val="30"/>
          <w:highlight w:val="none"/>
          <w:u w:val="single"/>
        </w:rPr>
        <w:t xml:space="preserve">       （填写投标人单位名称）       </w:t>
      </w:r>
    </w:p>
    <w:p w14:paraId="5FF868D6">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p>
    <w:p w14:paraId="12658655">
      <w:pPr>
        <w:topLinePunct/>
        <w:adjustRightInd w:val="0"/>
        <w:snapToGrid w:val="0"/>
        <w:spacing w:line="360" w:lineRule="auto"/>
        <w:ind w:firstLine="616" w:firstLineChars="200"/>
        <w:jc w:val="left"/>
        <w:rPr>
          <w:rFonts w:hint="eastAsia" w:ascii="宋体" w:hAnsi="宋体" w:cs="宋体"/>
          <w:snapToGrid w:val="0"/>
          <w:color w:val="auto"/>
          <w:spacing w:val="4"/>
          <w:kern w:val="0"/>
          <w:sz w:val="30"/>
          <w:szCs w:val="30"/>
          <w:highlight w:val="none"/>
        </w:rPr>
      </w:pPr>
      <w:r>
        <w:rPr>
          <w:rFonts w:hint="eastAsia" w:ascii="宋体" w:hAnsi="宋体" w:cs="宋体"/>
          <w:snapToGrid w:val="0"/>
          <w:color w:val="auto"/>
          <w:spacing w:val="4"/>
          <w:kern w:val="0"/>
          <w:sz w:val="30"/>
          <w:szCs w:val="30"/>
          <w:highlight w:val="none"/>
        </w:rPr>
        <w:t>日  期：</w:t>
      </w:r>
      <w:r>
        <w:rPr>
          <w:rFonts w:hint="eastAsia" w:ascii="宋体" w:hAnsi="宋体" w:cs="宋体"/>
          <w:snapToGrid w:val="0"/>
          <w:color w:val="auto"/>
          <w:spacing w:val="4"/>
          <w:kern w:val="0"/>
          <w:sz w:val="30"/>
          <w:szCs w:val="30"/>
          <w:highlight w:val="none"/>
          <w:u w:val="single"/>
        </w:rPr>
        <w:t xml:space="preserve">                                        </w:t>
      </w:r>
      <w:r>
        <w:rPr>
          <w:rFonts w:hint="eastAsia" w:ascii="宋体" w:hAnsi="宋体" w:cs="宋体"/>
          <w:snapToGrid w:val="0"/>
          <w:color w:val="auto"/>
          <w:spacing w:val="4"/>
          <w:kern w:val="0"/>
          <w:sz w:val="30"/>
          <w:szCs w:val="30"/>
          <w:highlight w:val="none"/>
        </w:rPr>
        <w:t xml:space="preserve"> </w:t>
      </w:r>
    </w:p>
    <w:p w14:paraId="15A65BB6">
      <w:pPr>
        <w:outlineLvl w:val="2"/>
        <w:rPr>
          <w:rFonts w:hint="eastAsia" w:ascii="宋体" w:hAnsi="宋体" w:cs="宋体"/>
          <w:b/>
          <w:color w:val="auto"/>
          <w:sz w:val="24"/>
          <w:szCs w:val="24"/>
          <w:highlight w:val="none"/>
        </w:rPr>
      </w:pPr>
      <w:r>
        <w:rPr>
          <w:rFonts w:hint="eastAsia" w:ascii="宋体" w:hAnsi="宋体" w:cs="宋体"/>
          <w:color w:val="auto"/>
          <w:highlight w:val="none"/>
        </w:rPr>
        <w:br w:type="page"/>
      </w:r>
      <w:bookmarkStart w:id="84" w:name="_Toc22187"/>
      <w:r>
        <w:rPr>
          <w:rFonts w:hint="eastAsia" w:ascii="宋体" w:hAnsi="宋体" w:cs="宋体"/>
          <w:b/>
          <w:color w:val="auto"/>
          <w:sz w:val="24"/>
          <w:szCs w:val="24"/>
          <w:highlight w:val="none"/>
        </w:rPr>
        <w:t>格式二：工程量清单计价表</w:t>
      </w:r>
      <w:bookmarkEnd w:id="84"/>
    </w:p>
    <w:p w14:paraId="4BDCB47B">
      <w:pPr>
        <w:topLinePunct/>
        <w:adjustRightInd w:val="0"/>
        <w:snapToGrid w:val="0"/>
        <w:spacing w:line="360" w:lineRule="auto"/>
        <w:ind w:firstLine="498" w:firstLineChars="200"/>
        <w:rPr>
          <w:rFonts w:hint="eastAsia" w:ascii="宋体" w:hAnsi="宋体" w:cs="宋体"/>
          <w:b/>
          <w:snapToGrid w:val="0"/>
          <w:color w:val="auto"/>
          <w:spacing w:val="4"/>
          <w:kern w:val="0"/>
          <w:sz w:val="24"/>
          <w:szCs w:val="24"/>
          <w:highlight w:val="none"/>
        </w:rPr>
      </w:pPr>
    </w:p>
    <w:p w14:paraId="14397C34">
      <w:pPr>
        <w:topLinePunct/>
        <w:adjustRightInd w:val="0"/>
        <w:snapToGrid w:val="0"/>
        <w:spacing w:before="156" w:after="156" w:line="360" w:lineRule="auto"/>
        <w:ind w:firstLine="617"/>
        <w:jc w:val="center"/>
        <w:rPr>
          <w:rFonts w:hint="eastAsia" w:ascii="宋体" w:hAnsi="宋体" w:cs="宋体"/>
          <w:b/>
          <w:snapToGrid w:val="0"/>
          <w:color w:val="auto"/>
          <w:spacing w:val="4"/>
          <w:kern w:val="0"/>
          <w:sz w:val="36"/>
          <w:szCs w:val="36"/>
          <w:highlight w:val="none"/>
        </w:rPr>
      </w:pPr>
      <w:r>
        <w:rPr>
          <w:rFonts w:hint="eastAsia" w:ascii="宋体" w:hAnsi="宋体" w:cs="宋体"/>
          <w:b/>
          <w:snapToGrid w:val="0"/>
          <w:color w:val="auto"/>
          <w:spacing w:val="4"/>
          <w:kern w:val="0"/>
          <w:sz w:val="36"/>
          <w:szCs w:val="36"/>
          <w:highlight w:val="none"/>
        </w:rPr>
        <w:t>工程量清单计价表</w:t>
      </w:r>
    </w:p>
    <w:p w14:paraId="4DB7AC1E">
      <w:pPr>
        <w:topLinePunct/>
        <w:adjustRightInd w:val="0"/>
        <w:snapToGrid w:val="0"/>
        <w:spacing w:line="360" w:lineRule="auto"/>
        <w:ind w:firstLine="498" w:firstLineChars="200"/>
        <w:rPr>
          <w:rFonts w:hint="eastAsia" w:ascii="宋体" w:hAnsi="宋体" w:cs="宋体"/>
          <w:b/>
          <w:snapToGrid w:val="0"/>
          <w:color w:val="auto"/>
          <w:spacing w:val="4"/>
          <w:kern w:val="0"/>
          <w:sz w:val="24"/>
          <w:szCs w:val="24"/>
          <w:highlight w:val="none"/>
        </w:rPr>
      </w:pPr>
    </w:p>
    <w:p w14:paraId="3FF0047C">
      <w:pPr>
        <w:topLinePunct/>
        <w:adjustRightInd w:val="0"/>
        <w:snapToGrid w:val="0"/>
        <w:spacing w:line="360" w:lineRule="auto"/>
        <w:ind w:firstLine="498" w:firstLineChars="200"/>
        <w:rPr>
          <w:rFonts w:hint="eastAsia" w:ascii="宋体" w:hAnsi="宋体" w:cs="宋体"/>
          <w:b/>
          <w:snapToGrid w:val="0"/>
          <w:color w:val="auto"/>
          <w:spacing w:val="4"/>
          <w:kern w:val="0"/>
          <w:sz w:val="24"/>
          <w:szCs w:val="24"/>
          <w:highlight w:val="none"/>
        </w:rPr>
      </w:pPr>
      <w:r>
        <w:rPr>
          <w:rFonts w:hint="eastAsia" w:ascii="宋体" w:hAnsi="宋体" w:cs="宋体"/>
          <w:b/>
          <w:snapToGrid w:val="0"/>
          <w:color w:val="auto"/>
          <w:spacing w:val="4"/>
          <w:kern w:val="0"/>
          <w:sz w:val="24"/>
          <w:szCs w:val="24"/>
          <w:highlight w:val="none"/>
        </w:rPr>
        <w:t>本部分内容详见招标文件第七章工程量清单。</w:t>
      </w:r>
    </w:p>
    <w:p w14:paraId="036F3045">
      <w:pPr>
        <w:topLinePunct/>
        <w:adjustRightInd w:val="0"/>
        <w:snapToGrid w:val="0"/>
        <w:spacing w:line="360" w:lineRule="auto"/>
        <w:ind w:firstLine="496" w:firstLineChars="200"/>
        <w:rPr>
          <w:rFonts w:hint="eastAsia" w:ascii="宋体" w:hAnsi="宋体" w:cs="宋体"/>
          <w:snapToGrid w:val="0"/>
          <w:color w:val="auto"/>
          <w:spacing w:val="4"/>
          <w:kern w:val="0"/>
          <w:sz w:val="24"/>
          <w:szCs w:val="24"/>
          <w:highlight w:val="none"/>
        </w:rPr>
      </w:pPr>
    </w:p>
    <w:p w14:paraId="2F1FFA2D">
      <w:pPr>
        <w:outlineLvl w:val="2"/>
        <w:rPr>
          <w:rFonts w:hint="eastAsia" w:ascii="宋体" w:hAnsi="宋体" w:cs="宋体"/>
          <w:b/>
          <w:color w:val="auto"/>
          <w:sz w:val="24"/>
          <w:szCs w:val="24"/>
          <w:highlight w:val="none"/>
        </w:rPr>
      </w:pPr>
      <w:r>
        <w:rPr>
          <w:rFonts w:hint="eastAsia" w:ascii="宋体" w:hAnsi="宋体" w:cs="宋体"/>
          <w:color w:val="auto"/>
          <w:highlight w:val="none"/>
        </w:rPr>
        <w:br w:type="page"/>
      </w:r>
      <w:bookmarkStart w:id="85" w:name="_Toc1143"/>
      <w:r>
        <w:rPr>
          <w:rFonts w:hint="eastAsia" w:ascii="宋体" w:hAnsi="宋体" w:cs="宋体"/>
          <w:b/>
          <w:color w:val="auto"/>
          <w:sz w:val="24"/>
          <w:szCs w:val="24"/>
          <w:highlight w:val="none"/>
        </w:rPr>
        <w:t>格式三：参与编制经济标投标文件人员名单</w:t>
      </w:r>
      <w:bookmarkEnd w:id="85"/>
    </w:p>
    <w:p w14:paraId="555EC805">
      <w:pPr>
        <w:tabs>
          <w:tab w:val="left" w:pos="720"/>
        </w:tabs>
        <w:snapToGrid w:val="0"/>
        <w:spacing w:line="360" w:lineRule="auto"/>
        <w:jc w:val="center"/>
        <w:rPr>
          <w:rFonts w:hint="eastAsia" w:ascii="宋体" w:hAnsi="宋体" w:cs="宋体"/>
          <w:color w:val="auto"/>
          <w:sz w:val="24"/>
          <w:highlight w:val="none"/>
        </w:rPr>
      </w:pPr>
    </w:p>
    <w:p w14:paraId="42F98337">
      <w:pPr>
        <w:topLinePunct/>
        <w:adjustRightInd w:val="0"/>
        <w:snapToGrid w:val="0"/>
        <w:spacing w:before="156" w:after="156" w:line="360" w:lineRule="auto"/>
        <w:ind w:firstLine="617"/>
        <w:jc w:val="center"/>
        <w:rPr>
          <w:rFonts w:hint="eastAsia" w:ascii="宋体" w:hAnsi="宋体" w:cs="宋体"/>
          <w:b/>
          <w:bCs/>
          <w:snapToGrid w:val="0"/>
          <w:color w:val="auto"/>
          <w:spacing w:val="4"/>
          <w:kern w:val="0"/>
          <w:sz w:val="36"/>
          <w:szCs w:val="36"/>
          <w:highlight w:val="none"/>
        </w:rPr>
      </w:pPr>
      <w:r>
        <w:rPr>
          <w:rFonts w:hint="eastAsia" w:ascii="宋体" w:hAnsi="宋体" w:cs="宋体"/>
          <w:b/>
          <w:bCs/>
          <w:snapToGrid w:val="0"/>
          <w:color w:val="auto"/>
          <w:spacing w:val="4"/>
          <w:kern w:val="0"/>
          <w:sz w:val="36"/>
          <w:szCs w:val="36"/>
          <w:highlight w:val="none"/>
        </w:rPr>
        <w:t>参与编制经济标投标文件人员名单</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1452"/>
        <w:gridCol w:w="2463"/>
        <w:gridCol w:w="2361"/>
        <w:gridCol w:w="2433"/>
      </w:tblGrid>
      <w:tr w14:paraId="06E08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000" w:type="pct"/>
            <w:gridSpan w:val="5"/>
            <w:vAlign w:val="center"/>
          </w:tcPr>
          <w:p w14:paraId="106AFFB9">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投标单位名称</w:t>
            </w:r>
          </w:p>
        </w:tc>
      </w:tr>
      <w:tr w14:paraId="0120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629" w:type="pct"/>
            <w:vAlign w:val="center"/>
          </w:tcPr>
          <w:p w14:paraId="0B33EC43">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729" w:type="pct"/>
            <w:vAlign w:val="center"/>
          </w:tcPr>
          <w:p w14:paraId="232B495A">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1236" w:type="pct"/>
            <w:vAlign w:val="center"/>
          </w:tcPr>
          <w:p w14:paraId="485C060F">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所承担工作</w:t>
            </w:r>
          </w:p>
        </w:tc>
        <w:tc>
          <w:tcPr>
            <w:tcW w:w="1185" w:type="pct"/>
            <w:vAlign w:val="center"/>
          </w:tcPr>
          <w:p w14:paraId="711CB5E4">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身份证号码</w:t>
            </w:r>
          </w:p>
        </w:tc>
        <w:tc>
          <w:tcPr>
            <w:tcW w:w="1218" w:type="pct"/>
            <w:vAlign w:val="center"/>
          </w:tcPr>
          <w:p w14:paraId="00DBECC5">
            <w:pPr>
              <w:tabs>
                <w:tab w:val="left" w:pos="720"/>
              </w:tabs>
              <w:snapToGri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本人签名栏</w:t>
            </w:r>
          </w:p>
        </w:tc>
      </w:tr>
      <w:tr w14:paraId="3BDB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629" w:type="pct"/>
            <w:vAlign w:val="center"/>
          </w:tcPr>
          <w:p w14:paraId="411E6E19">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08C01DF3">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5F080799">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7EAF6DAD">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550761CB">
            <w:pPr>
              <w:tabs>
                <w:tab w:val="left" w:pos="720"/>
              </w:tabs>
              <w:snapToGrid w:val="0"/>
              <w:spacing w:line="360" w:lineRule="auto"/>
              <w:jc w:val="center"/>
              <w:rPr>
                <w:rFonts w:hint="eastAsia" w:ascii="宋体" w:hAnsi="宋体" w:cs="宋体"/>
                <w:color w:val="auto"/>
                <w:sz w:val="24"/>
                <w:highlight w:val="none"/>
              </w:rPr>
            </w:pPr>
          </w:p>
        </w:tc>
      </w:tr>
      <w:tr w14:paraId="7536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6B73D109">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18BEE51C">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6D43FE33">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5E220569">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62912BB6">
            <w:pPr>
              <w:tabs>
                <w:tab w:val="left" w:pos="720"/>
              </w:tabs>
              <w:snapToGrid w:val="0"/>
              <w:spacing w:line="360" w:lineRule="auto"/>
              <w:jc w:val="center"/>
              <w:rPr>
                <w:rFonts w:hint="eastAsia" w:ascii="宋体" w:hAnsi="宋体" w:cs="宋体"/>
                <w:color w:val="auto"/>
                <w:sz w:val="24"/>
                <w:highlight w:val="none"/>
              </w:rPr>
            </w:pPr>
          </w:p>
        </w:tc>
      </w:tr>
      <w:tr w14:paraId="3667C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08F9A326">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235ADD50">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21F29B21">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58CF830D">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01218C29">
            <w:pPr>
              <w:tabs>
                <w:tab w:val="left" w:pos="720"/>
              </w:tabs>
              <w:snapToGrid w:val="0"/>
              <w:spacing w:line="360" w:lineRule="auto"/>
              <w:jc w:val="center"/>
              <w:rPr>
                <w:rFonts w:hint="eastAsia" w:ascii="宋体" w:hAnsi="宋体" w:cs="宋体"/>
                <w:color w:val="auto"/>
                <w:sz w:val="24"/>
                <w:highlight w:val="none"/>
              </w:rPr>
            </w:pPr>
          </w:p>
        </w:tc>
      </w:tr>
      <w:tr w14:paraId="5213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79686051">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59F3427F">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48BB6E6F">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567FC88F">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23728173">
            <w:pPr>
              <w:tabs>
                <w:tab w:val="left" w:pos="720"/>
              </w:tabs>
              <w:snapToGrid w:val="0"/>
              <w:spacing w:line="360" w:lineRule="auto"/>
              <w:jc w:val="center"/>
              <w:rPr>
                <w:rFonts w:hint="eastAsia" w:ascii="宋体" w:hAnsi="宋体" w:cs="宋体"/>
                <w:color w:val="auto"/>
                <w:sz w:val="24"/>
                <w:highlight w:val="none"/>
              </w:rPr>
            </w:pPr>
          </w:p>
        </w:tc>
      </w:tr>
      <w:tr w14:paraId="3A25B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72CB3432">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53C1198F">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522B9ADE">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011DF74E">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2DA0678C">
            <w:pPr>
              <w:tabs>
                <w:tab w:val="left" w:pos="720"/>
              </w:tabs>
              <w:snapToGrid w:val="0"/>
              <w:spacing w:line="360" w:lineRule="auto"/>
              <w:jc w:val="center"/>
              <w:rPr>
                <w:rFonts w:hint="eastAsia" w:ascii="宋体" w:hAnsi="宋体" w:cs="宋体"/>
                <w:color w:val="auto"/>
                <w:sz w:val="24"/>
                <w:highlight w:val="none"/>
              </w:rPr>
            </w:pPr>
          </w:p>
        </w:tc>
      </w:tr>
      <w:tr w14:paraId="305E9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29" w:type="pct"/>
            <w:vAlign w:val="center"/>
          </w:tcPr>
          <w:p w14:paraId="158560B2">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56655405">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0974DB9C">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0114C8F6">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4D19DF5A">
            <w:pPr>
              <w:tabs>
                <w:tab w:val="left" w:pos="720"/>
              </w:tabs>
              <w:snapToGrid w:val="0"/>
              <w:spacing w:line="360" w:lineRule="auto"/>
              <w:jc w:val="center"/>
              <w:rPr>
                <w:rFonts w:hint="eastAsia" w:ascii="宋体" w:hAnsi="宋体" w:cs="宋体"/>
                <w:color w:val="auto"/>
                <w:sz w:val="24"/>
                <w:highlight w:val="none"/>
              </w:rPr>
            </w:pPr>
          </w:p>
        </w:tc>
      </w:tr>
      <w:tr w14:paraId="67774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29" w:type="pct"/>
            <w:vAlign w:val="center"/>
          </w:tcPr>
          <w:p w14:paraId="64B1EA80">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0AA71BEF">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01EE8D8B">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77415B64">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01F116F7">
            <w:pPr>
              <w:tabs>
                <w:tab w:val="left" w:pos="720"/>
              </w:tabs>
              <w:snapToGrid w:val="0"/>
              <w:spacing w:line="360" w:lineRule="auto"/>
              <w:jc w:val="center"/>
              <w:rPr>
                <w:rFonts w:hint="eastAsia" w:ascii="宋体" w:hAnsi="宋体" w:cs="宋体"/>
                <w:color w:val="auto"/>
                <w:sz w:val="24"/>
                <w:highlight w:val="none"/>
              </w:rPr>
            </w:pPr>
          </w:p>
        </w:tc>
      </w:tr>
      <w:tr w14:paraId="60DC1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629" w:type="pct"/>
            <w:vAlign w:val="center"/>
          </w:tcPr>
          <w:p w14:paraId="390E8B5E">
            <w:pPr>
              <w:tabs>
                <w:tab w:val="left" w:pos="720"/>
              </w:tabs>
              <w:snapToGrid w:val="0"/>
              <w:spacing w:line="360" w:lineRule="auto"/>
              <w:jc w:val="center"/>
              <w:rPr>
                <w:rFonts w:hint="eastAsia" w:ascii="宋体" w:hAnsi="宋体" w:cs="宋体"/>
                <w:color w:val="auto"/>
                <w:sz w:val="24"/>
                <w:highlight w:val="none"/>
              </w:rPr>
            </w:pPr>
          </w:p>
        </w:tc>
        <w:tc>
          <w:tcPr>
            <w:tcW w:w="729" w:type="pct"/>
            <w:vAlign w:val="center"/>
          </w:tcPr>
          <w:p w14:paraId="3C3FAED6">
            <w:pPr>
              <w:tabs>
                <w:tab w:val="left" w:pos="720"/>
              </w:tabs>
              <w:snapToGrid w:val="0"/>
              <w:spacing w:line="360" w:lineRule="auto"/>
              <w:jc w:val="center"/>
              <w:rPr>
                <w:rFonts w:hint="eastAsia" w:ascii="宋体" w:hAnsi="宋体" w:cs="宋体"/>
                <w:color w:val="auto"/>
                <w:sz w:val="24"/>
                <w:highlight w:val="none"/>
              </w:rPr>
            </w:pPr>
          </w:p>
        </w:tc>
        <w:tc>
          <w:tcPr>
            <w:tcW w:w="1236" w:type="pct"/>
            <w:vAlign w:val="center"/>
          </w:tcPr>
          <w:p w14:paraId="5F8F183B">
            <w:pPr>
              <w:tabs>
                <w:tab w:val="left" w:pos="720"/>
              </w:tabs>
              <w:snapToGrid w:val="0"/>
              <w:spacing w:line="360" w:lineRule="auto"/>
              <w:jc w:val="center"/>
              <w:rPr>
                <w:rFonts w:hint="eastAsia" w:ascii="宋体" w:hAnsi="宋体" w:cs="宋体"/>
                <w:color w:val="auto"/>
                <w:sz w:val="24"/>
                <w:highlight w:val="none"/>
              </w:rPr>
            </w:pPr>
          </w:p>
        </w:tc>
        <w:tc>
          <w:tcPr>
            <w:tcW w:w="1185" w:type="pct"/>
            <w:vAlign w:val="center"/>
          </w:tcPr>
          <w:p w14:paraId="590CE942">
            <w:pPr>
              <w:tabs>
                <w:tab w:val="left" w:pos="720"/>
              </w:tabs>
              <w:snapToGrid w:val="0"/>
              <w:spacing w:line="360" w:lineRule="auto"/>
              <w:jc w:val="center"/>
              <w:rPr>
                <w:rFonts w:hint="eastAsia" w:ascii="宋体" w:hAnsi="宋体" w:cs="宋体"/>
                <w:color w:val="auto"/>
                <w:sz w:val="24"/>
                <w:highlight w:val="none"/>
              </w:rPr>
            </w:pPr>
          </w:p>
        </w:tc>
        <w:tc>
          <w:tcPr>
            <w:tcW w:w="1218" w:type="pct"/>
            <w:vAlign w:val="center"/>
          </w:tcPr>
          <w:p w14:paraId="11DF8616">
            <w:pPr>
              <w:tabs>
                <w:tab w:val="left" w:pos="720"/>
              </w:tabs>
              <w:snapToGrid w:val="0"/>
              <w:spacing w:line="360" w:lineRule="auto"/>
              <w:jc w:val="center"/>
              <w:rPr>
                <w:rFonts w:hint="eastAsia" w:ascii="宋体" w:hAnsi="宋体" w:cs="宋体"/>
                <w:color w:val="auto"/>
                <w:sz w:val="24"/>
                <w:highlight w:val="none"/>
              </w:rPr>
            </w:pPr>
          </w:p>
        </w:tc>
      </w:tr>
    </w:tbl>
    <w:p w14:paraId="7707A89A">
      <w:pPr>
        <w:pStyle w:val="4"/>
        <w:spacing w:after="0"/>
        <w:ind w:firstLine="0"/>
        <w:jc w:val="left"/>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注：请填写参与编制经济标书的所有人员名单，如：编制各种专业工程量清单投标报价、负责清样校对（如有）、负责打印及复印（如有）等。 </w:t>
      </w:r>
    </w:p>
    <w:p w14:paraId="4B1C5022">
      <w:pPr>
        <w:autoSpaceDE w:val="0"/>
        <w:autoSpaceDN w:val="0"/>
        <w:adjustRightInd w:val="0"/>
        <w:outlineLvl w:val="2"/>
        <w:rPr>
          <w:rFonts w:hint="eastAsia" w:ascii="宋体" w:hAnsi="宋体" w:cs="宋体"/>
          <w:b/>
          <w:color w:val="auto"/>
          <w:sz w:val="24"/>
          <w:szCs w:val="24"/>
          <w:highlight w:val="none"/>
        </w:rPr>
      </w:pPr>
      <w:r>
        <w:rPr>
          <w:rFonts w:hint="eastAsia" w:ascii="宋体" w:hAnsi="宋体" w:cs="宋体"/>
          <w:color w:val="auto"/>
          <w:sz w:val="24"/>
          <w:highlight w:val="none"/>
        </w:rPr>
        <w:br w:type="page"/>
      </w:r>
      <w:bookmarkStart w:id="86" w:name="_Toc15104"/>
      <w:r>
        <w:rPr>
          <w:rFonts w:hint="eastAsia" w:ascii="宋体" w:hAnsi="宋体" w:cs="宋体"/>
          <w:b/>
          <w:color w:val="auto"/>
          <w:sz w:val="24"/>
          <w:szCs w:val="24"/>
          <w:highlight w:val="none"/>
        </w:rPr>
        <w:t>格式四：对投标文件编制的承诺</w:t>
      </w:r>
      <w:bookmarkEnd w:id="86"/>
    </w:p>
    <w:p w14:paraId="3B101510">
      <w:pPr>
        <w:autoSpaceDE w:val="0"/>
        <w:autoSpaceDN w:val="0"/>
        <w:adjustRightInd w:val="0"/>
        <w:rPr>
          <w:rFonts w:hint="eastAsia" w:ascii="宋体" w:hAnsi="宋体" w:cs="宋体"/>
          <w:color w:val="auto"/>
          <w:szCs w:val="21"/>
          <w:highlight w:val="none"/>
        </w:rPr>
      </w:pPr>
    </w:p>
    <w:p w14:paraId="3CB6F63E">
      <w:pPr>
        <w:spacing w:line="360" w:lineRule="auto"/>
        <w:jc w:val="center"/>
        <w:rPr>
          <w:rFonts w:hint="eastAsia" w:ascii="宋体" w:hAnsi="宋体" w:cs="宋体"/>
          <w:color w:val="auto"/>
          <w:kern w:val="0"/>
          <w:sz w:val="32"/>
          <w:szCs w:val="32"/>
          <w:highlight w:val="none"/>
        </w:rPr>
      </w:pPr>
      <w:r>
        <w:rPr>
          <w:rFonts w:hint="eastAsia" w:ascii="宋体" w:hAnsi="宋体" w:cs="宋体"/>
          <w:b/>
          <w:color w:val="auto"/>
          <w:kern w:val="0"/>
          <w:sz w:val="32"/>
          <w:szCs w:val="32"/>
          <w:highlight w:val="none"/>
        </w:rPr>
        <w:t>对投标文件编制的承诺</w:t>
      </w:r>
    </w:p>
    <w:p w14:paraId="16BD3585">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本公司授权</w:t>
      </w:r>
      <w:r>
        <w:rPr>
          <w:rFonts w:hint="eastAsia" w:ascii="宋体" w:hAnsi="宋体" w:cs="宋体"/>
          <w:color w:val="auto"/>
          <w:kern w:val="0"/>
          <w:sz w:val="24"/>
          <w:szCs w:val="20"/>
          <w:highlight w:val="none"/>
          <w:u w:val="single"/>
        </w:rPr>
        <w:t xml:space="preserve">         （身份证号：               ）</w:t>
      </w:r>
      <w:r>
        <w:rPr>
          <w:rFonts w:hint="eastAsia" w:ascii="宋体" w:hAnsi="宋体" w:cs="宋体"/>
          <w:color w:val="auto"/>
          <w:kern w:val="0"/>
          <w:sz w:val="24"/>
          <w:szCs w:val="20"/>
          <w:highlight w:val="none"/>
        </w:rPr>
        <w:t>负责对投标文件的编制及内容进行解释、说明，并承诺以下事项：</w:t>
      </w:r>
    </w:p>
    <w:p w14:paraId="651D9EF1">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1.被授权人清楚投标文件编制的具体情况，包括技术方案文件、工程量清单、以及投标文件的加密打包的理解；</w:t>
      </w:r>
    </w:p>
    <w:p w14:paraId="4E56C4D4">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2.在本项目开标至评标结束前，努力确保被授权人在项目评标所在地附近；</w:t>
      </w:r>
    </w:p>
    <w:p w14:paraId="11CDC426">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3.从评标委员会要求澄清起二小时内，被授权人应如实地书面澄清。</w:t>
      </w:r>
    </w:p>
    <w:p w14:paraId="032A33FB">
      <w:pPr>
        <w:spacing w:line="360" w:lineRule="auto"/>
        <w:ind w:left="-2" w:leftChars="-1" w:firstLine="540" w:firstLineChars="225"/>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如由于未遵守上述承诺内容之一导致无法进行澄清的，我公司认可和接受评标委员会作出的评审结论。                                 </w:t>
      </w:r>
    </w:p>
    <w:p w14:paraId="20F4D9F9">
      <w:pPr>
        <w:spacing w:line="360" w:lineRule="auto"/>
        <w:ind w:firstLine="360" w:firstLineChars="15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 xml:space="preserve"> </w:t>
      </w:r>
    </w:p>
    <w:p w14:paraId="2B756C0F">
      <w:pPr>
        <w:spacing w:line="360" w:lineRule="auto"/>
        <w:ind w:firstLine="480" w:firstLineChars="200"/>
        <w:rPr>
          <w:rFonts w:hint="eastAsia" w:ascii="宋体" w:hAnsi="宋体" w:cs="宋体"/>
          <w:color w:val="auto"/>
          <w:kern w:val="0"/>
          <w:sz w:val="24"/>
          <w:szCs w:val="20"/>
          <w:highlight w:val="none"/>
        </w:rPr>
      </w:pPr>
      <w:r>
        <w:rPr>
          <w:rFonts w:hint="eastAsia" w:ascii="宋体" w:hAnsi="宋体" w:cs="宋体"/>
          <w:color w:val="auto"/>
          <w:kern w:val="0"/>
          <w:sz w:val="24"/>
          <w:szCs w:val="20"/>
          <w:highlight w:val="none"/>
        </w:rPr>
        <w:t>附件：《投标文件编制情况》</w:t>
      </w:r>
    </w:p>
    <w:p w14:paraId="7BC1698A">
      <w:pPr>
        <w:widowControl/>
        <w:spacing w:line="360" w:lineRule="exact"/>
        <w:ind w:firstLine="1980" w:firstLineChars="900"/>
        <w:jc w:val="left"/>
        <w:rPr>
          <w:rFonts w:hint="eastAsia" w:ascii="宋体" w:hAnsi="宋体" w:cs="宋体"/>
          <w:color w:val="auto"/>
          <w:kern w:val="0"/>
          <w:sz w:val="22"/>
          <w:highlight w:val="none"/>
        </w:rPr>
      </w:pPr>
    </w:p>
    <w:p w14:paraId="4F9B4293">
      <w:pPr>
        <w:widowControl/>
        <w:spacing w:line="360" w:lineRule="exact"/>
        <w:ind w:firstLine="2160" w:firstLineChars="900"/>
        <w:jc w:val="center"/>
        <w:rPr>
          <w:rFonts w:hint="eastAsia" w:ascii="宋体" w:hAnsi="宋体" w:cs="宋体"/>
          <w:color w:val="auto"/>
          <w:highlight w:val="none"/>
        </w:rPr>
      </w:pPr>
      <w:r>
        <w:rPr>
          <w:rFonts w:hint="eastAsia" w:ascii="宋体" w:hAnsi="宋体" w:cs="宋体"/>
          <w:color w:val="auto"/>
          <w:kern w:val="0"/>
          <w:sz w:val="24"/>
          <w:szCs w:val="24"/>
          <w:highlight w:val="none"/>
        </w:rPr>
        <w:t>投标人名称：</w:t>
      </w:r>
      <w:r>
        <w:rPr>
          <w:rFonts w:hint="eastAsia" w:ascii="宋体" w:hAnsi="宋体" w:cs="宋体"/>
          <w:color w:val="auto"/>
          <w:kern w:val="0"/>
          <w:sz w:val="24"/>
          <w:szCs w:val="24"/>
          <w:highlight w:val="none"/>
          <w:u w:val="single"/>
        </w:rPr>
        <w:t xml:space="preserve">                  </w:t>
      </w:r>
    </w:p>
    <w:p w14:paraId="7A054EDE">
      <w:pPr>
        <w:spacing w:line="360" w:lineRule="auto"/>
        <w:ind w:firstLine="4440" w:firstLineChars="1850"/>
        <w:jc w:val="center"/>
        <w:rPr>
          <w:rFonts w:hint="eastAsia" w:ascii="宋体" w:hAnsi="宋体" w:cs="宋体"/>
          <w:color w:val="auto"/>
          <w:sz w:val="24"/>
          <w:szCs w:val="24"/>
          <w:highlight w:val="none"/>
        </w:rPr>
      </w:pPr>
      <w:r>
        <w:rPr>
          <w:rFonts w:hint="eastAsia" w:ascii="宋体" w:hAnsi="宋体" w:cs="宋体"/>
          <w:color w:val="auto"/>
          <w:kern w:val="0"/>
          <w:sz w:val="24"/>
          <w:szCs w:val="24"/>
          <w:highlight w:val="none"/>
        </w:rPr>
        <w:t xml:space="preserve">        日期：      年   月   日</w:t>
      </w:r>
      <w:r>
        <w:rPr>
          <w:rFonts w:hint="eastAsia" w:ascii="宋体" w:hAnsi="宋体" w:cs="宋体"/>
          <w:color w:val="auto"/>
          <w:sz w:val="24"/>
          <w:szCs w:val="24"/>
          <w:highlight w:val="none"/>
        </w:rPr>
        <w:t xml:space="preserve">    </w:t>
      </w:r>
    </w:p>
    <w:p w14:paraId="1AC494F6">
      <w:pPr>
        <w:spacing w:line="360" w:lineRule="auto"/>
        <w:ind w:firstLine="643" w:firstLineChars="200"/>
        <w:jc w:val="center"/>
        <w:rPr>
          <w:rFonts w:hint="eastAsia" w:ascii="宋体" w:hAnsi="宋体" w:cs="宋体"/>
          <w:b/>
          <w:color w:val="auto"/>
          <w:kern w:val="0"/>
          <w:sz w:val="32"/>
          <w:szCs w:val="32"/>
          <w:highlight w:val="none"/>
        </w:rPr>
      </w:pPr>
    </w:p>
    <w:p w14:paraId="6A33EFDB">
      <w:pPr>
        <w:spacing w:line="360" w:lineRule="auto"/>
        <w:ind w:firstLine="643" w:firstLineChars="200"/>
        <w:jc w:val="center"/>
        <w:rPr>
          <w:rFonts w:hint="eastAsia" w:ascii="宋体" w:hAnsi="宋体" w:cs="宋体"/>
          <w:color w:val="auto"/>
          <w:kern w:val="0"/>
          <w:sz w:val="18"/>
          <w:szCs w:val="18"/>
          <w:highlight w:val="none"/>
        </w:rPr>
      </w:pPr>
      <w:r>
        <w:rPr>
          <w:rFonts w:hint="eastAsia" w:ascii="宋体" w:hAnsi="宋体" w:cs="宋体"/>
          <w:b/>
          <w:color w:val="auto"/>
          <w:kern w:val="0"/>
          <w:sz w:val="32"/>
          <w:szCs w:val="32"/>
          <w:highlight w:val="none"/>
        </w:rPr>
        <w:t>投标文件编制情况</w:t>
      </w:r>
    </w:p>
    <w:tbl>
      <w:tblPr>
        <w:tblStyle w:val="42"/>
        <w:tblW w:w="5000" w:type="pct"/>
        <w:tblInd w:w="0" w:type="dxa"/>
        <w:tblLayout w:type="autofit"/>
        <w:tblCellMar>
          <w:top w:w="0" w:type="dxa"/>
          <w:left w:w="108" w:type="dxa"/>
          <w:bottom w:w="0" w:type="dxa"/>
          <w:right w:w="108" w:type="dxa"/>
        </w:tblCellMar>
      </w:tblPr>
      <w:tblGrid>
        <w:gridCol w:w="9962"/>
      </w:tblGrid>
      <w:tr w14:paraId="1CE022B9">
        <w:tblPrEx>
          <w:tblCellMar>
            <w:top w:w="0" w:type="dxa"/>
            <w:left w:w="108" w:type="dxa"/>
            <w:bottom w:w="0" w:type="dxa"/>
            <w:right w:w="108" w:type="dxa"/>
          </w:tblCellMar>
        </w:tblPrEx>
        <w:trPr>
          <w:trHeight w:val="2819" w:hRule="atLeast"/>
        </w:trPr>
        <w:tc>
          <w:tcPr>
            <w:tcW w:w="5000" w:type="pct"/>
          </w:tcPr>
          <w:p w14:paraId="71415269">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1.投标文件报价编制方式: □自行编制的，编制的负责人：</w:t>
            </w:r>
            <w:r>
              <w:rPr>
                <w:rFonts w:hint="eastAsia" w:ascii="宋体" w:hAnsi="宋体" w:cs="宋体"/>
                <w:color w:val="auto"/>
                <w:sz w:val="24"/>
                <w:szCs w:val="20"/>
                <w:highlight w:val="none"/>
                <w:u w:val="single"/>
              </w:rPr>
              <w:t xml:space="preserve"> （盖造价工程师执业专用章或全国建设工程造价员章，执业单位应与投标人一致） </w:t>
            </w:r>
            <w:r>
              <w:rPr>
                <w:rFonts w:hint="eastAsia" w:ascii="宋体" w:hAnsi="宋体" w:cs="宋体"/>
                <w:color w:val="auto"/>
                <w:sz w:val="24"/>
                <w:szCs w:val="20"/>
                <w:highlight w:val="none"/>
              </w:rPr>
              <w:t>。□委托编制的，受委托单位</w:t>
            </w:r>
            <w:r>
              <w:rPr>
                <w:rFonts w:hint="eastAsia" w:ascii="宋体" w:hAnsi="宋体" w:cs="宋体"/>
                <w:color w:val="auto"/>
                <w:sz w:val="24"/>
                <w:szCs w:val="20"/>
                <w:highlight w:val="none"/>
                <w:u w:val="single"/>
              </w:rPr>
              <w:t xml:space="preserve">                    </w:t>
            </w:r>
            <w:r>
              <w:rPr>
                <w:rFonts w:hint="eastAsia" w:ascii="宋体" w:hAnsi="宋体" w:cs="宋体"/>
                <w:color w:val="auto"/>
                <w:sz w:val="24"/>
                <w:szCs w:val="20"/>
                <w:highlight w:val="none"/>
              </w:rPr>
              <w:t>，编制的负责人：</w:t>
            </w:r>
            <w:r>
              <w:rPr>
                <w:rFonts w:hint="eastAsia" w:ascii="宋体" w:hAnsi="宋体" w:cs="宋体"/>
                <w:color w:val="auto"/>
                <w:sz w:val="24"/>
                <w:szCs w:val="20"/>
                <w:highlight w:val="none"/>
                <w:u w:val="single"/>
              </w:rPr>
              <w:t xml:space="preserve"> （盖造价工程师执业专用章或全国建设工程造价员章，执业单位应与受委托单位一致） </w:t>
            </w:r>
            <w:r>
              <w:rPr>
                <w:rFonts w:hint="eastAsia" w:ascii="宋体" w:hAnsi="宋体" w:cs="宋体"/>
                <w:color w:val="auto"/>
                <w:sz w:val="24"/>
                <w:szCs w:val="20"/>
                <w:highlight w:val="none"/>
              </w:rPr>
              <w:t>。</w:t>
            </w:r>
          </w:p>
          <w:p w14:paraId="050897C1">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2.投标文件加密打包的电脑情况投标文件加密打包的电脑    </w:t>
            </w:r>
          </w:p>
          <w:p w14:paraId="4FFBD62A">
            <w:pPr>
              <w:spacing w:line="360" w:lineRule="auto"/>
              <w:ind w:firstLine="480" w:firstLineChars="20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自有    □      外包    □     其他    □</w:t>
            </w:r>
          </w:p>
          <w:p w14:paraId="27E0D05C">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电脑类型</w:t>
            </w:r>
          </w:p>
          <w:p w14:paraId="5C07F130">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电脑所属单位</w:t>
            </w:r>
          </w:p>
          <w:p w14:paraId="6A37EF7E">
            <w:pPr>
              <w:spacing w:line="360" w:lineRule="auto"/>
              <w:rPr>
                <w:rFonts w:hint="eastAsia" w:ascii="宋体" w:hAnsi="宋体" w:cs="宋体"/>
                <w:color w:val="auto"/>
                <w:sz w:val="24"/>
                <w:szCs w:val="20"/>
                <w:highlight w:val="none"/>
              </w:rPr>
            </w:pPr>
            <w:r>
              <w:rPr>
                <w:rFonts w:hint="eastAsia" w:ascii="宋体" w:hAnsi="宋体" w:cs="宋体"/>
                <w:color w:val="auto"/>
                <w:sz w:val="24"/>
                <w:szCs w:val="20"/>
                <w:highlight w:val="none"/>
              </w:rPr>
              <w:t>电脑所在地址        （如××市××区(县) ××街（路）××号××大厦××房）</w:t>
            </w:r>
          </w:p>
        </w:tc>
      </w:tr>
    </w:tbl>
    <w:p w14:paraId="3FD00BC7">
      <w:pPr>
        <w:topLinePunct/>
        <w:adjustRightInd w:val="0"/>
        <w:snapToGrid w:val="0"/>
        <w:spacing w:line="360" w:lineRule="auto"/>
        <w:outlineLvl w:val="1"/>
        <w:rPr>
          <w:rFonts w:hint="eastAsia" w:ascii="宋体" w:hAnsi="宋体" w:cs="宋体"/>
          <w:b/>
          <w:snapToGrid w:val="0"/>
          <w:color w:val="auto"/>
          <w:spacing w:val="4"/>
          <w:kern w:val="0"/>
          <w:sz w:val="30"/>
          <w:szCs w:val="30"/>
          <w:highlight w:val="none"/>
        </w:rPr>
      </w:pPr>
      <w:r>
        <w:rPr>
          <w:rFonts w:hint="eastAsia" w:ascii="宋体" w:hAnsi="宋体" w:cs="宋体"/>
          <w:color w:val="auto"/>
          <w:sz w:val="24"/>
          <w:szCs w:val="24"/>
          <w:highlight w:val="none"/>
        </w:rPr>
        <w:br w:type="page"/>
      </w:r>
      <w:bookmarkStart w:id="87" w:name="_Toc62134868"/>
      <w:bookmarkStart w:id="88" w:name="_Toc14026"/>
      <w:bookmarkStart w:id="89" w:name="_Toc62134867"/>
      <w:r>
        <w:rPr>
          <w:rFonts w:hint="eastAsia" w:ascii="宋体" w:hAnsi="宋体" w:cs="宋体"/>
          <w:b/>
          <w:snapToGrid w:val="0"/>
          <w:color w:val="auto"/>
          <w:spacing w:val="4"/>
          <w:kern w:val="0"/>
          <w:sz w:val="30"/>
          <w:szCs w:val="30"/>
          <w:highlight w:val="none"/>
          <w:lang w:val="en-US" w:eastAsia="zh-CN"/>
        </w:rPr>
        <w:t>三</w:t>
      </w:r>
      <w:r>
        <w:rPr>
          <w:rFonts w:hint="eastAsia" w:ascii="宋体" w:hAnsi="宋体" w:cs="宋体"/>
          <w:b/>
          <w:snapToGrid w:val="0"/>
          <w:color w:val="auto"/>
          <w:spacing w:val="4"/>
          <w:kern w:val="0"/>
          <w:sz w:val="30"/>
          <w:szCs w:val="30"/>
          <w:highlight w:val="none"/>
        </w:rPr>
        <w:t>、</w:t>
      </w:r>
      <w:r>
        <w:rPr>
          <w:rFonts w:hint="eastAsia" w:ascii="宋体" w:hAnsi="宋体" w:cs="宋体"/>
          <w:b/>
          <w:snapToGrid w:val="0"/>
          <w:color w:val="auto"/>
          <w:spacing w:val="4"/>
          <w:kern w:val="0"/>
          <w:sz w:val="30"/>
          <w:szCs w:val="30"/>
          <w:highlight w:val="none"/>
          <w:lang w:val="en-US" w:eastAsia="zh-CN"/>
        </w:rPr>
        <w:t>定</w:t>
      </w:r>
      <w:r>
        <w:rPr>
          <w:rFonts w:hint="eastAsia" w:ascii="宋体" w:hAnsi="宋体" w:cs="宋体"/>
          <w:b/>
          <w:snapToGrid w:val="0"/>
          <w:color w:val="auto"/>
          <w:spacing w:val="4"/>
          <w:kern w:val="0"/>
          <w:sz w:val="30"/>
          <w:szCs w:val="30"/>
          <w:highlight w:val="none"/>
        </w:rPr>
        <w:t>标文件格式</w:t>
      </w:r>
    </w:p>
    <w:p w14:paraId="6A7415EC">
      <w:pPr>
        <w:widowControl/>
        <w:spacing w:before="100" w:beforeAutospacing="1" w:after="100" w:afterAutospacing="1"/>
        <w:jc w:val="left"/>
        <w:outlineLvl w:val="2"/>
        <w:rPr>
          <w:b/>
          <w:color w:val="auto"/>
          <w:kern w:val="0"/>
          <w:sz w:val="24"/>
          <w:szCs w:val="24"/>
          <w:highlight w:val="none"/>
        </w:rPr>
      </w:pPr>
      <w:r>
        <w:rPr>
          <w:rFonts w:hint="eastAsia"/>
          <w:b/>
          <w:color w:val="auto"/>
          <w:kern w:val="0"/>
          <w:sz w:val="24"/>
          <w:szCs w:val="24"/>
          <w:highlight w:val="none"/>
        </w:rPr>
        <w:t>格式一：</w:t>
      </w:r>
      <w:r>
        <w:rPr>
          <w:rFonts w:hint="eastAsia"/>
          <w:b/>
          <w:color w:val="auto"/>
          <w:kern w:val="0"/>
          <w:sz w:val="24"/>
          <w:szCs w:val="24"/>
          <w:highlight w:val="none"/>
          <w:lang w:val="en-US" w:eastAsia="zh-CN"/>
        </w:rPr>
        <w:t>定标文件</w:t>
      </w:r>
      <w:r>
        <w:rPr>
          <w:rFonts w:hint="eastAsia"/>
          <w:b/>
          <w:color w:val="auto"/>
          <w:kern w:val="0"/>
          <w:sz w:val="24"/>
          <w:szCs w:val="24"/>
          <w:highlight w:val="none"/>
        </w:rPr>
        <w:t>封面</w:t>
      </w:r>
    </w:p>
    <w:p w14:paraId="26791FBF">
      <w:pPr>
        <w:topLinePunct/>
        <w:adjustRightInd w:val="0"/>
        <w:snapToGrid w:val="0"/>
        <w:spacing w:line="360" w:lineRule="auto"/>
        <w:ind w:firstLine="496" w:firstLineChars="200"/>
        <w:rPr>
          <w:snapToGrid w:val="0"/>
          <w:color w:val="auto"/>
          <w:spacing w:val="4"/>
          <w:kern w:val="0"/>
          <w:sz w:val="24"/>
          <w:szCs w:val="24"/>
          <w:highlight w:val="none"/>
        </w:rPr>
      </w:pPr>
    </w:p>
    <w:p w14:paraId="0EE77BD3">
      <w:pPr>
        <w:topLinePunct/>
        <w:adjustRightInd w:val="0"/>
        <w:snapToGrid w:val="0"/>
        <w:spacing w:line="360" w:lineRule="auto"/>
        <w:ind w:firstLine="496" w:firstLineChars="200"/>
        <w:rPr>
          <w:snapToGrid w:val="0"/>
          <w:color w:val="auto"/>
          <w:spacing w:val="4"/>
          <w:kern w:val="0"/>
          <w:sz w:val="24"/>
          <w:szCs w:val="24"/>
          <w:highlight w:val="none"/>
        </w:rPr>
      </w:pPr>
    </w:p>
    <w:p w14:paraId="42DF26AB">
      <w:pPr>
        <w:topLinePunct/>
        <w:adjustRightInd w:val="0"/>
        <w:snapToGrid w:val="0"/>
        <w:spacing w:line="360" w:lineRule="auto"/>
        <w:ind w:firstLine="496" w:firstLineChars="200"/>
        <w:rPr>
          <w:snapToGrid w:val="0"/>
          <w:color w:val="auto"/>
          <w:spacing w:val="4"/>
          <w:kern w:val="0"/>
          <w:sz w:val="24"/>
          <w:szCs w:val="24"/>
          <w:highlight w:val="none"/>
        </w:rPr>
      </w:pPr>
    </w:p>
    <w:p w14:paraId="70C05D85">
      <w:pPr>
        <w:topLinePunct/>
        <w:adjustRightInd w:val="0"/>
        <w:snapToGrid w:val="0"/>
        <w:spacing w:line="360" w:lineRule="auto"/>
        <w:jc w:val="center"/>
        <w:rPr>
          <w:snapToGrid w:val="0"/>
          <w:color w:val="auto"/>
          <w:spacing w:val="4"/>
          <w:kern w:val="0"/>
          <w:sz w:val="36"/>
          <w:szCs w:val="36"/>
          <w:highlight w:val="none"/>
          <w:u w:val="single"/>
        </w:rPr>
      </w:pPr>
      <w:r>
        <w:rPr>
          <w:rFonts w:hint="eastAsia"/>
          <w:snapToGrid w:val="0"/>
          <w:color w:val="auto"/>
          <w:spacing w:val="4"/>
          <w:kern w:val="0"/>
          <w:sz w:val="36"/>
          <w:szCs w:val="36"/>
          <w:highlight w:val="none"/>
          <w:u w:val="single"/>
        </w:rPr>
        <w:t xml:space="preserve">[工程名称] </w:t>
      </w:r>
    </w:p>
    <w:p w14:paraId="2447A6F4">
      <w:pPr>
        <w:topLinePunct/>
        <w:adjustRightInd w:val="0"/>
        <w:snapToGrid w:val="0"/>
        <w:spacing w:line="360" w:lineRule="auto"/>
        <w:ind w:firstLine="496" w:firstLineChars="200"/>
        <w:rPr>
          <w:snapToGrid w:val="0"/>
          <w:color w:val="auto"/>
          <w:spacing w:val="4"/>
          <w:kern w:val="0"/>
          <w:sz w:val="24"/>
          <w:szCs w:val="24"/>
          <w:highlight w:val="none"/>
        </w:rPr>
      </w:pPr>
    </w:p>
    <w:p w14:paraId="09A8B2D8">
      <w:pPr>
        <w:topLinePunct/>
        <w:adjustRightInd w:val="0"/>
        <w:snapToGrid w:val="0"/>
        <w:spacing w:line="360" w:lineRule="auto"/>
        <w:ind w:firstLine="496" w:firstLineChars="200"/>
        <w:rPr>
          <w:snapToGrid w:val="0"/>
          <w:color w:val="auto"/>
          <w:spacing w:val="4"/>
          <w:kern w:val="0"/>
          <w:sz w:val="24"/>
          <w:szCs w:val="24"/>
          <w:highlight w:val="none"/>
        </w:rPr>
      </w:pPr>
    </w:p>
    <w:p w14:paraId="6BB005C8">
      <w:pPr>
        <w:topLinePunct/>
        <w:adjustRightInd w:val="0"/>
        <w:snapToGrid w:val="0"/>
        <w:spacing w:line="360" w:lineRule="auto"/>
        <w:ind w:firstLine="496" w:firstLineChars="200"/>
        <w:rPr>
          <w:snapToGrid w:val="0"/>
          <w:color w:val="auto"/>
          <w:spacing w:val="4"/>
          <w:kern w:val="0"/>
          <w:sz w:val="24"/>
          <w:szCs w:val="24"/>
          <w:highlight w:val="none"/>
        </w:rPr>
      </w:pPr>
    </w:p>
    <w:p w14:paraId="1480D4B9">
      <w:pPr>
        <w:topLinePunct/>
        <w:adjustRightInd w:val="0"/>
        <w:snapToGrid w:val="0"/>
        <w:spacing w:line="360" w:lineRule="auto"/>
        <w:ind w:firstLine="496" w:firstLineChars="200"/>
        <w:rPr>
          <w:snapToGrid w:val="0"/>
          <w:color w:val="auto"/>
          <w:spacing w:val="4"/>
          <w:kern w:val="0"/>
          <w:sz w:val="24"/>
          <w:szCs w:val="24"/>
          <w:highlight w:val="none"/>
        </w:rPr>
      </w:pPr>
    </w:p>
    <w:p w14:paraId="70E77371">
      <w:pPr>
        <w:topLinePunct/>
        <w:adjustRightInd w:val="0"/>
        <w:snapToGrid w:val="0"/>
        <w:spacing w:line="360" w:lineRule="auto"/>
        <w:jc w:val="center"/>
        <w:rPr>
          <w:snapToGrid w:val="0"/>
          <w:color w:val="auto"/>
          <w:spacing w:val="4"/>
          <w:kern w:val="0"/>
          <w:sz w:val="84"/>
          <w:szCs w:val="84"/>
          <w:highlight w:val="none"/>
        </w:rPr>
      </w:pPr>
      <w:r>
        <w:rPr>
          <w:rFonts w:hint="eastAsia"/>
          <w:snapToGrid w:val="0"/>
          <w:color w:val="auto"/>
          <w:spacing w:val="4"/>
          <w:kern w:val="0"/>
          <w:sz w:val="84"/>
          <w:szCs w:val="84"/>
          <w:highlight w:val="none"/>
          <w:lang w:val="en-US" w:eastAsia="zh-CN"/>
        </w:rPr>
        <w:t>定</w:t>
      </w:r>
      <w:r>
        <w:rPr>
          <w:rFonts w:hint="eastAsia"/>
          <w:snapToGrid w:val="0"/>
          <w:color w:val="auto"/>
          <w:spacing w:val="4"/>
          <w:kern w:val="0"/>
          <w:sz w:val="84"/>
          <w:szCs w:val="84"/>
          <w:highlight w:val="none"/>
        </w:rPr>
        <w:t>标文件</w:t>
      </w:r>
    </w:p>
    <w:p w14:paraId="043E7290">
      <w:pPr>
        <w:topLinePunct/>
        <w:adjustRightInd w:val="0"/>
        <w:snapToGrid w:val="0"/>
        <w:spacing w:line="360" w:lineRule="auto"/>
        <w:ind w:firstLine="496" w:firstLineChars="200"/>
        <w:rPr>
          <w:snapToGrid w:val="0"/>
          <w:color w:val="auto"/>
          <w:spacing w:val="4"/>
          <w:kern w:val="0"/>
          <w:sz w:val="24"/>
          <w:szCs w:val="24"/>
          <w:highlight w:val="none"/>
        </w:rPr>
      </w:pPr>
    </w:p>
    <w:p w14:paraId="30AA1D5D">
      <w:pPr>
        <w:topLinePunct/>
        <w:adjustRightInd w:val="0"/>
        <w:snapToGrid w:val="0"/>
        <w:spacing w:line="360" w:lineRule="auto"/>
        <w:ind w:firstLine="496" w:firstLineChars="200"/>
        <w:rPr>
          <w:snapToGrid w:val="0"/>
          <w:color w:val="auto"/>
          <w:spacing w:val="4"/>
          <w:kern w:val="0"/>
          <w:sz w:val="24"/>
          <w:szCs w:val="24"/>
          <w:highlight w:val="none"/>
        </w:rPr>
      </w:pPr>
    </w:p>
    <w:p w14:paraId="30CB02AF">
      <w:pPr>
        <w:topLinePunct/>
        <w:adjustRightInd w:val="0"/>
        <w:snapToGrid w:val="0"/>
        <w:spacing w:line="360" w:lineRule="auto"/>
        <w:ind w:firstLine="496" w:firstLineChars="200"/>
        <w:rPr>
          <w:snapToGrid w:val="0"/>
          <w:color w:val="auto"/>
          <w:spacing w:val="4"/>
          <w:kern w:val="0"/>
          <w:sz w:val="24"/>
          <w:szCs w:val="24"/>
          <w:highlight w:val="none"/>
        </w:rPr>
      </w:pPr>
    </w:p>
    <w:p w14:paraId="4C3A7D2A">
      <w:pPr>
        <w:topLinePunct/>
        <w:adjustRightInd w:val="0"/>
        <w:snapToGrid w:val="0"/>
        <w:spacing w:line="360" w:lineRule="auto"/>
        <w:ind w:firstLine="496" w:firstLineChars="200"/>
        <w:rPr>
          <w:snapToGrid w:val="0"/>
          <w:color w:val="auto"/>
          <w:spacing w:val="4"/>
          <w:kern w:val="0"/>
          <w:sz w:val="24"/>
          <w:szCs w:val="24"/>
          <w:highlight w:val="none"/>
        </w:rPr>
      </w:pPr>
    </w:p>
    <w:p w14:paraId="2314D994">
      <w:pPr>
        <w:topLinePunct/>
        <w:adjustRightInd w:val="0"/>
        <w:snapToGrid w:val="0"/>
        <w:spacing w:line="360" w:lineRule="auto"/>
        <w:ind w:firstLine="496" w:firstLineChars="200"/>
        <w:rPr>
          <w:snapToGrid w:val="0"/>
          <w:color w:val="auto"/>
          <w:spacing w:val="4"/>
          <w:kern w:val="0"/>
          <w:sz w:val="24"/>
          <w:szCs w:val="24"/>
          <w:highlight w:val="none"/>
        </w:rPr>
      </w:pPr>
    </w:p>
    <w:p w14:paraId="4884D894">
      <w:pPr>
        <w:topLinePunct/>
        <w:adjustRightInd w:val="0"/>
        <w:snapToGrid w:val="0"/>
        <w:spacing w:line="360" w:lineRule="auto"/>
        <w:ind w:firstLine="496" w:firstLineChars="200"/>
        <w:rPr>
          <w:snapToGrid w:val="0"/>
          <w:color w:val="auto"/>
          <w:spacing w:val="4"/>
          <w:kern w:val="0"/>
          <w:sz w:val="24"/>
          <w:szCs w:val="24"/>
          <w:highlight w:val="none"/>
        </w:rPr>
      </w:pPr>
    </w:p>
    <w:p w14:paraId="3AA77A4B">
      <w:pPr>
        <w:topLinePunct/>
        <w:adjustRightInd w:val="0"/>
        <w:snapToGrid w:val="0"/>
        <w:spacing w:line="360" w:lineRule="auto"/>
        <w:ind w:firstLine="616" w:firstLineChars="200"/>
        <w:jc w:val="left"/>
        <w:rPr>
          <w:snapToGrid w:val="0"/>
          <w:color w:val="auto"/>
          <w:spacing w:val="4"/>
          <w:kern w:val="0"/>
          <w:sz w:val="30"/>
          <w:szCs w:val="30"/>
          <w:highlight w:val="none"/>
        </w:rPr>
      </w:pPr>
      <w:r>
        <w:rPr>
          <w:rFonts w:hint="eastAsia"/>
          <w:snapToGrid w:val="0"/>
          <w:color w:val="auto"/>
          <w:spacing w:val="4"/>
          <w:kern w:val="0"/>
          <w:sz w:val="30"/>
          <w:szCs w:val="30"/>
          <w:highlight w:val="none"/>
        </w:rPr>
        <w:t>投标人：</w:t>
      </w:r>
      <w:r>
        <w:rPr>
          <w:rFonts w:hint="eastAsia"/>
          <w:snapToGrid w:val="0"/>
          <w:color w:val="auto"/>
          <w:spacing w:val="4"/>
          <w:kern w:val="0"/>
          <w:sz w:val="30"/>
          <w:szCs w:val="30"/>
          <w:highlight w:val="none"/>
          <w:u w:val="single"/>
        </w:rPr>
        <w:t xml:space="preserve">    （填写投标人单位名称）    </w:t>
      </w:r>
    </w:p>
    <w:p w14:paraId="2BD31E3F">
      <w:pPr>
        <w:topLinePunct/>
        <w:adjustRightInd w:val="0"/>
        <w:snapToGrid w:val="0"/>
        <w:spacing w:line="360" w:lineRule="auto"/>
        <w:ind w:firstLine="616" w:firstLineChars="200"/>
        <w:jc w:val="left"/>
        <w:rPr>
          <w:snapToGrid w:val="0"/>
          <w:color w:val="auto"/>
          <w:spacing w:val="4"/>
          <w:kern w:val="0"/>
          <w:sz w:val="30"/>
          <w:szCs w:val="30"/>
          <w:highlight w:val="none"/>
        </w:rPr>
      </w:pPr>
    </w:p>
    <w:p w14:paraId="5D0019D4">
      <w:pPr>
        <w:topLinePunct/>
        <w:adjustRightInd w:val="0"/>
        <w:snapToGrid w:val="0"/>
        <w:spacing w:line="360" w:lineRule="auto"/>
        <w:ind w:firstLine="616" w:firstLineChars="200"/>
        <w:jc w:val="left"/>
        <w:rPr>
          <w:snapToGrid w:val="0"/>
          <w:color w:val="auto"/>
          <w:spacing w:val="4"/>
          <w:kern w:val="0"/>
          <w:sz w:val="24"/>
          <w:szCs w:val="24"/>
          <w:highlight w:val="none"/>
        </w:rPr>
      </w:pPr>
      <w:r>
        <w:rPr>
          <w:rFonts w:hint="eastAsia"/>
          <w:snapToGrid w:val="0"/>
          <w:color w:val="auto"/>
          <w:spacing w:val="4"/>
          <w:kern w:val="0"/>
          <w:sz w:val="30"/>
          <w:szCs w:val="30"/>
          <w:highlight w:val="none"/>
        </w:rPr>
        <w:t>日  期：</w:t>
      </w:r>
      <w:r>
        <w:rPr>
          <w:rFonts w:hint="eastAsia"/>
          <w:snapToGrid w:val="0"/>
          <w:color w:val="auto"/>
          <w:spacing w:val="4"/>
          <w:kern w:val="0"/>
          <w:sz w:val="30"/>
          <w:szCs w:val="30"/>
          <w:highlight w:val="none"/>
          <w:u w:val="single"/>
        </w:rPr>
        <w:t xml:space="preserve">                                            </w:t>
      </w:r>
    </w:p>
    <w:p w14:paraId="0180E181">
      <w:pPr>
        <w:rPr>
          <w:color w:val="auto"/>
          <w:sz w:val="24"/>
          <w:szCs w:val="24"/>
          <w:highlight w:val="none"/>
        </w:rPr>
      </w:pPr>
    </w:p>
    <w:p w14:paraId="67ECBB3F">
      <w:pPr>
        <w:rPr>
          <w:rFonts w:hint="eastAsia" w:ascii="宋体" w:hAnsi="宋体" w:cs="宋体"/>
          <w:color w:val="auto"/>
          <w:spacing w:val="4"/>
          <w:kern w:val="0"/>
          <w:sz w:val="24"/>
          <w:szCs w:val="24"/>
          <w:highlight w:val="none"/>
        </w:rPr>
      </w:pPr>
      <w:r>
        <w:rPr>
          <w:color w:val="auto"/>
          <w:sz w:val="24"/>
          <w:szCs w:val="24"/>
          <w:highlight w:val="none"/>
        </w:rPr>
        <w:br w:type="page"/>
      </w:r>
      <w:r>
        <w:rPr>
          <w:rFonts w:hint="eastAsia" w:ascii="宋体" w:hAnsi="宋体" w:cs="宋体"/>
          <w:color w:val="auto"/>
          <w:spacing w:val="4"/>
          <w:kern w:val="0"/>
          <w:sz w:val="24"/>
          <w:szCs w:val="24"/>
          <w:highlight w:val="none"/>
        </w:rPr>
        <w:t>格式</w:t>
      </w:r>
      <w:r>
        <w:rPr>
          <w:rFonts w:hint="eastAsia" w:ascii="宋体" w:hAnsi="宋体" w:cs="宋体"/>
          <w:color w:val="auto"/>
          <w:spacing w:val="4"/>
          <w:kern w:val="0"/>
          <w:sz w:val="24"/>
          <w:szCs w:val="24"/>
          <w:highlight w:val="none"/>
          <w:lang w:val="en-US" w:eastAsia="zh-CN"/>
        </w:rPr>
        <w:t>三</w:t>
      </w:r>
      <w:r>
        <w:rPr>
          <w:rFonts w:hint="eastAsia" w:ascii="宋体" w:hAnsi="宋体" w:cs="宋体"/>
          <w:color w:val="auto"/>
          <w:spacing w:val="4"/>
          <w:kern w:val="0"/>
          <w:sz w:val="24"/>
          <w:szCs w:val="24"/>
          <w:highlight w:val="none"/>
        </w:rPr>
        <w:t>-1：目录</w:t>
      </w:r>
    </w:p>
    <w:p w14:paraId="01B117AD">
      <w:pPr>
        <w:autoSpaceDE w:val="0"/>
        <w:autoSpaceDN w:val="0"/>
        <w:adjustRightInd w:val="0"/>
        <w:jc w:val="center"/>
        <w:rPr>
          <w:rFonts w:hint="eastAsia" w:ascii="宋体" w:hAnsi="宋体" w:cs="宋体"/>
          <w:b/>
          <w:bCs/>
          <w:color w:val="auto"/>
          <w:sz w:val="52"/>
          <w:szCs w:val="52"/>
          <w:highlight w:val="none"/>
        </w:rPr>
      </w:pPr>
      <w:r>
        <w:rPr>
          <w:rFonts w:hint="eastAsia" w:ascii="宋体" w:hAnsi="宋体" w:cs="宋体"/>
          <w:b/>
          <w:bCs/>
          <w:color w:val="auto"/>
          <w:sz w:val="44"/>
          <w:szCs w:val="44"/>
          <w:highlight w:val="none"/>
          <w:lang w:val="zh-CN"/>
        </w:rPr>
        <w:t>目录</w:t>
      </w:r>
    </w:p>
    <w:p w14:paraId="714CCB01">
      <w:pPr>
        <w:tabs>
          <w:tab w:val="left" w:pos="720"/>
        </w:tabs>
        <w:snapToGrid w:val="0"/>
        <w:spacing w:line="360" w:lineRule="auto"/>
        <w:jc w:val="center"/>
        <w:rPr>
          <w:rFonts w:hint="eastAsia" w:ascii="宋体" w:hAnsi="宋体" w:cs="宋体"/>
          <w:color w:val="auto"/>
          <w:sz w:val="24"/>
          <w:szCs w:val="24"/>
          <w:highlight w:val="none"/>
        </w:rPr>
      </w:pPr>
    </w:p>
    <w:p w14:paraId="0C2DA23D">
      <w:pPr>
        <w:tabs>
          <w:tab w:val="left" w:pos="720"/>
        </w:tabs>
        <w:snapToGrid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（格式自拟，需标明页码）</w:t>
      </w:r>
    </w:p>
    <w:p w14:paraId="327FCC4F">
      <w:pPr>
        <w:pStyle w:val="38"/>
        <w:ind w:left="0" w:leftChars="0"/>
        <w:rPr>
          <w:rFonts w:hint="eastAsia" w:ascii="宋体" w:hAnsi="宋体" w:cs="宋体"/>
          <w:color w:val="auto"/>
          <w:sz w:val="24"/>
          <w:szCs w:val="24"/>
          <w:highlight w:val="none"/>
        </w:rPr>
      </w:pPr>
    </w:p>
    <w:p w14:paraId="13E498DB">
      <w:pPr>
        <w:tabs>
          <w:tab w:val="left" w:pos="720"/>
        </w:tabs>
        <w:snapToGrid w:val="0"/>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定标内容由投标人自行编制。</w:t>
      </w:r>
    </w:p>
    <w:p w14:paraId="767076B7">
      <w:pPr>
        <w:rPr>
          <w:color w:val="auto"/>
          <w:sz w:val="24"/>
          <w:szCs w:val="24"/>
          <w:highlight w:val="none"/>
        </w:rPr>
      </w:pPr>
    </w:p>
    <w:p w14:paraId="02BF8B0F">
      <w:pPr>
        <w:keepNext/>
        <w:keepLines/>
        <w:spacing w:line="360" w:lineRule="auto"/>
        <w:jc w:val="center"/>
        <w:outlineLvl w:val="0"/>
        <w:rPr>
          <w:rFonts w:hint="eastAsia" w:ascii="宋体" w:hAnsi="宋体" w:cs="宋体"/>
          <w:b/>
          <w:color w:val="auto"/>
          <w:kern w:val="44"/>
          <w:sz w:val="28"/>
          <w:szCs w:val="28"/>
          <w:highlight w:val="none"/>
        </w:rPr>
      </w:pPr>
      <w:r>
        <w:rPr>
          <w:rFonts w:hint="eastAsia" w:ascii="宋体" w:hAnsi="宋体" w:cs="宋体"/>
          <w:color w:val="auto"/>
          <w:sz w:val="24"/>
          <w:szCs w:val="24"/>
          <w:highlight w:val="none"/>
        </w:rPr>
        <w:br w:type="page"/>
      </w:r>
      <w:r>
        <w:rPr>
          <w:rFonts w:hint="eastAsia" w:ascii="宋体" w:hAnsi="宋体" w:cs="宋体"/>
          <w:b/>
          <w:color w:val="auto"/>
          <w:kern w:val="44"/>
          <w:sz w:val="32"/>
          <w:szCs w:val="32"/>
          <w:highlight w:val="none"/>
        </w:rPr>
        <w:t>第五章  技术条件（工程建设标准）</w:t>
      </w:r>
      <w:bookmarkEnd w:id="87"/>
      <w:bookmarkEnd w:id="88"/>
      <w:bookmarkEnd w:id="89"/>
    </w:p>
    <w:p w14:paraId="33D97A35">
      <w:pPr>
        <w:spacing w:line="360" w:lineRule="auto"/>
        <w:ind w:left="0" w:leftChars="0" w:firstLine="0" w:firstLineChars="0"/>
        <w:jc w:val="center"/>
        <w:rPr>
          <w:rFonts w:hint="eastAsia" w:ascii="宋体" w:hAnsi="宋体" w:eastAsia="宋体" w:cs="宋体"/>
          <w:color w:val="auto"/>
          <w:kern w:val="0"/>
          <w:sz w:val="24"/>
          <w:szCs w:val="20"/>
          <w:highlight w:val="none"/>
          <w:lang w:val="en-US" w:eastAsia="zh-CN"/>
        </w:rPr>
      </w:pPr>
      <w:bookmarkStart w:id="90" w:name="_Toc62134899"/>
      <w:r>
        <w:rPr>
          <w:rFonts w:hint="eastAsia" w:ascii="宋体" w:hAnsi="宋体" w:eastAsia="宋体" w:cs="宋体"/>
          <w:color w:val="auto"/>
          <w:kern w:val="0"/>
          <w:sz w:val="24"/>
          <w:szCs w:val="20"/>
          <w:highlight w:val="none"/>
          <w:lang w:val="en-US" w:eastAsia="zh-CN"/>
        </w:rPr>
        <w:t>详见技术需求书</w:t>
      </w:r>
    </w:p>
    <w:p w14:paraId="6FB6391A">
      <w:pPr>
        <w:spacing w:line="360" w:lineRule="auto"/>
        <w:ind w:left="0" w:leftChars="0" w:firstLine="0" w:firstLineChars="0"/>
        <w:jc w:val="center"/>
        <w:rPr>
          <w:rFonts w:hint="eastAsia" w:ascii="宋体" w:hAnsi="宋体" w:eastAsia="宋体" w:cs="宋体"/>
          <w:color w:val="auto"/>
          <w:kern w:val="0"/>
          <w:sz w:val="24"/>
          <w:szCs w:val="20"/>
          <w:highlight w:val="none"/>
          <w:lang w:val="en-US" w:eastAsia="zh-CN"/>
        </w:rPr>
      </w:pPr>
      <w:r>
        <w:rPr>
          <w:rFonts w:hint="eastAsia" w:ascii="宋体" w:hAnsi="宋体" w:eastAsia="宋体" w:cs="宋体"/>
          <w:color w:val="auto"/>
          <w:kern w:val="0"/>
          <w:sz w:val="24"/>
          <w:szCs w:val="20"/>
          <w:highlight w:val="none"/>
          <w:lang w:val="en-US" w:eastAsia="zh-CN"/>
        </w:rPr>
        <w:t>（另册）</w:t>
      </w:r>
      <w:bookmarkStart w:id="91" w:name="_Toc1964"/>
    </w:p>
    <w:p w14:paraId="2090427B">
      <w:pPr>
        <w:spacing w:line="360" w:lineRule="auto"/>
        <w:ind w:left="0" w:leftChars="0" w:firstLine="0" w:firstLineChars="0"/>
        <w:jc w:val="center"/>
        <w:rPr>
          <w:rFonts w:hint="eastAsia" w:ascii="宋体" w:hAnsi="宋体" w:cs="宋体"/>
          <w:b/>
          <w:color w:val="auto"/>
          <w:kern w:val="44"/>
          <w:sz w:val="28"/>
          <w:szCs w:val="28"/>
          <w:highlight w:val="none"/>
        </w:rPr>
      </w:pPr>
      <w:r>
        <w:rPr>
          <w:rFonts w:hint="eastAsia" w:ascii="宋体" w:hAnsi="宋体" w:eastAsia="宋体" w:cs="宋体"/>
          <w:color w:val="auto"/>
          <w:kern w:val="0"/>
          <w:sz w:val="24"/>
          <w:szCs w:val="20"/>
          <w:highlight w:val="none"/>
          <w:lang w:val="en-US" w:eastAsia="zh-CN"/>
        </w:rPr>
        <w:br w:type="page"/>
      </w:r>
      <w:r>
        <w:rPr>
          <w:rFonts w:hint="eastAsia" w:ascii="宋体" w:hAnsi="宋体" w:cs="宋体"/>
          <w:b/>
          <w:color w:val="auto"/>
          <w:kern w:val="44"/>
          <w:sz w:val="32"/>
          <w:szCs w:val="32"/>
          <w:highlight w:val="none"/>
        </w:rPr>
        <w:t>第六章  图纸及勘察资料</w:t>
      </w:r>
      <w:bookmarkEnd w:id="90"/>
      <w:bookmarkEnd w:id="91"/>
    </w:p>
    <w:p w14:paraId="58C1DF1A">
      <w:pPr>
        <w:keepNext/>
        <w:keepLines/>
        <w:spacing w:before="120" w:after="120" w:line="360" w:lineRule="auto"/>
        <w:jc w:val="center"/>
        <w:outlineLvl w:val="0"/>
        <w:rPr>
          <w:rFonts w:hint="eastAsia" w:ascii="宋体" w:hAnsi="宋体" w:cs="宋体"/>
          <w:b/>
          <w:color w:val="auto"/>
          <w:kern w:val="44"/>
          <w:sz w:val="28"/>
          <w:szCs w:val="28"/>
          <w:highlight w:val="none"/>
        </w:rPr>
      </w:pPr>
      <w:bookmarkStart w:id="92" w:name="_Toc19107"/>
      <w:bookmarkStart w:id="93" w:name="_Toc41306302"/>
      <w:bookmarkStart w:id="94" w:name="_Toc62134900"/>
      <w:bookmarkStart w:id="95" w:name="_Toc8441"/>
      <w:r>
        <w:rPr>
          <w:rFonts w:hint="eastAsia" w:ascii="宋体" w:hAnsi="宋体" w:cs="宋体"/>
          <w:b/>
          <w:color w:val="auto"/>
          <w:kern w:val="44"/>
          <w:sz w:val="28"/>
          <w:szCs w:val="28"/>
          <w:highlight w:val="none"/>
        </w:rPr>
        <w:t>（另册）</w:t>
      </w:r>
      <w:bookmarkEnd w:id="92"/>
      <w:bookmarkEnd w:id="93"/>
      <w:bookmarkEnd w:id="94"/>
      <w:bookmarkEnd w:id="95"/>
    </w:p>
    <w:p w14:paraId="0973C3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注：本项目所有招标图纸、资料知识产权属招标人所有，不得用于除本次招标项目外其它用途，否则应承担由此所引起的全部法律责任。</w:t>
      </w:r>
    </w:p>
    <w:p w14:paraId="488C9E87">
      <w:pPr>
        <w:rPr>
          <w:rFonts w:hint="eastAsia" w:ascii="宋体" w:hAnsi="宋体" w:cs="宋体"/>
          <w:color w:val="auto"/>
          <w:sz w:val="24"/>
          <w:szCs w:val="24"/>
          <w:highlight w:val="none"/>
        </w:rPr>
      </w:pPr>
    </w:p>
    <w:p w14:paraId="7785DAF1">
      <w:pPr>
        <w:keepNext/>
        <w:keepLines/>
        <w:spacing w:line="360" w:lineRule="auto"/>
        <w:jc w:val="center"/>
        <w:outlineLvl w:val="0"/>
        <w:rPr>
          <w:rFonts w:hint="eastAsia" w:ascii="宋体" w:hAnsi="宋体" w:cs="宋体"/>
          <w:b/>
          <w:color w:val="auto"/>
          <w:kern w:val="44"/>
          <w:sz w:val="28"/>
          <w:szCs w:val="28"/>
          <w:highlight w:val="none"/>
        </w:rPr>
      </w:pPr>
      <w:r>
        <w:rPr>
          <w:rFonts w:hint="eastAsia" w:ascii="宋体" w:hAnsi="宋体" w:cs="宋体"/>
          <w:b/>
          <w:color w:val="auto"/>
          <w:kern w:val="44"/>
          <w:sz w:val="24"/>
          <w:szCs w:val="24"/>
          <w:highlight w:val="none"/>
        </w:rPr>
        <w:br w:type="page"/>
      </w:r>
      <w:bookmarkStart w:id="96" w:name="_Toc26404"/>
      <w:bookmarkStart w:id="97" w:name="_Toc62134901"/>
      <w:r>
        <w:rPr>
          <w:rFonts w:hint="eastAsia" w:ascii="宋体" w:hAnsi="宋体" w:cs="宋体"/>
          <w:b/>
          <w:color w:val="auto"/>
          <w:kern w:val="44"/>
          <w:sz w:val="32"/>
          <w:szCs w:val="32"/>
          <w:highlight w:val="none"/>
        </w:rPr>
        <w:t>第七章  工程量清单</w:t>
      </w:r>
      <w:bookmarkEnd w:id="96"/>
      <w:bookmarkEnd w:id="97"/>
    </w:p>
    <w:p w14:paraId="313F1695">
      <w:pPr>
        <w:jc w:val="center"/>
        <w:rPr>
          <w:rFonts w:hint="eastAsia" w:ascii="宋体" w:hAnsi="宋体" w:cs="宋体"/>
          <w:color w:val="auto"/>
          <w:sz w:val="24"/>
          <w:szCs w:val="24"/>
          <w:highlight w:val="none"/>
        </w:rPr>
      </w:pPr>
      <w:r>
        <w:rPr>
          <w:rFonts w:hint="eastAsia" w:ascii="宋体" w:hAnsi="宋体" w:cs="宋体"/>
          <w:color w:val="auto"/>
          <w:sz w:val="28"/>
          <w:szCs w:val="28"/>
          <w:highlight w:val="none"/>
        </w:rPr>
        <w:t>（另册）</w:t>
      </w:r>
    </w:p>
    <w:p w14:paraId="01075388">
      <w:pPr>
        <w:keepNext/>
        <w:keepLines/>
        <w:spacing w:line="360" w:lineRule="auto"/>
        <w:jc w:val="center"/>
        <w:outlineLvl w:val="0"/>
        <w:rPr>
          <w:rFonts w:hint="eastAsia" w:ascii="宋体" w:hAnsi="宋体" w:cs="宋体"/>
          <w:b/>
          <w:color w:val="auto"/>
          <w:kern w:val="44"/>
          <w:sz w:val="28"/>
          <w:szCs w:val="28"/>
          <w:highlight w:val="none"/>
        </w:rPr>
      </w:pPr>
      <w:r>
        <w:rPr>
          <w:rFonts w:hint="eastAsia" w:ascii="宋体" w:hAnsi="宋体" w:cs="宋体"/>
          <w:b/>
          <w:color w:val="auto"/>
          <w:kern w:val="44"/>
          <w:sz w:val="24"/>
          <w:szCs w:val="24"/>
          <w:highlight w:val="none"/>
        </w:rPr>
        <w:br w:type="page"/>
      </w:r>
      <w:bookmarkStart w:id="98" w:name="_Toc31901"/>
      <w:bookmarkStart w:id="99" w:name="_Toc62134902"/>
      <w:r>
        <w:rPr>
          <w:rFonts w:hint="eastAsia" w:ascii="宋体" w:hAnsi="宋体" w:cs="宋体"/>
          <w:b/>
          <w:color w:val="auto"/>
          <w:kern w:val="44"/>
          <w:sz w:val="32"/>
          <w:szCs w:val="32"/>
          <w:highlight w:val="none"/>
        </w:rPr>
        <w:t>第八章  最高投标限价</w:t>
      </w:r>
      <w:bookmarkEnd w:id="98"/>
      <w:bookmarkEnd w:id="99"/>
    </w:p>
    <w:p w14:paraId="65719B03">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招标人应当在发布招标文件时，公布最高投标限价的总价，分部分项工程费、措施项目费、其他项目费、规费和税金，以及绿色施工安全防护措施费、暂列金额等投标人不可竞争的固定报价。</w:t>
      </w:r>
    </w:p>
    <w:p w14:paraId="68ADDA8A">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具体见本项目《最高投标限价公布函》。</w:t>
      </w:r>
    </w:p>
    <w:p w14:paraId="2E7B36B6">
      <w:pPr>
        <w:rPr>
          <w:rFonts w:hint="eastAsia" w:ascii="宋体" w:hAnsi="宋体" w:cs="宋体"/>
          <w:color w:val="auto"/>
          <w:highlight w:val="none"/>
        </w:rPr>
      </w:pPr>
    </w:p>
    <w:p w14:paraId="0B085A48">
      <w:pPr>
        <w:snapToGrid w:val="0"/>
        <w:spacing w:line="360" w:lineRule="auto"/>
        <w:ind w:firstLine="482" w:firstLineChars="200"/>
        <w:jc w:val="left"/>
        <w:rPr>
          <w:rFonts w:hint="eastAsia" w:ascii="宋体" w:hAnsi="宋体" w:cs="宋体"/>
          <w:b/>
          <w:color w:val="auto"/>
          <w:sz w:val="24"/>
          <w:szCs w:val="24"/>
          <w:highlight w:val="none"/>
        </w:rPr>
      </w:pPr>
    </w:p>
    <w:p w14:paraId="09C51065">
      <w:pPr>
        <w:rPr>
          <w:rFonts w:hint="eastAsia" w:ascii="宋体" w:hAnsi="宋体" w:cs="宋体"/>
          <w:color w:val="auto"/>
          <w:highlight w:val="none"/>
        </w:rPr>
      </w:pPr>
    </w:p>
    <w:bookmarkEnd w:id="100"/>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auto"/>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C824B">
    <w:pPr>
      <w:pStyle w:val="28"/>
      <w:ind w:firstLine="392"/>
      <w:rPr>
        <w:rStyle w:val="4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D366F">
    <w:pPr>
      <w:pStyle w:val="28"/>
      <w:ind w:firstLine="392"/>
      <w:rPr>
        <w:rStyle w:val="47"/>
      </w:rPr>
    </w:pPr>
    <w:r>
      <w:rPr>
        <w:rStyle w:val="47"/>
      </w:rPr>
      <w:fldChar w:fldCharType="begin"/>
    </w:r>
    <w:r>
      <w:rPr>
        <w:rStyle w:val="47"/>
      </w:rPr>
      <w:instrText xml:space="preserve">PAGE  </w:instrText>
    </w:r>
    <w:r>
      <w:fldChar w:fldCharType="separate"/>
    </w:r>
    <w:r>
      <w:rPr>
        <w:rStyle w:val="47"/>
        <w:rFonts w:hint="eastAsia"/>
      </w:rPr>
      <w:t>一</w:t>
    </w:r>
    <w:r>
      <w:rPr>
        <w:rStyle w:val="47"/>
      </w:rPr>
      <w:t>–2</w:t>
    </w:r>
    <w:r>
      <w:fldChar w:fldCharType="end"/>
    </w:r>
  </w:p>
  <w:p w14:paraId="5515103F">
    <w:pPr>
      <w:pStyle w:val="28"/>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D9ACF">
    <w:pPr>
      <w:pStyle w:val="28"/>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10C98">
    <w:pPr>
      <w:pStyle w:val="28"/>
      <w:ind w:firstLine="392"/>
      <w:rPr>
        <w:rStyle w:val="47"/>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0DDB4F">
                          <w:pPr>
                            <w:pStyle w:val="28"/>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2C0DDB4F">
                    <w:pPr>
                      <w:pStyle w:val="28"/>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CD8F9">
    <w:pPr>
      <w:pStyle w:val="28"/>
      <w:ind w:firstLine="39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2BF762">
                          <w:pPr>
                            <w:pStyle w:val="2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52BF762">
                    <w:pPr>
                      <w:pStyle w:val="28"/>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3C660">
    <w:pPr>
      <w:pStyle w:val="87"/>
      <w:ind w:right="360"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991375">
                          <w:pPr>
                            <w:tabs>
                              <w:tab w:val="center" w:pos="4153"/>
                              <w:tab w:val="right" w:pos="8306"/>
                            </w:tabs>
                          </w:pPr>
                          <w:r>
                            <w:fldChar w:fldCharType="begin"/>
                          </w:r>
                          <w:r>
                            <w:instrText xml:space="preserve"> PAGE  \* MERGEFORMAT </w:instrText>
                          </w:r>
                          <w:r>
                            <w:fldChar w:fldCharType="separate"/>
                          </w:r>
                          <w:r>
                            <w:t>81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33991375">
                    <w:pPr>
                      <w:tabs>
                        <w:tab w:val="center" w:pos="4153"/>
                        <w:tab w:val="right" w:pos="8306"/>
                      </w:tabs>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B888DA">
    <w:pPr>
      <w:pStyle w:val="28"/>
      <w:ind w:right="360" w:firstLine="36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8D00C9">
                          <w:pPr>
                            <w:pStyle w:val="28"/>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E8D00C9">
                    <w:pPr>
                      <w:pStyle w:val="28"/>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02363">
    <w:pPr>
      <w:pStyle w:val="28"/>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BE24D6">
                          <w:pPr>
                            <w:pStyle w:val="28"/>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67BE24D6">
                    <w:pPr>
                      <w:pStyle w:val="28"/>
                    </w:pPr>
                    <w:r>
                      <w:fldChar w:fldCharType="begin"/>
                    </w:r>
                    <w:r>
                      <w:instrText xml:space="preserve"> PAGE  \* MERGEFORMAT </w:instrText>
                    </w:r>
                    <w:r>
                      <w:fldChar w:fldCharType="separate"/>
                    </w:r>
                    <w:r>
                      <w:t>49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C7E28F">
    <w:pPr>
      <w:pStyle w:val="30"/>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BE484">
    <w:pPr>
      <w:pStyle w:val="30"/>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5B801">
    <w:pPr>
      <w:pStyle w:val="12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5DD45">
    <w:pPr>
      <w:pStyle w:val="30"/>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AA4F2">
    <w:pPr>
      <w:pStyle w:val="30"/>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A97037"/>
    <w:multiLevelType w:val="multilevel"/>
    <w:tmpl w:val="01A97037"/>
    <w:lvl w:ilvl="0" w:tentative="0">
      <w:start w:val="1"/>
      <w:numFmt w:val="decimal"/>
      <w:lvlText w:val="%1."/>
      <w:lvlJc w:val="left"/>
      <w:pPr>
        <w:ind w:left="420" w:hanging="420"/>
      </w:pPr>
      <w:rPr>
        <w:rFonts w:hint="default"/>
        <w:b w:val="0"/>
        <w:bCs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7B28322"/>
    <w:multiLevelType w:val="singleLevel"/>
    <w:tmpl w:val="37B28322"/>
    <w:lvl w:ilvl="0" w:tentative="0">
      <w:start w:val="1"/>
      <w:numFmt w:val="decimal"/>
      <w:pStyle w:val="23"/>
      <w:lvlText w:val="%1."/>
      <w:lvlJc w:val="left"/>
      <w:pPr>
        <w:tabs>
          <w:tab w:val="left" w:pos="2040"/>
        </w:tabs>
        <w:ind w:left="2040" w:hanging="360"/>
      </w:pPr>
    </w:lvl>
  </w:abstractNum>
  <w:abstractNum w:abstractNumId="2">
    <w:nsid w:val="5EC63031"/>
    <w:multiLevelType w:val="singleLevel"/>
    <w:tmpl w:val="5EC63031"/>
    <w:lvl w:ilvl="0" w:tentative="0">
      <w:start w:val="4"/>
      <w:numFmt w:val="chineseCounting"/>
      <w:suff w:val="space"/>
      <w:lvlText w:val="第%1章"/>
      <w:lvlJc w:val="left"/>
      <w:pPr>
        <w:tabs>
          <w:tab w:val="left" w:pos="0"/>
        </w:tabs>
        <w:ind w:left="0" w:firstLine="0"/>
      </w:pPr>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4"/>
  </w:compat>
  <w:docVars>
    <w:docVar w:name="commondata" w:val="eyJoZGlkIjoiZmM0YzE1ODViZDcyMjAwMTc2YzY0NGViNDk0OTM3OTQifQ=="/>
  </w:docVars>
  <w:rsids>
    <w:rsidRoot w:val="00815716"/>
    <w:rsid w:val="0001678B"/>
    <w:rsid w:val="000273CC"/>
    <w:rsid w:val="00056228"/>
    <w:rsid w:val="00084244"/>
    <w:rsid w:val="000B52C5"/>
    <w:rsid w:val="000B76C3"/>
    <w:rsid w:val="00106E75"/>
    <w:rsid w:val="001463FA"/>
    <w:rsid w:val="001767B7"/>
    <w:rsid w:val="00185E02"/>
    <w:rsid w:val="00210947"/>
    <w:rsid w:val="002140DD"/>
    <w:rsid w:val="00220759"/>
    <w:rsid w:val="00221BB9"/>
    <w:rsid w:val="00226079"/>
    <w:rsid w:val="002C7224"/>
    <w:rsid w:val="00303630"/>
    <w:rsid w:val="00315D81"/>
    <w:rsid w:val="00321A83"/>
    <w:rsid w:val="00332D2E"/>
    <w:rsid w:val="00343A00"/>
    <w:rsid w:val="00350463"/>
    <w:rsid w:val="003B0FE6"/>
    <w:rsid w:val="003B6B29"/>
    <w:rsid w:val="003C7EE1"/>
    <w:rsid w:val="003E68B4"/>
    <w:rsid w:val="003F0821"/>
    <w:rsid w:val="003F2FBD"/>
    <w:rsid w:val="00452D14"/>
    <w:rsid w:val="004577F5"/>
    <w:rsid w:val="004D7144"/>
    <w:rsid w:val="004F290F"/>
    <w:rsid w:val="00507E0B"/>
    <w:rsid w:val="00575D16"/>
    <w:rsid w:val="0057716D"/>
    <w:rsid w:val="005828EA"/>
    <w:rsid w:val="005E76DC"/>
    <w:rsid w:val="00603C95"/>
    <w:rsid w:val="006A34E3"/>
    <w:rsid w:val="006E0196"/>
    <w:rsid w:val="006F4F59"/>
    <w:rsid w:val="00710CB7"/>
    <w:rsid w:val="007377E5"/>
    <w:rsid w:val="00741A09"/>
    <w:rsid w:val="00797B7E"/>
    <w:rsid w:val="00815716"/>
    <w:rsid w:val="008820E2"/>
    <w:rsid w:val="00916C49"/>
    <w:rsid w:val="00932E36"/>
    <w:rsid w:val="00935E82"/>
    <w:rsid w:val="00936206"/>
    <w:rsid w:val="00940B7F"/>
    <w:rsid w:val="00981E4E"/>
    <w:rsid w:val="00995D3D"/>
    <w:rsid w:val="009D264E"/>
    <w:rsid w:val="009F195C"/>
    <w:rsid w:val="00A67603"/>
    <w:rsid w:val="00A97848"/>
    <w:rsid w:val="00AF7AAE"/>
    <w:rsid w:val="00B17001"/>
    <w:rsid w:val="00B441D0"/>
    <w:rsid w:val="00B45D45"/>
    <w:rsid w:val="00B536E6"/>
    <w:rsid w:val="00B67FA7"/>
    <w:rsid w:val="00C27BE6"/>
    <w:rsid w:val="00C335AD"/>
    <w:rsid w:val="00C40859"/>
    <w:rsid w:val="00C86823"/>
    <w:rsid w:val="00CD3536"/>
    <w:rsid w:val="00D10859"/>
    <w:rsid w:val="00D306C5"/>
    <w:rsid w:val="00D7582B"/>
    <w:rsid w:val="00E36DCF"/>
    <w:rsid w:val="00E55370"/>
    <w:rsid w:val="00EA1A7D"/>
    <w:rsid w:val="00ED19D3"/>
    <w:rsid w:val="00EE78D2"/>
    <w:rsid w:val="00F2102C"/>
    <w:rsid w:val="00F37A48"/>
    <w:rsid w:val="00F44192"/>
    <w:rsid w:val="00F56C3B"/>
    <w:rsid w:val="00F67810"/>
    <w:rsid w:val="00FA2726"/>
    <w:rsid w:val="00FD081A"/>
    <w:rsid w:val="01297336"/>
    <w:rsid w:val="014063FE"/>
    <w:rsid w:val="01CD7566"/>
    <w:rsid w:val="01FB0758"/>
    <w:rsid w:val="02327F52"/>
    <w:rsid w:val="024E5835"/>
    <w:rsid w:val="027C10FF"/>
    <w:rsid w:val="02AB5AF9"/>
    <w:rsid w:val="02B96B72"/>
    <w:rsid w:val="02BA52A4"/>
    <w:rsid w:val="02D06BC4"/>
    <w:rsid w:val="0315735F"/>
    <w:rsid w:val="03327563"/>
    <w:rsid w:val="036E17B4"/>
    <w:rsid w:val="039F4AE6"/>
    <w:rsid w:val="03B25805"/>
    <w:rsid w:val="03BA2565"/>
    <w:rsid w:val="03E80687"/>
    <w:rsid w:val="03E96655"/>
    <w:rsid w:val="03EC5D30"/>
    <w:rsid w:val="03F958C7"/>
    <w:rsid w:val="04282F9F"/>
    <w:rsid w:val="0495080F"/>
    <w:rsid w:val="04AB0032"/>
    <w:rsid w:val="05137986"/>
    <w:rsid w:val="05397A09"/>
    <w:rsid w:val="059A3C03"/>
    <w:rsid w:val="05BC0BF8"/>
    <w:rsid w:val="05E9279D"/>
    <w:rsid w:val="06174FC9"/>
    <w:rsid w:val="062067FE"/>
    <w:rsid w:val="06732DD2"/>
    <w:rsid w:val="067808F5"/>
    <w:rsid w:val="0687687D"/>
    <w:rsid w:val="071820D0"/>
    <w:rsid w:val="074C13AB"/>
    <w:rsid w:val="07554CEB"/>
    <w:rsid w:val="07A159B5"/>
    <w:rsid w:val="07AC0883"/>
    <w:rsid w:val="07C7150F"/>
    <w:rsid w:val="080737D2"/>
    <w:rsid w:val="0828199A"/>
    <w:rsid w:val="082D189E"/>
    <w:rsid w:val="085959D0"/>
    <w:rsid w:val="08616145"/>
    <w:rsid w:val="08907C6B"/>
    <w:rsid w:val="08B51480"/>
    <w:rsid w:val="08D977C7"/>
    <w:rsid w:val="08FA3336"/>
    <w:rsid w:val="09102B5A"/>
    <w:rsid w:val="09117964"/>
    <w:rsid w:val="09513E78"/>
    <w:rsid w:val="098B0432"/>
    <w:rsid w:val="09D04542"/>
    <w:rsid w:val="0A051F93"/>
    <w:rsid w:val="0A0A1357"/>
    <w:rsid w:val="0A1E3055"/>
    <w:rsid w:val="0A226F8E"/>
    <w:rsid w:val="0A283ED3"/>
    <w:rsid w:val="0A423A93"/>
    <w:rsid w:val="0A430D0D"/>
    <w:rsid w:val="0A4505F6"/>
    <w:rsid w:val="0A517362"/>
    <w:rsid w:val="0A570314"/>
    <w:rsid w:val="0A5C592B"/>
    <w:rsid w:val="0A6A2EC4"/>
    <w:rsid w:val="0AFD710E"/>
    <w:rsid w:val="0B0154D8"/>
    <w:rsid w:val="0B3C2AF0"/>
    <w:rsid w:val="0B52745A"/>
    <w:rsid w:val="0BE22158"/>
    <w:rsid w:val="0BFC73C5"/>
    <w:rsid w:val="0BFE7494"/>
    <w:rsid w:val="0C072A3C"/>
    <w:rsid w:val="0C193A44"/>
    <w:rsid w:val="0D1A5D55"/>
    <w:rsid w:val="0D257E20"/>
    <w:rsid w:val="0D2E35AF"/>
    <w:rsid w:val="0D325F10"/>
    <w:rsid w:val="0D4D0619"/>
    <w:rsid w:val="0D612E03"/>
    <w:rsid w:val="0D655386"/>
    <w:rsid w:val="0DA61884"/>
    <w:rsid w:val="0DB76A45"/>
    <w:rsid w:val="0DF5231E"/>
    <w:rsid w:val="0E2C5669"/>
    <w:rsid w:val="0E410657"/>
    <w:rsid w:val="0E45272D"/>
    <w:rsid w:val="0E514B8C"/>
    <w:rsid w:val="0E86602D"/>
    <w:rsid w:val="0EA74134"/>
    <w:rsid w:val="0EAA60E0"/>
    <w:rsid w:val="0EB506CE"/>
    <w:rsid w:val="0EBF3805"/>
    <w:rsid w:val="0EF81D7C"/>
    <w:rsid w:val="0F41676A"/>
    <w:rsid w:val="0F751969"/>
    <w:rsid w:val="0F8F40AD"/>
    <w:rsid w:val="0FA8520D"/>
    <w:rsid w:val="0FA933C0"/>
    <w:rsid w:val="0FED4587"/>
    <w:rsid w:val="0FF15EFC"/>
    <w:rsid w:val="102313C5"/>
    <w:rsid w:val="103957B2"/>
    <w:rsid w:val="10594AC5"/>
    <w:rsid w:val="10780801"/>
    <w:rsid w:val="108160EB"/>
    <w:rsid w:val="10832039"/>
    <w:rsid w:val="122F0041"/>
    <w:rsid w:val="123F1DBA"/>
    <w:rsid w:val="12711E22"/>
    <w:rsid w:val="12984C9E"/>
    <w:rsid w:val="12CD1ABC"/>
    <w:rsid w:val="12DC0551"/>
    <w:rsid w:val="12E0534B"/>
    <w:rsid w:val="12E96C91"/>
    <w:rsid w:val="12EF5C6F"/>
    <w:rsid w:val="130852AB"/>
    <w:rsid w:val="134C0C32"/>
    <w:rsid w:val="13833B74"/>
    <w:rsid w:val="139A2872"/>
    <w:rsid w:val="13DC4CD3"/>
    <w:rsid w:val="13F866C4"/>
    <w:rsid w:val="144638D4"/>
    <w:rsid w:val="144B0C03"/>
    <w:rsid w:val="1457788F"/>
    <w:rsid w:val="14605474"/>
    <w:rsid w:val="147321EF"/>
    <w:rsid w:val="147815B3"/>
    <w:rsid w:val="14863CD0"/>
    <w:rsid w:val="14985D33"/>
    <w:rsid w:val="14AF76CB"/>
    <w:rsid w:val="14B90A17"/>
    <w:rsid w:val="14CC051A"/>
    <w:rsid w:val="14D33BAB"/>
    <w:rsid w:val="14D5008C"/>
    <w:rsid w:val="14F1597F"/>
    <w:rsid w:val="14F75FA0"/>
    <w:rsid w:val="15307874"/>
    <w:rsid w:val="15517AD4"/>
    <w:rsid w:val="155E69FB"/>
    <w:rsid w:val="156009C5"/>
    <w:rsid w:val="156B1E6B"/>
    <w:rsid w:val="156E4577"/>
    <w:rsid w:val="15EF109D"/>
    <w:rsid w:val="160D5381"/>
    <w:rsid w:val="160E7CC8"/>
    <w:rsid w:val="16493207"/>
    <w:rsid w:val="166409FF"/>
    <w:rsid w:val="166D0B07"/>
    <w:rsid w:val="168500F5"/>
    <w:rsid w:val="16CA189C"/>
    <w:rsid w:val="16DE1BA1"/>
    <w:rsid w:val="16E1442D"/>
    <w:rsid w:val="16F969DB"/>
    <w:rsid w:val="176A1687"/>
    <w:rsid w:val="178177BA"/>
    <w:rsid w:val="17DE0250"/>
    <w:rsid w:val="18A10767"/>
    <w:rsid w:val="18B93C1D"/>
    <w:rsid w:val="194E2D81"/>
    <w:rsid w:val="198A6011"/>
    <w:rsid w:val="199B7E8F"/>
    <w:rsid w:val="19E17662"/>
    <w:rsid w:val="1A8B2040"/>
    <w:rsid w:val="1AC450AE"/>
    <w:rsid w:val="1AE94FB9"/>
    <w:rsid w:val="1B010554"/>
    <w:rsid w:val="1B165903"/>
    <w:rsid w:val="1B43410D"/>
    <w:rsid w:val="1B49189B"/>
    <w:rsid w:val="1B5D2A26"/>
    <w:rsid w:val="1BF53404"/>
    <w:rsid w:val="1BF81957"/>
    <w:rsid w:val="1C2F6CF9"/>
    <w:rsid w:val="1CD57C8F"/>
    <w:rsid w:val="1D295DF7"/>
    <w:rsid w:val="1D2A6753"/>
    <w:rsid w:val="1D526E45"/>
    <w:rsid w:val="1D925D01"/>
    <w:rsid w:val="1D962818"/>
    <w:rsid w:val="1DAF3B10"/>
    <w:rsid w:val="1DCC309C"/>
    <w:rsid w:val="1DDC756B"/>
    <w:rsid w:val="1DE303E5"/>
    <w:rsid w:val="1DF20CB4"/>
    <w:rsid w:val="1DF36104"/>
    <w:rsid w:val="1DF51610"/>
    <w:rsid w:val="1E01141C"/>
    <w:rsid w:val="1E3D18A3"/>
    <w:rsid w:val="1E596BB7"/>
    <w:rsid w:val="1E6A084E"/>
    <w:rsid w:val="1E6E5DE2"/>
    <w:rsid w:val="1E707ECB"/>
    <w:rsid w:val="1E7569E3"/>
    <w:rsid w:val="1E8C0022"/>
    <w:rsid w:val="1EAA20D4"/>
    <w:rsid w:val="1EB8717C"/>
    <w:rsid w:val="1EBE420E"/>
    <w:rsid w:val="1EC33F3E"/>
    <w:rsid w:val="1EDF6E17"/>
    <w:rsid w:val="1EF27207"/>
    <w:rsid w:val="1F144534"/>
    <w:rsid w:val="1F246077"/>
    <w:rsid w:val="1F2B13FF"/>
    <w:rsid w:val="1F505606"/>
    <w:rsid w:val="1F6A2B6C"/>
    <w:rsid w:val="1F6A4104"/>
    <w:rsid w:val="1F72256E"/>
    <w:rsid w:val="1F925057"/>
    <w:rsid w:val="1F950ABF"/>
    <w:rsid w:val="1FBE07C2"/>
    <w:rsid w:val="1FC11FCD"/>
    <w:rsid w:val="1FE30229"/>
    <w:rsid w:val="1FE47927"/>
    <w:rsid w:val="1FFF365F"/>
    <w:rsid w:val="202750D0"/>
    <w:rsid w:val="20285501"/>
    <w:rsid w:val="204607B7"/>
    <w:rsid w:val="204A0B08"/>
    <w:rsid w:val="205471C3"/>
    <w:rsid w:val="20980875"/>
    <w:rsid w:val="20981A3A"/>
    <w:rsid w:val="20E2036B"/>
    <w:rsid w:val="21556F04"/>
    <w:rsid w:val="21581F3F"/>
    <w:rsid w:val="21583423"/>
    <w:rsid w:val="216D0F5A"/>
    <w:rsid w:val="216D4A20"/>
    <w:rsid w:val="219A0DBB"/>
    <w:rsid w:val="21AA4994"/>
    <w:rsid w:val="21B207FA"/>
    <w:rsid w:val="21BE2083"/>
    <w:rsid w:val="21CE6CB6"/>
    <w:rsid w:val="21E927F5"/>
    <w:rsid w:val="221A3624"/>
    <w:rsid w:val="22321DD6"/>
    <w:rsid w:val="226506AC"/>
    <w:rsid w:val="22733ED9"/>
    <w:rsid w:val="22B175FF"/>
    <w:rsid w:val="22C56C82"/>
    <w:rsid w:val="22DA1DB7"/>
    <w:rsid w:val="22DD18A7"/>
    <w:rsid w:val="22E20A69"/>
    <w:rsid w:val="22E569AE"/>
    <w:rsid w:val="23166B67"/>
    <w:rsid w:val="231F5419"/>
    <w:rsid w:val="236C6787"/>
    <w:rsid w:val="238E19D2"/>
    <w:rsid w:val="239104E2"/>
    <w:rsid w:val="23BB319C"/>
    <w:rsid w:val="23CA3E04"/>
    <w:rsid w:val="23E96281"/>
    <w:rsid w:val="23FA6244"/>
    <w:rsid w:val="243520DB"/>
    <w:rsid w:val="24456DC2"/>
    <w:rsid w:val="24F8725E"/>
    <w:rsid w:val="253634F0"/>
    <w:rsid w:val="254E25E8"/>
    <w:rsid w:val="255D12DF"/>
    <w:rsid w:val="255F3263"/>
    <w:rsid w:val="258834D1"/>
    <w:rsid w:val="25A47B73"/>
    <w:rsid w:val="25AC5561"/>
    <w:rsid w:val="25D36F91"/>
    <w:rsid w:val="25F25669"/>
    <w:rsid w:val="26264831"/>
    <w:rsid w:val="262B0B7B"/>
    <w:rsid w:val="262E272C"/>
    <w:rsid w:val="26473E9E"/>
    <w:rsid w:val="26494115"/>
    <w:rsid w:val="264B57DE"/>
    <w:rsid w:val="265D2364"/>
    <w:rsid w:val="267569F6"/>
    <w:rsid w:val="26785B58"/>
    <w:rsid w:val="268E4D4B"/>
    <w:rsid w:val="26AC3A6A"/>
    <w:rsid w:val="26BE3F3A"/>
    <w:rsid w:val="26D73A91"/>
    <w:rsid w:val="26F07BDF"/>
    <w:rsid w:val="26F92A28"/>
    <w:rsid w:val="271D5449"/>
    <w:rsid w:val="27313F6F"/>
    <w:rsid w:val="27452B8C"/>
    <w:rsid w:val="278206FD"/>
    <w:rsid w:val="27BE6714"/>
    <w:rsid w:val="2813617D"/>
    <w:rsid w:val="285B6F60"/>
    <w:rsid w:val="28B90200"/>
    <w:rsid w:val="28B906C0"/>
    <w:rsid w:val="28ED3EC6"/>
    <w:rsid w:val="2902208A"/>
    <w:rsid w:val="29736AC1"/>
    <w:rsid w:val="297B3BC8"/>
    <w:rsid w:val="29A50C45"/>
    <w:rsid w:val="29A76FE9"/>
    <w:rsid w:val="29EB2AFB"/>
    <w:rsid w:val="29EE439A"/>
    <w:rsid w:val="2A48477C"/>
    <w:rsid w:val="2A612DBE"/>
    <w:rsid w:val="2A8555CF"/>
    <w:rsid w:val="2A8C1D7B"/>
    <w:rsid w:val="2AB541DD"/>
    <w:rsid w:val="2AC223FD"/>
    <w:rsid w:val="2ADE7954"/>
    <w:rsid w:val="2AF7727E"/>
    <w:rsid w:val="2B475D09"/>
    <w:rsid w:val="2B807398"/>
    <w:rsid w:val="2BDA0EEB"/>
    <w:rsid w:val="2BE5357A"/>
    <w:rsid w:val="2BFD76DA"/>
    <w:rsid w:val="2C0A4D8F"/>
    <w:rsid w:val="2C424529"/>
    <w:rsid w:val="2C51698E"/>
    <w:rsid w:val="2C574478"/>
    <w:rsid w:val="2C5C663C"/>
    <w:rsid w:val="2C722E46"/>
    <w:rsid w:val="2C8E776E"/>
    <w:rsid w:val="2CDF1D27"/>
    <w:rsid w:val="2CF33A75"/>
    <w:rsid w:val="2D3260DF"/>
    <w:rsid w:val="2D534468"/>
    <w:rsid w:val="2D8864DB"/>
    <w:rsid w:val="2DBE739B"/>
    <w:rsid w:val="2DC27831"/>
    <w:rsid w:val="2DDC3B25"/>
    <w:rsid w:val="2E054B87"/>
    <w:rsid w:val="2E0E0B66"/>
    <w:rsid w:val="2E24482E"/>
    <w:rsid w:val="2E3305CD"/>
    <w:rsid w:val="2E385BE3"/>
    <w:rsid w:val="2E89643F"/>
    <w:rsid w:val="2EA5008E"/>
    <w:rsid w:val="2EB5143F"/>
    <w:rsid w:val="2EBD6924"/>
    <w:rsid w:val="2EC41B6D"/>
    <w:rsid w:val="2ED323A0"/>
    <w:rsid w:val="2EE10029"/>
    <w:rsid w:val="2EE95283"/>
    <w:rsid w:val="2F240BD8"/>
    <w:rsid w:val="2F3C5BA7"/>
    <w:rsid w:val="2F40046A"/>
    <w:rsid w:val="2F437684"/>
    <w:rsid w:val="2F4555FF"/>
    <w:rsid w:val="2F654DC7"/>
    <w:rsid w:val="2F86708A"/>
    <w:rsid w:val="2F9B4641"/>
    <w:rsid w:val="2F9E1BA3"/>
    <w:rsid w:val="2FBD408C"/>
    <w:rsid w:val="2FF7281C"/>
    <w:rsid w:val="302A36DB"/>
    <w:rsid w:val="30436451"/>
    <w:rsid w:val="304F41C5"/>
    <w:rsid w:val="306C426A"/>
    <w:rsid w:val="307744C3"/>
    <w:rsid w:val="3080153D"/>
    <w:rsid w:val="30977B66"/>
    <w:rsid w:val="30B55C11"/>
    <w:rsid w:val="30E75210"/>
    <w:rsid w:val="30FC021A"/>
    <w:rsid w:val="31137B6B"/>
    <w:rsid w:val="31903F88"/>
    <w:rsid w:val="31A33CBC"/>
    <w:rsid w:val="322446E7"/>
    <w:rsid w:val="3226703B"/>
    <w:rsid w:val="32270449"/>
    <w:rsid w:val="32305DEA"/>
    <w:rsid w:val="3244724D"/>
    <w:rsid w:val="32671AA9"/>
    <w:rsid w:val="32827D75"/>
    <w:rsid w:val="3287538B"/>
    <w:rsid w:val="328922BB"/>
    <w:rsid w:val="32CD697B"/>
    <w:rsid w:val="33016EEC"/>
    <w:rsid w:val="33122EA7"/>
    <w:rsid w:val="33130ECB"/>
    <w:rsid w:val="33257A5C"/>
    <w:rsid w:val="33425A63"/>
    <w:rsid w:val="33812AA5"/>
    <w:rsid w:val="33837901"/>
    <w:rsid w:val="33871D11"/>
    <w:rsid w:val="33D07F54"/>
    <w:rsid w:val="34135D8F"/>
    <w:rsid w:val="343E1A7A"/>
    <w:rsid w:val="34605E94"/>
    <w:rsid w:val="34651443"/>
    <w:rsid w:val="34916346"/>
    <w:rsid w:val="34963664"/>
    <w:rsid w:val="34B513ED"/>
    <w:rsid w:val="34BA190F"/>
    <w:rsid w:val="34C401D1"/>
    <w:rsid w:val="35154ED0"/>
    <w:rsid w:val="35691CC8"/>
    <w:rsid w:val="357E0B14"/>
    <w:rsid w:val="359009FB"/>
    <w:rsid w:val="35CB558F"/>
    <w:rsid w:val="35FF348B"/>
    <w:rsid w:val="36137470"/>
    <w:rsid w:val="368617ED"/>
    <w:rsid w:val="368A178B"/>
    <w:rsid w:val="369340D7"/>
    <w:rsid w:val="36BF730B"/>
    <w:rsid w:val="36C30281"/>
    <w:rsid w:val="36E16D21"/>
    <w:rsid w:val="36E25286"/>
    <w:rsid w:val="37265173"/>
    <w:rsid w:val="37421C4F"/>
    <w:rsid w:val="37462179"/>
    <w:rsid w:val="3747333B"/>
    <w:rsid w:val="3797526A"/>
    <w:rsid w:val="37BE5D48"/>
    <w:rsid w:val="37BF7375"/>
    <w:rsid w:val="37FA5DBA"/>
    <w:rsid w:val="380F4E21"/>
    <w:rsid w:val="38610D42"/>
    <w:rsid w:val="38AC16A8"/>
    <w:rsid w:val="38CA4672"/>
    <w:rsid w:val="38EC44D2"/>
    <w:rsid w:val="38F56310"/>
    <w:rsid w:val="39134081"/>
    <w:rsid w:val="39314D45"/>
    <w:rsid w:val="39697599"/>
    <w:rsid w:val="399B34CA"/>
    <w:rsid w:val="39A76447"/>
    <w:rsid w:val="39C90037"/>
    <w:rsid w:val="3A077E08"/>
    <w:rsid w:val="3A2D189D"/>
    <w:rsid w:val="3A3A0F35"/>
    <w:rsid w:val="3A64545A"/>
    <w:rsid w:val="3A7B6A1B"/>
    <w:rsid w:val="3ADC3872"/>
    <w:rsid w:val="3AF60132"/>
    <w:rsid w:val="3B005886"/>
    <w:rsid w:val="3B14399B"/>
    <w:rsid w:val="3B163750"/>
    <w:rsid w:val="3B3A1848"/>
    <w:rsid w:val="3B6328C7"/>
    <w:rsid w:val="3BE27D36"/>
    <w:rsid w:val="3C190E3D"/>
    <w:rsid w:val="3C1A101E"/>
    <w:rsid w:val="3C432323"/>
    <w:rsid w:val="3C4E096B"/>
    <w:rsid w:val="3C8A1D00"/>
    <w:rsid w:val="3C9C5ED7"/>
    <w:rsid w:val="3CEA7FFA"/>
    <w:rsid w:val="3D0F2205"/>
    <w:rsid w:val="3D18555E"/>
    <w:rsid w:val="3D7F5232"/>
    <w:rsid w:val="3D87158C"/>
    <w:rsid w:val="3D984CFB"/>
    <w:rsid w:val="3DE035E0"/>
    <w:rsid w:val="3E09134A"/>
    <w:rsid w:val="3E31371C"/>
    <w:rsid w:val="3E396A10"/>
    <w:rsid w:val="3E410BEE"/>
    <w:rsid w:val="3E5B13B8"/>
    <w:rsid w:val="3E614CE2"/>
    <w:rsid w:val="3E7E1EB0"/>
    <w:rsid w:val="3E7F2BB4"/>
    <w:rsid w:val="3E8310FD"/>
    <w:rsid w:val="3E8867CA"/>
    <w:rsid w:val="3EA36A5E"/>
    <w:rsid w:val="3EA370A9"/>
    <w:rsid w:val="3EC84D62"/>
    <w:rsid w:val="3EC86B10"/>
    <w:rsid w:val="3ECA39EB"/>
    <w:rsid w:val="3EEC7BC8"/>
    <w:rsid w:val="3F325181"/>
    <w:rsid w:val="3F425244"/>
    <w:rsid w:val="3F582DCD"/>
    <w:rsid w:val="3F7A2500"/>
    <w:rsid w:val="3F827606"/>
    <w:rsid w:val="3FD6625B"/>
    <w:rsid w:val="400369B5"/>
    <w:rsid w:val="40150BBF"/>
    <w:rsid w:val="401D732F"/>
    <w:rsid w:val="40315CE1"/>
    <w:rsid w:val="404C3770"/>
    <w:rsid w:val="40EF3F23"/>
    <w:rsid w:val="410E63D5"/>
    <w:rsid w:val="414A7CB0"/>
    <w:rsid w:val="415723CD"/>
    <w:rsid w:val="41986C6D"/>
    <w:rsid w:val="420B1225"/>
    <w:rsid w:val="42442951"/>
    <w:rsid w:val="4249497E"/>
    <w:rsid w:val="42847BF7"/>
    <w:rsid w:val="42A247E0"/>
    <w:rsid w:val="42B4263C"/>
    <w:rsid w:val="42C910A8"/>
    <w:rsid w:val="42CD2946"/>
    <w:rsid w:val="42DC2910"/>
    <w:rsid w:val="42E06783"/>
    <w:rsid w:val="42E9790C"/>
    <w:rsid w:val="42F9198D"/>
    <w:rsid w:val="42FC76D0"/>
    <w:rsid w:val="43122A4F"/>
    <w:rsid w:val="43220A36"/>
    <w:rsid w:val="43533919"/>
    <w:rsid w:val="4355293C"/>
    <w:rsid w:val="438F3E78"/>
    <w:rsid w:val="43BB6C43"/>
    <w:rsid w:val="443B7D84"/>
    <w:rsid w:val="443C4228"/>
    <w:rsid w:val="444555AF"/>
    <w:rsid w:val="445D01AB"/>
    <w:rsid w:val="446C038D"/>
    <w:rsid w:val="4476184A"/>
    <w:rsid w:val="448B3D32"/>
    <w:rsid w:val="448E7968"/>
    <w:rsid w:val="44A26055"/>
    <w:rsid w:val="44D15B74"/>
    <w:rsid w:val="44D818C1"/>
    <w:rsid w:val="450F48DA"/>
    <w:rsid w:val="452C3209"/>
    <w:rsid w:val="455709C6"/>
    <w:rsid w:val="45570BED"/>
    <w:rsid w:val="45723DE6"/>
    <w:rsid w:val="45905EAD"/>
    <w:rsid w:val="45C67B21"/>
    <w:rsid w:val="45FA30AD"/>
    <w:rsid w:val="46141CE4"/>
    <w:rsid w:val="461A0599"/>
    <w:rsid w:val="46362EF9"/>
    <w:rsid w:val="46505844"/>
    <w:rsid w:val="46747AD2"/>
    <w:rsid w:val="467910D6"/>
    <w:rsid w:val="46854B63"/>
    <w:rsid w:val="469A6FE4"/>
    <w:rsid w:val="46C55AB2"/>
    <w:rsid w:val="46D26813"/>
    <w:rsid w:val="471C49BA"/>
    <w:rsid w:val="47370CD6"/>
    <w:rsid w:val="475606AA"/>
    <w:rsid w:val="479954ED"/>
    <w:rsid w:val="47AB6FCE"/>
    <w:rsid w:val="47BA6EE2"/>
    <w:rsid w:val="47BE31A6"/>
    <w:rsid w:val="47C6205A"/>
    <w:rsid w:val="47EC60E4"/>
    <w:rsid w:val="47FD3CCE"/>
    <w:rsid w:val="48284AC3"/>
    <w:rsid w:val="48586CEC"/>
    <w:rsid w:val="48A04659"/>
    <w:rsid w:val="48E704DA"/>
    <w:rsid w:val="48ED1F09"/>
    <w:rsid w:val="4904108C"/>
    <w:rsid w:val="49117305"/>
    <w:rsid w:val="49316094"/>
    <w:rsid w:val="49641B2B"/>
    <w:rsid w:val="49A93BA2"/>
    <w:rsid w:val="49B02FC2"/>
    <w:rsid w:val="49BE56DF"/>
    <w:rsid w:val="49ED38CE"/>
    <w:rsid w:val="4A6708DB"/>
    <w:rsid w:val="4A6D7DCF"/>
    <w:rsid w:val="4AA70076"/>
    <w:rsid w:val="4AC12452"/>
    <w:rsid w:val="4B1A671E"/>
    <w:rsid w:val="4BAB3A41"/>
    <w:rsid w:val="4BCC23AA"/>
    <w:rsid w:val="4BE223EB"/>
    <w:rsid w:val="4BE84CCB"/>
    <w:rsid w:val="4BEA3291"/>
    <w:rsid w:val="4C006754"/>
    <w:rsid w:val="4C483EB0"/>
    <w:rsid w:val="4C7B78B7"/>
    <w:rsid w:val="4C8A7AFA"/>
    <w:rsid w:val="4CA7245A"/>
    <w:rsid w:val="4CDE39A2"/>
    <w:rsid w:val="4D16138E"/>
    <w:rsid w:val="4D3B4EC4"/>
    <w:rsid w:val="4D882021"/>
    <w:rsid w:val="4DA5715E"/>
    <w:rsid w:val="4DB209AC"/>
    <w:rsid w:val="4DE2587A"/>
    <w:rsid w:val="4E3E2D7A"/>
    <w:rsid w:val="4E473712"/>
    <w:rsid w:val="4E694BDA"/>
    <w:rsid w:val="4E7526EB"/>
    <w:rsid w:val="4E807407"/>
    <w:rsid w:val="4E992277"/>
    <w:rsid w:val="4ECA68D4"/>
    <w:rsid w:val="4F0B3174"/>
    <w:rsid w:val="4F2718E7"/>
    <w:rsid w:val="4F34456A"/>
    <w:rsid w:val="4F471278"/>
    <w:rsid w:val="4F7E3BBA"/>
    <w:rsid w:val="4FAE1D52"/>
    <w:rsid w:val="50016325"/>
    <w:rsid w:val="504D5AE0"/>
    <w:rsid w:val="506F051F"/>
    <w:rsid w:val="507064AE"/>
    <w:rsid w:val="50A604AE"/>
    <w:rsid w:val="50B05655"/>
    <w:rsid w:val="50F47F3A"/>
    <w:rsid w:val="511C4A01"/>
    <w:rsid w:val="529C0587"/>
    <w:rsid w:val="52D27B05"/>
    <w:rsid w:val="53385317"/>
    <w:rsid w:val="53494AEB"/>
    <w:rsid w:val="53EF11C9"/>
    <w:rsid w:val="542B68D0"/>
    <w:rsid w:val="54652E7B"/>
    <w:rsid w:val="548918C6"/>
    <w:rsid w:val="549459EB"/>
    <w:rsid w:val="549D7F9A"/>
    <w:rsid w:val="54E65AEA"/>
    <w:rsid w:val="54E70AF5"/>
    <w:rsid w:val="54EF0E42"/>
    <w:rsid w:val="55072AA8"/>
    <w:rsid w:val="55175CA3"/>
    <w:rsid w:val="551B1622"/>
    <w:rsid w:val="553E67B1"/>
    <w:rsid w:val="55724866"/>
    <w:rsid w:val="56462CE4"/>
    <w:rsid w:val="56693A76"/>
    <w:rsid w:val="56B4020B"/>
    <w:rsid w:val="56E9366F"/>
    <w:rsid w:val="56ED315F"/>
    <w:rsid w:val="56FE711B"/>
    <w:rsid w:val="571B31C5"/>
    <w:rsid w:val="572172AD"/>
    <w:rsid w:val="57373E87"/>
    <w:rsid w:val="573E39BB"/>
    <w:rsid w:val="577556CB"/>
    <w:rsid w:val="577D0987"/>
    <w:rsid w:val="5780735A"/>
    <w:rsid w:val="5797131D"/>
    <w:rsid w:val="57E1581E"/>
    <w:rsid w:val="57EF3B87"/>
    <w:rsid w:val="57FD76B5"/>
    <w:rsid w:val="581B382C"/>
    <w:rsid w:val="586D09FC"/>
    <w:rsid w:val="589675A8"/>
    <w:rsid w:val="58973B60"/>
    <w:rsid w:val="58B67E59"/>
    <w:rsid w:val="58D00F8B"/>
    <w:rsid w:val="58D173B3"/>
    <w:rsid w:val="58E022CE"/>
    <w:rsid w:val="59121BB1"/>
    <w:rsid w:val="59165C58"/>
    <w:rsid w:val="592A16CF"/>
    <w:rsid w:val="59A321FB"/>
    <w:rsid w:val="59F20A8D"/>
    <w:rsid w:val="59F842F5"/>
    <w:rsid w:val="59F91E1B"/>
    <w:rsid w:val="59FB3DE5"/>
    <w:rsid w:val="5AAA087E"/>
    <w:rsid w:val="5ADD720D"/>
    <w:rsid w:val="5AE76118"/>
    <w:rsid w:val="5AF947C9"/>
    <w:rsid w:val="5AFC023A"/>
    <w:rsid w:val="5B0532A3"/>
    <w:rsid w:val="5B450D77"/>
    <w:rsid w:val="5B6634E0"/>
    <w:rsid w:val="5B940859"/>
    <w:rsid w:val="5B94571E"/>
    <w:rsid w:val="5BBA59B0"/>
    <w:rsid w:val="5BBF15C8"/>
    <w:rsid w:val="5C013209"/>
    <w:rsid w:val="5C645C4C"/>
    <w:rsid w:val="5C7165E1"/>
    <w:rsid w:val="5CC417B9"/>
    <w:rsid w:val="5CC47CC0"/>
    <w:rsid w:val="5CCE13F4"/>
    <w:rsid w:val="5CD050B5"/>
    <w:rsid w:val="5D2D26BF"/>
    <w:rsid w:val="5D391C60"/>
    <w:rsid w:val="5D420B01"/>
    <w:rsid w:val="5DB6074F"/>
    <w:rsid w:val="5E0771FD"/>
    <w:rsid w:val="5E336236"/>
    <w:rsid w:val="5E6F7432"/>
    <w:rsid w:val="5EE00FAF"/>
    <w:rsid w:val="5F001DC8"/>
    <w:rsid w:val="5F155949"/>
    <w:rsid w:val="5F1A4D0E"/>
    <w:rsid w:val="5F7C32D2"/>
    <w:rsid w:val="5FA13DF9"/>
    <w:rsid w:val="5FAD7930"/>
    <w:rsid w:val="5FC23A00"/>
    <w:rsid w:val="5FF609C0"/>
    <w:rsid w:val="600E3A0C"/>
    <w:rsid w:val="601856F1"/>
    <w:rsid w:val="607A0C97"/>
    <w:rsid w:val="6098413C"/>
    <w:rsid w:val="60C846E2"/>
    <w:rsid w:val="60EC2EA9"/>
    <w:rsid w:val="60F52262"/>
    <w:rsid w:val="61156500"/>
    <w:rsid w:val="61256F01"/>
    <w:rsid w:val="61490334"/>
    <w:rsid w:val="6155202D"/>
    <w:rsid w:val="61B71907"/>
    <w:rsid w:val="61C07F4C"/>
    <w:rsid w:val="620B4DE2"/>
    <w:rsid w:val="621734AF"/>
    <w:rsid w:val="623034EA"/>
    <w:rsid w:val="623954AB"/>
    <w:rsid w:val="623A2054"/>
    <w:rsid w:val="6243450F"/>
    <w:rsid w:val="62D578C9"/>
    <w:rsid w:val="62FC4B82"/>
    <w:rsid w:val="631041FE"/>
    <w:rsid w:val="63285B29"/>
    <w:rsid w:val="63367C3C"/>
    <w:rsid w:val="635357E1"/>
    <w:rsid w:val="638266CE"/>
    <w:rsid w:val="63AE1EC8"/>
    <w:rsid w:val="63E1766F"/>
    <w:rsid w:val="63E36016"/>
    <w:rsid w:val="641B3336"/>
    <w:rsid w:val="642F125B"/>
    <w:rsid w:val="64300E53"/>
    <w:rsid w:val="6457085E"/>
    <w:rsid w:val="646627A3"/>
    <w:rsid w:val="646A2293"/>
    <w:rsid w:val="648B4982"/>
    <w:rsid w:val="64AC3292"/>
    <w:rsid w:val="64AF5C32"/>
    <w:rsid w:val="64BF1BEA"/>
    <w:rsid w:val="64C5415D"/>
    <w:rsid w:val="64FE287E"/>
    <w:rsid w:val="650C33C5"/>
    <w:rsid w:val="652266CA"/>
    <w:rsid w:val="65307E23"/>
    <w:rsid w:val="654B754E"/>
    <w:rsid w:val="65501489"/>
    <w:rsid w:val="656C78BC"/>
    <w:rsid w:val="65864B37"/>
    <w:rsid w:val="65AD5545"/>
    <w:rsid w:val="65AE7D29"/>
    <w:rsid w:val="660A0814"/>
    <w:rsid w:val="661A2940"/>
    <w:rsid w:val="66294158"/>
    <w:rsid w:val="664663E8"/>
    <w:rsid w:val="666D606B"/>
    <w:rsid w:val="669E7FD2"/>
    <w:rsid w:val="66BE2423"/>
    <w:rsid w:val="66EF4CD2"/>
    <w:rsid w:val="670C13E0"/>
    <w:rsid w:val="67310E46"/>
    <w:rsid w:val="674E19F8"/>
    <w:rsid w:val="6753700F"/>
    <w:rsid w:val="675B2367"/>
    <w:rsid w:val="67650AF0"/>
    <w:rsid w:val="67695DFF"/>
    <w:rsid w:val="676D7C5F"/>
    <w:rsid w:val="67D87514"/>
    <w:rsid w:val="67E577CF"/>
    <w:rsid w:val="67F325A0"/>
    <w:rsid w:val="681011E9"/>
    <w:rsid w:val="68171F90"/>
    <w:rsid w:val="6844104D"/>
    <w:rsid w:val="68904799"/>
    <w:rsid w:val="68B852C3"/>
    <w:rsid w:val="68CD787A"/>
    <w:rsid w:val="68EF2221"/>
    <w:rsid w:val="692D521E"/>
    <w:rsid w:val="694E6CFC"/>
    <w:rsid w:val="69717549"/>
    <w:rsid w:val="69826D62"/>
    <w:rsid w:val="698C4A5A"/>
    <w:rsid w:val="69C2660A"/>
    <w:rsid w:val="69DB153D"/>
    <w:rsid w:val="6A040A94"/>
    <w:rsid w:val="6A203B1F"/>
    <w:rsid w:val="6A246A40"/>
    <w:rsid w:val="6A701400"/>
    <w:rsid w:val="6A7C322F"/>
    <w:rsid w:val="6A7F0169"/>
    <w:rsid w:val="6AB4102B"/>
    <w:rsid w:val="6AE5205E"/>
    <w:rsid w:val="6AEB755E"/>
    <w:rsid w:val="6AEC1C54"/>
    <w:rsid w:val="6B107AD1"/>
    <w:rsid w:val="6B7B1AB7"/>
    <w:rsid w:val="6BA964AF"/>
    <w:rsid w:val="6BAF4D5A"/>
    <w:rsid w:val="6BF37AE9"/>
    <w:rsid w:val="6BFF656E"/>
    <w:rsid w:val="6C272092"/>
    <w:rsid w:val="6C7041BF"/>
    <w:rsid w:val="6C8639E2"/>
    <w:rsid w:val="6CAF1E59"/>
    <w:rsid w:val="6CBB5389"/>
    <w:rsid w:val="6CBE13CE"/>
    <w:rsid w:val="6CD40BF2"/>
    <w:rsid w:val="6D1B0052"/>
    <w:rsid w:val="6D286956"/>
    <w:rsid w:val="6D3451EC"/>
    <w:rsid w:val="6D394EF9"/>
    <w:rsid w:val="6D55456E"/>
    <w:rsid w:val="6D994899"/>
    <w:rsid w:val="6DA54E60"/>
    <w:rsid w:val="6DD071EE"/>
    <w:rsid w:val="6DD70AA6"/>
    <w:rsid w:val="6DE00490"/>
    <w:rsid w:val="6E050987"/>
    <w:rsid w:val="6E4D18A4"/>
    <w:rsid w:val="6E6733A0"/>
    <w:rsid w:val="6E887155"/>
    <w:rsid w:val="6E960634"/>
    <w:rsid w:val="6EB04543"/>
    <w:rsid w:val="6EBD2B8A"/>
    <w:rsid w:val="6ECB1959"/>
    <w:rsid w:val="6EEE3AC1"/>
    <w:rsid w:val="6F3F0C8A"/>
    <w:rsid w:val="6F4715AA"/>
    <w:rsid w:val="6F525DFE"/>
    <w:rsid w:val="6F7F3D4B"/>
    <w:rsid w:val="6F8754C1"/>
    <w:rsid w:val="6FCE7604"/>
    <w:rsid w:val="6FFB4193"/>
    <w:rsid w:val="70230F84"/>
    <w:rsid w:val="702507C8"/>
    <w:rsid w:val="702E2323"/>
    <w:rsid w:val="70564717"/>
    <w:rsid w:val="70A72C33"/>
    <w:rsid w:val="70D23371"/>
    <w:rsid w:val="71182A50"/>
    <w:rsid w:val="71245028"/>
    <w:rsid w:val="713779A1"/>
    <w:rsid w:val="717F29DF"/>
    <w:rsid w:val="71C47E8D"/>
    <w:rsid w:val="71E03B95"/>
    <w:rsid w:val="720E636D"/>
    <w:rsid w:val="72136EEC"/>
    <w:rsid w:val="723839D1"/>
    <w:rsid w:val="72485D8E"/>
    <w:rsid w:val="72563C24"/>
    <w:rsid w:val="725B372C"/>
    <w:rsid w:val="72736E04"/>
    <w:rsid w:val="727F142E"/>
    <w:rsid w:val="72935F51"/>
    <w:rsid w:val="72F85D77"/>
    <w:rsid w:val="72FB055A"/>
    <w:rsid w:val="73165394"/>
    <w:rsid w:val="73454FAD"/>
    <w:rsid w:val="735635E4"/>
    <w:rsid w:val="737C3121"/>
    <w:rsid w:val="73820E28"/>
    <w:rsid w:val="73D117C0"/>
    <w:rsid w:val="73E31467"/>
    <w:rsid w:val="73F6144E"/>
    <w:rsid w:val="73FE6554"/>
    <w:rsid w:val="7422416A"/>
    <w:rsid w:val="74261AE3"/>
    <w:rsid w:val="74454183"/>
    <w:rsid w:val="745F58C2"/>
    <w:rsid w:val="74784559"/>
    <w:rsid w:val="749C5D6B"/>
    <w:rsid w:val="74A7099A"/>
    <w:rsid w:val="74AF538D"/>
    <w:rsid w:val="74B57EAD"/>
    <w:rsid w:val="74CE474F"/>
    <w:rsid w:val="74EC2027"/>
    <w:rsid w:val="75241FEA"/>
    <w:rsid w:val="755723C0"/>
    <w:rsid w:val="75723055"/>
    <w:rsid w:val="758545EB"/>
    <w:rsid w:val="758D0645"/>
    <w:rsid w:val="759A405B"/>
    <w:rsid w:val="75A063FF"/>
    <w:rsid w:val="75AD4F12"/>
    <w:rsid w:val="75D532E5"/>
    <w:rsid w:val="75EF516B"/>
    <w:rsid w:val="75F85260"/>
    <w:rsid w:val="760C23E8"/>
    <w:rsid w:val="76155969"/>
    <w:rsid w:val="764A1B9D"/>
    <w:rsid w:val="76513D6C"/>
    <w:rsid w:val="76671E8C"/>
    <w:rsid w:val="76693189"/>
    <w:rsid w:val="769D02A6"/>
    <w:rsid w:val="76CA4E14"/>
    <w:rsid w:val="76D400B8"/>
    <w:rsid w:val="77004391"/>
    <w:rsid w:val="77204EF6"/>
    <w:rsid w:val="772F7752"/>
    <w:rsid w:val="7769462C"/>
    <w:rsid w:val="776E1C43"/>
    <w:rsid w:val="77751B25"/>
    <w:rsid w:val="77826762"/>
    <w:rsid w:val="778622A7"/>
    <w:rsid w:val="77AB07A1"/>
    <w:rsid w:val="77C67389"/>
    <w:rsid w:val="77CB0E43"/>
    <w:rsid w:val="77E230FD"/>
    <w:rsid w:val="780C2FB1"/>
    <w:rsid w:val="7811774D"/>
    <w:rsid w:val="783E4C56"/>
    <w:rsid w:val="784F737E"/>
    <w:rsid w:val="792A3948"/>
    <w:rsid w:val="79560ED2"/>
    <w:rsid w:val="79650B6D"/>
    <w:rsid w:val="79861BA2"/>
    <w:rsid w:val="79883191"/>
    <w:rsid w:val="79E21EB4"/>
    <w:rsid w:val="79E40587"/>
    <w:rsid w:val="79EF706B"/>
    <w:rsid w:val="79F71E9C"/>
    <w:rsid w:val="7AA8546C"/>
    <w:rsid w:val="7AAE5DC9"/>
    <w:rsid w:val="7ACB4CB6"/>
    <w:rsid w:val="7AD84E69"/>
    <w:rsid w:val="7AD9728E"/>
    <w:rsid w:val="7AFF4689"/>
    <w:rsid w:val="7B121E97"/>
    <w:rsid w:val="7B242D44"/>
    <w:rsid w:val="7B2B1D2B"/>
    <w:rsid w:val="7B494559"/>
    <w:rsid w:val="7B8C571E"/>
    <w:rsid w:val="7B8F1019"/>
    <w:rsid w:val="7B9145F0"/>
    <w:rsid w:val="7BA40EC8"/>
    <w:rsid w:val="7BE17B70"/>
    <w:rsid w:val="7BFA5853"/>
    <w:rsid w:val="7C0F3D99"/>
    <w:rsid w:val="7C6D2235"/>
    <w:rsid w:val="7C856EC8"/>
    <w:rsid w:val="7C964388"/>
    <w:rsid w:val="7CBE2D25"/>
    <w:rsid w:val="7CD31F2F"/>
    <w:rsid w:val="7CED02AC"/>
    <w:rsid w:val="7CF84488"/>
    <w:rsid w:val="7D5E5F64"/>
    <w:rsid w:val="7DA243F4"/>
    <w:rsid w:val="7DAF281C"/>
    <w:rsid w:val="7DCA389C"/>
    <w:rsid w:val="7E063455"/>
    <w:rsid w:val="7E514E49"/>
    <w:rsid w:val="7E9E4BBC"/>
    <w:rsid w:val="7EA67F14"/>
    <w:rsid w:val="7F392B36"/>
    <w:rsid w:val="7F623E3B"/>
    <w:rsid w:val="7F7E5DEE"/>
    <w:rsid w:val="7FC3324B"/>
    <w:rsid w:val="7FDD55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4"/>
    <w:link w:val="54"/>
    <w:qFormat/>
    <w:uiPriority w:val="0"/>
    <w:pPr>
      <w:keepNext/>
      <w:keepLines/>
      <w:spacing w:after="120" w:line="360" w:lineRule="auto"/>
      <w:jc w:val="left"/>
      <w:outlineLvl w:val="0"/>
    </w:pPr>
    <w:rPr>
      <w:kern w:val="44"/>
      <w:sz w:val="28"/>
      <w:szCs w:val="28"/>
    </w:rPr>
  </w:style>
  <w:style w:type="paragraph" w:styleId="6">
    <w:name w:val="heading 2"/>
    <w:basedOn w:val="1"/>
    <w:next w:val="1"/>
    <w:qFormat/>
    <w:uiPriority w:val="0"/>
    <w:pPr>
      <w:keepNext/>
      <w:keepLines/>
      <w:spacing w:before="120" w:after="120" w:line="415" w:lineRule="auto"/>
      <w:ind w:left="454"/>
      <w:jc w:val="center"/>
      <w:outlineLvl w:val="1"/>
    </w:pPr>
    <w:rPr>
      <w:rFonts w:ascii="Arial" w:hAnsi="Arial"/>
      <w:b/>
      <w:color w:val="000000"/>
      <w:kern w:val="0"/>
      <w:sz w:val="24"/>
      <w:szCs w:val="24"/>
    </w:rPr>
  </w:style>
  <w:style w:type="paragraph" w:styleId="7">
    <w:name w:val="heading 3"/>
    <w:basedOn w:val="1"/>
    <w:next w:val="1"/>
    <w:qFormat/>
    <w:uiPriority w:val="0"/>
    <w:pPr>
      <w:widowControl/>
      <w:spacing w:before="100" w:beforeAutospacing="1" w:after="100" w:afterAutospacing="1"/>
      <w:jc w:val="left"/>
      <w:outlineLvl w:val="2"/>
    </w:pPr>
    <w:rPr>
      <w:rFonts w:ascii="宋体"/>
      <w:kern w:val="0"/>
      <w:sz w:val="27"/>
      <w:szCs w:val="27"/>
    </w:rPr>
  </w:style>
  <w:style w:type="paragraph" w:styleId="8">
    <w:name w:val="heading 4"/>
    <w:basedOn w:val="1"/>
    <w:next w:val="1"/>
    <w:qFormat/>
    <w:uiPriority w:val="0"/>
    <w:pPr>
      <w:keepNext/>
      <w:keepLines/>
      <w:spacing w:before="50" w:beforeLines="50" w:after="50" w:afterLines="50" w:line="360" w:lineRule="auto"/>
      <w:ind w:left="284" w:hanging="284"/>
      <w:outlineLvl w:val="3"/>
    </w:pPr>
    <w:rPr>
      <w:rFonts w:ascii="Arial" w:hAnsi="Arial"/>
      <w:color w:val="000000"/>
      <w:kern w:val="0"/>
      <w:sz w:val="20"/>
      <w:szCs w:val="21"/>
    </w:rPr>
  </w:style>
  <w:style w:type="paragraph" w:styleId="9">
    <w:name w:val="heading 5"/>
    <w:basedOn w:val="8"/>
    <w:next w:val="10"/>
    <w:qFormat/>
    <w:uiPriority w:val="0"/>
    <w:pPr>
      <w:spacing w:line="240" w:lineRule="exact"/>
      <w:outlineLvl w:val="4"/>
    </w:pPr>
  </w:style>
  <w:style w:type="paragraph" w:styleId="11">
    <w:name w:val="heading 6"/>
    <w:basedOn w:val="1"/>
    <w:next w:val="1"/>
    <w:qFormat/>
    <w:uiPriority w:val="0"/>
    <w:pPr>
      <w:keepNext/>
      <w:keepLines/>
      <w:spacing w:before="240" w:after="64" w:line="319" w:lineRule="auto"/>
      <w:outlineLvl w:val="5"/>
    </w:pPr>
    <w:rPr>
      <w:rFonts w:ascii="Arial" w:hAnsi="Arial" w:eastAsia="黑体"/>
      <w:b/>
      <w:bCs/>
      <w:kern w:val="0"/>
      <w:sz w:val="24"/>
      <w:szCs w:val="24"/>
    </w:rPr>
  </w:style>
  <w:style w:type="paragraph" w:styleId="12">
    <w:name w:val="heading 7"/>
    <w:basedOn w:val="1"/>
    <w:next w:val="10"/>
    <w:qFormat/>
    <w:uiPriority w:val="0"/>
    <w:pPr>
      <w:keepNext/>
      <w:keepLines/>
      <w:spacing w:before="240" w:after="64" w:line="319" w:lineRule="auto"/>
      <w:outlineLvl w:val="6"/>
    </w:pPr>
    <w:rPr>
      <w:b/>
      <w:kern w:val="0"/>
      <w:sz w:val="24"/>
      <w:szCs w:val="20"/>
    </w:rPr>
  </w:style>
  <w:style w:type="paragraph" w:styleId="13">
    <w:name w:val="heading 8"/>
    <w:basedOn w:val="1"/>
    <w:next w:val="10"/>
    <w:qFormat/>
    <w:uiPriority w:val="0"/>
    <w:pPr>
      <w:keepNext/>
      <w:keepLines/>
      <w:spacing w:before="240" w:after="64" w:line="319" w:lineRule="auto"/>
      <w:outlineLvl w:val="7"/>
    </w:pPr>
    <w:rPr>
      <w:rFonts w:ascii="Arial" w:hAnsi="Arial" w:eastAsia="黑体"/>
      <w:kern w:val="0"/>
      <w:sz w:val="24"/>
      <w:szCs w:val="20"/>
    </w:rPr>
  </w:style>
  <w:style w:type="paragraph" w:styleId="14">
    <w:name w:val="heading 9"/>
    <w:basedOn w:val="1"/>
    <w:next w:val="10"/>
    <w:qFormat/>
    <w:uiPriority w:val="0"/>
    <w:pPr>
      <w:keepNext/>
      <w:keepLines/>
      <w:spacing w:before="240" w:after="64" w:line="319" w:lineRule="auto"/>
      <w:outlineLvl w:val="8"/>
    </w:pPr>
    <w:rPr>
      <w:rFonts w:ascii="Arial" w:hAnsi="Arial" w:eastAsia="黑体"/>
      <w:kern w:val="0"/>
      <w:sz w:val="2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link w:val="55"/>
    <w:qFormat/>
    <w:uiPriority w:val="0"/>
    <w:pPr>
      <w:spacing w:before="120" w:after="60"/>
      <w:jc w:val="center"/>
    </w:pPr>
    <w:rPr>
      <w:rFonts w:ascii="Arial" w:hAnsi="Arial"/>
      <w:b/>
      <w:kern w:val="0"/>
      <w:sz w:val="44"/>
      <w:szCs w:val="20"/>
    </w:rPr>
  </w:style>
  <w:style w:type="paragraph" w:styleId="4">
    <w:name w:val="Body Text First Indent"/>
    <w:basedOn w:val="5"/>
    <w:qFormat/>
    <w:uiPriority w:val="0"/>
    <w:pPr>
      <w:ind w:firstLine="420"/>
    </w:pPr>
  </w:style>
  <w:style w:type="paragraph" w:styleId="5">
    <w:name w:val="Body Text"/>
    <w:basedOn w:val="1"/>
    <w:qFormat/>
    <w:uiPriority w:val="0"/>
    <w:pPr>
      <w:spacing w:after="120"/>
    </w:pPr>
    <w:rPr>
      <w:kern w:val="0"/>
      <w:sz w:val="20"/>
      <w:szCs w:val="20"/>
    </w:rPr>
  </w:style>
  <w:style w:type="paragraph" w:styleId="10">
    <w:name w:val="Normal Indent"/>
    <w:basedOn w:val="1"/>
    <w:qFormat/>
    <w:uiPriority w:val="0"/>
    <w:pPr>
      <w:ind w:firstLine="420"/>
    </w:pPr>
    <w:rPr>
      <w:szCs w:val="20"/>
    </w:rPr>
  </w:style>
  <w:style w:type="paragraph" w:styleId="15">
    <w:name w:val="Document Map"/>
    <w:basedOn w:val="1"/>
    <w:qFormat/>
    <w:uiPriority w:val="0"/>
    <w:pPr>
      <w:shd w:val="clear" w:color="auto" w:fill="000080"/>
    </w:pPr>
    <w:rPr>
      <w:kern w:val="0"/>
      <w:sz w:val="20"/>
      <w:szCs w:val="20"/>
    </w:rPr>
  </w:style>
  <w:style w:type="paragraph" w:styleId="16">
    <w:name w:val="annotation text"/>
    <w:basedOn w:val="1"/>
    <w:qFormat/>
    <w:uiPriority w:val="0"/>
    <w:pPr>
      <w:spacing w:line="360" w:lineRule="auto"/>
      <w:ind w:firstLine="218" w:firstLineChars="218"/>
      <w:jc w:val="left"/>
    </w:pPr>
    <w:rPr>
      <w:rFonts w:ascii="宋体"/>
      <w:kern w:val="0"/>
      <w:sz w:val="24"/>
      <w:szCs w:val="24"/>
      <w:lang w:val="zh-CN"/>
    </w:rPr>
  </w:style>
  <w:style w:type="paragraph" w:styleId="17">
    <w:name w:val="index 6"/>
    <w:basedOn w:val="1"/>
    <w:next w:val="1"/>
    <w:qFormat/>
    <w:uiPriority w:val="0"/>
    <w:pPr>
      <w:ind w:left="2100"/>
    </w:pPr>
  </w:style>
  <w:style w:type="paragraph" w:styleId="18">
    <w:name w:val="Body Text 3"/>
    <w:basedOn w:val="1"/>
    <w:qFormat/>
    <w:uiPriority w:val="0"/>
    <w:pPr>
      <w:spacing w:after="120"/>
    </w:pPr>
    <w:rPr>
      <w:rFonts w:ascii="Calibri" w:hAnsi="Calibri"/>
      <w:sz w:val="16"/>
      <w:szCs w:val="16"/>
    </w:rPr>
  </w:style>
  <w:style w:type="paragraph" w:styleId="19">
    <w:name w:val="Body Text Indent"/>
    <w:basedOn w:val="1"/>
    <w:next w:val="1"/>
    <w:qFormat/>
    <w:uiPriority w:val="0"/>
    <w:pPr>
      <w:ind w:firstLine="570"/>
    </w:pPr>
    <w:rPr>
      <w:kern w:val="0"/>
      <w:sz w:val="28"/>
      <w:szCs w:val="20"/>
    </w:rPr>
  </w:style>
  <w:style w:type="paragraph" w:styleId="20">
    <w:name w:val="Block Text"/>
    <w:basedOn w:val="1"/>
    <w:unhideWhenUsed/>
    <w:qFormat/>
    <w:uiPriority w:val="99"/>
    <w:pPr>
      <w:widowControl/>
      <w:spacing w:after="120" w:line="276" w:lineRule="auto"/>
      <w:ind w:left="1440" w:leftChars="700" w:right="700" w:rightChars="700"/>
    </w:pPr>
    <w:rPr>
      <w:rFonts w:ascii="Calibri" w:hAnsi="Calibri"/>
      <w:sz w:val="22"/>
      <w:lang w:eastAsia="en-US" w:bidi="en-US"/>
    </w:rPr>
  </w:style>
  <w:style w:type="paragraph" w:styleId="21">
    <w:name w:val="toc 3"/>
    <w:basedOn w:val="1"/>
    <w:next w:val="1"/>
    <w:qFormat/>
    <w:uiPriority w:val="0"/>
    <w:pPr>
      <w:snapToGrid w:val="0"/>
      <w:spacing w:line="360" w:lineRule="auto"/>
      <w:ind w:left="400" w:leftChars="400"/>
      <w:jc w:val="left"/>
    </w:pPr>
    <w:rPr>
      <w:sz w:val="24"/>
      <w:szCs w:val="20"/>
    </w:rPr>
  </w:style>
  <w:style w:type="paragraph" w:styleId="22">
    <w:name w:val="Plain Text"/>
    <w:basedOn w:val="1"/>
    <w:next w:val="23"/>
    <w:qFormat/>
    <w:uiPriority w:val="0"/>
    <w:rPr>
      <w:rFonts w:ascii="宋体"/>
      <w:kern w:val="0"/>
      <w:sz w:val="20"/>
      <w:szCs w:val="20"/>
    </w:rPr>
  </w:style>
  <w:style w:type="paragraph" w:styleId="23">
    <w:name w:val="List Number 5"/>
    <w:basedOn w:val="1"/>
    <w:qFormat/>
    <w:uiPriority w:val="0"/>
    <w:pPr>
      <w:numPr>
        <w:ilvl w:val="0"/>
        <w:numId w:val="1"/>
      </w:numPr>
    </w:pPr>
  </w:style>
  <w:style w:type="paragraph" w:styleId="24">
    <w:name w:val="Date"/>
    <w:basedOn w:val="1"/>
    <w:next w:val="1"/>
    <w:qFormat/>
    <w:uiPriority w:val="0"/>
    <w:rPr>
      <w:kern w:val="0"/>
      <w:sz w:val="20"/>
      <w:szCs w:val="20"/>
    </w:rPr>
  </w:style>
  <w:style w:type="paragraph" w:styleId="25">
    <w:name w:val="Body Text Indent 2"/>
    <w:basedOn w:val="1"/>
    <w:qFormat/>
    <w:uiPriority w:val="0"/>
    <w:pPr>
      <w:spacing w:line="400" w:lineRule="exact"/>
      <w:ind w:left="425"/>
    </w:pPr>
    <w:rPr>
      <w:color w:val="000000"/>
      <w:kern w:val="0"/>
      <w:sz w:val="24"/>
      <w:szCs w:val="20"/>
    </w:rPr>
  </w:style>
  <w:style w:type="paragraph" w:styleId="26">
    <w:name w:val="endnote text"/>
    <w:basedOn w:val="1"/>
    <w:qFormat/>
    <w:uiPriority w:val="0"/>
    <w:pPr>
      <w:snapToGrid w:val="0"/>
      <w:jc w:val="left"/>
    </w:pPr>
    <w:rPr>
      <w:kern w:val="0"/>
      <w:sz w:val="20"/>
      <w:szCs w:val="20"/>
    </w:rPr>
  </w:style>
  <w:style w:type="paragraph" w:styleId="27">
    <w:name w:val="Balloon Text"/>
    <w:basedOn w:val="1"/>
    <w:qFormat/>
    <w:uiPriority w:val="0"/>
    <w:rPr>
      <w:kern w:val="0"/>
      <w:sz w:val="18"/>
      <w:szCs w:val="18"/>
    </w:rPr>
  </w:style>
  <w:style w:type="paragraph" w:styleId="28">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29">
    <w:name w:val="envelope return"/>
    <w:basedOn w:val="1"/>
    <w:qFormat/>
    <w:uiPriority w:val="0"/>
    <w:pPr>
      <w:snapToGrid w:val="0"/>
    </w:pPr>
    <w:rPr>
      <w:rFonts w:ascii="Arial" w:hAnsi="Arial"/>
      <w:szCs w:val="24"/>
    </w:rPr>
  </w:style>
  <w:style w:type="paragraph" w:styleId="30">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31">
    <w:name w:val="toc 1"/>
    <w:basedOn w:val="1"/>
    <w:next w:val="1"/>
    <w:qFormat/>
    <w:uiPriority w:val="0"/>
    <w:pPr>
      <w:tabs>
        <w:tab w:val="right" w:leader="dot" w:pos="9060"/>
      </w:tabs>
      <w:adjustRightInd w:val="0"/>
      <w:snapToGrid w:val="0"/>
      <w:spacing w:line="360" w:lineRule="auto"/>
      <w:jc w:val="left"/>
      <w:textAlignment w:val="baseline"/>
    </w:pPr>
    <w:rPr>
      <w:rFonts w:ascii="宋体"/>
      <w:caps/>
      <w:kern w:val="0"/>
      <w:sz w:val="24"/>
      <w:szCs w:val="32"/>
    </w:rPr>
  </w:style>
  <w:style w:type="paragraph" w:styleId="32">
    <w:name w:val="footnote text"/>
    <w:basedOn w:val="1"/>
    <w:qFormat/>
    <w:uiPriority w:val="0"/>
    <w:pPr>
      <w:snapToGrid w:val="0"/>
      <w:spacing w:line="360" w:lineRule="auto"/>
      <w:ind w:firstLine="218" w:firstLineChars="218"/>
      <w:jc w:val="left"/>
    </w:pPr>
    <w:rPr>
      <w:rFonts w:ascii="宋体"/>
      <w:kern w:val="0"/>
      <w:sz w:val="18"/>
      <w:szCs w:val="18"/>
    </w:rPr>
  </w:style>
  <w:style w:type="paragraph" w:styleId="33">
    <w:name w:val="Body Text Indent 3"/>
    <w:basedOn w:val="1"/>
    <w:qFormat/>
    <w:uiPriority w:val="0"/>
    <w:pPr>
      <w:tabs>
        <w:tab w:val="left" w:pos="0"/>
      </w:tabs>
      <w:spacing w:line="400" w:lineRule="exact"/>
      <w:ind w:left="263" w:leftChars="228" w:hanging="35" w:hangingChars="35"/>
    </w:pPr>
    <w:rPr>
      <w:color w:val="000000"/>
      <w:kern w:val="0"/>
      <w:sz w:val="24"/>
      <w:szCs w:val="20"/>
    </w:rPr>
  </w:style>
  <w:style w:type="paragraph" w:styleId="34">
    <w:name w:val="toc 2"/>
    <w:basedOn w:val="1"/>
    <w:next w:val="1"/>
    <w:qFormat/>
    <w:uiPriority w:val="0"/>
    <w:pPr>
      <w:tabs>
        <w:tab w:val="right" w:leader="dot" w:pos="9060"/>
      </w:tabs>
      <w:snapToGrid w:val="0"/>
      <w:spacing w:line="360" w:lineRule="auto"/>
      <w:ind w:left="200" w:leftChars="200"/>
      <w:jc w:val="left"/>
    </w:pPr>
    <w:rPr>
      <w:sz w:val="24"/>
      <w:szCs w:val="24"/>
    </w:rPr>
  </w:style>
  <w:style w:type="paragraph" w:styleId="35">
    <w:name w:val="Body Text 2"/>
    <w:basedOn w:val="1"/>
    <w:qFormat/>
    <w:uiPriority w:val="0"/>
    <w:rPr>
      <w:rFonts w:ascii="宋体"/>
      <w:kern w:val="0"/>
      <w:sz w:val="20"/>
      <w:szCs w:val="24"/>
      <w:u w:val="single"/>
    </w:rPr>
  </w:style>
  <w:style w:type="paragraph" w:styleId="36">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Times New Roman" w:eastAsia="宋体" w:cs="宋体"/>
      <w:sz w:val="24"/>
      <w:szCs w:val="24"/>
      <w:lang w:val="en-US" w:eastAsia="zh-CN" w:bidi="ar-SA"/>
    </w:rPr>
  </w:style>
  <w:style w:type="paragraph" w:styleId="37">
    <w:name w:val="Normal (Web)"/>
    <w:basedOn w:val="1"/>
    <w:qFormat/>
    <w:uiPriority w:val="0"/>
    <w:rPr>
      <w:sz w:val="24"/>
    </w:rPr>
  </w:style>
  <w:style w:type="paragraph" w:styleId="38">
    <w:name w:val="List Continue 3"/>
    <w:basedOn w:val="1"/>
    <w:qFormat/>
    <w:uiPriority w:val="0"/>
    <w:pPr>
      <w:spacing w:after="120"/>
      <w:ind w:left="1260" w:leftChars="600"/>
    </w:pPr>
    <w:rPr>
      <w:rFonts w:ascii="Calibri" w:hAnsi="Calibri"/>
      <w:szCs w:val="24"/>
    </w:rPr>
  </w:style>
  <w:style w:type="paragraph" w:styleId="39">
    <w:name w:val="index 1"/>
    <w:basedOn w:val="1"/>
    <w:next w:val="1"/>
    <w:qFormat/>
    <w:uiPriority w:val="0"/>
    <w:rPr>
      <w:rFonts w:eastAsia="仿宋_GB2312"/>
      <w:sz w:val="28"/>
      <w:szCs w:val="20"/>
    </w:rPr>
  </w:style>
  <w:style w:type="paragraph" w:styleId="40">
    <w:name w:val="annotation subject"/>
    <w:basedOn w:val="16"/>
    <w:next w:val="16"/>
    <w:qFormat/>
    <w:uiPriority w:val="0"/>
    <w:rPr>
      <w:b/>
      <w:bCs/>
    </w:rPr>
  </w:style>
  <w:style w:type="paragraph" w:styleId="41">
    <w:name w:val="Body Text First Indent 2"/>
    <w:basedOn w:val="19"/>
    <w:qFormat/>
    <w:uiPriority w:val="0"/>
    <w:pPr>
      <w:spacing w:after="120"/>
      <w:ind w:left="200" w:leftChars="200" w:firstLine="200" w:firstLineChars="200"/>
    </w:pPr>
    <w:rPr>
      <w:rFonts w:ascii="Calibri" w:hAnsi="Calibri"/>
      <w:color w:val="0D0D0D"/>
      <w:sz w:val="21"/>
      <w:szCs w:val="24"/>
      <w:lang w:eastAsia="en-US"/>
    </w:rPr>
  </w:style>
  <w:style w:type="table" w:styleId="43">
    <w:name w:val="Table Grid"/>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rPr>
  </w:style>
  <w:style w:type="character" w:styleId="46">
    <w:name w:val="endnote reference"/>
    <w:qFormat/>
    <w:uiPriority w:val="0"/>
    <w:rPr>
      <w:vertAlign w:val="superscript"/>
    </w:rPr>
  </w:style>
  <w:style w:type="character" w:styleId="47">
    <w:name w:val="page number"/>
    <w:qFormat/>
    <w:uiPriority w:val="0"/>
    <w:rPr>
      <w:rFonts w:cs="Times New Roman"/>
    </w:rPr>
  </w:style>
  <w:style w:type="character" w:styleId="48">
    <w:name w:val="FollowedHyperlink"/>
    <w:qFormat/>
    <w:uiPriority w:val="0"/>
    <w:rPr>
      <w:color w:val="954F72"/>
      <w:u w:val="single"/>
    </w:rPr>
  </w:style>
  <w:style w:type="character" w:styleId="49">
    <w:name w:val="Hyperlink"/>
    <w:qFormat/>
    <w:uiPriority w:val="0"/>
    <w:rPr>
      <w:color w:val="0000FF"/>
      <w:u w:val="single"/>
    </w:rPr>
  </w:style>
  <w:style w:type="character" w:styleId="50">
    <w:name w:val="annotation reference"/>
    <w:qFormat/>
    <w:uiPriority w:val="0"/>
    <w:rPr>
      <w:sz w:val="21"/>
      <w:szCs w:val="21"/>
    </w:rPr>
  </w:style>
  <w:style w:type="character" w:styleId="51">
    <w:name w:val="footnote reference"/>
    <w:qFormat/>
    <w:uiPriority w:val="0"/>
    <w:rPr>
      <w:vertAlign w:val="superscript"/>
    </w:rPr>
  </w:style>
  <w:style w:type="paragraph" w:customStyle="1" w:styleId="52">
    <w:name w:val="样式1"/>
    <w:basedOn w:val="19"/>
    <w:next w:val="20"/>
    <w:qFormat/>
    <w:uiPriority w:val="0"/>
    <w:rPr>
      <w:rFonts w:ascii="Times New Roman" w:hAnsi="Times New Roman"/>
    </w:rPr>
  </w:style>
  <w:style w:type="paragraph" w:customStyle="1" w:styleId="53">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4">
    <w:name w:val="标题 1 字符1"/>
    <w:basedOn w:val="55"/>
    <w:link w:val="2"/>
    <w:qFormat/>
    <w:uiPriority w:val="0"/>
    <w:rPr>
      <w:rFonts w:ascii="Arial" w:hAnsi="Arial" w:eastAsia="宋体" w:cs="Times New Roman"/>
      <w:kern w:val="44"/>
      <w:sz w:val="28"/>
      <w:szCs w:val="28"/>
      <w:lang w:val="en-US" w:eastAsia="zh-CN" w:bidi="ar-SA"/>
    </w:rPr>
  </w:style>
  <w:style w:type="character" w:customStyle="1" w:styleId="55">
    <w:name w:val="标题 字符1"/>
    <w:basedOn w:val="44"/>
    <w:link w:val="3"/>
    <w:qFormat/>
    <w:uiPriority w:val="0"/>
    <w:rPr>
      <w:rFonts w:ascii="Arial" w:hAnsi="Arial" w:eastAsia="宋体" w:cs="Times New Roman"/>
      <w:b/>
      <w:kern w:val="0"/>
      <w:sz w:val="44"/>
      <w:szCs w:val="20"/>
      <w:lang w:val="en-US" w:eastAsia="zh-CN" w:bidi="ar-SA"/>
    </w:rPr>
  </w:style>
  <w:style w:type="paragraph" w:customStyle="1" w:styleId="56">
    <w:name w:val="文一"/>
    <w:basedOn w:val="1"/>
    <w:next w:val="1"/>
    <w:qFormat/>
    <w:uiPriority w:val="0"/>
    <w:pPr>
      <w:topLinePunct/>
      <w:adjustRightInd w:val="0"/>
      <w:snapToGrid w:val="0"/>
      <w:spacing w:line="360" w:lineRule="auto"/>
      <w:ind w:firstLine="200" w:firstLineChars="200"/>
    </w:pPr>
    <w:rPr>
      <w:spacing w:val="4"/>
      <w:kern w:val="0"/>
      <w:sz w:val="24"/>
      <w:szCs w:val="24"/>
    </w:rPr>
  </w:style>
  <w:style w:type="character" w:customStyle="1" w:styleId="57">
    <w:name w:val="纯文本 字符"/>
    <w:qFormat/>
    <w:uiPriority w:val="0"/>
    <w:rPr>
      <w:rFonts w:ascii="等线" w:hAnsi="等线" w:cs="Courier New"/>
    </w:rPr>
  </w:style>
  <w:style w:type="character" w:customStyle="1" w:styleId="58">
    <w:name w:val="批注文字 字符"/>
    <w:qFormat/>
    <w:uiPriority w:val="0"/>
    <w:rPr>
      <w:rFonts w:ascii="Calibri" w:hAnsi="Calibri" w:eastAsia="宋体" w:cs="Times New Roman"/>
    </w:rPr>
  </w:style>
  <w:style w:type="character" w:customStyle="1" w:styleId="59">
    <w:name w:val="标题 5 字符"/>
    <w:qFormat/>
    <w:uiPriority w:val="0"/>
    <w:rPr>
      <w:rFonts w:ascii="Calibri" w:hAnsi="Calibri" w:eastAsia="宋体" w:cs="Times New Roman"/>
      <w:b/>
      <w:bCs/>
      <w:sz w:val="28"/>
      <w:szCs w:val="28"/>
    </w:rPr>
  </w:style>
  <w:style w:type="paragraph" w:customStyle="1" w:styleId="60">
    <w:name w:val="_Style 48"/>
    <w:basedOn w:val="5"/>
    <w:next w:val="4"/>
    <w:qFormat/>
    <w:uiPriority w:val="0"/>
    <w:pPr>
      <w:ind w:firstLine="420"/>
    </w:pPr>
  </w:style>
  <w:style w:type="character" w:customStyle="1" w:styleId="61">
    <w:name w:val="正文文本缩进 字符"/>
    <w:qFormat/>
    <w:uiPriority w:val="0"/>
    <w:rPr>
      <w:rFonts w:ascii="Calibri" w:hAnsi="Calibri" w:eastAsia="宋体" w:cs="Times New Roman"/>
    </w:rPr>
  </w:style>
  <w:style w:type="character" w:customStyle="1" w:styleId="62">
    <w:name w:val="文档结构图 字符"/>
    <w:qFormat/>
    <w:uiPriority w:val="0"/>
    <w:rPr>
      <w:rFonts w:ascii="Microsoft YaHei UI" w:hAnsi="Microsoft YaHei UI" w:eastAsia="Microsoft YaHei UI" w:cs="Times New Roman"/>
      <w:sz w:val="18"/>
      <w:szCs w:val="18"/>
    </w:rPr>
  </w:style>
  <w:style w:type="character" w:customStyle="1" w:styleId="63">
    <w:name w:val="标题 2 字符"/>
    <w:qFormat/>
    <w:uiPriority w:val="0"/>
    <w:rPr>
      <w:rFonts w:ascii="等线 Light" w:eastAsia="等线 Light" w:cs="Times New Roman"/>
      <w:b/>
      <w:bCs/>
      <w:sz w:val="32"/>
      <w:szCs w:val="32"/>
    </w:rPr>
  </w:style>
  <w:style w:type="character" w:customStyle="1" w:styleId="64">
    <w:name w:val="正文文本缩进 3 字符"/>
    <w:qFormat/>
    <w:uiPriority w:val="0"/>
    <w:rPr>
      <w:rFonts w:ascii="Calibri" w:hAnsi="Calibri" w:eastAsia="宋体" w:cs="Times New Roman"/>
      <w:sz w:val="16"/>
      <w:szCs w:val="16"/>
    </w:rPr>
  </w:style>
  <w:style w:type="character" w:customStyle="1" w:styleId="65">
    <w:name w:val="正文首行缩进 字符"/>
    <w:qFormat/>
    <w:uiPriority w:val="0"/>
  </w:style>
  <w:style w:type="character" w:customStyle="1" w:styleId="66">
    <w:name w:val="日期 字符"/>
    <w:qFormat/>
    <w:uiPriority w:val="0"/>
    <w:rPr>
      <w:rFonts w:ascii="Calibri" w:hAnsi="Calibri" w:eastAsia="宋体" w:cs="Times New Roman"/>
    </w:rPr>
  </w:style>
  <w:style w:type="character" w:customStyle="1" w:styleId="67">
    <w:name w:val="批注主题 字符"/>
    <w:qFormat/>
    <w:uiPriority w:val="0"/>
    <w:rPr>
      <w:rFonts w:ascii="Calibri" w:hAnsi="Calibri" w:eastAsia="宋体" w:cs="Times New Roman"/>
      <w:b/>
      <w:bCs/>
    </w:rPr>
  </w:style>
  <w:style w:type="character" w:customStyle="1" w:styleId="68">
    <w:name w:val="页脚 字符"/>
    <w:qFormat/>
    <w:uiPriority w:val="0"/>
    <w:rPr>
      <w:rFonts w:ascii="Calibri" w:hAnsi="Calibri" w:eastAsia="宋体" w:cs="Times New Roman"/>
      <w:sz w:val="18"/>
      <w:szCs w:val="18"/>
    </w:rPr>
  </w:style>
  <w:style w:type="character" w:customStyle="1" w:styleId="69">
    <w:name w:val="尾注文本 字符"/>
    <w:qFormat/>
    <w:uiPriority w:val="0"/>
    <w:rPr>
      <w:rFonts w:ascii="Calibri" w:hAnsi="Calibri" w:eastAsia="宋体" w:cs="Times New Roman"/>
    </w:rPr>
  </w:style>
  <w:style w:type="character" w:customStyle="1" w:styleId="70">
    <w:name w:val="正文文本 字符"/>
    <w:qFormat/>
    <w:uiPriority w:val="0"/>
    <w:rPr>
      <w:rFonts w:ascii="Calibri" w:hAnsi="Calibri" w:eastAsia="宋体" w:cs="Times New Roman"/>
    </w:rPr>
  </w:style>
  <w:style w:type="character" w:customStyle="1" w:styleId="71">
    <w:name w:val="标题 8 字符"/>
    <w:qFormat/>
    <w:uiPriority w:val="0"/>
    <w:rPr>
      <w:rFonts w:ascii="等线 Light" w:eastAsia="等线 Light" w:cs="Times New Roman"/>
      <w:sz w:val="24"/>
      <w:szCs w:val="24"/>
    </w:rPr>
  </w:style>
  <w:style w:type="character" w:customStyle="1" w:styleId="72">
    <w:name w:val="正文文本 2 字符"/>
    <w:qFormat/>
    <w:uiPriority w:val="0"/>
    <w:rPr>
      <w:rFonts w:ascii="Calibri" w:hAnsi="Calibri" w:eastAsia="宋体" w:cs="Times New Roman"/>
    </w:rPr>
  </w:style>
  <w:style w:type="character" w:customStyle="1" w:styleId="73">
    <w:name w:val="标题 9 字符"/>
    <w:qFormat/>
    <w:uiPriority w:val="0"/>
    <w:rPr>
      <w:rFonts w:ascii="等线 Light" w:eastAsia="等线 Light" w:cs="Times New Roman"/>
      <w:szCs w:val="21"/>
    </w:rPr>
  </w:style>
  <w:style w:type="character" w:customStyle="1" w:styleId="74">
    <w:name w:val="标题 4 字符"/>
    <w:qFormat/>
    <w:uiPriority w:val="0"/>
    <w:rPr>
      <w:rFonts w:ascii="等线 Light" w:eastAsia="等线 Light" w:cs="Times New Roman"/>
      <w:b/>
      <w:bCs/>
      <w:sz w:val="28"/>
      <w:szCs w:val="28"/>
    </w:rPr>
  </w:style>
  <w:style w:type="character" w:customStyle="1" w:styleId="75">
    <w:name w:val="页眉 字符"/>
    <w:qFormat/>
    <w:uiPriority w:val="0"/>
    <w:rPr>
      <w:rFonts w:ascii="Calibri" w:hAnsi="Calibri" w:eastAsia="宋体" w:cs="Times New Roman"/>
      <w:sz w:val="18"/>
      <w:szCs w:val="18"/>
    </w:rPr>
  </w:style>
  <w:style w:type="character" w:customStyle="1" w:styleId="76">
    <w:name w:val="标题 3 字符"/>
    <w:qFormat/>
    <w:uiPriority w:val="0"/>
    <w:rPr>
      <w:rFonts w:ascii="Calibri" w:hAnsi="Calibri" w:eastAsia="宋体" w:cs="Times New Roman"/>
      <w:b/>
      <w:bCs/>
      <w:sz w:val="32"/>
      <w:szCs w:val="32"/>
    </w:rPr>
  </w:style>
  <w:style w:type="character" w:customStyle="1" w:styleId="77">
    <w:name w:val="正文文本缩进 2 字符"/>
    <w:qFormat/>
    <w:uiPriority w:val="0"/>
    <w:rPr>
      <w:rFonts w:ascii="Calibri" w:hAnsi="Calibri" w:eastAsia="宋体" w:cs="Times New Roman"/>
    </w:rPr>
  </w:style>
  <w:style w:type="character" w:customStyle="1" w:styleId="78">
    <w:name w:val="批注框文本 字符"/>
    <w:qFormat/>
    <w:uiPriority w:val="0"/>
    <w:rPr>
      <w:rFonts w:ascii="Calibri" w:hAnsi="Calibri" w:eastAsia="宋体" w:cs="Times New Roman"/>
      <w:sz w:val="18"/>
      <w:szCs w:val="18"/>
    </w:rPr>
  </w:style>
  <w:style w:type="character" w:customStyle="1" w:styleId="79">
    <w:name w:val="标题 1 字符"/>
    <w:qFormat/>
    <w:uiPriority w:val="0"/>
    <w:rPr>
      <w:rFonts w:ascii="Calibri" w:hAnsi="Calibri" w:eastAsia="宋体" w:cs="Times New Roman"/>
      <w:b/>
      <w:bCs/>
      <w:kern w:val="44"/>
      <w:sz w:val="44"/>
      <w:szCs w:val="44"/>
    </w:rPr>
  </w:style>
  <w:style w:type="character" w:customStyle="1" w:styleId="80">
    <w:name w:val="NormalCharacter"/>
    <w:qFormat/>
    <w:uiPriority w:val="0"/>
    <w:rPr>
      <w:rFonts w:ascii="Calibri" w:hAnsi="Calibri" w:eastAsia="宋体" w:cs="Times New Roman"/>
      <w:kern w:val="2"/>
      <w:sz w:val="21"/>
      <w:szCs w:val="22"/>
      <w:lang w:val="en-US" w:eastAsia="zh-CN" w:bidi="ar-SA"/>
    </w:rPr>
  </w:style>
  <w:style w:type="character" w:customStyle="1" w:styleId="81">
    <w:name w:val="脚注文本 字符"/>
    <w:qFormat/>
    <w:uiPriority w:val="0"/>
    <w:rPr>
      <w:rFonts w:ascii="Calibri" w:hAnsi="Calibri" w:eastAsia="宋体" w:cs="Times New Roman"/>
      <w:sz w:val="18"/>
      <w:szCs w:val="18"/>
    </w:rPr>
  </w:style>
  <w:style w:type="character" w:customStyle="1" w:styleId="82">
    <w:name w:val="标题 6 字符"/>
    <w:qFormat/>
    <w:uiPriority w:val="0"/>
    <w:rPr>
      <w:rFonts w:ascii="等线 Light" w:eastAsia="等线 Light" w:cs="Times New Roman"/>
      <w:b/>
      <w:bCs/>
      <w:sz w:val="24"/>
      <w:szCs w:val="24"/>
    </w:rPr>
  </w:style>
  <w:style w:type="character" w:customStyle="1" w:styleId="83">
    <w:name w:val="标题 字符"/>
    <w:qFormat/>
    <w:uiPriority w:val="0"/>
    <w:rPr>
      <w:rFonts w:ascii="等线 Light" w:eastAsia="等线 Light" w:cs="Times New Roman"/>
      <w:b/>
      <w:bCs/>
      <w:sz w:val="32"/>
      <w:szCs w:val="32"/>
    </w:rPr>
  </w:style>
  <w:style w:type="character" w:customStyle="1" w:styleId="84">
    <w:name w:val="标题 7 字符"/>
    <w:qFormat/>
    <w:uiPriority w:val="0"/>
    <w:rPr>
      <w:rFonts w:ascii="Calibri" w:hAnsi="Calibri" w:eastAsia="宋体" w:cs="Times New Roman"/>
      <w:b/>
      <w:bCs/>
      <w:sz w:val="24"/>
      <w:szCs w:val="24"/>
    </w:rPr>
  </w:style>
  <w:style w:type="paragraph" w:customStyle="1" w:styleId="85">
    <w:name w:val="TOC 标题1"/>
    <w:basedOn w:val="2"/>
    <w:next w:val="1"/>
    <w:qFormat/>
    <w:uiPriority w:val="0"/>
    <w:pPr>
      <w:widowControl/>
      <w:spacing w:before="480" w:after="0" w:line="276" w:lineRule="auto"/>
      <w:outlineLvl w:val="9"/>
    </w:pPr>
    <w:rPr>
      <w:rFonts w:ascii="Cambria" w:hAnsi="Cambria"/>
      <w:color w:val="365F91"/>
      <w:kern w:val="0"/>
    </w:rPr>
  </w:style>
  <w:style w:type="paragraph" w:customStyle="1" w:styleId="86">
    <w:name w:val="Char Char Char Char"/>
    <w:basedOn w:val="1"/>
    <w:next w:val="1"/>
    <w:qFormat/>
    <w:uiPriority w:val="0"/>
    <w:rPr>
      <w:sz w:val="30"/>
      <w:szCs w:val="24"/>
    </w:rPr>
  </w:style>
  <w:style w:type="paragraph" w:customStyle="1" w:styleId="87">
    <w:name w:val="公文正文"/>
    <w:qFormat/>
    <w:uiPriority w:val="0"/>
    <w:pPr>
      <w:widowControl w:val="0"/>
      <w:spacing w:line="360" w:lineRule="auto"/>
      <w:ind w:firstLine="629"/>
      <w:jc w:val="both"/>
    </w:pPr>
    <w:rPr>
      <w:rFonts w:ascii="仿宋_GB2312" w:hAnsi="Times New Roman" w:eastAsia="仿宋_GB2312" w:cs="Times New Roman"/>
      <w:color w:val="000000"/>
      <w:sz w:val="32"/>
      <w:lang w:val="en-US" w:eastAsia="zh-CN" w:bidi="ar-SA"/>
    </w:rPr>
  </w:style>
  <w:style w:type="paragraph" w:customStyle="1" w:styleId="88">
    <w:name w:val="发文落款"/>
    <w:basedOn w:val="87"/>
    <w:qFormat/>
    <w:uiPriority w:val="0"/>
    <w:pPr>
      <w:ind w:left="4094" w:right="607" w:firstLine="0"/>
      <w:jc w:val="center"/>
    </w:pPr>
  </w:style>
  <w:style w:type="paragraph" w:customStyle="1" w:styleId="89">
    <w:name w:val="公文标题"/>
    <w:basedOn w:val="7"/>
    <w:qFormat/>
    <w:uiPriority w:val="0"/>
    <w:pPr>
      <w:keepNext/>
      <w:keepLines/>
      <w:widowControl w:val="0"/>
      <w:spacing w:before="0" w:beforeAutospacing="0" w:after="0" w:afterAutospacing="0"/>
      <w:ind w:left="1469" w:right="1542"/>
    </w:pPr>
    <w:rPr>
      <w:b/>
      <w:kern w:val="2"/>
      <w:sz w:val="44"/>
      <w:szCs w:val="21"/>
    </w:rPr>
  </w:style>
  <w:style w:type="paragraph" w:customStyle="1" w:styleId="90">
    <w:name w:val="样式 宋体 小四 首行缩进:  0.93 厘米 段前: 11.15 磅 段后: 11.15 磅1"/>
    <w:qFormat/>
    <w:uiPriority w:val="0"/>
    <w:pPr>
      <w:widowControl w:val="0"/>
      <w:adjustRightInd w:val="0"/>
      <w:snapToGrid w:val="0"/>
      <w:ind w:left="200" w:leftChars="200"/>
      <w:jc w:val="both"/>
    </w:pPr>
    <w:rPr>
      <w:rFonts w:ascii="宋体" w:hAnsi="Times New Roman" w:eastAsia="宋体" w:cs="宋体"/>
      <w:kern w:val="2"/>
      <w:sz w:val="24"/>
      <w:lang w:val="en-US" w:eastAsia="zh-CN" w:bidi="ar-SA"/>
    </w:rPr>
  </w:style>
  <w:style w:type="paragraph" w:customStyle="1" w:styleId="91">
    <w:name w:val="列出段落3"/>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92">
    <w:name w:val="章节二"/>
    <w:basedOn w:val="1"/>
    <w:next w:val="1"/>
    <w:qFormat/>
    <w:uiPriority w:val="0"/>
    <w:pPr>
      <w:topLinePunct/>
      <w:adjustRightInd w:val="0"/>
      <w:snapToGrid w:val="0"/>
      <w:spacing w:before="50" w:beforeLines="50"/>
      <w:jc w:val="center"/>
      <w:outlineLvl w:val="1"/>
    </w:pPr>
    <w:rPr>
      <w:rFonts w:eastAsia="黑体"/>
      <w:b/>
      <w:spacing w:val="4"/>
      <w:kern w:val="0"/>
      <w:sz w:val="30"/>
      <w:szCs w:val="30"/>
    </w:rPr>
  </w:style>
  <w:style w:type="paragraph" w:customStyle="1" w:styleId="93">
    <w:name w:val="列出段落1"/>
    <w:basedOn w:val="1"/>
    <w:qFormat/>
    <w:uiPriority w:val="0"/>
    <w:pPr>
      <w:widowControl/>
      <w:adjustRightInd w:val="0"/>
      <w:snapToGrid w:val="0"/>
      <w:ind w:firstLine="420"/>
      <w:jc w:val="left"/>
    </w:pPr>
    <w:rPr>
      <w:rFonts w:ascii="Calibri" w:hAnsi="Calibri" w:eastAsia="PMingLiU"/>
      <w:snapToGrid w:val="0"/>
      <w:kern w:val="0"/>
      <w:sz w:val="22"/>
      <w:lang w:val="en-GB" w:eastAsia="en-US"/>
    </w:rPr>
  </w:style>
  <w:style w:type="paragraph" w:customStyle="1" w:styleId="94">
    <w:name w:val="1"/>
    <w:basedOn w:val="1"/>
    <w:next w:val="1"/>
    <w:qFormat/>
    <w:uiPriority w:val="0"/>
  </w:style>
  <w:style w:type="paragraph" w:customStyle="1" w:styleId="95">
    <w:name w:val="leo 样式"/>
    <w:qFormat/>
    <w:uiPriority w:val="0"/>
    <w:pPr>
      <w:widowControl w:val="0"/>
      <w:snapToGrid w:val="0"/>
      <w:spacing w:line="360" w:lineRule="auto"/>
      <w:jc w:val="both"/>
    </w:pPr>
    <w:rPr>
      <w:rFonts w:ascii="仿宋_GB2312" w:hAnsi="Times New Roman" w:eastAsia="仿宋_GB2312" w:cs="Times New Roman"/>
      <w:bCs/>
      <w:sz w:val="28"/>
      <w:szCs w:val="28"/>
      <w:lang w:val="en-US" w:eastAsia="zh-CN" w:bidi="ar-SA"/>
    </w:rPr>
  </w:style>
  <w:style w:type="paragraph" w:customStyle="1" w:styleId="96">
    <w:name w:val="纯文本1"/>
    <w:qFormat/>
    <w:uiPriority w:val="0"/>
    <w:pPr>
      <w:widowControl w:val="0"/>
      <w:jc w:val="both"/>
    </w:pPr>
    <w:rPr>
      <w:rFonts w:ascii="宋体" w:hAnsi="Times New Roman" w:eastAsia="宋体" w:cs="Courier New"/>
      <w:kern w:val="2"/>
      <w:sz w:val="21"/>
      <w:szCs w:val="21"/>
      <w:lang w:val="en-US" w:eastAsia="zh-CN" w:bidi="ar-SA"/>
    </w:rPr>
  </w:style>
  <w:style w:type="paragraph" w:customStyle="1" w:styleId="97">
    <w:name w:val="表头"/>
    <w:basedOn w:val="1"/>
    <w:qFormat/>
    <w:uiPriority w:val="0"/>
    <w:pPr>
      <w:spacing w:line="360" w:lineRule="auto"/>
      <w:jc w:val="center"/>
    </w:pPr>
    <w:rPr>
      <w:rFonts w:ascii="黑体" w:eastAsia="黑体"/>
      <w:kern w:val="0"/>
      <w:sz w:val="24"/>
      <w:szCs w:val="20"/>
    </w:rPr>
  </w:style>
  <w:style w:type="paragraph" w:customStyle="1" w:styleId="98">
    <w:name w:val="修订1"/>
    <w:qFormat/>
    <w:uiPriority w:val="0"/>
    <w:rPr>
      <w:rFonts w:ascii="Times New Roman" w:hAnsi="Times New Roman" w:eastAsia="宋体" w:cs="Times New Roman"/>
      <w:kern w:val="2"/>
      <w:sz w:val="21"/>
      <w:lang w:val="en-US" w:eastAsia="zh-CN" w:bidi="ar-SA"/>
    </w:rPr>
  </w:style>
  <w:style w:type="paragraph" w:customStyle="1" w:styleId="99">
    <w:name w:val="列出段落2"/>
    <w:basedOn w:val="1"/>
    <w:qFormat/>
    <w:uiPriority w:val="0"/>
    <w:pPr>
      <w:ind w:firstLine="200" w:firstLineChars="200"/>
    </w:pPr>
    <w:rPr>
      <w:szCs w:val="20"/>
    </w:rPr>
  </w:style>
  <w:style w:type="paragraph" w:customStyle="1" w:styleId="100">
    <w:name w:val="公文抬头"/>
    <w:basedOn w:val="10"/>
    <w:qFormat/>
    <w:uiPriority w:val="0"/>
    <w:pPr>
      <w:ind w:firstLine="0"/>
    </w:pPr>
    <w:rPr>
      <w:rFonts w:ascii="仿宋_GB2312" w:eastAsia="仿宋_GB2312"/>
      <w:sz w:val="30"/>
      <w:szCs w:val="24"/>
    </w:rPr>
  </w:style>
  <w:style w:type="paragraph" w:customStyle="1" w:styleId="101">
    <w:name w:val="文二"/>
    <w:basedOn w:val="1"/>
    <w:qFormat/>
    <w:uiPriority w:val="0"/>
    <w:pPr>
      <w:jc w:val="left"/>
    </w:pPr>
    <w:rPr>
      <w:rFonts w:ascii="宋体"/>
      <w:szCs w:val="21"/>
    </w:rPr>
  </w:style>
  <w:style w:type="paragraph" w:customStyle="1" w:styleId="102">
    <w:name w:val="_Style 49"/>
    <w:basedOn w:val="5"/>
    <w:next w:val="4"/>
    <w:qFormat/>
    <w:uiPriority w:val="0"/>
    <w:pPr>
      <w:ind w:firstLine="420"/>
    </w:pPr>
  </w:style>
  <w:style w:type="paragraph" w:customStyle="1" w:styleId="103">
    <w:name w:val="正题"/>
    <w:basedOn w:val="56"/>
    <w:next w:val="56"/>
    <w:qFormat/>
    <w:uiPriority w:val="0"/>
    <w:pPr>
      <w:ind w:firstLine="0" w:firstLineChars="0"/>
      <w:jc w:val="center"/>
    </w:pPr>
    <w:rPr>
      <w:rFonts w:eastAsia="黑体"/>
      <w:b/>
      <w:sz w:val="36"/>
      <w:szCs w:val="36"/>
    </w:rPr>
  </w:style>
  <w:style w:type="paragraph" w:customStyle="1" w:styleId="10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5">
    <w:name w:val="Table Paragraph"/>
    <w:qFormat/>
    <w:uiPriority w:val="0"/>
    <w:pPr>
      <w:widowControl w:val="0"/>
      <w:jc w:val="both"/>
    </w:pPr>
    <w:rPr>
      <w:rFonts w:ascii="宋体" w:hAnsi="Times New Roman" w:eastAsia="宋体" w:cs="宋体"/>
      <w:kern w:val="2"/>
      <w:sz w:val="21"/>
      <w:szCs w:val="22"/>
      <w:lang w:val="en-US" w:eastAsia="zh-CN" w:bidi="ar-SA"/>
    </w:rPr>
  </w:style>
  <w:style w:type="paragraph" w:customStyle="1" w:styleId="106">
    <w:name w:val="Char"/>
    <w:basedOn w:val="1"/>
    <w:qFormat/>
    <w:uiPriority w:val="0"/>
    <w:rPr>
      <w:rFonts w:ascii="Tahoma" w:hAnsi="Tahoma"/>
      <w:sz w:val="24"/>
      <w:szCs w:val="20"/>
    </w:rPr>
  </w:style>
  <w:style w:type="paragraph" w:customStyle="1" w:styleId="107">
    <w:name w:val="Char Char Char1 Char"/>
    <w:basedOn w:val="15"/>
    <w:qFormat/>
    <w:uiPriority w:val="0"/>
    <w:rPr>
      <w:rFonts w:ascii="Tahoma" w:hAnsi="Tahoma"/>
      <w:sz w:val="24"/>
      <w:szCs w:val="24"/>
    </w:rPr>
  </w:style>
  <w:style w:type="paragraph" w:customStyle="1" w:styleId="108">
    <w:name w:val="样式 23 10 磅"/>
    <w:qFormat/>
    <w:uiPriority w:val="0"/>
    <w:pPr>
      <w:widowControl w:val="0"/>
      <w:jc w:val="both"/>
    </w:pPr>
    <w:rPr>
      <w:rFonts w:ascii="宋体" w:hAnsi="宋体" w:eastAsia="楷体_GB2312" w:cs="宋体"/>
      <w:kern w:val="2"/>
      <w:sz w:val="21"/>
      <w:szCs w:val="21"/>
      <w:lang w:val="en-US" w:eastAsia="zh-CN" w:bidi="ar-SA"/>
    </w:rPr>
  </w:style>
  <w:style w:type="paragraph" w:customStyle="1" w:styleId="109">
    <w:name w:val="Char1"/>
    <w:basedOn w:val="1"/>
    <w:qFormat/>
    <w:uiPriority w:val="0"/>
    <w:pPr>
      <w:ind w:left="567" w:hanging="279"/>
    </w:pPr>
    <w:rPr>
      <w:sz w:val="24"/>
      <w:szCs w:val="24"/>
    </w:rPr>
  </w:style>
  <w:style w:type="paragraph" w:customStyle="1" w:styleId="110">
    <w:name w:val="章节三"/>
    <w:basedOn w:val="56"/>
    <w:next w:val="56"/>
    <w:qFormat/>
    <w:uiPriority w:val="0"/>
    <w:pPr>
      <w:spacing w:before="50" w:beforeLines="50" w:after="50" w:afterLines="50" w:line="240" w:lineRule="auto"/>
      <w:ind w:firstLine="0" w:firstLineChars="0"/>
      <w:jc w:val="left"/>
      <w:outlineLvl w:val="2"/>
    </w:pPr>
    <w:rPr>
      <w:rFonts w:ascii="黑体" w:eastAsia="黑体"/>
      <w:b/>
    </w:rPr>
  </w:style>
  <w:style w:type="paragraph" w:customStyle="1" w:styleId="111">
    <w:name w:val="_Style 4"/>
    <w:basedOn w:val="1"/>
    <w:qFormat/>
    <w:uiPriority w:val="0"/>
    <w:pPr>
      <w:ind w:firstLine="200" w:firstLineChars="200"/>
    </w:pPr>
    <w:rPr>
      <w:szCs w:val="20"/>
    </w:rPr>
  </w:style>
  <w:style w:type="paragraph" w:customStyle="1" w:styleId="112">
    <w:name w:val="列出段落21"/>
    <w:basedOn w:val="1"/>
    <w:qFormat/>
    <w:uiPriority w:val="0"/>
    <w:pPr>
      <w:ind w:firstLine="200" w:firstLineChars="200"/>
    </w:pPr>
  </w:style>
  <w:style w:type="paragraph" w:customStyle="1" w:styleId="113">
    <w:name w:val="样式 10 磅"/>
    <w:qFormat/>
    <w:uiPriority w:val="0"/>
    <w:pPr>
      <w:jc w:val="both"/>
      <w:textAlignment w:val="baseline"/>
    </w:pPr>
    <w:rPr>
      <w:rFonts w:ascii="宋体" w:hAnsi="Times New Roman" w:eastAsia="宋体" w:cs="Times New Roman"/>
      <w:kern w:val="2"/>
      <w:sz w:val="21"/>
      <w:szCs w:val="22"/>
      <w:lang w:val="en-US" w:eastAsia="zh-CN" w:bidi="ar-SA"/>
    </w:rPr>
  </w:style>
  <w:style w:type="character" w:customStyle="1" w:styleId="114">
    <w:name w:val="font21"/>
    <w:basedOn w:val="44"/>
    <w:qFormat/>
    <w:uiPriority w:val="0"/>
    <w:rPr>
      <w:rFonts w:ascii="微软雅黑" w:eastAsia="微软雅黑" w:cs="微软雅黑"/>
      <w:color w:val="000000"/>
      <w:sz w:val="22"/>
      <w:szCs w:val="22"/>
      <w:u w:val="none"/>
    </w:rPr>
  </w:style>
  <w:style w:type="paragraph" w:customStyle="1" w:styleId="115">
    <w:name w:val="样式 1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6">
    <w:name w:val="列出段落11"/>
    <w:basedOn w:val="1"/>
    <w:qFormat/>
    <w:uiPriority w:val="0"/>
    <w:pPr>
      <w:ind w:firstLine="200" w:firstLineChars="200"/>
    </w:pPr>
  </w:style>
  <w:style w:type="paragraph" w:customStyle="1" w:styleId="117">
    <w:name w:val="_Style 3"/>
    <w:qFormat/>
    <w:uiPriority w:val="0"/>
    <w:pPr>
      <w:widowControl w:val="0"/>
      <w:jc w:val="both"/>
    </w:pPr>
    <w:rPr>
      <w:rFonts w:ascii="等线" w:hAnsi="等线" w:eastAsia="等线" w:cs="Times New Roman"/>
      <w:kern w:val="2"/>
      <w:sz w:val="21"/>
      <w:szCs w:val="22"/>
      <w:lang w:val="en-US" w:eastAsia="zh-CN" w:bidi="ar-SA"/>
    </w:rPr>
  </w:style>
  <w:style w:type="paragraph" w:customStyle="1" w:styleId="118">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character" w:customStyle="1" w:styleId="119">
    <w:name w:val="PageNumber"/>
    <w:qFormat/>
    <w:uiPriority w:val="0"/>
  </w:style>
  <w:style w:type="paragraph" w:styleId="1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94</Pages>
  <Words>575</Words>
  <Characters>605</Characters>
  <Lines>510</Lines>
  <Paragraphs>143</Paragraphs>
  <TotalTime>115</TotalTime>
  <ScaleCrop>false</ScaleCrop>
  <LinksUpToDate>false</LinksUpToDate>
  <CharactersWithSpaces>663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2024-06-25T09:54:00Z</dcterms:created>
  <dc:creator>管理员</dc:creator>
  <cp:lastModifiedBy>Yam</cp:lastModifiedBy>
  <cp:lastPrinted>2025-03-14T05:10:00Z</cp:lastPrinted>
  <dcterms:modified xsi:type="dcterms:W3CDTF">2025-06-17T06:56:36Z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098B71CD691A471E80373B0D6359C667_13</vt:lpwstr>
  </property>
  <property fmtid="{D5CDD505-2E9C-101B-9397-08002B2CF9AE}" pid="4" name="commondata">
    <vt:lpwstr>eyJoZGlkIjoiNDcxNjdiZTdjOTc2MTkwNWM3NDg3YmYxMTBjZDU5ODgifQ==</vt:lpwstr>
  </property>
  <property fmtid="{D5CDD505-2E9C-101B-9397-08002B2CF9AE}" pid="5" name="KSOTemplateDocerSaveRecord">
    <vt:lpwstr>eyJoZGlkIjoiMzEwNTM5NzYwMDRjMzkwZTVkZjY2ODkwMGIxNGU0OTUiLCJ1c2VySWQiOiIzNDY3NjExNTMifQ==</vt:lpwstr>
  </property>
</Properties>
</file>