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CC469">
      <w:pPr>
        <w:wordWrap w:val="0"/>
        <w:spacing w:line="360" w:lineRule="auto"/>
        <w:jc w:val="right"/>
        <w:rPr>
          <w:rFonts w:hint="eastAsia" w:ascii="黑体" w:hAnsi="黑体" w:eastAsia="黑体" w:cs="黑体"/>
          <w:color w:val="auto"/>
          <w:sz w:val="36"/>
          <w:szCs w:val="36"/>
          <w:highlight w:val="none"/>
        </w:rPr>
      </w:pPr>
      <w:bookmarkStart w:id="35" w:name="_GoBack"/>
      <w:bookmarkEnd w:id="35"/>
      <w:bookmarkStart w:id="0" w:name="_Hlk53133821"/>
    </w:p>
    <w:bookmarkEnd w:id="0"/>
    <w:p w14:paraId="1AB68CE7">
      <w:pPr>
        <w:keepNext w:val="0"/>
        <w:keepLines w:val="0"/>
        <w:pageBreakBefore w:val="0"/>
        <w:wordWrap/>
        <w:bidi w:val="0"/>
        <w:spacing w:line="360" w:lineRule="auto"/>
        <w:jc w:val="center"/>
        <w:textAlignment w:val="auto"/>
        <w:rPr>
          <w:rFonts w:hint="eastAsia" w:ascii="黑体" w:hAnsi="黑体" w:eastAsia="黑体" w:cs="黑体"/>
          <w:b/>
          <w:color w:val="auto"/>
          <w:kern w:val="0"/>
          <w:sz w:val="48"/>
          <w:szCs w:val="48"/>
          <w:highlight w:val="none"/>
          <w:lang w:eastAsia="zh-CN"/>
        </w:rPr>
      </w:pPr>
      <w:r>
        <w:rPr>
          <w:rFonts w:hint="eastAsia" w:ascii="黑体" w:hAnsi="黑体" w:eastAsia="黑体" w:cs="黑体"/>
          <w:b/>
          <w:color w:val="auto"/>
          <w:kern w:val="0"/>
          <w:sz w:val="48"/>
          <w:szCs w:val="48"/>
          <w:highlight w:val="none"/>
          <w:lang w:eastAsia="zh-CN"/>
        </w:rPr>
        <w:t>广州市黄埔区云埔街火村社区莲潭经济合作社城中村改造项目复建安置地块工程</w:t>
      </w:r>
    </w:p>
    <w:p w14:paraId="4C037999">
      <w:pPr>
        <w:keepNext w:val="0"/>
        <w:keepLines w:val="0"/>
        <w:pageBreakBefore w:val="0"/>
        <w:wordWrap/>
        <w:bidi w:val="0"/>
        <w:spacing w:line="360" w:lineRule="auto"/>
        <w:jc w:val="center"/>
        <w:textAlignment w:val="auto"/>
        <w:rPr>
          <w:rFonts w:hint="default" w:ascii="黑体" w:hAnsi="黑体" w:eastAsia="黑体" w:cs="黑体"/>
          <w:b/>
          <w:color w:val="auto"/>
          <w:kern w:val="0"/>
          <w:sz w:val="48"/>
          <w:szCs w:val="48"/>
          <w:highlight w:val="none"/>
          <w:lang w:val="en-US" w:eastAsia="zh-CN"/>
        </w:rPr>
      </w:pPr>
      <w:r>
        <w:rPr>
          <w:rFonts w:hint="eastAsia" w:ascii="黑体" w:hAnsi="黑体" w:eastAsia="黑体" w:cs="黑体"/>
          <w:b/>
          <w:color w:val="auto"/>
          <w:kern w:val="0"/>
          <w:sz w:val="48"/>
          <w:szCs w:val="48"/>
          <w:highlight w:val="none"/>
          <w:lang w:eastAsia="zh-CN"/>
        </w:rPr>
        <w:t>监理服务</w:t>
      </w:r>
    </w:p>
    <w:p w14:paraId="3E949AA2">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0ED483CA">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5F7B672">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0297D497">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54430152">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A421AA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98C2D9B">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02B544F">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6D565A74">
      <w:pPr>
        <w:keepNext w:val="0"/>
        <w:keepLines w:val="0"/>
        <w:pageBreakBefore w:val="0"/>
        <w:wordWrap/>
        <w:bidi w:val="0"/>
        <w:spacing w:line="360" w:lineRule="auto"/>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公告</w:t>
      </w:r>
    </w:p>
    <w:p w14:paraId="59119F61">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18F2D356">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1FEBAF71">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78D075B5">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02F150CF">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5837759">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F135408">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3129851">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1BEF755F">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广州知城联晟城市更新有限公司</w:t>
      </w:r>
    </w:p>
    <w:p w14:paraId="4F1EC2E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val="en-US" w:eastAsia="zh-CN"/>
        </w:rPr>
        <w:t>广州高新工程顾问有限公司</w:t>
      </w:r>
    </w:p>
    <w:p w14:paraId="0CC291D4">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6</w:t>
      </w:r>
      <w:r>
        <w:rPr>
          <w:rFonts w:hint="eastAsia" w:ascii="黑体" w:hAnsi="黑体" w:eastAsia="黑体" w:cs="黑体"/>
          <w:b/>
          <w:bCs/>
          <w:color w:val="auto"/>
          <w:spacing w:val="-2"/>
          <w:sz w:val="30"/>
          <w:szCs w:val="30"/>
          <w:highlight w:val="none"/>
          <w:u w:val="none"/>
        </w:rPr>
        <w:t>月</w:t>
      </w:r>
    </w:p>
    <w:p w14:paraId="6ECA6005">
      <w:pPr>
        <w:pStyle w:val="9"/>
        <w:keepNext w:val="0"/>
        <w:keepLines w:val="0"/>
        <w:pageBreakBefore w:val="0"/>
        <w:shd w:val="clear"/>
        <w:wordWrap/>
        <w:bidi w:val="0"/>
        <w:spacing w:line="360" w:lineRule="auto"/>
        <w:ind w:right="25" w:rightChars="12"/>
        <w:jc w:val="center"/>
        <w:textAlignment w:val="auto"/>
        <w:rPr>
          <w:rFonts w:hint="eastAsia" w:eastAsia="宋体" w:cs="宋体"/>
          <w:b/>
          <w:color w:val="auto"/>
          <w:sz w:val="32"/>
          <w:szCs w:val="32"/>
          <w:highlight w:val="none"/>
          <w:u w:val="none"/>
          <w:lang w:eastAsia="zh-CN"/>
        </w:rPr>
        <w:sectPr>
          <w:footerReference r:id="rId3" w:type="default"/>
          <w:pgSz w:w="11906" w:h="16838"/>
          <w:pgMar w:top="1417" w:right="1417" w:bottom="1417" w:left="1417" w:header="851" w:footer="992" w:gutter="0"/>
          <w:pgNumType w:fmt="decimal" w:start="1"/>
          <w:cols w:space="0" w:num="1"/>
          <w:rtlGutter w:val="0"/>
          <w:docGrid w:type="lines" w:linePitch="312" w:charSpace="0"/>
        </w:sectPr>
      </w:pPr>
    </w:p>
    <w:p w14:paraId="59B9E179">
      <w:pPr>
        <w:pStyle w:val="9"/>
        <w:keepNext w:val="0"/>
        <w:keepLines w:val="0"/>
        <w:pageBreakBefore w:val="0"/>
        <w:shd w:val="clear"/>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广州市黄埔区云埔街火村社区莲潭经济合作社城中村改造项目</w:t>
      </w:r>
    </w:p>
    <w:p w14:paraId="7E18DE18">
      <w:pPr>
        <w:pStyle w:val="9"/>
        <w:keepNext w:val="0"/>
        <w:keepLines w:val="0"/>
        <w:pageBreakBefore w:val="0"/>
        <w:shd w:val="clear"/>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复建安置地块工程监理服务</w:t>
      </w:r>
    </w:p>
    <w:p w14:paraId="5138DC2D">
      <w:pPr>
        <w:pStyle w:val="9"/>
        <w:keepNext w:val="0"/>
        <w:keepLines w:val="0"/>
        <w:pageBreakBefore w:val="0"/>
        <w:shd w:val="clear"/>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6F748EB2">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1" w:name="_Toc515033010"/>
      <w:bookmarkStart w:id="2" w:name="_Toc511557025"/>
      <w:r>
        <w:rPr>
          <w:rFonts w:hint="eastAsia" w:ascii="宋体" w:hAnsi="宋体" w:eastAsia="宋体" w:cs="宋体"/>
          <w:color w:val="auto"/>
          <w:sz w:val="32"/>
          <w:szCs w:val="32"/>
          <w:highlight w:val="none"/>
        </w:rPr>
        <w:t>1. 招标条件</w:t>
      </w:r>
      <w:bookmarkEnd w:id="1"/>
      <w:bookmarkEnd w:id="2"/>
    </w:p>
    <w:p w14:paraId="5C726EA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cs="宋体"/>
          <w:color w:val="auto"/>
          <w:sz w:val="24"/>
          <w:szCs w:val="24"/>
          <w:highlight w:val="none"/>
          <w:u w:val="single"/>
          <w:lang w:val="en-US" w:eastAsia="zh-CN"/>
        </w:rPr>
        <w:t>广州市黄埔区云埔街火村社区莲潭经济合作社城中村改造项目复建安置地块工程</w:t>
      </w:r>
      <w:r>
        <w:rPr>
          <w:rFonts w:hint="eastAsia" w:ascii="宋体" w:hAnsi="宋体" w:eastAsia="宋体" w:cs="宋体"/>
          <w:color w:val="auto"/>
          <w:sz w:val="24"/>
          <w:szCs w:val="24"/>
          <w:highlight w:val="none"/>
        </w:rPr>
        <w:t>（项目名称）已由</w:t>
      </w:r>
      <w:r>
        <w:rPr>
          <w:rFonts w:hint="eastAsia" w:ascii="宋体" w:hAnsi="宋体" w:cs="宋体"/>
          <w:color w:val="auto"/>
          <w:sz w:val="24"/>
          <w:szCs w:val="24"/>
          <w:highlight w:val="none"/>
          <w:u w:val="single"/>
          <w:lang w:val="en-US" w:eastAsia="zh-CN"/>
        </w:rPr>
        <w:t>广州市黄埔区发展和改革局</w:t>
      </w:r>
      <w:r>
        <w:rPr>
          <w:rFonts w:hint="eastAsia" w:ascii="宋体" w:hAnsi="宋体" w:eastAsia="宋体" w:cs="宋体"/>
          <w:color w:val="auto"/>
          <w:sz w:val="24"/>
          <w:szCs w:val="24"/>
          <w:highlight w:val="none"/>
        </w:rPr>
        <w:t>（项目审批、核准或备案机关名称）以</w:t>
      </w:r>
      <w:r>
        <w:rPr>
          <w:rFonts w:hint="eastAsia" w:ascii="宋体" w:hAnsi="宋体" w:cs="宋体"/>
          <w:color w:val="auto"/>
          <w:sz w:val="24"/>
          <w:highlight w:val="none"/>
          <w:u w:val="single"/>
        </w:rPr>
        <w:t>广东省企业投资项目备案证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项目代码：</w:t>
      </w:r>
      <w:r>
        <w:rPr>
          <w:rFonts w:hint="eastAsia" w:ascii="宋体" w:hAnsi="宋体" w:cs="宋体"/>
          <w:color w:val="auto"/>
          <w:sz w:val="24"/>
          <w:szCs w:val="24"/>
          <w:highlight w:val="none"/>
          <w:u w:val="single"/>
          <w:lang w:val="en-US" w:eastAsia="zh-CN"/>
        </w:rPr>
        <w:t>2410-440112-04-01-198449</w:t>
      </w:r>
      <w:r>
        <w:rPr>
          <w:rFonts w:hint="eastAsia" w:ascii="宋体" w:hAnsi="宋体" w:cs="宋体"/>
          <w:color w:val="auto"/>
          <w:sz w:val="24"/>
          <w:highlight w:val="none"/>
          <w:u w:val="single"/>
          <w:lang w:eastAsia="zh-CN"/>
        </w:rPr>
        <w:t>）</w:t>
      </w:r>
      <w:r>
        <w:rPr>
          <w:rFonts w:hint="eastAsia" w:ascii="宋体" w:hAnsi="宋体" w:eastAsia="宋体" w:cs="宋体"/>
          <w:color w:val="auto"/>
          <w:sz w:val="24"/>
          <w:szCs w:val="24"/>
          <w:highlight w:val="none"/>
        </w:rPr>
        <w:t>（批文名称及编号）批准建设，项目业主为</w:t>
      </w:r>
      <w:r>
        <w:rPr>
          <w:rFonts w:hint="eastAsia" w:ascii="宋体" w:hAnsi="宋体" w:cs="宋体"/>
          <w:color w:val="auto"/>
          <w:sz w:val="24"/>
          <w:szCs w:val="24"/>
          <w:highlight w:val="none"/>
          <w:u w:val="single"/>
          <w:lang w:val="en-US" w:eastAsia="zh-CN"/>
        </w:rPr>
        <w:t>广州知城联晟城市更新有限公司</w:t>
      </w:r>
      <w:r>
        <w:rPr>
          <w:rFonts w:hint="eastAsia" w:ascii="宋体" w:hAnsi="宋体" w:eastAsia="宋体" w:cs="宋体"/>
          <w:color w:val="auto"/>
          <w:sz w:val="24"/>
          <w:szCs w:val="24"/>
          <w:highlight w:val="none"/>
        </w:rPr>
        <w:t>，建设资金来自</w:t>
      </w:r>
      <w:r>
        <w:rPr>
          <w:rFonts w:hint="eastAsia" w:ascii="宋体" w:hAnsi="宋体" w:cs="宋体"/>
          <w:color w:val="auto"/>
          <w:sz w:val="24"/>
          <w:szCs w:val="24"/>
          <w:highlight w:val="none"/>
          <w:u w:val="single"/>
          <w:lang w:val="en-US" w:eastAsia="zh-CN"/>
        </w:rPr>
        <w:t>国有资金</w:t>
      </w:r>
      <w:r>
        <w:rPr>
          <w:rFonts w:hint="eastAsia" w:ascii="宋体" w:hAnsi="宋体" w:eastAsia="宋体" w:cs="宋体"/>
          <w:color w:val="auto"/>
          <w:sz w:val="24"/>
          <w:szCs w:val="24"/>
          <w:highlight w:val="none"/>
        </w:rPr>
        <w:t>（资金来源），出资比例为</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，招标人为</w:t>
      </w:r>
      <w:r>
        <w:rPr>
          <w:rFonts w:hint="eastAsia" w:ascii="宋体" w:hAnsi="宋体" w:cs="宋体"/>
          <w:color w:val="auto"/>
          <w:sz w:val="24"/>
          <w:szCs w:val="24"/>
          <w:highlight w:val="none"/>
          <w:u w:val="single"/>
          <w:lang w:val="en-US" w:eastAsia="zh-CN"/>
        </w:rPr>
        <w:t>广州知城联晟城市更新有限公司</w:t>
      </w:r>
      <w:r>
        <w:rPr>
          <w:rFonts w:hint="eastAsia" w:ascii="宋体" w:hAnsi="宋体" w:eastAsia="宋体" w:cs="宋体"/>
          <w:color w:val="auto"/>
          <w:sz w:val="24"/>
          <w:szCs w:val="24"/>
          <w:highlight w:val="none"/>
        </w:rPr>
        <w:t>。项目已具备招标条件，现对该项目的监理进行公开招标。</w:t>
      </w:r>
    </w:p>
    <w:p w14:paraId="30BDB6F0">
      <w:pPr>
        <w:shd w:val="clear"/>
        <w:spacing w:line="360" w:lineRule="auto"/>
        <w:ind w:firstLine="480" w:firstLineChars="200"/>
        <w:rPr>
          <w:rFonts w:hint="eastAsia" w:ascii="宋体" w:hAnsi="宋体" w:eastAsia="宋体" w:cs="宋体"/>
          <w:color w:val="auto"/>
          <w:sz w:val="24"/>
          <w:szCs w:val="24"/>
          <w:highlight w:val="none"/>
          <w:u w:val="single"/>
        </w:rPr>
      </w:pPr>
    </w:p>
    <w:p w14:paraId="036AFA9C">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3" w:name="_Toc515033011"/>
      <w:bookmarkStart w:id="4" w:name="_Toc511557026"/>
      <w:r>
        <w:rPr>
          <w:rFonts w:hint="eastAsia" w:ascii="宋体" w:hAnsi="宋体" w:eastAsia="宋体" w:cs="宋体"/>
          <w:color w:val="auto"/>
          <w:sz w:val="32"/>
          <w:szCs w:val="32"/>
          <w:highlight w:val="none"/>
        </w:rPr>
        <w:t>2. 项目概况与招标范围</w:t>
      </w:r>
      <w:bookmarkEnd w:id="3"/>
      <w:bookmarkEnd w:id="4"/>
    </w:p>
    <w:p w14:paraId="683217A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招标项目概况</w:t>
      </w:r>
    </w:p>
    <w:p w14:paraId="6692EEA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2.1.1 招标项目名</w:t>
      </w:r>
      <w:r>
        <w:rPr>
          <w:rFonts w:hint="eastAsia" w:ascii="宋体" w:hAnsi="宋体" w:eastAsia="宋体" w:cs="宋体"/>
          <w:color w:val="auto"/>
          <w:sz w:val="24"/>
          <w:szCs w:val="24"/>
          <w:highlight w:val="none"/>
          <w:u w:val="none"/>
          <w:lang w:val="en-US" w:eastAsia="zh-CN"/>
        </w:rPr>
        <w:t>称：</w:t>
      </w:r>
      <w:r>
        <w:rPr>
          <w:rFonts w:hint="eastAsia" w:ascii="宋体" w:hAnsi="宋体" w:cs="宋体"/>
          <w:color w:val="auto"/>
          <w:sz w:val="24"/>
          <w:szCs w:val="24"/>
          <w:highlight w:val="none"/>
          <w:u w:val="none"/>
          <w:lang w:val="en-US" w:eastAsia="zh-CN"/>
        </w:rPr>
        <w:t>广州市黄埔区云埔街火村社区莲潭经济合作社城中村改造项目复建安置地块工程监理服务</w:t>
      </w:r>
    </w:p>
    <w:p w14:paraId="0149C1ED">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2.1.2 工程建设规模：</w:t>
      </w:r>
      <w:r>
        <w:rPr>
          <w:rFonts w:hint="eastAsia" w:ascii="宋体" w:hAnsi="宋体" w:cs="宋体"/>
          <w:sz w:val="24"/>
        </w:rPr>
        <w:t>总用地面积约21663.00平方米（详见建设用地规划红线图，不含幼儿园），用地性质为R2/B1二类居住用地兼容商业用地，容积率5.26，预计总建筑面积约为169280.47平方米，计容总建筑面积约113939.00平方米，建筑密度≤35%，绿地率≥35%，建筑高度100米。建设内容包括复建安置住宅、地下车库、集体物业、公建配套等（具体规划指标以政府最终批复的规划条件为准）。</w:t>
      </w:r>
    </w:p>
    <w:p w14:paraId="2AD6B18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2.1.3 工程建设地点：</w:t>
      </w:r>
      <w:r>
        <w:rPr>
          <w:rFonts w:hint="eastAsia" w:ascii="宋体" w:hAnsi="宋体" w:cs="宋体"/>
          <w:sz w:val="24"/>
        </w:rPr>
        <w:t>广州市黄埔区云埔街道火村社区东南角，东至东鹏大道，南至骏业路，西至南岗河，北至骏达路。</w:t>
      </w:r>
    </w:p>
    <w:p w14:paraId="48CAB81E">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bookmarkStart w:id="5" w:name="_Toc515033012"/>
      <w:bookmarkStart w:id="6" w:name="_Toc511557027"/>
      <w:r>
        <w:rPr>
          <w:rFonts w:hint="eastAsia" w:ascii="宋体" w:hAnsi="宋体" w:eastAsia="宋体" w:cs="宋体"/>
          <w:color w:val="auto"/>
          <w:sz w:val="24"/>
          <w:szCs w:val="24"/>
          <w:highlight w:val="none"/>
          <w:u w:val="none"/>
          <w:lang w:val="en-US" w:eastAsia="zh-CN"/>
        </w:rPr>
        <w:t>2.1.4 工程投资额：项目</w:t>
      </w:r>
      <w:r>
        <w:rPr>
          <w:rFonts w:hint="eastAsia" w:ascii="宋体" w:hAnsi="宋体" w:cs="宋体"/>
          <w:color w:val="auto"/>
          <w:sz w:val="24"/>
          <w:szCs w:val="24"/>
          <w:highlight w:val="none"/>
          <w:u w:val="none"/>
          <w:lang w:val="en-US" w:eastAsia="zh-CN"/>
        </w:rPr>
        <w:t>建设</w:t>
      </w:r>
      <w:r>
        <w:rPr>
          <w:rFonts w:hint="eastAsia" w:ascii="宋体" w:hAnsi="宋体" w:eastAsia="宋体" w:cs="宋体"/>
          <w:color w:val="auto"/>
          <w:sz w:val="24"/>
          <w:szCs w:val="24"/>
          <w:highlight w:val="none"/>
          <w:u w:val="none"/>
          <w:lang w:val="en-US" w:eastAsia="zh-CN"/>
        </w:rPr>
        <w:t>总投资</w:t>
      </w:r>
      <w:r>
        <w:rPr>
          <w:rFonts w:hint="eastAsia" w:ascii="宋体" w:hAnsi="宋体" w:cs="宋体"/>
          <w:color w:val="auto"/>
          <w:sz w:val="24"/>
          <w:szCs w:val="24"/>
          <w:highlight w:val="none"/>
          <w:u w:val="none"/>
          <w:lang w:val="en-US" w:eastAsia="zh-CN"/>
        </w:rPr>
        <w:t>暂定</w:t>
      </w:r>
      <w:r>
        <w:rPr>
          <w:rFonts w:hint="eastAsia" w:ascii="宋体" w:hAnsi="宋体" w:eastAsia="宋体" w:cs="宋体"/>
          <w:color w:val="auto"/>
          <w:sz w:val="24"/>
          <w:szCs w:val="24"/>
          <w:highlight w:val="none"/>
          <w:u w:val="none"/>
          <w:lang w:val="en-US" w:eastAsia="zh-CN"/>
        </w:rPr>
        <w:t>为</w:t>
      </w:r>
      <w:r>
        <w:rPr>
          <w:rFonts w:hint="eastAsia" w:ascii="宋体" w:hAnsi="宋体" w:cs="宋体"/>
          <w:sz w:val="24"/>
          <w:u w:val="none"/>
        </w:rPr>
        <w:t>87455.25</w:t>
      </w:r>
      <w:r>
        <w:rPr>
          <w:rFonts w:hint="eastAsia" w:ascii="宋体" w:hAnsi="宋体" w:eastAsia="宋体" w:cs="宋体"/>
          <w:color w:val="auto"/>
          <w:sz w:val="24"/>
          <w:szCs w:val="24"/>
          <w:highlight w:val="none"/>
          <w:u w:val="none"/>
          <w:lang w:val="en-US" w:eastAsia="zh-CN"/>
        </w:rPr>
        <w:t>万元，</w:t>
      </w:r>
      <w:r>
        <w:rPr>
          <w:rFonts w:hint="eastAsia" w:ascii="宋体" w:hAnsi="宋体" w:cs="宋体"/>
          <w:color w:val="auto"/>
          <w:sz w:val="24"/>
          <w:szCs w:val="24"/>
          <w:highlight w:val="none"/>
          <w:u w:val="none"/>
          <w:lang w:val="en-US" w:eastAsia="zh-CN"/>
        </w:rPr>
        <w:t>其中建安费为656500757.56</w:t>
      </w:r>
      <w:r>
        <w:rPr>
          <w:rFonts w:ascii="宋体" w:hAnsi="宋体" w:eastAsia="宋体" w:cs="宋体"/>
          <w:color w:val="auto"/>
          <w:sz w:val="24"/>
          <w:szCs w:val="24"/>
          <w:highlight w:val="none"/>
          <w:u w:val="none"/>
        </w:rPr>
        <w:t>元。</w:t>
      </w:r>
    </w:p>
    <w:p w14:paraId="0B624072">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32CB8F59">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监理标段划分：本项目分为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个标段。</w:t>
      </w:r>
    </w:p>
    <w:p w14:paraId="3536DC3C">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eastAsia="宋体" w:cs="宋体"/>
          <w:color w:val="auto"/>
          <w:sz w:val="24"/>
          <w:szCs w:val="24"/>
          <w:highlight w:val="none"/>
          <w:u w:val="single"/>
        </w:rPr>
        <w:t>。</w:t>
      </w:r>
    </w:p>
    <w:p w14:paraId="379EC1A2">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 监理服务期限</w:t>
      </w:r>
    </w:p>
    <w:p w14:paraId="6F5E564E">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color w:val="000000" w:themeColor="text1"/>
          <w:spacing w:val="4"/>
          <w:sz w:val="24"/>
          <w:lang w:val="en-US" w:eastAsia="zh-CN"/>
          <w14:textFill>
            <w14:solidFill>
              <w14:schemeClr w14:val="tx1"/>
            </w14:solidFill>
          </w14:textFill>
        </w:rPr>
        <w:t>自本合同签订生效之日起至本项目的竣工结算（以有权结算终审部门审定的竣工结算）且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p>
    <w:p w14:paraId="2A5ACCB1">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2.2.4 监理服务最高投标限价：</w:t>
      </w:r>
      <w:r>
        <w:rPr>
          <w:rFonts w:hint="eastAsia" w:ascii="宋体" w:hAnsi="宋体" w:cs="宋体"/>
          <w:color w:val="auto"/>
          <w:sz w:val="24"/>
          <w:szCs w:val="24"/>
          <w:highlight w:val="none"/>
          <w:u w:val="single"/>
          <w:lang w:val="en-US" w:eastAsia="zh-CN"/>
        </w:rPr>
        <w:t>7462658.00</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lang w:eastAsia="zh-CN"/>
        </w:rPr>
        <w:t>。</w:t>
      </w:r>
    </w:p>
    <w:p w14:paraId="44636957">
      <w:pPr>
        <w:shd w:val="clear"/>
        <w:spacing w:line="360" w:lineRule="auto"/>
        <w:ind w:firstLine="480" w:firstLineChars="200"/>
        <w:rPr>
          <w:rFonts w:hint="eastAsia" w:ascii="宋体" w:hAnsi="宋体" w:eastAsia="宋体" w:cs="宋体"/>
          <w:color w:val="auto"/>
          <w:sz w:val="24"/>
          <w:szCs w:val="24"/>
          <w:highlight w:val="none"/>
          <w:u w:val="single"/>
        </w:rPr>
      </w:pPr>
    </w:p>
    <w:p w14:paraId="304A4B66">
      <w:pPr>
        <w:pStyle w:val="3"/>
        <w:keepNext w:val="0"/>
        <w:keepLines w:val="0"/>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投标人资格要求</w:t>
      </w:r>
      <w:bookmarkEnd w:id="5"/>
      <w:bookmarkEnd w:id="6"/>
    </w:p>
    <w:p w14:paraId="5611F95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本次招标要求投标人须具备</w:t>
      </w:r>
      <w:r>
        <w:rPr>
          <w:rFonts w:hint="eastAsia" w:ascii="宋体" w:hAnsi="宋体" w:eastAsia="宋体" w:cs="宋体"/>
          <w:color w:val="auto"/>
          <w:sz w:val="24"/>
          <w:szCs w:val="24"/>
          <w:highlight w:val="none"/>
          <w:u w:val="single"/>
        </w:rPr>
        <w:t>相应</w:t>
      </w:r>
      <w:r>
        <w:rPr>
          <w:rFonts w:hint="eastAsia" w:ascii="宋体" w:hAnsi="宋体" w:eastAsia="宋体" w:cs="宋体"/>
          <w:color w:val="auto"/>
          <w:sz w:val="24"/>
          <w:szCs w:val="24"/>
          <w:highlight w:val="none"/>
        </w:rPr>
        <w:t xml:space="preserve">资质。 </w:t>
      </w:r>
    </w:p>
    <w:p w14:paraId="00F1BE3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投标人须具备</w:t>
      </w:r>
      <w:r>
        <w:rPr>
          <w:rFonts w:hint="eastAsia" w:ascii="宋体" w:hAnsi="宋体" w:cs="宋体"/>
          <w:color w:val="auto"/>
          <w:sz w:val="24"/>
          <w:highlight w:val="none"/>
          <w:u w:val="single"/>
        </w:rPr>
        <w:t>工程监理综合资质或</w:t>
      </w:r>
      <w:r>
        <w:rPr>
          <w:rFonts w:hint="eastAsia" w:ascii="宋体" w:hAnsi="宋体" w:cs="宋体"/>
          <w:color w:val="auto"/>
          <w:sz w:val="24"/>
          <w:highlight w:val="none"/>
          <w:u w:val="single"/>
          <w:lang w:eastAsia="zh-CN"/>
        </w:rPr>
        <w:t>房屋建筑</w:t>
      </w:r>
      <w:r>
        <w:rPr>
          <w:rFonts w:hint="eastAsia" w:ascii="宋体" w:hAnsi="宋体" w:cs="宋体"/>
          <w:color w:val="auto"/>
          <w:sz w:val="24"/>
          <w:highlight w:val="none"/>
          <w:u w:val="single"/>
          <w:lang w:val="en-US" w:eastAsia="zh-CN"/>
        </w:rPr>
        <w:t>工程</w:t>
      </w:r>
      <w:r>
        <w:rPr>
          <w:rFonts w:hint="eastAsia" w:ascii="宋体" w:hAnsi="宋体" w:cs="宋体"/>
          <w:color w:val="auto"/>
          <w:sz w:val="24"/>
          <w:highlight w:val="none"/>
          <w:u w:val="single"/>
        </w:rPr>
        <w:t>监理</w:t>
      </w:r>
      <w:r>
        <w:rPr>
          <w:rFonts w:hint="eastAsia" w:ascii="宋体" w:hAnsi="宋体" w:cs="宋体"/>
          <w:color w:val="auto"/>
          <w:sz w:val="24"/>
          <w:highlight w:val="none"/>
          <w:u w:val="single"/>
          <w:lang w:val="en-US" w:eastAsia="zh-CN"/>
        </w:rPr>
        <w:t>甲级</w:t>
      </w:r>
      <w:r>
        <w:rPr>
          <w:rFonts w:hint="eastAsia" w:ascii="宋体" w:hAnsi="宋体" w:eastAsia="宋体" w:cs="宋体"/>
          <w:color w:val="auto"/>
          <w:sz w:val="24"/>
          <w:szCs w:val="24"/>
          <w:highlight w:val="none"/>
        </w:rPr>
        <w:t>资质。</w:t>
      </w:r>
    </w:p>
    <w:p w14:paraId="7EC8BA09">
      <w:pPr>
        <w:shd w:val="clea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8A1DFB6">
      <w:pPr>
        <w:shd w:val="clear"/>
        <w:spacing w:line="360" w:lineRule="auto"/>
        <w:ind w:firstLine="480" w:firstLineChars="200"/>
        <w:jc w:val="left"/>
        <w:rPr>
          <w:rFonts w:hint="eastAsia" w:ascii="宋体" w:hAnsi="宋体"/>
          <w:color w:val="auto"/>
          <w:kern w:val="0"/>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监理企业资质证书有效期按《住房和城乡建设部办公厅关于做好建筑业“证照分离”改革衔接有关工作的通知》（建办市〔2021〕30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有关事宜的通知》（粤建许函〔2022〕846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w:t>
      </w:r>
      <w:r>
        <w:rPr>
          <w:rFonts w:hint="eastAsia" w:ascii="宋体" w:hAnsi="宋体"/>
          <w:color w:val="auto"/>
          <w:kern w:val="0"/>
          <w:sz w:val="24"/>
          <w:szCs w:val="24"/>
          <w:highlight w:val="none"/>
          <w:u w:val="single"/>
        </w:rPr>
        <w:t>根据上述文件的要求，投标人需办理企业资质有效期延续的，应当按照相关规定及时办理。</w:t>
      </w:r>
      <w:r>
        <w:rPr>
          <w:rFonts w:hint="eastAsia" w:ascii="宋体" w:hAnsi="宋体" w:cs="宋体"/>
          <w:color w:val="auto"/>
          <w:sz w:val="24"/>
          <w:szCs w:val="24"/>
          <w:highlight w:val="none"/>
          <w:u w:val="single"/>
        </w:rPr>
        <w:t>相关注意事项如下</w:t>
      </w:r>
      <w:r>
        <w:rPr>
          <w:rFonts w:hint="eastAsia" w:ascii="宋体" w:hAnsi="宋体"/>
          <w:color w:val="auto"/>
          <w:kern w:val="0"/>
          <w:sz w:val="24"/>
          <w:szCs w:val="24"/>
          <w:highlight w:val="none"/>
          <w:u w:val="single"/>
        </w:rPr>
        <w:t>：</w:t>
      </w:r>
    </w:p>
    <w:p w14:paraId="5516265D">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ascii="宋体" w:hAnsi="宋体" w:cs="宋体"/>
          <w:color w:val="auto"/>
          <w:sz w:val="24"/>
          <w:szCs w:val="24"/>
          <w:highlight w:val="none"/>
          <w:u w:val="single"/>
        </w:rPr>
        <w:t>投标人按照上述规定办理了资质延期或换领新证，在投标截止前已取得新证的，投标人须在投标文件中提供经核准延期后的新资质证书。</w:t>
      </w:r>
    </w:p>
    <w:p w14:paraId="457CB5CD">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投标人按照上述规定办理了资质延期或换领新证，在投标截止前未取得新证的，以中华人民共和国住房和城乡建设部发布核准建设工程企业资质延续名单的公告或通知、或全国建筑市场监管公共服务平台（简称四库一平台）中</w:t>
      </w:r>
      <w:r>
        <w:rPr>
          <w:rFonts w:hint="eastAsia" w:ascii="宋体" w:hAnsi="宋体" w:cs="宋体"/>
          <w:color w:val="auto"/>
          <w:sz w:val="24"/>
          <w:szCs w:val="24"/>
          <w:highlight w:val="none"/>
          <w:u w:val="single"/>
          <w:lang w:val="en-US" w:eastAsia="zh-CN"/>
        </w:rPr>
        <w:t>监理</w:t>
      </w:r>
      <w:r>
        <w:rPr>
          <w:rFonts w:ascii="宋体" w:hAnsi="宋体" w:cs="宋体"/>
          <w:color w:val="auto"/>
          <w:sz w:val="24"/>
          <w:szCs w:val="24"/>
          <w:highlight w:val="none"/>
          <w:u w:val="single"/>
        </w:rPr>
        <w:t>资质</w:t>
      </w:r>
      <w:r>
        <w:rPr>
          <w:rFonts w:hint="eastAsia" w:ascii="宋体" w:hAnsi="宋体" w:cs="宋体"/>
          <w:color w:val="auto"/>
          <w:sz w:val="24"/>
          <w:szCs w:val="24"/>
          <w:highlight w:val="none"/>
          <w:u w:val="single"/>
          <w:lang w:val="en-US" w:eastAsia="zh-CN"/>
        </w:rPr>
        <w:t>证书</w:t>
      </w:r>
      <w:r>
        <w:rPr>
          <w:rFonts w:ascii="宋体" w:hAnsi="宋体" w:cs="宋体"/>
          <w:color w:val="auto"/>
          <w:sz w:val="24"/>
          <w:szCs w:val="24"/>
          <w:highlight w:val="none"/>
          <w:u w:val="single"/>
        </w:rPr>
        <w:t>信息为准，并提供资质信息网页截图或相关证明资料。</w:t>
      </w:r>
    </w:p>
    <w:p w14:paraId="1F36707A">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③</w:t>
      </w:r>
      <w:r>
        <w:rPr>
          <w:rFonts w:ascii="宋体" w:hAnsi="宋体" w:cs="宋体"/>
          <w:color w:val="auto"/>
          <w:sz w:val="24"/>
          <w:szCs w:val="24"/>
          <w:highlight w:val="none"/>
          <w:u w:val="single"/>
        </w:rPr>
        <w:t>投标人未提供有效期内的资质证书或未按第</w:t>
      </w:r>
      <w:r>
        <w:rPr>
          <w:rFonts w:hint="eastAsia" w:ascii="宋体" w:hAnsi="宋体" w:cs="宋体"/>
          <w:color w:val="auto"/>
          <w:sz w:val="24"/>
          <w:szCs w:val="24"/>
          <w:highlight w:val="none"/>
          <w:u w:val="single"/>
          <w:lang w:val="en-US" w:eastAsia="zh-CN"/>
        </w:rPr>
        <w:t>②</w:t>
      </w:r>
      <w:r>
        <w:rPr>
          <w:rFonts w:ascii="宋体" w:hAnsi="宋体" w:cs="宋体"/>
          <w:color w:val="auto"/>
          <w:sz w:val="24"/>
          <w:szCs w:val="24"/>
          <w:highlight w:val="none"/>
          <w:u w:val="single"/>
        </w:rPr>
        <w:t>款要求提供相关证明资料的，评标委员会将书面发出澄清通知，要求其提供申请资质延续的相关证明资料（如提交申请截图或申请回执等）或核准延期后的新资质证书或其他相关证明资料。如未能按本款要求提供相关证明资料的投标人，视为资质已失效，不通过资格审查。</w:t>
      </w:r>
    </w:p>
    <w:p w14:paraId="459E625C">
      <w:pPr>
        <w:shd w:val="clear"/>
        <w:spacing w:line="360" w:lineRule="auto"/>
        <w:ind w:firstLine="537" w:firstLineChars="224"/>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④</w:t>
      </w:r>
      <w:r>
        <w:rPr>
          <w:rFonts w:ascii="宋体" w:hAnsi="宋体" w:cs="宋体"/>
          <w:color w:val="auto"/>
          <w:sz w:val="24"/>
          <w:szCs w:val="24"/>
          <w:highlight w:val="none"/>
          <w:u w:val="single"/>
        </w:rPr>
        <w:t>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67AF9F4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总监理工程师：拟任本项目总监理工程师应具有建设部2006年4月1日后颁发的中华人民共和国注册监理工程师注册执业证书，且其注册专业为</w:t>
      </w:r>
      <w:r>
        <w:rPr>
          <w:rFonts w:hint="eastAsia" w:ascii="宋体" w:hAnsi="宋体" w:cs="宋体"/>
          <w:color w:val="auto"/>
          <w:sz w:val="24"/>
          <w:highlight w:val="none"/>
          <w:u w:val="single"/>
          <w:lang w:eastAsia="zh-CN"/>
        </w:rPr>
        <w:t>房屋建筑工程</w:t>
      </w:r>
      <w:r>
        <w:rPr>
          <w:rFonts w:hint="eastAsia" w:ascii="宋体" w:hAnsi="宋体" w:eastAsia="宋体" w:cs="宋体"/>
          <w:color w:val="auto"/>
          <w:sz w:val="24"/>
          <w:szCs w:val="24"/>
          <w:highlight w:val="none"/>
        </w:rPr>
        <w:t>，注册执业单位为本公司，并具有本科或以上的学历。</w:t>
      </w:r>
    </w:p>
    <w:p w14:paraId="7040B51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港专业人士参与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14:paraId="6387E739">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color w:val="auto"/>
          <w:sz w:val="24"/>
        </w:rPr>
        <w:t>根据《住房城乡建设部办公厅关于启用注册监理工程师等专业技术人员电子注册证书的通知》（建办厅函〔2025〕13号），自2025年1月20日起，注册监理工程师统一使用电子证书，不再发放纸质注册证书。根据规定注册监理工程师纸质注册证书未作废的，资格审查时不得以投标人未提供电子证书为由，认定投标人资格审查不通过。</w:t>
      </w:r>
    </w:p>
    <w:p w14:paraId="5FE9D77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关于联合体投标：本项目不接受联合体投标。</w:t>
      </w:r>
    </w:p>
    <w:p w14:paraId="5F1122D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投标人均具有独立法人资格，</w:t>
      </w:r>
      <w:r>
        <w:rPr>
          <w:rFonts w:hint="eastAsia" w:ascii="宋体" w:hAnsi="宋体" w:eastAsia="宋体" w:cs="宋体"/>
          <w:color w:val="auto"/>
          <w:sz w:val="24"/>
          <w:szCs w:val="24"/>
          <w:highlight w:val="none"/>
          <w:shd w:val="clear" w:color="auto" w:fill="FFFFFF"/>
        </w:rPr>
        <w:t>持有工商行政管理部门核发的法人营业执照，</w:t>
      </w:r>
      <w:r>
        <w:rPr>
          <w:rFonts w:hint="eastAsia" w:ascii="宋体" w:hAnsi="宋体" w:eastAsia="宋体" w:cs="宋体"/>
          <w:color w:val="auto"/>
          <w:sz w:val="24"/>
          <w:szCs w:val="24"/>
          <w:highlight w:val="none"/>
        </w:rPr>
        <w:t>按国家法律经营。</w:t>
      </w:r>
    </w:p>
    <w:p w14:paraId="492CA29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cs="宋体"/>
          <w:color w:val="auto"/>
          <w:sz w:val="24"/>
          <w:highlight w:val="none"/>
          <w:u w:val="single"/>
          <w:lang w:eastAsia="zh-Hans"/>
        </w:rPr>
        <w:t>投标登记</w:t>
      </w:r>
      <w:r>
        <w:rPr>
          <w:rFonts w:hint="eastAsia" w:ascii="宋体" w:hAnsi="宋体" w:cs="宋体"/>
          <w:color w:val="auto"/>
          <w:sz w:val="24"/>
          <w:highlight w:val="none"/>
          <w:u w:val="single"/>
        </w:rPr>
        <w:t>前</w:t>
      </w:r>
      <w:r>
        <w:rPr>
          <w:rFonts w:hint="eastAsia" w:ascii="宋体" w:hAnsi="宋体" w:cs="宋体"/>
          <w:color w:val="auto"/>
          <w:sz w:val="24"/>
          <w:highlight w:val="none"/>
        </w:rPr>
        <w:t>，投标人须在</w:t>
      </w:r>
      <w:r>
        <w:rPr>
          <w:rFonts w:hint="eastAsia" w:ascii="宋体"/>
          <w:color w:val="auto"/>
          <w:sz w:val="24"/>
          <w:highlight w:val="none"/>
        </w:rPr>
        <w:t>广州市住建行业信用管理平台</w:t>
      </w:r>
      <w:r>
        <w:rPr>
          <w:rFonts w:hint="eastAsia" w:ascii="宋体" w:hAnsi="宋体" w:cs="宋体"/>
          <w:color w:val="auto"/>
          <w:sz w:val="24"/>
          <w:highlight w:val="none"/>
        </w:rPr>
        <w:t>建立了企业信用档案及拟担任本工程总监理工程师须是本企业信用档案中的在册人员（以广州市住建行业信用管理平台查询信息为准）。</w:t>
      </w:r>
    </w:p>
    <w:p w14:paraId="4D15EAF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投标人出具按照招标文件要求的格式签署盖章的《投标申请人声明》（格式见招标文件第六章）。</w:t>
      </w:r>
    </w:p>
    <w:p w14:paraId="67785C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p>
    <w:p w14:paraId="3B267F2F">
      <w:pPr>
        <w:topLinePunct w:val="0"/>
        <w:adjustRightInd/>
        <w:snapToGrid/>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注：</w:t>
      </w:r>
      <w:r>
        <w:rPr>
          <w:rFonts w:hint="eastAsia" w:ascii="宋体" w:hAnsi="宋体" w:cs="宋体"/>
          <w:color w:val="auto"/>
          <w:sz w:val="24"/>
          <w:szCs w:val="24"/>
          <w:highlight w:val="none"/>
          <w:u w:val="single"/>
        </w:rPr>
        <w:t>1、未在招标公告第3条单列的投标人资格要求条件，不作为资审不合格的依据。</w:t>
      </w:r>
    </w:p>
    <w:p w14:paraId="68681E93">
      <w:pPr>
        <w:topLinePunct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37706C6B">
      <w:pPr>
        <w:shd w:val="clear"/>
        <w:spacing w:line="360" w:lineRule="auto"/>
        <w:ind w:firstLine="480" w:firstLineChars="200"/>
        <w:rPr>
          <w:rFonts w:hint="eastAsia" w:ascii="宋体" w:hAnsi="宋体" w:eastAsia="宋体" w:cs="宋体"/>
          <w:color w:val="auto"/>
          <w:sz w:val="24"/>
          <w:szCs w:val="24"/>
          <w:highlight w:val="none"/>
          <w:u w:val="single"/>
        </w:rPr>
      </w:pPr>
    </w:p>
    <w:p w14:paraId="24D17C5B">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 招标文件的获取</w:t>
      </w:r>
    </w:p>
    <w:p w14:paraId="33C65C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本项目招标文件随招标公告一并在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发布。招标文件一经在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广州交易集团有限公司（广州公共资源交易中心）网站（网址：http://www.gzggzy.cn</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下载电子招标文件。</w:t>
      </w:r>
    </w:p>
    <w:p w14:paraId="7C891C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本项目采用资格后审方式。</w:t>
      </w:r>
    </w:p>
    <w:p w14:paraId="6B0781CE">
      <w:pPr>
        <w:spacing w:line="360" w:lineRule="auto"/>
        <w:ind w:firstLine="480" w:firstLineChars="200"/>
        <w:rPr>
          <w:rFonts w:hint="eastAsia" w:ascii="宋体" w:hAnsi="宋体" w:eastAsia="宋体" w:cs="宋体"/>
          <w:color w:val="auto"/>
          <w:sz w:val="24"/>
          <w:szCs w:val="24"/>
          <w:highlight w:val="none"/>
        </w:rPr>
      </w:pPr>
    </w:p>
    <w:p w14:paraId="48BD48C9">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 发布招标公告、递交投标文件时间、开标时间</w:t>
      </w:r>
    </w:p>
    <w:p w14:paraId="6E1FE27A">
      <w:pPr>
        <w:spacing w:line="360" w:lineRule="auto"/>
        <w:ind w:left="239" w:leftChars="114"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5.1 发布招标公告时间（含本日）：</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20AFC66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14:paraId="0BD8075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 递交投标文件时间：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网站（网址：http://www.gzggzy.cn/）</w:t>
      </w:r>
      <w:r>
        <w:rPr>
          <w:rFonts w:hint="eastAsia" w:ascii="宋体" w:hAnsi="宋体" w:cs="宋体"/>
          <w:color w:val="auto"/>
          <w:sz w:val="24"/>
          <w:highlight w:val="none"/>
        </w:rPr>
        <w:t>交易平台递交电子投标文件。投标人应在递交投标文件截止时间前，登录广州交易集团有限公司（广州公共资源交易中心）交易平台网站办理网上投标登记手续。按照交易平台关于全流程电子化项目的相关指南进行操作。详见：</w:t>
      </w:r>
      <w:r>
        <w:rPr>
          <w:rFonts w:hint="eastAsia" w:ascii="宋体" w:hAnsi="宋体" w:cs="宋体"/>
          <w:color w:val="auto"/>
          <w:sz w:val="24"/>
          <w:highlight w:val="none"/>
          <w:u w:val="single"/>
        </w:rPr>
        <w:t>广州交易集团有限公司（广州公共资源交易中心）网站首页-服务指南。</w:t>
      </w:r>
    </w:p>
    <w:p w14:paraId="056DC156">
      <w:pPr>
        <w:tabs>
          <w:tab w:val="left" w:pos="360"/>
        </w:tabs>
        <w:spacing w:line="312"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递交备用投标文件电子光盘时间为：</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p>
    <w:p w14:paraId="2CA4E41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 逾期送达的投标文件，电子招标投标交易平台将予以拒收。逾期未上传成功的电子投标文件，招标人拒绝接收。逾期或未在指定地点递交投标文件光盘的,招标人拒绝接收其投标文件光盘。</w:t>
      </w:r>
    </w:p>
    <w:p w14:paraId="4AFBD2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5.5 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投标人也可选择参加在线开标，具体按照交易平台相关指南进行操作。详见：</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网站最新指引</w:t>
      </w:r>
      <w:r>
        <w:rPr>
          <w:rFonts w:hint="eastAsia" w:ascii="宋体" w:hAnsi="宋体" w:eastAsia="宋体" w:cs="宋体"/>
          <w:b/>
          <w:bCs/>
          <w:color w:val="auto"/>
          <w:sz w:val="24"/>
          <w:szCs w:val="24"/>
          <w:highlight w:val="none"/>
          <w:u w:val="single"/>
          <w:lang w:eastAsia="zh-CN"/>
        </w:rPr>
        <w:t>。</w:t>
      </w:r>
    </w:p>
    <w:p w14:paraId="345CA140">
      <w:pPr>
        <w:shd w:val="clear"/>
        <w:spacing w:line="360" w:lineRule="auto"/>
        <w:ind w:firstLine="480" w:firstLineChars="200"/>
        <w:rPr>
          <w:rFonts w:hint="eastAsia" w:ascii="宋体" w:hAnsi="宋体" w:eastAsia="宋体" w:cs="宋体"/>
          <w:color w:val="auto"/>
          <w:sz w:val="24"/>
          <w:szCs w:val="24"/>
          <w:highlight w:val="none"/>
          <w:u w:val="single"/>
        </w:rPr>
      </w:pPr>
    </w:p>
    <w:p w14:paraId="68A2433D">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 发布公告的媒介</w:t>
      </w:r>
    </w:p>
    <w:p w14:paraId="3038A12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本次招标公告同时在</w:t>
      </w:r>
      <w:r>
        <w:rPr>
          <w:rFonts w:hint="eastAsia" w:ascii="宋体" w:hAnsi="宋体" w:cs="宋体"/>
          <w:sz w:val="24"/>
          <w:szCs w:val="24"/>
          <w:u w:val="none"/>
        </w:rPr>
        <w:t>广州交易集团有限公司（广州公共资源交易中心）</w:t>
      </w:r>
      <w:r>
        <w:rPr>
          <w:rFonts w:hint="eastAsia" w:ascii="宋体" w:hAnsi="宋体"/>
          <w:kern w:val="0"/>
          <w:sz w:val="24"/>
          <w:szCs w:val="24"/>
        </w:rPr>
        <w:t>网站（网址：http://www.gzggzy.cn）、</w:t>
      </w:r>
      <w:r>
        <w:rPr>
          <w:rFonts w:hint="eastAsia" w:ascii="宋体" w:hAnsi="宋体" w:cs="宋体"/>
          <w:sz w:val="24"/>
        </w:rPr>
        <w:t>广州国企阳光采购信息发布平台网站（</w:t>
      </w:r>
      <w:r>
        <w:rPr>
          <w:rFonts w:hint="eastAsia" w:ascii="宋体" w:hAnsi="宋体"/>
          <w:kern w:val="0"/>
          <w:sz w:val="24"/>
          <w:szCs w:val="24"/>
        </w:rPr>
        <w:t>网址：</w:t>
      </w:r>
      <w:r>
        <w:rPr>
          <w:rFonts w:hint="eastAsia" w:ascii="宋体" w:hAnsi="宋体" w:cs="宋体"/>
          <w:sz w:val="24"/>
        </w:rPr>
        <w:t>https://ygcg.gzggzy.cn/p92/index.html）、</w:t>
      </w:r>
      <w:r>
        <w:rPr>
          <w:rFonts w:hint="eastAsia" w:ascii="宋体" w:hAnsi="宋体"/>
          <w:kern w:val="0"/>
          <w:sz w:val="24"/>
          <w:szCs w:val="24"/>
        </w:rPr>
        <w:t>广东省招标投标监管网（网址：https://zbtb.gd.gov.cn/#/index</w:t>
      </w:r>
      <w:r>
        <w:rPr>
          <w:rFonts w:hint="eastAsia" w:ascii="宋体" w:hAnsi="宋体" w:cs="宋体"/>
          <w:kern w:val="0"/>
          <w:sz w:val="24"/>
          <w:szCs w:val="24"/>
        </w:rPr>
        <w:t>）和中国招标投标公共服务平台（网址：</w:t>
      </w:r>
      <w:r>
        <w:rPr>
          <w:rFonts w:hint="eastAsia" w:ascii="宋体" w:hAnsi="宋体"/>
          <w:kern w:val="0"/>
          <w:sz w:val="24"/>
          <w:szCs w:val="24"/>
        </w:rPr>
        <w:t>http://www.cebpubservice.com/）发布</w:t>
      </w:r>
      <w:r>
        <w:rPr>
          <w:rStyle w:val="13"/>
          <w:rFonts w:hint="eastAsia" w:ascii="宋体" w:hAnsi="宋体" w:eastAsia="宋体" w:cs="宋体"/>
          <w:color w:val="auto"/>
          <w:sz w:val="24"/>
          <w:szCs w:val="24"/>
          <w:highlight w:val="none"/>
        </w:rPr>
        <w:t>，本公告的修改、补充，在广州交易集团有限公司（广州公共资源交易中心）网站和广东省招标投标监管网上发布。</w:t>
      </w:r>
    </w:p>
    <w:p w14:paraId="7495360B">
      <w:pPr>
        <w:pStyle w:val="6"/>
        <w:rPr>
          <w:rFonts w:hint="eastAsia"/>
          <w:color w:val="auto"/>
          <w:highlight w:val="none"/>
        </w:rPr>
      </w:pPr>
    </w:p>
    <w:p w14:paraId="1DC7ABB3">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 联系方式</w:t>
      </w:r>
    </w:p>
    <w:p w14:paraId="1A041698">
      <w:pPr>
        <w:shd w:val="clear"/>
        <w:spacing w:line="360" w:lineRule="auto"/>
        <w:ind w:right="0" w:firstLine="480" w:firstLineChars="200"/>
        <w:rPr>
          <w:rFonts w:hint="eastAsia" w:ascii="宋体" w:hAnsi="宋体" w:eastAsia="宋体" w:cs="宋体"/>
          <w:color w:val="auto"/>
          <w:sz w:val="24"/>
          <w:szCs w:val="24"/>
          <w:highlight w:val="none"/>
          <w:u w:val="none"/>
          <w:lang w:eastAsia="zh-CN"/>
        </w:rPr>
      </w:pPr>
      <w:bookmarkStart w:id="7" w:name="_Toc361508562"/>
      <w:bookmarkEnd w:id="7"/>
      <w:bookmarkStart w:id="8" w:name="_Toc247527535"/>
      <w:bookmarkEnd w:id="8"/>
      <w:bookmarkStart w:id="9" w:name="_Toc384308187"/>
      <w:bookmarkEnd w:id="9"/>
      <w:bookmarkStart w:id="10" w:name="_Toc144974481"/>
      <w:bookmarkEnd w:id="10"/>
      <w:bookmarkStart w:id="11" w:name="_Toc361508563"/>
      <w:bookmarkEnd w:id="11"/>
      <w:bookmarkStart w:id="12" w:name="_Toc384308185"/>
      <w:bookmarkEnd w:id="12"/>
      <w:bookmarkStart w:id="13" w:name="_Toc17972"/>
      <w:bookmarkEnd w:id="13"/>
      <w:bookmarkStart w:id="14" w:name="_Toc247513934"/>
      <w:bookmarkEnd w:id="14"/>
      <w:bookmarkStart w:id="15" w:name="_Toc369531497"/>
      <w:bookmarkEnd w:id="15"/>
      <w:bookmarkStart w:id="16" w:name="_Toc352691453"/>
      <w:bookmarkEnd w:id="16"/>
      <w:bookmarkStart w:id="17" w:name="_Toc300834929"/>
      <w:bookmarkEnd w:id="17"/>
      <w:bookmarkStart w:id="18" w:name="_Toc10785"/>
      <w:bookmarkEnd w:id="18"/>
      <w:bookmarkStart w:id="19" w:name="_Toc152042289"/>
      <w:bookmarkEnd w:id="19"/>
      <w:bookmarkStart w:id="20" w:name="_Toc369531495"/>
      <w:bookmarkEnd w:id="20"/>
      <w:bookmarkStart w:id="21" w:name="_Toc352691455"/>
      <w:bookmarkEnd w:id="21"/>
      <w:bookmarkStart w:id="22" w:name="_Toc247513935"/>
      <w:bookmarkEnd w:id="22"/>
      <w:bookmarkStart w:id="23" w:name="_Toc300834930"/>
      <w:bookmarkEnd w:id="23"/>
      <w:bookmarkStart w:id="24" w:name="_Toc144974480"/>
      <w:bookmarkEnd w:id="24"/>
      <w:bookmarkStart w:id="25" w:name="_Toc152045512"/>
      <w:bookmarkEnd w:id="25"/>
      <w:bookmarkStart w:id="26" w:name="_Toc352691456"/>
      <w:bookmarkEnd w:id="26"/>
      <w:bookmarkStart w:id="27" w:name="_Toc384308188"/>
      <w:bookmarkEnd w:id="27"/>
      <w:bookmarkStart w:id="28" w:name="_Toc152042288"/>
      <w:bookmarkEnd w:id="28"/>
      <w:bookmarkStart w:id="29" w:name="_Toc152045513"/>
      <w:bookmarkEnd w:id="29"/>
      <w:bookmarkStart w:id="30" w:name="_Toc30817"/>
      <w:bookmarkEnd w:id="30"/>
      <w:bookmarkStart w:id="31" w:name="_Toc361508560"/>
      <w:bookmarkEnd w:id="31"/>
      <w:bookmarkStart w:id="32" w:name="_Toc247527536"/>
      <w:bookmarkEnd w:id="32"/>
      <w:bookmarkStart w:id="33" w:name="_Toc300834927"/>
      <w:bookmarkEnd w:id="33"/>
      <w:bookmarkStart w:id="34" w:name="_Toc369531498"/>
      <w:bookmarkEnd w:id="34"/>
      <w:r>
        <w:rPr>
          <w:rFonts w:hint="eastAsia" w:ascii="宋体" w:hAnsi="宋体" w:eastAsia="宋体" w:cs="宋体"/>
          <w:color w:val="auto"/>
          <w:sz w:val="24"/>
          <w:szCs w:val="24"/>
          <w:highlight w:val="none"/>
          <w:u w:val="none"/>
        </w:rPr>
        <w:t>招标人：</w:t>
      </w:r>
      <w:r>
        <w:rPr>
          <w:rFonts w:hint="eastAsia" w:ascii="宋体" w:hAnsi="宋体" w:eastAsia="宋体" w:cs="宋体"/>
          <w:color w:val="auto"/>
          <w:sz w:val="24"/>
          <w:szCs w:val="24"/>
          <w:highlight w:val="none"/>
          <w:u w:val="single"/>
        </w:rPr>
        <w:t>广州知城联晟城市更新有限公司</w:t>
      </w:r>
    </w:p>
    <w:p w14:paraId="2CAF088A">
      <w:pPr>
        <w:shd w:val="clear"/>
        <w:spacing w:line="360" w:lineRule="auto"/>
        <w:ind w:right="0"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广州市黄埔区知凤街9号知识大厦7楼01-06室</w:t>
      </w:r>
    </w:p>
    <w:p w14:paraId="708E2CC5">
      <w:pPr>
        <w:shd w:val="clear"/>
        <w:topLinePunct w:val="0"/>
        <w:spacing w:line="360" w:lineRule="auto"/>
        <w:ind w:right="0" w:firstLine="480" w:firstLineChars="200"/>
        <w:jc w:val="left"/>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李工、魏工</w:t>
      </w:r>
    </w:p>
    <w:p w14:paraId="3F098474">
      <w:pPr>
        <w:shd w:val="clear"/>
        <w:topLinePunct w:val="0"/>
        <w:spacing w:line="360" w:lineRule="auto"/>
        <w:ind w:right="0"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42BD9F20">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rPr>
      </w:pPr>
    </w:p>
    <w:p w14:paraId="0F396671">
      <w:pPr>
        <w:widowControl/>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招标代理机构：</w:t>
      </w:r>
      <w:r>
        <w:rPr>
          <w:rFonts w:hint="eastAsia" w:ascii="宋体" w:hAnsi="宋体" w:cs="宋体"/>
          <w:kern w:val="0"/>
          <w:sz w:val="24"/>
          <w:u w:val="single"/>
        </w:rPr>
        <w:t>广州高新工程顾问有限公司</w:t>
      </w:r>
    </w:p>
    <w:p w14:paraId="4131600B">
      <w:pPr>
        <w:widowControl/>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联系人：</w:t>
      </w:r>
      <w:r>
        <w:rPr>
          <w:rFonts w:hint="eastAsia" w:ascii="宋体" w:hAnsi="宋体" w:cs="宋体"/>
          <w:kern w:val="0"/>
          <w:sz w:val="24"/>
          <w:u w:val="single"/>
        </w:rPr>
        <w:t>罗工</w:t>
      </w:r>
    </w:p>
    <w:p w14:paraId="2C9EB05B">
      <w:pPr>
        <w:widowControl/>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rPr>
        <w:t>联系电话：</w:t>
      </w:r>
      <w:r>
        <w:rPr>
          <w:rFonts w:hint="eastAsia" w:ascii="宋体" w:hAnsi="宋体" w:cs="宋体"/>
          <w:sz w:val="24"/>
          <w:u w:val="single"/>
        </w:rPr>
        <w:t>020-85530825-612</w:t>
      </w:r>
    </w:p>
    <w:p w14:paraId="34DB39B8">
      <w:pPr>
        <w:keepNext w:val="0"/>
        <w:keepLines w:val="0"/>
        <w:pageBreakBefore w:val="0"/>
        <w:widowControl w:val="0"/>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cs="宋体"/>
          <w:kern w:val="0"/>
          <w:sz w:val="24"/>
        </w:rPr>
        <w:t>地址</w:t>
      </w:r>
      <w:r>
        <w:rPr>
          <w:rFonts w:hint="eastAsia" w:ascii="宋体" w:hAnsi="宋体" w:cs="宋体"/>
          <w:sz w:val="24"/>
        </w:rPr>
        <w:t>：</w:t>
      </w:r>
      <w:r>
        <w:rPr>
          <w:rFonts w:hint="eastAsia" w:ascii="宋体" w:hAnsi="宋体" w:cs="宋体"/>
          <w:kern w:val="0"/>
          <w:sz w:val="24"/>
          <w:u w:val="single"/>
        </w:rPr>
        <w:t>广州天河区华观路1933号A栋503</w:t>
      </w:r>
    </w:p>
    <w:p w14:paraId="0AF8B3D9">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p>
    <w:p w14:paraId="5CC5BA9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异议受理部门：</w:t>
      </w:r>
      <w:r>
        <w:rPr>
          <w:rFonts w:hint="eastAsia" w:ascii="宋体" w:hAnsi="宋体" w:eastAsia="宋体" w:cs="宋体"/>
          <w:color w:val="auto"/>
          <w:sz w:val="24"/>
          <w:szCs w:val="24"/>
          <w:highlight w:val="none"/>
          <w:u w:val="single"/>
        </w:rPr>
        <w:t>广州知城联晟城市更新有限公司</w:t>
      </w:r>
    </w:p>
    <w:p w14:paraId="0564041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地址：广州市黄埔区知凤街9号知识大厦7楼01-06室</w:t>
      </w:r>
    </w:p>
    <w:p w14:paraId="594CC2AC">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李工、魏工</w:t>
      </w:r>
    </w:p>
    <w:p w14:paraId="28223AAA">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42F8F265">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p>
    <w:p w14:paraId="47BBF27C">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招标监督机构：广州开发区建设工程招投标管理办公室（广州市黄埔区建设工程招投标管理办公室）</w:t>
      </w:r>
    </w:p>
    <w:p w14:paraId="0E0D5690">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地址：</w:t>
      </w:r>
      <w:r>
        <w:rPr>
          <w:rFonts w:hint="eastAsia" w:ascii="宋体" w:hAnsi="宋体" w:eastAsia="宋体" w:cs="宋体"/>
          <w:bCs/>
          <w:color w:val="auto"/>
          <w:sz w:val="24"/>
          <w:szCs w:val="24"/>
          <w:highlight w:val="none"/>
          <w:u w:val="none"/>
        </w:rPr>
        <w:t>广州市黄埔区水西路30号四楼</w:t>
      </w:r>
    </w:p>
    <w:p w14:paraId="580ED40A">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监管电话：</w:t>
      </w:r>
      <w:r>
        <w:rPr>
          <w:rFonts w:hint="eastAsia" w:ascii="宋体" w:hAnsi="宋体" w:eastAsia="宋体" w:cs="宋体"/>
          <w:bCs/>
          <w:color w:val="auto"/>
          <w:sz w:val="24"/>
          <w:szCs w:val="24"/>
          <w:highlight w:val="none"/>
          <w:u w:val="none"/>
        </w:rPr>
        <w:t>020-82112206、020-82116676</w:t>
      </w:r>
    </w:p>
    <w:p w14:paraId="5243C543">
      <w:pPr>
        <w:shd w:val="clear"/>
        <w:spacing w:line="360" w:lineRule="auto"/>
        <w:ind w:right="360"/>
        <w:jc w:val="left"/>
        <w:rPr>
          <w:rFonts w:hint="eastAsia" w:ascii="宋体" w:hAnsi="宋体" w:eastAsia="宋体" w:cs="宋体"/>
          <w:color w:val="auto"/>
          <w:sz w:val="22"/>
          <w:szCs w:val="22"/>
          <w:highlight w:val="none"/>
        </w:rPr>
      </w:pPr>
    </w:p>
    <w:p w14:paraId="73D6633F">
      <w:pPr>
        <w:keepNext w:val="0"/>
        <w:keepLines w:val="0"/>
        <w:pageBreakBefore w:val="0"/>
        <w:widowControl/>
        <w:shd w:val="clear"/>
        <w:kinsoku/>
        <w:wordWrap/>
        <w:overflowPunct/>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注：潜在投标人或利害关系人对本招标公告及招标文件有异议的，应当在投标截止时间10日前向招标人提出。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详见：广州交易集团有限公司（广州公共资源交易中心）网站-&gt;服务指南-&gt;系统帮助-&gt;操作手册-&gt;《发起及受理异议操作指引》（网址：http://www.gzggzy.cn/fwznxtbzczsc/928325.jhtml）。作出答复前，应当暂停招标投标活动。</w:t>
      </w:r>
    </w:p>
    <w:p w14:paraId="57289138">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1AAF691F">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1F73C81C">
      <w:pPr>
        <w:shd w:val="clear"/>
        <w:topLinePunct/>
        <w:spacing w:line="360" w:lineRule="auto"/>
        <w:ind w:left="239" w:leftChars="114" w:right="240" w:firstLine="2760" w:firstLineChars="1150"/>
        <w:jc w:val="right"/>
        <w:rPr>
          <w:rFonts w:hint="eastAsia" w:ascii="宋体" w:hAnsi="宋体" w:cs="宋体"/>
          <w:color w:val="auto"/>
          <w:sz w:val="24"/>
          <w:szCs w:val="24"/>
          <w:highlight w:val="none"/>
          <w:u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u w:val="none"/>
          <w:lang w:eastAsia="zh-CN"/>
        </w:rPr>
        <w:t>广州知城联晟城市更新有限公司</w:t>
      </w:r>
    </w:p>
    <w:p w14:paraId="22812876">
      <w:pPr>
        <w:shd w:val="clear"/>
        <w:topLinePunct/>
        <w:spacing w:line="360" w:lineRule="auto"/>
        <w:ind w:left="239" w:leftChars="114" w:right="240" w:firstLine="2760" w:firstLineChars="1150"/>
        <w:jc w:val="right"/>
        <w:rPr>
          <w:rFonts w:hint="eastAsia" w:ascii="宋体" w:hAnsi="宋体" w:cs="宋体"/>
          <w:color w:val="auto"/>
          <w:sz w:val="24"/>
          <w:szCs w:val="24"/>
          <w:highlight w:val="none"/>
          <w:u w:val="none"/>
          <w:lang w:eastAsia="zh-CN"/>
        </w:rPr>
      </w:pPr>
    </w:p>
    <w:p w14:paraId="3C6CCF07">
      <w:pPr>
        <w:shd w:val="clear"/>
        <w:topLinePunct/>
        <w:spacing w:line="360" w:lineRule="auto"/>
        <w:ind w:left="239" w:leftChars="114" w:right="240" w:firstLine="2760" w:firstLineChars="1150"/>
        <w:jc w:val="righ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val="en-US" w:eastAsia="zh-CN"/>
        </w:rPr>
        <w:t>广州高新工程顾问有限公司</w:t>
      </w:r>
    </w:p>
    <w:p w14:paraId="1FBD8225">
      <w:pPr>
        <w:shd w:val="clear"/>
        <w:topLinePunct/>
        <w:spacing w:line="360" w:lineRule="auto"/>
        <w:ind w:left="239" w:leftChars="114" w:right="240" w:firstLine="2760" w:firstLineChars="1150"/>
        <w:jc w:val="right"/>
        <w:rPr>
          <w:rFonts w:hint="eastAsia" w:ascii="宋体" w:hAnsi="宋体" w:cs="宋体"/>
          <w:color w:val="auto"/>
          <w:sz w:val="24"/>
          <w:szCs w:val="24"/>
          <w:highlight w:val="none"/>
          <w:lang w:eastAsia="zh-CN"/>
        </w:rPr>
      </w:pPr>
    </w:p>
    <w:p w14:paraId="13CDDAF5">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sectPr>
      <w:footerReference r:id="rId4"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FA3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0B5C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0B5C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9461">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5F3A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5F3AC">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WFjM2ZlNDcwMDg2Mjc1YzU2YWMwMzM3YTM4NDAifQ=="/>
  </w:docVars>
  <w:rsids>
    <w:rsidRoot w:val="2FF66E9A"/>
    <w:rsid w:val="02313CE3"/>
    <w:rsid w:val="031E0D1C"/>
    <w:rsid w:val="05336FDA"/>
    <w:rsid w:val="053529CD"/>
    <w:rsid w:val="05940AC6"/>
    <w:rsid w:val="07C96858"/>
    <w:rsid w:val="080758D4"/>
    <w:rsid w:val="0A17067B"/>
    <w:rsid w:val="0A831D1C"/>
    <w:rsid w:val="0C907181"/>
    <w:rsid w:val="0FE262A8"/>
    <w:rsid w:val="10762F01"/>
    <w:rsid w:val="11DA2096"/>
    <w:rsid w:val="12B06A14"/>
    <w:rsid w:val="198C4A69"/>
    <w:rsid w:val="1A753113"/>
    <w:rsid w:val="1B3A15EF"/>
    <w:rsid w:val="1FC11EA9"/>
    <w:rsid w:val="25B54D5D"/>
    <w:rsid w:val="25D71ADD"/>
    <w:rsid w:val="272A2BE1"/>
    <w:rsid w:val="27D0127F"/>
    <w:rsid w:val="2B8B529B"/>
    <w:rsid w:val="2F217537"/>
    <w:rsid w:val="2F28164A"/>
    <w:rsid w:val="2FF66E9A"/>
    <w:rsid w:val="30ED4FD4"/>
    <w:rsid w:val="321819A6"/>
    <w:rsid w:val="33140AAA"/>
    <w:rsid w:val="354778FD"/>
    <w:rsid w:val="354B1086"/>
    <w:rsid w:val="362706E4"/>
    <w:rsid w:val="391E7FF3"/>
    <w:rsid w:val="396778BC"/>
    <w:rsid w:val="39CC5715"/>
    <w:rsid w:val="3AC55EB0"/>
    <w:rsid w:val="3D5B5459"/>
    <w:rsid w:val="3DEC5983"/>
    <w:rsid w:val="3ED64A3A"/>
    <w:rsid w:val="3FA3368A"/>
    <w:rsid w:val="400C1BB4"/>
    <w:rsid w:val="44143A5D"/>
    <w:rsid w:val="46640C86"/>
    <w:rsid w:val="47675D33"/>
    <w:rsid w:val="4C5B23BF"/>
    <w:rsid w:val="4CFD02CC"/>
    <w:rsid w:val="4D491256"/>
    <w:rsid w:val="4DEA0FE4"/>
    <w:rsid w:val="4E3A37E2"/>
    <w:rsid w:val="4FFA1C80"/>
    <w:rsid w:val="51050676"/>
    <w:rsid w:val="51B729D4"/>
    <w:rsid w:val="52140592"/>
    <w:rsid w:val="53060ED0"/>
    <w:rsid w:val="54551EAC"/>
    <w:rsid w:val="566D6636"/>
    <w:rsid w:val="5888724A"/>
    <w:rsid w:val="58AB32D2"/>
    <w:rsid w:val="5A0249EC"/>
    <w:rsid w:val="5A544FB4"/>
    <w:rsid w:val="5C6D6B1C"/>
    <w:rsid w:val="5D552F92"/>
    <w:rsid w:val="5E496B61"/>
    <w:rsid w:val="5E997458"/>
    <w:rsid w:val="5F096D32"/>
    <w:rsid w:val="62C82FD2"/>
    <w:rsid w:val="630A59CC"/>
    <w:rsid w:val="634D59F2"/>
    <w:rsid w:val="66391F1D"/>
    <w:rsid w:val="673571CB"/>
    <w:rsid w:val="69D05529"/>
    <w:rsid w:val="6EEB24E2"/>
    <w:rsid w:val="70BA74B7"/>
    <w:rsid w:val="773332BE"/>
    <w:rsid w:val="79082CB1"/>
    <w:rsid w:val="7BF468A5"/>
    <w:rsid w:val="7CA368D0"/>
    <w:rsid w:val="7DAC7021"/>
    <w:rsid w:val="7F2B5B61"/>
    <w:rsid w:val="7F4A43A8"/>
    <w:rsid w:val="7FDE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autoRedefine/>
    <w:qFormat/>
    <w:uiPriority w:val="0"/>
    <w:rPr>
      <w:rFonts w:ascii="宋体" w:hAnsi="宋体" w:eastAsiaTheme="minorEastAsia" w:cstheme="minorBidi"/>
      <w:szCs w:val="24"/>
      <w:u w:val="single"/>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autoRedefine/>
    <w:qFormat/>
    <w:uiPriority w:val="0"/>
    <w:rPr>
      <w:color w:val="12477D"/>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4359</Words>
  <Characters>5003</Characters>
  <Lines>0</Lines>
  <Paragraphs>0</Paragraphs>
  <TotalTime>19</TotalTime>
  <ScaleCrop>false</ScaleCrop>
  <LinksUpToDate>false</LinksUpToDate>
  <CharactersWithSpaces>5093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2023-12-11T16:33:00Z</dcterms:created>
  <dc:creator>NTKO</dc:creator>
  <cp:lastModifiedBy>WPS_131167238</cp:lastModifiedBy>
  <cp:lastPrinted>2023-12-22T01:38:00Z</cp:lastPrinted>
  <dcterms:modified xsi:type="dcterms:W3CDTF">2025-06-16T11:20:51Z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C55D85B5F6724507AB857BEF8F83D964_13</vt:lpwstr>
  </property>
  <property fmtid="{D5CDD505-2E9C-101B-9397-08002B2CF9AE}" pid="4" name="KSOTemplateDocerSaveRecord">
    <vt:lpwstr>eyJoZGlkIjoiNmFlOThkZjJmNTI5NGQ3YTIyYTIzOWE1NTY2YzZiZDQiLCJ1c2VySWQiOiI0MDE3ODE4NzQifQ==</vt:lpwstr>
  </property>
</Properties>
</file>