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C3A4">
      <w:pPr>
        <w:pStyle w:val="5"/>
        <w:keepNext w:val="0"/>
        <w:keepLines w:val="0"/>
        <w:pageBreakBefore w:val="0"/>
        <w:kinsoku/>
        <w:wordWrap/>
        <w:overflowPunct/>
        <w:autoSpaceDE/>
        <w:autoSpaceDN/>
        <w:bidi w:val="0"/>
        <w:snapToGrid w:val="0"/>
        <w:spacing w:line="460" w:lineRule="exact"/>
        <w:textAlignment w:val="auto"/>
        <w:rPr>
          <w:color w:val="auto"/>
        </w:rPr>
      </w:pPr>
      <w:bookmarkStart w:id="0" w:name="_Toc6636"/>
      <w:bookmarkStart w:id="1" w:name="_Toc4310"/>
    </w:p>
    <w:p w14:paraId="033AD146">
      <w:pPr>
        <w:keepNext w:val="0"/>
        <w:keepLines w:val="0"/>
        <w:pageBreakBefore w:val="0"/>
        <w:kinsoku/>
        <w:wordWrap/>
        <w:overflowPunct/>
        <w:autoSpaceDE/>
        <w:autoSpaceDN/>
        <w:bidi w:val="0"/>
        <w:snapToGrid w:val="0"/>
        <w:spacing w:line="460" w:lineRule="exact"/>
        <w:ind w:firstLine="1040"/>
        <w:jc w:val="center"/>
        <w:textAlignment w:val="auto"/>
        <w:rPr>
          <w:rFonts w:ascii="宋体" w:hAnsi="宋体" w:cs="宋体"/>
          <w:color w:val="auto"/>
          <w:sz w:val="32"/>
          <w:szCs w:val="32"/>
        </w:rPr>
      </w:pPr>
    </w:p>
    <w:p w14:paraId="78D222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广州市黄埔区九佛街五村七片城中村改造项目复建地块七工程监理</w:t>
      </w:r>
      <w:r>
        <w:rPr>
          <w:rFonts w:hint="eastAsia" w:ascii="宋体" w:hAnsi="宋体" w:cs="宋体"/>
          <w:b/>
          <w:bCs/>
          <w:color w:val="000000" w:themeColor="text1"/>
          <w:sz w:val="52"/>
          <w:szCs w:val="52"/>
          <w:lang w:val="en-US" w:eastAsia="zh-CN"/>
          <w14:textFill>
            <w14:solidFill>
              <w14:schemeClr w14:val="tx1"/>
            </w14:solidFill>
          </w14:textFill>
        </w:rPr>
        <w:t>服务</w:t>
      </w:r>
    </w:p>
    <w:p w14:paraId="3F588701">
      <w:pPr>
        <w:keepNext w:val="0"/>
        <w:keepLines w:val="0"/>
        <w:pageBreakBefore w:val="0"/>
        <w:kinsoku/>
        <w:wordWrap/>
        <w:overflowPunct/>
        <w:autoSpaceDE/>
        <w:autoSpaceDN/>
        <w:bidi w:val="0"/>
        <w:snapToGrid w:val="0"/>
        <w:spacing w:line="460" w:lineRule="exact"/>
        <w:textAlignment w:val="auto"/>
        <w:rPr>
          <w:rFonts w:ascii="宋体" w:hAnsi="宋体" w:cs="宋体"/>
          <w:color w:val="000000" w:themeColor="text1"/>
          <w:sz w:val="36"/>
          <w:szCs w:val="36"/>
          <w14:textFill>
            <w14:solidFill>
              <w14:schemeClr w14:val="tx1"/>
            </w14:solidFill>
          </w14:textFill>
        </w:rPr>
      </w:pPr>
    </w:p>
    <w:p w14:paraId="556E41CF">
      <w:pPr>
        <w:keepNext w:val="0"/>
        <w:keepLines w:val="0"/>
        <w:pageBreakBefore w:val="0"/>
        <w:kinsoku/>
        <w:wordWrap/>
        <w:overflowPunct/>
        <w:autoSpaceDE/>
        <w:autoSpaceDN/>
        <w:bidi w:val="0"/>
        <w:snapToGrid w:val="0"/>
        <w:spacing w:line="460" w:lineRule="exact"/>
        <w:jc w:val="center"/>
        <w:textAlignment w:val="auto"/>
        <w:rPr>
          <w:rStyle w:val="13"/>
          <w:b/>
          <w:color w:val="000000" w:themeColor="text1"/>
          <w:sz w:val="84"/>
          <w14:textFill>
            <w14:solidFill>
              <w14:schemeClr w14:val="tx1"/>
            </w14:solidFill>
          </w14:textFill>
        </w:rPr>
      </w:pPr>
      <w:bookmarkStart w:id="2" w:name="_Toc5875285"/>
      <w:bookmarkStart w:id="3" w:name="_Toc536411629"/>
    </w:p>
    <w:p w14:paraId="5AC833C8">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7091065B">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3FB1D5D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5A6F1FC">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2E9107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737E6718">
      <w:pPr>
        <w:pStyle w:val="5"/>
        <w:keepNext w:val="0"/>
        <w:keepLines w:val="0"/>
        <w:pageBreakBefore w:val="0"/>
        <w:tabs>
          <w:tab w:val="left" w:pos="6183"/>
        </w:tabs>
        <w:kinsoku/>
        <w:wordWrap/>
        <w:overflowPunct/>
        <w:autoSpaceDE/>
        <w:autoSpaceDN/>
        <w:bidi w:val="0"/>
        <w:snapToGrid w:val="0"/>
        <w:spacing w:line="4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14:paraId="06BD1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i/>
          <w:iCs/>
          <w:color w:val="000000" w:themeColor="text1"/>
          <w14:textFill>
            <w14:solidFill>
              <w14:schemeClr w14:val="tx1"/>
            </w14:solidFill>
          </w14:textFill>
        </w:rPr>
      </w:pPr>
      <w:r>
        <w:rPr>
          <w:rStyle w:val="13"/>
          <w:rFonts w:hint="eastAsia" w:ascii="宋体" w:hAnsi="宋体" w:cs="宋体"/>
          <w:b/>
          <w:i w:val="0"/>
          <w:iCs/>
          <w:color w:val="000000" w:themeColor="text1"/>
          <w:sz w:val="84"/>
          <w14:textFill>
            <w14:solidFill>
              <w14:schemeClr w14:val="tx1"/>
            </w14:solidFill>
          </w14:textFill>
        </w:rPr>
        <w:t>招标</w:t>
      </w:r>
      <w:bookmarkEnd w:id="2"/>
      <w:bookmarkEnd w:id="3"/>
      <w:r>
        <w:rPr>
          <w:rStyle w:val="13"/>
          <w:rFonts w:hint="eastAsia" w:ascii="宋体" w:hAnsi="宋体" w:cs="宋体"/>
          <w:b/>
          <w:i w:val="0"/>
          <w:iCs/>
          <w:color w:val="000000" w:themeColor="text1"/>
          <w:sz w:val="84"/>
          <w14:textFill>
            <w14:solidFill>
              <w14:schemeClr w14:val="tx1"/>
            </w14:solidFill>
          </w14:textFill>
        </w:rPr>
        <w:t>公告</w:t>
      </w:r>
    </w:p>
    <w:p w14:paraId="09371F6F">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B38DB24">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6FC0013">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14:textFill>
            <w14:solidFill>
              <w14:schemeClr w14:val="tx1"/>
            </w14:solidFill>
          </w14:textFill>
        </w:rPr>
      </w:pPr>
    </w:p>
    <w:p w14:paraId="1186713F">
      <w:pPr>
        <w:keepNext w:val="0"/>
        <w:keepLines w:val="0"/>
        <w:pageBreakBefore w:val="0"/>
        <w:kinsoku/>
        <w:wordWrap/>
        <w:overflowPunct/>
        <w:autoSpaceDE/>
        <w:autoSpaceDN/>
        <w:bidi w:val="0"/>
        <w:snapToGrid w:val="0"/>
        <w:spacing w:line="460" w:lineRule="exact"/>
        <w:ind w:firstLine="3213" w:firstLineChars="1000"/>
        <w:textAlignment w:val="auto"/>
        <w:rPr>
          <w:rFonts w:ascii="宋体" w:hAnsi="宋体" w:cs="宋体"/>
          <w:b/>
          <w:color w:val="000000" w:themeColor="text1"/>
          <w:sz w:val="32"/>
          <w14:textFill>
            <w14:solidFill>
              <w14:schemeClr w14:val="tx1"/>
            </w14:solidFill>
          </w14:textFill>
        </w:rPr>
      </w:pPr>
    </w:p>
    <w:p w14:paraId="6AFF472B">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3C100B21">
      <w:pPr>
        <w:pStyle w:val="10"/>
        <w:rPr>
          <w:color w:val="000000" w:themeColor="text1"/>
          <w14:textFill>
            <w14:solidFill>
              <w14:schemeClr w14:val="tx1"/>
            </w14:solidFill>
          </w14:textFill>
        </w:rPr>
      </w:pPr>
    </w:p>
    <w:p w14:paraId="7D09A976">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4E8E769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07EB85C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2D0A0139">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 标 人：</w:t>
      </w:r>
      <w:r>
        <w:rPr>
          <w:rFonts w:hint="eastAsia" w:ascii="宋体" w:hAnsi="宋体" w:cs="宋体"/>
          <w:b/>
          <w:color w:val="000000" w:themeColor="text1"/>
          <w:sz w:val="28"/>
          <w:u w:val="single"/>
          <w:lang w:eastAsia="zh-CN"/>
          <w14:textFill>
            <w14:solidFill>
              <w14:schemeClr w14:val="tx1"/>
            </w14:solidFill>
          </w14:textFill>
        </w:rPr>
        <w:t>广州知城梧栖城市开发投资有限公司</w:t>
      </w:r>
    </w:p>
    <w:p w14:paraId="73597982">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招标代理机构：</w:t>
      </w:r>
      <w:r>
        <w:rPr>
          <w:rFonts w:hint="eastAsia" w:ascii="宋体" w:hAnsi="宋体" w:cs="宋体"/>
          <w:b/>
          <w:color w:val="000000" w:themeColor="text1"/>
          <w:sz w:val="28"/>
          <w:u w:val="single"/>
          <w:lang w:eastAsia="zh-CN"/>
          <w14:textFill>
            <w14:solidFill>
              <w14:schemeClr w14:val="tx1"/>
            </w14:solidFill>
          </w14:textFill>
        </w:rPr>
        <w:t>广州工建工程咨询有限公司</w:t>
      </w:r>
    </w:p>
    <w:p w14:paraId="2B6A7C00">
      <w:pPr>
        <w:keepNext w:val="0"/>
        <w:keepLines w:val="0"/>
        <w:pageBreakBefore w:val="0"/>
        <w:kinsoku/>
        <w:wordWrap/>
        <w:overflowPunct/>
        <w:autoSpaceDE/>
        <w:autoSpaceDN/>
        <w:bidi w:val="0"/>
        <w:snapToGrid w:val="0"/>
        <w:spacing w:line="460" w:lineRule="exact"/>
        <w:ind w:left="0" w:leftChars="0" w:firstLine="1687" w:firstLineChars="600"/>
        <w:jc w:val="left"/>
        <w:textAlignment w:val="auto"/>
        <w:rPr>
          <w:rFonts w:hint="eastAsia" w:ascii="宋体" w:hAnsi="宋体" w:eastAsia="宋体" w:cs="宋体"/>
          <w:b/>
          <w:color w:val="000000" w:themeColor="text1"/>
          <w:sz w:val="30"/>
          <w:szCs w:val="30"/>
          <w:u w:val="single"/>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日期：</w:t>
      </w:r>
      <w:r>
        <w:rPr>
          <w:rFonts w:hint="eastAsia" w:ascii="宋体" w:hAnsi="宋体" w:cs="宋体"/>
          <w:b/>
          <w:color w:val="000000" w:themeColor="text1"/>
          <w:sz w:val="28"/>
          <w:u w:val="single"/>
          <w:lang w:eastAsia="zh-CN"/>
          <w14:textFill>
            <w14:solidFill>
              <w14:schemeClr w14:val="tx1"/>
            </w14:solidFill>
          </w14:textFill>
        </w:rPr>
        <w:t>2025年6月</w:t>
      </w:r>
    </w:p>
    <w:p w14:paraId="2358B1D4">
      <w:pPr>
        <w:keepNext w:val="0"/>
        <w:keepLines w:val="0"/>
        <w:pageBreakBefore w:val="0"/>
        <w:widowControl/>
        <w:kinsoku/>
        <w:wordWrap/>
        <w:overflowPunct/>
        <w:autoSpaceDE/>
        <w:autoSpaceDN/>
        <w:bidi w:val="0"/>
        <w:snapToGrid w:val="0"/>
        <w:spacing w:line="460" w:lineRule="exact"/>
        <w:jc w:val="left"/>
        <w:textAlignment w:val="auto"/>
        <w:rPr>
          <w:rFonts w:ascii="宋体" w:hAnsi="宋体" w:cs="宋体"/>
          <w:b/>
          <w:color w:val="000000" w:themeColor="text1"/>
          <w:sz w:val="30"/>
          <w:szCs w:val="30"/>
          <w14:textFill>
            <w14:solidFill>
              <w14:schemeClr w14:val="tx1"/>
            </w14:solidFill>
          </w14:textFill>
        </w:rPr>
        <w:sectPr>
          <w:footerReference r:id="rId3" w:type="default"/>
          <w:pgSz w:w="11906" w:h="16838"/>
          <w:pgMar w:top="1440" w:right="1440" w:bottom="1440" w:left="1440" w:header="850" w:footer="992" w:gutter="0"/>
          <w:cols w:space="720" w:num="1"/>
        </w:sectPr>
      </w:pPr>
    </w:p>
    <w:p w14:paraId="511EE980">
      <w:pPr>
        <w:keepNext w:val="0"/>
        <w:keepLines w:val="0"/>
        <w:pageBreakBefore w:val="0"/>
        <w:kinsoku/>
        <w:wordWrap/>
        <w:overflowPunct/>
        <w:autoSpaceDE/>
        <w:autoSpaceDN/>
        <w:bidi w:val="0"/>
        <w:snapToGrid w:val="0"/>
        <w:spacing w:line="460" w:lineRule="exact"/>
        <w:jc w:val="center"/>
        <w:textAlignment w:val="auto"/>
        <w:rPr>
          <w:rFonts w:hint="eastAsia" w:ascii="宋体" w:hAnsi="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广州市黄埔区九佛街五村七片城中村改造项目复建地块七工程</w:t>
      </w:r>
    </w:p>
    <w:p w14:paraId="1F8163FA">
      <w:pPr>
        <w:keepNext w:val="0"/>
        <w:keepLines w:val="0"/>
        <w:pageBreakBefore w:val="0"/>
        <w:kinsoku/>
        <w:wordWrap/>
        <w:overflowPunct/>
        <w:autoSpaceDE/>
        <w:autoSpaceDN/>
        <w:bidi w:val="0"/>
        <w:snapToGrid w:val="0"/>
        <w:spacing w:line="460" w:lineRule="exact"/>
        <w:jc w:val="center"/>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监理</w:t>
      </w:r>
      <w:r>
        <w:rPr>
          <w:rFonts w:hint="eastAsia" w:ascii="宋体" w:hAnsi="宋体" w:cs="宋体"/>
          <w:b/>
          <w:color w:val="000000" w:themeColor="text1"/>
          <w:sz w:val="30"/>
          <w:szCs w:val="30"/>
          <w:lang w:val="en-US" w:eastAsia="zh-CN"/>
          <w14:textFill>
            <w14:solidFill>
              <w14:schemeClr w14:val="tx1"/>
            </w14:solidFill>
          </w14:textFill>
        </w:rPr>
        <w:t>服务</w:t>
      </w:r>
      <w:r>
        <w:rPr>
          <w:rFonts w:hint="eastAsia" w:ascii="宋体" w:hAnsi="宋体" w:cs="宋体"/>
          <w:b/>
          <w:bCs/>
          <w:color w:val="000000" w:themeColor="text1"/>
          <w:sz w:val="30"/>
          <w:szCs w:val="30"/>
          <w14:textFill>
            <w14:solidFill>
              <w14:schemeClr w14:val="tx1"/>
            </w14:solidFill>
          </w14:textFill>
        </w:rPr>
        <w:t>招标公告</w:t>
      </w:r>
    </w:p>
    <w:p w14:paraId="256706F4">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D321F74">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4" w:name="_Toc511557025"/>
      <w:bookmarkStart w:id="5" w:name="_Toc515033010"/>
      <w:r>
        <w:rPr>
          <w:rFonts w:hint="eastAsia" w:ascii="宋体" w:hAnsi="宋体" w:eastAsia="宋体" w:cs="宋体"/>
          <w:color w:val="000000" w:themeColor="text1"/>
          <w14:textFill>
            <w14:solidFill>
              <w14:schemeClr w14:val="tx1"/>
            </w14:solidFill>
          </w14:textFill>
        </w:rPr>
        <w:t>1. 招标条件</w:t>
      </w:r>
      <w:bookmarkEnd w:id="4"/>
      <w:bookmarkEnd w:id="5"/>
    </w:p>
    <w:p w14:paraId="68DC7F7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本招标项目</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广州市黄埔区九佛街五村七片城中村改造项目复建地块七工程</w:t>
      </w:r>
      <w:r>
        <w:rPr>
          <w:rFonts w:hint="eastAsia" w:ascii="宋体" w:hAnsi="宋体" w:cs="宋体"/>
          <w:color w:val="000000" w:themeColor="text1"/>
          <w:sz w:val="24"/>
          <w14:textFill>
            <w14:solidFill>
              <w14:schemeClr w14:val="tx1"/>
            </w14:solidFill>
          </w14:textFill>
        </w:rPr>
        <w:t>已由</w:t>
      </w:r>
      <w:r>
        <w:rPr>
          <w:rFonts w:hint="eastAsia" w:ascii="宋体" w:hAnsi="宋体" w:cs="宋体"/>
          <w:color w:val="000000" w:themeColor="text1"/>
          <w:sz w:val="24"/>
          <w:u w:val="single"/>
          <w14:textFill>
            <w14:solidFill>
              <w14:schemeClr w14:val="tx1"/>
            </w14:solidFill>
          </w14:textFill>
        </w:rPr>
        <w:t>广州市黄埔区发展和改革局</w:t>
      </w:r>
      <w:r>
        <w:rPr>
          <w:rFonts w:hint="eastAsia" w:ascii="宋体" w:hAnsi="宋体" w:cs="宋体"/>
          <w:color w:val="000000" w:themeColor="text1"/>
          <w:sz w:val="24"/>
          <w:u w:val="none"/>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广东省企业投资项目备案证（项目代码：</w:t>
      </w:r>
      <w:r>
        <w:rPr>
          <w:rFonts w:hint="eastAsia" w:ascii="宋体" w:hAnsi="宋体" w:cs="宋体"/>
          <w:color w:val="000000" w:themeColor="text1"/>
          <w:sz w:val="24"/>
          <w:u w:val="single"/>
          <w:lang w:eastAsia="zh-CN"/>
          <w14:textFill>
            <w14:solidFill>
              <w14:schemeClr w14:val="tx1"/>
            </w14:solidFill>
          </w14:textFill>
        </w:rPr>
        <w:t>2502-440112-04-01-973293</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批准建设</w:t>
      </w:r>
      <w:r>
        <w:rPr>
          <w:rFonts w:hint="eastAsia" w:ascii="宋体" w:hAnsi="宋体" w:cs="宋体"/>
          <w:color w:val="000000" w:themeColor="text1"/>
          <w:sz w:val="24"/>
          <w14:textFill>
            <w14:solidFill>
              <w14:schemeClr w14:val="tx1"/>
            </w14:solidFill>
          </w14:textFill>
        </w:rPr>
        <w:t>，项目业主为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，建设资金来自</w:t>
      </w:r>
      <w:r>
        <w:rPr>
          <w:rFonts w:hint="eastAsia" w:ascii="宋体" w:hAnsi="宋体" w:cs="宋体"/>
          <w:color w:val="000000" w:themeColor="text1"/>
          <w:sz w:val="24"/>
          <w:u w:val="single"/>
          <w14:textFill>
            <w14:solidFill>
              <w14:schemeClr w14:val="tx1"/>
            </w14:solidFill>
          </w14:textFill>
        </w:rPr>
        <w:t>国有或集体投资</w:t>
      </w:r>
      <w:r>
        <w:rPr>
          <w:rFonts w:hint="eastAsia" w:ascii="宋体" w:hAnsi="宋体" w:cs="宋体"/>
          <w:color w:val="000000" w:themeColor="text1"/>
          <w:sz w:val="24"/>
          <w14:textFill>
            <w14:solidFill>
              <w14:schemeClr w14:val="tx1"/>
            </w14:solidFill>
          </w14:textFill>
        </w:rPr>
        <w:t>，出资比例为</w:t>
      </w:r>
      <w:r>
        <w:rPr>
          <w:rFonts w:hint="eastAsia" w:ascii="宋体" w:hAnsi="宋体" w:cs="宋体"/>
          <w:color w:val="000000" w:themeColor="text1"/>
          <w:sz w:val="24"/>
          <w:u w:val="single"/>
          <w14:textFill>
            <w14:solidFill>
              <w14:schemeClr w14:val="tx1"/>
            </w14:solidFill>
          </w14:textFill>
        </w:rPr>
        <w:t xml:space="preserve">100% </w:t>
      </w:r>
      <w:r>
        <w:rPr>
          <w:rFonts w:hint="eastAsia" w:ascii="宋体" w:hAnsi="宋体" w:cs="宋体"/>
          <w:color w:val="000000" w:themeColor="text1"/>
          <w:sz w:val="24"/>
          <w14:textFill>
            <w14:solidFill>
              <w14:schemeClr w14:val="tx1"/>
            </w14:solidFill>
          </w14:textFill>
        </w:rPr>
        <w:t>，招标人为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。项目已具备招标条件，现对该项目的</w:t>
      </w:r>
      <w:r>
        <w:rPr>
          <w:rFonts w:hint="eastAsia" w:ascii="宋体" w:hAnsi="宋体" w:cs="宋体"/>
          <w:color w:val="000000" w:themeColor="text1"/>
          <w:sz w:val="24"/>
          <w:u w:val="single"/>
          <w14:textFill>
            <w14:solidFill>
              <w14:schemeClr w14:val="tx1"/>
            </w14:solidFill>
          </w14:textFill>
        </w:rPr>
        <w:t>监理</w:t>
      </w:r>
      <w:r>
        <w:rPr>
          <w:rFonts w:hint="eastAsia" w:ascii="宋体" w:hAnsi="宋体" w:cs="宋体"/>
          <w:color w:val="000000" w:themeColor="text1"/>
          <w:sz w:val="24"/>
          <w14:textFill>
            <w14:solidFill>
              <w14:schemeClr w14:val="tx1"/>
            </w14:solidFill>
          </w14:textFill>
        </w:rPr>
        <w:t>进行公开招标。</w:t>
      </w:r>
    </w:p>
    <w:p w14:paraId="64A39C9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708749D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6" w:name="_Toc515033011"/>
      <w:bookmarkStart w:id="7" w:name="_Toc511557026"/>
      <w:r>
        <w:rPr>
          <w:rFonts w:hint="eastAsia" w:ascii="宋体" w:hAnsi="宋体" w:eastAsia="宋体" w:cs="宋体"/>
          <w:color w:val="000000" w:themeColor="text1"/>
          <w14:textFill>
            <w14:solidFill>
              <w14:schemeClr w14:val="tx1"/>
            </w14:solidFill>
          </w14:textFill>
        </w:rPr>
        <w:t>2. 项目概况与招标范围</w:t>
      </w:r>
      <w:bookmarkEnd w:id="6"/>
      <w:bookmarkEnd w:id="7"/>
    </w:p>
    <w:p w14:paraId="078D2C43">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2.1招标项目概况</w:t>
      </w:r>
    </w:p>
    <w:p w14:paraId="260F9F4D">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招标项目名称：</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广州市黄埔区九佛街五村七片城中村改造项目复建地块七工程监理</w:t>
      </w:r>
      <w:r>
        <w:rPr>
          <w:rFonts w:hint="eastAsia" w:ascii="宋体" w:hAnsi="宋体" w:cs="宋体"/>
          <w:color w:val="000000" w:themeColor="text1"/>
          <w:sz w:val="24"/>
          <w:u w:val="single"/>
          <w:lang w:val="en-US" w:eastAsia="zh-CN"/>
          <w14:textFill>
            <w14:solidFill>
              <w14:schemeClr w14:val="tx1"/>
            </w14:solidFill>
          </w14:textFill>
        </w:rPr>
        <w:t>服务</w:t>
      </w:r>
    </w:p>
    <w:p w14:paraId="7E77AC88">
      <w:pPr>
        <w:keepNext w:val="0"/>
        <w:keepLines w:val="0"/>
        <w:pageBreakBefore w:val="0"/>
        <w:kinsoku/>
        <w:wordWrap/>
        <w:overflowPunct/>
        <w:autoSpaceDE/>
        <w:autoSpaceDN/>
        <w:bidi w:val="0"/>
        <w:snapToGrid w:val="0"/>
        <w:spacing w:line="460" w:lineRule="exact"/>
        <w:ind w:firstLine="537" w:firstLineChars="224"/>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工程建设规模：</w:t>
      </w:r>
      <w:r>
        <w:rPr>
          <w:rFonts w:hint="eastAsia" w:ascii="宋体" w:hAnsi="宋体" w:cs="宋体"/>
          <w:color w:val="000000"/>
          <w:kern w:val="0"/>
          <w:sz w:val="24"/>
          <w:highlight w:val="none"/>
        </w:rPr>
        <w:t>总用地面积约19609平方米（详见建设用地规划红线图），用地性质为R2二类居住用地，容积率4.415，总建筑面积约为129490.80平方米，计容总建筑面积约86574.00平方米，建筑密度≤28%，绿地率≥35%，建筑高度60~</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00米。建设内容包括住宅、地下车库、配套商业、公建配套等（具体规划指标以政府最终批复的规划条件为准）。</w:t>
      </w:r>
    </w:p>
    <w:p w14:paraId="240CDF0D">
      <w:pPr>
        <w:pStyle w:val="17"/>
        <w:keepNext w:val="0"/>
        <w:keepLines w:val="0"/>
        <w:pageBreakBefore w:val="0"/>
        <w:shd w:val="clear"/>
        <w:tabs>
          <w:tab w:val="left" w:pos="0"/>
          <w:tab w:val="left" w:pos="993"/>
        </w:tabs>
        <w:kinsoku/>
        <w:wordWrap/>
        <w:overflowPunct/>
        <w:autoSpaceDE/>
        <w:autoSpaceDN/>
        <w:bidi w:val="0"/>
        <w:snapToGrid w:val="0"/>
        <w:spacing w:line="460" w:lineRule="exact"/>
        <w:ind w:firstLine="480"/>
        <w:textAlignment w:val="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r>
        <w:rPr>
          <w:rFonts w:hint="eastAsia" w:ascii="宋体" w:hAnsi="宋体" w:cs="宋体"/>
          <w:color w:val="000000" w:themeColor="text1"/>
          <w:sz w:val="24"/>
          <w:highlight w:val="none"/>
          <w14:textFill>
            <w14:solidFill>
              <w14:schemeClr w14:val="tx1"/>
            </w14:solidFill>
          </w14:textFill>
        </w:rPr>
        <w:t xml:space="preserve"> 工程建设地点：</w:t>
      </w:r>
      <w:bookmarkStart w:id="8" w:name="_Hlk152490175"/>
      <w:r>
        <w:rPr>
          <w:rFonts w:hint="eastAsia" w:ascii="宋体" w:hAnsi="宋体" w:eastAsia="宋体"/>
          <w:bCs/>
          <w:sz w:val="24"/>
          <w:highlight w:val="none"/>
          <w:u w:val="single"/>
          <w:lang w:eastAsia="zh-CN"/>
        </w:rPr>
        <w:t>广州市黄埔区中新知识城西北侧，北临山背岭街，南临瞻景路。</w:t>
      </w:r>
      <w:r>
        <w:rPr>
          <w:rFonts w:hint="eastAsia" w:ascii="宋体" w:hAnsi="宋体" w:eastAsia="宋体" w:cs="宋体"/>
          <w:color w:val="000000" w:themeColor="text1"/>
          <w:sz w:val="24"/>
          <w:szCs w:val="24"/>
          <w:highlight w:val="none"/>
          <w:u w:val="none"/>
          <w14:textFill>
            <w14:solidFill>
              <w14:schemeClr w14:val="tx1"/>
            </w14:solidFill>
          </w14:textFill>
        </w:rPr>
        <w:t>。</w:t>
      </w:r>
      <w:bookmarkEnd w:id="8"/>
    </w:p>
    <w:p w14:paraId="468045AF">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工程投资额：</w:t>
      </w:r>
      <w:r>
        <w:rPr>
          <w:rFonts w:hint="eastAsia" w:ascii="宋体" w:hAnsi="宋体" w:cs="宋体"/>
          <w:sz w:val="24"/>
          <w:highlight w:val="none"/>
          <w:u w:val="single"/>
          <w:lang w:val="en-US" w:eastAsia="zh-CN"/>
        </w:rPr>
        <w:t>66471.76</w:t>
      </w:r>
      <w:r>
        <w:rPr>
          <w:rFonts w:hint="eastAsia" w:ascii="宋体" w:hAnsi="宋体" w:cs="宋体"/>
          <w:sz w:val="24"/>
          <w:highlight w:val="none"/>
        </w:rPr>
        <w:t>万</w:t>
      </w:r>
      <w:r>
        <w:rPr>
          <w:rFonts w:hint="eastAsia" w:ascii="宋体" w:hAnsi="宋体" w:cs="宋体"/>
          <w:sz w:val="24"/>
          <w:highlight w:val="none"/>
          <w:lang w:eastAsia="zh-CN"/>
        </w:rPr>
        <w:t>。</w:t>
      </w:r>
    </w:p>
    <w:p w14:paraId="5B4FBE6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2.2招标范围</w:t>
      </w:r>
    </w:p>
    <w:p w14:paraId="6133C10C">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监理标段划分：本项目分为</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个标段。</w:t>
      </w:r>
    </w:p>
    <w:p w14:paraId="0123FEB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cs="宋体"/>
          <w:color w:val="000000" w:themeColor="text1"/>
          <w:sz w:val="24"/>
          <w:highlight w:val="none"/>
          <w:u w:val="single"/>
          <w14:textFill>
            <w14:solidFill>
              <w14:schemeClr w14:val="tx1"/>
            </w14:solidFill>
          </w14:textFill>
        </w:rPr>
        <w:t>。</w:t>
      </w:r>
    </w:p>
    <w:p w14:paraId="5BBC04F1">
      <w:pPr>
        <w:keepNext w:val="0"/>
        <w:keepLines w:val="0"/>
        <w:pageBreakBefore w:val="0"/>
        <w:shd w:val="clear"/>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 监理服务期限</w:t>
      </w:r>
    </w:p>
    <w:p w14:paraId="43CB424D">
      <w:pPr>
        <w:keepNext w:val="0"/>
        <w:keepLines w:val="0"/>
        <w:pageBreakBefore w:val="0"/>
        <w:tabs>
          <w:tab w:val="left" w:pos="7513"/>
        </w:tabs>
        <w:kinsoku/>
        <w:wordWrap/>
        <w:overflowPunct/>
        <w:autoSpaceDE/>
        <w:autoSpaceDN/>
        <w:bidi w:val="0"/>
        <w:snapToGrid w:val="0"/>
        <w:spacing w:line="460" w:lineRule="exact"/>
        <w:ind w:firstLine="62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pacing w:val="4"/>
          <w:sz w:val="24"/>
          <w:lang w:val="en-US" w:eastAsia="zh-CN"/>
          <w14:textFill>
            <w14:solidFill>
              <w14:schemeClr w14:val="tx1"/>
            </w14:solidFill>
          </w14:textFill>
        </w:rPr>
        <w:t>自本合同签订生效之日起至本项目</w:t>
      </w:r>
      <w:r>
        <w:rPr>
          <w:rFonts w:hint="eastAsia"/>
          <w:snapToGrid w:val="0"/>
          <w:color w:val="000000" w:themeColor="text1"/>
          <w:spacing w:val="4"/>
          <w:kern w:val="0"/>
          <w:sz w:val="24"/>
          <w:highlight w:val="none"/>
          <w14:textFill>
            <w14:solidFill>
              <w14:schemeClr w14:val="tx1"/>
            </w14:solidFill>
          </w14:textFill>
        </w:rPr>
        <w:t>的竣工结算（</w:t>
      </w:r>
      <w:r>
        <w:rPr>
          <w:rFonts w:hint="eastAsia"/>
          <w:snapToGrid w:val="0"/>
          <w:color w:val="000000" w:themeColor="text1"/>
          <w:spacing w:val="4"/>
          <w:kern w:val="0"/>
          <w:sz w:val="24"/>
          <w:highlight w:val="none"/>
          <w:lang w:val="en-US" w:eastAsia="zh-CN"/>
          <w14:textFill>
            <w14:solidFill>
              <w14:schemeClr w14:val="tx1"/>
            </w14:solidFill>
          </w14:textFill>
        </w:rPr>
        <w:t>以有权结算终审部门审定的</w:t>
      </w:r>
      <w:r>
        <w:rPr>
          <w:rFonts w:hint="eastAsia"/>
          <w:snapToGrid w:val="0"/>
          <w:color w:val="000000" w:themeColor="text1"/>
          <w:spacing w:val="4"/>
          <w:kern w:val="0"/>
          <w:sz w:val="24"/>
          <w:highlight w:val="none"/>
          <w14:textFill>
            <w14:solidFill>
              <w14:schemeClr w14:val="tx1"/>
            </w14:solidFill>
          </w14:textFill>
        </w:rPr>
        <w:t>竣工结算）且</w:t>
      </w:r>
      <w:r>
        <w:rPr>
          <w:rFonts w:hint="eastAsia" w:ascii="宋体" w:hAnsi="宋体"/>
          <w:color w:val="000000" w:themeColor="text1"/>
          <w:spacing w:val="4"/>
          <w:sz w:val="24"/>
          <w:lang w:val="en-US" w:eastAsia="zh-CN"/>
          <w14:textFill>
            <w14:solidFill>
              <w14:schemeClr w14:val="tx1"/>
            </w14:solidFill>
          </w14:textFill>
        </w:rPr>
        <w:t>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r>
        <w:rPr>
          <w:rFonts w:hint="eastAsia" w:ascii="宋体" w:hAnsi="宋体" w:cs="宋体"/>
          <w:color w:val="000000" w:themeColor="text1"/>
          <w:sz w:val="24"/>
          <w:highlight w:val="none"/>
          <w14:textFill>
            <w14:solidFill>
              <w14:schemeClr w14:val="tx1"/>
            </w14:solidFill>
          </w14:textFill>
        </w:rPr>
        <w:t>。</w:t>
      </w:r>
    </w:p>
    <w:p w14:paraId="35DB5847">
      <w:pPr>
        <w:keepNext w:val="0"/>
        <w:keepLines w:val="0"/>
        <w:pageBreakBefore w:val="0"/>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 监理服务最高投标限价：</w:t>
      </w:r>
      <w:r>
        <w:rPr>
          <w:rFonts w:hint="eastAsia" w:ascii="宋体" w:hAnsi="宋体" w:cs="宋体"/>
          <w:color w:val="000000" w:themeColor="text1"/>
          <w:sz w:val="24"/>
          <w:highlight w:val="none"/>
          <w:u w:val="none"/>
          <w:lang w:eastAsia="zh-CN"/>
          <w14:textFill>
            <w14:solidFill>
              <w14:schemeClr w14:val="tx1"/>
            </w14:solidFill>
          </w14:textFill>
        </w:rPr>
        <w:t>人民币</w:t>
      </w:r>
      <w:r>
        <w:rPr>
          <w:rFonts w:hint="eastAsia" w:ascii="宋体" w:hAnsi="宋体" w:cs="宋体"/>
          <w:color w:val="000000" w:themeColor="text1"/>
          <w:sz w:val="24"/>
          <w:highlight w:val="none"/>
          <w:u w:val="single"/>
          <w:lang w:val="en-US" w:eastAsia="zh-CN"/>
          <w14:textFill>
            <w14:solidFill>
              <w14:schemeClr w14:val="tx1"/>
            </w14:solidFill>
          </w14:textFill>
        </w:rPr>
        <w:t>5,969,407.00</w:t>
      </w:r>
      <w:r>
        <w:rPr>
          <w:rFonts w:hint="eastAsia" w:ascii="宋体" w:hAnsi="宋体" w:cs="宋体"/>
          <w:color w:val="000000" w:themeColor="text1"/>
          <w:sz w:val="24"/>
          <w:highlight w:val="none"/>
          <w14:textFill>
            <w14:solidFill>
              <w14:schemeClr w14:val="tx1"/>
            </w14:solidFill>
          </w14:textFill>
        </w:rPr>
        <w:t>元。</w:t>
      </w:r>
    </w:p>
    <w:p w14:paraId="7758CAEF">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9" w:name="_Toc511557027"/>
      <w:bookmarkStart w:id="10" w:name="_Toc515033012"/>
    </w:p>
    <w:p w14:paraId="69A9726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投标人资格要求</w:t>
      </w:r>
      <w:bookmarkEnd w:id="9"/>
      <w:bookmarkEnd w:id="10"/>
    </w:p>
    <w:p w14:paraId="5832F91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本次招标要求投标人须具备</w:t>
      </w:r>
      <w:r>
        <w:rPr>
          <w:rFonts w:hint="eastAsia" w:ascii="宋体" w:hAnsi="宋体" w:cs="宋体"/>
          <w:color w:val="000000" w:themeColor="text1"/>
          <w:sz w:val="24"/>
          <w:szCs w:val="24"/>
          <w:highlight w:val="none"/>
          <w:u w:val="single"/>
          <w14:textFill>
            <w14:solidFill>
              <w14:schemeClr w14:val="tx1"/>
            </w14:solidFill>
          </w14:textFill>
        </w:rPr>
        <w:t>相应</w:t>
      </w:r>
      <w:r>
        <w:rPr>
          <w:rFonts w:hint="eastAsia" w:ascii="宋体" w:hAnsi="宋体" w:cs="宋体"/>
          <w:color w:val="000000" w:themeColor="text1"/>
          <w:sz w:val="24"/>
          <w:szCs w:val="24"/>
          <w:highlight w:val="none"/>
          <w14:textFill>
            <w14:solidFill>
              <w14:schemeClr w14:val="tx1"/>
            </w14:solidFill>
          </w14:textFill>
        </w:rPr>
        <w:t xml:space="preserve">资质。 </w:t>
      </w:r>
    </w:p>
    <w:p w14:paraId="28B0CC9A">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3.1.1投标人须具备</w:t>
      </w:r>
      <w:r>
        <w:rPr>
          <w:rFonts w:hint="eastAsia" w:ascii="宋体" w:hAnsi="宋体" w:cs="宋体"/>
          <w:color w:val="000000" w:themeColor="text1"/>
          <w:sz w:val="24"/>
          <w:szCs w:val="24"/>
          <w:highlight w:val="none"/>
          <w:u w:val="single"/>
          <w14:textFill>
            <w14:solidFill>
              <w14:schemeClr w14:val="tx1"/>
            </w14:solidFill>
          </w14:textFill>
        </w:rPr>
        <w:t>工程监理综合资质或房屋建筑工程监理</w:t>
      </w:r>
      <w:r>
        <w:rPr>
          <w:rFonts w:hint="eastAsia" w:ascii="宋体" w:hAnsi="宋体" w:cs="宋体"/>
          <w:color w:val="000000" w:themeColor="text1"/>
          <w:sz w:val="24"/>
          <w:szCs w:val="24"/>
          <w:highlight w:val="none"/>
          <w:u w:val="single"/>
          <w:lang w:eastAsia="zh-CN"/>
          <w14:textFill>
            <w14:solidFill>
              <w14:schemeClr w14:val="tx1"/>
            </w14:solidFill>
          </w14:textFill>
        </w:rPr>
        <w:t>甲</w:t>
      </w:r>
      <w:r>
        <w:rPr>
          <w:rFonts w:hint="eastAsia" w:ascii="宋体" w:hAnsi="宋体" w:cs="宋体"/>
          <w:color w:val="000000" w:themeColor="text1"/>
          <w:sz w:val="24"/>
          <w:szCs w:val="24"/>
          <w:highlight w:val="none"/>
          <w:u w:val="single"/>
          <w14:textFill>
            <w14:solidFill>
              <w14:schemeClr w14:val="tx1"/>
            </w14:solidFill>
          </w14:textFill>
        </w:rPr>
        <w:t>级</w:t>
      </w:r>
      <w:r>
        <w:rPr>
          <w:rFonts w:hint="eastAsia" w:ascii="宋体" w:hAnsi="宋体" w:cs="宋体"/>
          <w:color w:val="000000" w:themeColor="text1"/>
          <w:sz w:val="24"/>
          <w:szCs w:val="24"/>
          <w:highlight w:val="none"/>
          <w14:textFill>
            <w14:solidFill>
              <w14:schemeClr w14:val="tx1"/>
            </w14:solidFill>
          </w14:textFill>
        </w:rPr>
        <w:t>资质。</w:t>
      </w:r>
    </w:p>
    <w:p w14:paraId="68780C0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香港企业参加投标的，须在广东省住房和城乡建设主管部门备案且备案的业务范围满足本项目招标文件要求。</w:t>
      </w:r>
    </w:p>
    <w:p w14:paraId="1E63E419">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注：</w:t>
      </w:r>
      <w:r>
        <w:rPr>
          <w:rFonts w:hint="eastAsia" w:ascii="宋体" w:hAnsi="宋体" w:cs="宋体"/>
          <w:color w:val="000000" w:themeColor="text1"/>
          <w:sz w:val="24"/>
          <w:highlight w:val="none"/>
          <w:u w:val="single"/>
          <w14:textFill>
            <w14:solidFill>
              <w14:schemeClr w14:val="tx1"/>
            </w14:solidFill>
          </w14:textFill>
        </w:rPr>
        <w:t>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DD6E8F9">
      <w:pPr>
        <w:keepNext w:val="0"/>
        <w:keepLines w:val="0"/>
        <w:pageBreakBefore w:val="0"/>
        <w:kinsoku/>
        <w:wordWrap/>
        <w:overflowPunct/>
        <w:autoSpaceDE/>
        <w:autoSpaceDN/>
        <w:bidi w:val="0"/>
        <w:snapToGrid w:val="0"/>
        <w:spacing w:line="460" w:lineRule="exact"/>
        <w:ind w:firstLine="480" w:firstLineChars="20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511999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3.2总监理工程师：拟任本项目总监理工程师应具有建设部2006年4月1日后颁发且在有效期内的中华人民共和国注册监理工程师注册执业证书，且其注册专业为</w:t>
      </w:r>
      <w:r>
        <w:rPr>
          <w:rFonts w:hint="eastAsia" w:ascii="宋体" w:hAnsi="宋体" w:cs="宋体"/>
          <w:color w:val="000000" w:themeColor="text1"/>
          <w:sz w:val="24"/>
          <w:szCs w:val="24"/>
          <w:u w:val="single"/>
          <w14:textFill>
            <w14:solidFill>
              <w14:schemeClr w14:val="tx1"/>
            </w14:solidFill>
          </w14:textFill>
        </w:rPr>
        <w:t>房屋建筑工程</w:t>
      </w:r>
      <w:r>
        <w:rPr>
          <w:rFonts w:hint="eastAsia" w:ascii="宋体" w:hAnsi="宋体" w:cs="宋体"/>
          <w:color w:val="000000" w:themeColor="text1"/>
          <w:sz w:val="24"/>
          <w:szCs w:val="24"/>
          <w14:textFill>
            <w14:solidFill>
              <w14:schemeClr w14:val="tx1"/>
            </w14:solidFill>
          </w14:textFill>
        </w:rPr>
        <w:t>，注册执业单位为本公司，并具有本科或以上的学历。或在广东省住房和城乡建设主管部门备案且备案的资格满足本项目总监理工程师的资格要求的香港专业人士。</w:t>
      </w:r>
    </w:p>
    <w:p w14:paraId="031EF92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000000" w:themeColor="text1"/>
          <w:sz w:val="24"/>
          <w:szCs w:val="24"/>
          <w14:textFill>
            <w14:solidFill>
              <w14:schemeClr w14:val="tx1"/>
            </w14:solidFill>
          </w14:textFill>
        </w:rPr>
        <w:t>2020〕1号）]。</w:t>
      </w:r>
    </w:p>
    <w:p w14:paraId="7A0A8836">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关于联合体投标：本次招标</w:t>
      </w:r>
      <w:r>
        <w:rPr>
          <w:rFonts w:hint="eastAsia" w:ascii="宋体" w:hAnsi="宋体" w:cs="宋体"/>
          <w:color w:val="000000" w:themeColor="text1"/>
          <w:sz w:val="24"/>
          <w:szCs w:val="24"/>
          <w:u w:val="single"/>
          <w14:textFill>
            <w14:solidFill>
              <w14:schemeClr w14:val="tx1"/>
            </w14:solidFill>
          </w14:textFill>
        </w:rPr>
        <w:t>不接受</w:t>
      </w:r>
      <w:r>
        <w:rPr>
          <w:rFonts w:hint="eastAsia" w:ascii="宋体" w:hAnsi="宋体" w:cs="宋体"/>
          <w:color w:val="000000" w:themeColor="text1"/>
          <w:sz w:val="24"/>
          <w:szCs w:val="24"/>
          <w14:textFill>
            <w14:solidFill>
              <w14:schemeClr w14:val="tx1"/>
            </w14:solidFill>
          </w14:textFill>
        </w:rPr>
        <w:t>联合体投标。</w:t>
      </w:r>
    </w:p>
    <w:p w14:paraId="7DD96FB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投标人均具有独立法人资格，持有工商行政管理部门核发的法人营业执照，按国家法律经营。</w:t>
      </w:r>
    </w:p>
    <w:p w14:paraId="79696719">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kern w:val="0"/>
          <w:sz w:val="24"/>
          <w:szCs w:val="24"/>
          <w:u w:val="single"/>
          <w14:textFill>
            <w14:solidFill>
              <w14:schemeClr w14:val="tx1"/>
            </w14:solidFill>
          </w14:textFill>
        </w:rPr>
        <w:t>资格审查</w:t>
      </w:r>
      <w:r>
        <w:rPr>
          <w:rFonts w:hint="eastAsia" w:ascii="宋体" w:hAnsi="宋体" w:cs="宋体"/>
          <w:color w:val="000000" w:themeColor="text1"/>
          <w:sz w:val="24"/>
          <w:szCs w:val="24"/>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w:t>
      </w:r>
      <w:r>
        <w:rPr>
          <w:rFonts w:hint="eastAsia" w:ascii="宋体" w:hAnsi="宋体" w:cs="宋体"/>
          <w:color w:val="000000" w:themeColor="text1"/>
          <w:sz w:val="24"/>
          <w:u w:val="single"/>
          <w14:textFill>
            <w14:solidFill>
              <w14:schemeClr w14:val="tx1"/>
            </w14:solidFill>
          </w14:textFill>
        </w:rPr>
        <w:t>（信用档案办理详见《广州市住建行业信用管理平台监理企业信息录入指引》http://zfcj.gz.gov.cn/zwgk/zsdwxxgkzl/gzsjzyglfwzx/bszy/content/post_8073953.html）</w:t>
      </w:r>
      <w:r>
        <w:rPr>
          <w:rFonts w:hint="eastAsia" w:ascii="宋体" w:hAnsi="宋体" w:cs="宋体"/>
          <w:color w:val="000000" w:themeColor="text1"/>
          <w:sz w:val="24"/>
          <w:szCs w:val="24"/>
          <w:u w:val="none"/>
          <w14:textFill>
            <w14:solidFill>
              <w14:schemeClr w14:val="tx1"/>
            </w14:solidFill>
          </w14:textFill>
        </w:rPr>
        <w:t>。</w:t>
      </w:r>
    </w:p>
    <w:p w14:paraId="70C1DD3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3.6投标人出具按照招标文件要求的格式签署盖章的《投标申请人声明》（格式见招标文件第六章）。</w:t>
      </w:r>
    </w:p>
    <w:p w14:paraId="7F81822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u w:val="single"/>
          <w14:textFill>
            <w14:solidFill>
              <w14:schemeClr w14:val="tx1"/>
            </w14:solidFill>
          </w14:textFill>
        </w:rPr>
        <w:t>投标人未被列入拖欠农民工工资失信联合惩戒对象名单（本项评审投标人无需提供资料，按</w:t>
      </w:r>
      <w:r>
        <w:rPr>
          <w:rFonts w:hint="eastAsia" w:ascii="宋体" w:hAnsi="宋体" w:cs="宋体"/>
          <w:b/>
          <w:bCs/>
          <w:color w:val="000000" w:themeColor="text1"/>
          <w:sz w:val="24"/>
          <w:szCs w:val="24"/>
          <w:u w:val="single"/>
          <w:lang w:val="en-US" w:eastAsia="zh-CN"/>
          <w14:textFill>
            <w14:solidFill>
              <w14:schemeClr w14:val="tx1"/>
            </w14:solidFill>
          </w14:textFill>
        </w:rPr>
        <w:t>投标截止时间</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广州交易集团有限公司（广州公共资源交易中心)交易系统比对的结果进行评审）</w:t>
      </w:r>
      <w:r>
        <w:rPr>
          <w:rFonts w:hint="eastAsia" w:ascii="宋体" w:hAnsi="宋体" w:cs="宋体"/>
          <w:color w:val="000000" w:themeColor="text1"/>
          <w:sz w:val="24"/>
          <w:szCs w:val="24"/>
          <w14:textFill>
            <w14:solidFill>
              <w14:schemeClr w14:val="tx1"/>
            </w14:solidFill>
          </w14:textFill>
        </w:rPr>
        <w:t>。</w:t>
      </w:r>
    </w:p>
    <w:p w14:paraId="4DC0B0AB">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注：1、未在招标公告第三条单列的投标人资格要求条件，不作为资审不合格的依据。</w:t>
      </w:r>
    </w:p>
    <w:p w14:paraId="184A2801">
      <w:pPr>
        <w:topLinePunct/>
        <w:adjustRightInd w:val="0"/>
        <w:snapToGrid w:val="0"/>
        <w:spacing w:line="480" w:lineRule="exact"/>
        <w:ind w:firstLine="424" w:firstLineChars="177"/>
        <w:rPr>
          <w:rFonts w:hint="eastAsia" w:ascii="宋体" w:hAnsi="宋体" w:cs="宋体"/>
          <w:color w:val="000000" w:themeColor="text1"/>
          <w:sz w:val="24"/>
          <w:szCs w:val="24"/>
          <w:u w:val="single"/>
          <w14:textFill>
            <w14:solidFill>
              <w14:schemeClr w14:val="tx1"/>
            </w14:solidFill>
          </w14:textFill>
        </w:rPr>
      </w:pPr>
      <w:bookmarkStart w:id="11" w:name="_Toc511557028"/>
      <w:bookmarkStart w:id="12" w:name="_Toc515033013"/>
      <w:r>
        <w:rPr>
          <w:rFonts w:hint="eastAsia" w:ascii="宋体" w:hAnsi="宋体" w:cs="宋体"/>
          <w:color w:val="000000" w:themeColor="text1"/>
          <w:sz w:val="24"/>
          <w:szCs w:val="24"/>
          <w:u w:val="single"/>
          <w14:textFill>
            <w14:solidFill>
              <w14:schemeClr w14:val="tx1"/>
            </w14:solidFill>
          </w14:textFill>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2D08DB3C">
      <w:pPr>
        <w:topLinePunct/>
        <w:adjustRightInd w:val="0"/>
        <w:snapToGrid w:val="0"/>
        <w:spacing w:line="480" w:lineRule="exact"/>
        <w:ind w:firstLine="424" w:firstLineChars="177"/>
        <w:rPr>
          <w:rFonts w:hint="eastAsia" w:ascii="宋体" w:hAnsi="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3、投标人在投标登记时选择了登记企业、拟投入本项目的总监理工程师，即已满足“资格审查前，投标人须在广州市住建行业信用管理平台建立企业信用档案及拟担任本工程总监理工程师须是本企业信用档案中的在册人员”的要求，投标人无需提供证明材料。</w:t>
      </w:r>
    </w:p>
    <w:bookmarkEnd w:id="11"/>
    <w:bookmarkEnd w:id="12"/>
    <w:p w14:paraId="12584A71">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3" w:name="_Toc511557029"/>
      <w:bookmarkStart w:id="14" w:name="_Toc515033014"/>
    </w:p>
    <w:p w14:paraId="61380AB3">
      <w:pPr>
        <w:pStyle w:val="2"/>
        <w:keepNext w:val="0"/>
        <w:keepLines w:val="0"/>
        <w:pageBreakBefore w:val="0"/>
        <w:numPr>
          <w:ilvl w:val="0"/>
          <w:numId w:val="1"/>
        </w:numPr>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招标文件的获取</w:t>
      </w:r>
    </w:p>
    <w:p w14:paraId="0189396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凡有意参加投标者，请于</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25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分(北京时间，下同)，登录</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网（网址：http://www.gzggzy.cn） 下载电子招标文件。</w:t>
      </w:r>
    </w:p>
    <w:p w14:paraId="1D7B9812">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4.2本项目采用资格后审方式。</w:t>
      </w:r>
    </w:p>
    <w:p w14:paraId="00504B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注：（1）电子招投标操作流程详见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网站发布的最新版操作指引。</w:t>
      </w:r>
    </w:p>
    <w:p w14:paraId="11A7824B">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（2）从招标公告发布之日起开始计算备标时间。</w:t>
      </w:r>
    </w:p>
    <w:p w14:paraId="553E158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613E4FCC">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发布招标公告、递交投标文件时间、开标时间</w:t>
      </w:r>
    </w:p>
    <w:p w14:paraId="7C2629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发布招标公告时间（含本日）：</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25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199C80D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注：发布招标公告的时间为招标公告发出之日起至递交投标文件截止时间止。</w:t>
      </w:r>
    </w:p>
    <w:p w14:paraId="3574E5BB">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递交投标文件时间：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392E4625">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投标人通过</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w:t>
      </w:r>
      <w:r>
        <w:rPr>
          <w:rFonts w:hint="eastAsia" w:ascii="宋体" w:hAnsi="宋体" w:cs="宋体"/>
          <w:color w:val="000000" w:themeColor="text1"/>
          <w:sz w:val="24"/>
          <w14:textFill>
            <w14:solidFill>
              <w14:schemeClr w14:val="tx1"/>
            </w14:solidFill>
          </w14:textFill>
        </w:rPr>
        <w:t>交易平台递交电子投标文件。投标人应在递交投标文件截止时间前，登录</w:t>
      </w:r>
      <w:r>
        <w:rPr>
          <w:rFonts w:hint="eastAsia" w:ascii="宋体" w:hAnsi="宋体" w:cs="宋体"/>
          <w:color w:val="000000" w:themeColor="text1"/>
          <w:sz w:val="24"/>
          <w:u w:val="single"/>
          <w14:textFill>
            <w14:solidFill>
              <w14:schemeClr w14:val="tx1"/>
            </w14:solidFill>
          </w14:textFill>
        </w:rPr>
        <w:t>广州交易集团有限公司（广州公共资源交易中心）网</w:t>
      </w:r>
      <w:r>
        <w:rPr>
          <w:rFonts w:hint="eastAsia" w:ascii="宋体" w:hAnsi="宋体" w:cs="宋体"/>
          <w:color w:val="000000" w:themeColor="text1"/>
          <w:sz w:val="24"/>
          <w14:textFill>
            <w14:solidFill>
              <w14:schemeClr w14:val="tx1"/>
            </w14:solidFill>
          </w14:textFill>
        </w:rPr>
        <w:t>交易平台网站办理网上投标登记手续。按照</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交易平台关于全流程电子化项目的相关指南进行操作。详见：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u w:val="none"/>
          <w14:textFill>
            <w14:solidFill>
              <w14:schemeClr w14:val="tx1"/>
            </w14:solidFill>
          </w14:textFill>
        </w:rPr>
        <w:t>。</w:t>
      </w:r>
    </w:p>
    <w:p w14:paraId="14F4B4D6">
      <w:pPr>
        <w:keepNext w:val="0"/>
        <w:keepLines w:val="0"/>
        <w:pageBreakBefore w:val="0"/>
        <w:tabs>
          <w:tab w:val="left" w:pos="360"/>
        </w:tabs>
        <w:kinsoku/>
        <w:wordWrap/>
        <w:overflowPunct/>
        <w:autoSpaceDE/>
        <w:autoSpaceDN/>
        <w:bidi w:val="0"/>
        <w:snapToGrid w:val="0"/>
        <w:spacing w:line="460" w:lineRule="exact"/>
        <w:ind w:left="479" w:leftChars="228" w:firstLine="0" w:firstLineChars="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5.3递交备用投标文件电子光盘时间为：</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25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广州交易集团有限公司（广州公共资源交易中心）指定开标室</w:t>
      </w:r>
      <w:r>
        <w:rPr>
          <w:rFonts w:hint="eastAsia" w:ascii="宋体" w:hAnsi="宋体" w:cs="宋体"/>
          <w:color w:val="000000" w:themeColor="text1"/>
          <w:sz w:val="24"/>
          <w14:textFill>
            <w14:solidFill>
              <w14:schemeClr w14:val="tx1"/>
            </w14:solidFill>
          </w14:textFill>
        </w:rPr>
        <w:t>。</w:t>
      </w:r>
    </w:p>
    <w:p w14:paraId="1937656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 逾期送达的投标文件，电子招标投标交易平台将予以拒收。逾期未上传成功的电子投标文件，招标人拒绝接收。逾期或未在指定地点递交投标文件光盘的,招标人拒绝接收其投标文件光盘。</w:t>
      </w:r>
    </w:p>
    <w:p w14:paraId="7607CE9D">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 开标时间：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广州交易集团有限公司（广州公共资源交易中心）指定开标室</w:t>
      </w:r>
      <w:r>
        <w:rPr>
          <w:rFonts w:hint="eastAsia" w:ascii="宋体" w:hAnsi="宋体" w:cs="宋体"/>
          <w:color w:val="000000" w:themeColor="text1"/>
          <w:sz w:val="24"/>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14:textFill>
            <w14:solidFill>
              <w14:schemeClr w14:val="tx1"/>
            </w14:solidFill>
          </w14:textFill>
        </w:rPr>
        <w:t>。</w:t>
      </w:r>
    </w:p>
    <w:p w14:paraId="70F4C6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52499D53">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发布公告的媒介</w:t>
      </w:r>
    </w:p>
    <w:p w14:paraId="6FD1669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本次招标公告同时在</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广州交易集团有限公司（广州公共资源交易中心）网（网址：http://www.gzggzy.cn）、广东省招标</w:t>
      </w:r>
      <w:bookmarkStart w:id="45" w:name="_GoBack"/>
      <w:bookmarkEnd w:id="45"/>
      <w:r>
        <w:rPr>
          <w:rFonts w:hint="eastAsia" w:ascii="宋体" w:hAnsi="宋体" w:cs="宋体"/>
          <w:color w:val="000000" w:themeColor="text1"/>
          <w:sz w:val="24"/>
          <w:u w:val="single"/>
          <w14:textFill>
            <w14:solidFill>
              <w14:schemeClr w14:val="tx1"/>
            </w14:solidFill>
          </w14:textFill>
        </w:rPr>
        <w:t>投标监管网（网址：http://zbtb.gd.gov.cn/）和中国招标投标公共服务平台（网址：http://www.cebpubservice.com/）发布，本公告的修改、补充，在广州交易集团有限公司（广州公共资源交易中心）</w:t>
      </w:r>
      <w:r>
        <w:rPr>
          <w:rFonts w:hint="eastAsia" w:ascii="宋体" w:hAnsi="宋体" w:cs="宋体"/>
          <w:color w:val="auto"/>
          <w:sz w:val="24"/>
          <w:u w:val="single"/>
          <w:lang w:eastAsia="zh-CN"/>
        </w:rPr>
        <w:t>官</w:t>
      </w:r>
      <w:r>
        <w:rPr>
          <w:rFonts w:hint="eastAsia" w:ascii="宋体" w:hAnsi="宋体" w:cs="宋体"/>
          <w:color w:val="000000" w:themeColor="text1"/>
          <w:sz w:val="24"/>
          <w:u w:val="single"/>
          <w14:textFill>
            <w14:solidFill>
              <w14:schemeClr w14:val="tx1"/>
            </w14:solidFill>
          </w14:textFill>
        </w:rPr>
        <w:t>网</w:t>
      </w:r>
      <w:r>
        <w:rPr>
          <w:rFonts w:hint="eastAsia" w:ascii="宋体" w:hAnsi="宋体" w:cs="宋体"/>
          <w:color w:val="000000" w:themeColor="text1"/>
          <w:sz w:val="24"/>
          <w14:textFill>
            <w14:solidFill>
              <w14:schemeClr w14:val="tx1"/>
            </w14:solidFill>
          </w14:textFill>
        </w:rPr>
        <w:t>发布。</w:t>
      </w:r>
    </w:p>
    <w:bookmarkEnd w:id="13"/>
    <w:bookmarkEnd w:id="14"/>
    <w:p w14:paraId="46F1903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5" w:name="_Toc511557031"/>
      <w:bookmarkStart w:id="16" w:name="_Toc515033016"/>
    </w:p>
    <w:p w14:paraId="5271C242">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15"/>
      <w:bookmarkEnd w:id="16"/>
    </w:p>
    <w:p w14:paraId="6831C54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bookmarkStart w:id="17" w:name="_Toc247527535"/>
      <w:bookmarkEnd w:id="17"/>
      <w:bookmarkStart w:id="18" w:name="_Toc152045512"/>
      <w:bookmarkEnd w:id="18"/>
      <w:bookmarkStart w:id="19" w:name="_Toc247513935"/>
      <w:bookmarkEnd w:id="19"/>
      <w:bookmarkStart w:id="20" w:name="_Toc369531497"/>
      <w:bookmarkEnd w:id="20"/>
      <w:bookmarkStart w:id="21" w:name="_Toc369531495"/>
      <w:bookmarkEnd w:id="21"/>
      <w:bookmarkStart w:id="22" w:name="_Toc152042288"/>
      <w:bookmarkEnd w:id="22"/>
      <w:bookmarkStart w:id="23" w:name="_Toc384308187"/>
      <w:bookmarkEnd w:id="23"/>
      <w:bookmarkStart w:id="24" w:name="_Toc369531498"/>
      <w:bookmarkEnd w:id="24"/>
      <w:bookmarkStart w:id="25" w:name="_Toc144974481"/>
      <w:bookmarkEnd w:id="25"/>
      <w:bookmarkStart w:id="26" w:name="_Toc247527536"/>
      <w:bookmarkEnd w:id="26"/>
      <w:bookmarkStart w:id="27" w:name="_Toc361508563"/>
      <w:bookmarkEnd w:id="27"/>
      <w:bookmarkStart w:id="28" w:name="_Toc384308188"/>
      <w:bookmarkEnd w:id="28"/>
      <w:bookmarkStart w:id="29" w:name="_Toc152045513"/>
      <w:bookmarkEnd w:id="29"/>
      <w:bookmarkStart w:id="30" w:name="_Toc144974480"/>
      <w:bookmarkEnd w:id="30"/>
      <w:bookmarkStart w:id="31" w:name="_Toc10785"/>
      <w:bookmarkEnd w:id="31"/>
      <w:bookmarkStart w:id="32" w:name="_Toc300834927"/>
      <w:bookmarkEnd w:id="32"/>
      <w:bookmarkStart w:id="33" w:name="_Toc300834930"/>
      <w:bookmarkEnd w:id="33"/>
      <w:bookmarkStart w:id="34" w:name="_Toc384308185"/>
      <w:bookmarkEnd w:id="34"/>
      <w:bookmarkStart w:id="35" w:name="_Toc152042289"/>
      <w:bookmarkEnd w:id="35"/>
      <w:bookmarkStart w:id="36" w:name="_Toc352691453"/>
      <w:bookmarkEnd w:id="36"/>
      <w:bookmarkStart w:id="37" w:name="_Toc17972"/>
      <w:bookmarkEnd w:id="37"/>
      <w:bookmarkStart w:id="38" w:name="_Toc361508560"/>
      <w:bookmarkEnd w:id="38"/>
      <w:bookmarkStart w:id="39" w:name="_Toc352691456"/>
      <w:bookmarkEnd w:id="39"/>
      <w:bookmarkStart w:id="40" w:name="_Toc300834929"/>
      <w:bookmarkEnd w:id="40"/>
      <w:bookmarkStart w:id="41" w:name="_Toc352691455"/>
      <w:bookmarkEnd w:id="41"/>
      <w:bookmarkStart w:id="42" w:name="_Toc30817"/>
      <w:bookmarkEnd w:id="42"/>
      <w:bookmarkStart w:id="43" w:name="_Toc247513934"/>
      <w:bookmarkEnd w:id="43"/>
      <w:bookmarkStart w:id="44" w:name="_Toc361508562"/>
      <w:bookmarkEnd w:id="44"/>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0510DBD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6FC74274">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张工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4F4B5C91">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right"/>
        <w:textAlignment w:val="auto"/>
        <w:rPr>
          <w:rFonts w:ascii="宋体" w:hAnsi="宋体" w:cs="宋体"/>
          <w:color w:val="000000" w:themeColor="text1"/>
          <w:sz w:val="24"/>
          <w14:textFill>
            <w14:solidFill>
              <w14:schemeClr w14:val="tx1"/>
            </w14:solidFill>
          </w14:textFill>
        </w:rPr>
      </w:pPr>
    </w:p>
    <w:p w14:paraId="0D83F4E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u w:val="single"/>
          <w:lang w:eastAsia="zh-CN"/>
          <w14:textFill>
            <w14:solidFill>
              <w14:schemeClr w14:val="tx1"/>
            </w14:solidFill>
          </w14:textFill>
        </w:rPr>
        <w:t>广州工建工程咨询有限公司</w:t>
      </w:r>
    </w:p>
    <w:p w14:paraId="5AC94EF3">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广州市南沙区进港大道10号1706-1707-1708-1709</w:t>
      </w:r>
    </w:p>
    <w:p w14:paraId="483CFFF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szCs w:val="24"/>
          <w:highlight w:val="none"/>
          <w:u w:val="single"/>
          <w:lang w:val="en-US"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szCs w:val="24"/>
          <w:highlight w:val="none"/>
          <w:u w:val="single"/>
          <w:lang w:val="en-US" w:eastAsia="zh-CN"/>
          <w14:textFill>
            <w14:solidFill>
              <w14:schemeClr w14:val="tx1"/>
            </w14:solidFill>
          </w14:textFill>
        </w:rPr>
        <w:t>020-88529135</w:t>
      </w:r>
    </w:p>
    <w:p w14:paraId="1E61721A">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cs="宋体"/>
          <w:color w:val="000000" w:themeColor="text1"/>
          <w:sz w:val="24"/>
          <w14:textFill>
            <w14:solidFill>
              <w14:schemeClr w14:val="tx1"/>
            </w14:solidFill>
          </w14:textFill>
        </w:rPr>
      </w:pPr>
    </w:p>
    <w:p w14:paraId="2CEFD38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异议受理部门：</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3556882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28AE6C58">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张工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110C6574">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p>
    <w:p w14:paraId="3396347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39A2C1E2">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2AFF695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1013D86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p>
    <w:p w14:paraId="7998FD7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招标监督机构：</w:t>
      </w:r>
      <w:r>
        <w:rPr>
          <w:rFonts w:hint="eastAsia" w:ascii="宋体" w:hAnsi="宋体" w:cs="宋体"/>
          <w:color w:val="000000" w:themeColor="text1"/>
          <w:sz w:val="24"/>
          <w:u w:val="single"/>
          <w14:textFill>
            <w14:solidFill>
              <w14:schemeClr w14:val="tx1"/>
            </w14:solidFill>
          </w14:textFill>
        </w:rPr>
        <w:t>广州开发区建设工程招投标管理办公室（广州市黄埔区建设工程招投标管理办公室）</w:t>
      </w:r>
    </w:p>
    <w:p w14:paraId="50FFEE7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广州开发区科学城水西路30号汇丽写字楼4楼</w:t>
      </w:r>
    </w:p>
    <w:p w14:paraId="01578BB7">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监管电话：</w:t>
      </w:r>
      <w:r>
        <w:rPr>
          <w:rFonts w:hint="eastAsia" w:ascii="宋体" w:hAnsi="宋体" w:cs="宋体"/>
          <w:bCs/>
          <w:color w:val="000000" w:themeColor="text1"/>
          <w:sz w:val="24"/>
          <w:u w:val="single"/>
          <w14:textFill>
            <w14:solidFill>
              <w14:schemeClr w14:val="tx1"/>
            </w14:solidFill>
          </w14:textFill>
        </w:rPr>
        <w:t>020-82112206、020-82116676</w:t>
      </w:r>
    </w:p>
    <w:p w14:paraId="3F2658F5">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cs="宋体"/>
          <w:color w:val="000000" w:themeColor="text1"/>
          <w:sz w:val="24"/>
          <w14:textFill>
            <w14:solidFill>
              <w14:schemeClr w14:val="tx1"/>
            </w14:solidFill>
          </w14:textFill>
        </w:rPr>
      </w:pPr>
    </w:p>
    <w:p w14:paraId="7B50B467">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lang w:eastAsia="zh-CN"/>
          <w14:textFill>
            <w14:solidFill>
              <w14:schemeClr w14:val="tx1"/>
            </w14:solidFill>
          </w14:textFill>
        </w:rPr>
        <w:t>广州知城梧栖城市开发投资有限公司</w:t>
      </w:r>
    </w:p>
    <w:p w14:paraId="1793F20A">
      <w:pPr>
        <w:keepNext w:val="0"/>
        <w:keepLines w:val="0"/>
        <w:pageBreakBefore w:val="0"/>
        <w:kinsoku/>
        <w:wordWrap/>
        <w:overflowPunct/>
        <w:topLinePunct/>
        <w:autoSpaceDE/>
        <w:autoSpaceDN/>
        <w:bidi w:val="0"/>
        <w:snapToGrid w:val="0"/>
        <w:spacing w:line="460" w:lineRule="exact"/>
        <w:ind w:right="240" w:firstLine="3120" w:firstLineChars="13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w:t>
      </w:r>
      <w:r>
        <w:rPr>
          <w:rFonts w:hint="eastAsia" w:ascii="宋体" w:hAnsi="宋体" w:cs="宋体"/>
          <w:color w:val="000000" w:themeColor="text1"/>
          <w:sz w:val="24"/>
          <w:lang w:eastAsia="zh-CN"/>
          <w14:textFill>
            <w14:solidFill>
              <w14:schemeClr w14:val="tx1"/>
            </w14:solidFill>
          </w14:textFill>
        </w:rPr>
        <w:t>广州工建工程咨询有限公司</w:t>
      </w:r>
    </w:p>
    <w:p w14:paraId="7FAAD541">
      <w:pPr>
        <w:keepNext w:val="0"/>
        <w:keepLines w:val="0"/>
        <w:pageBreakBefore w:val="0"/>
        <w:kinsoku/>
        <w:wordWrap/>
        <w:overflowPunct/>
        <w:topLinePunct/>
        <w:autoSpaceDE/>
        <w:autoSpaceDN/>
        <w:bidi w:val="0"/>
        <w:snapToGrid w:val="0"/>
        <w:spacing w:line="460" w:lineRule="exact"/>
        <w:ind w:left="235" w:leftChars="112" w:right="240" w:firstLine="2920" w:firstLineChars="1217"/>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期：20</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bookmarkEnd w:id="0"/>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3A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decimal"/>
      <w:suff w:val="space"/>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 w:name="KSO_WPS_MARK_KEY" w:val="2397cbfe-dd61-468c-b567-baf4ff8f4127"/>
  </w:docVars>
  <w:rsids>
    <w:rsidRoot w:val="00691CA0"/>
    <w:rsid w:val="00012F37"/>
    <w:rsid w:val="000175E1"/>
    <w:rsid w:val="00022FA0"/>
    <w:rsid w:val="00032181"/>
    <w:rsid w:val="000420FB"/>
    <w:rsid w:val="0005354D"/>
    <w:rsid w:val="00054051"/>
    <w:rsid w:val="000575B2"/>
    <w:rsid w:val="000648CF"/>
    <w:rsid w:val="00071272"/>
    <w:rsid w:val="00090218"/>
    <w:rsid w:val="000978FC"/>
    <w:rsid w:val="000A061C"/>
    <w:rsid w:val="000D0768"/>
    <w:rsid w:val="00103C57"/>
    <w:rsid w:val="001073AE"/>
    <w:rsid w:val="00114ACB"/>
    <w:rsid w:val="001165D3"/>
    <w:rsid w:val="001468B7"/>
    <w:rsid w:val="001519C2"/>
    <w:rsid w:val="001777B1"/>
    <w:rsid w:val="00177DD2"/>
    <w:rsid w:val="00184C3D"/>
    <w:rsid w:val="00185B79"/>
    <w:rsid w:val="001A561A"/>
    <w:rsid w:val="001B0A3C"/>
    <w:rsid w:val="001C5F07"/>
    <w:rsid w:val="001C7C33"/>
    <w:rsid w:val="001D364B"/>
    <w:rsid w:val="00227B0A"/>
    <w:rsid w:val="00234330"/>
    <w:rsid w:val="00240291"/>
    <w:rsid w:val="0026363F"/>
    <w:rsid w:val="0027410E"/>
    <w:rsid w:val="00274C43"/>
    <w:rsid w:val="00282DA5"/>
    <w:rsid w:val="002B0E14"/>
    <w:rsid w:val="002C4D90"/>
    <w:rsid w:val="00301319"/>
    <w:rsid w:val="00317BF3"/>
    <w:rsid w:val="00326681"/>
    <w:rsid w:val="00327101"/>
    <w:rsid w:val="0032741C"/>
    <w:rsid w:val="00327DCD"/>
    <w:rsid w:val="0033580A"/>
    <w:rsid w:val="0034139C"/>
    <w:rsid w:val="00346AA5"/>
    <w:rsid w:val="00353C52"/>
    <w:rsid w:val="00370688"/>
    <w:rsid w:val="00375FC4"/>
    <w:rsid w:val="003A2E49"/>
    <w:rsid w:val="003C3249"/>
    <w:rsid w:val="003E1C01"/>
    <w:rsid w:val="004002EA"/>
    <w:rsid w:val="004044E7"/>
    <w:rsid w:val="004315E6"/>
    <w:rsid w:val="00441864"/>
    <w:rsid w:val="0046127E"/>
    <w:rsid w:val="0046427D"/>
    <w:rsid w:val="00467B5A"/>
    <w:rsid w:val="004941D2"/>
    <w:rsid w:val="00496368"/>
    <w:rsid w:val="004B6862"/>
    <w:rsid w:val="004D2762"/>
    <w:rsid w:val="004E33C0"/>
    <w:rsid w:val="004E7822"/>
    <w:rsid w:val="004F716A"/>
    <w:rsid w:val="004F762F"/>
    <w:rsid w:val="00507930"/>
    <w:rsid w:val="005116DB"/>
    <w:rsid w:val="00521164"/>
    <w:rsid w:val="005246EA"/>
    <w:rsid w:val="00525DDB"/>
    <w:rsid w:val="00551AC9"/>
    <w:rsid w:val="005570BE"/>
    <w:rsid w:val="0058099A"/>
    <w:rsid w:val="00596094"/>
    <w:rsid w:val="005B1E16"/>
    <w:rsid w:val="005E32A0"/>
    <w:rsid w:val="005E7653"/>
    <w:rsid w:val="005F1B56"/>
    <w:rsid w:val="00600415"/>
    <w:rsid w:val="006005FA"/>
    <w:rsid w:val="006048BD"/>
    <w:rsid w:val="00612D3C"/>
    <w:rsid w:val="00644864"/>
    <w:rsid w:val="006462FE"/>
    <w:rsid w:val="006524E2"/>
    <w:rsid w:val="0065336A"/>
    <w:rsid w:val="00691CA0"/>
    <w:rsid w:val="006B361F"/>
    <w:rsid w:val="006D2737"/>
    <w:rsid w:val="006D4269"/>
    <w:rsid w:val="00702C57"/>
    <w:rsid w:val="0071323E"/>
    <w:rsid w:val="00724AD6"/>
    <w:rsid w:val="00735003"/>
    <w:rsid w:val="00762C4F"/>
    <w:rsid w:val="00780B0E"/>
    <w:rsid w:val="007879D0"/>
    <w:rsid w:val="007A74B9"/>
    <w:rsid w:val="007C2AF8"/>
    <w:rsid w:val="00805668"/>
    <w:rsid w:val="00827AA7"/>
    <w:rsid w:val="00831523"/>
    <w:rsid w:val="008324B2"/>
    <w:rsid w:val="00836A2D"/>
    <w:rsid w:val="00845DA1"/>
    <w:rsid w:val="00845E3D"/>
    <w:rsid w:val="00867CB4"/>
    <w:rsid w:val="008972C9"/>
    <w:rsid w:val="008A2984"/>
    <w:rsid w:val="008A5129"/>
    <w:rsid w:val="008C07B5"/>
    <w:rsid w:val="008C32D2"/>
    <w:rsid w:val="009020EE"/>
    <w:rsid w:val="00902564"/>
    <w:rsid w:val="00946854"/>
    <w:rsid w:val="00962C5A"/>
    <w:rsid w:val="00964103"/>
    <w:rsid w:val="009B3E87"/>
    <w:rsid w:val="009B59D9"/>
    <w:rsid w:val="009C2ACA"/>
    <w:rsid w:val="009D26FF"/>
    <w:rsid w:val="009D65AF"/>
    <w:rsid w:val="009E3E23"/>
    <w:rsid w:val="009F61F8"/>
    <w:rsid w:val="00A20660"/>
    <w:rsid w:val="00A27F35"/>
    <w:rsid w:val="00A35E97"/>
    <w:rsid w:val="00A72A48"/>
    <w:rsid w:val="00A86E5C"/>
    <w:rsid w:val="00A93667"/>
    <w:rsid w:val="00A9686C"/>
    <w:rsid w:val="00AA6A94"/>
    <w:rsid w:val="00AB5583"/>
    <w:rsid w:val="00AB63B1"/>
    <w:rsid w:val="00AC48E0"/>
    <w:rsid w:val="00AC623F"/>
    <w:rsid w:val="00AF649A"/>
    <w:rsid w:val="00B17909"/>
    <w:rsid w:val="00B31EA2"/>
    <w:rsid w:val="00B334A2"/>
    <w:rsid w:val="00B42F9D"/>
    <w:rsid w:val="00B60108"/>
    <w:rsid w:val="00B632C9"/>
    <w:rsid w:val="00B7333E"/>
    <w:rsid w:val="00B966F8"/>
    <w:rsid w:val="00BA418E"/>
    <w:rsid w:val="00BB1C85"/>
    <w:rsid w:val="00BB3025"/>
    <w:rsid w:val="00BC2C85"/>
    <w:rsid w:val="00BC419D"/>
    <w:rsid w:val="00BC5C82"/>
    <w:rsid w:val="00BE1586"/>
    <w:rsid w:val="00C127DC"/>
    <w:rsid w:val="00C13242"/>
    <w:rsid w:val="00C33798"/>
    <w:rsid w:val="00C445C0"/>
    <w:rsid w:val="00C4488B"/>
    <w:rsid w:val="00C5756C"/>
    <w:rsid w:val="00C67F74"/>
    <w:rsid w:val="00C725A5"/>
    <w:rsid w:val="00C96599"/>
    <w:rsid w:val="00CA2FB8"/>
    <w:rsid w:val="00CB51E9"/>
    <w:rsid w:val="00CB523B"/>
    <w:rsid w:val="00CC18A6"/>
    <w:rsid w:val="00CD65D6"/>
    <w:rsid w:val="00CF7C70"/>
    <w:rsid w:val="00D024D7"/>
    <w:rsid w:val="00D10AE8"/>
    <w:rsid w:val="00D22E64"/>
    <w:rsid w:val="00D3054E"/>
    <w:rsid w:val="00D65F8B"/>
    <w:rsid w:val="00DA22F1"/>
    <w:rsid w:val="00DD6E6C"/>
    <w:rsid w:val="00DE545B"/>
    <w:rsid w:val="00E03277"/>
    <w:rsid w:val="00E06C7A"/>
    <w:rsid w:val="00E11F99"/>
    <w:rsid w:val="00E220D1"/>
    <w:rsid w:val="00E25FC0"/>
    <w:rsid w:val="00E35CAE"/>
    <w:rsid w:val="00E71A83"/>
    <w:rsid w:val="00E838FD"/>
    <w:rsid w:val="00EA17F9"/>
    <w:rsid w:val="00EE5E4B"/>
    <w:rsid w:val="00EE7913"/>
    <w:rsid w:val="00EF00E3"/>
    <w:rsid w:val="00EF4DAD"/>
    <w:rsid w:val="00F23EBF"/>
    <w:rsid w:val="00F3013F"/>
    <w:rsid w:val="00FA5E6B"/>
    <w:rsid w:val="00FE456D"/>
    <w:rsid w:val="023818EC"/>
    <w:rsid w:val="0AE602B9"/>
    <w:rsid w:val="0B851339"/>
    <w:rsid w:val="10286842"/>
    <w:rsid w:val="109278B8"/>
    <w:rsid w:val="13B519B9"/>
    <w:rsid w:val="140C3220"/>
    <w:rsid w:val="15C64800"/>
    <w:rsid w:val="15F008F9"/>
    <w:rsid w:val="17B303EA"/>
    <w:rsid w:val="1EF4300C"/>
    <w:rsid w:val="202D2761"/>
    <w:rsid w:val="21FF1FF3"/>
    <w:rsid w:val="222E4C41"/>
    <w:rsid w:val="23975967"/>
    <w:rsid w:val="24AF20DF"/>
    <w:rsid w:val="263422ED"/>
    <w:rsid w:val="26EF474C"/>
    <w:rsid w:val="2A4D3FF8"/>
    <w:rsid w:val="30D9023D"/>
    <w:rsid w:val="35290F4F"/>
    <w:rsid w:val="39B75ECA"/>
    <w:rsid w:val="3A686B06"/>
    <w:rsid w:val="3FDF0AFA"/>
    <w:rsid w:val="44D438D0"/>
    <w:rsid w:val="44FC5410"/>
    <w:rsid w:val="45A100BA"/>
    <w:rsid w:val="45E14E60"/>
    <w:rsid w:val="45FE67BA"/>
    <w:rsid w:val="4A2D63C1"/>
    <w:rsid w:val="4B635241"/>
    <w:rsid w:val="4BE8259F"/>
    <w:rsid w:val="4C64197D"/>
    <w:rsid w:val="4DAC5CCB"/>
    <w:rsid w:val="4DD97D0D"/>
    <w:rsid w:val="5019122C"/>
    <w:rsid w:val="51236E43"/>
    <w:rsid w:val="51D3784E"/>
    <w:rsid w:val="51D6733E"/>
    <w:rsid w:val="521928D0"/>
    <w:rsid w:val="55490C21"/>
    <w:rsid w:val="57270A62"/>
    <w:rsid w:val="624D6F86"/>
    <w:rsid w:val="62C813B3"/>
    <w:rsid w:val="6586430E"/>
    <w:rsid w:val="6B373706"/>
    <w:rsid w:val="6CAA022C"/>
    <w:rsid w:val="6CBB7617"/>
    <w:rsid w:val="6CDD2A45"/>
    <w:rsid w:val="6D763011"/>
    <w:rsid w:val="6E153F18"/>
    <w:rsid w:val="70595DDB"/>
    <w:rsid w:val="709C17D3"/>
    <w:rsid w:val="75250343"/>
    <w:rsid w:val="7BC37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afterLines="0"/>
    </w:pPr>
  </w:style>
  <w:style w:type="paragraph" w:styleId="5">
    <w:name w:val="Plain Text"/>
    <w:basedOn w:val="1"/>
    <w:link w:val="15"/>
    <w:unhideWhenUsed/>
    <w:qFormat/>
    <w:uiPriority w:val="0"/>
    <w:rPr>
      <w:rFonts w:ascii="宋体" w:hAnsi="Courier New"/>
      <w:sz w:val="24"/>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210"/>
      <w:jc w:val="left"/>
    </w:pPr>
    <w:rPr>
      <w:smallCaps/>
      <w:sz w:val="20"/>
      <w:szCs w:val="20"/>
    </w:rPr>
  </w:style>
  <w:style w:type="paragraph" w:styleId="10">
    <w:name w:val="Body Text First Indent"/>
    <w:basedOn w:val="4"/>
    <w:qFormat/>
    <w:uiPriority w:val="0"/>
    <w:pPr>
      <w:ind w:firstLine="420" w:firstLineChars="100"/>
    </w:pPr>
  </w:style>
  <w:style w:type="character" w:styleId="13">
    <w:name w:val="Emphasis"/>
    <w:qFormat/>
    <w:uiPriority w:val="0"/>
    <w:rPr>
      <w:i/>
    </w:rPr>
  </w:style>
  <w:style w:type="character" w:customStyle="1" w:styleId="14">
    <w:name w:val="标题 2 Char"/>
    <w:basedOn w:val="12"/>
    <w:link w:val="2"/>
    <w:semiHidden/>
    <w:qFormat/>
    <w:uiPriority w:val="0"/>
    <w:rPr>
      <w:rFonts w:ascii="Arial" w:hAnsi="Arial" w:eastAsia="黑体" w:cs="Times New Roman"/>
      <w:b/>
      <w:sz w:val="32"/>
      <w:szCs w:val="24"/>
    </w:rPr>
  </w:style>
  <w:style w:type="character" w:customStyle="1" w:styleId="15">
    <w:name w:val="纯文本 Char"/>
    <w:basedOn w:val="12"/>
    <w:link w:val="5"/>
    <w:qFormat/>
    <w:uiPriority w:val="0"/>
    <w:rPr>
      <w:rFonts w:ascii="宋体" w:hAnsi="Courier New" w:eastAsia="宋体" w:cs="Times New Roman"/>
      <w:sz w:val="24"/>
      <w:szCs w:val="24"/>
    </w:rPr>
  </w:style>
  <w:style w:type="character" w:customStyle="1" w:styleId="16">
    <w:name w:val="列出段落 Char"/>
    <w:link w:val="17"/>
    <w:qFormat/>
    <w:locked/>
    <w:uiPriority w:val="0"/>
    <w:rPr>
      <w:rFonts w:ascii="Calibri" w:hAnsi="Calibri" w:cs="Calibri"/>
    </w:rPr>
  </w:style>
  <w:style w:type="paragraph" w:styleId="17">
    <w:name w:val="List Paragraph"/>
    <w:basedOn w:val="1"/>
    <w:link w:val="16"/>
    <w:qFormat/>
    <w:uiPriority w:val="0"/>
    <w:pPr>
      <w:widowControl/>
      <w:ind w:firstLine="420" w:firstLineChars="200"/>
      <w:jc w:val="left"/>
    </w:pPr>
    <w:rPr>
      <w:rFonts w:ascii="Calibri" w:hAnsi="Calibri" w:cs="Calibri" w:eastAsiaTheme="minorEastAsia"/>
      <w:szCs w:val="22"/>
    </w:r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4059</Words>
  <Characters>4685</Characters>
  <Lines>30</Lines>
  <Paragraphs>8</Paragraphs>
  <TotalTime>1</TotalTime>
  <ScaleCrop>false</ScaleCrop>
  <LinksUpToDate>false</LinksUpToDate>
  <CharactersWithSpaces>4912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2022-11-07T03:12:00Z</dcterms:created>
  <dc:creator>NTKO</dc:creator>
  <cp:lastModifiedBy>WPS_1681806469</cp:lastModifiedBy>
  <cp:lastPrinted>2024-11-27T01:49:00Z</cp:lastPrinted>
  <dcterms:modified xsi:type="dcterms:W3CDTF">2025-06-06T06:36:51Z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34AD912E1C2A4C58A35B7E99D113A76C_13</vt:lpwstr>
  </property>
  <property fmtid="{D5CDD505-2E9C-101B-9397-08002B2CF9AE}" pid="4" name="KSOTemplateDocerSaveRecord">
    <vt:lpwstr>eyJoZGlkIjoiMjkzZTE4ZDNlOGNkYzc4MzQwMzAyYzZhM2NkZDNhYjEiLCJ1c2VySWQiOiIxNDg5NDI5ODQ3In0=</vt:lpwstr>
  </property>
</Properties>
</file>