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201E2">
      <w:pPr>
        <w:spacing w:line="360" w:lineRule="auto"/>
        <w:jc w:val="center"/>
        <w:rPr>
          <w:rFonts w:ascii="宋体" w:hAnsi="宋体"/>
          <w:b/>
          <w:color w:val="auto"/>
          <w:sz w:val="44"/>
          <w:szCs w:val="44"/>
          <w:highlight w:val="none"/>
          <w:u w:val="single"/>
        </w:rPr>
      </w:pPr>
    </w:p>
    <w:p w14:paraId="55528E44">
      <w:pPr>
        <w:pStyle w:val="14"/>
        <w:rPr>
          <w:color w:val="auto"/>
          <w:highlight w:val="none"/>
        </w:rPr>
      </w:pPr>
    </w:p>
    <w:p w14:paraId="100171E5">
      <w:pPr>
        <w:pStyle w:val="14"/>
        <w:spacing w:line="480" w:lineRule="auto"/>
        <w:ind w:left="0" w:leftChars="0" w:firstLine="0" w:firstLineChars="0"/>
        <w:jc w:val="center"/>
        <w:rPr>
          <w:color w:val="auto"/>
          <w:sz w:val="20"/>
          <w:szCs w:val="22"/>
          <w:highlight w:val="none"/>
        </w:rPr>
      </w:pPr>
      <w:bookmarkStart w:id="0" w:name="_Toc477764167"/>
      <w:bookmarkEnd w:id="0"/>
      <w:r>
        <w:rPr>
          <w:rFonts w:hint="eastAsia" w:hAnsi="宋体"/>
          <w:b/>
          <w:bCs/>
          <w:color w:val="auto"/>
          <w:sz w:val="48"/>
          <w:szCs w:val="48"/>
          <w:highlight w:val="none"/>
          <w:lang w:eastAsia="zh-CN"/>
        </w:rPr>
        <w:t>国家林业和草原局穿山甲保护研究中心项目第三方检测、监测服务（第二次）</w:t>
      </w:r>
    </w:p>
    <w:p w14:paraId="58831451">
      <w:pPr>
        <w:pStyle w:val="14"/>
        <w:ind w:left="0" w:leftChars="0" w:firstLine="0" w:firstLineChars="0"/>
        <w:jc w:val="center"/>
        <w:rPr>
          <w:color w:val="auto"/>
          <w:highlight w:val="none"/>
        </w:rPr>
      </w:pPr>
    </w:p>
    <w:p w14:paraId="5B19CD31">
      <w:pPr>
        <w:pStyle w:val="14"/>
        <w:ind w:left="0" w:leftChars="0" w:firstLine="0" w:firstLineChars="0"/>
        <w:jc w:val="center"/>
        <w:rPr>
          <w:color w:val="auto"/>
          <w:highlight w:val="none"/>
        </w:rPr>
      </w:pPr>
    </w:p>
    <w:p w14:paraId="6DF40661">
      <w:pPr>
        <w:pStyle w:val="14"/>
        <w:ind w:left="0" w:leftChars="0" w:firstLine="0" w:firstLineChars="0"/>
        <w:jc w:val="center"/>
        <w:rPr>
          <w:color w:val="auto"/>
          <w:highlight w:val="none"/>
        </w:rPr>
      </w:pPr>
    </w:p>
    <w:p w14:paraId="527A659C">
      <w:pPr>
        <w:pStyle w:val="14"/>
        <w:ind w:left="0" w:leftChars="0" w:firstLine="0" w:firstLineChars="0"/>
        <w:jc w:val="center"/>
        <w:rPr>
          <w:color w:val="auto"/>
          <w:highlight w:val="none"/>
        </w:rPr>
      </w:pPr>
    </w:p>
    <w:p w14:paraId="46D40E04">
      <w:pPr>
        <w:pStyle w:val="14"/>
        <w:ind w:left="0" w:leftChars="0" w:firstLine="0" w:firstLineChars="0"/>
        <w:jc w:val="center"/>
        <w:rPr>
          <w:color w:val="auto"/>
          <w:highlight w:val="none"/>
        </w:rPr>
      </w:pPr>
    </w:p>
    <w:p w14:paraId="52738BFC">
      <w:pPr>
        <w:pStyle w:val="14"/>
        <w:ind w:left="0" w:leftChars="0" w:firstLine="0" w:firstLineChars="0"/>
        <w:jc w:val="center"/>
        <w:rPr>
          <w:color w:val="auto"/>
          <w:highlight w:val="none"/>
        </w:rPr>
      </w:pPr>
    </w:p>
    <w:p w14:paraId="18B921A3">
      <w:pPr>
        <w:spacing w:line="360" w:lineRule="auto"/>
        <w:jc w:val="center"/>
        <w:rPr>
          <w:rFonts w:ascii="宋体" w:hAnsi="宋体" w:cs="宋体"/>
          <w:b/>
          <w:bCs/>
          <w:color w:val="auto"/>
          <w:sz w:val="72"/>
          <w:szCs w:val="72"/>
          <w:highlight w:val="none"/>
        </w:rPr>
      </w:pPr>
      <w:r>
        <w:rPr>
          <w:rFonts w:ascii="宋体" w:hAnsi="宋体" w:cs="宋体"/>
          <w:b/>
          <w:bCs/>
          <w:color w:val="auto"/>
          <w:sz w:val="72"/>
          <w:szCs w:val="72"/>
          <w:highlight w:val="none"/>
        </w:rPr>
        <w:t>招标</w:t>
      </w:r>
      <w:r>
        <w:rPr>
          <w:rFonts w:hint="eastAsia" w:ascii="宋体" w:hAnsi="宋体" w:cs="宋体"/>
          <w:b/>
          <w:bCs/>
          <w:color w:val="auto"/>
          <w:sz w:val="72"/>
          <w:szCs w:val="72"/>
          <w:highlight w:val="none"/>
        </w:rPr>
        <w:t>公告</w:t>
      </w:r>
    </w:p>
    <w:p w14:paraId="0950159C">
      <w:pPr>
        <w:spacing w:line="360" w:lineRule="auto"/>
        <w:ind w:firstLine="421"/>
        <w:jc w:val="center"/>
        <w:rPr>
          <w:rFonts w:ascii="宋体" w:hAnsi="宋体"/>
          <w:color w:val="auto"/>
          <w:highlight w:val="none"/>
        </w:rPr>
      </w:pPr>
    </w:p>
    <w:p w14:paraId="6EFD2F12">
      <w:pPr>
        <w:spacing w:line="360" w:lineRule="auto"/>
        <w:ind w:firstLine="421"/>
        <w:jc w:val="center"/>
        <w:rPr>
          <w:rFonts w:ascii="宋体" w:hAnsi="宋体"/>
          <w:color w:val="auto"/>
          <w:highlight w:val="none"/>
        </w:rPr>
      </w:pPr>
    </w:p>
    <w:p w14:paraId="22E8AFDB">
      <w:pPr>
        <w:pStyle w:val="14"/>
        <w:rPr>
          <w:rFonts w:ascii="宋体" w:hAnsi="宋体"/>
          <w:color w:val="auto"/>
          <w:highlight w:val="none"/>
        </w:rPr>
      </w:pPr>
    </w:p>
    <w:p w14:paraId="33D20AE1">
      <w:pPr>
        <w:pStyle w:val="14"/>
        <w:rPr>
          <w:rFonts w:ascii="宋体" w:hAnsi="宋体"/>
          <w:color w:val="auto"/>
          <w:highlight w:val="none"/>
        </w:rPr>
      </w:pPr>
    </w:p>
    <w:p w14:paraId="7CCFE441">
      <w:pPr>
        <w:pStyle w:val="14"/>
        <w:rPr>
          <w:rFonts w:ascii="宋体" w:hAnsi="宋体"/>
          <w:color w:val="auto"/>
          <w:highlight w:val="none"/>
        </w:rPr>
      </w:pPr>
    </w:p>
    <w:p w14:paraId="0AB1C1CA">
      <w:pPr>
        <w:spacing w:line="360" w:lineRule="auto"/>
        <w:ind w:firstLine="421"/>
        <w:jc w:val="center"/>
        <w:rPr>
          <w:rFonts w:ascii="宋体" w:hAnsi="宋体"/>
          <w:color w:val="auto"/>
          <w:highlight w:val="none"/>
        </w:rPr>
      </w:pPr>
    </w:p>
    <w:p w14:paraId="2A741BB1">
      <w:pPr>
        <w:pStyle w:val="14"/>
        <w:rPr>
          <w:color w:val="auto"/>
          <w:highlight w:val="none"/>
        </w:rPr>
      </w:pPr>
    </w:p>
    <w:p w14:paraId="79312F30">
      <w:pPr>
        <w:spacing w:line="360" w:lineRule="auto"/>
        <w:ind w:firstLine="421"/>
        <w:jc w:val="center"/>
        <w:rPr>
          <w:rFonts w:ascii="宋体" w:hAnsi="宋体"/>
          <w:color w:val="auto"/>
          <w:highlight w:val="none"/>
        </w:rPr>
      </w:pPr>
    </w:p>
    <w:p w14:paraId="189E4B81">
      <w:pPr>
        <w:spacing w:line="480" w:lineRule="auto"/>
        <w:ind w:left="0" w:leftChars="0" w:right="-1" w:firstLine="1479" w:firstLineChars="493"/>
        <w:jc w:val="left"/>
        <w:rPr>
          <w:rFonts w:hint="eastAsia" w:ascii="宋体" w:hAnsi="宋体" w:eastAsia="宋体"/>
          <w:color w:val="auto"/>
          <w:sz w:val="30"/>
          <w:szCs w:val="30"/>
          <w:highlight w:val="none"/>
          <w:u w:val="single"/>
          <w:lang w:eastAsia="zh-CN"/>
        </w:rPr>
      </w:pPr>
      <w:r>
        <w:rPr>
          <w:rFonts w:hint="eastAsia" w:ascii="宋体" w:hAnsi="宋体"/>
          <w:color w:val="auto"/>
          <w:sz w:val="30"/>
          <w:szCs w:val="30"/>
          <w:highlight w:val="none"/>
        </w:rPr>
        <w:t>招标人：</w:t>
      </w:r>
      <w:r>
        <w:rPr>
          <w:rFonts w:hint="eastAsia" w:ascii="宋体" w:hAnsi="宋体"/>
          <w:color w:val="auto"/>
          <w:sz w:val="30"/>
          <w:szCs w:val="30"/>
          <w:highlight w:val="none"/>
          <w:u w:val="single"/>
        </w:rPr>
        <w:t>广东省野生动物监测救护中心</w:t>
      </w:r>
    </w:p>
    <w:p w14:paraId="23636414">
      <w:pPr>
        <w:tabs>
          <w:tab w:val="left" w:pos="6575"/>
        </w:tabs>
        <w:spacing w:line="360" w:lineRule="auto"/>
        <w:ind w:left="0" w:leftChars="0" w:firstLine="1479" w:firstLineChars="493"/>
        <w:jc w:val="left"/>
        <w:rPr>
          <w:rFonts w:hint="eastAsia" w:ascii="宋体" w:hAnsi="宋体" w:eastAsia="宋体"/>
          <w:color w:val="auto"/>
          <w:sz w:val="30"/>
          <w:szCs w:val="30"/>
          <w:highlight w:val="none"/>
          <w:lang w:eastAsia="zh-CN"/>
        </w:rPr>
      </w:pPr>
      <w:r>
        <w:rPr>
          <w:rFonts w:hint="eastAsia" w:ascii="宋体" w:hAnsi="宋体"/>
          <w:color w:val="auto"/>
          <w:sz w:val="30"/>
          <w:szCs w:val="30"/>
          <w:highlight w:val="none"/>
        </w:rPr>
        <w:t>招标代理机构：</w:t>
      </w:r>
      <w:r>
        <w:rPr>
          <w:rFonts w:hint="eastAsia" w:ascii="宋体" w:hAnsi="宋体"/>
          <w:color w:val="auto"/>
          <w:sz w:val="30"/>
          <w:szCs w:val="30"/>
          <w:highlight w:val="none"/>
          <w:u w:val="single"/>
        </w:rPr>
        <w:t>广东省国际工程咨询有限公司</w:t>
      </w:r>
    </w:p>
    <w:p w14:paraId="68721E0F">
      <w:pPr>
        <w:spacing w:line="360" w:lineRule="auto"/>
        <w:jc w:val="center"/>
        <w:rPr>
          <w:rFonts w:ascii="黑体" w:hAnsi="黑体" w:eastAsia="黑体" w:cs="宋体"/>
          <w:b/>
          <w:color w:val="auto"/>
          <w:kern w:val="0"/>
          <w:sz w:val="32"/>
          <w:szCs w:val="32"/>
          <w:highlight w:val="none"/>
        </w:rPr>
      </w:pPr>
      <w:r>
        <w:rPr>
          <w:rFonts w:hint="eastAsia" w:ascii="宋体" w:hAnsi="宋体"/>
          <w:color w:val="auto"/>
          <w:sz w:val="30"/>
          <w:szCs w:val="30"/>
          <w:highlight w:val="none"/>
          <w:u w:val="single"/>
          <w:lang w:val="en-US" w:eastAsia="zh-CN"/>
        </w:rPr>
        <w:t>2025</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6</w:t>
      </w:r>
      <w:r>
        <w:rPr>
          <w:rFonts w:hint="eastAsia" w:ascii="宋体" w:hAnsi="宋体"/>
          <w:color w:val="auto"/>
          <w:sz w:val="30"/>
          <w:szCs w:val="30"/>
          <w:highlight w:val="none"/>
        </w:rPr>
        <w:t>月</w:t>
      </w:r>
    </w:p>
    <w:p w14:paraId="0C23F468">
      <w:pPr>
        <w:widowControl/>
        <w:rPr>
          <w:rFonts w:ascii="黑体" w:hAnsi="黑体" w:eastAsia="黑体" w:cs="宋体"/>
          <w:b/>
          <w:color w:val="auto"/>
          <w:kern w:val="0"/>
          <w:sz w:val="32"/>
          <w:szCs w:val="32"/>
          <w:highlight w:val="none"/>
        </w:rPr>
        <w:sectPr>
          <w:footerReference r:id="rId3" w:type="default"/>
          <w:pgSz w:w="11906" w:h="16838"/>
          <w:pgMar w:top="1361" w:right="1803" w:bottom="1304" w:left="1803" w:header="851" w:footer="992" w:gutter="0"/>
          <w:cols w:space="720" w:num="1"/>
          <w:docGrid w:type="lines" w:linePitch="312" w:charSpace="0"/>
        </w:sectPr>
      </w:pPr>
    </w:p>
    <w:p w14:paraId="0A59B01B">
      <w:pPr>
        <w:spacing w:line="360" w:lineRule="auto"/>
        <w:outlineLvl w:val="1"/>
        <w:rPr>
          <w:rFonts w:ascii="宋体" w:hAnsi="宋体"/>
          <w:b/>
          <w:color w:val="auto"/>
          <w:sz w:val="32"/>
          <w:szCs w:val="24"/>
          <w:highlight w:val="none"/>
        </w:rPr>
      </w:pPr>
      <w:bookmarkStart w:id="1" w:name="_Toc515033010"/>
      <w:r>
        <w:rPr>
          <w:rFonts w:hint="eastAsia" w:ascii="宋体" w:hAnsi="宋体"/>
          <w:b/>
          <w:color w:val="auto"/>
          <w:sz w:val="32"/>
          <w:szCs w:val="24"/>
          <w:highlight w:val="none"/>
        </w:rPr>
        <w:t>1. 招标条件</w:t>
      </w:r>
      <w:bookmarkEnd w:id="1"/>
    </w:p>
    <w:p w14:paraId="0EFDB48D">
      <w:pPr>
        <w:tabs>
          <w:tab w:val="left" w:pos="7513"/>
        </w:tabs>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rPr>
        <w:t>国家林业和草原局穿山甲保护研究中心项目</w:t>
      </w:r>
      <w:r>
        <w:rPr>
          <w:rFonts w:hint="eastAsia" w:ascii="宋体" w:hAnsi="宋体" w:cs="宋体"/>
          <w:color w:val="auto"/>
          <w:sz w:val="24"/>
          <w:szCs w:val="24"/>
          <w:highlight w:val="none"/>
        </w:rPr>
        <w:t>已由</w:t>
      </w:r>
      <w:r>
        <w:rPr>
          <w:rFonts w:hint="eastAsia" w:ascii="宋体" w:hAnsi="宋体" w:cs="宋体"/>
          <w:color w:val="auto"/>
          <w:sz w:val="24"/>
          <w:szCs w:val="24"/>
          <w:highlight w:val="none"/>
          <w:u w:val="single"/>
          <w:lang w:val="en-US" w:eastAsia="zh-CN"/>
        </w:rPr>
        <w:t>广东省发展和改革委员会</w:t>
      </w:r>
      <w:r>
        <w:rPr>
          <w:rFonts w:hint="eastAsia" w:ascii="宋体" w:hAnsi="宋体" w:cs="宋体"/>
          <w:color w:val="auto"/>
          <w:sz w:val="24"/>
          <w:szCs w:val="24"/>
          <w:highlight w:val="none"/>
          <w:u w:val="none"/>
        </w:rPr>
        <w:t>以</w:t>
      </w:r>
      <w:r>
        <w:rPr>
          <w:rFonts w:hint="eastAsia" w:ascii="宋体" w:hAnsi="宋体" w:cs="宋体"/>
          <w:color w:val="auto"/>
          <w:sz w:val="24"/>
          <w:szCs w:val="24"/>
          <w:highlight w:val="none"/>
          <w:u w:val="single"/>
        </w:rPr>
        <w:t>粤发改投审〔2024〕14号</w:t>
      </w:r>
      <w:r>
        <w:rPr>
          <w:rFonts w:hint="eastAsia" w:ascii="宋体" w:hAnsi="宋体" w:cs="宋体"/>
          <w:color w:val="auto"/>
          <w:sz w:val="24"/>
          <w:szCs w:val="24"/>
          <w:highlight w:val="none"/>
        </w:rPr>
        <w:t>批准建设，项目业主为</w:t>
      </w:r>
      <w:r>
        <w:rPr>
          <w:rFonts w:hint="eastAsia" w:ascii="宋体" w:hAnsi="宋体" w:cs="宋体"/>
          <w:color w:val="auto"/>
          <w:sz w:val="24"/>
          <w:szCs w:val="24"/>
          <w:highlight w:val="none"/>
          <w:u w:val="single"/>
          <w:lang w:eastAsia="zh-CN"/>
        </w:rPr>
        <w:t>广东省野生动物监测救护中心</w:t>
      </w:r>
      <w:r>
        <w:rPr>
          <w:rFonts w:hint="eastAsia" w:ascii="宋体" w:hAnsi="宋体" w:cs="宋体"/>
          <w:color w:val="auto"/>
          <w:sz w:val="24"/>
          <w:szCs w:val="24"/>
          <w:highlight w:val="none"/>
        </w:rPr>
        <w:t>，建设资金来自财政资金（资金来源），出资比例为</w:t>
      </w:r>
      <w:r>
        <w:rPr>
          <w:rFonts w:hint="eastAsia" w:ascii="宋体" w:hAnsi="宋体" w:cs="宋体"/>
          <w:color w:val="auto"/>
          <w:sz w:val="24"/>
          <w:szCs w:val="24"/>
          <w:highlight w:val="none"/>
          <w:u w:val="single"/>
        </w:rPr>
        <w:t>100%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eastAsia="zh-CN"/>
        </w:rPr>
        <w:t>广东省野生动物监测救护中心</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rPr>
        <w:t>第三方检测</w:t>
      </w:r>
      <w:r>
        <w:rPr>
          <w:rFonts w:hint="eastAsia" w:ascii="宋体" w:hAnsi="宋体" w:cs="宋体"/>
          <w:color w:val="auto"/>
          <w:sz w:val="24"/>
          <w:szCs w:val="24"/>
          <w:highlight w:val="none"/>
          <w:u w:val="single"/>
          <w:lang w:val="en-US" w:eastAsia="zh-CN"/>
        </w:rPr>
        <w:t>监测</w:t>
      </w:r>
      <w:r>
        <w:rPr>
          <w:rFonts w:hint="eastAsia" w:ascii="宋体" w:hAnsi="宋体" w:cs="宋体"/>
          <w:color w:val="auto"/>
          <w:sz w:val="24"/>
          <w:szCs w:val="24"/>
          <w:highlight w:val="none"/>
        </w:rPr>
        <w:t>进行公开招标。</w:t>
      </w:r>
    </w:p>
    <w:p w14:paraId="377D5257">
      <w:pPr>
        <w:spacing w:line="360" w:lineRule="auto"/>
        <w:ind w:firstLine="480" w:firstLineChars="200"/>
        <w:rPr>
          <w:rFonts w:ascii="宋体" w:hAnsi="宋体" w:cs="宋体"/>
          <w:color w:val="auto"/>
          <w:sz w:val="24"/>
          <w:szCs w:val="24"/>
          <w:highlight w:val="none"/>
          <w:u w:val="single"/>
        </w:rPr>
      </w:pPr>
    </w:p>
    <w:p w14:paraId="1393A938">
      <w:pPr>
        <w:spacing w:line="360" w:lineRule="auto"/>
        <w:outlineLvl w:val="1"/>
        <w:rPr>
          <w:rFonts w:ascii="宋体" w:hAnsi="宋体"/>
          <w:b/>
          <w:color w:val="auto"/>
          <w:sz w:val="32"/>
          <w:szCs w:val="24"/>
          <w:highlight w:val="none"/>
        </w:rPr>
      </w:pPr>
      <w:r>
        <w:rPr>
          <w:rFonts w:hint="eastAsia" w:ascii="宋体" w:hAnsi="宋体"/>
          <w:b/>
          <w:color w:val="auto"/>
          <w:sz w:val="32"/>
          <w:szCs w:val="24"/>
          <w:highlight w:val="none"/>
        </w:rPr>
        <w:t>2. 项目概况与招标范围</w:t>
      </w:r>
    </w:p>
    <w:p w14:paraId="280562C5">
      <w:pPr>
        <w:tabs>
          <w:tab w:val="left" w:pos="7513"/>
        </w:tabs>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2.1招标项目概况</w:t>
      </w:r>
    </w:p>
    <w:p w14:paraId="18D53582">
      <w:pPr>
        <w:tabs>
          <w:tab w:val="left" w:pos="7513"/>
        </w:tabs>
        <w:spacing w:line="360" w:lineRule="auto"/>
        <w:ind w:firstLine="424" w:firstLineChars="177"/>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rPr>
        <w:t>2.1.1 招标项目名称：</w:t>
      </w:r>
      <w:r>
        <w:rPr>
          <w:rFonts w:hint="eastAsia" w:ascii="宋体" w:hAnsi="宋体" w:cs="宋体"/>
          <w:color w:val="auto"/>
          <w:sz w:val="24"/>
          <w:szCs w:val="24"/>
          <w:highlight w:val="none"/>
          <w:u w:val="single"/>
          <w:lang w:eastAsia="zh-CN"/>
        </w:rPr>
        <w:t>国家林业和草原局穿山甲保护研究中心项目第三方检测、监测服务（第二次）</w:t>
      </w:r>
    </w:p>
    <w:p w14:paraId="1E9BC2D0">
      <w:pPr>
        <w:tabs>
          <w:tab w:val="left" w:pos="7513"/>
        </w:tabs>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2.1.2 工程建设规模：</w:t>
      </w:r>
      <w:r>
        <w:rPr>
          <w:rFonts w:hint="eastAsia" w:ascii="宋体" w:hAnsi="宋体" w:cs="宋体"/>
          <w:color w:val="auto"/>
          <w:sz w:val="24"/>
          <w:szCs w:val="24"/>
          <w:highlight w:val="none"/>
          <w:u w:val="single"/>
        </w:rPr>
        <w:t>本项目包括“山上”“山下”两地块，其中：</w:t>
      </w:r>
    </w:p>
    <w:p w14:paraId="52610E6A">
      <w:pPr>
        <w:tabs>
          <w:tab w:val="left" w:pos="7513"/>
        </w:tabs>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山上：本地块地势较为陡峭，海拔61m至103m。包括：综合研究楼1栋、值班楼1栋、人工繁育A楼一栋、人工繁育B楼一栋、隔离救治楼一栋，总建筑面积9829.43平方米，建筑层数地上3层，建筑总高度17.9米，最大单跨跨度20.05米。</w:t>
      </w:r>
    </w:p>
    <w:p w14:paraId="7C0B9215">
      <w:pPr>
        <w:tabs>
          <w:tab w:val="left" w:pos="7513"/>
        </w:tabs>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山下：本地块地势较为平缓，海拔33m至47m。包括：科普服务楼1栋、配套楼1栋、宣教笼舍楼1栋，总建筑面积8286.57平方米（其中地下2294.40平方米，地上5992.17平方米）。建筑层数地上4层，地下1层，建筑总高度19.8米，最大单跨跨度11.3米。</w:t>
      </w:r>
    </w:p>
    <w:p w14:paraId="60FFBD10">
      <w:pPr>
        <w:tabs>
          <w:tab w:val="left" w:pos="7513"/>
        </w:tabs>
        <w:spacing w:line="360" w:lineRule="auto"/>
        <w:ind w:firstLine="424" w:firstLineChars="177"/>
        <w:rPr>
          <w:rFonts w:hint="default"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基坑安全等级</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垂直支护段为二级,放坡段为三级</w:t>
      </w:r>
      <w:r>
        <w:rPr>
          <w:rFonts w:hint="eastAsia" w:ascii="宋体" w:hAnsi="宋体" w:cs="宋体"/>
          <w:color w:val="auto"/>
          <w:sz w:val="24"/>
          <w:szCs w:val="24"/>
          <w:highlight w:val="none"/>
          <w:u w:val="single"/>
          <w:lang w:eastAsia="zh-CN"/>
        </w:rPr>
        <w:t>；地基基础设计等级最高为乙级</w:t>
      </w:r>
      <w:r>
        <w:rPr>
          <w:rFonts w:hint="eastAsia" w:ascii="宋体" w:hAnsi="宋体" w:cs="宋体"/>
          <w:color w:val="auto"/>
          <w:sz w:val="24"/>
          <w:szCs w:val="24"/>
          <w:highlight w:val="none"/>
          <w:u w:val="single"/>
          <w:lang w:val="en-US" w:eastAsia="zh-CN"/>
        </w:rPr>
        <w:t>。</w:t>
      </w:r>
    </w:p>
    <w:p w14:paraId="3F298574">
      <w:pPr>
        <w:tabs>
          <w:tab w:val="left" w:pos="7513"/>
        </w:tabs>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2.1.3 工程建设地点：</w:t>
      </w:r>
      <w:r>
        <w:rPr>
          <w:rFonts w:hint="eastAsia" w:ascii="宋体" w:hAnsi="宋体" w:cs="宋体"/>
          <w:bCs/>
          <w:color w:val="auto"/>
          <w:sz w:val="24"/>
          <w:szCs w:val="24"/>
          <w:highlight w:val="none"/>
          <w:u w:val="single"/>
        </w:rPr>
        <w:t>广州市天河区凤凰街道渔沙坦村</w:t>
      </w:r>
      <w:r>
        <w:rPr>
          <w:rFonts w:hint="eastAsia" w:ascii="宋体" w:hAnsi="宋体" w:cs="宋体"/>
          <w:color w:val="auto"/>
          <w:sz w:val="24"/>
          <w:szCs w:val="24"/>
          <w:highlight w:val="none"/>
          <w:u w:val="single"/>
          <w:lang w:eastAsia="zh-CN"/>
        </w:rPr>
        <w:t>。</w:t>
      </w:r>
    </w:p>
    <w:p w14:paraId="52F1CFE4">
      <w:pPr>
        <w:tabs>
          <w:tab w:val="left" w:pos="7513"/>
        </w:tabs>
        <w:spacing w:line="360" w:lineRule="auto"/>
        <w:ind w:firstLine="424" w:firstLineChars="177"/>
        <w:rPr>
          <w:rFonts w:ascii="宋体" w:hAnsi="宋体"/>
          <w:color w:val="auto"/>
          <w:szCs w:val="21"/>
          <w:highlight w:val="none"/>
          <w:u w:val="single"/>
        </w:rPr>
      </w:pPr>
      <w:r>
        <w:rPr>
          <w:rFonts w:hint="eastAsia" w:ascii="宋体" w:hAnsi="宋体" w:cs="宋体"/>
          <w:color w:val="auto"/>
          <w:sz w:val="24"/>
          <w:szCs w:val="24"/>
          <w:highlight w:val="none"/>
        </w:rPr>
        <w:t>2.1.4 工程投资额：</w:t>
      </w:r>
      <w:r>
        <w:rPr>
          <w:rFonts w:hint="eastAsia" w:ascii="宋体" w:hAnsi="宋体" w:cs="宋体"/>
          <w:color w:val="auto"/>
          <w:sz w:val="24"/>
          <w:szCs w:val="24"/>
          <w:highlight w:val="none"/>
          <w:u w:val="single"/>
        </w:rPr>
        <w:t>本项目总投资为25251万元，其中建筑安装工程费用16,861.94</w:t>
      </w:r>
      <w:r>
        <w:rPr>
          <w:rFonts w:hint="eastAsia" w:ascii="宋体" w:hAnsi="宋体" w:cs="宋体"/>
          <w:color w:val="auto"/>
          <w:sz w:val="24"/>
          <w:szCs w:val="24"/>
          <w:highlight w:val="none"/>
          <w:u w:val="single"/>
          <w:lang w:val="en-US" w:eastAsia="zh-CN"/>
        </w:rPr>
        <w:t>万</w:t>
      </w:r>
      <w:r>
        <w:rPr>
          <w:rFonts w:hint="eastAsia" w:ascii="宋体" w:hAnsi="宋体" w:cs="宋体"/>
          <w:color w:val="auto"/>
          <w:sz w:val="24"/>
          <w:szCs w:val="24"/>
          <w:highlight w:val="none"/>
          <w:u w:val="single"/>
        </w:rPr>
        <w:t>元。</w:t>
      </w:r>
    </w:p>
    <w:p w14:paraId="27C41D8E">
      <w:pPr>
        <w:tabs>
          <w:tab w:val="left" w:pos="7513"/>
        </w:tabs>
        <w:spacing w:line="360" w:lineRule="auto"/>
        <w:ind w:firstLine="424" w:firstLineChars="177"/>
        <w:rPr>
          <w:rFonts w:ascii="宋体" w:hAnsi="宋体" w:cs="宋体"/>
          <w:color w:val="auto"/>
          <w:sz w:val="24"/>
          <w:szCs w:val="24"/>
          <w:highlight w:val="none"/>
        </w:rPr>
      </w:pPr>
      <w:bookmarkStart w:id="2" w:name="_Toc515033012"/>
      <w:r>
        <w:rPr>
          <w:rFonts w:hint="eastAsia" w:ascii="宋体" w:hAnsi="宋体" w:cs="宋体"/>
          <w:color w:val="auto"/>
          <w:sz w:val="24"/>
          <w:szCs w:val="24"/>
          <w:highlight w:val="none"/>
        </w:rPr>
        <w:t>2.1.5 资金来源：</w:t>
      </w:r>
      <w:r>
        <w:rPr>
          <w:rFonts w:hint="eastAsia" w:ascii="宋体" w:hAnsi="宋体" w:cs="宋体"/>
          <w:color w:val="auto"/>
          <w:sz w:val="24"/>
          <w:szCs w:val="24"/>
          <w:highlight w:val="none"/>
          <w:u w:val="single"/>
        </w:rPr>
        <w:t>中央资金及省级财政资金。</w:t>
      </w:r>
    </w:p>
    <w:p w14:paraId="3CC54948">
      <w:pPr>
        <w:tabs>
          <w:tab w:val="left" w:pos="7513"/>
        </w:tabs>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2.2招标范围</w:t>
      </w:r>
    </w:p>
    <w:p w14:paraId="29B75BB6">
      <w:pPr>
        <w:tabs>
          <w:tab w:val="left" w:pos="7513"/>
        </w:tabs>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2.2.1 标段划分：本项目分为</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个标段。</w:t>
      </w:r>
    </w:p>
    <w:p w14:paraId="0B7DDD16">
      <w:pPr>
        <w:spacing w:line="360" w:lineRule="auto"/>
        <w:ind w:firstLine="424" w:firstLineChars="177"/>
        <w:rPr>
          <w:rFonts w:hint="eastAsia" w:ascii="宋体" w:hAnsi="宋体"/>
          <w:color w:val="auto"/>
          <w:sz w:val="24"/>
          <w:szCs w:val="24"/>
          <w:highlight w:val="none"/>
          <w:u w:val="single"/>
        </w:rPr>
      </w:pPr>
      <w:r>
        <w:rPr>
          <w:rFonts w:hint="eastAsia" w:ascii="宋体" w:hAnsi="宋体" w:cs="宋体"/>
          <w:color w:val="auto"/>
          <w:sz w:val="24"/>
          <w:szCs w:val="24"/>
          <w:highlight w:val="none"/>
        </w:rPr>
        <w:t>2.2.2 招标范围：</w:t>
      </w:r>
      <w:r>
        <w:rPr>
          <w:rFonts w:hint="eastAsia" w:ascii="宋体" w:hAnsi="宋体" w:cs="宋体"/>
          <w:color w:val="auto"/>
          <w:sz w:val="24"/>
          <w:szCs w:val="24"/>
          <w:highlight w:val="none"/>
          <w:u w:val="single"/>
        </w:rPr>
        <w:t>依据施工图及相关规范要求，开展工程第三方检测</w:t>
      </w:r>
      <w:r>
        <w:rPr>
          <w:rFonts w:hint="eastAsia" w:ascii="宋体" w:hAnsi="宋体" w:cs="宋体"/>
          <w:color w:val="auto"/>
          <w:sz w:val="24"/>
          <w:szCs w:val="24"/>
          <w:highlight w:val="none"/>
          <w:u w:val="single"/>
          <w:lang w:val="en-US" w:eastAsia="zh-CN"/>
        </w:rPr>
        <w:t>监测</w:t>
      </w:r>
      <w:r>
        <w:rPr>
          <w:rFonts w:hint="eastAsia" w:ascii="宋体" w:hAnsi="宋体" w:cs="宋体"/>
          <w:color w:val="auto"/>
          <w:sz w:val="24"/>
          <w:szCs w:val="24"/>
          <w:highlight w:val="none"/>
          <w:u w:val="single"/>
        </w:rPr>
        <w:t>工作，具体以施工图纸、检测</w:t>
      </w:r>
      <w:r>
        <w:rPr>
          <w:rFonts w:hint="eastAsia" w:ascii="宋体" w:hAnsi="宋体" w:cs="宋体"/>
          <w:color w:val="auto"/>
          <w:sz w:val="24"/>
          <w:szCs w:val="24"/>
          <w:highlight w:val="none"/>
          <w:u w:val="single"/>
          <w:lang w:val="en-US" w:eastAsia="zh-CN"/>
        </w:rPr>
        <w:t>和监测</w:t>
      </w:r>
      <w:r>
        <w:rPr>
          <w:rFonts w:hint="eastAsia" w:ascii="宋体" w:hAnsi="宋体" w:cs="宋体"/>
          <w:color w:val="auto"/>
          <w:sz w:val="24"/>
          <w:szCs w:val="24"/>
          <w:highlight w:val="none"/>
          <w:u w:val="single"/>
        </w:rPr>
        <w:t>规范及主管部门要求为准。施工及验收阶段相关的第三方检测监测包括但不限于</w:t>
      </w:r>
      <w:r>
        <w:rPr>
          <w:rFonts w:hint="eastAsia" w:ascii="宋体" w:hAnsi="宋体" w:cs="宋体"/>
          <w:color w:val="auto"/>
          <w:sz w:val="24"/>
          <w:szCs w:val="24"/>
          <w:highlight w:val="none"/>
          <w:u w:val="single"/>
          <w:lang w:val="en-US" w:eastAsia="zh-CN"/>
        </w:rPr>
        <w:t>见证取样检测、</w:t>
      </w:r>
      <w:r>
        <w:rPr>
          <w:rFonts w:hint="eastAsia" w:ascii="宋体" w:hAnsi="宋体" w:cs="宋体"/>
          <w:color w:val="auto"/>
          <w:sz w:val="24"/>
          <w:szCs w:val="24"/>
          <w:highlight w:val="none"/>
          <w:u w:val="single"/>
        </w:rPr>
        <w:t>基坑支护</w:t>
      </w:r>
      <w:r>
        <w:rPr>
          <w:rFonts w:hint="eastAsia" w:ascii="宋体" w:hAnsi="宋体" w:cs="宋体"/>
          <w:color w:val="auto"/>
          <w:sz w:val="24"/>
          <w:szCs w:val="24"/>
          <w:highlight w:val="none"/>
          <w:u w:val="single"/>
          <w:lang w:val="en-US" w:eastAsia="zh-CN"/>
        </w:rPr>
        <w:t>检测</w:t>
      </w:r>
      <w:r>
        <w:rPr>
          <w:rFonts w:hint="eastAsia" w:ascii="宋体" w:hAnsi="宋体" w:cs="宋体"/>
          <w:color w:val="auto"/>
          <w:sz w:val="24"/>
          <w:szCs w:val="24"/>
          <w:highlight w:val="none"/>
          <w:u w:val="single"/>
        </w:rPr>
        <w:t>、地基基础检测</w:t>
      </w:r>
      <w:r>
        <w:rPr>
          <w:rFonts w:hint="eastAsia" w:ascii="宋体" w:hAnsi="宋体" w:cs="宋体"/>
          <w:color w:val="auto"/>
          <w:sz w:val="24"/>
          <w:szCs w:val="24"/>
          <w:highlight w:val="none"/>
          <w:u w:val="single"/>
          <w:lang w:eastAsia="zh-CN"/>
        </w:rPr>
        <w:t>、主体结构</w:t>
      </w:r>
      <w:r>
        <w:rPr>
          <w:rFonts w:hint="eastAsia" w:ascii="宋体" w:hAnsi="宋体" w:cs="宋体"/>
          <w:color w:val="auto"/>
          <w:sz w:val="24"/>
          <w:szCs w:val="24"/>
          <w:highlight w:val="none"/>
          <w:u w:val="single"/>
          <w:lang w:val="en-US" w:eastAsia="zh-CN"/>
        </w:rPr>
        <w:t>检测</w:t>
      </w:r>
      <w:r>
        <w:rPr>
          <w:rFonts w:hint="eastAsia" w:ascii="宋体" w:hAnsi="宋体" w:cs="宋体"/>
          <w:color w:val="auto"/>
          <w:sz w:val="24"/>
          <w:szCs w:val="24"/>
          <w:highlight w:val="none"/>
          <w:u w:val="single"/>
          <w:lang w:eastAsia="zh-CN"/>
        </w:rPr>
        <w:t>、建筑材料检测、园林</w:t>
      </w:r>
      <w:r>
        <w:rPr>
          <w:rFonts w:hint="eastAsia" w:ascii="宋体" w:hAnsi="宋体" w:cs="宋体"/>
          <w:color w:val="auto"/>
          <w:sz w:val="24"/>
          <w:szCs w:val="24"/>
          <w:highlight w:val="none"/>
          <w:u w:val="single"/>
          <w:lang w:val="en-US" w:eastAsia="zh-CN"/>
        </w:rPr>
        <w:t>工程</w:t>
      </w:r>
      <w:r>
        <w:rPr>
          <w:rFonts w:hint="eastAsia" w:ascii="宋体" w:hAnsi="宋体" w:cs="宋体"/>
          <w:color w:val="auto"/>
          <w:sz w:val="24"/>
          <w:szCs w:val="24"/>
          <w:highlight w:val="none"/>
          <w:u w:val="single"/>
          <w:lang w:eastAsia="zh-CN"/>
        </w:rPr>
        <w:t>检测、建筑节能检测、建筑门窗幕墙检测、建筑智能</w:t>
      </w:r>
      <w:r>
        <w:rPr>
          <w:rFonts w:hint="eastAsia" w:ascii="宋体" w:hAnsi="宋体" w:cs="宋体"/>
          <w:color w:val="auto"/>
          <w:sz w:val="24"/>
          <w:szCs w:val="24"/>
          <w:highlight w:val="none"/>
          <w:u w:val="single"/>
          <w:lang w:val="en-US" w:eastAsia="zh-CN"/>
        </w:rPr>
        <w:t>检测</w:t>
      </w:r>
      <w:r>
        <w:rPr>
          <w:rFonts w:hint="eastAsia" w:ascii="宋体" w:hAnsi="宋体" w:cs="宋体"/>
          <w:color w:val="auto"/>
          <w:sz w:val="24"/>
          <w:szCs w:val="24"/>
          <w:highlight w:val="none"/>
          <w:u w:val="single"/>
          <w:lang w:eastAsia="zh-CN"/>
        </w:rPr>
        <w:t>、防雷</w:t>
      </w:r>
      <w:r>
        <w:rPr>
          <w:rFonts w:hint="eastAsia" w:ascii="宋体" w:hAnsi="宋体" w:cs="宋体"/>
          <w:color w:val="auto"/>
          <w:sz w:val="24"/>
          <w:szCs w:val="24"/>
          <w:highlight w:val="none"/>
          <w:u w:val="single"/>
          <w:lang w:val="en-US" w:eastAsia="zh-CN"/>
        </w:rPr>
        <w:t>检测</w:t>
      </w:r>
      <w:r>
        <w:rPr>
          <w:rFonts w:hint="eastAsia" w:ascii="宋体" w:hAnsi="宋体" w:cs="宋体"/>
          <w:color w:val="auto"/>
          <w:sz w:val="24"/>
          <w:szCs w:val="24"/>
          <w:highlight w:val="none"/>
          <w:u w:val="single"/>
          <w:lang w:eastAsia="zh-CN"/>
        </w:rPr>
        <w:t>、电气检测、建筑环境检测、管道检测、消防设施检测、主体沉降监测、高支模监测、基坑监测</w:t>
      </w:r>
      <w:r>
        <w:rPr>
          <w:rFonts w:hint="eastAsia" w:ascii="宋体" w:hAnsi="宋体" w:cs="宋体"/>
          <w:color w:val="auto"/>
          <w:sz w:val="24"/>
          <w:szCs w:val="24"/>
          <w:highlight w:val="none"/>
          <w:u w:val="single"/>
        </w:rPr>
        <w:t>等按规范和验收要求必须检测和监测的项目。</w:t>
      </w:r>
      <w:r>
        <w:rPr>
          <w:rFonts w:hint="eastAsia" w:ascii="宋体" w:hAnsi="宋体"/>
          <w:color w:val="auto"/>
          <w:sz w:val="24"/>
          <w:szCs w:val="24"/>
          <w:highlight w:val="none"/>
          <w:u w:val="single"/>
        </w:rPr>
        <w:t>具体检测监测项目以本项目清单、设计图纸及有关规范要求为准。服务范围除以上工作外，还包括但不限于以下内容：</w:t>
      </w:r>
    </w:p>
    <w:p w14:paraId="7D5D6F38">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1）与工程所在行政区域的相关建设行政主管部门和监督部门所进行的协调工作，且合同价中已经综合考虑了该项协调工作的费用。如申报检测监测技术成果的审批，保证技术成果能够通过相关部门认可，确保不因检测监测工作影响本工程项目的建设进度和竣工验收。</w:t>
      </w:r>
    </w:p>
    <w:p w14:paraId="2FC1AA55">
      <w:pPr>
        <w:spacing w:line="360" w:lineRule="auto"/>
        <w:ind w:firstLine="424" w:firstLineChars="177"/>
        <w:rPr>
          <w:rFonts w:hint="eastAsia" w:ascii="宋体" w:hAnsi="宋体"/>
          <w:color w:val="auto"/>
          <w:sz w:val="24"/>
          <w:szCs w:val="24"/>
          <w:highlight w:val="none"/>
          <w:u w:val="single"/>
        </w:rPr>
      </w:pPr>
      <w:r>
        <w:rPr>
          <w:rFonts w:hint="eastAsia" w:ascii="宋体" w:hAnsi="宋体"/>
          <w:color w:val="auto"/>
          <w:sz w:val="24"/>
          <w:szCs w:val="24"/>
          <w:highlight w:val="none"/>
          <w:u w:val="single"/>
        </w:rPr>
        <w:t>（2）在进行检测监测任务的过程中与该工程相关的施工单位、监理单位、设计单位、业主、建设管理单位、建设主管部门等相关单位的协调工作，且合同价中已经综合考虑了该项协调工作的费用。</w:t>
      </w:r>
    </w:p>
    <w:p w14:paraId="35E711E7">
      <w:pPr>
        <w:spacing w:line="360" w:lineRule="auto"/>
        <w:ind w:firstLine="424" w:firstLineChars="177"/>
        <w:rPr>
          <w:rFonts w:hint="eastAsia" w:ascii="宋体" w:hAnsi="宋体" w:eastAsia="宋体"/>
          <w:color w:val="auto"/>
          <w:sz w:val="24"/>
          <w:szCs w:val="24"/>
          <w:highlight w:val="none"/>
          <w:u w:val="single"/>
        </w:rPr>
      </w:pPr>
      <w:r>
        <w:rPr>
          <w:rFonts w:hint="eastAsia" w:ascii="宋体" w:hAnsi="宋体"/>
          <w:color w:val="auto"/>
          <w:sz w:val="24"/>
          <w:szCs w:val="24"/>
          <w:highlight w:val="none"/>
          <w:u w:val="single"/>
        </w:rPr>
        <w:t>（3）因按相关规定须与行业、行政监督部门传输报送检测监测数据信息的工作，</w:t>
      </w:r>
      <w:r>
        <w:rPr>
          <w:rFonts w:hint="eastAsia" w:ascii="宋体" w:hAnsi="宋体" w:eastAsia="宋体"/>
          <w:color w:val="auto"/>
          <w:sz w:val="24"/>
          <w:szCs w:val="24"/>
          <w:highlight w:val="none"/>
          <w:u w:val="single"/>
        </w:rPr>
        <w:t>且合同价中已经综合考虑了该项协调工作的费用。</w:t>
      </w:r>
    </w:p>
    <w:p w14:paraId="45D14D7C">
      <w:pPr>
        <w:spacing w:line="360" w:lineRule="auto"/>
        <w:ind w:firstLine="424" w:firstLineChars="177"/>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（4）根据相关规范和标准、主管部门文件的规定以及设计图纸的有关要求，结合工程实际情况编制相关项目的《检测监测方案》，并报质监部门备案（如需要）。</w:t>
      </w:r>
    </w:p>
    <w:p w14:paraId="7586955B">
      <w:pPr>
        <w:spacing w:line="360" w:lineRule="auto"/>
        <w:ind w:firstLine="424" w:firstLineChars="177"/>
        <w:rPr>
          <w:rFonts w:ascii="宋体" w:hAnsi="宋体" w:cs="宋体"/>
          <w:color w:val="auto"/>
          <w:sz w:val="24"/>
          <w:highlight w:val="none"/>
          <w:u w:val="single"/>
        </w:rPr>
      </w:pPr>
      <w:r>
        <w:rPr>
          <w:rFonts w:hint="eastAsia" w:ascii="宋体" w:hAnsi="宋体" w:eastAsia="宋体"/>
          <w:color w:val="auto"/>
          <w:sz w:val="24"/>
          <w:szCs w:val="24"/>
          <w:highlight w:val="none"/>
          <w:u w:val="single"/>
        </w:rPr>
        <w:t>（5）负责检测、监测的工程质量需符合《建设工程质量管理条例》等国家相关管理要求。</w:t>
      </w:r>
    </w:p>
    <w:p w14:paraId="120FD39A">
      <w:pPr>
        <w:pStyle w:val="14"/>
        <w:spacing w:after="0" w:line="360" w:lineRule="auto"/>
        <w:ind w:left="0" w:leftChars="0" w:firstLine="424" w:firstLineChars="177"/>
        <w:rPr>
          <w:rFonts w:ascii="宋体" w:hAnsi="宋体" w:cs="宋体"/>
          <w:b/>
          <w:bCs/>
          <w:color w:val="auto"/>
          <w:sz w:val="24"/>
          <w:highlight w:val="none"/>
          <w:u w:val="single"/>
        </w:rPr>
      </w:pPr>
      <w:r>
        <w:rPr>
          <w:rFonts w:hint="eastAsia" w:ascii="宋体" w:hAnsi="宋体" w:cs="宋体"/>
          <w:color w:val="auto"/>
          <w:sz w:val="24"/>
          <w:highlight w:val="none"/>
          <w:u w:val="single"/>
        </w:rPr>
        <w:t>（具体以招标文件、施工图纸、检测</w:t>
      </w:r>
      <w:r>
        <w:rPr>
          <w:rFonts w:hint="eastAsia" w:ascii="宋体" w:hAnsi="宋体" w:cs="宋体"/>
          <w:color w:val="auto"/>
          <w:sz w:val="24"/>
          <w:highlight w:val="none"/>
          <w:u w:val="single"/>
          <w:lang w:val="en-US" w:eastAsia="zh-CN"/>
        </w:rPr>
        <w:t>监测</w:t>
      </w:r>
      <w:r>
        <w:rPr>
          <w:rFonts w:hint="eastAsia" w:ascii="宋体" w:hAnsi="宋体" w:cs="宋体"/>
          <w:color w:val="auto"/>
          <w:sz w:val="24"/>
          <w:highlight w:val="none"/>
          <w:u w:val="single"/>
        </w:rPr>
        <w:t>方案为准）。</w:t>
      </w:r>
    </w:p>
    <w:p w14:paraId="09D41FC3">
      <w:pPr>
        <w:tabs>
          <w:tab w:val="left" w:pos="7513"/>
        </w:tabs>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2.2.3 服务期限：</w:t>
      </w:r>
      <w:r>
        <w:rPr>
          <w:rFonts w:hint="eastAsia" w:ascii="宋体" w:hAnsi="宋体" w:eastAsia="宋体" w:cs="Times New Roman"/>
          <w:color w:val="auto"/>
          <w:sz w:val="24"/>
          <w:szCs w:val="24"/>
          <w:highlight w:val="none"/>
          <w:u w:val="single"/>
        </w:rPr>
        <w:t>从</w:t>
      </w:r>
      <w:r>
        <w:rPr>
          <w:rFonts w:hint="eastAsia" w:ascii="宋体" w:hAnsi="宋体" w:eastAsia="宋体" w:cs="Times New Roman"/>
          <w:color w:val="auto"/>
          <w:sz w:val="24"/>
          <w:szCs w:val="24"/>
          <w:highlight w:val="none"/>
          <w:u w:val="single"/>
          <w:lang w:eastAsia="zh-CN"/>
        </w:rPr>
        <w:t>中标</w:t>
      </w:r>
      <w:r>
        <w:rPr>
          <w:rFonts w:hint="eastAsia" w:ascii="宋体" w:hAnsi="宋体" w:eastAsia="宋体" w:cs="Times New Roman"/>
          <w:color w:val="auto"/>
          <w:sz w:val="24"/>
          <w:szCs w:val="24"/>
          <w:highlight w:val="none"/>
          <w:u w:val="single"/>
          <w:lang w:val="en-US" w:eastAsia="zh-CN"/>
        </w:rPr>
        <w:t>人</w:t>
      </w:r>
      <w:r>
        <w:rPr>
          <w:rFonts w:hint="eastAsia" w:ascii="宋体" w:hAnsi="宋体" w:eastAsia="宋体" w:cs="Times New Roman"/>
          <w:color w:val="auto"/>
          <w:sz w:val="24"/>
          <w:szCs w:val="24"/>
          <w:highlight w:val="none"/>
          <w:u w:val="single"/>
        </w:rPr>
        <w:t>进场至完成所有检测监测项目且技术成果通过审批，服务周期必须满足实际施工及验收要求，且</w:t>
      </w:r>
      <w:r>
        <w:rPr>
          <w:rFonts w:hint="eastAsia" w:ascii="宋体" w:hAnsi="宋体" w:eastAsia="宋体" w:cs="Times New Roman"/>
          <w:color w:val="auto"/>
          <w:sz w:val="24"/>
          <w:szCs w:val="24"/>
          <w:highlight w:val="none"/>
          <w:u w:val="single"/>
          <w:lang w:eastAsia="zh-CN"/>
        </w:rPr>
        <w:t>招标人</w:t>
      </w:r>
      <w:r>
        <w:rPr>
          <w:rFonts w:hint="eastAsia" w:ascii="宋体" w:hAnsi="宋体" w:eastAsia="宋体" w:cs="Times New Roman"/>
          <w:color w:val="auto"/>
          <w:sz w:val="24"/>
          <w:szCs w:val="24"/>
          <w:highlight w:val="none"/>
          <w:u w:val="single"/>
        </w:rPr>
        <w:t>有权根据工程实际需要调整工期及验收时间，</w:t>
      </w:r>
      <w:r>
        <w:rPr>
          <w:rFonts w:hint="eastAsia" w:ascii="宋体" w:hAnsi="宋体" w:eastAsia="宋体" w:cs="Times New Roman"/>
          <w:color w:val="auto"/>
          <w:sz w:val="24"/>
          <w:szCs w:val="24"/>
          <w:highlight w:val="none"/>
          <w:u w:val="single"/>
          <w:lang w:eastAsia="zh-CN"/>
        </w:rPr>
        <w:t>中标</w:t>
      </w:r>
      <w:r>
        <w:rPr>
          <w:rFonts w:hint="eastAsia" w:ascii="宋体" w:hAnsi="宋体" w:eastAsia="宋体" w:cs="Times New Roman"/>
          <w:color w:val="auto"/>
          <w:sz w:val="24"/>
          <w:szCs w:val="24"/>
          <w:highlight w:val="none"/>
          <w:u w:val="single"/>
          <w:lang w:val="en-US" w:eastAsia="zh-CN"/>
        </w:rPr>
        <w:t>人</w:t>
      </w:r>
      <w:r>
        <w:rPr>
          <w:rFonts w:hint="eastAsia" w:ascii="宋体" w:hAnsi="宋体" w:eastAsia="宋体" w:cs="Times New Roman"/>
          <w:color w:val="auto"/>
          <w:sz w:val="24"/>
          <w:szCs w:val="24"/>
          <w:highlight w:val="none"/>
          <w:u w:val="single"/>
        </w:rPr>
        <w:t>需配合</w:t>
      </w:r>
      <w:r>
        <w:rPr>
          <w:rFonts w:hint="eastAsia" w:ascii="宋体" w:hAnsi="宋体" w:eastAsia="宋体" w:cs="Times New Roman"/>
          <w:color w:val="auto"/>
          <w:sz w:val="24"/>
          <w:szCs w:val="24"/>
          <w:highlight w:val="none"/>
          <w:u w:val="single"/>
          <w:lang w:eastAsia="zh-CN"/>
        </w:rPr>
        <w:t>招标人</w:t>
      </w:r>
      <w:r>
        <w:rPr>
          <w:rFonts w:hint="eastAsia" w:ascii="宋体" w:hAnsi="宋体" w:eastAsia="宋体" w:cs="Times New Roman"/>
          <w:color w:val="auto"/>
          <w:sz w:val="24"/>
          <w:szCs w:val="24"/>
          <w:highlight w:val="none"/>
          <w:u w:val="single"/>
        </w:rPr>
        <w:t>的调整作出相应的执行计划。</w:t>
      </w:r>
      <w:r>
        <w:rPr>
          <w:rFonts w:hint="eastAsia" w:ascii="宋体" w:hAnsi="宋体" w:eastAsia="宋体"/>
          <w:color w:val="auto"/>
          <w:sz w:val="24"/>
          <w:szCs w:val="24"/>
          <w:highlight w:val="none"/>
          <w:u w:val="single"/>
        </w:rPr>
        <w:t>进场日期以招标人通知时间为准。</w:t>
      </w:r>
    </w:p>
    <w:p w14:paraId="5BC9E903">
      <w:pPr>
        <w:tabs>
          <w:tab w:val="left" w:pos="7513"/>
        </w:tabs>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检测</w:t>
      </w:r>
      <w:r>
        <w:rPr>
          <w:rFonts w:hint="eastAsia" w:ascii="宋体" w:hAnsi="宋体" w:eastAsia="宋体" w:cs="宋体"/>
          <w:color w:val="auto"/>
          <w:sz w:val="24"/>
          <w:szCs w:val="24"/>
          <w:highlight w:val="none"/>
          <w:lang w:val="en-US" w:eastAsia="zh-CN"/>
        </w:rPr>
        <w:t>监测</w:t>
      </w:r>
      <w:r>
        <w:rPr>
          <w:rFonts w:hint="eastAsia" w:ascii="宋体" w:hAnsi="宋体" w:eastAsia="宋体" w:cs="宋体"/>
          <w:color w:val="auto"/>
          <w:sz w:val="24"/>
          <w:szCs w:val="24"/>
          <w:highlight w:val="none"/>
        </w:rPr>
        <w:t>服务最高投标限价：人民币3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786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544.75</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（其中：检测费最高投标限价3</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382</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773.95元；监测费最高投标限价403</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770.8</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eastAsia="zh-CN"/>
        </w:rPr>
        <w:t>元）</w:t>
      </w:r>
      <w:r>
        <w:rPr>
          <w:rFonts w:hint="eastAsia" w:ascii="宋体" w:hAnsi="宋体" w:eastAsia="宋体" w:cs="宋体"/>
          <w:color w:val="auto"/>
          <w:sz w:val="24"/>
          <w:szCs w:val="24"/>
          <w:highlight w:val="none"/>
        </w:rPr>
        <w:t>。</w:t>
      </w:r>
    </w:p>
    <w:p w14:paraId="069096FB">
      <w:pPr>
        <w:pStyle w:val="14"/>
        <w:spacing w:line="360" w:lineRule="auto"/>
        <w:ind w:firstLine="371" w:firstLineChars="177"/>
        <w:rPr>
          <w:rFonts w:ascii="宋体" w:hAnsi="宋体"/>
          <w:color w:val="auto"/>
          <w:highlight w:val="none"/>
        </w:rPr>
      </w:pPr>
    </w:p>
    <w:p w14:paraId="40B7B0CD">
      <w:pPr>
        <w:spacing w:line="360" w:lineRule="auto"/>
        <w:outlineLvl w:val="1"/>
        <w:rPr>
          <w:rFonts w:ascii="宋体" w:hAnsi="宋体"/>
          <w:b/>
          <w:color w:val="auto"/>
          <w:sz w:val="32"/>
          <w:szCs w:val="24"/>
          <w:highlight w:val="none"/>
        </w:rPr>
      </w:pPr>
      <w:r>
        <w:rPr>
          <w:rFonts w:hint="eastAsia" w:ascii="宋体" w:hAnsi="宋体"/>
          <w:b/>
          <w:color w:val="auto"/>
          <w:sz w:val="32"/>
          <w:szCs w:val="24"/>
          <w:highlight w:val="none"/>
        </w:rPr>
        <w:t>3. 投标人资格要求</w:t>
      </w:r>
      <w:bookmarkEnd w:id="2"/>
    </w:p>
    <w:p w14:paraId="26D947FE">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3.1投标人参加投标的意思表达清楚，投标人代表被授权有效。</w:t>
      </w:r>
    </w:p>
    <w:p w14:paraId="269C7579">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3.2投</w:t>
      </w:r>
      <w:r>
        <w:rPr>
          <w:rFonts w:hint="eastAsia" w:ascii="宋体" w:hAnsi="宋体" w:eastAsia="宋体" w:cs="宋体"/>
          <w:color w:val="auto"/>
          <w:sz w:val="24"/>
          <w:szCs w:val="24"/>
          <w:highlight w:val="none"/>
        </w:rPr>
        <w:t>标人</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eastAsia="zh-CN"/>
        </w:rPr>
        <w:t>若为联合体投标</w:t>
      </w:r>
      <w:r>
        <w:rPr>
          <w:rFonts w:hint="eastAsia" w:ascii="宋体" w:hAnsi="宋体" w:eastAsia="宋体" w:cs="宋体"/>
          <w:color w:val="auto"/>
          <w:sz w:val="24"/>
          <w:szCs w:val="24"/>
          <w:highlight w:val="none"/>
          <w:u w:val="none"/>
        </w:rPr>
        <w:t>，指联合体各方）</w:t>
      </w:r>
      <w:r>
        <w:rPr>
          <w:rFonts w:hint="eastAsia" w:ascii="宋体" w:hAnsi="宋体" w:eastAsia="宋体" w:cs="宋体"/>
          <w:color w:val="auto"/>
          <w:sz w:val="24"/>
          <w:szCs w:val="24"/>
          <w:highlight w:val="none"/>
        </w:rPr>
        <w:t>具有独立法人资格，持有事业单位登记管理部门核发的事业单位法人证书或工商行政（市场</w:t>
      </w:r>
      <w:r>
        <w:rPr>
          <w:rFonts w:hint="eastAsia" w:ascii="宋体" w:hAnsi="宋体" w:cs="宋体"/>
          <w:color w:val="auto"/>
          <w:sz w:val="24"/>
          <w:szCs w:val="24"/>
          <w:highlight w:val="none"/>
        </w:rPr>
        <w:t>监督）管理部门核发的企业法人营业执照，且在营业期限内。</w:t>
      </w:r>
    </w:p>
    <w:p w14:paraId="1257572B">
      <w:pPr>
        <w:spacing w:line="360" w:lineRule="auto"/>
        <w:ind w:firstLine="424" w:firstLineChars="177"/>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3.3投标人（</w:t>
      </w:r>
      <w:r>
        <w:rPr>
          <w:rFonts w:hint="eastAsia" w:ascii="宋体" w:hAnsi="宋体" w:cs="宋体"/>
          <w:b w:val="0"/>
          <w:bCs w:val="0"/>
          <w:color w:val="auto"/>
          <w:sz w:val="24"/>
          <w:szCs w:val="24"/>
          <w:highlight w:val="none"/>
          <w:u w:val="single"/>
          <w:lang w:eastAsia="zh-CN"/>
        </w:rPr>
        <w:t>若为联合体投标</w:t>
      </w:r>
      <w:r>
        <w:rPr>
          <w:rFonts w:hint="eastAsia" w:ascii="宋体" w:hAnsi="宋体" w:eastAsia="宋体" w:cs="宋体"/>
          <w:b w:val="0"/>
          <w:bCs w:val="0"/>
          <w:color w:val="auto"/>
          <w:sz w:val="24"/>
          <w:szCs w:val="24"/>
          <w:highlight w:val="none"/>
          <w:u w:val="single"/>
        </w:rPr>
        <w:t>，指承担</w:t>
      </w:r>
      <w:r>
        <w:rPr>
          <w:rFonts w:hint="eastAsia" w:ascii="宋体" w:hAnsi="宋体" w:eastAsia="宋体" w:cs="宋体"/>
          <w:b/>
          <w:bCs/>
          <w:color w:val="auto"/>
          <w:sz w:val="24"/>
          <w:szCs w:val="24"/>
          <w:highlight w:val="none"/>
          <w:u w:val="single"/>
        </w:rPr>
        <w:t>检测</w:t>
      </w:r>
      <w:r>
        <w:rPr>
          <w:rFonts w:hint="eastAsia" w:ascii="宋体" w:hAnsi="宋体" w:eastAsia="宋体" w:cs="宋体"/>
          <w:b w:val="0"/>
          <w:bCs w:val="0"/>
          <w:color w:val="auto"/>
          <w:sz w:val="24"/>
          <w:szCs w:val="24"/>
          <w:highlight w:val="none"/>
          <w:u w:val="single"/>
        </w:rPr>
        <w:t>任务的单位）具备建设行政主管部门颁发的建设工程质量检测机构资质证书（检测范围覆盖地基基础工程检测、主体结构工程现场检测、</w:t>
      </w:r>
      <w:r>
        <w:rPr>
          <w:rFonts w:hint="eastAsia" w:ascii="宋体" w:hAnsi="宋体" w:cs="宋体"/>
          <w:b w:val="0"/>
          <w:bCs w:val="0"/>
          <w:color w:val="auto"/>
          <w:sz w:val="24"/>
          <w:szCs w:val="24"/>
          <w:highlight w:val="none"/>
          <w:u w:val="single"/>
          <w:lang w:val="en-US" w:eastAsia="zh-CN"/>
        </w:rPr>
        <w:t>建筑幕墙工程检测、</w:t>
      </w:r>
      <w:r>
        <w:rPr>
          <w:rFonts w:hint="eastAsia" w:ascii="宋体" w:hAnsi="宋体" w:eastAsia="宋体" w:cs="宋体"/>
          <w:b w:val="0"/>
          <w:bCs w:val="0"/>
          <w:color w:val="auto"/>
          <w:sz w:val="24"/>
          <w:szCs w:val="24"/>
          <w:highlight w:val="none"/>
          <w:u w:val="single"/>
        </w:rPr>
        <w:t>钢结构工程检测、见证取样检测），或具备建设行政主管部门颁发的建设工程质量检测机构综合资质证书或专项资质证书（专项资质证书包括：建筑材料及构配件、主体结构及装饰装修、钢结构、地基基础、建筑节能</w:t>
      </w:r>
      <w:r>
        <w:rPr>
          <w:rFonts w:hint="eastAsia" w:ascii="宋体" w:hAnsi="宋体" w:cs="宋体"/>
          <w:b w:val="0"/>
          <w:bCs w:val="0"/>
          <w:color w:val="auto"/>
          <w:sz w:val="24"/>
          <w:szCs w:val="24"/>
          <w:highlight w:val="none"/>
          <w:u w:val="single"/>
          <w:lang w:eastAsia="zh-CN"/>
        </w:rPr>
        <w:t>、</w:t>
      </w:r>
      <w:r>
        <w:rPr>
          <w:rFonts w:hint="eastAsia" w:ascii="宋体" w:hAnsi="宋体" w:cs="宋体"/>
          <w:b w:val="0"/>
          <w:bCs w:val="0"/>
          <w:color w:val="auto"/>
          <w:sz w:val="24"/>
          <w:szCs w:val="24"/>
          <w:highlight w:val="none"/>
          <w:u w:val="single"/>
          <w:lang w:val="en-US" w:eastAsia="zh-CN"/>
        </w:rPr>
        <w:t>建筑幕墙</w:t>
      </w:r>
      <w:r>
        <w:rPr>
          <w:rFonts w:hint="eastAsia" w:ascii="宋体" w:hAnsi="宋体" w:eastAsia="宋体" w:cs="宋体"/>
          <w:b w:val="0"/>
          <w:bCs w:val="0"/>
          <w:color w:val="auto"/>
          <w:sz w:val="24"/>
          <w:szCs w:val="24"/>
          <w:highlight w:val="none"/>
          <w:u w:val="single"/>
        </w:rPr>
        <w:t>等）。且证书在有效期内。</w:t>
      </w:r>
    </w:p>
    <w:p w14:paraId="54E2992D">
      <w:pPr>
        <w:spacing w:line="360" w:lineRule="auto"/>
        <w:ind w:firstLine="424" w:firstLineChars="177"/>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注：资质内容按照《住房和城乡建设部关于印发</w:t>
      </w:r>
      <w:r>
        <w:rPr>
          <w:rFonts w:hint="eastAsia" w:ascii="宋体" w:hAnsi="宋体" w:cs="宋体"/>
          <w:b w:val="0"/>
          <w:bCs w:val="0"/>
          <w:color w:val="auto"/>
          <w:sz w:val="24"/>
          <w:szCs w:val="24"/>
          <w:highlight w:val="none"/>
          <w:u w:val="single"/>
          <w:lang w:val="en-US" w:eastAsia="zh-CN"/>
        </w:rPr>
        <w:t>&lt;</w:t>
      </w:r>
      <w:r>
        <w:rPr>
          <w:rFonts w:hint="eastAsia" w:ascii="宋体" w:hAnsi="宋体" w:eastAsia="宋体" w:cs="宋体"/>
          <w:b w:val="0"/>
          <w:bCs w:val="0"/>
          <w:color w:val="auto"/>
          <w:sz w:val="24"/>
          <w:szCs w:val="24"/>
          <w:highlight w:val="none"/>
          <w:u w:val="single"/>
        </w:rPr>
        <w:t>建设工程质量检测机构资质标准</w:t>
      </w:r>
      <w:r>
        <w:rPr>
          <w:rFonts w:hint="eastAsia" w:ascii="宋体" w:hAnsi="宋体" w:cs="宋体"/>
          <w:b w:val="0"/>
          <w:bCs w:val="0"/>
          <w:color w:val="auto"/>
          <w:sz w:val="24"/>
          <w:szCs w:val="24"/>
          <w:highlight w:val="none"/>
          <w:u w:val="single"/>
          <w:lang w:val="en-US" w:eastAsia="zh-CN"/>
        </w:rPr>
        <w:t>&gt;</w:t>
      </w:r>
      <w:r>
        <w:rPr>
          <w:rFonts w:hint="eastAsia" w:ascii="宋体" w:hAnsi="宋体" w:eastAsia="宋体" w:cs="宋体"/>
          <w:b w:val="0"/>
          <w:bCs w:val="0"/>
          <w:color w:val="auto"/>
          <w:sz w:val="24"/>
          <w:szCs w:val="24"/>
          <w:highlight w:val="none"/>
          <w:u w:val="single"/>
        </w:rPr>
        <w:t>的通知》</w:t>
      </w:r>
      <w:r>
        <w:rPr>
          <w:rFonts w:hint="eastAsia" w:ascii="宋体" w:hAnsi="宋体" w:cs="宋体"/>
          <w:b w:val="0"/>
          <w:bCs w:val="0"/>
          <w:color w:val="auto"/>
          <w:sz w:val="24"/>
          <w:szCs w:val="24"/>
          <w:highlight w:val="none"/>
          <w:u w:val="single"/>
          <w:lang w:eastAsia="zh-CN"/>
        </w:rPr>
        <w:t>（建质规〔2023〕1号）</w:t>
      </w:r>
      <w:r>
        <w:rPr>
          <w:rFonts w:hint="eastAsia" w:ascii="宋体" w:hAnsi="宋体" w:eastAsia="宋体" w:cs="宋体"/>
          <w:b w:val="0"/>
          <w:bCs w:val="0"/>
          <w:color w:val="auto"/>
          <w:sz w:val="24"/>
          <w:szCs w:val="24"/>
          <w:highlight w:val="none"/>
          <w:u w:val="single"/>
        </w:rPr>
        <w:t>、《住房和城乡建设部办公厅关于做好建设工程质量检测机构新旧资质标准过渡工作的通知》</w:t>
      </w:r>
      <w:r>
        <w:rPr>
          <w:rFonts w:hint="eastAsia" w:ascii="宋体" w:hAnsi="宋体" w:cs="宋体"/>
          <w:b w:val="0"/>
          <w:bCs w:val="0"/>
          <w:color w:val="auto"/>
          <w:sz w:val="24"/>
          <w:szCs w:val="24"/>
          <w:highlight w:val="none"/>
          <w:u w:val="single"/>
          <w:lang w:eastAsia="zh-CN"/>
        </w:rPr>
        <w:t>（建办质函〔2023〕100号）、</w:t>
      </w:r>
      <w:r>
        <w:rPr>
          <w:rFonts w:hint="eastAsia" w:ascii="宋体" w:hAnsi="宋体" w:eastAsia="宋体" w:cs="宋体"/>
          <w:b w:val="0"/>
          <w:bCs w:val="0"/>
          <w:color w:val="auto"/>
          <w:sz w:val="24"/>
          <w:szCs w:val="24"/>
          <w:highlight w:val="none"/>
          <w:u w:val="single"/>
          <w:lang w:val="en-US" w:eastAsia="zh-CN"/>
        </w:rPr>
        <w:t>住房城乡建设部办公厅关于实施《建设工程质量检测管理办法》《建设工程质量检测机构资质标准》有关问题的通知（建办质〔2024〕36号）、《广东省住房和城乡建设厅关于做好建设工程质量检测机构资质审批有关事项准备的通知》（粤建质〔2024〕244号）等规定。若为联合体投标，资质证书内的检测涵盖范围以承接检测任务的单位提供的</w:t>
      </w:r>
      <w:r>
        <w:rPr>
          <w:rFonts w:hint="eastAsia" w:ascii="宋体" w:hAnsi="宋体" w:eastAsia="宋体" w:cs="宋体"/>
          <w:b w:val="0"/>
          <w:bCs w:val="0"/>
          <w:color w:val="auto"/>
          <w:sz w:val="24"/>
          <w:szCs w:val="24"/>
          <w:highlight w:val="none"/>
          <w:u w:val="single"/>
        </w:rPr>
        <w:t>《联合体共同投标协议书》的分工内容为准。持新标准的建设工程质量检测机构资质证书的单位，其具备的相应资质应与承接检测任务的单位提供的《联合体共同投标协议书》的分工内容一致。</w:t>
      </w:r>
    </w:p>
    <w:p w14:paraId="051C7DFD">
      <w:pPr>
        <w:spacing w:line="360" w:lineRule="auto"/>
        <w:ind w:firstLine="424" w:firstLineChars="17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投标人（</w:t>
      </w:r>
      <w:r>
        <w:rPr>
          <w:rFonts w:hint="eastAsia" w:ascii="宋体" w:hAnsi="宋体" w:cs="宋体"/>
          <w:color w:val="auto"/>
          <w:sz w:val="24"/>
          <w:szCs w:val="24"/>
          <w:highlight w:val="none"/>
          <w:u w:val="single"/>
          <w:lang w:eastAsia="zh-CN"/>
        </w:rPr>
        <w:t>若为联合体投标</w:t>
      </w:r>
      <w:r>
        <w:rPr>
          <w:rFonts w:hint="eastAsia" w:ascii="宋体" w:hAnsi="宋体" w:eastAsia="宋体" w:cs="宋体"/>
          <w:color w:val="auto"/>
          <w:sz w:val="24"/>
          <w:szCs w:val="24"/>
          <w:highlight w:val="none"/>
          <w:u w:val="single"/>
        </w:rPr>
        <w:t>，指承担</w:t>
      </w:r>
      <w:r>
        <w:rPr>
          <w:rFonts w:hint="eastAsia" w:ascii="宋体" w:hAnsi="宋体" w:eastAsia="宋体" w:cs="宋体"/>
          <w:b/>
          <w:bCs/>
          <w:color w:val="auto"/>
          <w:sz w:val="24"/>
          <w:szCs w:val="24"/>
          <w:highlight w:val="none"/>
          <w:u w:val="single"/>
        </w:rPr>
        <w:t>监测</w:t>
      </w:r>
      <w:r>
        <w:rPr>
          <w:rFonts w:hint="eastAsia" w:ascii="宋体" w:hAnsi="宋体" w:eastAsia="宋体" w:cs="宋体"/>
          <w:color w:val="auto"/>
          <w:sz w:val="24"/>
          <w:szCs w:val="24"/>
          <w:highlight w:val="none"/>
          <w:u w:val="single"/>
        </w:rPr>
        <w:t>任务的单位）</w:t>
      </w:r>
      <w:r>
        <w:rPr>
          <w:rFonts w:hint="eastAsia" w:ascii="宋体" w:cs="宋体"/>
          <w:color w:val="auto"/>
          <w:sz w:val="24"/>
          <w:highlight w:val="none"/>
          <w:lang w:bidi="ar-SA"/>
        </w:rPr>
        <w:t>须具有建设行政主管部门颁发的以下勘察资质要求之一：</w:t>
      </w:r>
      <w:r>
        <w:rPr>
          <w:rFonts w:hint="eastAsia" w:ascii="宋体" w:hAnsi="宋体" w:eastAsia="宋体" w:cs="宋体"/>
          <w:color w:val="auto"/>
          <w:sz w:val="24"/>
          <w:szCs w:val="24"/>
          <w:highlight w:val="none"/>
          <w:u w:val="single"/>
        </w:rPr>
        <w:t>①工程勘察综合甲级资质</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且资质证书在有效期内；②同时具有工程勘察专业类(岩土工程）乙级或以上</w:t>
      </w:r>
      <w:r>
        <w:rPr>
          <w:rFonts w:hint="eastAsia" w:ascii="宋体" w:hAnsi="宋体" w:eastAsia="宋体" w:cs="宋体"/>
          <w:color w:val="auto"/>
          <w:sz w:val="24"/>
          <w:szCs w:val="24"/>
          <w:highlight w:val="none"/>
          <w:u w:val="single"/>
          <w:lang w:val="en-US" w:eastAsia="zh-CN"/>
        </w:rPr>
        <w:t>资质</w:t>
      </w:r>
      <w:r>
        <w:rPr>
          <w:rFonts w:hint="eastAsia" w:ascii="宋体" w:hAnsi="宋体" w:eastAsia="宋体" w:cs="宋体"/>
          <w:color w:val="auto"/>
          <w:sz w:val="24"/>
          <w:szCs w:val="24"/>
          <w:highlight w:val="none"/>
          <w:u w:val="single"/>
        </w:rPr>
        <w:t>和工程勘察专业类（工程测量）乙级或以上资质；③同时具有工程勘察专业（岩土工程（分项）物探测试检测监测）乙级或以上资质和工程勘察专业类（工程测量）乙级或以上资质。</w:t>
      </w:r>
    </w:p>
    <w:p w14:paraId="443AC76A">
      <w:pPr>
        <w:spacing w:line="360" w:lineRule="auto"/>
        <w:ind w:firstLine="424" w:firstLineChars="177"/>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注：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若为联合体投标，资质证书内的监测涵盖范围以《联合体协议书》中承担监测任务的单位分工内容为准。</w:t>
      </w:r>
    </w:p>
    <w:p w14:paraId="7E8DB76A">
      <w:pPr>
        <w:spacing w:line="360" w:lineRule="auto"/>
        <w:ind w:firstLine="424" w:firstLineChars="177"/>
        <w:rPr>
          <w:rFonts w:hint="default" w:eastAsia="宋体"/>
          <w:color w:val="auto"/>
          <w:highlight w:val="none"/>
          <w:lang w:val="en-US" w:eastAsia="zh-CN"/>
        </w:rPr>
      </w:pPr>
      <w:r>
        <w:rPr>
          <w:rFonts w:hint="eastAsia" w:ascii="宋体" w:hAnsi="宋体" w:eastAsia="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投标人（</w:t>
      </w:r>
      <w:r>
        <w:rPr>
          <w:rFonts w:hint="eastAsia" w:ascii="宋体" w:hAnsi="宋体" w:cs="宋体"/>
          <w:color w:val="auto"/>
          <w:sz w:val="24"/>
          <w:szCs w:val="24"/>
          <w:highlight w:val="none"/>
          <w:u w:val="single"/>
          <w:lang w:eastAsia="zh-CN"/>
        </w:rPr>
        <w:t>若为联合体投标</w:t>
      </w:r>
      <w:r>
        <w:rPr>
          <w:rFonts w:hint="eastAsia" w:ascii="宋体" w:hAnsi="宋体" w:eastAsia="宋体" w:cs="宋体"/>
          <w:color w:val="auto"/>
          <w:sz w:val="24"/>
          <w:szCs w:val="24"/>
          <w:highlight w:val="none"/>
          <w:u w:val="single"/>
        </w:rPr>
        <w:t>，指联合体各方）</w:t>
      </w:r>
      <w:r>
        <w:rPr>
          <w:rFonts w:hint="eastAsia" w:ascii="宋体" w:hAnsi="宋体" w:eastAsia="宋体" w:cs="宋体"/>
          <w:color w:val="auto"/>
          <w:sz w:val="24"/>
          <w:szCs w:val="24"/>
          <w:highlight w:val="none"/>
          <w:u w:val="single"/>
          <w:lang w:val="en-US" w:eastAsia="zh-CN"/>
        </w:rPr>
        <w:t>均</w:t>
      </w:r>
      <w:r>
        <w:rPr>
          <w:rFonts w:hint="eastAsia" w:ascii="宋体" w:hAnsi="宋体" w:eastAsia="宋体" w:cs="宋体"/>
          <w:color w:val="auto"/>
          <w:sz w:val="24"/>
          <w:szCs w:val="24"/>
          <w:highlight w:val="none"/>
          <w:u w:val="single"/>
        </w:rPr>
        <w:t>具有质量技术监督部门颁发的CMA计量认证合格证书</w:t>
      </w:r>
      <w:r>
        <w:rPr>
          <w:rFonts w:hint="eastAsia" w:ascii="宋体" w:hAnsi="宋体" w:eastAsia="宋体" w:cs="宋体"/>
          <w:bCs w:val="0"/>
          <w:color w:val="auto"/>
          <w:sz w:val="24"/>
          <w:szCs w:val="24"/>
          <w:highlight w:val="none"/>
          <w:u w:val="single"/>
        </w:rPr>
        <w:t>或CMA检验检测机构资质认定证书</w:t>
      </w:r>
      <w:r>
        <w:rPr>
          <w:rFonts w:hint="eastAsia" w:ascii="宋体" w:hAnsi="宋体" w:eastAsia="宋体" w:cs="宋体"/>
          <w:color w:val="auto"/>
          <w:sz w:val="24"/>
          <w:szCs w:val="24"/>
          <w:highlight w:val="none"/>
          <w:u w:val="single"/>
        </w:rPr>
        <w:t>（CMA证书附表的认证范围覆盖招标主要内容：①承担检测任务的单位认证范围为：地基基础工程检测、主体结构工程现场检测、</w:t>
      </w:r>
      <w:r>
        <w:rPr>
          <w:rFonts w:hint="eastAsia" w:ascii="宋体" w:hAnsi="宋体" w:cs="宋体"/>
          <w:color w:val="auto"/>
          <w:sz w:val="24"/>
          <w:szCs w:val="24"/>
          <w:highlight w:val="none"/>
          <w:u w:val="single"/>
          <w:lang w:val="en-US" w:eastAsia="zh-CN"/>
        </w:rPr>
        <w:t>建筑幕墙工程检测、</w:t>
      </w:r>
      <w:r>
        <w:rPr>
          <w:rFonts w:hint="eastAsia" w:ascii="宋体" w:hAnsi="宋体" w:eastAsia="宋体" w:cs="宋体"/>
          <w:color w:val="auto"/>
          <w:sz w:val="24"/>
          <w:szCs w:val="24"/>
          <w:highlight w:val="none"/>
          <w:u w:val="single"/>
        </w:rPr>
        <w:t>钢结构工程检测、见证取</w:t>
      </w:r>
      <w:r>
        <w:rPr>
          <w:rFonts w:hint="eastAsia" w:ascii="宋体" w:hAnsi="宋体" w:cs="宋体"/>
          <w:color w:val="auto"/>
          <w:sz w:val="24"/>
          <w:szCs w:val="24"/>
          <w:highlight w:val="none"/>
          <w:u w:val="single"/>
        </w:rPr>
        <w:t>样检测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②承担监测任务的单位认证范围为：基坑监测、高支模监测、主体沉降观测）</w:t>
      </w:r>
      <w:r>
        <w:rPr>
          <w:rFonts w:hint="eastAsia" w:ascii="宋体" w:hAnsi="宋体" w:cs="宋体"/>
          <w:color w:val="auto"/>
          <w:sz w:val="24"/>
          <w:szCs w:val="24"/>
          <w:highlight w:val="none"/>
        </w:rPr>
        <w:t>，且证书在有效期内。如投标人CMA计量认证合格证书</w:t>
      </w:r>
      <w:r>
        <w:rPr>
          <w:rFonts w:hint="eastAsia" w:ascii="宋体" w:hAnsi="宋体"/>
          <w:bCs/>
          <w:color w:val="auto"/>
          <w:sz w:val="24"/>
          <w:szCs w:val="24"/>
          <w:highlight w:val="none"/>
        </w:rPr>
        <w:t>或CMA检验检测机构资质认定证书</w:t>
      </w:r>
      <w:r>
        <w:rPr>
          <w:rFonts w:hint="eastAsia" w:ascii="宋体" w:hAnsi="宋体" w:cs="宋体"/>
          <w:color w:val="auto"/>
          <w:sz w:val="24"/>
          <w:szCs w:val="24"/>
          <w:highlight w:val="none"/>
        </w:rPr>
        <w:t>中的检测</w:t>
      </w:r>
      <w:r>
        <w:rPr>
          <w:rFonts w:hint="eastAsia" w:ascii="宋体" w:hAnsi="宋体" w:cs="宋体"/>
          <w:color w:val="auto"/>
          <w:sz w:val="24"/>
          <w:szCs w:val="24"/>
          <w:highlight w:val="none"/>
          <w:lang w:val="en-US" w:eastAsia="zh-CN"/>
        </w:rPr>
        <w:t>或监测</w:t>
      </w:r>
      <w:r>
        <w:rPr>
          <w:rFonts w:hint="eastAsia" w:ascii="宋体" w:hAnsi="宋体" w:cs="宋体"/>
          <w:color w:val="auto"/>
          <w:sz w:val="24"/>
          <w:szCs w:val="24"/>
          <w:highlight w:val="none"/>
        </w:rPr>
        <w:t>项目与上述名称不同，但表达的意思一致也视为满足该项条件。</w:t>
      </w:r>
    </w:p>
    <w:p w14:paraId="52E7BBC9">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投标人</w:t>
      </w:r>
      <w:r>
        <w:rPr>
          <w:rFonts w:hint="eastAsia" w:ascii="宋体" w:hAnsi="宋体" w:eastAsia="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lang w:eastAsia="zh-CN"/>
        </w:rPr>
        <w:t>若为联合体投标</w:t>
      </w:r>
      <w:r>
        <w:rPr>
          <w:rFonts w:hint="eastAsia" w:ascii="宋体" w:hAnsi="宋体" w:eastAsia="宋体" w:cs="宋体"/>
          <w:b w:val="0"/>
          <w:bCs w:val="0"/>
          <w:color w:val="auto"/>
          <w:sz w:val="24"/>
          <w:szCs w:val="24"/>
          <w:highlight w:val="none"/>
          <w:u w:val="single"/>
        </w:rPr>
        <w:t>，指承担</w:t>
      </w:r>
      <w:r>
        <w:rPr>
          <w:rFonts w:hint="eastAsia" w:ascii="宋体" w:hAnsi="宋体" w:eastAsia="宋体" w:cs="宋体"/>
          <w:b/>
          <w:bCs/>
          <w:color w:val="auto"/>
          <w:sz w:val="24"/>
          <w:szCs w:val="24"/>
          <w:highlight w:val="none"/>
          <w:u w:val="single"/>
        </w:rPr>
        <w:t>检测</w:t>
      </w:r>
      <w:r>
        <w:rPr>
          <w:rFonts w:hint="eastAsia" w:ascii="宋体" w:hAnsi="宋体" w:eastAsia="宋体" w:cs="宋体"/>
          <w:b w:val="0"/>
          <w:bCs w:val="0"/>
          <w:color w:val="auto"/>
          <w:sz w:val="24"/>
          <w:szCs w:val="24"/>
          <w:highlight w:val="none"/>
          <w:u w:val="single"/>
        </w:rPr>
        <w:t>任务的单位）</w:t>
      </w:r>
      <w:r>
        <w:rPr>
          <w:rFonts w:hint="eastAsia" w:ascii="宋体" w:hAnsi="宋体" w:eastAsia="宋体" w:cs="宋体"/>
          <w:color w:val="auto"/>
          <w:sz w:val="24"/>
          <w:szCs w:val="24"/>
          <w:highlight w:val="none"/>
        </w:rPr>
        <w:t>拟委派项目负责人要求具备</w:t>
      </w:r>
      <w:r>
        <w:rPr>
          <w:rFonts w:hint="eastAsia" w:ascii="宋体" w:hAnsi="宋体" w:eastAsia="宋体" w:cs="宋体"/>
          <w:color w:val="auto"/>
          <w:sz w:val="24"/>
          <w:szCs w:val="24"/>
          <w:highlight w:val="none"/>
          <w:u w:val="none"/>
        </w:rPr>
        <w:t>工程类相关专业工程师或以上职称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eastAsia="zh-CN"/>
        </w:rPr>
        <w:t>若为联合体投标</w:t>
      </w:r>
      <w:r>
        <w:rPr>
          <w:rFonts w:hint="eastAsia" w:ascii="宋体" w:hAnsi="宋体" w:eastAsia="宋体" w:cs="宋体"/>
          <w:color w:val="auto"/>
          <w:sz w:val="24"/>
          <w:szCs w:val="24"/>
          <w:highlight w:val="none"/>
          <w:u w:val="none"/>
        </w:rPr>
        <w:t>，项目负责人须是联合体牵头方正式员工，需提供近</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个月（202</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月至2025年</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月）有效的所在投标单位社保证明材料。）</w:t>
      </w:r>
    </w:p>
    <w:p w14:paraId="624E809E">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投标登记前，投标人(</w:t>
      </w:r>
      <w:r>
        <w:rPr>
          <w:rFonts w:hint="eastAsia" w:ascii="宋体" w:hAnsi="宋体" w:cs="宋体"/>
          <w:color w:val="auto"/>
          <w:sz w:val="24"/>
          <w:szCs w:val="24"/>
          <w:highlight w:val="none"/>
          <w:lang w:eastAsia="zh-CN"/>
        </w:rPr>
        <w:t>若为联合体投标</w:t>
      </w:r>
      <w:r>
        <w:rPr>
          <w:rFonts w:hint="eastAsia" w:ascii="宋体" w:hAnsi="宋体" w:cs="宋体"/>
          <w:color w:val="auto"/>
          <w:sz w:val="24"/>
          <w:szCs w:val="24"/>
          <w:highlight w:val="none"/>
        </w:rPr>
        <w:t>，指联合体各方)须在广州市住房和城乡建设局建立企业信用档案及拟担任项目负责人须是本企业信用档案中的在册人员。（信用档案办理详见《广州市住建行业信用管理平台检测企业信息录入指引》。</w:t>
      </w:r>
    </w:p>
    <w:p w14:paraId="04445965">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若为联合体投标</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rPr>
        <w:t>指联合体各方单独提供</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rPr>
        <w:t>出具按照招标文件要求的格式签署盖章的《投标申请人声明》（格式见招标文件第六章）。</w:t>
      </w:r>
    </w:p>
    <w:p w14:paraId="302B6B12">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eastAsia="zh-CN"/>
        </w:rPr>
        <w:t>若为联合体投标</w:t>
      </w:r>
      <w:r>
        <w:rPr>
          <w:rFonts w:hint="eastAsia" w:ascii="宋体" w:hAnsi="宋体" w:cs="宋体"/>
          <w:color w:val="auto"/>
          <w:sz w:val="24"/>
          <w:szCs w:val="24"/>
          <w:highlight w:val="none"/>
        </w:rPr>
        <w:t>，指联合体各方）近二年(从招标公告发布年度起逆推2年的1月1日起至投标截止时间止)未因以往检测</w:t>
      </w:r>
      <w:r>
        <w:rPr>
          <w:rFonts w:hint="eastAsia" w:ascii="宋体" w:hAnsi="宋体" w:cs="宋体"/>
          <w:color w:val="auto"/>
          <w:sz w:val="24"/>
          <w:szCs w:val="24"/>
          <w:highlight w:val="none"/>
          <w:lang w:val="en-US" w:eastAsia="zh-CN"/>
        </w:rPr>
        <w:t>或监测</w:t>
      </w:r>
      <w:r>
        <w:rPr>
          <w:rFonts w:hint="eastAsia" w:ascii="宋体" w:hAnsi="宋体" w:cs="宋体"/>
          <w:color w:val="auto"/>
          <w:sz w:val="24"/>
          <w:szCs w:val="24"/>
          <w:highlight w:val="none"/>
        </w:rPr>
        <w:t>工作中存在伪造检测</w:t>
      </w:r>
      <w:r>
        <w:rPr>
          <w:rFonts w:hint="eastAsia" w:ascii="宋体" w:hAnsi="宋体"/>
          <w:color w:val="auto"/>
          <w:sz w:val="24"/>
          <w:szCs w:val="24"/>
          <w:highlight w:val="none"/>
          <w:lang w:val="en-US" w:eastAsia="zh-CN"/>
        </w:rPr>
        <w:t>或</w:t>
      </w:r>
      <w:r>
        <w:rPr>
          <w:rFonts w:hint="eastAsia" w:ascii="宋体" w:hAnsi="宋体" w:cs="宋体"/>
          <w:color w:val="auto"/>
          <w:sz w:val="24"/>
          <w:szCs w:val="24"/>
          <w:highlight w:val="none"/>
          <w:lang w:val="en-US" w:eastAsia="zh-CN"/>
        </w:rPr>
        <w:t>监测</w:t>
      </w:r>
      <w:r>
        <w:rPr>
          <w:rFonts w:hint="eastAsia" w:ascii="宋体" w:hAnsi="宋体" w:cs="宋体"/>
          <w:color w:val="auto"/>
          <w:sz w:val="24"/>
          <w:szCs w:val="24"/>
          <w:highlight w:val="none"/>
        </w:rPr>
        <w:t>数据、出具虚假检测</w:t>
      </w:r>
      <w:r>
        <w:rPr>
          <w:rFonts w:hint="eastAsia" w:ascii="宋体" w:hAnsi="宋体"/>
          <w:color w:val="auto"/>
          <w:sz w:val="24"/>
          <w:szCs w:val="24"/>
          <w:highlight w:val="none"/>
          <w:lang w:val="en-US" w:eastAsia="zh-CN"/>
        </w:rPr>
        <w:t>或</w:t>
      </w:r>
      <w:r>
        <w:rPr>
          <w:rFonts w:hint="eastAsia" w:ascii="宋体" w:hAnsi="宋体" w:cs="宋体"/>
          <w:color w:val="auto"/>
          <w:sz w:val="24"/>
          <w:szCs w:val="24"/>
          <w:highlight w:val="none"/>
          <w:lang w:val="en-US" w:eastAsia="zh-CN"/>
        </w:rPr>
        <w:t>监测</w:t>
      </w:r>
      <w:r>
        <w:rPr>
          <w:rFonts w:hint="eastAsia" w:ascii="宋体" w:hAnsi="宋体" w:cs="宋体"/>
          <w:color w:val="auto"/>
          <w:sz w:val="24"/>
          <w:szCs w:val="24"/>
          <w:highlight w:val="none"/>
        </w:rPr>
        <w:t>报告的行为被各级建设行政主管部门或市场监督管理部门行政处罚或通报的(按投标人提供的《投标申请人声明》第三条内容进行评审)。</w:t>
      </w:r>
    </w:p>
    <w:p w14:paraId="7CC95A4D">
      <w:pPr>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关于联合体投标：</w:t>
      </w:r>
      <w:r>
        <w:rPr>
          <w:rFonts w:hint="eastAsia" w:ascii="宋体" w:hAnsi="宋体" w:cs="宋体"/>
          <w:color w:val="auto"/>
          <w:sz w:val="24"/>
          <w:szCs w:val="24"/>
          <w:highlight w:val="none"/>
          <w:u w:val="single"/>
        </w:rPr>
        <w:t>本项目接受联合体投标，但只接受最多由2家单位组成联合体投标，联合体主办方必须为负责检测任务的单位。</w:t>
      </w:r>
    </w:p>
    <w:p w14:paraId="34907347">
      <w:pPr>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注：（1）联合体各方应按招标文件提供的格式签订联合体协议书，明确联合体主办方和各方权利义务，并将该联合体协议书随投标文件一并提交招标人；</w:t>
      </w:r>
    </w:p>
    <w:p w14:paraId="258FB950">
      <w:pPr>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（2）联合体各方不得再以自己名义单独或参加其他联合体在本招标项目（含所有标段）中投标，否则各相关投标均无效；</w:t>
      </w:r>
    </w:p>
    <w:p w14:paraId="7E83C7A6">
      <w:pPr>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（3）如投标人组成联合体，须签订联合体协议书。投标人拟任本工程项目负责人须为主办方正式员工，投标截止后联合体增减、更换成员的，其投标无效；</w:t>
      </w:r>
    </w:p>
    <w:p w14:paraId="48C39C7F">
      <w:pPr>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（4）联合体主办方的被授权人作为联合体各方的代表，承担责任和指令，并负责整个投标过程中的一切责任；</w:t>
      </w:r>
    </w:p>
    <w:p w14:paraId="13C4720B">
      <w:pPr>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（5）联合体投标时，除《联合体协议书》</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投标申请人声明》需由联合体各方分别按要求进行签字或盖章外，法定代表人证明书及授权委托证明书可由联合体主办方出具，可只填写联合体主办方名称，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主办方进行签章即可。</w:t>
      </w:r>
    </w:p>
    <w:p w14:paraId="4DFB8422">
      <w:pPr>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3.11</w:t>
      </w:r>
      <w:r>
        <w:rPr>
          <w:rFonts w:hint="eastAsia" w:ascii="宋体" w:hAnsi="宋体" w:cs="宋体"/>
          <w:color w:val="auto"/>
          <w:sz w:val="24"/>
          <w:szCs w:val="24"/>
          <w:highlight w:val="none"/>
          <w:u w:val="single"/>
        </w:rPr>
        <w:t>投标人（</w:t>
      </w:r>
      <w:r>
        <w:rPr>
          <w:rFonts w:hint="eastAsia" w:ascii="宋体" w:hAnsi="宋体" w:cs="宋体"/>
          <w:color w:val="auto"/>
          <w:sz w:val="24"/>
          <w:szCs w:val="24"/>
          <w:highlight w:val="none"/>
          <w:u w:val="single"/>
          <w:lang w:eastAsia="zh-CN"/>
        </w:rPr>
        <w:t>若为联合体投标</w:t>
      </w:r>
      <w:r>
        <w:rPr>
          <w:rFonts w:hint="eastAsia" w:ascii="宋体" w:hAnsi="宋体" w:cs="宋体"/>
          <w:color w:val="auto"/>
          <w:sz w:val="24"/>
          <w:szCs w:val="24"/>
          <w:highlight w:val="none"/>
          <w:u w:val="single"/>
        </w:rPr>
        <w:t>，指联合体各方单独提供）单位负责人为同一人或者存在控股、管理关系的不同单位，不得参加同一标段投标或者未划分标段的同一招标项目登记（按投标人提供的《投标</w:t>
      </w:r>
      <w:r>
        <w:rPr>
          <w:rFonts w:hint="eastAsia" w:ascii="宋体" w:hAnsi="宋体" w:cs="宋体"/>
          <w:color w:val="auto"/>
          <w:sz w:val="24"/>
          <w:szCs w:val="24"/>
          <w:highlight w:val="none"/>
          <w:u w:val="single"/>
          <w:lang w:val="en-US" w:eastAsia="zh-CN"/>
        </w:rPr>
        <w:t>申请</w:t>
      </w:r>
      <w:r>
        <w:rPr>
          <w:rFonts w:hint="eastAsia" w:ascii="宋体" w:hAnsi="宋体" w:cs="宋体"/>
          <w:color w:val="auto"/>
          <w:sz w:val="24"/>
          <w:szCs w:val="24"/>
          <w:highlight w:val="none"/>
          <w:u w:val="single"/>
        </w:rPr>
        <w:t>人声明》第六条内容进行评审）。</w:t>
      </w:r>
    </w:p>
    <w:p w14:paraId="35E37D40">
      <w:pPr>
        <w:topLinePunct w:val="0"/>
        <w:adjustRightInd/>
        <w:snapToGrid/>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投标人（</w:t>
      </w:r>
      <w:r>
        <w:rPr>
          <w:rFonts w:hint="eastAsia" w:ascii="宋体" w:hAnsi="宋体" w:cs="宋体"/>
          <w:color w:val="auto"/>
          <w:sz w:val="24"/>
          <w:szCs w:val="24"/>
          <w:highlight w:val="none"/>
          <w:u w:val="single"/>
          <w:lang w:eastAsia="zh-CN"/>
        </w:rPr>
        <w:t>若为联合体投标</w:t>
      </w:r>
      <w:r>
        <w:rPr>
          <w:rFonts w:hint="eastAsia" w:ascii="宋体" w:hAnsi="宋体" w:cs="宋体"/>
          <w:color w:val="auto"/>
          <w:sz w:val="24"/>
          <w:szCs w:val="24"/>
          <w:highlight w:val="none"/>
          <w:u w:val="single"/>
        </w:rPr>
        <w:t>，指联合体各方）未被列入拖欠农民工工资失信联合惩戒对象名单（注：本项投标人无需提供资料，按投标截止时间广州公共资源交易中心交易系统比对结果进行评审）</w:t>
      </w:r>
    </w:p>
    <w:p w14:paraId="400087F2">
      <w:pPr>
        <w:topLinePunct w:val="0"/>
        <w:adjustRightInd/>
        <w:snapToGrid/>
        <w:spacing w:line="360" w:lineRule="auto"/>
        <w:ind w:firstLine="424" w:firstLineChars="177"/>
        <w:rPr>
          <w:rFonts w:hint="eastAsia" w:ascii="宋体" w:hAnsi="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lang w:val="en-US" w:eastAsia="zh-CN"/>
        </w:rPr>
        <w:t>.13</w:t>
      </w:r>
      <w:r>
        <w:rPr>
          <w:rFonts w:hint="eastAsia" w:ascii="宋体" w:hAnsi="宋体" w:cs="宋体"/>
          <w:color w:val="auto"/>
          <w:sz w:val="24"/>
          <w:szCs w:val="24"/>
          <w:highlight w:val="none"/>
          <w:u w:val="single"/>
        </w:rPr>
        <w:t>本项目专门面向中小企业</w:t>
      </w:r>
      <w:r>
        <w:rPr>
          <w:rFonts w:hint="eastAsia" w:ascii="宋体" w:hAnsi="宋体" w:cs="宋体"/>
          <w:color w:val="auto"/>
          <w:sz w:val="24"/>
          <w:szCs w:val="24"/>
          <w:highlight w:val="none"/>
          <w:u w:val="single"/>
          <w:lang w:val="en-US" w:eastAsia="zh-CN"/>
        </w:rPr>
        <w:t>招标</w:t>
      </w:r>
      <w:r>
        <w:rPr>
          <w:rFonts w:hint="eastAsia" w:ascii="宋体" w:hAnsi="宋体" w:cs="宋体"/>
          <w:color w:val="auto"/>
          <w:sz w:val="24"/>
          <w:szCs w:val="24"/>
          <w:highlight w:val="none"/>
          <w:u w:val="single"/>
        </w:rPr>
        <w:t>。</w:t>
      </w:r>
    </w:p>
    <w:p w14:paraId="2DADD5F9">
      <w:pPr>
        <w:topLinePunct w:val="0"/>
        <w:adjustRightInd/>
        <w:snapToGrid/>
        <w:spacing w:line="360" w:lineRule="auto"/>
        <w:ind w:firstLine="424" w:firstLineChars="177"/>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rPr>
        <w:t>注：监狱企业、残疾人福利单位视同小型、微型企业。中小微企业以《中小企业声明函》为判定标准，残疾人福利性单位填写的《残疾人福利性单位声明函》为判定标准，监狱企业须供应商提供由省级以上监狱管理局、戒毒管理局（含新疆生产建设兵团）出具的属于监狱企业的证明文件，否则不予认定。若为联合体投标</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rPr>
        <w:t>，联合体各方</w:t>
      </w:r>
      <w:r>
        <w:rPr>
          <w:rFonts w:hint="eastAsia" w:ascii="宋体" w:hAnsi="宋体" w:cs="宋体"/>
          <w:color w:val="auto"/>
          <w:sz w:val="24"/>
          <w:szCs w:val="24"/>
          <w:highlight w:val="none"/>
          <w:u w:val="single"/>
          <w:lang w:val="en-US" w:eastAsia="zh-CN"/>
        </w:rPr>
        <w:t>均需提供中小企业证明材料。</w:t>
      </w:r>
    </w:p>
    <w:p w14:paraId="4E387B98">
      <w:pPr>
        <w:topLinePunct/>
        <w:adjustRightInd w:val="0"/>
        <w:snapToGrid w:val="0"/>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注：未在招标公告第三条单列的投标人资格要求条件，不作为资审不合格的依据。</w:t>
      </w:r>
    </w:p>
    <w:p w14:paraId="10C10DBE">
      <w:pPr>
        <w:spacing w:line="360" w:lineRule="auto"/>
        <w:outlineLvl w:val="1"/>
        <w:rPr>
          <w:rFonts w:ascii="宋体" w:hAnsi="宋体"/>
          <w:b/>
          <w:color w:val="auto"/>
          <w:sz w:val="32"/>
          <w:szCs w:val="24"/>
          <w:highlight w:val="none"/>
        </w:rPr>
      </w:pPr>
      <w:bookmarkStart w:id="3" w:name="_Toc515033013"/>
      <w:r>
        <w:rPr>
          <w:rFonts w:hint="eastAsia" w:ascii="宋体" w:hAnsi="宋体"/>
          <w:b/>
          <w:color w:val="auto"/>
          <w:sz w:val="32"/>
          <w:szCs w:val="24"/>
          <w:highlight w:val="none"/>
        </w:rPr>
        <w:t>4. 招标文件的获取</w:t>
      </w:r>
    </w:p>
    <w:p w14:paraId="5CD57440">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4.1 本项目招标文件随招标公告一并在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网站发布。招标文件一经在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发布，视为发放给投标人，招标文件由投标人自行在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（网址：http://www.gzggzy.cn）下载电子招标文件。</w:t>
      </w:r>
    </w:p>
    <w:p w14:paraId="5EEB4BB3">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4.2本项目采用资格后审方式。</w:t>
      </w:r>
      <w:bookmarkStart w:id="6" w:name="_GoBack"/>
      <w:bookmarkEnd w:id="6"/>
    </w:p>
    <w:p w14:paraId="5FF56041">
      <w:pPr>
        <w:spacing w:line="360" w:lineRule="auto"/>
        <w:ind w:firstLine="424" w:firstLineChars="177"/>
        <w:rPr>
          <w:rFonts w:ascii="宋体" w:hAnsi="宋体" w:cs="宋体"/>
          <w:color w:val="auto"/>
          <w:sz w:val="24"/>
          <w:szCs w:val="24"/>
          <w:highlight w:val="none"/>
        </w:rPr>
      </w:pPr>
    </w:p>
    <w:p w14:paraId="2C341643">
      <w:pPr>
        <w:spacing w:line="360" w:lineRule="auto"/>
        <w:outlineLvl w:val="1"/>
        <w:rPr>
          <w:rFonts w:ascii="宋体" w:hAnsi="宋体"/>
          <w:b/>
          <w:color w:val="auto"/>
          <w:sz w:val="32"/>
          <w:szCs w:val="24"/>
          <w:highlight w:val="none"/>
        </w:rPr>
      </w:pPr>
      <w:r>
        <w:rPr>
          <w:rFonts w:hint="eastAsia" w:ascii="宋体" w:hAnsi="宋体"/>
          <w:b/>
          <w:color w:val="auto"/>
          <w:sz w:val="32"/>
          <w:szCs w:val="24"/>
          <w:highlight w:val="none"/>
        </w:rPr>
        <w:t>5. 发布招标公告、递交投标文件时间、开标时间</w:t>
      </w:r>
    </w:p>
    <w:p w14:paraId="141463DE">
      <w:pPr>
        <w:spacing w:line="360" w:lineRule="auto"/>
        <w:ind w:left="0" w:leftChars="0"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5.1 发布招标公告时间（含本日）：</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hint="eastAsia" w:ascii="宋体" w:hAnsi="宋体" w:cs="宋体"/>
          <w:color w:val="auto"/>
          <w:sz w:val="24"/>
          <w:szCs w:val="24"/>
          <w:highlight w:val="none"/>
          <w:u w:val="single"/>
          <w:lang w:val="en-US" w:eastAsia="zh-CN"/>
        </w:rPr>
        <w:t>06</w:t>
      </w:r>
      <w:r>
        <w:rPr>
          <w:rFonts w:hint="eastAsia" w:ascii="宋体" w:hAnsi="宋体"/>
          <w:color w:val="auto"/>
          <w:sz w:val="24"/>
          <w:szCs w:val="24"/>
          <w:highlight w:val="none"/>
        </w:rPr>
        <w:t>月</w:t>
      </w:r>
      <w:r>
        <w:rPr>
          <w:rFonts w:hint="eastAsia" w:ascii="宋体" w:hAnsi="宋体" w:cs="宋体"/>
          <w:color w:val="auto"/>
          <w:sz w:val="24"/>
          <w:szCs w:val="24"/>
          <w:highlight w:val="none"/>
          <w:u w:val="single"/>
          <w:lang w:val="en-US" w:eastAsia="zh-CN"/>
        </w:rPr>
        <w:t>17</w:t>
      </w:r>
      <w:r>
        <w:rPr>
          <w:rFonts w:hint="eastAsia" w:ascii="宋体" w:hAnsi="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7</w:t>
      </w:r>
      <w:r>
        <w:rPr>
          <w:rFonts w:hint="eastAsia" w:ascii="宋体" w:hAnsi="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p w14:paraId="3AF6BF7D">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注：发布招标公告的时间为招标公告发出之日起至递交投标文件截止时间止。</w:t>
      </w:r>
    </w:p>
    <w:p w14:paraId="5EAF68CF">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5.2 递交电子投标文件起始时间：</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hint="eastAsia" w:ascii="宋体" w:hAnsi="宋体" w:cs="宋体"/>
          <w:color w:val="auto"/>
          <w:sz w:val="24"/>
          <w:szCs w:val="24"/>
          <w:highlight w:val="none"/>
          <w:u w:val="single"/>
          <w:lang w:val="en-US" w:eastAsia="zh-CN"/>
        </w:rPr>
        <w:t>06</w:t>
      </w:r>
      <w:r>
        <w:rPr>
          <w:rFonts w:hint="eastAsia" w:ascii="宋体" w:hAnsi="宋体"/>
          <w:color w:val="auto"/>
          <w:sz w:val="24"/>
          <w:szCs w:val="24"/>
          <w:highlight w:val="none"/>
        </w:rPr>
        <w:t>月</w:t>
      </w:r>
      <w:r>
        <w:rPr>
          <w:rFonts w:hint="eastAsia" w:ascii="宋体" w:hAnsi="宋体" w:cs="宋体"/>
          <w:color w:val="auto"/>
          <w:sz w:val="24"/>
          <w:szCs w:val="24"/>
          <w:highlight w:val="none"/>
          <w:u w:val="single"/>
          <w:lang w:val="en-US" w:eastAsia="zh-CN"/>
        </w:rPr>
        <w:t>17</w:t>
      </w:r>
      <w:r>
        <w:rPr>
          <w:rFonts w:hint="eastAsia" w:ascii="宋体" w:hAnsi="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p w14:paraId="43E3A9FB">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7</w:t>
      </w:r>
      <w:r>
        <w:rPr>
          <w:rFonts w:hint="eastAsia" w:ascii="宋体" w:hAnsi="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p w14:paraId="47A18059">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投标人通过</w:t>
      </w:r>
      <w:r>
        <w:rPr>
          <w:rFonts w:hint="eastAsia" w:ascii="宋体" w:hAnsi="宋体" w:cs="宋体"/>
          <w:color w:val="auto"/>
          <w:sz w:val="24"/>
          <w:szCs w:val="24"/>
          <w:highlight w:val="none"/>
          <w:u w:val="single"/>
        </w:rPr>
        <w:t>广州交易集团有限公司（广州公共资源交易中心）网站（网址：http://www.gzggzy.cn/）</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广州交易集团有限公司（广州公共资源交易中心）网站（网址：http://www.gzggzy.cn/）</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广州交易集团有限公司（广州公共资源交易中心）最新指引</w:t>
      </w:r>
      <w:r>
        <w:rPr>
          <w:rFonts w:hint="eastAsia" w:ascii="宋体" w:hAnsi="宋体" w:cs="宋体"/>
          <w:color w:val="auto"/>
          <w:sz w:val="24"/>
          <w:szCs w:val="24"/>
          <w:highlight w:val="none"/>
        </w:rPr>
        <w:t>。</w:t>
      </w:r>
    </w:p>
    <w:p w14:paraId="1559A122">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5.3递交备用投标文件电子光盘时间为：</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7</w:t>
      </w:r>
      <w:r>
        <w:rPr>
          <w:rFonts w:hint="eastAsia" w:ascii="宋体" w:hAnsi="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rPr>
        <w:t>分至</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7</w:t>
      </w:r>
      <w:r>
        <w:rPr>
          <w:rFonts w:hint="eastAsia" w:ascii="宋体" w:hAnsi="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分；地点：广州交易集团有限公司（广州公共资源交易中心）</w:t>
      </w:r>
      <w:r>
        <w:rPr>
          <w:rFonts w:hint="eastAsia" w:ascii="宋体" w:hAnsi="宋体" w:cs="宋体"/>
          <w:color w:val="auto"/>
          <w:sz w:val="24"/>
          <w:szCs w:val="24"/>
          <w:highlight w:val="none"/>
          <w:lang w:val="en-US" w:eastAsia="zh-CN"/>
        </w:rPr>
        <w:t>第</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rPr>
        <w:t>开标室。（电子光盘需按规定封装。投标人在将数据刻录到光盘之后，投标前自行检查文件是否可以读取）。</w:t>
      </w:r>
    </w:p>
    <w:p w14:paraId="5E4DB0FE">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5.4逾期送达的投标文件，电子招标投标交易平台将予以拒收。逾期未上传成功的电子投标文件，招标人拒绝接收。逾期或未在指定地点递交投标文件光盘的,招标人拒绝接收其投标文件光盘。</w:t>
      </w:r>
    </w:p>
    <w:p w14:paraId="3697F75D">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5.5开标时间：</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hint="eastAsia" w:ascii="宋体" w:hAnsi="宋体" w:cs="宋体"/>
          <w:color w:val="auto"/>
          <w:sz w:val="24"/>
          <w:szCs w:val="24"/>
          <w:highlight w:val="none"/>
          <w:u w:val="single"/>
          <w:lang w:val="en-US" w:eastAsia="zh-CN"/>
        </w:rPr>
        <w:t>07</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7</w:t>
      </w:r>
      <w:r>
        <w:rPr>
          <w:rFonts w:hint="eastAsia" w:ascii="宋体" w:hAnsi="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分。地点：广州交易集团有限公司（广州公共资源交易中心）</w:t>
      </w:r>
      <w:r>
        <w:rPr>
          <w:rFonts w:hint="eastAsia" w:ascii="宋体" w:hAnsi="宋体" w:cs="宋体"/>
          <w:color w:val="auto"/>
          <w:sz w:val="24"/>
          <w:szCs w:val="24"/>
          <w:highlight w:val="none"/>
          <w:lang w:val="en-US" w:eastAsia="zh-CN"/>
        </w:rPr>
        <w:t>第</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rPr>
        <w:t>开标室。</w:t>
      </w:r>
    </w:p>
    <w:p w14:paraId="500D218D">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5.6投标文件解密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在递交电子投标文件截止时间到达后的1个小时内使用制作该电子投标文件的机构业务数字证书对电子投标文件进行解密。逾期未解密或因投标人原因造成电子投标文件解密不成功的,视为投标人未递交电子投标文件。因投标人原因造成电子投标文件未解密的不参与投标文件评审</w:t>
      </w:r>
      <w:r>
        <w:rPr>
          <w:rFonts w:hint="eastAsia" w:ascii="宋体" w:hAnsi="宋体" w:cs="宋体"/>
          <w:color w:val="auto"/>
          <w:sz w:val="24"/>
          <w:szCs w:val="24"/>
          <w:highlight w:val="none"/>
          <w:lang w:eastAsia="zh-CN"/>
        </w:rPr>
        <w:t>。</w:t>
      </w:r>
    </w:p>
    <w:bookmarkEnd w:id="3"/>
    <w:p w14:paraId="5103BC98">
      <w:pPr>
        <w:spacing w:line="360" w:lineRule="auto"/>
        <w:outlineLvl w:val="1"/>
        <w:rPr>
          <w:rFonts w:ascii="宋体" w:hAnsi="宋体"/>
          <w:b/>
          <w:color w:val="auto"/>
          <w:sz w:val="32"/>
          <w:szCs w:val="24"/>
          <w:highlight w:val="none"/>
        </w:rPr>
      </w:pPr>
      <w:bookmarkStart w:id="4" w:name="_Toc515033015"/>
      <w:r>
        <w:rPr>
          <w:rFonts w:hint="eastAsia" w:ascii="宋体" w:hAnsi="宋体"/>
          <w:b/>
          <w:color w:val="auto"/>
          <w:sz w:val="32"/>
          <w:szCs w:val="24"/>
          <w:highlight w:val="none"/>
        </w:rPr>
        <w:t>6. 发布公告的媒介</w:t>
      </w:r>
      <w:bookmarkEnd w:id="4"/>
    </w:p>
    <w:p w14:paraId="36139DE4">
      <w:pPr>
        <w:spacing w:line="360" w:lineRule="auto"/>
        <w:ind w:firstLine="480" w:firstLineChars="200"/>
        <w:rPr>
          <w:rFonts w:ascii="宋体" w:hAnsi="宋体" w:cs="楷体"/>
          <w:color w:val="auto"/>
          <w:sz w:val="24"/>
          <w:szCs w:val="24"/>
          <w:highlight w:val="none"/>
        </w:rPr>
      </w:pPr>
      <w:bookmarkStart w:id="5" w:name="_Toc515033016"/>
      <w:r>
        <w:rPr>
          <w:rFonts w:hint="eastAsia" w:ascii="宋体" w:hAnsi="宋体" w:cs="楷体"/>
          <w:color w:val="auto"/>
          <w:sz w:val="24"/>
          <w:szCs w:val="24"/>
          <w:highlight w:val="none"/>
          <w:u w:val="single"/>
        </w:rPr>
        <w:t>本次招标公告同时在广州交易集团有限公司（广州公共资源交易中心）网（网址：http://www.gzggzy.cn）、广东省招标投标监管网（网址：http://zbtb.gd.gov.cn/）和中国招标投标公共服务平台（网址：http://www.cebpubservice.com/）发布，本公告的修改、补充，在广州交易集团有限公司（广州公共资源交易中心）网站上发布。</w:t>
      </w:r>
    </w:p>
    <w:p w14:paraId="5F200ACB">
      <w:pPr>
        <w:spacing w:line="360" w:lineRule="auto"/>
        <w:outlineLvl w:val="1"/>
        <w:rPr>
          <w:rFonts w:ascii="宋体" w:hAnsi="宋体"/>
          <w:b/>
          <w:color w:val="auto"/>
          <w:sz w:val="32"/>
          <w:szCs w:val="24"/>
          <w:highlight w:val="none"/>
        </w:rPr>
      </w:pPr>
      <w:r>
        <w:rPr>
          <w:rFonts w:hint="eastAsia" w:ascii="宋体" w:hAnsi="宋体"/>
          <w:b/>
          <w:color w:val="auto"/>
          <w:sz w:val="32"/>
          <w:szCs w:val="24"/>
          <w:highlight w:val="none"/>
        </w:rPr>
        <w:t>7. 联系方式</w:t>
      </w:r>
      <w:bookmarkEnd w:id="5"/>
    </w:p>
    <w:p w14:paraId="126F54E2">
      <w:pPr>
        <w:spacing w:line="360" w:lineRule="auto"/>
        <w:ind w:left="424" w:leftChars="202" w:right="48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招 标 人：</w:t>
      </w:r>
      <w:r>
        <w:rPr>
          <w:rFonts w:hint="eastAsia" w:ascii="宋体" w:hAnsi="宋体" w:cs="宋体"/>
          <w:color w:val="auto"/>
          <w:sz w:val="24"/>
          <w:szCs w:val="24"/>
          <w:highlight w:val="none"/>
          <w:u w:val="single"/>
          <w:lang w:eastAsia="zh-CN"/>
        </w:rPr>
        <w:t>广东省野生动物监测救护中心</w:t>
      </w:r>
    </w:p>
    <w:p w14:paraId="296EC79D">
      <w:pPr>
        <w:spacing w:line="360" w:lineRule="auto"/>
        <w:ind w:left="1384" w:leftChars="202" w:right="480" w:hanging="960" w:hangingChars="4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lang w:val="en-US" w:eastAsia="zh-CN"/>
        </w:rPr>
        <w:t>广州市荔湾区中山七路343号</w:t>
      </w:r>
    </w:p>
    <w:p w14:paraId="34FF3B95">
      <w:pPr>
        <w:topLinePunct/>
        <w:spacing w:line="360" w:lineRule="auto"/>
        <w:ind w:left="424" w:leftChars="202" w:right="72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 系 人：</w:t>
      </w:r>
      <w:r>
        <w:rPr>
          <w:rFonts w:hint="eastAsia" w:ascii="宋体" w:hAnsi="宋体"/>
          <w:color w:val="auto"/>
          <w:sz w:val="24"/>
          <w:highlight w:val="none"/>
          <w:u w:val="single"/>
          <w:lang w:val="en-US" w:eastAsia="zh-CN"/>
        </w:rPr>
        <w:t>王工</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020-87218380</w:t>
      </w:r>
    </w:p>
    <w:p w14:paraId="7C94EA39">
      <w:pPr>
        <w:pStyle w:val="14"/>
        <w:spacing w:line="360" w:lineRule="auto"/>
        <w:ind w:left="424" w:leftChars="202" w:firstLine="0" w:firstLineChars="0"/>
        <w:rPr>
          <w:rFonts w:ascii="宋体" w:hAnsi="宋体"/>
          <w:color w:val="auto"/>
          <w:highlight w:val="none"/>
        </w:rPr>
      </w:pPr>
    </w:p>
    <w:p w14:paraId="4D983D66">
      <w:pPr>
        <w:spacing w:line="360" w:lineRule="auto"/>
        <w:ind w:left="7525" w:leftChars="202" w:right="360" w:hanging="7101" w:hangingChars="2959"/>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lang w:eastAsia="zh-CN"/>
        </w:rPr>
        <w:t>广东省国际工程咨询有限公司</w:t>
      </w:r>
    </w:p>
    <w:p w14:paraId="6AAB45EC">
      <w:pPr>
        <w:spacing w:line="360" w:lineRule="auto"/>
        <w:ind w:left="422" w:leftChars="201" w:right="36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olor w:val="auto"/>
          <w:sz w:val="24"/>
          <w:highlight w:val="none"/>
          <w:u w:val="single"/>
        </w:rPr>
        <w:t>广州市越秀区环市中路316号金鹰大厦十一楼</w:t>
      </w:r>
    </w:p>
    <w:p w14:paraId="5AC51614">
      <w:pPr>
        <w:spacing w:line="360" w:lineRule="auto"/>
        <w:ind w:left="7525" w:leftChars="202" w:right="360" w:hanging="7101" w:hangingChars="2959"/>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 系 人：</w:t>
      </w:r>
      <w:r>
        <w:rPr>
          <w:rFonts w:hint="eastAsia" w:ascii="宋体" w:hAnsi="宋体"/>
          <w:color w:val="auto"/>
          <w:sz w:val="24"/>
          <w:szCs w:val="24"/>
          <w:highlight w:val="none"/>
          <w:u w:val="single"/>
        </w:rPr>
        <w:t>黄工、</w:t>
      </w:r>
      <w:r>
        <w:rPr>
          <w:rFonts w:hint="eastAsia" w:ascii="宋体" w:hAnsi="宋体"/>
          <w:color w:val="auto"/>
          <w:sz w:val="24"/>
          <w:szCs w:val="24"/>
          <w:highlight w:val="none"/>
          <w:u w:val="single"/>
          <w:lang w:val="en-US" w:eastAsia="zh-CN"/>
        </w:rPr>
        <w:t>刘</w:t>
      </w:r>
      <w:r>
        <w:rPr>
          <w:rFonts w:hint="eastAsia" w:ascii="宋体" w:hAnsi="宋体"/>
          <w:color w:val="auto"/>
          <w:sz w:val="24"/>
          <w:szCs w:val="24"/>
          <w:highlight w:val="none"/>
          <w:u w:val="single"/>
        </w:rPr>
        <w:t>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eastAsia="zh-CN"/>
        </w:rPr>
        <w:t>33971613</w:t>
      </w:r>
    </w:p>
    <w:p w14:paraId="56BAA4B5">
      <w:pPr>
        <w:spacing w:line="360" w:lineRule="auto"/>
        <w:ind w:left="7525" w:leftChars="202" w:right="360" w:hanging="7101" w:hangingChars="2959"/>
        <w:jc w:val="left"/>
        <w:rPr>
          <w:rFonts w:ascii="宋体" w:hAnsi="宋体" w:cs="宋体"/>
          <w:color w:val="auto"/>
          <w:sz w:val="24"/>
          <w:szCs w:val="24"/>
          <w:highlight w:val="none"/>
          <w:u w:val="single"/>
        </w:rPr>
      </w:pPr>
    </w:p>
    <w:p w14:paraId="12B833D5">
      <w:pPr>
        <w:spacing w:line="360" w:lineRule="auto"/>
        <w:ind w:left="424" w:leftChars="202" w:right="48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异议受理部门：</w:t>
      </w:r>
      <w:r>
        <w:rPr>
          <w:rFonts w:hint="eastAsia" w:ascii="宋体" w:hAnsi="宋体"/>
          <w:color w:val="auto"/>
          <w:sz w:val="24"/>
          <w:szCs w:val="24"/>
          <w:highlight w:val="none"/>
          <w:u w:val="single"/>
          <w:lang w:eastAsia="zh-CN"/>
        </w:rPr>
        <w:t>广东省野生动物监测救护中心</w:t>
      </w:r>
    </w:p>
    <w:p w14:paraId="5F9A0B45">
      <w:pPr>
        <w:spacing w:line="360" w:lineRule="auto"/>
        <w:ind w:left="1384" w:leftChars="202" w:right="480" w:hanging="960" w:hangingChars="4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lang w:val="en-US" w:eastAsia="zh-CN"/>
        </w:rPr>
        <w:t>广州市荔湾区中山七路343号</w:t>
      </w:r>
    </w:p>
    <w:p w14:paraId="188BA2C2">
      <w:pPr>
        <w:topLinePunct/>
        <w:spacing w:line="360" w:lineRule="auto"/>
        <w:ind w:left="424" w:leftChars="202" w:right="720"/>
        <w:jc w:val="left"/>
        <w:rPr>
          <w:rFonts w:ascii="宋体" w:hAnsi="宋体" w:cs="宋体"/>
          <w:color w:val="auto"/>
          <w:sz w:val="24"/>
          <w:szCs w:val="24"/>
          <w:highlight w:val="none"/>
        </w:rPr>
      </w:pPr>
      <w:r>
        <w:rPr>
          <w:rFonts w:hint="eastAsia" w:ascii="宋体" w:hAnsi="宋体" w:cs="宋体"/>
          <w:color w:val="auto"/>
          <w:sz w:val="24"/>
          <w:szCs w:val="24"/>
          <w:highlight w:val="none"/>
        </w:rPr>
        <w:t>联 系 人：</w:t>
      </w:r>
      <w:r>
        <w:rPr>
          <w:rFonts w:hint="eastAsia" w:ascii="宋体" w:hAnsi="宋体"/>
          <w:color w:val="auto"/>
          <w:sz w:val="24"/>
          <w:highlight w:val="none"/>
          <w:u w:val="single"/>
          <w:lang w:val="en-US" w:eastAsia="zh-CN"/>
        </w:rPr>
        <w:t>王</w:t>
      </w:r>
      <w:r>
        <w:rPr>
          <w:rFonts w:hint="eastAsia" w:ascii="宋体" w:hAnsi="宋体" w:cs="宋体"/>
          <w:color w:val="auto"/>
          <w:sz w:val="24"/>
          <w:highlight w:val="none"/>
          <w:u w:val="single"/>
          <w:lang w:val="en-US" w:eastAsia="zh-CN"/>
        </w:rPr>
        <w:t>工</w:t>
      </w:r>
      <w:r>
        <w:rPr>
          <w:rFonts w:hint="eastAsia" w:ascii="宋体" w:hAnsi="宋体" w:cs="宋体"/>
          <w:color w:val="auto"/>
          <w:sz w:val="24"/>
          <w:szCs w:val="24"/>
          <w:highlight w:val="none"/>
        </w:rPr>
        <w:t xml:space="preserve">         电    话：</w:t>
      </w:r>
      <w:r>
        <w:rPr>
          <w:rFonts w:hint="eastAsia" w:ascii="宋体" w:hAnsi="宋体" w:cs="宋体"/>
          <w:color w:val="auto"/>
          <w:sz w:val="24"/>
          <w:highlight w:val="none"/>
          <w:u w:val="single"/>
          <w:lang w:val="en-US" w:eastAsia="zh-CN"/>
        </w:rPr>
        <w:t>020-87218380</w:t>
      </w:r>
      <w:r>
        <w:rPr>
          <w:rFonts w:hint="eastAsia" w:ascii="宋体" w:hAnsi="宋体" w:cs="宋体"/>
          <w:color w:val="auto"/>
          <w:sz w:val="24"/>
          <w:szCs w:val="24"/>
          <w:highlight w:val="none"/>
        </w:rPr>
        <w:t xml:space="preserve"> </w:t>
      </w:r>
    </w:p>
    <w:p w14:paraId="46549DDF">
      <w:pPr>
        <w:jc w:val="left"/>
        <w:rPr>
          <w:rFonts w:ascii="宋体" w:hAnsi="宋体" w:cs="宋体"/>
          <w:color w:val="auto"/>
          <w:sz w:val="24"/>
          <w:highlight w:val="none"/>
        </w:rPr>
      </w:pPr>
    </w:p>
    <w:p w14:paraId="60CA6AD0">
      <w:pPr>
        <w:jc w:val="left"/>
        <w:rPr>
          <w:rFonts w:ascii="宋体" w:hAnsi="宋体" w:cs="宋体"/>
          <w:color w:val="auto"/>
          <w:sz w:val="24"/>
          <w:highlight w:val="none"/>
        </w:rPr>
      </w:pPr>
    </w:p>
    <w:sectPr>
      <w:footerReference r:id="rId4" w:type="default"/>
      <w:pgSz w:w="11906" w:h="16838"/>
      <w:pgMar w:top="1247" w:right="1803" w:bottom="1247" w:left="180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6A6B8">
    <w:pPr>
      <w:pStyle w:val="8"/>
      <w:jc w:val="center"/>
    </w:pPr>
  </w:p>
  <w:p w14:paraId="366DA32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57A5E">
    <w:pPr>
      <w:pStyle w:val="8"/>
      <w:jc w:val="center"/>
    </w:pPr>
    <w:r>
      <w:fldChar w:fldCharType="begin"/>
    </w:r>
    <w:r>
      <w:instrText xml:space="preserve">PAGE   \* MERGEFORMAT</w:instrText>
    </w:r>
    <w:r>
      <w:fldChar w:fldCharType="separate"/>
    </w:r>
    <w:r>
      <w:rPr>
        <w:lang w:val="zh-CN"/>
      </w:rPr>
      <w:t>1</w:t>
    </w:r>
    <w:r>
      <w:fldChar w:fldCharType="end"/>
    </w:r>
  </w:p>
  <w:p w14:paraId="3EA465CA">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mM5MWRlZTMxNzJiMmZkODNhNjNjNzRhNmM3NzkifQ=="/>
    <w:docVar w:name="KSO_WPS_MARK_KEY" w:val="8eadc822-4e00-4bc6-a016-8e5e9110e225"/>
  </w:docVars>
  <w:rsids>
    <w:rsidRoot w:val="00D65735"/>
    <w:rsid w:val="000360D0"/>
    <w:rsid w:val="00085FB9"/>
    <w:rsid w:val="000C3C5A"/>
    <w:rsid w:val="001411CB"/>
    <w:rsid w:val="00147292"/>
    <w:rsid w:val="00172F7C"/>
    <w:rsid w:val="001D325C"/>
    <w:rsid w:val="001D3ABB"/>
    <w:rsid w:val="00207817"/>
    <w:rsid w:val="002741DB"/>
    <w:rsid w:val="002911D9"/>
    <w:rsid w:val="002B6014"/>
    <w:rsid w:val="002C4D91"/>
    <w:rsid w:val="00354B0A"/>
    <w:rsid w:val="003573CD"/>
    <w:rsid w:val="00391B6A"/>
    <w:rsid w:val="00392582"/>
    <w:rsid w:val="003B4EEA"/>
    <w:rsid w:val="003E777D"/>
    <w:rsid w:val="00470F21"/>
    <w:rsid w:val="004D0009"/>
    <w:rsid w:val="005071B0"/>
    <w:rsid w:val="00535C15"/>
    <w:rsid w:val="005C0F33"/>
    <w:rsid w:val="006237B1"/>
    <w:rsid w:val="00627752"/>
    <w:rsid w:val="0066277C"/>
    <w:rsid w:val="0073578E"/>
    <w:rsid w:val="007B1573"/>
    <w:rsid w:val="007D5C44"/>
    <w:rsid w:val="0082280F"/>
    <w:rsid w:val="00850722"/>
    <w:rsid w:val="0085432C"/>
    <w:rsid w:val="0086579A"/>
    <w:rsid w:val="00954889"/>
    <w:rsid w:val="0098355B"/>
    <w:rsid w:val="0098413F"/>
    <w:rsid w:val="009A350E"/>
    <w:rsid w:val="00A159A1"/>
    <w:rsid w:val="00A34065"/>
    <w:rsid w:val="00A675F3"/>
    <w:rsid w:val="00B15D3B"/>
    <w:rsid w:val="00B825E5"/>
    <w:rsid w:val="00BB7688"/>
    <w:rsid w:val="00BC4D07"/>
    <w:rsid w:val="00C17490"/>
    <w:rsid w:val="00C920FC"/>
    <w:rsid w:val="00CD3479"/>
    <w:rsid w:val="00CE0C4C"/>
    <w:rsid w:val="00D4233F"/>
    <w:rsid w:val="00D65735"/>
    <w:rsid w:val="00D86888"/>
    <w:rsid w:val="00DF4BD6"/>
    <w:rsid w:val="00E810C0"/>
    <w:rsid w:val="00EB1A07"/>
    <w:rsid w:val="00F6022D"/>
    <w:rsid w:val="00F61637"/>
    <w:rsid w:val="00F735FF"/>
    <w:rsid w:val="00FF4E6C"/>
    <w:rsid w:val="01967DCC"/>
    <w:rsid w:val="029B4824"/>
    <w:rsid w:val="036D1000"/>
    <w:rsid w:val="038D51FF"/>
    <w:rsid w:val="049031F8"/>
    <w:rsid w:val="04FF3EDA"/>
    <w:rsid w:val="06987183"/>
    <w:rsid w:val="06BC3FB7"/>
    <w:rsid w:val="06E30381"/>
    <w:rsid w:val="075F2A59"/>
    <w:rsid w:val="08412916"/>
    <w:rsid w:val="08DF02AB"/>
    <w:rsid w:val="09310BB7"/>
    <w:rsid w:val="0963211F"/>
    <w:rsid w:val="09D66D6F"/>
    <w:rsid w:val="0A6A0048"/>
    <w:rsid w:val="0B166B36"/>
    <w:rsid w:val="0B9176F8"/>
    <w:rsid w:val="0BF37723"/>
    <w:rsid w:val="0C004AA5"/>
    <w:rsid w:val="0C012C2E"/>
    <w:rsid w:val="0C1B3CF0"/>
    <w:rsid w:val="0D416894"/>
    <w:rsid w:val="0D505C1B"/>
    <w:rsid w:val="0E193E2E"/>
    <w:rsid w:val="0E565467"/>
    <w:rsid w:val="0E653000"/>
    <w:rsid w:val="0E833DCE"/>
    <w:rsid w:val="0ED67779"/>
    <w:rsid w:val="0F360E40"/>
    <w:rsid w:val="0F467160"/>
    <w:rsid w:val="0FB52FCD"/>
    <w:rsid w:val="101930A9"/>
    <w:rsid w:val="10240C99"/>
    <w:rsid w:val="10C12CD8"/>
    <w:rsid w:val="11064E8F"/>
    <w:rsid w:val="118659F4"/>
    <w:rsid w:val="11A079A0"/>
    <w:rsid w:val="11A37A34"/>
    <w:rsid w:val="12491D69"/>
    <w:rsid w:val="124F0022"/>
    <w:rsid w:val="127E630B"/>
    <w:rsid w:val="12D93FBD"/>
    <w:rsid w:val="12EA0F15"/>
    <w:rsid w:val="1327080C"/>
    <w:rsid w:val="13F03875"/>
    <w:rsid w:val="13F466E6"/>
    <w:rsid w:val="149C297E"/>
    <w:rsid w:val="156264EB"/>
    <w:rsid w:val="162F697B"/>
    <w:rsid w:val="16753FFC"/>
    <w:rsid w:val="16983202"/>
    <w:rsid w:val="18011645"/>
    <w:rsid w:val="18786026"/>
    <w:rsid w:val="18D448C6"/>
    <w:rsid w:val="19C21C4E"/>
    <w:rsid w:val="19C57049"/>
    <w:rsid w:val="1AB70A10"/>
    <w:rsid w:val="1AE21D80"/>
    <w:rsid w:val="1B8C61E8"/>
    <w:rsid w:val="1C983B72"/>
    <w:rsid w:val="1CFD14F9"/>
    <w:rsid w:val="1D0B1216"/>
    <w:rsid w:val="1D113F39"/>
    <w:rsid w:val="1D864D41"/>
    <w:rsid w:val="1DA13929"/>
    <w:rsid w:val="1E656D9E"/>
    <w:rsid w:val="1ED3058B"/>
    <w:rsid w:val="1EFD0B26"/>
    <w:rsid w:val="1F1F544D"/>
    <w:rsid w:val="1F262480"/>
    <w:rsid w:val="1F6D7F66"/>
    <w:rsid w:val="21113E27"/>
    <w:rsid w:val="21350F58"/>
    <w:rsid w:val="214D44F3"/>
    <w:rsid w:val="22695B74"/>
    <w:rsid w:val="23D762F6"/>
    <w:rsid w:val="23E56512"/>
    <w:rsid w:val="240834CF"/>
    <w:rsid w:val="24D40A88"/>
    <w:rsid w:val="24EA789C"/>
    <w:rsid w:val="25413C58"/>
    <w:rsid w:val="258A43B8"/>
    <w:rsid w:val="25C4798D"/>
    <w:rsid w:val="27022FC2"/>
    <w:rsid w:val="27077E50"/>
    <w:rsid w:val="27B17BEA"/>
    <w:rsid w:val="28724840"/>
    <w:rsid w:val="28991DCC"/>
    <w:rsid w:val="297A7E50"/>
    <w:rsid w:val="29D56A0C"/>
    <w:rsid w:val="2AAB534D"/>
    <w:rsid w:val="2AEB08D9"/>
    <w:rsid w:val="2B092C48"/>
    <w:rsid w:val="2B566C7A"/>
    <w:rsid w:val="2B5A3C59"/>
    <w:rsid w:val="2C9A6F3E"/>
    <w:rsid w:val="2C9C1E8B"/>
    <w:rsid w:val="2CB371D5"/>
    <w:rsid w:val="2CED0939"/>
    <w:rsid w:val="2D091E2F"/>
    <w:rsid w:val="2E04427D"/>
    <w:rsid w:val="2E332B84"/>
    <w:rsid w:val="2ED27DE6"/>
    <w:rsid w:val="2F4C5E70"/>
    <w:rsid w:val="2F61116A"/>
    <w:rsid w:val="2F9D0F32"/>
    <w:rsid w:val="2FF67B04"/>
    <w:rsid w:val="30001E18"/>
    <w:rsid w:val="310A72C9"/>
    <w:rsid w:val="31104BF6"/>
    <w:rsid w:val="311E5564"/>
    <w:rsid w:val="31C679AA"/>
    <w:rsid w:val="31E267E6"/>
    <w:rsid w:val="32C77EA4"/>
    <w:rsid w:val="33260700"/>
    <w:rsid w:val="34E32A2E"/>
    <w:rsid w:val="355C665B"/>
    <w:rsid w:val="35A85D44"/>
    <w:rsid w:val="364D3055"/>
    <w:rsid w:val="36915820"/>
    <w:rsid w:val="36C87A46"/>
    <w:rsid w:val="36FB31B6"/>
    <w:rsid w:val="37F25055"/>
    <w:rsid w:val="382D06DE"/>
    <w:rsid w:val="385950D4"/>
    <w:rsid w:val="39297DD7"/>
    <w:rsid w:val="3934169D"/>
    <w:rsid w:val="39B051C8"/>
    <w:rsid w:val="3A013C75"/>
    <w:rsid w:val="3BA645D8"/>
    <w:rsid w:val="3C661792"/>
    <w:rsid w:val="3C8E6EF6"/>
    <w:rsid w:val="3CC13662"/>
    <w:rsid w:val="3D2757A1"/>
    <w:rsid w:val="3D384877"/>
    <w:rsid w:val="3ECF6D4E"/>
    <w:rsid w:val="3EEF6792"/>
    <w:rsid w:val="3EF06066"/>
    <w:rsid w:val="3F6D76B7"/>
    <w:rsid w:val="3F9F1F66"/>
    <w:rsid w:val="3FCC262F"/>
    <w:rsid w:val="40153FD6"/>
    <w:rsid w:val="40A9471F"/>
    <w:rsid w:val="43AA2C88"/>
    <w:rsid w:val="43B87B86"/>
    <w:rsid w:val="4415590C"/>
    <w:rsid w:val="44FF19E3"/>
    <w:rsid w:val="46B374AA"/>
    <w:rsid w:val="46D36999"/>
    <w:rsid w:val="478A1DE2"/>
    <w:rsid w:val="48052B82"/>
    <w:rsid w:val="48603F3E"/>
    <w:rsid w:val="48E24C72"/>
    <w:rsid w:val="49AA39E1"/>
    <w:rsid w:val="49ED57F7"/>
    <w:rsid w:val="4A722025"/>
    <w:rsid w:val="4BAF5ED6"/>
    <w:rsid w:val="4BFB000D"/>
    <w:rsid w:val="4BFB49C8"/>
    <w:rsid w:val="4C0B44E0"/>
    <w:rsid w:val="4C4A6E65"/>
    <w:rsid w:val="4C7C718B"/>
    <w:rsid w:val="4C7E73A7"/>
    <w:rsid w:val="4CAE47EB"/>
    <w:rsid w:val="4CD40D75"/>
    <w:rsid w:val="4DCB2178"/>
    <w:rsid w:val="4F082F58"/>
    <w:rsid w:val="4F764366"/>
    <w:rsid w:val="4F7B1D8D"/>
    <w:rsid w:val="4F8766DB"/>
    <w:rsid w:val="4FC459F8"/>
    <w:rsid w:val="4FD07F1A"/>
    <w:rsid w:val="5110480D"/>
    <w:rsid w:val="512C73D2"/>
    <w:rsid w:val="5180327A"/>
    <w:rsid w:val="521D494F"/>
    <w:rsid w:val="52546BE0"/>
    <w:rsid w:val="527652DE"/>
    <w:rsid w:val="53B536AF"/>
    <w:rsid w:val="544604CD"/>
    <w:rsid w:val="5474189A"/>
    <w:rsid w:val="54A418F9"/>
    <w:rsid w:val="554A7E27"/>
    <w:rsid w:val="56E66C7F"/>
    <w:rsid w:val="578A4E52"/>
    <w:rsid w:val="587C5133"/>
    <w:rsid w:val="58AB4B55"/>
    <w:rsid w:val="58CE0D6F"/>
    <w:rsid w:val="59322E48"/>
    <w:rsid w:val="595D39D2"/>
    <w:rsid w:val="59701E26"/>
    <w:rsid w:val="59D6612D"/>
    <w:rsid w:val="5A061885"/>
    <w:rsid w:val="5B8B2F47"/>
    <w:rsid w:val="5BFB789D"/>
    <w:rsid w:val="5C2D3FFE"/>
    <w:rsid w:val="5C9127DF"/>
    <w:rsid w:val="5D042FB1"/>
    <w:rsid w:val="5DDC7A8A"/>
    <w:rsid w:val="5E587A58"/>
    <w:rsid w:val="5E8C39F4"/>
    <w:rsid w:val="5E997EA2"/>
    <w:rsid w:val="5FC15189"/>
    <w:rsid w:val="603F1471"/>
    <w:rsid w:val="60F56449"/>
    <w:rsid w:val="61025A59"/>
    <w:rsid w:val="61616C24"/>
    <w:rsid w:val="616A53D6"/>
    <w:rsid w:val="62326812"/>
    <w:rsid w:val="62620EA5"/>
    <w:rsid w:val="626F2984"/>
    <w:rsid w:val="629923ED"/>
    <w:rsid w:val="63600BB5"/>
    <w:rsid w:val="637D1D0F"/>
    <w:rsid w:val="6401024A"/>
    <w:rsid w:val="65011A80"/>
    <w:rsid w:val="668D4017"/>
    <w:rsid w:val="670D3503"/>
    <w:rsid w:val="68CC5DE1"/>
    <w:rsid w:val="68D45F2D"/>
    <w:rsid w:val="691251C6"/>
    <w:rsid w:val="69CC227F"/>
    <w:rsid w:val="6A0960AB"/>
    <w:rsid w:val="6AC162B9"/>
    <w:rsid w:val="6B1D70D1"/>
    <w:rsid w:val="6B4E646B"/>
    <w:rsid w:val="6B8912C4"/>
    <w:rsid w:val="6B8C2AEF"/>
    <w:rsid w:val="6BE278E2"/>
    <w:rsid w:val="6BE94D16"/>
    <w:rsid w:val="6BEE139D"/>
    <w:rsid w:val="6CBE1074"/>
    <w:rsid w:val="6CC212DB"/>
    <w:rsid w:val="6CD81D64"/>
    <w:rsid w:val="6D374CDD"/>
    <w:rsid w:val="6DB93944"/>
    <w:rsid w:val="6EF47329"/>
    <w:rsid w:val="70854E3D"/>
    <w:rsid w:val="70957521"/>
    <w:rsid w:val="70A26911"/>
    <w:rsid w:val="70BB79D3"/>
    <w:rsid w:val="722D66AE"/>
    <w:rsid w:val="72A17B74"/>
    <w:rsid w:val="73A155A6"/>
    <w:rsid w:val="74A065A2"/>
    <w:rsid w:val="75954A4D"/>
    <w:rsid w:val="764364A0"/>
    <w:rsid w:val="76795A93"/>
    <w:rsid w:val="769E5DCD"/>
    <w:rsid w:val="76EE465E"/>
    <w:rsid w:val="77C03DEB"/>
    <w:rsid w:val="77CC0B8D"/>
    <w:rsid w:val="782F3180"/>
    <w:rsid w:val="78762B5D"/>
    <w:rsid w:val="79266A9B"/>
    <w:rsid w:val="79A520BA"/>
    <w:rsid w:val="79B80F53"/>
    <w:rsid w:val="7ADC09A8"/>
    <w:rsid w:val="7B4D08C1"/>
    <w:rsid w:val="7B51208B"/>
    <w:rsid w:val="7B5315BE"/>
    <w:rsid w:val="7BB75966"/>
    <w:rsid w:val="7BDF0180"/>
    <w:rsid w:val="7C4D0079"/>
    <w:rsid w:val="7D8201F6"/>
    <w:rsid w:val="7EA27D1D"/>
    <w:rsid w:val="7F374903"/>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0"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semiHidden/>
    <w:unhideWhenUsed/>
    <w:qFormat/>
    <w:uiPriority w:val="99"/>
    <w:pPr>
      <w:jc w:val="left"/>
    </w:pPr>
  </w:style>
  <w:style w:type="paragraph" w:styleId="4">
    <w:name w:val="Body Text"/>
    <w:basedOn w:val="1"/>
    <w:unhideWhenUsed/>
    <w:qFormat/>
    <w:uiPriority w:val="0"/>
    <w:pPr>
      <w:autoSpaceDE w:val="0"/>
      <w:autoSpaceDN w:val="0"/>
    </w:pPr>
    <w:rPr>
      <w:rFonts w:ascii="宋体" w:hAnsi="宋体"/>
      <w:kern w:val="0"/>
      <w:sz w:val="20"/>
      <w:szCs w:val="20"/>
    </w:rPr>
  </w:style>
  <w:style w:type="paragraph" w:styleId="5">
    <w:name w:val="Body Text Indent"/>
    <w:basedOn w:val="1"/>
    <w:link w:val="22"/>
    <w:semiHidden/>
    <w:unhideWhenUsed/>
    <w:qFormat/>
    <w:uiPriority w:val="99"/>
    <w:pPr>
      <w:spacing w:after="120"/>
      <w:ind w:left="420" w:leftChars="200"/>
    </w:pPr>
  </w:style>
  <w:style w:type="paragraph" w:styleId="6">
    <w:name w:val="Plain Text"/>
    <w:basedOn w:val="1"/>
    <w:next w:val="1"/>
    <w:unhideWhenUsed/>
    <w:qFormat/>
    <w:uiPriority w:val="0"/>
    <w:rPr>
      <w:rFonts w:ascii="宋体" w:hAnsi="Courier New" w:eastAsia="宋体"/>
      <w:kern w:val="0"/>
      <w:sz w:val="20"/>
      <w:szCs w:val="21"/>
    </w:rPr>
  </w:style>
  <w:style w:type="paragraph" w:styleId="7">
    <w:name w:val="Balloon Text"/>
    <w:basedOn w:val="1"/>
    <w:link w:val="25"/>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ind w:left="210"/>
      <w:jc w:val="left"/>
    </w:pPr>
    <w:rPr>
      <w:smallCaps/>
      <w:sz w:val="20"/>
      <w:szCs w:val="20"/>
    </w:rPr>
  </w:style>
  <w:style w:type="paragraph" w:styleId="11">
    <w:name w:val="Normal (Web)"/>
    <w:basedOn w:val="1"/>
    <w:qFormat/>
    <w:uiPriority w:val="0"/>
    <w:pPr>
      <w:spacing w:after="113" w:line="225" w:lineRule="atLeast"/>
    </w:pPr>
    <w:rPr>
      <w:rFonts w:ascii="Helvetica" w:hAnsi="Helvetica" w:cs="宋体"/>
      <w:kern w:val="0"/>
      <w:sz w:val="16"/>
      <w:szCs w:val="16"/>
    </w:rPr>
  </w:style>
  <w:style w:type="paragraph" w:styleId="12">
    <w:name w:val="annotation subject"/>
    <w:basedOn w:val="3"/>
    <w:next w:val="3"/>
    <w:link w:val="27"/>
    <w:semiHidden/>
    <w:unhideWhenUsed/>
    <w:qFormat/>
    <w:uiPriority w:val="99"/>
    <w:rPr>
      <w:b/>
      <w:bCs/>
    </w:rPr>
  </w:style>
  <w:style w:type="paragraph" w:styleId="13">
    <w:name w:val="Body Text First Indent"/>
    <w:basedOn w:val="4"/>
    <w:qFormat/>
    <w:uiPriority w:val="0"/>
    <w:pPr>
      <w:spacing w:line="312" w:lineRule="auto"/>
      <w:ind w:firstLine="420"/>
    </w:pPr>
    <w:rPr>
      <w:szCs w:val="24"/>
    </w:rPr>
  </w:style>
  <w:style w:type="paragraph" w:styleId="14">
    <w:name w:val="Body Text First Indent 2"/>
    <w:basedOn w:val="5"/>
    <w:link w:val="23"/>
    <w:qFormat/>
    <w:uiPriority w:val="0"/>
    <w:pPr>
      <w:ind w:firstLine="420" w:firstLineChars="200"/>
    </w:pPr>
    <w:rPr>
      <w:rFonts w:ascii="Times New Roman" w:hAnsi="Times New Roman"/>
      <w:szCs w:val="24"/>
    </w:rPr>
  </w:style>
  <w:style w:type="character" w:styleId="17">
    <w:name w:val="Strong"/>
    <w:basedOn w:val="16"/>
    <w:qFormat/>
    <w:uiPriority w:val="22"/>
    <w:rPr>
      <w:b/>
    </w:rPr>
  </w:style>
  <w:style w:type="character" w:styleId="18">
    <w:name w:val="page number"/>
    <w:basedOn w:val="16"/>
    <w:qFormat/>
    <w:uiPriority w:val="0"/>
  </w:style>
  <w:style w:type="character" w:styleId="19">
    <w:name w:val="annotation reference"/>
    <w:basedOn w:val="16"/>
    <w:semiHidden/>
    <w:unhideWhenUsed/>
    <w:qFormat/>
    <w:uiPriority w:val="99"/>
    <w:rPr>
      <w:sz w:val="21"/>
      <w:szCs w:val="21"/>
    </w:rPr>
  </w:style>
  <w:style w:type="character" w:customStyle="1" w:styleId="20">
    <w:name w:val="页眉 Char"/>
    <w:basedOn w:val="16"/>
    <w:link w:val="9"/>
    <w:qFormat/>
    <w:uiPriority w:val="99"/>
    <w:rPr>
      <w:sz w:val="18"/>
      <w:szCs w:val="18"/>
    </w:rPr>
  </w:style>
  <w:style w:type="character" w:customStyle="1" w:styleId="21">
    <w:name w:val="页脚 Char"/>
    <w:basedOn w:val="16"/>
    <w:link w:val="8"/>
    <w:qFormat/>
    <w:uiPriority w:val="99"/>
    <w:rPr>
      <w:sz w:val="18"/>
      <w:szCs w:val="18"/>
    </w:rPr>
  </w:style>
  <w:style w:type="character" w:customStyle="1" w:styleId="22">
    <w:name w:val="正文文本缩进 Char"/>
    <w:basedOn w:val="16"/>
    <w:link w:val="5"/>
    <w:semiHidden/>
    <w:qFormat/>
    <w:uiPriority w:val="99"/>
    <w:rPr>
      <w:rFonts w:ascii="Calibri" w:hAnsi="Calibri" w:eastAsia="宋体" w:cs="Times New Roman"/>
    </w:rPr>
  </w:style>
  <w:style w:type="character" w:customStyle="1" w:styleId="23">
    <w:name w:val="正文首行缩进 2 Char"/>
    <w:basedOn w:val="22"/>
    <w:link w:val="14"/>
    <w:qFormat/>
    <w:uiPriority w:val="0"/>
    <w:rPr>
      <w:rFonts w:ascii="Times New Roman" w:hAnsi="Times New Roman" w:eastAsia="宋体" w:cs="Times New Roman"/>
      <w:szCs w:val="24"/>
    </w:r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5">
    <w:name w:val="批注框文本 Char"/>
    <w:basedOn w:val="16"/>
    <w:link w:val="7"/>
    <w:semiHidden/>
    <w:qFormat/>
    <w:uiPriority w:val="99"/>
    <w:rPr>
      <w:rFonts w:ascii="Calibri" w:hAnsi="Calibri"/>
      <w:kern w:val="2"/>
      <w:sz w:val="18"/>
      <w:szCs w:val="18"/>
    </w:rPr>
  </w:style>
  <w:style w:type="character" w:customStyle="1" w:styleId="26">
    <w:name w:val="批注文字 Char"/>
    <w:basedOn w:val="16"/>
    <w:link w:val="3"/>
    <w:semiHidden/>
    <w:qFormat/>
    <w:uiPriority w:val="99"/>
    <w:rPr>
      <w:rFonts w:ascii="Calibri" w:hAnsi="Calibri"/>
      <w:kern w:val="2"/>
      <w:sz w:val="21"/>
      <w:szCs w:val="22"/>
    </w:rPr>
  </w:style>
  <w:style w:type="character" w:customStyle="1" w:styleId="27">
    <w:name w:val="批注主题 Char"/>
    <w:basedOn w:val="26"/>
    <w:link w:val="12"/>
    <w:semiHidden/>
    <w:qFormat/>
    <w:uiPriority w:val="99"/>
    <w:rPr>
      <w:rFonts w:ascii="Calibri" w:hAnsi="Calibri"/>
      <w:b/>
      <w:bCs/>
      <w:kern w:val="2"/>
      <w:sz w:val="21"/>
      <w:szCs w:val="22"/>
    </w:rPr>
  </w:style>
  <w:style w:type="paragraph" w:styleId="28">
    <w:name w:val="List Paragraph"/>
    <w:basedOn w:val="1"/>
    <w:qFormat/>
    <w:uiPriority w:val="34"/>
    <w:pPr>
      <w:ind w:firstLine="420" w:firstLineChars="200"/>
    </w:pPr>
  </w:style>
  <w:style w:type="paragraph" w:customStyle="1" w:styleId="29">
    <w:name w:val="样式5"/>
    <w:qFormat/>
    <w:uiPriority w:val="0"/>
    <w:rPr>
      <w:rFonts w:ascii="Times New Roman" w:hAnsi="Times New Roman" w:eastAsia="宋体" w:cs="Times New Roman"/>
      <w:kern w:val="2"/>
      <w:sz w:val="18"/>
      <w:lang w:val="en-US" w:eastAsia="zh-CN" w:bidi="ar-SA"/>
    </w:rPr>
  </w:style>
  <w:style w:type="paragraph" w:customStyle="1" w:styleId="30">
    <w:name w:val="样式6"/>
    <w:qFormat/>
    <w:uiPriority w:val="0"/>
    <w:rPr>
      <w:rFonts w:ascii="Times New Roman" w:hAnsi="Times New Roman" w:eastAsia="宋体" w:cs="Times New Roman"/>
      <w:kern w:val="2"/>
      <w:sz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5207</Words>
  <Characters>5657</Characters>
  <Lines>40</Lines>
  <Paragraphs>11</Paragraphs>
  <TotalTime>0</TotalTime>
  <ScaleCrop>false</ScaleCrop>
  <LinksUpToDate>false</LinksUpToDate>
  <CharactersWithSpaces>5783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2022-05-16T01:04:00Z</dcterms:created>
  <dc:creator>GHJL</dc:creator>
  <cp:lastModifiedBy>招标代理</cp:lastModifiedBy>
  <cp:lastPrinted>2023-08-03T06:59:00Z</cp:lastPrinted>
  <dcterms:modified xsi:type="dcterms:W3CDTF">2025-06-16T06:58:35Z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68C07B29465246EE9F1A31C6555F5518_13</vt:lpwstr>
  </property>
  <property fmtid="{D5CDD505-2E9C-101B-9397-08002B2CF9AE}" pid="4" name="KSOTemplateDocerSaveRecord">
    <vt:lpwstr>eyJoZGlkIjoiNDA5YTE4OWE0ODhhZTc0MDliNmNmNDZjODMyOWQyYzMiLCJ1c2VySWQiOiIxNzg3NjIyMyJ9</vt:lpwstr>
  </property>
</Properties>
</file>