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82478">
      <w:pPr>
        <w:jc w:val="right"/>
        <w:rPr>
          <w:rFonts w:hint="eastAsia" w:ascii="宋体" w:hAnsi="宋体"/>
          <w:color w:val="auto"/>
          <w:sz w:val="36"/>
          <w:szCs w:val="36"/>
          <w:highlight w:val="none"/>
        </w:rPr>
      </w:pPr>
      <w:bookmarkStart w:id="0" w:name="_Toc251569647"/>
      <w:bookmarkStart w:id="1" w:name="_Toc197843635"/>
      <w:bookmarkStart w:id="2" w:name="_Toc288578279"/>
    </w:p>
    <w:p w14:paraId="5E23AC57">
      <w:pPr>
        <w:pStyle w:val="12"/>
        <w:rPr>
          <w:color w:val="auto"/>
          <w:highlight w:val="none"/>
        </w:rPr>
      </w:pPr>
    </w:p>
    <w:p w14:paraId="00EC70FA">
      <w:pPr>
        <w:jc w:val="center"/>
        <w:rPr>
          <w:rFonts w:hint="eastAsia" w:ascii="宋体" w:hAnsi="宋体" w:eastAsia="宋体"/>
          <w:color w:val="auto"/>
          <w:sz w:val="32"/>
          <w:szCs w:val="32"/>
          <w:highlight w:val="none"/>
          <w:lang w:eastAsia="zh-CN"/>
        </w:rPr>
      </w:pPr>
      <w:r>
        <w:rPr>
          <w:rFonts w:hint="eastAsia" w:hAnsi="宋体"/>
          <w:b/>
          <w:bCs/>
          <w:color w:val="auto"/>
          <w:sz w:val="52"/>
          <w:szCs w:val="52"/>
          <w:highlight w:val="none"/>
          <w:lang w:eastAsia="zh-CN"/>
        </w:rPr>
        <w:t>国家林业和草原局穿山甲保护研究中心项目第三方检测、监测服务（第二次）</w:t>
      </w:r>
    </w:p>
    <w:p w14:paraId="1A8F68B9">
      <w:pPr>
        <w:pStyle w:val="8"/>
        <w:rPr>
          <w:color w:val="auto"/>
          <w:highlight w:val="none"/>
        </w:rPr>
      </w:pPr>
    </w:p>
    <w:p w14:paraId="01EDC448">
      <w:pPr>
        <w:jc w:val="center"/>
        <w:rPr>
          <w:rFonts w:hint="eastAsia" w:ascii="宋体" w:hAnsi="宋体"/>
          <w:color w:val="auto"/>
          <w:sz w:val="32"/>
          <w:szCs w:val="32"/>
          <w:highlight w:val="none"/>
        </w:rPr>
      </w:pPr>
    </w:p>
    <w:p w14:paraId="794752A5">
      <w:pPr>
        <w:spacing w:line="400" w:lineRule="exact"/>
        <w:jc w:val="center"/>
        <w:rPr>
          <w:rFonts w:hint="eastAsia" w:ascii="宋体" w:hAnsi="宋体"/>
          <w:color w:val="auto"/>
          <w:sz w:val="32"/>
          <w:szCs w:val="32"/>
          <w:highlight w:val="none"/>
        </w:rPr>
      </w:pPr>
    </w:p>
    <w:p w14:paraId="2F468FA6">
      <w:pPr>
        <w:jc w:val="center"/>
        <w:rPr>
          <w:rFonts w:hint="eastAsia" w:ascii="宋体" w:hAnsi="宋体"/>
          <w:color w:val="auto"/>
          <w:sz w:val="32"/>
          <w:szCs w:val="32"/>
          <w:highlight w:val="none"/>
          <w:u w:val="single"/>
        </w:rPr>
      </w:pPr>
    </w:p>
    <w:p w14:paraId="03DBDBF7">
      <w:pPr>
        <w:jc w:val="center"/>
        <w:rPr>
          <w:rFonts w:hint="eastAsia" w:ascii="宋体" w:hAnsi="宋体"/>
          <w:color w:val="auto"/>
          <w:sz w:val="32"/>
          <w:szCs w:val="32"/>
          <w:highlight w:val="none"/>
          <w:u w:val="single"/>
        </w:rPr>
      </w:pPr>
    </w:p>
    <w:p w14:paraId="17DA96CD">
      <w:pPr>
        <w:jc w:val="center"/>
        <w:rPr>
          <w:rFonts w:hint="eastAsia" w:ascii="宋体" w:hAnsi="宋体"/>
          <w:color w:val="auto"/>
          <w:sz w:val="32"/>
          <w:szCs w:val="32"/>
          <w:highlight w:val="none"/>
          <w:u w:val="single"/>
        </w:rPr>
      </w:pPr>
    </w:p>
    <w:p w14:paraId="5DF4868C">
      <w:pPr>
        <w:jc w:val="center"/>
        <w:rPr>
          <w:rFonts w:hint="eastAsia" w:ascii="宋体" w:hAnsi="宋体"/>
          <w:color w:val="auto"/>
          <w:sz w:val="72"/>
          <w:szCs w:val="72"/>
          <w:highlight w:val="none"/>
        </w:rPr>
      </w:pPr>
      <w:r>
        <w:rPr>
          <w:rFonts w:hint="eastAsia" w:ascii="宋体" w:hAnsi="宋体"/>
          <w:color w:val="auto"/>
          <w:sz w:val="72"/>
          <w:szCs w:val="72"/>
          <w:highlight w:val="none"/>
        </w:rPr>
        <w:t>招标文件</w:t>
      </w:r>
    </w:p>
    <w:p w14:paraId="64A6E70B">
      <w:pPr>
        <w:jc w:val="center"/>
        <w:rPr>
          <w:rFonts w:hint="eastAsia" w:ascii="宋体" w:hAnsi="宋体"/>
          <w:color w:val="auto"/>
          <w:sz w:val="32"/>
          <w:szCs w:val="32"/>
          <w:highlight w:val="none"/>
          <w:u w:val="single"/>
        </w:rPr>
      </w:pPr>
    </w:p>
    <w:p w14:paraId="68B055F5">
      <w:pPr>
        <w:jc w:val="center"/>
        <w:rPr>
          <w:rFonts w:hint="eastAsia" w:ascii="宋体" w:hAnsi="宋体"/>
          <w:color w:val="auto"/>
          <w:sz w:val="32"/>
          <w:szCs w:val="32"/>
          <w:highlight w:val="none"/>
          <w:u w:val="single"/>
        </w:rPr>
      </w:pPr>
    </w:p>
    <w:p w14:paraId="2C79C36E">
      <w:pPr>
        <w:jc w:val="center"/>
        <w:rPr>
          <w:rFonts w:hint="eastAsia" w:ascii="宋体" w:hAnsi="宋体"/>
          <w:color w:val="auto"/>
          <w:sz w:val="32"/>
          <w:szCs w:val="32"/>
          <w:highlight w:val="none"/>
          <w:u w:val="single"/>
        </w:rPr>
      </w:pPr>
    </w:p>
    <w:p w14:paraId="6CE0EFF6">
      <w:pPr>
        <w:jc w:val="center"/>
        <w:rPr>
          <w:rFonts w:hint="eastAsia" w:ascii="宋体" w:hAnsi="宋体"/>
          <w:color w:val="auto"/>
          <w:sz w:val="32"/>
          <w:szCs w:val="32"/>
          <w:highlight w:val="none"/>
          <w:u w:val="single"/>
        </w:rPr>
      </w:pPr>
    </w:p>
    <w:p w14:paraId="457D2F3B">
      <w:pPr>
        <w:spacing w:line="480" w:lineRule="auto"/>
        <w:ind w:right="-1" w:firstLine="1477" w:firstLineChars="197"/>
        <w:jc w:val="left"/>
        <w:rPr>
          <w:rFonts w:hint="eastAsia" w:ascii="宋体" w:hAnsi="宋体"/>
          <w:color w:val="auto"/>
          <w:sz w:val="30"/>
          <w:szCs w:val="30"/>
          <w:highlight w:val="none"/>
          <w:u w:val="single"/>
        </w:rPr>
      </w:pPr>
      <w:r>
        <w:rPr>
          <w:rFonts w:hint="eastAsia" w:ascii="宋体" w:hAnsi="宋体"/>
          <w:color w:val="auto"/>
          <w:spacing w:val="225"/>
          <w:kern w:val="0"/>
          <w:sz w:val="30"/>
          <w:szCs w:val="30"/>
          <w:highlight w:val="none"/>
          <w:fitText w:val="1800" w:id="1045115929"/>
        </w:rPr>
        <w:t>招标</w:t>
      </w:r>
      <w:r>
        <w:rPr>
          <w:rFonts w:hint="eastAsia" w:ascii="宋体" w:hAnsi="宋体"/>
          <w:color w:val="auto"/>
          <w:spacing w:val="0"/>
          <w:kern w:val="0"/>
          <w:sz w:val="30"/>
          <w:szCs w:val="30"/>
          <w:highlight w:val="none"/>
          <w:fitText w:val="1800" w:id="1045115929"/>
        </w:rPr>
        <w:t>人</w:t>
      </w:r>
      <w:r>
        <w:rPr>
          <w:rFonts w:hint="eastAsia" w:ascii="宋体" w:hAnsi="宋体"/>
          <w:color w:val="auto"/>
          <w:sz w:val="30"/>
          <w:szCs w:val="30"/>
          <w:highlight w:val="none"/>
        </w:rPr>
        <w:t>：</w:t>
      </w:r>
      <w:r>
        <w:rPr>
          <w:rFonts w:hint="eastAsia" w:ascii="宋体" w:hAnsi="宋体"/>
          <w:color w:val="auto"/>
          <w:sz w:val="30"/>
          <w:szCs w:val="30"/>
          <w:highlight w:val="none"/>
          <w:u w:val="single"/>
        </w:rPr>
        <w:t>广东省野生动物监测救护中心</w:t>
      </w:r>
    </w:p>
    <w:p w14:paraId="69A06719">
      <w:pPr>
        <w:tabs>
          <w:tab w:val="left" w:pos="6575"/>
        </w:tabs>
        <w:spacing w:line="360" w:lineRule="auto"/>
        <w:ind w:firstLine="1479" w:firstLineChars="493"/>
        <w:jc w:val="left"/>
        <w:rPr>
          <w:rFonts w:hint="eastAsia" w:ascii="宋体" w:hAnsi="宋体"/>
          <w:color w:val="auto"/>
          <w:sz w:val="30"/>
          <w:szCs w:val="30"/>
          <w:highlight w:val="none"/>
        </w:rPr>
      </w:pPr>
      <w:r>
        <w:rPr>
          <w:rFonts w:hint="eastAsia" w:ascii="宋体" w:hAnsi="宋体"/>
          <w:color w:val="auto"/>
          <w:sz w:val="30"/>
          <w:szCs w:val="30"/>
          <w:highlight w:val="none"/>
        </w:rPr>
        <w:t>招标代理机构：</w:t>
      </w:r>
      <w:r>
        <w:rPr>
          <w:rFonts w:hint="eastAsia" w:ascii="宋体" w:hAnsi="宋体"/>
          <w:color w:val="auto"/>
          <w:sz w:val="30"/>
          <w:szCs w:val="30"/>
          <w:highlight w:val="none"/>
          <w:u w:val="single"/>
        </w:rPr>
        <w:t>广东省国际工程咨询有限公司</w:t>
      </w:r>
    </w:p>
    <w:p w14:paraId="167C5A88">
      <w:pPr>
        <w:spacing w:line="360" w:lineRule="auto"/>
        <w:jc w:val="center"/>
        <w:rPr>
          <w:rFonts w:hint="eastAsia" w:ascii="黑体" w:hAnsi="黑体" w:eastAsia="黑体" w:cs="宋体"/>
          <w:b/>
          <w:color w:val="auto"/>
          <w:kern w:val="0"/>
          <w:sz w:val="32"/>
          <w:szCs w:val="32"/>
          <w:highlight w:val="none"/>
        </w:rPr>
      </w:pPr>
      <w:r>
        <w:rPr>
          <w:rFonts w:hint="eastAsia" w:ascii="宋体" w:hAnsi="宋体"/>
          <w:color w:val="auto"/>
          <w:sz w:val="30"/>
          <w:szCs w:val="30"/>
          <w:highlight w:val="none"/>
          <w:u w:val="single"/>
        </w:rPr>
        <w:t>2025</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6</w:t>
      </w:r>
      <w:r>
        <w:rPr>
          <w:rFonts w:hint="eastAsia" w:ascii="宋体" w:hAnsi="宋体"/>
          <w:color w:val="auto"/>
          <w:sz w:val="30"/>
          <w:szCs w:val="30"/>
          <w:highlight w:val="none"/>
        </w:rPr>
        <w:t>月</w:t>
      </w:r>
    </w:p>
    <w:p w14:paraId="593EE9CA">
      <w:pPr>
        <w:spacing w:line="360" w:lineRule="auto"/>
        <w:jc w:val="center"/>
        <w:rPr>
          <w:rFonts w:hint="eastAsia" w:ascii="宋体" w:hAnsi="宋体" w:cs="宋体"/>
          <w:b/>
          <w:color w:val="auto"/>
          <w:sz w:val="28"/>
          <w:highlight w:val="none"/>
        </w:rPr>
        <w:sectPr>
          <w:footerReference r:id="rId3" w:type="even"/>
          <w:pgSz w:w="11906" w:h="16838"/>
          <w:pgMar w:top="1440" w:right="1080" w:bottom="1440" w:left="1080" w:header="851" w:footer="1020" w:gutter="0"/>
          <w:pgNumType w:start="1"/>
          <w:cols w:space="720" w:num="1"/>
          <w:docGrid w:type="lines" w:linePitch="312" w:charSpace="0"/>
        </w:sectPr>
      </w:pPr>
    </w:p>
    <w:p w14:paraId="5563724F">
      <w:pPr>
        <w:spacing w:line="360" w:lineRule="auto"/>
        <w:jc w:val="center"/>
        <w:rPr>
          <w:rFonts w:hint="eastAsia" w:ascii="宋体" w:hAnsi="宋体"/>
          <w:bCs/>
          <w:color w:val="auto"/>
          <w:sz w:val="52"/>
          <w:highlight w:val="none"/>
        </w:rPr>
      </w:pPr>
      <w:r>
        <w:rPr>
          <w:rFonts w:hint="eastAsia" w:ascii="宋体" w:hAnsi="宋体"/>
          <w:bCs/>
          <w:color w:val="auto"/>
          <w:sz w:val="52"/>
          <w:highlight w:val="none"/>
        </w:rPr>
        <w:t>重要提示</w:t>
      </w:r>
    </w:p>
    <w:p w14:paraId="1C8A48C0">
      <w:pPr>
        <w:spacing w:line="360" w:lineRule="auto"/>
        <w:ind w:firstLine="537" w:firstLineChars="224"/>
        <w:jc w:val="center"/>
        <w:rPr>
          <w:rFonts w:hint="eastAsia" w:ascii="宋体" w:hAnsi="宋体"/>
          <w:bCs/>
          <w:color w:val="auto"/>
          <w:sz w:val="24"/>
          <w:highlight w:val="none"/>
        </w:rPr>
      </w:pPr>
    </w:p>
    <w:p w14:paraId="7E61A80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rPr>
        <w:t>最新指引</w:t>
      </w:r>
      <w:r>
        <w:rPr>
          <w:rFonts w:hint="eastAsia" w:ascii="宋体" w:hAnsi="宋体"/>
          <w:color w:val="auto"/>
          <w:sz w:val="24"/>
          <w:highlight w:val="none"/>
        </w:rPr>
        <w:t>。</w:t>
      </w:r>
    </w:p>
    <w:p w14:paraId="2BF2C5E0">
      <w:pPr>
        <w:jc w:val="center"/>
        <w:rPr>
          <w:rFonts w:hint="eastAsia" w:ascii="宋体" w:hAnsi="宋体"/>
          <w:b/>
          <w:color w:val="auto"/>
          <w:sz w:val="28"/>
          <w:szCs w:val="28"/>
          <w:highlight w:val="none"/>
        </w:rPr>
      </w:pPr>
    </w:p>
    <w:p w14:paraId="5B8CEFAB">
      <w:pPr>
        <w:spacing w:line="360" w:lineRule="auto"/>
        <w:ind w:firstLine="1164" w:firstLineChars="224"/>
        <w:jc w:val="center"/>
        <w:rPr>
          <w:rFonts w:hint="eastAsia" w:ascii="宋体" w:hAnsi="宋体"/>
          <w:bCs/>
          <w:color w:val="auto"/>
          <w:sz w:val="52"/>
          <w:highlight w:val="none"/>
        </w:rPr>
        <w:sectPr>
          <w:footerReference r:id="rId4" w:type="default"/>
          <w:pgSz w:w="11906" w:h="16838"/>
          <w:pgMar w:top="1440" w:right="1080" w:bottom="1440" w:left="1080" w:header="851" w:footer="1020" w:gutter="0"/>
          <w:pgNumType w:start="1"/>
          <w:cols w:space="720" w:num="1"/>
          <w:docGrid w:type="lines" w:linePitch="312" w:charSpace="0"/>
        </w:sectPr>
      </w:pPr>
    </w:p>
    <w:p w14:paraId="0A9B8E11">
      <w:pPr>
        <w:jc w:val="center"/>
        <w:rPr>
          <w:rFonts w:hint="eastAsia" w:ascii="宋体" w:hAnsi="宋体"/>
          <w:b/>
          <w:bCs/>
          <w:color w:val="auto"/>
          <w:sz w:val="48"/>
          <w:szCs w:val="48"/>
          <w:highlight w:val="none"/>
        </w:rPr>
      </w:pPr>
      <w:r>
        <w:rPr>
          <w:rFonts w:hint="eastAsia" w:ascii="宋体" w:hAnsi="宋体"/>
          <w:b/>
          <w:bCs/>
          <w:color w:val="auto"/>
          <w:sz w:val="48"/>
          <w:szCs w:val="48"/>
          <w:highlight w:val="none"/>
        </w:rPr>
        <w:t>目录</w:t>
      </w:r>
    </w:p>
    <w:p w14:paraId="7BF3286F">
      <w:pPr>
        <w:pStyle w:val="22"/>
        <w:tabs>
          <w:tab w:val="right" w:leader="dot" w:pos="9746"/>
        </w:tabs>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r>
        <w:rPr>
          <w:rFonts w:ascii="宋体" w:hAnsi="宋体"/>
          <w:color w:val="auto"/>
          <w:szCs w:val="28"/>
          <w:highlight w:val="none"/>
        </w:rPr>
        <w:fldChar w:fldCharType="begin"/>
      </w:r>
      <w:r>
        <w:rPr>
          <w:rFonts w:ascii="宋体" w:hAnsi="宋体"/>
          <w:szCs w:val="28"/>
          <w:highlight w:val="none"/>
        </w:rPr>
        <w:instrText xml:space="preserve"> HYPERLINK \l _Toc6856 </w:instrText>
      </w:r>
      <w:r>
        <w:rPr>
          <w:rFonts w:ascii="宋体" w:hAnsi="宋体"/>
          <w:szCs w:val="28"/>
          <w:highlight w:val="none"/>
        </w:rPr>
        <w:fldChar w:fldCharType="separate"/>
      </w:r>
      <w:r>
        <w:rPr>
          <w:rFonts w:hint="eastAsia"/>
          <w:highlight w:val="none"/>
        </w:rPr>
        <w:t>第一卷</w:t>
      </w:r>
      <w:r>
        <w:tab/>
      </w:r>
      <w:r>
        <w:fldChar w:fldCharType="begin"/>
      </w:r>
      <w:r>
        <w:instrText xml:space="preserve"> PAGEREF _Toc6856 \h </w:instrText>
      </w:r>
      <w:r>
        <w:fldChar w:fldCharType="separate"/>
      </w:r>
      <w:r>
        <w:t>3</w:t>
      </w:r>
      <w:r>
        <w:fldChar w:fldCharType="end"/>
      </w:r>
      <w:r>
        <w:rPr>
          <w:rFonts w:ascii="宋体" w:hAnsi="宋体"/>
          <w:color w:val="auto"/>
          <w:szCs w:val="28"/>
          <w:highlight w:val="none"/>
        </w:rPr>
        <w:fldChar w:fldCharType="end"/>
      </w:r>
    </w:p>
    <w:p w14:paraId="519C14C1">
      <w:pPr>
        <w:pStyle w:val="22"/>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_Toc18130 </w:instrText>
      </w:r>
      <w:r>
        <w:rPr>
          <w:rFonts w:ascii="宋体" w:hAnsi="宋体"/>
          <w:szCs w:val="28"/>
          <w:highlight w:val="none"/>
        </w:rPr>
        <w:fldChar w:fldCharType="separate"/>
      </w:r>
      <w:r>
        <w:rPr>
          <w:rFonts w:hint="eastAsia"/>
          <w:highlight w:val="none"/>
        </w:rPr>
        <w:t>第一章  招标公告</w:t>
      </w:r>
      <w:r>
        <w:tab/>
      </w:r>
      <w:r>
        <w:fldChar w:fldCharType="begin"/>
      </w:r>
      <w:r>
        <w:instrText xml:space="preserve"> PAGEREF _Toc18130 \h </w:instrText>
      </w:r>
      <w:r>
        <w:fldChar w:fldCharType="separate"/>
      </w:r>
      <w:r>
        <w:t>3</w:t>
      </w:r>
      <w:r>
        <w:fldChar w:fldCharType="end"/>
      </w:r>
      <w:r>
        <w:rPr>
          <w:rFonts w:ascii="宋体" w:hAnsi="宋体"/>
          <w:color w:val="auto"/>
          <w:szCs w:val="28"/>
          <w:highlight w:val="none"/>
        </w:rPr>
        <w:fldChar w:fldCharType="end"/>
      </w:r>
    </w:p>
    <w:p w14:paraId="559AA7F4">
      <w:pPr>
        <w:pStyle w:val="22"/>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_Toc55 </w:instrText>
      </w:r>
      <w:r>
        <w:rPr>
          <w:rFonts w:ascii="宋体" w:hAnsi="宋体"/>
          <w:szCs w:val="28"/>
          <w:highlight w:val="none"/>
        </w:rPr>
        <w:fldChar w:fldCharType="separate"/>
      </w:r>
      <w:r>
        <w:rPr>
          <w:rFonts w:hint="eastAsia"/>
          <w:highlight w:val="none"/>
        </w:rPr>
        <w:t>第二章  投标人须知</w:t>
      </w:r>
      <w:r>
        <w:tab/>
      </w:r>
      <w:r>
        <w:fldChar w:fldCharType="begin"/>
      </w:r>
      <w:r>
        <w:instrText xml:space="preserve"> PAGEREF _Toc55 \h </w:instrText>
      </w:r>
      <w:r>
        <w:fldChar w:fldCharType="separate"/>
      </w:r>
      <w:r>
        <w:t>4</w:t>
      </w:r>
      <w:r>
        <w:fldChar w:fldCharType="end"/>
      </w:r>
      <w:r>
        <w:rPr>
          <w:rFonts w:ascii="宋体" w:hAnsi="宋体"/>
          <w:color w:val="auto"/>
          <w:szCs w:val="28"/>
          <w:highlight w:val="none"/>
        </w:rPr>
        <w:fldChar w:fldCharType="end"/>
      </w:r>
    </w:p>
    <w:p w14:paraId="356B6825">
      <w:pPr>
        <w:pStyle w:val="23"/>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_Toc6446 </w:instrText>
      </w:r>
      <w:r>
        <w:rPr>
          <w:rFonts w:ascii="宋体" w:hAnsi="宋体"/>
          <w:szCs w:val="28"/>
          <w:highlight w:val="none"/>
        </w:rPr>
        <w:fldChar w:fldCharType="separate"/>
      </w:r>
      <w:r>
        <w:rPr>
          <w:rFonts w:hint="eastAsia" w:ascii="宋体" w:hAnsi="宋体"/>
          <w:highlight w:val="none"/>
        </w:rPr>
        <w:t>投标人须知前附表</w:t>
      </w:r>
      <w:r>
        <w:tab/>
      </w:r>
      <w:r>
        <w:fldChar w:fldCharType="begin"/>
      </w:r>
      <w:r>
        <w:instrText xml:space="preserve"> PAGEREF _Toc6446 \h </w:instrText>
      </w:r>
      <w:r>
        <w:fldChar w:fldCharType="separate"/>
      </w:r>
      <w:r>
        <w:t>4</w:t>
      </w:r>
      <w:r>
        <w:fldChar w:fldCharType="end"/>
      </w:r>
      <w:r>
        <w:rPr>
          <w:rFonts w:ascii="宋体" w:hAnsi="宋体"/>
          <w:color w:val="auto"/>
          <w:szCs w:val="28"/>
          <w:highlight w:val="none"/>
        </w:rPr>
        <w:fldChar w:fldCharType="end"/>
      </w:r>
    </w:p>
    <w:p w14:paraId="0589063C">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_Toc17866 </w:instrText>
      </w:r>
      <w:r>
        <w:rPr>
          <w:rFonts w:ascii="宋体" w:hAnsi="宋体"/>
          <w:szCs w:val="28"/>
          <w:highlight w:val="none"/>
        </w:rPr>
        <w:fldChar w:fldCharType="separate"/>
      </w:r>
      <w:r>
        <w:rPr>
          <w:highlight w:val="none"/>
        </w:rPr>
        <w:t xml:space="preserve">1. </w:t>
      </w:r>
      <w:r>
        <w:rPr>
          <w:rFonts w:hint="eastAsia"/>
          <w:highlight w:val="none"/>
        </w:rPr>
        <w:t>总则</w:t>
      </w:r>
      <w:r>
        <w:tab/>
      </w:r>
      <w:r>
        <w:fldChar w:fldCharType="begin"/>
      </w:r>
      <w:r>
        <w:instrText xml:space="preserve"> PAGEREF _Toc17866 \h </w:instrText>
      </w:r>
      <w:r>
        <w:fldChar w:fldCharType="separate"/>
      </w:r>
      <w:r>
        <w:t>11</w:t>
      </w:r>
      <w:r>
        <w:fldChar w:fldCharType="end"/>
      </w:r>
      <w:r>
        <w:rPr>
          <w:rFonts w:ascii="宋体" w:hAnsi="宋体"/>
          <w:color w:val="auto"/>
          <w:szCs w:val="28"/>
          <w:highlight w:val="none"/>
        </w:rPr>
        <w:fldChar w:fldCharType="end"/>
      </w:r>
    </w:p>
    <w:p w14:paraId="135076A2">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_Toc17570 </w:instrText>
      </w:r>
      <w:r>
        <w:rPr>
          <w:rFonts w:ascii="宋体" w:hAnsi="宋体"/>
          <w:szCs w:val="28"/>
          <w:highlight w:val="none"/>
        </w:rPr>
        <w:fldChar w:fldCharType="separate"/>
      </w:r>
      <w:r>
        <w:rPr>
          <w:highlight w:val="none"/>
        </w:rPr>
        <w:t xml:space="preserve">2. </w:t>
      </w:r>
      <w:r>
        <w:rPr>
          <w:rFonts w:hint="eastAsia"/>
          <w:highlight w:val="none"/>
        </w:rPr>
        <w:t>招标文件</w:t>
      </w:r>
      <w:r>
        <w:tab/>
      </w:r>
      <w:r>
        <w:fldChar w:fldCharType="begin"/>
      </w:r>
      <w:r>
        <w:instrText xml:space="preserve"> PAGEREF _Toc17570 \h </w:instrText>
      </w:r>
      <w:r>
        <w:fldChar w:fldCharType="separate"/>
      </w:r>
      <w:r>
        <w:t>13</w:t>
      </w:r>
      <w:r>
        <w:fldChar w:fldCharType="end"/>
      </w:r>
      <w:r>
        <w:rPr>
          <w:rFonts w:ascii="宋体" w:hAnsi="宋体"/>
          <w:color w:val="auto"/>
          <w:szCs w:val="28"/>
          <w:highlight w:val="none"/>
        </w:rPr>
        <w:fldChar w:fldCharType="end"/>
      </w:r>
    </w:p>
    <w:p w14:paraId="6070C905">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_Toc14467 </w:instrText>
      </w:r>
      <w:r>
        <w:rPr>
          <w:rFonts w:ascii="宋体" w:hAnsi="宋体"/>
          <w:szCs w:val="28"/>
          <w:highlight w:val="none"/>
        </w:rPr>
        <w:fldChar w:fldCharType="separate"/>
      </w:r>
      <w:r>
        <w:rPr>
          <w:highlight w:val="none"/>
        </w:rPr>
        <w:t xml:space="preserve">3. </w:t>
      </w:r>
      <w:r>
        <w:rPr>
          <w:rFonts w:hint="eastAsia"/>
          <w:highlight w:val="none"/>
        </w:rPr>
        <w:t>投标文件</w:t>
      </w:r>
      <w:r>
        <w:tab/>
      </w:r>
      <w:r>
        <w:fldChar w:fldCharType="begin"/>
      </w:r>
      <w:r>
        <w:instrText xml:space="preserve"> PAGEREF _Toc14467 \h </w:instrText>
      </w:r>
      <w:r>
        <w:fldChar w:fldCharType="separate"/>
      </w:r>
      <w:r>
        <w:t>14</w:t>
      </w:r>
      <w:r>
        <w:fldChar w:fldCharType="end"/>
      </w:r>
      <w:r>
        <w:rPr>
          <w:rFonts w:ascii="宋体" w:hAnsi="宋体"/>
          <w:color w:val="auto"/>
          <w:szCs w:val="28"/>
          <w:highlight w:val="none"/>
        </w:rPr>
        <w:fldChar w:fldCharType="end"/>
      </w:r>
    </w:p>
    <w:p w14:paraId="0C190ED5">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_Toc20565 </w:instrText>
      </w:r>
      <w:r>
        <w:rPr>
          <w:rFonts w:ascii="宋体" w:hAnsi="宋体"/>
          <w:szCs w:val="28"/>
          <w:highlight w:val="none"/>
        </w:rPr>
        <w:fldChar w:fldCharType="separate"/>
      </w:r>
      <w:r>
        <w:rPr>
          <w:highlight w:val="none"/>
        </w:rPr>
        <w:t xml:space="preserve">4. </w:t>
      </w:r>
      <w:r>
        <w:rPr>
          <w:rFonts w:hint="eastAsia"/>
          <w:highlight w:val="none"/>
        </w:rPr>
        <w:t>投标</w:t>
      </w:r>
      <w:r>
        <w:tab/>
      </w:r>
      <w:r>
        <w:fldChar w:fldCharType="begin"/>
      </w:r>
      <w:r>
        <w:instrText xml:space="preserve"> PAGEREF _Toc20565 \h </w:instrText>
      </w:r>
      <w:r>
        <w:fldChar w:fldCharType="separate"/>
      </w:r>
      <w:r>
        <w:t>16</w:t>
      </w:r>
      <w:r>
        <w:fldChar w:fldCharType="end"/>
      </w:r>
      <w:r>
        <w:rPr>
          <w:rFonts w:ascii="宋体" w:hAnsi="宋体"/>
          <w:color w:val="auto"/>
          <w:szCs w:val="28"/>
          <w:highlight w:val="none"/>
        </w:rPr>
        <w:fldChar w:fldCharType="end"/>
      </w:r>
    </w:p>
    <w:p w14:paraId="1D3AD4BF">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_Toc8307 </w:instrText>
      </w:r>
      <w:r>
        <w:rPr>
          <w:rFonts w:ascii="宋体" w:hAnsi="宋体"/>
          <w:szCs w:val="28"/>
          <w:highlight w:val="none"/>
        </w:rPr>
        <w:fldChar w:fldCharType="separate"/>
      </w:r>
      <w:r>
        <w:rPr>
          <w:highlight w:val="none"/>
        </w:rPr>
        <w:t xml:space="preserve">5. </w:t>
      </w:r>
      <w:r>
        <w:rPr>
          <w:rFonts w:hint="eastAsia"/>
          <w:highlight w:val="none"/>
        </w:rPr>
        <w:t>开标</w:t>
      </w:r>
      <w:r>
        <w:tab/>
      </w:r>
      <w:r>
        <w:fldChar w:fldCharType="begin"/>
      </w:r>
      <w:r>
        <w:instrText xml:space="preserve"> PAGEREF _Toc8307 \h </w:instrText>
      </w:r>
      <w:r>
        <w:fldChar w:fldCharType="separate"/>
      </w:r>
      <w:r>
        <w:t>17</w:t>
      </w:r>
      <w:r>
        <w:fldChar w:fldCharType="end"/>
      </w:r>
      <w:r>
        <w:rPr>
          <w:rFonts w:ascii="宋体" w:hAnsi="宋体"/>
          <w:color w:val="auto"/>
          <w:szCs w:val="28"/>
          <w:highlight w:val="none"/>
        </w:rPr>
        <w:fldChar w:fldCharType="end"/>
      </w:r>
    </w:p>
    <w:p w14:paraId="5557022F">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_Toc21387 </w:instrText>
      </w:r>
      <w:r>
        <w:rPr>
          <w:rFonts w:ascii="宋体" w:hAnsi="宋体"/>
          <w:szCs w:val="28"/>
          <w:highlight w:val="none"/>
        </w:rPr>
        <w:fldChar w:fldCharType="separate"/>
      </w:r>
      <w:r>
        <w:rPr>
          <w:highlight w:val="none"/>
        </w:rPr>
        <w:t xml:space="preserve">6. </w:t>
      </w:r>
      <w:r>
        <w:rPr>
          <w:rFonts w:hint="eastAsia"/>
          <w:highlight w:val="none"/>
        </w:rPr>
        <w:t>评标</w:t>
      </w:r>
      <w:r>
        <w:tab/>
      </w:r>
      <w:r>
        <w:fldChar w:fldCharType="begin"/>
      </w:r>
      <w:r>
        <w:instrText xml:space="preserve"> PAGEREF _Toc21387 \h </w:instrText>
      </w:r>
      <w:r>
        <w:fldChar w:fldCharType="separate"/>
      </w:r>
      <w:r>
        <w:t>18</w:t>
      </w:r>
      <w:r>
        <w:fldChar w:fldCharType="end"/>
      </w:r>
      <w:r>
        <w:rPr>
          <w:rFonts w:ascii="宋体" w:hAnsi="宋体"/>
          <w:color w:val="auto"/>
          <w:szCs w:val="28"/>
          <w:highlight w:val="none"/>
        </w:rPr>
        <w:fldChar w:fldCharType="end"/>
      </w:r>
    </w:p>
    <w:p w14:paraId="72A15C58">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_Toc20828 </w:instrText>
      </w:r>
      <w:r>
        <w:rPr>
          <w:rFonts w:ascii="宋体" w:hAnsi="宋体"/>
          <w:szCs w:val="28"/>
          <w:highlight w:val="none"/>
        </w:rPr>
        <w:fldChar w:fldCharType="separate"/>
      </w:r>
      <w:r>
        <w:rPr>
          <w:highlight w:val="none"/>
        </w:rPr>
        <w:t xml:space="preserve">7. </w:t>
      </w:r>
      <w:r>
        <w:rPr>
          <w:rFonts w:hint="eastAsia"/>
          <w:highlight w:val="none"/>
        </w:rPr>
        <w:t>合同授予</w:t>
      </w:r>
      <w:r>
        <w:tab/>
      </w:r>
      <w:r>
        <w:fldChar w:fldCharType="begin"/>
      </w:r>
      <w:r>
        <w:instrText xml:space="preserve"> PAGEREF _Toc20828 \h </w:instrText>
      </w:r>
      <w:r>
        <w:fldChar w:fldCharType="separate"/>
      </w:r>
      <w:r>
        <w:t>18</w:t>
      </w:r>
      <w:r>
        <w:fldChar w:fldCharType="end"/>
      </w:r>
      <w:r>
        <w:rPr>
          <w:rFonts w:ascii="宋体" w:hAnsi="宋体"/>
          <w:color w:val="auto"/>
          <w:szCs w:val="28"/>
          <w:highlight w:val="none"/>
        </w:rPr>
        <w:fldChar w:fldCharType="end"/>
      </w:r>
    </w:p>
    <w:p w14:paraId="2F266DC9">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_Toc20041 </w:instrText>
      </w:r>
      <w:r>
        <w:rPr>
          <w:rFonts w:ascii="宋体" w:hAnsi="宋体"/>
          <w:szCs w:val="28"/>
          <w:highlight w:val="none"/>
        </w:rPr>
        <w:fldChar w:fldCharType="separate"/>
      </w:r>
      <w:r>
        <w:rPr>
          <w:highlight w:val="none"/>
        </w:rPr>
        <w:t xml:space="preserve">8. </w:t>
      </w:r>
      <w:r>
        <w:rPr>
          <w:rFonts w:hint="eastAsia"/>
          <w:highlight w:val="none"/>
        </w:rPr>
        <w:t>纪律和监督</w:t>
      </w:r>
      <w:r>
        <w:tab/>
      </w:r>
      <w:r>
        <w:fldChar w:fldCharType="begin"/>
      </w:r>
      <w:r>
        <w:instrText xml:space="preserve"> PAGEREF _Toc20041 \h </w:instrText>
      </w:r>
      <w:r>
        <w:fldChar w:fldCharType="separate"/>
      </w:r>
      <w:r>
        <w:t>20</w:t>
      </w:r>
      <w:r>
        <w:fldChar w:fldCharType="end"/>
      </w:r>
      <w:r>
        <w:rPr>
          <w:rFonts w:ascii="宋体" w:hAnsi="宋体"/>
          <w:color w:val="auto"/>
          <w:szCs w:val="28"/>
          <w:highlight w:val="none"/>
        </w:rPr>
        <w:fldChar w:fldCharType="end"/>
      </w:r>
    </w:p>
    <w:p w14:paraId="5CA8F16D">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_Toc344 </w:instrText>
      </w:r>
      <w:r>
        <w:rPr>
          <w:rFonts w:ascii="宋体" w:hAnsi="宋体"/>
          <w:szCs w:val="28"/>
          <w:highlight w:val="none"/>
        </w:rPr>
        <w:fldChar w:fldCharType="separate"/>
      </w:r>
      <w:r>
        <w:rPr>
          <w:highlight w:val="none"/>
        </w:rPr>
        <w:t xml:space="preserve">9. </w:t>
      </w:r>
      <w:r>
        <w:rPr>
          <w:rFonts w:hint="eastAsia"/>
          <w:highlight w:val="none"/>
        </w:rPr>
        <w:t>是否采用电子招标投标</w:t>
      </w:r>
      <w:r>
        <w:tab/>
      </w:r>
      <w:r>
        <w:fldChar w:fldCharType="begin"/>
      </w:r>
      <w:r>
        <w:instrText xml:space="preserve"> PAGEREF _Toc344 \h </w:instrText>
      </w:r>
      <w:r>
        <w:fldChar w:fldCharType="separate"/>
      </w:r>
      <w:r>
        <w:t>20</w:t>
      </w:r>
      <w:r>
        <w:fldChar w:fldCharType="end"/>
      </w:r>
      <w:r>
        <w:rPr>
          <w:rFonts w:ascii="宋体" w:hAnsi="宋体"/>
          <w:color w:val="auto"/>
          <w:szCs w:val="28"/>
          <w:highlight w:val="none"/>
        </w:rPr>
        <w:fldChar w:fldCharType="end"/>
      </w:r>
    </w:p>
    <w:p w14:paraId="52F8B62D">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_Toc988 </w:instrText>
      </w:r>
      <w:r>
        <w:rPr>
          <w:rFonts w:ascii="宋体" w:hAnsi="宋体"/>
          <w:szCs w:val="28"/>
          <w:highlight w:val="none"/>
        </w:rPr>
        <w:fldChar w:fldCharType="separate"/>
      </w:r>
      <w:r>
        <w:rPr>
          <w:highlight w:val="none"/>
        </w:rPr>
        <w:t xml:space="preserve">10. </w:t>
      </w:r>
      <w:r>
        <w:rPr>
          <w:rFonts w:hint="eastAsia"/>
          <w:highlight w:val="none"/>
        </w:rPr>
        <w:t>需要补充的其他内容</w:t>
      </w:r>
      <w:r>
        <w:tab/>
      </w:r>
      <w:r>
        <w:fldChar w:fldCharType="begin"/>
      </w:r>
      <w:r>
        <w:instrText xml:space="preserve"> PAGEREF _Toc988 \h </w:instrText>
      </w:r>
      <w:r>
        <w:fldChar w:fldCharType="separate"/>
      </w:r>
      <w:r>
        <w:t>20</w:t>
      </w:r>
      <w:r>
        <w:fldChar w:fldCharType="end"/>
      </w:r>
      <w:r>
        <w:rPr>
          <w:rFonts w:ascii="宋体" w:hAnsi="宋体"/>
          <w:color w:val="auto"/>
          <w:szCs w:val="28"/>
          <w:highlight w:val="none"/>
        </w:rPr>
        <w:fldChar w:fldCharType="end"/>
      </w:r>
    </w:p>
    <w:p w14:paraId="18484810">
      <w:pPr>
        <w:pStyle w:val="23"/>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_Toc20205 </w:instrText>
      </w:r>
      <w:r>
        <w:rPr>
          <w:rFonts w:ascii="宋体" w:hAnsi="宋体"/>
          <w:szCs w:val="28"/>
          <w:highlight w:val="none"/>
        </w:rPr>
        <w:fldChar w:fldCharType="separate"/>
      </w:r>
      <w:r>
        <w:rPr>
          <w:rFonts w:hint="eastAsia" w:ascii="宋体" w:hAnsi="宋体"/>
          <w:highlight w:val="none"/>
        </w:rPr>
        <w:t>评标办法前附表</w:t>
      </w:r>
      <w:r>
        <w:tab/>
      </w:r>
      <w:r>
        <w:fldChar w:fldCharType="begin"/>
      </w:r>
      <w:r>
        <w:instrText xml:space="preserve"> PAGEREF _Toc20205 \h </w:instrText>
      </w:r>
      <w:r>
        <w:fldChar w:fldCharType="separate"/>
      </w:r>
      <w:r>
        <w:t>22</w:t>
      </w:r>
      <w:r>
        <w:fldChar w:fldCharType="end"/>
      </w:r>
      <w:r>
        <w:rPr>
          <w:rFonts w:ascii="宋体" w:hAnsi="宋体"/>
          <w:color w:val="auto"/>
          <w:szCs w:val="28"/>
          <w:highlight w:val="none"/>
        </w:rPr>
        <w:fldChar w:fldCharType="end"/>
      </w:r>
    </w:p>
    <w:p w14:paraId="78F9534C">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_Toc25276 </w:instrText>
      </w:r>
      <w:r>
        <w:rPr>
          <w:rFonts w:ascii="宋体" w:hAnsi="宋体"/>
          <w:szCs w:val="28"/>
          <w:highlight w:val="none"/>
        </w:rPr>
        <w:fldChar w:fldCharType="separate"/>
      </w:r>
      <w:r>
        <w:rPr>
          <w:rFonts w:hint="eastAsia"/>
        </w:rPr>
        <w:t xml:space="preserve">1. </w:t>
      </w:r>
      <w:r>
        <w:rPr>
          <w:rFonts w:hint="eastAsia" w:ascii="宋体" w:hAnsi="宋体" w:eastAsia="宋体" w:cs="Times New Roman"/>
          <w:highlight w:val="none"/>
        </w:rPr>
        <w:t>评标</w:t>
      </w:r>
      <w:r>
        <w:rPr>
          <w:rFonts w:hint="eastAsia"/>
          <w:highlight w:val="none"/>
        </w:rPr>
        <w:t>方法</w:t>
      </w:r>
      <w:r>
        <w:tab/>
      </w:r>
      <w:r>
        <w:fldChar w:fldCharType="begin"/>
      </w:r>
      <w:r>
        <w:instrText xml:space="preserve"> PAGEREF _Toc25276 \h </w:instrText>
      </w:r>
      <w:r>
        <w:fldChar w:fldCharType="separate"/>
      </w:r>
      <w:r>
        <w:t>27</w:t>
      </w:r>
      <w:r>
        <w:fldChar w:fldCharType="end"/>
      </w:r>
      <w:r>
        <w:rPr>
          <w:rFonts w:ascii="宋体" w:hAnsi="宋体"/>
          <w:color w:val="auto"/>
          <w:szCs w:val="28"/>
          <w:highlight w:val="none"/>
        </w:rPr>
        <w:fldChar w:fldCharType="end"/>
      </w:r>
    </w:p>
    <w:p w14:paraId="2F78C7E6">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_Toc10943 </w:instrText>
      </w:r>
      <w:r>
        <w:rPr>
          <w:rFonts w:ascii="宋体" w:hAnsi="宋体"/>
          <w:szCs w:val="28"/>
          <w:highlight w:val="none"/>
        </w:rPr>
        <w:fldChar w:fldCharType="separate"/>
      </w:r>
      <w:r>
        <w:rPr>
          <w:highlight w:val="none"/>
        </w:rPr>
        <w:t xml:space="preserve">2. </w:t>
      </w:r>
      <w:r>
        <w:rPr>
          <w:rFonts w:hint="eastAsia"/>
          <w:highlight w:val="none"/>
        </w:rPr>
        <w:t>评审标准</w:t>
      </w:r>
      <w:r>
        <w:tab/>
      </w:r>
      <w:r>
        <w:fldChar w:fldCharType="begin"/>
      </w:r>
      <w:r>
        <w:instrText xml:space="preserve"> PAGEREF _Toc10943 \h </w:instrText>
      </w:r>
      <w:r>
        <w:fldChar w:fldCharType="separate"/>
      </w:r>
      <w:r>
        <w:t>27</w:t>
      </w:r>
      <w:r>
        <w:fldChar w:fldCharType="end"/>
      </w:r>
      <w:r>
        <w:rPr>
          <w:rFonts w:ascii="宋体" w:hAnsi="宋体"/>
          <w:color w:val="auto"/>
          <w:szCs w:val="28"/>
          <w:highlight w:val="none"/>
        </w:rPr>
        <w:fldChar w:fldCharType="end"/>
      </w:r>
    </w:p>
    <w:p w14:paraId="730C5A07">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_Toc19392 </w:instrText>
      </w:r>
      <w:r>
        <w:rPr>
          <w:rFonts w:ascii="宋体" w:hAnsi="宋体"/>
          <w:szCs w:val="28"/>
          <w:highlight w:val="none"/>
        </w:rPr>
        <w:fldChar w:fldCharType="separate"/>
      </w:r>
      <w:r>
        <w:rPr>
          <w:highlight w:val="none"/>
        </w:rPr>
        <w:t xml:space="preserve">3. </w:t>
      </w:r>
      <w:r>
        <w:rPr>
          <w:rFonts w:hint="eastAsia"/>
          <w:highlight w:val="none"/>
        </w:rPr>
        <w:t>评标程序</w:t>
      </w:r>
      <w:r>
        <w:tab/>
      </w:r>
      <w:r>
        <w:fldChar w:fldCharType="begin"/>
      </w:r>
      <w:r>
        <w:instrText xml:space="preserve"> PAGEREF _Toc19392 \h </w:instrText>
      </w:r>
      <w:r>
        <w:fldChar w:fldCharType="separate"/>
      </w:r>
      <w:r>
        <w:t>27</w:t>
      </w:r>
      <w:r>
        <w:fldChar w:fldCharType="end"/>
      </w:r>
      <w:r>
        <w:rPr>
          <w:rFonts w:ascii="宋体" w:hAnsi="宋体"/>
          <w:color w:val="auto"/>
          <w:szCs w:val="28"/>
          <w:highlight w:val="none"/>
        </w:rPr>
        <w:fldChar w:fldCharType="end"/>
      </w:r>
    </w:p>
    <w:p w14:paraId="209E2589">
      <w:pPr>
        <w:pStyle w:val="22"/>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_Toc4244 </w:instrText>
      </w:r>
      <w:r>
        <w:rPr>
          <w:rFonts w:ascii="宋体" w:hAnsi="宋体"/>
          <w:szCs w:val="28"/>
          <w:highlight w:val="none"/>
        </w:rPr>
        <w:fldChar w:fldCharType="separate"/>
      </w:r>
      <w:r>
        <w:rPr>
          <w:rFonts w:hint="eastAsia"/>
        </w:rPr>
        <w:t xml:space="preserve">第四章 </w:t>
      </w:r>
      <w:r>
        <w:rPr>
          <w:rFonts w:hint="eastAsia"/>
          <w:highlight w:val="none"/>
        </w:rPr>
        <w:t>合同条款及格</w:t>
      </w:r>
      <w:r>
        <w:tab/>
      </w:r>
      <w:r>
        <w:fldChar w:fldCharType="begin"/>
      </w:r>
      <w:r>
        <w:instrText xml:space="preserve"> PAGEREF _Toc4244 \h </w:instrText>
      </w:r>
      <w:r>
        <w:fldChar w:fldCharType="separate"/>
      </w:r>
      <w:r>
        <w:t>30</w:t>
      </w:r>
      <w:r>
        <w:fldChar w:fldCharType="end"/>
      </w:r>
      <w:r>
        <w:rPr>
          <w:rFonts w:ascii="宋体" w:hAnsi="宋体"/>
          <w:color w:val="auto"/>
          <w:szCs w:val="28"/>
          <w:highlight w:val="none"/>
        </w:rPr>
        <w:fldChar w:fldCharType="end"/>
      </w:r>
    </w:p>
    <w:p w14:paraId="7F1FEA4D">
      <w:pPr>
        <w:pStyle w:val="22"/>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_Toc20926 </w:instrText>
      </w:r>
      <w:r>
        <w:rPr>
          <w:rFonts w:ascii="宋体" w:hAnsi="宋体"/>
          <w:szCs w:val="28"/>
          <w:highlight w:val="none"/>
        </w:rPr>
        <w:fldChar w:fldCharType="separate"/>
      </w:r>
      <w:r>
        <w:rPr>
          <w:rFonts w:hint="eastAsia"/>
          <w:highlight w:val="none"/>
        </w:rPr>
        <w:t>第二卷</w:t>
      </w:r>
      <w:r>
        <w:tab/>
      </w:r>
      <w:r>
        <w:fldChar w:fldCharType="begin"/>
      </w:r>
      <w:r>
        <w:instrText xml:space="preserve"> PAGEREF _Toc20926 \h </w:instrText>
      </w:r>
      <w:r>
        <w:fldChar w:fldCharType="separate"/>
      </w:r>
      <w:r>
        <w:t>31</w:t>
      </w:r>
      <w:r>
        <w:fldChar w:fldCharType="end"/>
      </w:r>
      <w:r>
        <w:rPr>
          <w:rFonts w:ascii="宋体" w:hAnsi="宋体"/>
          <w:color w:val="auto"/>
          <w:szCs w:val="28"/>
          <w:highlight w:val="none"/>
        </w:rPr>
        <w:fldChar w:fldCharType="end"/>
      </w:r>
    </w:p>
    <w:p w14:paraId="39FB1367">
      <w:pPr>
        <w:pStyle w:val="22"/>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_Toc2489 </w:instrText>
      </w:r>
      <w:r>
        <w:rPr>
          <w:rFonts w:ascii="宋体" w:hAnsi="宋体"/>
          <w:szCs w:val="28"/>
          <w:highlight w:val="none"/>
        </w:rPr>
        <w:fldChar w:fldCharType="separate"/>
      </w:r>
      <w:r>
        <w:rPr>
          <w:rFonts w:hint="eastAsia"/>
        </w:rPr>
        <w:t xml:space="preserve">第五章 </w:t>
      </w:r>
      <w:r>
        <w:rPr>
          <w:rFonts w:hint="eastAsia"/>
          <w:highlight w:val="none"/>
        </w:rPr>
        <w:t>委托人要求</w:t>
      </w:r>
      <w:r>
        <w:tab/>
      </w:r>
      <w:r>
        <w:fldChar w:fldCharType="begin"/>
      </w:r>
      <w:r>
        <w:instrText xml:space="preserve"> PAGEREF _Toc2489 \h </w:instrText>
      </w:r>
      <w:r>
        <w:fldChar w:fldCharType="separate"/>
      </w:r>
      <w:r>
        <w:t>31</w:t>
      </w:r>
      <w:r>
        <w:fldChar w:fldCharType="end"/>
      </w:r>
      <w:r>
        <w:rPr>
          <w:rFonts w:ascii="宋体" w:hAnsi="宋体"/>
          <w:color w:val="auto"/>
          <w:szCs w:val="28"/>
          <w:highlight w:val="none"/>
        </w:rPr>
        <w:fldChar w:fldCharType="end"/>
      </w:r>
    </w:p>
    <w:p w14:paraId="3F4E5142">
      <w:pPr>
        <w:pStyle w:val="22"/>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_Toc12303 </w:instrText>
      </w:r>
      <w:r>
        <w:rPr>
          <w:rFonts w:ascii="宋体" w:hAnsi="宋体"/>
          <w:szCs w:val="28"/>
          <w:highlight w:val="none"/>
        </w:rPr>
        <w:fldChar w:fldCharType="separate"/>
      </w:r>
      <w:r>
        <w:rPr>
          <w:rFonts w:hint="eastAsia"/>
          <w:highlight w:val="none"/>
        </w:rPr>
        <w:t>第三卷</w:t>
      </w:r>
      <w:r>
        <w:tab/>
      </w:r>
      <w:r>
        <w:fldChar w:fldCharType="begin"/>
      </w:r>
      <w:r>
        <w:instrText xml:space="preserve"> PAGEREF _Toc12303 \h </w:instrText>
      </w:r>
      <w:r>
        <w:fldChar w:fldCharType="separate"/>
      </w:r>
      <w:r>
        <w:t>41</w:t>
      </w:r>
      <w:r>
        <w:fldChar w:fldCharType="end"/>
      </w:r>
      <w:r>
        <w:rPr>
          <w:rFonts w:ascii="宋体" w:hAnsi="宋体"/>
          <w:color w:val="auto"/>
          <w:szCs w:val="28"/>
          <w:highlight w:val="none"/>
        </w:rPr>
        <w:fldChar w:fldCharType="end"/>
      </w:r>
    </w:p>
    <w:p w14:paraId="1EDD7582">
      <w:pPr>
        <w:pStyle w:val="22"/>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_Toc20522 </w:instrText>
      </w:r>
      <w:r>
        <w:rPr>
          <w:rFonts w:ascii="宋体" w:hAnsi="宋体"/>
          <w:szCs w:val="28"/>
          <w:highlight w:val="none"/>
        </w:rPr>
        <w:fldChar w:fldCharType="separate"/>
      </w:r>
      <w:r>
        <w:rPr>
          <w:rFonts w:hint="eastAsia"/>
          <w:highlight w:val="none"/>
        </w:rPr>
        <w:t>第六章  投标文件格式</w:t>
      </w:r>
      <w:r>
        <w:tab/>
      </w:r>
      <w:r>
        <w:fldChar w:fldCharType="begin"/>
      </w:r>
      <w:r>
        <w:instrText xml:space="preserve"> PAGEREF _Toc20522 \h </w:instrText>
      </w:r>
      <w:r>
        <w:fldChar w:fldCharType="separate"/>
      </w:r>
      <w:r>
        <w:t>41</w:t>
      </w:r>
      <w:r>
        <w:fldChar w:fldCharType="end"/>
      </w:r>
      <w:r>
        <w:rPr>
          <w:rFonts w:ascii="宋体" w:hAnsi="宋体"/>
          <w:color w:val="auto"/>
          <w:szCs w:val="28"/>
          <w:highlight w:val="none"/>
        </w:rPr>
        <w:fldChar w:fldCharType="end"/>
      </w:r>
    </w:p>
    <w:p w14:paraId="662BB196">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_Toc31926 </w:instrText>
      </w:r>
      <w:r>
        <w:rPr>
          <w:rFonts w:ascii="宋体" w:hAnsi="宋体"/>
          <w:szCs w:val="28"/>
          <w:highlight w:val="none"/>
        </w:rPr>
        <w:fldChar w:fldCharType="separate"/>
      </w:r>
      <w:r>
        <w:rPr>
          <w:rFonts w:hint="eastAsia"/>
          <w:highlight w:val="none"/>
        </w:rPr>
        <w:t>一、投标函及其附表</w:t>
      </w:r>
      <w:r>
        <w:tab/>
      </w:r>
      <w:r>
        <w:fldChar w:fldCharType="begin"/>
      </w:r>
      <w:r>
        <w:instrText xml:space="preserve"> PAGEREF _Toc31926 \h </w:instrText>
      </w:r>
      <w:r>
        <w:fldChar w:fldCharType="separate"/>
      </w:r>
      <w:r>
        <w:t>42</w:t>
      </w:r>
      <w:r>
        <w:fldChar w:fldCharType="end"/>
      </w:r>
      <w:r>
        <w:rPr>
          <w:rFonts w:ascii="宋体" w:hAnsi="宋体"/>
          <w:color w:val="auto"/>
          <w:szCs w:val="28"/>
          <w:highlight w:val="none"/>
        </w:rPr>
        <w:fldChar w:fldCharType="end"/>
      </w:r>
    </w:p>
    <w:p w14:paraId="544DF4C8">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_Toc15853 </w:instrText>
      </w:r>
      <w:r>
        <w:rPr>
          <w:rFonts w:ascii="宋体" w:hAnsi="宋体"/>
          <w:szCs w:val="28"/>
          <w:highlight w:val="none"/>
        </w:rPr>
        <w:fldChar w:fldCharType="separate"/>
      </w:r>
      <w:r>
        <w:rPr>
          <w:rFonts w:hint="eastAsia"/>
          <w:highlight w:val="none"/>
        </w:rPr>
        <w:t>二、法定代表人证明书及授权委托书</w:t>
      </w:r>
      <w:r>
        <w:tab/>
      </w:r>
      <w:r>
        <w:fldChar w:fldCharType="begin"/>
      </w:r>
      <w:r>
        <w:instrText xml:space="preserve"> PAGEREF _Toc15853 \h </w:instrText>
      </w:r>
      <w:r>
        <w:fldChar w:fldCharType="separate"/>
      </w:r>
      <w:r>
        <w:t>44</w:t>
      </w:r>
      <w:r>
        <w:fldChar w:fldCharType="end"/>
      </w:r>
      <w:r>
        <w:rPr>
          <w:rFonts w:ascii="宋体" w:hAnsi="宋体"/>
          <w:color w:val="auto"/>
          <w:szCs w:val="28"/>
          <w:highlight w:val="none"/>
        </w:rPr>
        <w:fldChar w:fldCharType="end"/>
      </w:r>
    </w:p>
    <w:p w14:paraId="00B2F4A3">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_Toc7529 </w:instrText>
      </w:r>
      <w:r>
        <w:rPr>
          <w:rFonts w:ascii="宋体" w:hAnsi="宋体"/>
          <w:szCs w:val="28"/>
          <w:highlight w:val="none"/>
        </w:rPr>
        <w:fldChar w:fldCharType="separate"/>
      </w:r>
      <w:r>
        <w:rPr>
          <w:rFonts w:hint="eastAsia"/>
          <w:highlight w:val="none"/>
        </w:rPr>
        <w:t>三、联合体协议书</w:t>
      </w:r>
      <w:r>
        <w:tab/>
      </w:r>
      <w:r>
        <w:fldChar w:fldCharType="begin"/>
      </w:r>
      <w:r>
        <w:instrText xml:space="preserve"> PAGEREF _Toc7529 \h </w:instrText>
      </w:r>
      <w:r>
        <w:fldChar w:fldCharType="separate"/>
      </w:r>
      <w:r>
        <w:t>45</w:t>
      </w:r>
      <w:r>
        <w:fldChar w:fldCharType="end"/>
      </w:r>
      <w:r>
        <w:rPr>
          <w:rFonts w:ascii="宋体" w:hAnsi="宋体"/>
          <w:color w:val="auto"/>
          <w:szCs w:val="28"/>
          <w:highlight w:val="none"/>
        </w:rPr>
        <w:fldChar w:fldCharType="end"/>
      </w:r>
    </w:p>
    <w:p w14:paraId="61C895A7">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_Toc28287 </w:instrText>
      </w:r>
      <w:r>
        <w:rPr>
          <w:rFonts w:ascii="宋体" w:hAnsi="宋体"/>
          <w:szCs w:val="28"/>
          <w:highlight w:val="none"/>
        </w:rPr>
        <w:fldChar w:fldCharType="separate"/>
      </w:r>
      <w:r>
        <w:rPr>
          <w:rFonts w:hint="eastAsia"/>
          <w:highlight w:val="none"/>
          <w:lang w:val="en-US" w:eastAsia="zh-CN"/>
        </w:rPr>
        <w:t>四、</w:t>
      </w:r>
      <w:r>
        <w:rPr>
          <w:rFonts w:hint="eastAsia"/>
          <w:highlight w:val="none"/>
        </w:rPr>
        <w:t>投</w:t>
      </w:r>
      <w:r>
        <w:rPr>
          <w:rFonts w:hint="eastAsia"/>
          <w:szCs w:val="22"/>
          <w:highlight w:val="none"/>
        </w:rPr>
        <w:t>标</w:t>
      </w:r>
      <w:r>
        <w:rPr>
          <w:rFonts w:hint="eastAsia"/>
          <w:highlight w:val="none"/>
        </w:rPr>
        <w:t>报价书</w:t>
      </w:r>
      <w:r>
        <w:tab/>
      </w:r>
      <w:r>
        <w:fldChar w:fldCharType="begin"/>
      </w:r>
      <w:r>
        <w:instrText xml:space="preserve"> PAGEREF _Toc28287 \h </w:instrText>
      </w:r>
      <w:r>
        <w:fldChar w:fldCharType="separate"/>
      </w:r>
      <w:r>
        <w:t>46</w:t>
      </w:r>
      <w:r>
        <w:fldChar w:fldCharType="end"/>
      </w:r>
      <w:r>
        <w:rPr>
          <w:rFonts w:ascii="宋体" w:hAnsi="宋体"/>
          <w:color w:val="auto"/>
          <w:szCs w:val="28"/>
          <w:highlight w:val="none"/>
        </w:rPr>
        <w:fldChar w:fldCharType="end"/>
      </w:r>
    </w:p>
    <w:p w14:paraId="243D4779">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_Toc25034 </w:instrText>
      </w:r>
      <w:r>
        <w:rPr>
          <w:rFonts w:ascii="宋体" w:hAnsi="宋体"/>
          <w:szCs w:val="28"/>
          <w:highlight w:val="none"/>
        </w:rPr>
        <w:fldChar w:fldCharType="separate"/>
      </w:r>
      <w:r>
        <w:rPr>
          <w:rFonts w:hint="eastAsia"/>
          <w:highlight w:val="none"/>
        </w:rPr>
        <w:t>五、资格审查资料</w:t>
      </w:r>
      <w:r>
        <w:tab/>
      </w:r>
      <w:r>
        <w:fldChar w:fldCharType="begin"/>
      </w:r>
      <w:r>
        <w:instrText xml:space="preserve"> PAGEREF _Toc25034 \h </w:instrText>
      </w:r>
      <w:r>
        <w:fldChar w:fldCharType="separate"/>
      </w:r>
      <w:r>
        <w:t>48</w:t>
      </w:r>
      <w:r>
        <w:fldChar w:fldCharType="end"/>
      </w:r>
      <w:r>
        <w:rPr>
          <w:rFonts w:ascii="宋体" w:hAnsi="宋体"/>
          <w:color w:val="auto"/>
          <w:szCs w:val="28"/>
          <w:highlight w:val="none"/>
        </w:rPr>
        <w:fldChar w:fldCharType="end"/>
      </w:r>
    </w:p>
    <w:p w14:paraId="303E7FB4">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_Toc21588 </w:instrText>
      </w:r>
      <w:r>
        <w:rPr>
          <w:rFonts w:ascii="宋体" w:hAnsi="宋体"/>
          <w:szCs w:val="28"/>
          <w:highlight w:val="none"/>
        </w:rPr>
        <w:fldChar w:fldCharType="separate"/>
      </w:r>
      <w:r>
        <w:rPr>
          <w:rFonts w:hint="eastAsia"/>
          <w:highlight w:val="none"/>
        </w:rPr>
        <w:t>六、类似项目业绩表</w:t>
      </w:r>
      <w:r>
        <w:tab/>
      </w:r>
      <w:r>
        <w:fldChar w:fldCharType="begin"/>
      </w:r>
      <w:r>
        <w:instrText xml:space="preserve"> PAGEREF _Toc21588 \h </w:instrText>
      </w:r>
      <w:r>
        <w:fldChar w:fldCharType="separate"/>
      </w:r>
      <w:r>
        <w:t>54</w:t>
      </w:r>
      <w:r>
        <w:fldChar w:fldCharType="end"/>
      </w:r>
      <w:r>
        <w:rPr>
          <w:rFonts w:ascii="宋体" w:hAnsi="宋体"/>
          <w:color w:val="auto"/>
          <w:szCs w:val="28"/>
          <w:highlight w:val="none"/>
        </w:rPr>
        <w:fldChar w:fldCharType="end"/>
      </w:r>
    </w:p>
    <w:p w14:paraId="05A4B86A">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_Toc4181 </w:instrText>
      </w:r>
      <w:r>
        <w:rPr>
          <w:rFonts w:ascii="宋体" w:hAnsi="宋体"/>
          <w:szCs w:val="28"/>
          <w:highlight w:val="none"/>
        </w:rPr>
        <w:fldChar w:fldCharType="separate"/>
      </w:r>
      <w:r>
        <w:rPr>
          <w:rFonts w:hint="eastAsia"/>
          <w:highlight w:val="none"/>
        </w:rPr>
        <w:t>七、拟投入本项目的人员一览表</w:t>
      </w:r>
      <w:r>
        <w:tab/>
      </w:r>
      <w:r>
        <w:fldChar w:fldCharType="begin"/>
      </w:r>
      <w:r>
        <w:instrText xml:space="preserve"> PAGEREF _Toc4181 \h </w:instrText>
      </w:r>
      <w:r>
        <w:fldChar w:fldCharType="separate"/>
      </w:r>
      <w:r>
        <w:t>55</w:t>
      </w:r>
      <w:r>
        <w:fldChar w:fldCharType="end"/>
      </w:r>
      <w:r>
        <w:rPr>
          <w:rFonts w:ascii="宋体" w:hAnsi="宋体"/>
          <w:color w:val="auto"/>
          <w:szCs w:val="28"/>
          <w:highlight w:val="none"/>
        </w:rPr>
        <w:fldChar w:fldCharType="end"/>
      </w:r>
    </w:p>
    <w:p w14:paraId="0AE4ED05">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_Toc8140 </w:instrText>
      </w:r>
      <w:r>
        <w:rPr>
          <w:rFonts w:ascii="宋体" w:hAnsi="宋体"/>
          <w:szCs w:val="28"/>
          <w:highlight w:val="none"/>
        </w:rPr>
        <w:fldChar w:fldCharType="separate"/>
      </w:r>
      <w:r>
        <w:rPr>
          <w:rFonts w:hint="eastAsia"/>
          <w:highlight w:val="none"/>
        </w:rPr>
        <w:t>八、拟投入本项目的人员简历表</w:t>
      </w:r>
      <w:r>
        <w:tab/>
      </w:r>
      <w:r>
        <w:fldChar w:fldCharType="begin"/>
      </w:r>
      <w:r>
        <w:instrText xml:space="preserve"> PAGEREF _Toc8140 \h </w:instrText>
      </w:r>
      <w:r>
        <w:fldChar w:fldCharType="separate"/>
      </w:r>
      <w:r>
        <w:t>56</w:t>
      </w:r>
      <w:r>
        <w:fldChar w:fldCharType="end"/>
      </w:r>
      <w:r>
        <w:rPr>
          <w:rFonts w:ascii="宋体" w:hAnsi="宋体"/>
          <w:color w:val="auto"/>
          <w:szCs w:val="28"/>
          <w:highlight w:val="none"/>
        </w:rPr>
        <w:fldChar w:fldCharType="end"/>
      </w:r>
    </w:p>
    <w:p w14:paraId="72FCA237">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_Toc27240 </w:instrText>
      </w:r>
      <w:r>
        <w:rPr>
          <w:rFonts w:ascii="宋体" w:hAnsi="宋体"/>
          <w:szCs w:val="28"/>
          <w:highlight w:val="none"/>
        </w:rPr>
        <w:fldChar w:fldCharType="separate"/>
      </w:r>
      <w:r>
        <w:rPr>
          <w:rFonts w:hint="eastAsia" w:ascii="宋体" w:hAnsi="宋体" w:eastAsia="宋体"/>
          <w:highlight w:val="none"/>
        </w:rPr>
        <w:t>九、拟投入本</w:t>
      </w:r>
      <w:r>
        <w:rPr>
          <w:rFonts w:hint="eastAsia"/>
          <w:highlight w:val="none"/>
        </w:rPr>
        <w:t>项目的主要检测监测仪器设备一览表</w:t>
      </w:r>
      <w:r>
        <w:tab/>
      </w:r>
      <w:r>
        <w:fldChar w:fldCharType="begin"/>
      </w:r>
      <w:r>
        <w:instrText xml:space="preserve"> PAGEREF _Toc27240 \h </w:instrText>
      </w:r>
      <w:r>
        <w:fldChar w:fldCharType="separate"/>
      </w:r>
      <w:r>
        <w:t>57</w:t>
      </w:r>
      <w:r>
        <w:fldChar w:fldCharType="end"/>
      </w:r>
      <w:r>
        <w:rPr>
          <w:rFonts w:ascii="宋体" w:hAnsi="宋体"/>
          <w:color w:val="auto"/>
          <w:szCs w:val="28"/>
          <w:highlight w:val="none"/>
        </w:rPr>
        <w:fldChar w:fldCharType="end"/>
      </w:r>
    </w:p>
    <w:p w14:paraId="72297368">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_Toc5438 </w:instrText>
      </w:r>
      <w:r>
        <w:rPr>
          <w:rFonts w:ascii="宋体" w:hAnsi="宋体"/>
          <w:szCs w:val="28"/>
          <w:highlight w:val="none"/>
        </w:rPr>
        <w:fldChar w:fldCharType="separate"/>
      </w:r>
      <w:r>
        <w:rPr>
          <w:rFonts w:hint="eastAsia"/>
          <w:highlight w:val="none"/>
        </w:rPr>
        <w:t>十、检测监测方案</w:t>
      </w:r>
      <w:r>
        <w:tab/>
      </w:r>
      <w:r>
        <w:fldChar w:fldCharType="begin"/>
      </w:r>
      <w:r>
        <w:instrText xml:space="preserve"> PAGEREF _Toc5438 \h </w:instrText>
      </w:r>
      <w:r>
        <w:fldChar w:fldCharType="separate"/>
      </w:r>
      <w:r>
        <w:t>58</w:t>
      </w:r>
      <w:r>
        <w:fldChar w:fldCharType="end"/>
      </w:r>
      <w:r>
        <w:rPr>
          <w:rFonts w:ascii="宋体" w:hAnsi="宋体"/>
          <w:color w:val="auto"/>
          <w:szCs w:val="28"/>
          <w:highlight w:val="none"/>
        </w:rPr>
        <w:fldChar w:fldCharType="end"/>
      </w:r>
    </w:p>
    <w:p w14:paraId="10C940F2">
      <w:pPr>
        <w:pStyle w:val="15"/>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_Toc21419 </w:instrText>
      </w:r>
      <w:r>
        <w:rPr>
          <w:rFonts w:ascii="宋体" w:hAnsi="宋体"/>
          <w:szCs w:val="28"/>
          <w:highlight w:val="none"/>
        </w:rPr>
        <w:fldChar w:fldCharType="separate"/>
      </w:r>
      <w:r>
        <w:rPr>
          <w:rFonts w:hint="eastAsia"/>
          <w:highlight w:val="none"/>
        </w:rPr>
        <w:t>十一、其他资料</w:t>
      </w:r>
      <w:r>
        <w:tab/>
      </w:r>
      <w:r>
        <w:fldChar w:fldCharType="begin"/>
      </w:r>
      <w:r>
        <w:instrText xml:space="preserve"> PAGEREF _Toc21419 \h </w:instrText>
      </w:r>
      <w:r>
        <w:fldChar w:fldCharType="separate"/>
      </w:r>
      <w:r>
        <w:t>59</w:t>
      </w:r>
      <w:r>
        <w:fldChar w:fldCharType="end"/>
      </w:r>
      <w:r>
        <w:rPr>
          <w:rFonts w:ascii="宋体" w:hAnsi="宋体"/>
          <w:color w:val="auto"/>
          <w:szCs w:val="28"/>
          <w:highlight w:val="none"/>
        </w:rPr>
        <w:fldChar w:fldCharType="end"/>
      </w:r>
    </w:p>
    <w:p w14:paraId="41CEFB95">
      <w:pPr>
        <w:pStyle w:val="22"/>
        <w:tabs>
          <w:tab w:val="right" w:leader="dot" w:pos="9746"/>
        </w:tabs>
      </w:pPr>
      <w:r>
        <w:rPr>
          <w:rFonts w:ascii="宋体" w:hAnsi="宋体"/>
          <w:color w:val="auto"/>
          <w:szCs w:val="28"/>
          <w:highlight w:val="none"/>
        </w:rPr>
        <w:fldChar w:fldCharType="begin"/>
      </w:r>
      <w:r>
        <w:rPr>
          <w:rFonts w:ascii="宋体" w:hAnsi="宋体"/>
          <w:szCs w:val="28"/>
          <w:highlight w:val="none"/>
        </w:rPr>
        <w:instrText xml:space="preserve"> HYPERLINK \l _Toc32455 </w:instrText>
      </w:r>
      <w:r>
        <w:rPr>
          <w:rFonts w:ascii="宋体" w:hAnsi="宋体"/>
          <w:szCs w:val="28"/>
          <w:highlight w:val="none"/>
        </w:rPr>
        <w:fldChar w:fldCharType="separate"/>
      </w:r>
      <w:r>
        <w:rPr>
          <w:rFonts w:hint="eastAsia" w:cs="宋体"/>
          <w:highlight w:val="none"/>
        </w:rPr>
        <w:t>第七章</w:t>
      </w:r>
      <w:r>
        <w:rPr>
          <w:highlight w:val="none"/>
        </w:rPr>
        <w:t xml:space="preserve">  </w:t>
      </w:r>
      <w:r>
        <w:rPr>
          <w:rFonts w:hint="eastAsia" w:cs="宋体"/>
          <w:highlight w:val="none"/>
        </w:rPr>
        <w:t>第三方检测监测清单及综合单价限价表</w:t>
      </w:r>
      <w:r>
        <w:tab/>
      </w:r>
      <w:r>
        <w:fldChar w:fldCharType="begin"/>
      </w:r>
      <w:r>
        <w:instrText xml:space="preserve"> PAGEREF _Toc32455 \h </w:instrText>
      </w:r>
      <w:r>
        <w:fldChar w:fldCharType="separate"/>
      </w:r>
      <w:r>
        <w:t>60</w:t>
      </w:r>
      <w:r>
        <w:fldChar w:fldCharType="end"/>
      </w:r>
      <w:r>
        <w:rPr>
          <w:rFonts w:ascii="宋体" w:hAnsi="宋体"/>
          <w:color w:val="auto"/>
          <w:szCs w:val="28"/>
          <w:highlight w:val="none"/>
        </w:rPr>
        <w:fldChar w:fldCharType="end"/>
      </w:r>
    </w:p>
    <w:p w14:paraId="5F65E4CC">
      <w:pPr>
        <w:spacing w:line="360" w:lineRule="auto"/>
        <w:ind w:firstLine="420" w:firstLineChars="200"/>
        <w:rPr>
          <w:rFonts w:hint="eastAsia" w:ascii="宋体" w:hAnsi="宋体"/>
          <w:color w:val="auto"/>
          <w:highlight w:val="none"/>
        </w:rPr>
      </w:pPr>
      <w:r>
        <w:rPr>
          <w:rFonts w:ascii="宋体" w:hAnsi="宋体"/>
          <w:color w:val="auto"/>
          <w:szCs w:val="28"/>
          <w:highlight w:val="none"/>
        </w:rPr>
        <w:fldChar w:fldCharType="end"/>
      </w:r>
      <w:r>
        <w:rPr>
          <w:rFonts w:ascii="宋体" w:hAnsi="宋体"/>
          <w:color w:val="auto"/>
          <w:highlight w:val="none"/>
        </w:rPr>
        <w:br w:type="page"/>
      </w:r>
      <w:bookmarkStart w:id="306" w:name="_GoBack"/>
      <w:bookmarkEnd w:id="306"/>
    </w:p>
    <w:p w14:paraId="74323465">
      <w:pPr>
        <w:pStyle w:val="2"/>
        <w:ind w:firstLine="470"/>
        <w:rPr>
          <w:rFonts w:hint="eastAsia"/>
          <w:color w:val="auto"/>
          <w:highlight w:val="none"/>
        </w:rPr>
      </w:pPr>
      <w:bookmarkStart w:id="3" w:name="_Toc14547"/>
      <w:bookmarkStart w:id="4" w:name="_Toc6856"/>
      <w:bookmarkStart w:id="5" w:name="_Toc11772"/>
      <w:bookmarkStart w:id="6" w:name="_Toc10252"/>
      <w:r>
        <w:rPr>
          <w:rFonts w:hint="eastAsia"/>
          <w:color w:val="auto"/>
          <w:highlight w:val="none"/>
        </w:rPr>
        <w:t>第一卷</w:t>
      </w:r>
      <w:bookmarkEnd w:id="3"/>
      <w:bookmarkEnd w:id="4"/>
      <w:bookmarkEnd w:id="5"/>
      <w:bookmarkEnd w:id="6"/>
    </w:p>
    <w:p w14:paraId="257C3BC4">
      <w:pPr>
        <w:pStyle w:val="2"/>
        <w:rPr>
          <w:rFonts w:hint="eastAsia"/>
          <w:color w:val="auto"/>
          <w:sz w:val="28"/>
          <w:highlight w:val="none"/>
        </w:rPr>
      </w:pPr>
      <w:bookmarkStart w:id="7" w:name="_Toc7251"/>
      <w:bookmarkStart w:id="8" w:name="_Toc29404"/>
      <w:bookmarkStart w:id="9" w:name="_Toc18130"/>
      <w:bookmarkStart w:id="10" w:name="_Toc5234"/>
      <w:bookmarkStart w:id="11" w:name="_Toc533357306"/>
      <w:r>
        <w:rPr>
          <w:rFonts w:hint="eastAsia"/>
          <w:color w:val="auto"/>
          <w:highlight w:val="none"/>
        </w:rPr>
        <w:t>第一章  招标公告</w:t>
      </w:r>
      <w:bookmarkEnd w:id="7"/>
      <w:bookmarkEnd w:id="8"/>
      <w:bookmarkEnd w:id="9"/>
      <w:bookmarkEnd w:id="10"/>
    </w:p>
    <w:p w14:paraId="1831250B">
      <w:pPr>
        <w:spacing w:line="360" w:lineRule="auto"/>
        <w:jc w:val="center"/>
        <w:rPr>
          <w:rFonts w:hint="eastAsia" w:ascii="宋体" w:hAnsi="宋体"/>
          <w:color w:val="auto"/>
          <w:sz w:val="24"/>
          <w:szCs w:val="24"/>
          <w:highlight w:val="none"/>
        </w:rPr>
      </w:pPr>
      <w:r>
        <w:rPr>
          <w:rFonts w:hint="eastAsia" w:ascii="宋体" w:hAnsi="宋体"/>
          <w:bCs/>
          <w:color w:val="auto"/>
          <w:sz w:val="24"/>
          <w:szCs w:val="24"/>
          <w:highlight w:val="none"/>
        </w:rPr>
        <w:t>（另册）</w:t>
      </w:r>
    </w:p>
    <w:p w14:paraId="4FFA0859">
      <w:pPr>
        <w:spacing w:line="360" w:lineRule="auto"/>
        <w:ind w:left="3986" w:firstLine="421"/>
        <w:rPr>
          <w:rFonts w:hint="eastAsia" w:ascii="宋体" w:hAnsi="宋体"/>
          <w:color w:val="auto"/>
          <w:highlight w:val="none"/>
        </w:rPr>
      </w:pPr>
    </w:p>
    <w:p w14:paraId="4C8C0C34">
      <w:pPr>
        <w:pStyle w:val="2"/>
        <w:rPr>
          <w:rFonts w:hint="eastAsia"/>
          <w:color w:val="auto"/>
          <w:sz w:val="28"/>
          <w:highlight w:val="none"/>
        </w:rPr>
      </w:pPr>
      <w:bookmarkStart w:id="12" w:name="_Toc514099629"/>
      <w:bookmarkStart w:id="13" w:name="_Toc511557031"/>
      <w:r>
        <w:rPr>
          <w:rFonts w:hint="eastAsia"/>
          <w:color w:val="auto"/>
          <w:highlight w:val="none"/>
        </w:rPr>
        <w:br w:type="page"/>
      </w:r>
      <w:bookmarkEnd w:id="11"/>
      <w:bookmarkEnd w:id="12"/>
      <w:bookmarkEnd w:id="13"/>
      <w:bookmarkStart w:id="14" w:name="_Toc144974480"/>
      <w:bookmarkEnd w:id="14"/>
      <w:bookmarkStart w:id="15" w:name="_Toc361508562"/>
      <w:bookmarkEnd w:id="15"/>
      <w:bookmarkStart w:id="16" w:name="_Toc300834929"/>
      <w:bookmarkEnd w:id="16"/>
      <w:bookmarkStart w:id="17" w:name="_Toc384308188"/>
      <w:bookmarkEnd w:id="17"/>
      <w:bookmarkStart w:id="18" w:name="_Toc152042288"/>
      <w:bookmarkEnd w:id="18"/>
      <w:bookmarkStart w:id="19" w:name="_Toc17972"/>
      <w:bookmarkEnd w:id="19"/>
      <w:bookmarkStart w:id="20" w:name="_Toc247513934"/>
      <w:bookmarkEnd w:id="20"/>
      <w:bookmarkStart w:id="21" w:name="_Toc247527536"/>
      <w:bookmarkEnd w:id="21"/>
      <w:bookmarkStart w:id="22" w:name="_Toc152045512"/>
      <w:bookmarkEnd w:id="22"/>
      <w:bookmarkStart w:id="23" w:name="_Toc247527535"/>
      <w:bookmarkEnd w:id="23"/>
      <w:bookmarkStart w:id="24" w:name="_Toc144974481"/>
      <w:bookmarkEnd w:id="24"/>
      <w:bookmarkStart w:id="25" w:name="_Toc30817"/>
      <w:bookmarkEnd w:id="25"/>
      <w:bookmarkStart w:id="26" w:name="_Toc361508563"/>
      <w:bookmarkEnd w:id="26"/>
      <w:bookmarkStart w:id="27" w:name="_Toc361508560"/>
      <w:bookmarkEnd w:id="27"/>
      <w:bookmarkStart w:id="28" w:name="_Toc369531498"/>
      <w:bookmarkEnd w:id="28"/>
      <w:bookmarkStart w:id="29" w:name="_Toc352691456"/>
      <w:bookmarkEnd w:id="29"/>
      <w:bookmarkStart w:id="30" w:name="_Toc247513935"/>
      <w:bookmarkEnd w:id="30"/>
      <w:bookmarkStart w:id="31" w:name="_Toc369531497"/>
      <w:bookmarkEnd w:id="31"/>
      <w:bookmarkStart w:id="32" w:name="_Toc300834930"/>
      <w:bookmarkEnd w:id="32"/>
      <w:bookmarkStart w:id="33" w:name="_Toc384308185"/>
      <w:bookmarkEnd w:id="33"/>
      <w:bookmarkStart w:id="34" w:name="_Toc369531495"/>
      <w:bookmarkEnd w:id="34"/>
      <w:bookmarkStart w:id="35" w:name="_Toc352691455"/>
      <w:bookmarkEnd w:id="35"/>
      <w:bookmarkStart w:id="36" w:name="_Toc300834927"/>
      <w:bookmarkEnd w:id="36"/>
      <w:bookmarkStart w:id="37" w:name="_Toc152042289"/>
      <w:bookmarkEnd w:id="37"/>
      <w:bookmarkStart w:id="38" w:name="_Toc352691453"/>
      <w:bookmarkEnd w:id="38"/>
      <w:bookmarkStart w:id="39" w:name="_Toc10785"/>
      <w:bookmarkEnd w:id="39"/>
      <w:bookmarkStart w:id="40" w:name="_Toc152045513"/>
      <w:bookmarkEnd w:id="40"/>
      <w:bookmarkStart w:id="41" w:name="_Toc384308187"/>
      <w:bookmarkEnd w:id="41"/>
      <w:bookmarkStart w:id="42" w:name="_Toc21646"/>
      <w:bookmarkStart w:id="43" w:name="_Toc14062"/>
      <w:bookmarkStart w:id="44" w:name="_Toc55"/>
      <w:bookmarkStart w:id="45" w:name="_Toc16356"/>
      <w:r>
        <w:rPr>
          <w:rFonts w:hint="eastAsia"/>
          <w:color w:val="auto"/>
          <w:highlight w:val="none"/>
        </w:rPr>
        <w:t>第二章  投标人须知</w:t>
      </w:r>
      <w:bookmarkEnd w:id="42"/>
      <w:bookmarkEnd w:id="43"/>
      <w:bookmarkEnd w:id="44"/>
      <w:bookmarkEnd w:id="45"/>
    </w:p>
    <w:p w14:paraId="1B2BC4F1">
      <w:pPr>
        <w:pStyle w:val="3"/>
        <w:rPr>
          <w:rFonts w:hint="eastAsia" w:ascii="宋体" w:hAnsi="宋体"/>
          <w:color w:val="auto"/>
          <w:highlight w:val="none"/>
        </w:rPr>
      </w:pPr>
      <w:bookmarkStart w:id="46" w:name="_Toc16663"/>
      <w:bookmarkStart w:id="47" w:name="_Toc6446"/>
      <w:bookmarkStart w:id="48" w:name="_Toc533357307"/>
      <w:bookmarkStart w:id="49" w:name="_Toc18178"/>
      <w:bookmarkStart w:id="50" w:name="_Toc28977"/>
      <w:r>
        <w:rPr>
          <w:rFonts w:hint="eastAsia" w:ascii="宋体" w:hAnsi="宋体"/>
          <w:color w:val="auto"/>
          <w:highlight w:val="none"/>
        </w:rPr>
        <w:t>投标人须知前附表</w:t>
      </w:r>
      <w:bookmarkEnd w:id="46"/>
      <w:bookmarkEnd w:id="47"/>
      <w:bookmarkEnd w:id="48"/>
      <w:bookmarkEnd w:id="49"/>
      <w:bookmarkEnd w:id="50"/>
    </w:p>
    <w:tbl>
      <w:tblPr>
        <w:tblStyle w:val="29"/>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14:paraId="02057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14:paraId="0FF9C656">
            <w:pPr>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2160" w:type="dxa"/>
            <w:tcBorders>
              <w:top w:val="single" w:color="auto" w:sz="4" w:space="0"/>
            </w:tcBorders>
            <w:vAlign w:val="center"/>
          </w:tcPr>
          <w:p w14:paraId="3B50D900">
            <w:pPr>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条款名称</w:t>
            </w:r>
          </w:p>
        </w:tc>
        <w:tc>
          <w:tcPr>
            <w:tcW w:w="7200" w:type="dxa"/>
            <w:tcBorders>
              <w:top w:val="single" w:color="auto" w:sz="4" w:space="0"/>
            </w:tcBorders>
            <w:vAlign w:val="center"/>
          </w:tcPr>
          <w:p w14:paraId="38DFC304">
            <w:pPr>
              <w:snapToGrid w:val="0"/>
              <w:spacing w:line="276" w:lineRule="auto"/>
              <w:jc w:val="center"/>
              <w:rPr>
                <w:rFonts w:hint="eastAsia" w:ascii="宋体" w:hAnsi="宋体"/>
                <w:b/>
                <w:color w:val="auto"/>
                <w:szCs w:val="21"/>
                <w:highlight w:val="none"/>
              </w:rPr>
            </w:pPr>
            <w:r>
              <w:rPr>
                <w:rFonts w:hint="eastAsia" w:ascii="宋体" w:hAnsi="宋体"/>
                <w:b/>
                <w:color w:val="auto"/>
                <w:szCs w:val="21"/>
                <w:highlight w:val="none"/>
              </w:rPr>
              <w:t>编列内容</w:t>
            </w:r>
          </w:p>
        </w:tc>
      </w:tr>
      <w:tr w14:paraId="48DC21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C2E63D7">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1.1.2</w:t>
            </w:r>
          </w:p>
        </w:tc>
        <w:tc>
          <w:tcPr>
            <w:tcW w:w="2160" w:type="dxa"/>
            <w:vAlign w:val="center"/>
          </w:tcPr>
          <w:p w14:paraId="2C559D42">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招标人</w:t>
            </w:r>
          </w:p>
        </w:tc>
        <w:tc>
          <w:tcPr>
            <w:tcW w:w="7200" w:type="dxa"/>
            <w:vAlign w:val="center"/>
          </w:tcPr>
          <w:p w14:paraId="79E4E7A5">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招标人：广东省野生动物监测救护中心</w:t>
            </w:r>
          </w:p>
          <w:p w14:paraId="5ABF2D3D">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地址：广州市荔湾区中山七路343号</w:t>
            </w:r>
          </w:p>
          <w:p w14:paraId="3DB4A950">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联系人：王工</w:t>
            </w:r>
          </w:p>
          <w:p w14:paraId="790C2262">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电话：020-87218380</w:t>
            </w:r>
          </w:p>
        </w:tc>
      </w:tr>
      <w:tr w14:paraId="4AC981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DB7BC78">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1.1.3</w:t>
            </w:r>
          </w:p>
        </w:tc>
        <w:tc>
          <w:tcPr>
            <w:tcW w:w="2160" w:type="dxa"/>
            <w:vAlign w:val="center"/>
          </w:tcPr>
          <w:p w14:paraId="47D8975E">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招标代理机构</w:t>
            </w:r>
          </w:p>
        </w:tc>
        <w:tc>
          <w:tcPr>
            <w:tcW w:w="7200" w:type="dxa"/>
            <w:vAlign w:val="center"/>
          </w:tcPr>
          <w:p w14:paraId="089402C5">
            <w:pPr>
              <w:snapToGrid w:val="0"/>
              <w:spacing w:line="276" w:lineRule="auto"/>
              <w:rPr>
                <w:rFonts w:hint="eastAsia" w:ascii="宋体" w:hAnsi="宋体"/>
                <w:color w:val="auto"/>
                <w:szCs w:val="21"/>
                <w:highlight w:val="none"/>
              </w:rPr>
            </w:pPr>
            <w:r>
              <w:rPr>
                <w:rFonts w:ascii="宋体" w:hAnsi="宋体"/>
                <w:color w:val="auto"/>
                <w:szCs w:val="21"/>
                <w:highlight w:val="none"/>
              </w:rPr>
              <w:t>招标代理机构：广东省国际工程咨询有限公司</w:t>
            </w:r>
          </w:p>
          <w:p w14:paraId="506A2C7E">
            <w:pPr>
              <w:snapToGrid w:val="0"/>
              <w:spacing w:line="276" w:lineRule="auto"/>
              <w:rPr>
                <w:rFonts w:hint="eastAsia" w:ascii="宋体" w:hAnsi="宋体"/>
                <w:color w:val="auto"/>
                <w:szCs w:val="21"/>
                <w:highlight w:val="none"/>
              </w:rPr>
            </w:pPr>
            <w:r>
              <w:rPr>
                <w:rFonts w:ascii="宋体" w:hAnsi="宋体"/>
                <w:color w:val="auto"/>
                <w:szCs w:val="21"/>
                <w:highlight w:val="none"/>
              </w:rPr>
              <w:t>地址：广州市越秀区环市中路316号金鹰大厦十一楼</w:t>
            </w:r>
          </w:p>
          <w:p w14:paraId="10D42790">
            <w:pPr>
              <w:snapToGrid w:val="0"/>
              <w:spacing w:line="276" w:lineRule="auto"/>
              <w:rPr>
                <w:rFonts w:hint="eastAsia" w:ascii="宋体" w:hAnsi="宋体"/>
                <w:color w:val="auto"/>
                <w:szCs w:val="21"/>
                <w:highlight w:val="none"/>
              </w:rPr>
            </w:pPr>
            <w:r>
              <w:rPr>
                <w:rFonts w:ascii="宋体" w:hAnsi="宋体"/>
                <w:color w:val="auto"/>
                <w:szCs w:val="21"/>
                <w:highlight w:val="none"/>
              </w:rPr>
              <w:t>联系人：黄工、刘工</w:t>
            </w:r>
          </w:p>
          <w:p w14:paraId="0226D8DF">
            <w:pPr>
              <w:snapToGrid w:val="0"/>
              <w:spacing w:line="276" w:lineRule="auto"/>
              <w:rPr>
                <w:rFonts w:hint="eastAsia" w:ascii="宋体" w:hAnsi="宋体"/>
                <w:color w:val="auto"/>
                <w:szCs w:val="21"/>
                <w:highlight w:val="none"/>
              </w:rPr>
            </w:pPr>
            <w:r>
              <w:rPr>
                <w:rFonts w:ascii="宋体" w:hAnsi="宋体"/>
                <w:color w:val="auto"/>
                <w:szCs w:val="21"/>
                <w:highlight w:val="none"/>
              </w:rPr>
              <w:t>电话：020-33971613</w:t>
            </w:r>
          </w:p>
        </w:tc>
      </w:tr>
      <w:tr w14:paraId="2989DB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DD6947F">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1.1.4</w:t>
            </w:r>
          </w:p>
        </w:tc>
        <w:tc>
          <w:tcPr>
            <w:tcW w:w="2160" w:type="dxa"/>
            <w:vAlign w:val="center"/>
          </w:tcPr>
          <w:p w14:paraId="761A41F9">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招标项目名称</w:t>
            </w:r>
          </w:p>
        </w:tc>
        <w:tc>
          <w:tcPr>
            <w:tcW w:w="7200" w:type="dxa"/>
            <w:vAlign w:val="center"/>
          </w:tcPr>
          <w:p w14:paraId="3DD6CA10">
            <w:pPr>
              <w:snapToGrid w:val="0"/>
              <w:spacing w:line="276" w:lineRule="auto"/>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国家林业和草原局穿山甲保护研究中心项目第三方检测、监测服务（第二次）</w:t>
            </w:r>
          </w:p>
        </w:tc>
      </w:tr>
      <w:tr w14:paraId="6999BF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1C65FA8">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1.1.5</w:t>
            </w:r>
          </w:p>
        </w:tc>
        <w:tc>
          <w:tcPr>
            <w:tcW w:w="2160" w:type="dxa"/>
            <w:vAlign w:val="center"/>
          </w:tcPr>
          <w:p w14:paraId="389C4C50">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项目建设地点</w:t>
            </w:r>
          </w:p>
        </w:tc>
        <w:tc>
          <w:tcPr>
            <w:tcW w:w="7200" w:type="dxa"/>
            <w:vAlign w:val="center"/>
          </w:tcPr>
          <w:p w14:paraId="272D7434">
            <w:pPr>
              <w:snapToGrid w:val="0"/>
              <w:spacing w:line="276" w:lineRule="auto"/>
              <w:jc w:val="left"/>
              <w:rPr>
                <w:rFonts w:hint="eastAsia" w:ascii="宋体" w:hAnsi="宋体"/>
                <w:color w:val="auto"/>
                <w:szCs w:val="21"/>
                <w:highlight w:val="none"/>
              </w:rPr>
            </w:pPr>
            <w:r>
              <w:rPr>
                <w:rFonts w:hint="eastAsia" w:ascii="宋体" w:hAnsi="宋体"/>
                <w:color w:val="auto"/>
                <w:szCs w:val="21"/>
                <w:highlight w:val="none"/>
              </w:rPr>
              <w:t>详见招标公告</w:t>
            </w:r>
          </w:p>
        </w:tc>
      </w:tr>
      <w:tr w14:paraId="1A1108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C314944">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1.1.6</w:t>
            </w:r>
          </w:p>
        </w:tc>
        <w:tc>
          <w:tcPr>
            <w:tcW w:w="2160" w:type="dxa"/>
            <w:vAlign w:val="center"/>
          </w:tcPr>
          <w:p w14:paraId="37B084F3">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项目建设规模</w:t>
            </w:r>
          </w:p>
        </w:tc>
        <w:tc>
          <w:tcPr>
            <w:tcW w:w="7200" w:type="dxa"/>
            <w:vAlign w:val="center"/>
          </w:tcPr>
          <w:p w14:paraId="514913A6">
            <w:pPr>
              <w:snapToGrid w:val="0"/>
              <w:spacing w:line="276" w:lineRule="auto"/>
              <w:ind w:right="106"/>
              <w:jc w:val="left"/>
              <w:rPr>
                <w:rFonts w:hint="eastAsia" w:ascii="宋体" w:hAnsi="宋体"/>
                <w:color w:val="auto"/>
                <w:szCs w:val="21"/>
                <w:highlight w:val="none"/>
              </w:rPr>
            </w:pPr>
            <w:r>
              <w:rPr>
                <w:rFonts w:hint="eastAsia" w:ascii="宋体" w:hAnsi="宋体"/>
                <w:color w:val="auto"/>
                <w:szCs w:val="21"/>
                <w:highlight w:val="none"/>
              </w:rPr>
              <w:t>详见招标公告</w:t>
            </w:r>
          </w:p>
        </w:tc>
      </w:tr>
      <w:tr w14:paraId="6FB870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911ADC2">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1.1.7</w:t>
            </w:r>
          </w:p>
        </w:tc>
        <w:tc>
          <w:tcPr>
            <w:tcW w:w="2160" w:type="dxa"/>
            <w:vAlign w:val="center"/>
          </w:tcPr>
          <w:p w14:paraId="66F961BD">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工程项目施工预计开工日期和建设周期</w:t>
            </w:r>
          </w:p>
        </w:tc>
        <w:tc>
          <w:tcPr>
            <w:tcW w:w="7200" w:type="dxa"/>
            <w:vAlign w:val="center"/>
          </w:tcPr>
          <w:p w14:paraId="6BD4A0BF">
            <w:pPr>
              <w:snapToGrid w:val="0"/>
              <w:spacing w:line="276" w:lineRule="auto"/>
              <w:rPr>
                <w:rFonts w:hint="eastAsia" w:ascii="宋体" w:hAnsi="宋体"/>
                <w:color w:val="auto"/>
                <w:szCs w:val="21"/>
                <w:highlight w:val="none"/>
              </w:rPr>
            </w:pPr>
            <w:r>
              <w:rPr>
                <w:rFonts w:hint="eastAsia" w:ascii="宋体" w:hAnsi="宋体" w:cs="宋体"/>
                <w:color w:val="auto"/>
                <w:szCs w:val="21"/>
                <w:highlight w:val="none"/>
              </w:rPr>
              <w:t>/</w:t>
            </w:r>
          </w:p>
        </w:tc>
      </w:tr>
      <w:tr w14:paraId="019CB6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024B92E">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1.1.8</w:t>
            </w:r>
          </w:p>
        </w:tc>
        <w:tc>
          <w:tcPr>
            <w:tcW w:w="2160" w:type="dxa"/>
            <w:vAlign w:val="center"/>
          </w:tcPr>
          <w:p w14:paraId="1019A01B">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w:t>
            </w:r>
          </w:p>
        </w:tc>
        <w:tc>
          <w:tcPr>
            <w:tcW w:w="7200" w:type="dxa"/>
            <w:vAlign w:val="center"/>
          </w:tcPr>
          <w:p w14:paraId="2F57ABBB">
            <w:pPr>
              <w:snapToGrid w:val="0"/>
              <w:spacing w:line="276" w:lineRule="auto"/>
              <w:jc w:val="left"/>
              <w:rPr>
                <w:rFonts w:hint="eastAsia" w:ascii="宋体" w:hAnsi="宋体"/>
                <w:color w:val="auto"/>
                <w:szCs w:val="21"/>
                <w:highlight w:val="none"/>
              </w:rPr>
            </w:pPr>
            <w:r>
              <w:rPr>
                <w:rFonts w:hint="eastAsia" w:ascii="宋体" w:hAnsi="宋体" w:cs="宋体"/>
                <w:color w:val="auto"/>
                <w:szCs w:val="21"/>
                <w:highlight w:val="none"/>
              </w:rPr>
              <w:t>/</w:t>
            </w:r>
          </w:p>
        </w:tc>
      </w:tr>
      <w:tr w14:paraId="280472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A467B93">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1.2.1</w:t>
            </w:r>
          </w:p>
        </w:tc>
        <w:tc>
          <w:tcPr>
            <w:tcW w:w="2160" w:type="dxa"/>
            <w:vAlign w:val="center"/>
          </w:tcPr>
          <w:p w14:paraId="331CA51E">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资金来源及比例</w:t>
            </w:r>
          </w:p>
        </w:tc>
        <w:tc>
          <w:tcPr>
            <w:tcW w:w="7200" w:type="dxa"/>
            <w:vAlign w:val="center"/>
          </w:tcPr>
          <w:p w14:paraId="3FB215C1">
            <w:pPr>
              <w:snapToGrid w:val="0"/>
              <w:spacing w:line="276" w:lineRule="auto"/>
              <w:jc w:val="left"/>
              <w:rPr>
                <w:rFonts w:hint="eastAsia" w:ascii="宋体" w:hAnsi="宋体"/>
                <w:color w:val="auto"/>
                <w:szCs w:val="21"/>
                <w:highlight w:val="none"/>
              </w:rPr>
            </w:pPr>
            <w:r>
              <w:rPr>
                <w:rFonts w:hint="eastAsia" w:ascii="宋体" w:hAnsi="宋体"/>
                <w:color w:val="auto"/>
                <w:szCs w:val="21"/>
                <w:highlight w:val="none"/>
              </w:rPr>
              <w:t>详见招标公告</w:t>
            </w:r>
          </w:p>
        </w:tc>
      </w:tr>
      <w:tr w14:paraId="2DDC31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6" w:type="dxa"/>
            <w:vAlign w:val="center"/>
          </w:tcPr>
          <w:p w14:paraId="3AB191D4">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1.2.2</w:t>
            </w:r>
          </w:p>
        </w:tc>
        <w:tc>
          <w:tcPr>
            <w:tcW w:w="2160" w:type="dxa"/>
            <w:vAlign w:val="center"/>
          </w:tcPr>
          <w:p w14:paraId="2862C036">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资金落实情况</w:t>
            </w:r>
          </w:p>
        </w:tc>
        <w:tc>
          <w:tcPr>
            <w:tcW w:w="7200" w:type="dxa"/>
            <w:vAlign w:val="center"/>
          </w:tcPr>
          <w:p w14:paraId="1C5C0824">
            <w:pPr>
              <w:snapToGrid w:val="0"/>
              <w:spacing w:line="276" w:lineRule="auto"/>
              <w:jc w:val="left"/>
              <w:rPr>
                <w:rFonts w:hint="eastAsia" w:ascii="宋体" w:hAnsi="宋体"/>
                <w:color w:val="auto"/>
                <w:szCs w:val="21"/>
                <w:highlight w:val="none"/>
              </w:rPr>
            </w:pPr>
            <w:r>
              <w:rPr>
                <w:rFonts w:hint="eastAsia" w:ascii="宋体" w:hAnsi="宋体"/>
                <w:color w:val="auto"/>
                <w:szCs w:val="21"/>
                <w:highlight w:val="none"/>
              </w:rPr>
              <w:t>详见招标公告</w:t>
            </w:r>
          </w:p>
        </w:tc>
      </w:tr>
      <w:tr w14:paraId="511235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D467281">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1.3.1</w:t>
            </w:r>
          </w:p>
        </w:tc>
        <w:tc>
          <w:tcPr>
            <w:tcW w:w="2160" w:type="dxa"/>
            <w:vAlign w:val="center"/>
          </w:tcPr>
          <w:p w14:paraId="2176808A">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招标范围</w:t>
            </w:r>
          </w:p>
        </w:tc>
        <w:tc>
          <w:tcPr>
            <w:tcW w:w="7200" w:type="dxa"/>
            <w:vAlign w:val="center"/>
          </w:tcPr>
          <w:p w14:paraId="36EAB085">
            <w:pPr>
              <w:snapToGrid w:val="0"/>
              <w:spacing w:line="276" w:lineRule="auto"/>
              <w:ind w:right="106"/>
              <w:jc w:val="left"/>
              <w:rPr>
                <w:rFonts w:hint="eastAsia" w:ascii="宋体" w:hAnsi="宋体"/>
                <w:color w:val="auto"/>
                <w:szCs w:val="21"/>
                <w:highlight w:val="none"/>
              </w:rPr>
            </w:pPr>
            <w:r>
              <w:rPr>
                <w:rFonts w:hint="eastAsia" w:ascii="宋体" w:hAnsi="宋体"/>
                <w:color w:val="auto"/>
                <w:szCs w:val="21"/>
                <w:highlight w:val="none"/>
              </w:rPr>
              <w:t>详见招标公告</w:t>
            </w:r>
          </w:p>
        </w:tc>
      </w:tr>
      <w:tr w14:paraId="1193E9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2670FCD">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1.3.2</w:t>
            </w:r>
          </w:p>
        </w:tc>
        <w:tc>
          <w:tcPr>
            <w:tcW w:w="2160" w:type="dxa"/>
            <w:vAlign w:val="center"/>
          </w:tcPr>
          <w:p w14:paraId="3A6B4A35">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服务期</w:t>
            </w:r>
          </w:p>
        </w:tc>
        <w:tc>
          <w:tcPr>
            <w:tcW w:w="7200" w:type="dxa"/>
            <w:vAlign w:val="center"/>
          </w:tcPr>
          <w:p w14:paraId="7203D11E">
            <w:pPr>
              <w:snapToGrid w:val="0"/>
              <w:spacing w:line="276" w:lineRule="auto"/>
              <w:ind w:right="106"/>
              <w:jc w:val="left"/>
              <w:rPr>
                <w:rFonts w:hint="eastAsia" w:ascii="宋体" w:hAnsi="宋体"/>
                <w:color w:val="auto"/>
                <w:szCs w:val="21"/>
                <w:highlight w:val="none"/>
                <w:u w:val="single"/>
              </w:rPr>
            </w:pPr>
            <w:r>
              <w:rPr>
                <w:rFonts w:hint="eastAsia" w:ascii="宋体" w:hAnsi="宋体"/>
                <w:color w:val="auto"/>
                <w:szCs w:val="21"/>
                <w:highlight w:val="none"/>
                <w:u w:val="single"/>
              </w:rPr>
              <w:t>从中标人进场至完成所有检测监测项目且技术成果通过审批，服务周期必须满足实际施工及验收要求，且招标人有权根据工程实际需要调整工期及验收时间，中标人需配合招标人的调整作出相应的执行计划。进场日期以招标人通知时间为准。</w:t>
            </w:r>
          </w:p>
        </w:tc>
      </w:tr>
      <w:tr w14:paraId="1F800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3B1A3FE">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1.3.3</w:t>
            </w:r>
          </w:p>
        </w:tc>
        <w:tc>
          <w:tcPr>
            <w:tcW w:w="2160" w:type="dxa"/>
            <w:vAlign w:val="center"/>
          </w:tcPr>
          <w:p w14:paraId="6F59060D">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7200" w:type="dxa"/>
            <w:vAlign w:val="center"/>
          </w:tcPr>
          <w:p w14:paraId="56D464DB">
            <w:pPr>
              <w:pStyle w:val="27"/>
              <w:snapToGrid w:val="0"/>
              <w:spacing w:line="276" w:lineRule="auto"/>
              <w:ind w:firstLine="0"/>
              <w:rPr>
                <w:rFonts w:hint="eastAsia" w:ascii="宋体" w:hAnsi="宋体" w:cs="宋体"/>
                <w:color w:val="auto"/>
                <w:szCs w:val="21"/>
                <w:highlight w:val="none"/>
              </w:rPr>
            </w:pPr>
            <w:r>
              <w:rPr>
                <w:rFonts w:hint="eastAsia" w:ascii="宋体" w:hAnsi="宋体"/>
                <w:color w:val="auto"/>
                <w:szCs w:val="21"/>
                <w:highlight w:val="none"/>
              </w:rPr>
              <w:t>符合国家及省、市有关检测监测规范、标准</w:t>
            </w:r>
          </w:p>
        </w:tc>
      </w:tr>
      <w:tr w14:paraId="75DC1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002091B">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1.4.1</w:t>
            </w:r>
          </w:p>
        </w:tc>
        <w:tc>
          <w:tcPr>
            <w:tcW w:w="2160" w:type="dxa"/>
            <w:vAlign w:val="center"/>
          </w:tcPr>
          <w:p w14:paraId="6FBED774">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投标人资质条件、能力、信誉</w:t>
            </w:r>
          </w:p>
        </w:tc>
        <w:tc>
          <w:tcPr>
            <w:tcW w:w="7200" w:type="dxa"/>
            <w:vAlign w:val="center"/>
          </w:tcPr>
          <w:p w14:paraId="722D92F1">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）资质要求：见招标公告投标人资格要求。</w:t>
            </w:r>
          </w:p>
          <w:p w14:paraId="463D87AD">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）财务要求：</w:t>
            </w:r>
            <w:r>
              <w:rPr>
                <w:rFonts w:ascii="宋体" w:hAnsi="宋体" w:cs="宋体"/>
                <w:color w:val="auto"/>
                <w:szCs w:val="21"/>
                <w:highlight w:val="none"/>
              </w:rPr>
              <w:t>/</w:t>
            </w:r>
          </w:p>
          <w:p w14:paraId="22645035">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）业绩要求：</w:t>
            </w:r>
            <w:r>
              <w:rPr>
                <w:rFonts w:ascii="宋体" w:hAnsi="宋体"/>
                <w:color w:val="auto"/>
                <w:szCs w:val="21"/>
                <w:highlight w:val="none"/>
              </w:rPr>
              <w:t>/</w:t>
            </w:r>
          </w:p>
          <w:p w14:paraId="7859B4B1">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）信誉要求：</w:t>
            </w:r>
            <w:r>
              <w:rPr>
                <w:rFonts w:ascii="宋体" w:hAnsi="宋体" w:cs="宋体"/>
                <w:color w:val="auto"/>
                <w:szCs w:val="21"/>
                <w:highlight w:val="none"/>
              </w:rPr>
              <w:t>/</w:t>
            </w:r>
          </w:p>
          <w:p w14:paraId="4DC86E40">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）项目负责人的资格要求：见招标公告投标人资格要求。</w:t>
            </w:r>
          </w:p>
          <w:p w14:paraId="152F2EA3">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）其他主要人员要求：</w:t>
            </w:r>
            <w:r>
              <w:rPr>
                <w:rFonts w:ascii="宋体" w:hAnsi="宋体"/>
                <w:color w:val="auto"/>
                <w:szCs w:val="21"/>
                <w:highlight w:val="none"/>
              </w:rPr>
              <w:t>/</w:t>
            </w:r>
            <w:r>
              <w:rPr>
                <w:rFonts w:hint="eastAsia" w:ascii="宋体" w:hAnsi="宋体"/>
                <w:color w:val="auto"/>
                <w:szCs w:val="21"/>
                <w:highlight w:val="none"/>
              </w:rPr>
              <w:t>。</w:t>
            </w:r>
          </w:p>
          <w:p w14:paraId="1882098E">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）试验检测仪器设备要求：</w:t>
            </w:r>
            <w:r>
              <w:rPr>
                <w:rFonts w:ascii="宋体" w:hAnsi="宋体" w:cs="宋体"/>
                <w:color w:val="auto"/>
                <w:szCs w:val="21"/>
                <w:highlight w:val="none"/>
              </w:rPr>
              <w:t>/</w:t>
            </w:r>
            <w:r>
              <w:rPr>
                <w:rFonts w:hint="eastAsia" w:ascii="宋体" w:hAnsi="宋体" w:cs="宋体"/>
                <w:color w:val="auto"/>
                <w:szCs w:val="21"/>
                <w:highlight w:val="none"/>
              </w:rPr>
              <w:t>。</w:t>
            </w:r>
          </w:p>
          <w:p w14:paraId="729990F4">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）其他要求：见招标公告投标人资格要求。</w:t>
            </w:r>
          </w:p>
        </w:tc>
      </w:tr>
      <w:tr w14:paraId="24326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EB30C6B">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1.4.2</w:t>
            </w:r>
          </w:p>
        </w:tc>
        <w:tc>
          <w:tcPr>
            <w:tcW w:w="2160" w:type="dxa"/>
            <w:vAlign w:val="center"/>
          </w:tcPr>
          <w:p w14:paraId="00F9D11F">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7200" w:type="dxa"/>
            <w:vAlign w:val="center"/>
          </w:tcPr>
          <w:p w14:paraId="7D2A1048">
            <w:pPr>
              <w:snapToGrid w:val="0"/>
              <w:spacing w:line="276" w:lineRule="auto"/>
              <w:ind w:right="-238"/>
              <w:rPr>
                <w:rFonts w:hint="eastAsia" w:ascii="宋体" w:hAnsi="宋体"/>
                <w:color w:val="auto"/>
                <w:szCs w:val="21"/>
                <w:highlight w:val="none"/>
              </w:rPr>
            </w:pPr>
            <w:r>
              <w:rPr>
                <w:rFonts w:hint="eastAsia" w:hAnsi="宋体"/>
                <w:color w:val="auto"/>
                <w:szCs w:val="21"/>
                <w:highlight w:val="none"/>
              </w:rPr>
              <w:t>□</w:t>
            </w:r>
            <w:r>
              <w:rPr>
                <w:rFonts w:hint="eastAsia" w:ascii="宋体" w:hAnsi="宋体" w:cs="宋体"/>
                <w:color w:val="auto"/>
                <w:position w:val="3"/>
                <w:szCs w:val="21"/>
                <w:highlight w:val="none"/>
              </w:rPr>
              <w:t>不接受</w:t>
            </w:r>
          </w:p>
          <w:p w14:paraId="3372FCFB">
            <w:pPr>
              <w:spacing w:line="276" w:lineRule="auto"/>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接受，应满足下列要求：详见招标公告</w:t>
            </w:r>
          </w:p>
        </w:tc>
      </w:tr>
      <w:tr w14:paraId="0605B2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91C8558">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1.4.3</w:t>
            </w:r>
          </w:p>
        </w:tc>
        <w:tc>
          <w:tcPr>
            <w:tcW w:w="2160" w:type="dxa"/>
            <w:vAlign w:val="center"/>
          </w:tcPr>
          <w:p w14:paraId="5D2FC43B">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投标人不得存在的其他情形</w:t>
            </w:r>
          </w:p>
        </w:tc>
        <w:tc>
          <w:tcPr>
            <w:tcW w:w="7200" w:type="dxa"/>
            <w:vAlign w:val="center"/>
          </w:tcPr>
          <w:p w14:paraId="7D12CD70">
            <w:pPr>
              <w:topLinePunct/>
              <w:snapToGrid w:val="0"/>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在近三年内投标人或其法定代表人、拟</w:t>
            </w:r>
            <w:r>
              <w:rPr>
                <w:rFonts w:hint="eastAsia" w:ascii="宋体" w:hAnsi="宋体"/>
                <w:color w:val="auto"/>
                <w:szCs w:val="21"/>
                <w:highlight w:val="none"/>
                <w:u w:val="single"/>
                <w:lang w:eastAsia="zh-CN"/>
              </w:rPr>
              <w:t>委派</w:t>
            </w:r>
            <w:r>
              <w:rPr>
                <w:rFonts w:hint="eastAsia" w:ascii="宋体" w:hAnsi="宋体"/>
                <w:color w:val="auto"/>
                <w:szCs w:val="21"/>
                <w:highlight w:val="none"/>
                <w:u w:val="single"/>
              </w:rPr>
              <w:t>的项目负责人有行贿犯罪行为的。</w:t>
            </w:r>
          </w:p>
        </w:tc>
      </w:tr>
      <w:tr w14:paraId="7651D7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67F798B">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1.9.1</w:t>
            </w:r>
          </w:p>
        </w:tc>
        <w:tc>
          <w:tcPr>
            <w:tcW w:w="2160" w:type="dxa"/>
            <w:vAlign w:val="center"/>
          </w:tcPr>
          <w:p w14:paraId="687B4667">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踏勘现场</w:t>
            </w:r>
          </w:p>
        </w:tc>
        <w:tc>
          <w:tcPr>
            <w:tcW w:w="7200" w:type="dxa"/>
            <w:vAlign w:val="center"/>
          </w:tcPr>
          <w:p w14:paraId="66933FE5">
            <w:pPr>
              <w:pStyle w:val="11"/>
              <w:topLinePunct/>
              <w:snapToGrid w:val="0"/>
              <w:spacing w:line="276" w:lineRule="auto"/>
              <w:rPr>
                <w:rFonts w:hint="eastAsia"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不组织，</w:t>
            </w:r>
            <w:r>
              <w:rPr>
                <w:rFonts w:hint="eastAsia" w:hAnsi="宋体"/>
                <w:color w:val="auto"/>
                <w:sz w:val="21"/>
                <w:szCs w:val="21"/>
                <w:highlight w:val="none"/>
                <w:u w:val="single"/>
              </w:rPr>
              <w:t>由投标人自行现场考察。</w:t>
            </w:r>
          </w:p>
          <w:p w14:paraId="41219D2D">
            <w:pPr>
              <w:pStyle w:val="11"/>
              <w:topLinePunct/>
              <w:snapToGrid w:val="0"/>
              <w:spacing w:line="276" w:lineRule="auto"/>
              <w:rPr>
                <w:rFonts w:hint="eastAsia" w:hAnsi="宋体"/>
                <w:color w:val="auto"/>
                <w:sz w:val="21"/>
                <w:szCs w:val="21"/>
                <w:highlight w:val="none"/>
              </w:rPr>
            </w:pPr>
            <w:r>
              <w:rPr>
                <w:rFonts w:hint="eastAsia" w:hAnsi="宋体"/>
                <w:color w:val="auto"/>
                <w:sz w:val="21"/>
                <w:szCs w:val="21"/>
                <w:highlight w:val="none"/>
              </w:rPr>
              <w:t>□组织，踏勘时间：</w:t>
            </w:r>
            <w:r>
              <w:rPr>
                <w:rFonts w:hAnsi="宋体"/>
                <w:color w:val="auto"/>
                <w:sz w:val="21"/>
                <w:szCs w:val="21"/>
                <w:highlight w:val="none"/>
              </w:rPr>
              <w:t>/</w:t>
            </w:r>
          </w:p>
          <w:p w14:paraId="5A40A831">
            <w:pPr>
              <w:pStyle w:val="11"/>
              <w:topLinePunct/>
              <w:snapToGrid w:val="0"/>
              <w:spacing w:line="276" w:lineRule="auto"/>
              <w:ind w:firstLine="840" w:firstLineChars="400"/>
              <w:rPr>
                <w:rFonts w:hint="eastAsia" w:hAnsi="宋体"/>
                <w:color w:val="auto"/>
                <w:sz w:val="21"/>
                <w:szCs w:val="21"/>
                <w:highlight w:val="none"/>
              </w:rPr>
            </w:pPr>
            <w:r>
              <w:rPr>
                <w:rFonts w:hint="eastAsia" w:hAnsi="宋体"/>
                <w:color w:val="auto"/>
                <w:sz w:val="21"/>
                <w:szCs w:val="21"/>
                <w:highlight w:val="none"/>
              </w:rPr>
              <w:t>踏勘集中地点：</w:t>
            </w:r>
            <w:r>
              <w:rPr>
                <w:rFonts w:hAnsi="宋体"/>
                <w:color w:val="auto"/>
                <w:sz w:val="21"/>
                <w:szCs w:val="21"/>
                <w:highlight w:val="none"/>
              </w:rPr>
              <w:t>/</w:t>
            </w:r>
          </w:p>
        </w:tc>
      </w:tr>
      <w:tr w14:paraId="5FB588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D5D8D95">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1.10.1</w:t>
            </w:r>
          </w:p>
        </w:tc>
        <w:tc>
          <w:tcPr>
            <w:tcW w:w="2160" w:type="dxa"/>
            <w:vAlign w:val="center"/>
          </w:tcPr>
          <w:p w14:paraId="3CA34315">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投标预备会</w:t>
            </w:r>
          </w:p>
        </w:tc>
        <w:tc>
          <w:tcPr>
            <w:tcW w:w="7200" w:type="dxa"/>
            <w:vAlign w:val="center"/>
          </w:tcPr>
          <w:p w14:paraId="53D19671">
            <w:pPr>
              <w:pStyle w:val="11"/>
              <w:topLinePunct/>
              <w:snapToGrid w:val="0"/>
              <w:spacing w:line="276" w:lineRule="auto"/>
              <w:rPr>
                <w:rFonts w:hint="eastAsia"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不召开</w:t>
            </w:r>
          </w:p>
          <w:p w14:paraId="0AD0F7F2">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□召开，召开时间：</w:t>
            </w:r>
            <w:r>
              <w:rPr>
                <w:rFonts w:ascii="宋体" w:hAnsi="宋体"/>
                <w:color w:val="auto"/>
                <w:szCs w:val="21"/>
                <w:highlight w:val="none"/>
                <w:u w:val="single"/>
              </w:rPr>
              <w:t xml:space="preserve"> / </w:t>
            </w:r>
          </w:p>
          <w:p w14:paraId="19A427EF">
            <w:pPr>
              <w:snapToGrid w:val="0"/>
              <w:spacing w:line="276" w:lineRule="auto"/>
              <w:ind w:firstLine="840" w:firstLineChars="400"/>
              <w:rPr>
                <w:rFonts w:hint="eastAsia" w:ascii="宋体" w:hAnsi="宋体"/>
                <w:color w:val="auto"/>
                <w:szCs w:val="21"/>
                <w:highlight w:val="none"/>
              </w:rPr>
            </w:pPr>
            <w:r>
              <w:rPr>
                <w:rFonts w:hint="eastAsia" w:ascii="宋体" w:hAnsi="宋体"/>
                <w:color w:val="auto"/>
                <w:szCs w:val="21"/>
                <w:highlight w:val="none"/>
              </w:rPr>
              <w:t>召开地点：</w:t>
            </w:r>
            <w:r>
              <w:rPr>
                <w:rFonts w:ascii="宋体" w:hAnsi="宋体"/>
                <w:color w:val="auto"/>
                <w:szCs w:val="21"/>
                <w:highlight w:val="none"/>
                <w:u w:val="single"/>
              </w:rPr>
              <w:t xml:space="preserve"> / </w:t>
            </w:r>
          </w:p>
        </w:tc>
      </w:tr>
      <w:tr w14:paraId="2E2712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14:paraId="48AC3112">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1.10.2</w:t>
            </w:r>
          </w:p>
        </w:tc>
        <w:tc>
          <w:tcPr>
            <w:tcW w:w="2160" w:type="dxa"/>
            <w:vMerge w:val="restart"/>
            <w:vAlign w:val="center"/>
          </w:tcPr>
          <w:p w14:paraId="35E4AC1F">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投标人在投标预备会前提出问题</w:t>
            </w:r>
          </w:p>
        </w:tc>
        <w:tc>
          <w:tcPr>
            <w:tcW w:w="7200" w:type="dxa"/>
            <w:vAlign w:val="center"/>
          </w:tcPr>
          <w:p w14:paraId="017FEFB4">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时间：</w:t>
            </w:r>
            <w:r>
              <w:rPr>
                <w:rFonts w:ascii="宋体" w:hAnsi="宋体"/>
                <w:color w:val="auto"/>
                <w:szCs w:val="21"/>
                <w:highlight w:val="none"/>
                <w:u w:val="single"/>
              </w:rPr>
              <w:t xml:space="preserve"> / </w:t>
            </w:r>
          </w:p>
        </w:tc>
      </w:tr>
      <w:tr w14:paraId="726113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0D6C35BB">
            <w:pPr>
              <w:snapToGrid w:val="0"/>
              <w:spacing w:line="276" w:lineRule="auto"/>
              <w:jc w:val="center"/>
              <w:rPr>
                <w:rFonts w:hint="eastAsia" w:ascii="宋体" w:hAnsi="宋体"/>
                <w:color w:val="auto"/>
                <w:szCs w:val="21"/>
                <w:highlight w:val="none"/>
              </w:rPr>
            </w:pPr>
          </w:p>
        </w:tc>
        <w:tc>
          <w:tcPr>
            <w:tcW w:w="2160" w:type="dxa"/>
            <w:vMerge w:val="continue"/>
            <w:vAlign w:val="center"/>
          </w:tcPr>
          <w:p w14:paraId="305A4C07">
            <w:pPr>
              <w:snapToGrid w:val="0"/>
              <w:spacing w:line="276" w:lineRule="auto"/>
              <w:jc w:val="center"/>
              <w:rPr>
                <w:rFonts w:hint="eastAsia" w:ascii="宋体" w:hAnsi="宋体"/>
                <w:color w:val="auto"/>
                <w:szCs w:val="21"/>
                <w:highlight w:val="none"/>
              </w:rPr>
            </w:pPr>
          </w:p>
        </w:tc>
        <w:tc>
          <w:tcPr>
            <w:tcW w:w="7200" w:type="dxa"/>
            <w:vAlign w:val="center"/>
          </w:tcPr>
          <w:p w14:paraId="15FF14EF">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形式：</w:t>
            </w:r>
            <w:r>
              <w:rPr>
                <w:rFonts w:ascii="宋体" w:hAnsi="宋体"/>
                <w:color w:val="auto"/>
                <w:szCs w:val="21"/>
                <w:highlight w:val="none"/>
                <w:u w:val="single"/>
              </w:rPr>
              <w:t xml:space="preserve"> / </w:t>
            </w:r>
          </w:p>
        </w:tc>
      </w:tr>
      <w:tr w14:paraId="2900B4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2BF3601">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1.10.3</w:t>
            </w:r>
          </w:p>
        </w:tc>
        <w:tc>
          <w:tcPr>
            <w:tcW w:w="2160" w:type="dxa"/>
            <w:vAlign w:val="center"/>
          </w:tcPr>
          <w:p w14:paraId="75F53AFE">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037EF6DD">
            <w:pPr>
              <w:snapToGrid w:val="0"/>
              <w:spacing w:line="276" w:lineRule="auto"/>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（此为投标预备会的答疑澄清）</w:t>
            </w:r>
          </w:p>
        </w:tc>
      </w:tr>
      <w:tr w14:paraId="2B55BE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48F4FA6">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1.12.1</w:t>
            </w:r>
          </w:p>
        </w:tc>
        <w:tc>
          <w:tcPr>
            <w:tcW w:w="2160" w:type="dxa"/>
            <w:vAlign w:val="center"/>
          </w:tcPr>
          <w:p w14:paraId="7A43B5DE">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实质性要求和条件</w:t>
            </w:r>
          </w:p>
        </w:tc>
        <w:tc>
          <w:tcPr>
            <w:tcW w:w="7200" w:type="dxa"/>
            <w:vAlign w:val="center"/>
          </w:tcPr>
          <w:p w14:paraId="76B5D5CA">
            <w:pPr>
              <w:pStyle w:val="11"/>
              <w:topLinePunct/>
              <w:snapToGrid w:val="0"/>
              <w:spacing w:line="276" w:lineRule="auto"/>
              <w:rPr>
                <w:rFonts w:hint="eastAsia" w:hAnsi="宋体"/>
                <w:color w:val="auto"/>
                <w:sz w:val="21"/>
                <w:szCs w:val="21"/>
                <w:highlight w:val="none"/>
              </w:rPr>
            </w:pPr>
            <w:r>
              <w:rPr>
                <w:rFonts w:hAnsi="宋体"/>
                <w:color w:val="auto"/>
                <w:sz w:val="21"/>
                <w:szCs w:val="21"/>
                <w:highlight w:val="none"/>
              </w:rPr>
              <w:t>/</w:t>
            </w:r>
          </w:p>
        </w:tc>
      </w:tr>
      <w:tr w14:paraId="3FD6D4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DF83888">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1.12.3</w:t>
            </w:r>
          </w:p>
        </w:tc>
        <w:tc>
          <w:tcPr>
            <w:tcW w:w="2160" w:type="dxa"/>
            <w:vAlign w:val="center"/>
          </w:tcPr>
          <w:p w14:paraId="3E33A388">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偏差</w:t>
            </w:r>
          </w:p>
        </w:tc>
        <w:tc>
          <w:tcPr>
            <w:tcW w:w="7200" w:type="dxa"/>
            <w:vAlign w:val="center"/>
          </w:tcPr>
          <w:p w14:paraId="250D182F">
            <w:pPr>
              <w:snapToGrid w:val="0"/>
              <w:spacing w:line="276" w:lineRule="auto"/>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20032855">
            <w:pPr>
              <w:pStyle w:val="11"/>
              <w:topLinePunct/>
              <w:snapToGrid w:val="0"/>
              <w:spacing w:line="276" w:lineRule="auto"/>
              <w:rPr>
                <w:rFonts w:hint="eastAsia" w:hAnsi="宋体"/>
                <w:color w:val="auto"/>
                <w:sz w:val="21"/>
                <w:szCs w:val="21"/>
                <w:highlight w:val="none"/>
              </w:rPr>
            </w:pPr>
            <w:r>
              <w:rPr>
                <w:rFonts w:hint="eastAsia" w:hAnsi="宋体"/>
                <w:color w:val="auto"/>
                <w:sz w:val="21"/>
                <w:szCs w:val="21"/>
                <w:highlight w:val="none"/>
              </w:rPr>
              <w:t>□允许，偏差范围：</w:t>
            </w:r>
            <w:r>
              <w:rPr>
                <w:rFonts w:hAnsi="宋体"/>
                <w:color w:val="auto"/>
                <w:sz w:val="21"/>
                <w:szCs w:val="21"/>
                <w:highlight w:val="none"/>
              </w:rPr>
              <w:t>/</w:t>
            </w:r>
          </w:p>
          <w:p w14:paraId="6D91196D">
            <w:pPr>
              <w:pStyle w:val="11"/>
              <w:topLinePunct/>
              <w:snapToGrid w:val="0"/>
              <w:spacing w:line="276" w:lineRule="auto"/>
              <w:ind w:firstLine="840" w:firstLineChars="400"/>
              <w:rPr>
                <w:rFonts w:hint="eastAsia" w:hAnsi="宋体"/>
                <w:color w:val="auto"/>
                <w:sz w:val="21"/>
                <w:szCs w:val="21"/>
                <w:highlight w:val="none"/>
              </w:rPr>
            </w:pPr>
            <w:r>
              <w:rPr>
                <w:rFonts w:hint="eastAsia" w:hAnsi="宋体"/>
                <w:color w:val="auto"/>
                <w:sz w:val="21"/>
                <w:szCs w:val="21"/>
                <w:highlight w:val="none"/>
              </w:rPr>
              <w:t>偏差幅度：</w:t>
            </w:r>
            <w:r>
              <w:rPr>
                <w:rFonts w:hAnsi="宋体"/>
                <w:color w:val="auto"/>
                <w:sz w:val="21"/>
                <w:szCs w:val="21"/>
                <w:highlight w:val="none"/>
              </w:rPr>
              <w:t>/</w:t>
            </w:r>
          </w:p>
        </w:tc>
      </w:tr>
      <w:tr w14:paraId="2630E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6941FB2">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2.1</w:t>
            </w:r>
          </w:p>
        </w:tc>
        <w:tc>
          <w:tcPr>
            <w:tcW w:w="2160" w:type="dxa"/>
            <w:vAlign w:val="center"/>
          </w:tcPr>
          <w:p w14:paraId="2011E976">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构成招标文件的其他资料</w:t>
            </w:r>
          </w:p>
        </w:tc>
        <w:tc>
          <w:tcPr>
            <w:tcW w:w="7200" w:type="dxa"/>
            <w:vAlign w:val="center"/>
          </w:tcPr>
          <w:p w14:paraId="6AF56171">
            <w:pPr>
              <w:snapToGrid w:val="0"/>
              <w:spacing w:line="276" w:lineRule="auto"/>
              <w:rPr>
                <w:rFonts w:hint="eastAsia" w:ascii="宋体" w:hAnsi="宋体"/>
                <w:color w:val="auto"/>
                <w:szCs w:val="21"/>
                <w:highlight w:val="none"/>
              </w:rPr>
            </w:pPr>
            <w:r>
              <w:rPr>
                <w:rFonts w:ascii="宋体" w:hAnsi="宋体"/>
                <w:color w:val="auto"/>
                <w:szCs w:val="21"/>
                <w:highlight w:val="none"/>
                <w:u w:val="single"/>
              </w:rPr>
              <w:t xml:space="preserve"> / </w:t>
            </w:r>
          </w:p>
        </w:tc>
      </w:tr>
      <w:tr w14:paraId="338B6B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14:paraId="204DD3C4">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2.2.1</w:t>
            </w:r>
          </w:p>
        </w:tc>
        <w:tc>
          <w:tcPr>
            <w:tcW w:w="2160" w:type="dxa"/>
            <w:vMerge w:val="restart"/>
            <w:vAlign w:val="center"/>
          </w:tcPr>
          <w:p w14:paraId="4C1D1622">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投标人要求澄清招标文件</w:t>
            </w:r>
          </w:p>
        </w:tc>
        <w:tc>
          <w:tcPr>
            <w:tcW w:w="7200" w:type="dxa"/>
            <w:vAlign w:val="center"/>
          </w:tcPr>
          <w:p w14:paraId="58AEF67C">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18</w:t>
            </w:r>
            <w:r>
              <w:rPr>
                <w:rFonts w:hint="eastAsia" w:ascii="宋体" w:hAnsi="宋体"/>
                <w:color w:val="auto"/>
                <w:szCs w:val="21"/>
                <w:highlight w:val="none"/>
              </w:rPr>
              <w:t>天前提出；</w:t>
            </w:r>
          </w:p>
        </w:tc>
      </w:tr>
      <w:tr w14:paraId="6A938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2233BCA0">
            <w:pPr>
              <w:snapToGrid w:val="0"/>
              <w:spacing w:line="276" w:lineRule="auto"/>
              <w:jc w:val="center"/>
              <w:rPr>
                <w:rFonts w:hint="eastAsia" w:ascii="宋体" w:hAnsi="宋体"/>
                <w:color w:val="auto"/>
                <w:szCs w:val="21"/>
                <w:highlight w:val="none"/>
              </w:rPr>
            </w:pPr>
          </w:p>
        </w:tc>
        <w:tc>
          <w:tcPr>
            <w:tcW w:w="2160" w:type="dxa"/>
            <w:vMerge w:val="continue"/>
            <w:vAlign w:val="center"/>
          </w:tcPr>
          <w:p w14:paraId="51C4C404">
            <w:pPr>
              <w:snapToGrid w:val="0"/>
              <w:spacing w:line="276" w:lineRule="auto"/>
              <w:jc w:val="center"/>
              <w:rPr>
                <w:rFonts w:hint="eastAsia" w:ascii="宋体" w:hAnsi="宋体"/>
                <w:color w:val="auto"/>
                <w:szCs w:val="21"/>
                <w:highlight w:val="none"/>
              </w:rPr>
            </w:pPr>
          </w:p>
        </w:tc>
        <w:tc>
          <w:tcPr>
            <w:tcW w:w="7200" w:type="dxa"/>
            <w:vAlign w:val="center"/>
          </w:tcPr>
          <w:p w14:paraId="3FA8F659">
            <w:pPr>
              <w:pStyle w:val="27"/>
              <w:snapToGrid w:val="0"/>
              <w:spacing w:line="276" w:lineRule="auto"/>
              <w:ind w:right="174" w:rightChars="83" w:firstLine="0"/>
              <w:rPr>
                <w:rFonts w:hint="eastAsia"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招标答疑采用网上答疑方式进行。投标人若对招标文件（包括图纸、合同版本、最高投标限价等）有疑问的，可在规定的时间内通过广州交易集团有限公司（广州公共资源交易中心）网站将问题提交给招标人或招标代理人。</w:t>
            </w:r>
          </w:p>
          <w:p w14:paraId="715500A2">
            <w:pPr>
              <w:pStyle w:val="27"/>
              <w:snapToGrid w:val="0"/>
              <w:spacing w:line="276" w:lineRule="auto"/>
              <w:ind w:right="174" w:rightChars="83" w:firstLine="0"/>
              <w:rPr>
                <w:rFonts w:hint="eastAsia" w:ascii="宋体" w:hAnsi="宋体" w:cs="宋体"/>
                <w:color w:val="auto"/>
                <w:szCs w:val="21"/>
                <w:highlight w:val="none"/>
              </w:rPr>
            </w:pPr>
            <w:r>
              <w:rPr>
                <w:rFonts w:hint="eastAsia" w:ascii="宋体" w:hAnsi="宋体" w:cs="宋体"/>
                <w:color w:val="auto"/>
                <w:szCs w:val="21"/>
                <w:highlight w:val="none"/>
              </w:rPr>
              <w:t>网上答疑的操作指南为：登陆广州交易集团有限公司（广州公共资源交易中心）网站-&gt;进入“我是投标人（供应商）”-&gt;“我的投标”-&gt;“招标答疑提问”查询项目并提问。</w:t>
            </w:r>
          </w:p>
        </w:tc>
      </w:tr>
      <w:tr w14:paraId="40495E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A996D0D">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2.2.2</w:t>
            </w:r>
          </w:p>
        </w:tc>
        <w:tc>
          <w:tcPr>
            <w:tcW w:w="2160" w:type="dxa"/>
            <w:vAlign w:val="center"/>
          </w:tcPr>
          <w:p w14:paraId="781E165D">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14:paraId="46C21B27">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在递交投标文件截止时间</w:t>
            </w:r>
            <w:r>
              <w:rPr>
                <w:rFonts w:ascii="宋体" w:hAnsi="宋体"/>
                <w:color w:val="auto"/>
                <w:szCs w:val="21"/>
                <w:highlight w:val="none"/>
              </w:rPr>
              <w:t>15</w:t>
            </w:r>
            <w:r>
              <w:rPr>
                <w:rFonts w:hint="eastAsia" w:ascii="宋体" w:hAnsi="宋体"/>
                <w:color w:val="auto"/>
                <w:szCs w:val="21"/>
                <w:highlight w:val="none"/>
              </w:rPr>
              <w:t>天前；在广州交易集团有限公司（广州公共资源交易中心）网站通过项目答疑专区网上公开发布。</w:t>
            </w:r>
          </w:p>
        </w:tc>
      </w:tr>
      <w:tr w14:paraId="4E1555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14:paraId="2CC9B3D0">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2.2.3</w:t>
            </w:r>
          </w:p>
        </w:tc>
        <w:tc>
          <w:tcPr>
            <w:tcW w:w="2160" w:type="dxa"/>
            <w:vMerge w:val="restart"/>
            <w:vAlign w:val="center"/>
          </w:tcPr>
          <w:p w14:paraId="489818A0">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投标人确认收到招标文件澄清</w:t>
            </w:r>
          </w:p>
        </w:tc>
        <w:tc>
          <w:tcPr>
            <w:tcW w:w="7200" w:type="dxa"/>
            <w:vAlign w:val="center"/>
          </w:tcPr>
          <w:p w14:paraId="5EC64F60">
            <w:pPr>
              <w:spacing w:line="276" w:lineRule="auto"/>
              <w:rPr>
                <w:rFonts w:hint="eastAsia" w:ascii="宋体" w:hAnsi="宋体"/>
                <w:color w:val="auto"/>
                <w:szCs w:val="21"/>
                <w:highlight w:val="none"/>
              </w:rPr>
            </w:pPr>
            <w:r>
              <w:rPr>
                <w:rFonts w:hint="eastAsia" w:ascii="宋体" w:hAnsi="宋体"/>
                <w:color w:val="auto"/>
                <w:szCs w:val="21"/>
                <w:highlight w:val="none"/>
              </w:rPr>
              <w:t>时间：发出即视作收到</w:t>
            </w:r>
          </w:p>
        </w:tc>
      </w:tr>
      <w:tr w14:paraId="0CBFB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0B9CA668">
            <w:pPr>
              <w:snapToGrid w:val="0"/>
              <w:spacing w:line="276" w:lineRule="auto"/>
              <w:jc w:val="center"/>
              <w:rPr>
                <w:rFonts w:hint="eastAsia" w:ascii="宋体" w:hAnsi="宋体"/>
                <w:color w:val="auto"/>
                <w:szCs w:val="21"/>
                <w:highlight w:val="none"/>
              </w:rPr>
            </w:pPr>
          </w:p>
        </w:tc>
        <w:tc>
          <w:tcPr>
            <w:tcW w:w="2160" w:type="dxa"/>
            <w:vMerge w:val="continue"/>
            <w:vAlign w:val="center"/>
          </w:tcPr>
          <w:p w14:paraId="00A348B2">
            <w:pPr>
              <w:snapToGrid w:val="0"/>
              <w:spacing w:line="276" w:lineRule="auto"/>
              <w:jc w:val="center"/>
              <w:rPr>
                <w:rFonts w:hint="eastAsia" w:ascii="宋体" w:hAnsi="宋体"/>
                <w:color w:val="auto"/>
                <w:szCs w:val="21"/>
                <w:highlight w:val="none"/>
              </w:rPr>
            </w:pPr>
          </w:p>
        </w:tc>
        <w:tc>
          <w:tcPr>
            <w:tcW w:w="7200" w:type="dxa"/>
            <w:vAlign w:val="center"/>
          </w:tcPr>
          <w:p w14:paraId="0BD89D3F">
            <w:pPr>
              <w:spacing w:line="276" w:lineRule="auto"/>
              <w:rPr>
                <w:rFonts w:hint="eastAsia" w:ascii="宋体" w:hAnsi="宋体"/>
                <w:color w:val="auto"/>
                <w:szCs w:val="21"/>
                <w:highlight w:val="none"/>
              </w:rPr>
            </w:pPr>
            <w:r>
              <w:rPr>
                <w:rFonts w:hint="eastAsia" w:ascii="宋体" w:hAnsi="宋体"/>
                <w:color w:val="auto"/>
                <w:szCs w:val="21"/>
                <w:highlight w:val="none"/>
              </w:rPr>
              <w:t>形式：招标文件澄清（招标答疑纪要）一经在广州交易集团有限公司（广州公共资源交易中心）网站发布，视作已发放给所有投标人。</w:t>
            </w:r>
          </w:p>
        </w:tc>
      </w:tr>
      <w:tr w14:paraId="43A9E9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D301945">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2.3.1</w:t>
            </w:r>
          </w:p>
        </w:tc>
        <w:tc>
          <w:tcPr>
            <w:tcW w:w="2160" w:type="dxa"/>
            <w:vAlign w:val="center"/>
          </w:tcPr>
          <w:p w14:paraId="0230AB7A">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招标文件修改发出的形式</w:t>
            </w:r>
          </w:p>
        </w:tc>
        <w:tc>
          <w:tcPr>
            <w:tcW w:w="7200" w:type="dxa"/>
            <w:vAlign w:val="center"/>
          </w:tcPr>
          <w:p w14:paraId="7A3051F6">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以补充公告或项目答疑澄清的方式在广州交易集团有限公司（广州公共资源交易中心）网站发布</w:t>
            </w:r>
          </w:p>
        </w:tc>
      </w:tr>
      <w:tr w14:paraId="2D6D27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14:paraId="49776D65">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2.3.2</w:t>
            </w:r>
          </w:p>
        </w:tc>
        <w:tc>
          <w:tcPr>
            <w:tcW w:w="2160" w:type="dxa"/>
            <w:vMerge w:val="restart"/>
            <w:vAlign w:val="center"/>
          </w:tcPr>
          <w:p w14:paraId="0D540BB6">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投标人确认收到招标文件修改</w:t>
            </w:r>
          </w:p>
        </w:tc>
        <w:tc>
          <w:tcPr>
            <w:tcW w:w="7200" w:type="dxa"/>
            <w:vAlign w:val="center"/>
          </w:tcPr>
          <w:p w14:paraId="39530F95">
            <w:pPr>
              <w:spacing w:line="276" w:lineRule="auto"/>
              <w:rPr>
                <w:rFonts w:hint="eastAsia" w:ascii="宋体" w:hAnsi="宋体"/>
                <w:color w:val="auto"/>
                <w:szCs w:val="21"/>
                <w:highlight w:val="none"/>
              </w:rPr>
            </w:pPr>
            <w:r>
              <w:rPr>
                <w:rFonts w:hint="eastAsia" w:ascii="宋体" w:hAnsi="宋体"/>
                <w:color w:val="auto"/>
                <w:szCs w:val="21"/>
                <w:highlight w:val="none"/>
              </w:rPr>
              <w:t>时间：发出即视作收到</w:t>
            </w:r>
          </w:p>
        </w:tc>
      </w:tr>
      <w:tr w14:paraId="5E8D58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14:paraId="2097EE9B">
            <w:pPr>
              <w:snapToGrid w:val="0"/>
              <w:spacing w:line="276" w:lineRule="auto"/>
              <w:jc w:val="center"/>
              <w:rPr>
                <w:rFonts w:hint="eastAsia" w:ascii="宋体" w:hAnsi="宋体"/>
                <w:color w:val="auto"/>
                <w:szCs w:val="21"/>
                <w:highlight w:val="none"/>
              </w:rPr>
            </w:pPr>
          </w:p>
        </w:tc>
        <w:tc>
          <w:tcPr>
            <w:tcW w:w="2160" w:type="dxa"/>
            <w:vMerge w:val="continue"/>
            <w:vAlign w:val="center"/>
          </w:tcPr>
          <w:p w14:paraId="228C7B40">
            <w:pPr>
              <w:snapToGrid w:val="0"/>
              <w:spacing w:line="276" w:lineRule="auto"/>
              <w:jc w:val="center"/>
              <w:rPr>
                <w:rFonts w:hint="eastAsia" w:ascii="宋体" w:hAnsi="宋体"/>
                <w:color w:val="auto"/>
                <w:szCs w:val="21"/>
                <w:highlight w:val="none"/>
              </w:rPr>
            </w:pPr>
          </w:p>
        </w:tc>
        <w:tc>
          <w:tcPr>
            <w:tcW w:w="7200" w:type="dxa"/>
            <w:vAlign w:val="center"/>
          </w:tcPr>
          <w:p w14:paraId="785F76A0">
            <w:pPr>
              <w:spacing w:line="276" w:lineRule="auto"/>
              <w:rPr>
                <w:rFonts w:hint="eastAsia" w:ascii="宋体" w:hAnsi="宋体"/>
                <w:color w:val="auto"/>
                <w:szCs w:val="21"/>
                <w:highlight w:val="none"/>
              </w:rPr>
            </w:pPr>
            <w:r>
              <w:rPr>
                <w:rFonts w:hint="eastAsia" w:ascii="宋体" w:hAnsi="宋体"/>
                <w:color w:val="auto"/>
                <w:szCs w:val="21"/>
                <w:highlight w:val="none"/>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0B9AC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DC75BCD">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3.1.1</w:t>
            </w:r>
          </w:p>
        </w:tc>
        <w:tc>
          <w:tcPr>
            <w:tcW w:w="2160" w:type="dxa"/>
            <w:vAlign w:val="center"/>
          </w:tcPr>
          <w:p w14:paraId="7C00CF23">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构成投标文件的其他资料</w:t>
            </w:r>
          </w:p>
        </w:tc>
        <w:tc>
          <w:tcPr>
            <w:tcW w:w="7200" w:type="dxa"/>
            <w:vAlign w:val="center"/>
          </w:tcPr>
          <w:p w14:paraId="1AD07D24">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详见第六章投标文件格式</w:t>
            </w:r>
          </w:p>
        </w:tc>
      </w:tr>
      <w:tr w14:paraId="7686B0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D23A309">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3.2.1</w:t>
            </w:r>
          </w:p>
        </w:tc>
        <w:tc>
          <w:tcPr>
            <w:tcW w:w="2160" w:type="dxa"/>
            <w:vAlign w:val="center"/>
          </w:tcPr>
          <w:p w14:paraId="055CF0AF">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增值税税金的计算方法</w:t>
            </w:r>
          </w:p>
        </w:tc>
        <w:tc>
          <w:tcPr>
            <w:tcW w:w="7200" w:type="dxa"/>
            <w:vAlign w:val="center"/>
          </w:tcPr>
          <w:p w14:paraId="2B00554E">
            <w:pPr>
              <w:snapToGrid w:val="0"/>
              <w:spacing w:line="276" w:lineRule="auto"/>
              <w:rPr>
                <w:rFonts w:hint="eastAsia" w:ascii="宋体" w:hAnsi="宋体"/>
                <w:color w:val="auto"/>
                <w:szCs w:val="21"/>
                <w:highlight w:val="none"/>
              </w:rPr>
            </w:pPr>
            <w:r>
              <w:rPr>
                <w:rFonts w:ascii="宋体" w:hAnsi="宋体"/>
                <w:color w:val="auto"/>
                <w:szCs w:val="21"/>
                <w:highlight w:val="none"/>
                <w:u w:val="single"/>
              </w:rPr>
              <w:t xml:space="preserve"> / </w:t>
            </w:r>
          </w:p>
        </w:tc>
      </w:tr>
      <w:tr w14:paraId="0421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A553135">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3.2.3</w:t>
            </w:r>
          </w:p>
        </w:tc>
        <w:tc>
          <w:tcPr>
            <w:tcW w:w="2160" w:type="dxa"/>
            <w:vAlign w:val="center"/>
          </w:tcPr>
          <w:p w14:paraId="6DF64EA9">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报价方式</w:t>
            </w:r>
          </w:p>
        </w:tc>
        <w:tc>
          <w:tcPr>
            <w:tcW w:w="7200" w:type="dxa"/>
            <w:vAlign w:val="center"/>
          </w:tcPr>
          <w:p w14:paraId="5DBE08BC">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自行报价。（以元为单位，保留两位小数，第三位小数四舍五入）</w:t>
            </w:r>
          </w:p>
        </w:tc>
      </w:tr>
      <w:tr w14:paraId="67FE14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7AD1B26A">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3.2.4</w:t>
            </w:r>
          </w:p>
        </w:tc>
        <w:tc>
          <w:tcPr>
            <w:tcW w:w="2160" w:type="dxa"/>
            <w:vAlign w:val="center"/>
          </w:tcPr>
          <w:p w14:paraId="1C4591E4">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最高投标限价</w:t>
            </w:r>
          </w:p>
        </w:tc>
        <w:tc>
          <w:tcPr>
            <w:tcW w:w="7200" w:type="dxa"/>
            <w:vAlign w:val="center"/>
          </w:tcPr>
          <w:p w14:paraId="53D0F9A3">
            <w:pPr>
              <w:tabs>
                <w:tab w:val="left" w:pos="7513"/>
              </w:tabs>
              <w:spacing w:line="276" w:lineRule="auto"/>
              <w:rPr>
                <w:rFonts w:hint="eastAsia" w:ascii="宋体" w:hAnsi="宋体"/>
                <w:color w:val="auto"/>
                <w:szCs w:val="21"/>
                <w:highlight w:val="none"/>
              </w:rPr>
            </w:pPr>
            <w:r>
              <w:rPr>
                <w:rFonts w:hint="eastAsia" w:ascii="宋体" w:hAnsi="宋体"/>
                <w:color w:val="auto"/>
                <w:szCs w:val="21"/>
                <w:highlight w:val="none"/>
              </w:rPr>
              <w:t>□无</w:t>
            </w:r>
          </w:p>
          <w:p w14:paraId="4E43E2E5">
            <w:pPr>
              <w:tabs>
                <w:tab w:val="left" w:pos="7513"/>
              </w:tabs>
              <w:spacing w:line="276" w:lineRule="auto"/>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有，最高投标限价：</w:t>
            </w:r>
            <w:r>
              <w:rPr>
                <w:rFonts w:hint="eastAsia" w:ascii="宋体" w:hAnsi="宋体" w:eastAsia="宋体" w:cs="宋体"/>
                <w:color w:val="auto"/>
                <w:szCs w:val="21"/>
                <w:highlight w:val="none"/>
                <w:u w:val="single"/>
              </w:rPr>
              <w:t>人民币</w:t>
            </w:r>
            <w:r>
              <w:rPr>
                <w:rFonts w:hint="eastAsia" w:ascii="宋体" w:hAnsi="宋体" w:eastAsia="宋体" w:cs="宋体"/>
                <w:color w:val="auto"/>
                <w:sz w:val="21"/>
                <w:szCs w:val="21"/>
                <w:highlight w:val="none"/>
                <w:u w:val="single"/>
              </w:rPr>
              <w:t>3</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786</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544.75</w:t>
            </w:r>
            <w:r>
              <w:rPr>
                <w:rFonts w:hint="eastAsia" w:ascii="宋体" w:hAnsi="宋体" w:eastAsia="宋体" w:cs="宋体"/>
                <w:color w:val="auto"/>
                <w:szCs w:val="21"/>
                <w:highlight w:val="none"/>
                <w:u w:val="single"/>
              </w:rPr>
              <w:t>元（其中：检测费最高投标限价</w:t>
            </w:r>
            <w:r>
              <w:rPr>
                <w:rFonts w:hint="eastAsia" w:ascii="宋体" w:hAnsi="宋体" w:eastAsia="宋体" w:cs="宋体"/>
                <w:color w:val="auto"/>
                <w:kern w:val="2"/>
                <w:sz w:val="21"/>
                <w:szCs w:val="21"/>
                <w:highlight w:val="none"/>
                <w:u w:val="single"/>
                <w:lang w:eastAsia="zh-CN"/>
              </w:rPr>
              <w:t>3</w:t>
            </w:r>
            <w:r>
              <w:rPr>
                <w:rFonts w:hint="eastAsia" w:ascii="宋体" w:hAnsi="宋体" w:cs="宋体"/>
                <w:color w:val="auto"/>
                <w:kern w:val="2"/>
                <w:sz w:val="21"/>
                <w:szCs w:val="21"/>
                <w:highlight w:val="none"/>
                <w:u w:val="single"/>
                <w:lang w:val="en-US" w:eastAsia="zh-CN"/>
              </w:rPr>
              <w:t>,</w:t>
            </w:r>
            <w:r>
              <w:rPr>
                <w:rFonts w:hint="eastAsia" w:ascii="宋体" w:hAnsi="宋体" w:eastAsia="宋体" w:cs="宋体"/>
                <w:color w:val="auto"/>
                <w:kern w:val="2"/>
                <w:sz w:val="21"/>
                <w:szCs w:val="21"/>
                <w:highlight w:val="none"/>
                <w:u w:val="single"/>
                <w:lang w:eastAsia="zh-CN"/>
              </w:rPr>
              <w:t>382</w:t>
            </w:r>
            <w:r>
              <w:rPr>
                <w:rFonts w:hint="eastAsia" w:ascii="宋体" w:hAnsi="宋体" w:cs="宋体"/>
                <w:color w:val="auto"/>
                <w:kern w:val="2"/>
                <w:sz w:val="21"/>
                <w:szCs w:val="21"/>
                <w:highlight w:val="none"/>
                <w:u w:val="single"/>
                <w:lang w:val="en-US" w:eastAsia="zh-CN"/>
              </w:rPr>
              <w:t>,</w:t>
            </w:r>
            <w:r>
              <w:rPr>
                <w:rFonts w:hint="eastAsia" w:ascii="宋体" w:hAnsi="宋体" w:eastAsia="宋体" w:cs="宋体"/>
                <w:color w:val="auto"/>
                <w:kern w:val="2"/>
                <w:sz w:val="21"/>
                <w:szCs w:val="21"/>
                <w:highlight w:val="none"/>
                <w:u w:val="single"/>
                <w:lang w:eastAsia="zh-CN"/>
              </w:rPr>
              <w:t>773.95</w:t>
            </w:r>
            <w:r>
              <w:rPr>
                <w:rFonts w:hint="eastAsia" w:ascii="宋体" w:hAnsi="宋体" w:eastAsia="宋体" w:cs="宋体"/>
                <w:color w:val="auto"/>
                <w:szCs w:val="21"/>
                <w:highlight w:val="none"/>
                <w:u w:val="single"/>
              </w:rPr>
              <w:t>元；监测费最高投标限价</w:t>
            </w:r>
            <w:r>
              <w:rPr>
                <w:rFonts w:hint="eastAsia" w:ascii="宋体" w:hAnsi="宋体" w:eastAsia="宋体" w:cs="宋体"/>
                <w:color w:val="auto"/>
                <w:kern w:val="2"/>
                <w:sz w:val="21"/>
                <w:szCs w:val="21"/>
                <w:highlight w:val="none"/>
                <w:u w:val="single"/>
                <w:lang w:eastAsia="zh-CN"/>
              </w:rPr>
              <w:t>403</w:t>
            </w:r>
            <w:r>
              <w:rPr>
                <w:rFonts w:hint="eastAsia" w:ascii="宋体" w:hAnsi="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eastAsia="zh-CN"/>
              </w:rPr>
              <w:t>770.8</w:t>
            </w:r>
            <w:r>
              <w:rPr>
                <w:rFonts w:hint="eastAsia" w:ascii="宋体" w:hAnsi="宋体" w:cs="宋体"/>
                <w:color w:val="auto"/>
                <w:kern w:val="2"/>
                <w:sz w:val="21"/>
                <w:szCs w:val="21"/>
                <w:highlight w:val="none"/>
                <w:u w:val="single"/>
                <w:lang w:val="en-US" w:eastAsia="zh-CN"/>
              </w:rPr>
              <w:t>0</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本招标项目实</w:t>
            </w:r>
            <w:r>
              <w:rPr>
                <w:rFonts w:hint="eastAsia" w:ascii="宋体" w:hAnsi="宋体" w:cs="宋体"/>
                <w:color w:val="auto"/>
                <w:szCs w:val="21"/>
                <w:highlight w:val="none"/>
                <w:u w:val="single"/>
              </w:rPr>
              <w:t>行双限价，投标文件中投标总报价超过最高投标限价、投标综合单价超过相应分项综合单价最高投标限价的报价均为无效标。</w:t>
            </w:r>
          </w:p>
        </w:tc>
      </w:tr>
      <w:tr w14:paraId="2D2BFF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4A02E90">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3.2.5</w:t>
            </w:r>
          </w:p>
        </w:tc>
        <w:tc>
          <w:tcPr>
            <w:tcW w:w="2160" w:type="dxa"/>
            <w:vAlign w:val="center"/>
          </w:tcPr>
          <w:p w14:paraId="02DA8665">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投标报价的其他要求</w:t>
            </w:r>
          </w:p>
        </w:tc>
        <w:tc>
          <w:tcPr>
            <w:tcW w:w="7200" w:type="dxa"/>
            <w:vAlign w:val="center"/>
          </w:tcPr>
          <w:p w14:paraId="3FD70D68">
            <w:pPr>
              <w:pStyle w:val="28"/>
              <w:ind w:left="0" w:leftChars="0" w:firstLine="375" w:firstLineChars="179"/>
              <w:rPr>
                <w:rFonts w:hint="eastAsia" w:ascii="宋体" w:hAnsi="宋体"/>
                <w:color w:val="auto"/>
                <w:szCs w:val="21"/>
                <w:highlight w:val="none"/>
                <w:u w:val="single"/>
              </w:rPr>
            </w:pPr>
            <w:r>
              <w:rPr>
                <w:rFonts w:hint="eastAsia" w:ascii="宋体" w:hAnsi="宋体"/>
                <w:color w:val="auto"/>
                <w:szCs w:val="21"/>
                <w:highlight w:val="none"/>
                <w:u w:val="single"/>
              </w:rPr>
              <w:t>投标人必须详细审阅全部招标文件，充分考虑职责和义务，全面地理解招标文件对投标报价的要求，并按招标人提出的条件及内容进行报价。</w:t>
            </w:r>
          </w:p>
          <w:p w14:paraId="3CB914C8">
            <w:pPr>
              <w:pStyle w:val="28"/>
              <w:spacing w:after="0"/>
              <w:ind w:left="0" w:leftChars="0" w:firstLine="375" w:firstLineChars="179"/>
              <w:rPr>
                <w:rFonts w:hint="eastAsia" w:ascii="宋体" w:hAnsi="宋体"/>
                <w:color w:val="auto"/>
                <w:szCs w:val="21"/>
                <w:highlight w:val="none"/>
                <w:u w:val="single"/>
              </w:rPr>
            </w:pPr>
            <w:r>
              <w:rPr>
                <w:rFonts w:hint="eastAsia" w:ascii="宋体" w:hAnsi="宋体"/>
                <w:color w:val="auto"/>
                <w:szCs w:val="21"/>
                <w:highlight w:val="none"/>
                <w:u w:val="single"/>
              </w:rPr>
              <w:t>一、各投标人自行报价，</w:t>
            </w:r>
            <w:r>
              <w:rPr>
                <w:rFonts w:hint="eastAsia" w:ascii="宋体" w:hAnsi="宋体" w:cs="Times New Roman"/>
                <w:color w:val="auto"/>
                <w:szCs w:val="21"/>
                <w:highlight w:val="none"/>
                <w:u w:val="single"/>
              </w:rPr>
              <w:t>投标文件中投标总报价总价超过最高投标限价、投标综合单价超过相应分项综合单价最高投标限价的报价均为无效标。</w:t>
            </w:r>
          </w:p>
          <w:p w14:paraId="55BE3A94">
            <w:pPr>
              <w:pStyle w:val="28"/>
              <w:spacing w:after="0"/>
              <w:ind w:left="0" w:leftChars="0" w:firstLine="375" w:firstLineChars="179"/>
              <w:rPr>
                <w:rFonts w:hint="eastAsia" w:ascii="宋体" w:hAnsi="宋体" w:eastAsia="宋体"/>
                <w:color w:val="auto"/>
                <w:szCs w:val="21"/>
                <w:highlight w:val="none"/>
                <w:u w:val="single"/>
                <w:lang w:val="en-US" w:eastAsia="zh-CN"/>
              </w:rPr>
            </w:pPr>
            <w:r>
              <w:rPr>
                <w:rFonts w:hint="eastAsia" w:ascii="宋体" w:hAnsi="宋体"/>
                <w:color w:val="auto"/>
                <w:szCs w:val="21"/>
                <w:highlight w:val="none"/>
                <w:u w:val="single"/>
              </w:rPr>
              <w:t>二、投标下浮率以最高投标限价为下浮基数。投标下浮率=（1-投标总报价/最高投标限价）*100%</w:t>
            </w:r>
            <w:r>
              <w:rPr>
                <w:rFonts w:hint="eastAsia" w:ascii="宋体" w:hAnsi="宋体"/>
                <w:color w:val="auto"/>
                <w:szCs w:val="21"/>
                <w:highlight w:val="none"/>
                <w:u w:val="single"/>
                <w:lang w:eastAsia="zh-CN"/>
              </w:rPr>
              <w:t>。</w:t>
            </w:r>
          </w:p>
          <w:p w14:paraId="017B7C66">
            <w:pPr>
              <w:pStyle w:val="28"/>
              <w:spacing w:after="0"/>
              <w:ind w:left="0" w:leftChars="0" w:firstLine="375" w:firstLineChars="179"/>
              <w:rPr>
                <w:rFonts w:hint="eastAsia" w:ascii="宋体" w:hAnsi="宋体"/>
                <w:color w:val="auto"/>
                <w:szCs w:val="21"/>
                <w:highlight w:val="none"/>
                <w:u w:val="single"/>
              </w:rPr>
            </w:pPr>
            <w:r>
              <w:rPr>
                <w:rFonts w:hint="eastAsia" w:ascii="宋体" w:hAnsi="宋体"/>
                <w:color w:val="auto"/>
                <w:szCs w:val="21"/>
                <w:highlight w:val="none"/>
                <w:u w:val="single"/>
              </w:rPr>
              <w:t>三、投标综合单价已包括了为完成设计文件及有关规范要求的所有材料设备检测监测项目所发生的劳务（含技术人员）、材料、机械（含各种车辆、仪器设备、软件等使用费、进出场费）、差旅交通费、临时设施费、检测监测试验费、报告编写费、各项管理费、就餐费、住宿费、管理费、利润、规费、税金、保险费、相关协调费及其他实物和技术工作收费（含（粤建检协【2015】8号）备注中的另计费用）等全部相关费用，以及合同明示或暗示的所有责任、义务和风险。请投标人自行综合考虑，不予另行计算。工程量按经发包人核定的实际发生量计取（如超出检测监测规范或相关文件规定的工程量，不予结算）。最终结算以建设单位（业主）或其授权委托单位审定结算价为准。</w:t>
            </w:r>
          </w:p>
          <w:p w14:paraId="5E38F8FE">
            <w:pPr>
              <w:pStyle w:val="28"/>
              <w:spacing w:after="0"/>
              <w:ind w:left="0" w:leftChars="0" w:firstLine="375" w:firstLineChars="179"/>
              <w:rPr>
                <w:rFonts w:hint="eastAsia" w:ascii="宋体" w:hAnsi="宋体"/>
                <w:color w:val="auto"/>
                <w:szCs w:val="21"/>
                <w:highlight w:val="none"/>
                <w:u w:val="single"/>
              </w:rPr>
            </w:pPr>
            <w:r>
              <w:rPr>
                <w:rFonts w:hint="eastAsia" w:ascii="宋体" w:hAnsi="宋体"/>
                <w:color w:val="auto"/>
                <w:szCs w:val="21"/>
                <w:highlight w:val="none"/>
                <w:u w:val="single"/>
              </w:rPr>
              <w:t>四、成本警戒价为3</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407</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890.28元。（其中：检测费成本警戒价3</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044</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496.56元；监测费成本警戒价363</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393.72元）（按最高投标限价的90%设置）。对低于该警戒价的投标总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2A1BC4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30EA21B">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3.3.1</w:t>
            </w:r>
          </w:p>
        </w:tc>
        <w:tc>
          <w:tcPr>
            <w:tcW w:w="2160" w:type="dxa"/>
            <w:vAlign w:val="center"/>
          </w:tcPr>
          <w:p w14:paraId="7C94905A">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投标有效期</w:t>
            </w:r>
          </w:p>
        </w:tc>
        <w:tc>
          <w:tcPr>
            <w:tcW w:w="7200" w:type="dxa"/>
            <w:vAlign w:val="center"/>
          </w:tcPr>
          <w:p w14:paraId="6E6B5651">
            <w:pPr>
              <w:snapToGrid w:val="0"/>
              <w:spacing w:line="276" w:lineRule="auto"/>
              <w:rPr>
                <w:rFonts w:hint="eastAsia" w:ascii="宋体" w:hAnsi="宋体"/>
                <w:color w:val="auto"/>
                <w:szCs w:val="21"/>
                <w:highlight w:val="none"/>
                <w:u w:val="single"/>
              </w:rPr>
            </w:pPr>
            <w:r>
              <w:rPr>
                <w:rFonts w:ascii="宋体" w:hAnsi="宋体"/>
                <w:color w:val="auto"/>
                <w:szCs w:val="21"/>
                <w:highlight w:val="none"/>
                <w:u w:val="single"/>
              </w:rPr>
              <w:t>90</w:t>
            </w:r>
            <w:r>
              <w:rPr>
                <w:rFonts w:hint="eastAsia" w:ascii="宋体" w:hAnsi="宋体"/>
                <w:color w:val="auto"/>
                <w:szCs w:val="21"/>
                <w:highlight w:val="none"/>
                <w:u w:val="single"/>
              </w:rPr>
              <w:t>日历天（从提交投标截止之日起计算。如出现异议或投诉，则投标有效期自动延长至异议或投诉处理结束）。</w:t>
            </w:r>
          </w:p>
        </w:tc>
      </w:tr>
      <w:tr w14:paraId="55B742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EFA6945">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3.4.1</w:t>
            </w:r>
          </w:p>
        </w:tc>
        <w:tc>
          <w:tcPr>
            <w:tcW w:w="2160" w:type="dxa"/>
            <w:vAlign w:val="center"/>
          </w:tcPr>
          <w:p w14:paraId="3195578E">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投标保证金</w:t>
            </w:r>
          </w:p>
        </w:tc>
        <w:tc>
          <w:tcPr>
            <w:tcW w:w="7200" w:type="dxa"/>
            <w:vAlign w:val="center"/>
          </w:tcPr>
          <w:p w14:paraId="7D378995">
            <w:pPr>
              <w:pStyle w:val="28"/>
              <w:spacing w:after="0"/>
              <w:ind w:left="0" w:leftChars="0" w:firstLine="0" w:firstLineChars="0"/>
              <w:rPr>
                <w:rFonts w:hint="eastAsia" w:ascii="宋体" w:hAnsi="宋体"/>
                <w:b/>
                <w:bCs/>
                <w:color w:val="auto"/>
                <w:szCs w:val="21"/>
                <w:highlight w:val="none"/>
              </w:rPr>
            </w:pPr>
            <w:r>
              <w:rPr>
                <w:rFonts w:hint="eastAsia" w:ascii="宋体" w:hAnsi="宋体"/>
                <w:b/>
                <w:bCs/>
                <w:color w:val="auto"/>
                <w:szCs w:val="21"/>
                <w:highlight w:val="none"/>
              </w:rPr>
              <w:t>本项目不收取投标保证金。</w:t>
            </w:r>
          </w:p>
          <w:p w14:paraId="319C6F23">
            <w:pPr>
              <w:pStyle w:val="28"/>
              <w:spacing w:after="0"/>
              <w:ind w:left="0" w:leftChars="0" w:firstLine="0" w:firstLineChars="0"/>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b/>
                <w:bCs/>
                <w:color w:val="auto"/>
                <w:szCs w:val="21"/>
                <w:highlight w:val="none"/>
              </w:rPr>
              <w:t>1、政府投资项目不得收取投标保证金。</w:t>
            </w:r>
            <w:r>
              <w:rPr>
                <w:rFonts w:hint="eastAsia" w:ascii="宋体" w:hAnsi="宋体"/>
                <w:color w:val="auto"/>
                <w:szCs w:val="21"/>
                <w:highlight w:val="none"/>
              </w:rPr>
              <w:t>鼓励招标人对简单小额项目不要求提供投标担保，对中小企业投标人免除投标担保。</w:t>
            </w:r>
          </w:p>
          <w:p w14:paraId="3E5363ED">
            <w:pPr>
              <w:pStyle w:val="28"/>
              <w:spacing w:after="0"/>
              <w:ind w:left="0" w:leftChars="0" w:firstLine="0" w:firstLineChars="0"/>
              <w:rPr>
                <w:rFonts w:hint="eastAsia" w:ascii="宋体" w:hAnsi="宋体"/>
                <w:color w:val="auto"/>
                <w:szCs w:val="21"/>
                <w:highlight w:val="none"/>
              </w:rPr>
            </w:pPr>
            <w:r>
              <w:rPr>
                <w:rFonts w:hint="eastAsia" w:ascii="宋体" w:hAnsi="宋体"/>
                <w:color w:val="auto"/>
                <w:szCs w:val="21"/>
                <w:highlight w:val="non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30CCB995">
            <w:pPr>
              <w:pStyle w:val="28"/>
              <w:spacing w:after="0"/>
              <w:ind w:left="0" w:leftChars="0" w:firstLine="0" w:firstLineChars="0"/>
              <w:rPr>
                <w:rFonts w:hint="eastAsia" w:ascii="宋体" w:hAnsi="宋体"/>
                <w:color w:val="auto"/>
                <w:szCs w:val="21"/>
                <w:highlight w:val="none"/>
                <w:u w:val="single"/>
              </w:rPr>
            </w:pPr>
            <w:r>
              <w:rPr>
                <w:rFonts w:hint="eastAsia" w:ascii="宋体" w:hAnsi="宋体"/>
                <w:color w:val="auto"/>
                <w:szCs w:val="21"/>
                <w:highlight w:val="none"/>
              </w:rPr>
              <w:t>3、招标人在免收投标保证金的同时，应约定免交投标保证金的投标人存在16.4条款所列情形的后续处理措施。</w:t>
            </w:r>
          </w:p>
        </w:tc>
      </w:tr>
      <w:tr w14:paraId="14A7B0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CCA1665">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3.5</w:t>
            </w:r>
          </w:p>
        </w:tc>
        <w:tc>
          <w:tcPr>
            <w:tcW w:w="2160" w:type="dxa"/>
            <w:vAlign w:val="center"/>
          </w:tcPr>
          <w:p w14:paraId="01E133CD">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资格审查资料的特殊要求</w:t>
            </w:r>
          </w:p>
        </w:tc>
        <w:tc>
          <w:tcPr>
            <w:tcW w:w="7200" w:type="dxa"/>
            <w:vAlign w:val="center"/>
          </w:tcPr>
          <w:p w14:paraId="5697B80C">
            <w:pPr>
              <w:pStyle w:val="11"/>
              <w:topLinePunct/>
              <w:snapToGrid w:val="0"/>
              <w:spacing w:line="276" w:lineRule="auto"/>
              <w:rPr>
                <w:rFonts w:hint="eastAsia" w:hAnsi="宋体"/>
                <w:color w:val="auto"/>
                <w:spacing w:val="-1"/>
                <w:sz w:val="21"/>
                <w:szCs w:val="21"/>
                <w:highlight w:val="none"/>
              </w:rPr>
            </w:pPr>
            <w:r>
              <w:rPr>
                <w:rFonts w:hint="eastAsia" w:hAnsi="宋体"/>
                <w:color w:val="auto"/>
                <w:spacing w:val="-1"/>
                <w:sz w:val="21"/>
                <w:szCs w:val="21"/>
                <w:highlight w:val="none"/>
              </w:rPr>
              <w:t>■无</w:t>
            </w:r>
          </w:p>
          <w:p w14:paraId="281C5266">
            <w:pPr>
              <w:pStyle w:val="11"/>
              <w:topLinePunct/>
              <w:snapToGrid w:val="0"/>
              <w:spacing w:line="276" w:lineRule="auto"/>
              <w:rPr>
                <w:rFonts w:hint="eastAsia" w:hAnsi="宋体"/>
                <w:color w:val="auto"/>
                <w:sz w:val="21"/>
                <w:szCs w:val="21"/>
                <w:highlight w:val="none"/>
              </w:rPr>
            </w:pPr>
            <w:r>
              <w:rPr>
                <w:rFonts w:hint="eastAsia" w:hAnsi="宋体"/>
                <w:color w:val="auto"/>
                <w:spacing w:val="-1"/>
                <w:sz w:val="21"/>
                <w:szCs w:val="21"/>
                <w:highlight w:val="none"/>
              </w:rPr>
              <w:t>□有，具体要求：/</w:t>
            </w:r>
          </w:p>
        </w:tc>
      </w:tr>
      <w:tr w14:paraId="70E38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5A0646A">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3.5.2</w:t>
            </w:r>
          </w:p>
        </w:tc>
        <w:tc>
          <w:tcPr>
            <w:tcW w:w="2160" w:type="dxa"/>
            <w:vAlign w:val="center"/>
          </w:tcPr>
          <w:p w14:paraId="2E21D6EC">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近年财务状况的年份要求</w:t>
            </w:r>
          </w:p>
        </w:tc>
        <w:tc>
          <w:tcPr>
            <w:tcW w:w="7200" w:type="dxa"/>
            <w:vAlign w:val="center"/>
          </w:tcPr>
          <w:p w14:paraId="0BED6205">
            <w:pPr>
              <w:spacing w:line="276" w:lineRule="auto"/>
              <w:ind w:firstLine="105" w:firstLineChars="50"/>
              <w:rPr>
                <w:rFonts w:hint="eastAsia"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rPr>
              <w:t>年至</w:t>
            </w:r>
            <w:r>
              <w:rPr>
                <w:rFonts w:hint="eastAsia" w:ascii="宋体" w:hAnsi="宋体"/>
                <w:color w:val="auto"/>
                <w:szCs w:val="21"/>
                <w:highlight w:val="none"/>
                <w:u w:val="single"/>
              </w:rPr>
              <w:t>/</w:t>
            </w:r>
            <w:r>
              <w:rPr>
                <w:rFonts w:hint="eastAsia" w:ascii="宋体" w:hAnsi="宋体"/>
                <w:color w:val="auto"/>
                <w:szCs w:val="21"/>
                <w:highlight w:val="none"/>
              </w:rPr>
              <w:t>年</w:t>
            </w:r>
          </w:p>
        </w:tc>
      </w:tr>
      <w:tr w14:paraId="56368D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AD33C8E">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3.5.3</w:t>
            </w:r>
          </w:p>
        </w:tc>
        <w:tc>
          <w:tcPr>
            <w:tcW w:w="2160" w:type="dxa"/>
            <w:vAlign w:val="center"/>
          </w:tcPr>
          <w:p w14:paraId="3BC4495B">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近年完成的类似项目情况的时间要求</w:t>
            </w:r>
          </w:p>
        </w:tc>
        <w:tc>
          <w:tcPr>
            <w:tcW w:w="7200" w:type="dxa"/>
            <w:vAlign w:val="center"/>
          </w:tcPr>
          <w:p w14:paraId="12B6F142">
            <w:pPr>
              <w:spacing w:line="276" w:lineRule="auto"/>
              <w:ind w:firstLine="105" w:firstLineChars="50"/>
              <w:rPr>
                <w:rFonts w:hint="eastAsia"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日至今（</w:t>
            </w:r>
            <w:r>
              <w:rPr>
                <w:rFonts w:hint="eastAsia" w:ascii="宋体" w:hAnsi="宋体" w:cs="宋体"/>
                <w:color w:val="auto"/>
                <w:szCs w:val="21"/>
                <w:highlight w:val="none"/>
              </w:rPr>
              <w:t>完成时间以检测报告为准）</w:t>
            </w:r>
          </w:p>
        </w:tc>
      </w:tr>
      <w:tr w14:paraId="1247E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0369475">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3.5.5</w:t>
            </w:r>
          </w:p>
        </w:tc>
        <w:tc>
          <w:tcPr>
            <w:tcW w:w="2160" w:type="dxa"/>
            <w:vAlign w:val="center"/>
          </w:tcPr>
          <w:p w14:paraId="04E8D393">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近年发生的诉讼及仲裁情况的时间要求</w:t>
            </w:r>
          </w:p>
        </w:tc>
        <w:tc>
          <w:tcPr>
            <w:tcW w:w="7200" w:type="dxa"/>
            <w:vAlign w:val="center"/>
          </w:tcPr>
          <w:p w14:paraId="187F29D7">
            <w:pPr>
              <w:snapToGrid w:val="0"/>
              <w:spacing w:line="276" w:lineRule="auto"/>
              <w:ind w:firstLine="105" w:firstLineChars="50"/>
              <w:rPr>
                <w:rFonts w:hint="eastAsia" w:ascii="宋体" w:hAnsi="宋体"/>
                <w:color w:val="auto"/>
                <w:szCs w:val="21"/>
                <w:highlight w:val="none"/>
              </w:rPr>
            </w:pP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日至</w:t>
            </w: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w:t>
            </w:r>
          </w:p>
        </w:tc>
      </w:tr>
      <w:tr w14:paraId="6EEB19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143F4FC">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3.6.1</w:t>
            </w:r>
          </w:p>
        </w:tc>
        <w:tc>
          <w:tcPr>
            <w:tcW w:w="2160" w:type="dxa"/>
            <w:vAlign w:val="center"/>
          </w:tcPr>
          <w:p w14:paraId="200E647B">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是否允许递交备选投标方案</w:t>
            </w:r>
          </w:p>
        </w:tc>
        <w:tc>
          <w:tcPr>
            <w:tcW w:w="7200" w:type="dxa"/>
            <w:vAlign w:val="center"/>
          </w:tcPr>
          <w:p w14:paraId="7D0C3380">
            <w:pPr>
              <w:pStyle w:val="11"/>
              <w:topLinePunct/>
              <w:snapToGrid w:val="0"/>
              <w:spacing w:line="276" w:lineRule="auto"/>
              <w:rPr>
                <w:rFonts w:hint="eastAsia"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不允许</w:t>
            </w:r>
          </w:p>
          <w:p w14:paraId="5ECCB680">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□允许</w:t>
            </w:r>
          </w:p>
        </w:tc>
      </w:tr>
      <w:tr w14:paraId="73847E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7F29695">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3.7.3</w:t>
            </w:r>
          </w:p>
        </w:tc>
        <w:tc>
          <w:tcPr>
            <w:tcW w:w="2160" w:type="dxa"/>
            <w:vAlign w:val="center"/>
          </w:tcPr>
          <w:p w14:paraId="0088F058">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投标文件所附证书证件要求</w:t>
            </w:r>
          </w:p>
        </w:tc>
        <w:tc>
          <w:tcPr>
            <w:tcW w:w="7200" w:type="dxa"/>
            <w:vAlign w:val="center"/>
          </w:tcPr>
          <w:p w14:paraId="72AA8104">
            <w:pPr>
              <w:snapToGrid w:val="0"/>
              <w:spacing w:line="276" w:lineRule="auto"/>
              <w:rPr>
                <w:rFonts w:hint="eastAsia" w:ascii="宋体" w:hAnsi="宋体"/>
                <w:color w:val="auto"/>
                <w:szCs w:val="21"/>
                <w:highlight w:val="none"/>
                <w:u w:val="single"/>
              </w:rPr>
            </w:pPr>
            <w:r>
              <w:rPr>
                <w:rFonts w:hint="eastAsia" w:ascii="宋体" w:hAnsi="宋体"/>
                <w:color w:val="auto"/>
                <w:szCs w:val="21"/>
                <w:highlight w:val="none"/>
              </w:rPr>
              <w:t>证书证件需为</w:t>
            </w:r>
            <w:r>
              <w:rPr>
                <w:rFonts w:hint="eastAsia" w:ascii="宋体" w:hAnsi="宋体"/>
                <w:b/>
                <w:color w:val="auto"/>
                <w:szCs w:val="21"/>
                <w:highlight w:val="none"/>
              </w:rPr>
              <w:t>原件清晰彩色扫描件</w:t>
            </w:r>
            <w:r>
              <w:rPr>
                <w:rFonts w:hint="eastAsia" w:ascii="宋体" w:hAnsi="宋体"/>
                <w:color w:val="auto"/>
                <w:szCs w:val="21"/>
                <w:highlight w:val="none"/>
              </w:rPr>
              <w:t>，并采用单位数字证书，按照招标文件要求在相应位置加盖电子印章。</w:t>
            </w:r>
          </w:p>
        </w:tc>
      </w:tr>
      <w:tr w14:paraId="096F3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1DE0B7D">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3.7.3</w:t>
            </w:r>
          </w:p>
        </w:tc>
        <w:tc>
          <w:tcPr>
            <w:tcW w:w="2160" w:type="dxa"/>
            <w:vAlign w:val="center"/>
          </w:tcPr>
          <w:p w14:paraId="1570CDC7">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投标文件签字或盖章要求</w:t>
            </w:r>
          </w:p>
        </w:tc>
        <w:tc>
          <w:tcPr>
            <w:tcW w:w="7200" w:type="dxa"/>
            <w:vAlign w:val="center"/>
          </w:tcPr>
          <w:p w14:paraId="7F6872A6">
            <w:pPr>
              <w:pStyle w:val="11"/>
              <w:topLinePunct/>
              <w:snapToGrid w:val="0"/>
              <w:spacing w:line="276" w:lineRule="auto"/>
              <w:ind w:right="174" w:rightChars="83"/>
              <w:rPr>
                <w:rFonts w:hint="eastAsia" w:hAnsi="宋体" w:cs="宋体"/>
                <w:color w:val="auto"/>
                <w:sz w:val="21"/>
                <w:szCs w:val="21"/>
                <w:highlight w:val="none"/>
                <w:u w:val="single"/>
              </w:rPr>
            </w:pPr>
            <w:r>
              <w:rPr>
                <w:rFonts w:hint="eastAsia" w:hAnsi="宋体" w:cs="宋体"/>
                <w:color w:val="auto"/>
                <w:sz w:val="21"/>
                <w:szCs w:val="21"/>
                <w:highlight w:val="none"/>
                <w:u w:val="single"/>
              </w:rPr>
              <w:t>取消在招标文件中采用个人数字证书和加盖个人电子印章</w:t>
            </w:r>
            <w:r>
              <w:rPr>
                <w:rFonts w:hint="eastAsia" w:hAnsi="宋体" w:cs="宋体"/>
                <w:color w:val="auto"/>
                <w:sz w:val="21"/>
                <w:szCs w:val="21"/>
                <w:highlight w:val="none"/>
                <w:u w:val="single"/>
                <w:lang w:val="en-US" w:eastAsia="zh-CN"/>
              </w:rPr>
              <w:t>的</w:t>
            </w:r>
            <w:r>
              <w:rPr>
                <w:rFonts w:hint="eastAsia" w:hAnsi="宋体" w:cs="宋体"/>
                <w:color w:val="auto"/>
                <w:sz w:val="21"/>
                <w:szCs w:val="21"/>
                <w:highlight w:val="none"/>
                <w:u w:val="single"/>
              </w:rPr>
              <w:t>要求，投标文件中需法定代表人、代理人签字或加盖电子印章的，应手签或盖章后扫描上传，对加盖个人电子印章不做要求。投标文件按招标文件要求加盖单位电子印章。相关操作详见广州交易集团有限公司（广州公共资源交易中心）网站最新发布的最新指引。</w:t>
            </w:r>
          </w:p>
        </w:tc>
      </w:tr>
      <w:tr w14:paraId="20183C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A7EE1EA">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4.1.1</w:t>
            </w:r>
          </w:p>
        </w:tc>
        <w:tc>
          <w:tcPr>
            <w:tcW w:w="2160" w:type="dxa"/>
            <w:vAlign w:val="center"/>
          </w:tcPr>
          <w:p w14:paraId="6FAA72AD">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投标文件加密要求</w:t>
            </w:r>
          </w:p>
        </w:tc>
        <w:tc>
          <w:tcPr>
            <w:tcW w:w="7200" w:type="dxa"/>
            <w:vAlign w:val="center"/>
          </w:tcPr>
          <w:p w14:paraId="53C7C8A0">
            <w:pPr>
              <w:pStyle w:val="11"/>
              <w:topLinePunct/>
              <w:snapToGrid w:val="0"/>
              <w:spacing w:line="276" w:lineRule="auto"/>
              <w:rPr>
                <w:rFonts w:hint="eastAsia" w:hAnsi="宋体"/>
                <w:color w:val="auto"/>
                <w:sz w:val="21"/>
                <w:szCs w:val="21"/>
                <w:highlight w:val="none"/>
                <w:u w:val="single"/>
              </w:rPr>
            </w:pPr>
            <w:r>
              <w:rPr>
                <w:rFonts w:hint="eastAsia" w:hAnsi="宋体"/>
                <w:color w:val="auto"/>
                <w:sz w:val="21"/>
                <w:szCs w:val="21"/>
                <w:highlight w:val="none"/>
              </w:rPr>
              <w:t>网上递交的电子投标文件须进行加密。具体操作</w:t>
            </w:r>
            <w:r>
              <w:rPr>
                <w:rFonts w:hint="eastAsia" w:hAnsi="宋体" w:cs="宋体"/>
                <w:color w:val="auto"/>
                <w:sz w:val="21"/>
                <w:szCs w:val="21"/>
                <w:highlight w:val="none"/>
                <w:u w:val="single"/>
              </w:rPr>
              <w:t>详见广州交易集团有限公司（广州公共资源交易中心）网站最新发布的最新指引。</w:t>
            </w:r>
          </w:p>
        </w:tc>
      </w:tr>
      <w:tr w14:paraId="16C3A7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2E2F8F3F">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4.1.2</w:t>
            </w:r>
          </w:p>
        </w:tc>
        <w:tc>
          <w:tcPr>
            <w:tcW w:w="2160" w:type="dxa"/>
            <w:vAlign w:val="center"/>
          </w:tcPr>
          <w:p w14:paraId="629A90DF">
            <w:pPr>
              <w:snapToGrid w:val="0"/>
              <w:spacing w:line="276" w:lineRule="auto"/>
              <w:jc w:val="center"/>
              <w:rPr>
                <w:rFonts w:hint="eastAsia" w:ascii="宋体" w:hAnsi="宋体"/>
                <w:color w:val="auto"/>
                <w:szCs w:val="21"/>
                <w:highlight w:val="none"/>
                <w:shd w:val="clear" w:color="FFFFFF" w:fill="D9D9D9"/>
              </w:rPr>
            </w:pPr>
            <w:r>
              <w:rPr>
                <w:rFonts w:hint="eastAsia" w:ascii="宋体" w:hAnsi="宋体"/>
                <w:color w:val="auto"/>
                <w:szCs w:val="21"/>
                <w:highlight w:val="none"/>
              </w:rPr>
              <w:t>封套上应载明的信息</w:t>
            </w:r>
          </w:p>
        </w:tc>
        <w:tc>
          <w:tcPr>
            <w:tcW w:w="7200" w:type="dxa"/>
            <w:vAlign w:val="center"/>
          </w:tcPr>
          <w:p w14:paraId="17982549">
            <w:pPr>
              <w:pStyle w:val="11"/>
              <w:topLinePunct/>
              <w:snapToGrid w:val="0"/>
              <w:spacing w:line="276" w:lineRule="auto"/>
              <w:rPr>
                <w:rFonts w:hint="eastAsia" w:hAnsi="宋体"/>
                <w:color w:val="auto"/>
                <w:sz w:val="21"/>
                <w:szCs w:val="21"/>
                <w:highlight w:val="none"/>
              </w:rPr>
            </w:pPr>
            <w:r>
              <w:rPr>
                <w:rFonts w:hint="eastAsia" w:hAnsi="宋体"/>
                <w:color w:val="auto"/>
                <w:sz w:val="21"/>
                <w:szCs w:val="21"/>
                <w:highlight w:val="none"/>
              </w:rPr>
              <w:t>如有提交投标文件光盘备用，封套上应注明如下信息：</w:t>
            </w:r>
          </w:p>
          <w:p w14:paraId="49047D5D">
            <w:pPr>
              <w:pStyle w:val="11"/>
              <w:topLinePunct/>
              <w:spacing w:line="276" w:lineRule="auto"/>
              <w:rPr>
                <w:rFonts w:hint="eastAsia" w:hAnsi="宋体"/>
                <w:color w:val="auto"/>
                <w:sz w:val="21"/>
                <w:szCs w:val="21"/>
                <w:highlight w:val="none"/>
              </w:rPr>
            </w:pPr>
            <w:r>
              <w:rPr>
                <w:rFonts w:hint="eastAsia" w:hAnsi="宋体"/>
                <w:color w:val="auto"/>
                <w:sz w:val="21"/>
                <w:szCs w:val="21"/>
                <w:highlight w:val="none"/>
              </w:rPr>
              <w:t>招标人名称：</w:t>
            </w:r>
            <w:r>
              <w:rPr>
                <w:rFonts w:hint="eastAsia" w:hAnsi="宋体"/>
                <w:color w:val="auto"/>
                <w:sz w:val="21"/>
                <w:szCs w:val="21"/>
                <w:highlight w:val="none"/>
                <w:u w:val="single"/>
              </w:rPr>
              <w:t>广东省野生动物监测救护中心</w:t>
            </w:r>
          </w:p>
          <w:p w14:paraId="580DC79E">
            <w:pPr>
              <w:pStyle w:val="11"/>
              <w:topLinePunct/>
              <w:spacing w:line="276" w:lineRule="auto"/>
              <w:rPr>
                <w:rFonts w:hint="eastAsia" w:hAnsi="宋体"/>
                <w:color w:val="auto"/>
                <w:sz w:val="21"/>
                <w:szCs w:val="21"/>
                <w:highlight w:val="none"/>
                <w:u w:val="single"/>
              </w:rPr>
            </w:pPr>
            <w:r>
              <w:rPr>
                <w:rFonts w:hint="eastAsia" w:hAnsi="宋体"/>
                <w:color w:val="auto"/>
                <w:sz w:val="21"/>
                <w:szCs w:val="21"/>
                <w:highlight w:val="none"/>
              </w:rPr>
              <w:t>招标人地址：</w:t>
            </w:r>
            <w:r>
              <w:rPr>
                <w:rFonts w:hint="eastAsia" w:hAnsi="宋体"/>
                <w:color w:val="auto"/>
                <w:sz w:val="21"/>
                <w:szCs w:val="21"/>
                <w:highlight w:val="none"/>
                <w:u w:val="single"/>
              </w:rPr>
              <w:t>广州市荔湾区中山七路343号</w:t>
            </w:r>
          </w:p>
          <w:p w14:paraId="193F5F05">
            <w:pPr>
              <w:pStyle w:val="11"/>
              <w:topLinePunct/>
              <w:spacing w:line="276" w:lineRule="auto"/>
              <w:rPr>
                <w:rFonts w:hint="eastAsia" w:hAnsi="宋体"/>
                <w:color w:val="auto"/>
                <w:sz w:val="21"/>
                <w:szCs w:val="21"/>
                <w:highlight w:val="none"/>
              </w:rPr>
            </w:pPr>
            <w:r>
              <w:rPr>
                <w:rFonts w:hint="eastAsia" w:hAnsi="宋体"/>
                <w:color w:val="auto"/>
                <w:sz w:val="21"/>
                <w:szCs w:val="21"/>
                <w:highlight w:val="none"/>
              </w:rPr>
              <w:t>（项目名称）招标项目投标文件</w:t>
            </w:r>
          </w:p>
          <w:p w14:paraId="6BB8948C">
            <w:pPr>
              <w:pStyle w:val="11"/>
              <w:topLinePunct/>
              <w:spacing w:line="276" w:lineRule="auto"/>
              <w:rPr>
                <w:rFonts w:hint="eastAsia" w:hAnsi="宋体"/>
                <w:color w:val="auto"/>
                <w:sz w:val="21"/>
                <w:szCs w:val="21"/>
                <w:highlight w:val="none"/>
              </w:rPr>
            </w:pPr>
            <w:r>
              <w:rPr>
                <w:rFonts w:hint="eastAsia" w:hAnsi="宋体"/>
                <w:color w:val="auto"/>
                <w:sz w:val="21"/>
                <w:szCs w:val="21"/>
                <w:highlight w:val="none"/>
              </w:rPr>
              <w:t>招标项目编号：</w:t>
            </w:r>
          </w:p>
          <w:p w14:paraId="67F30E05">
            <w:pPr>
              <w:pStyle w:val="11"/>
              <w:topLinePunct/>
              <w:snapToGrid w:val="0"/>
              <w:spacing w:line="276" w:lineRule="auto"/>
              <w:rPr>
                <w:rFonts w:hint="eastAsia" w:hAnsi="宋体"/>
                <w:color w:val="auto"/>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时前不得开启</w:t>
            </w:r>
          </w:p>
        </w:tc>
      </w:tr>
      <w:tr w14:paraId="47ADE7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09C5BA1">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4.2.1</w:t>
            </w:r>
          </w:p>
        </w:tc>
        <w:tc>
          <w:tcPr>
            <w:tcW w:w="2160" w:type="dxa"/>
            <w:vAlign w:val="center"/>
          </w:tcPr>
          <w:p w14:paraId="57704459">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投标截止时间</w:t>
            </w:r>
          </w:p>
        </w:tc>
        <w:tc>
          <w:tcPr>
            <w:tcW w:w="7200" w:type="dxa"/>
            <w:vAlign w:val="center"/>
          </w:tcPr>
          <w:p w14:paraId="2901A19F">
            <w:pPr>
              <w:snapToGrid w:val="0"/>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分（北京时间）</w:t>
            </w:r>
          </w:p>
          <w:p w14:paraId="58F242D3">
            <w:pPr>
              <w:snapToGrid w:val="0"/>
              <w:spacing w:line="276" w:lineRule="auto"/>
              <w:rPr>
                <w:rFonts w:hint="eastAsia" w:ascii="宋体" w:hAnsi="宋体"/>
                <w:color w:val="auto"/>
                <w:szCs w:val="21"/>
                <w:highlight w:val="none"/>
              </w:rPr>
            </w:pPr>
            <w:r>
              <w:rPr>
                <w:rFonts w:hint="eastAsia" w:ascii="宋体" w:hAnsi="宋体" w:cs="宋体"/>
                <w:color w:val="auto"/>
                <w:szCs w:val="21"/>
                <w:highlight w:val="none"/>
                <w:u w:val="single"/>
              </w:rPr>
              <w:t>（详见广州交易集团有限公司（广州公共资源交易中心）网站信息）</w:t>
            </w:r>
          </w:p>
        </w:tc>
      </w:tr>
      <w:tr w14:paraId="2B5861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493EB9A">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4.2.2</w:t>
            </w:r>
          </w:p>
        </w:tc>
        <w:tc>
          <w:tcPr>
            <w:tcW w:w="2160" w:type="dxa"/>
            <w:vAlign w:val="center"/>
          </w:tcPr>
          <w:p w14:paraId="6619B7AD">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递交电子投标文件交易平台</w:t>
            </w:r>
          </w:p>
        </w:tc>
        <w:tc>
          <w:tcPr>
            <w:tcW w:w="7200" w:type="dxa"/>
            <w:vAlign w:val="center"/>
          </w:tcPr>
          <w:p w14:paraId="027444F8">
            <w:pPr>
              <w:snapToGrid w:val="0"/>
              <w:spacing w:line="276" w:lineRule="auto"/>
              <w:rPr>
                <w:rFonts w:hint="eastAsia" w:ascii="宋体" w:hAnsi="宋体"/>
                <w:color w:val="auto"/>
                <w:szCs w:val="21"/>
                <w:highlight w:val="none"/>
                <w:u w:val="single"/>
              </w:rPr>
            </w:pPr>
            <w:r>
              <w:rPr>
                <w:rFonts w:ascii="宋体" w:hAnsi="宋体"/>
                <w:color w:val="auto"/>
                <w:szCs w:val="21"/>
                <w:highlight w:val="none"/>
                <w:u w:val="single"/>
              </w:rPr>
              <w:t>1.</w:t>
            </w:r>
            <w:r>
              <w:rPr>
                <w:rFonts w:hint="eastAsia" w:ascii="宋体" w:hAnsi="宋体"/>
                <w:color w:val="auto"/>
                <w:szCs w:val="21"/>
                <w:highlight w:val="none"/>
                <w:u w:val="single"/>
              </w:rPr>
              <w:t>递交方式：网上递交投标文件</w:t>
            </w:r>
            <w:r>
              <w:rPr>
                <w:rFonts w:ascii="宋体" w:hAnsi="宋体"/>
                <w:color w:val="auto"/>
                <w:szCs w:val="21"/>
                <w:highlight w:val="none"/>
                <w:u w:val="single"/>
              </w:rPr>
              <w:t xml:space="preserve"> </w:t>
            </w:r>
          </w:p>
          <w:p w14:paraId="0D9B56D8">
            <w:pPr>
              <w:snapToGrid w:val="0"/>
              <w:spacing w:line="276" w:lineRule="auto"/>
              <w:rPr>
                <w:rFonts w:hint="eastAsia" w:ascii="宋体" w:hAnsi="宋体"/>
                <w:color w:val="auto"/>
                <w:szCs w:val="21"/>
                <w:highlight w:val="none"/>
                <w:u w:val="single"/>
              </w:rPr>
            </w:pPr>
            <w:r>
              <w:rPr>
                <w:rFonts w:ascii="宋体" w:hAnsi="宋体"/>
                <w:color w:val="auto"/>
                <w:szCs w:val="21"/>
                <w:highlight w:val="none"/>
                <w:u w:val="single"/>
              </w:rPr>
              <w:t>2.</w:t>
            </w:r>
            <w:r>
              <w:rPr>
                <w:rFonts w:hint="eastAsia" w:ascii="宋体" w:hAnsi="宋体"/>
                <w:color w:val="auto"/>
                <w:szCs w:val="21"/>
                <w:highlight w:val="none"/>
                <w:u w:val="single"/>
              </w:rPr>
              <w:t>递交投标文件的起始时间：（详见广州交易集团有限公司（广州公共资源交易中心）网站信息）。</w:t>
            </w:r>
          </w:p>
          <w:p w14:paraId="203C26B1">
            <w:pPr>
              <w:snapToGrid w:val="0"/>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截止时间：（详见广州交易集团有限公司（广州公共资源交易中心）网站信息）</w:t>
            </w:r>
          </w:p>
          <w:p w14:paraId="24A4D06E">
            <w:pPr>
              <w:snapToGrid w:val="0"/>
              <w:spacing w:line="276" w:lineRule="auto"/>
              <w:rPr>
                <w:rFonts w:hint="eastAsia"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地点：广州交易集团有限公司（广州公共资源交易中心）网站。</w:t>
            </w:r>
          </w:p>
          <w:p w14:paraId="58F0FDFA">
            <w:pPr>
              <w:snapToGrid w:val="0"/>
              <w:spacing w:line="276" w:lineRule="auto"/>
              <w:rPr>
                <w:rFonts w:hint="eastAsia" w:ascii="宋体" w:hAnsi="宋体"/>
                <w:color w:val="auto"/>
                <w:szCs w:val="21"/>
                <w:highlight w:val="none"/>
              </w:rPr>
            </w:pPr>
            <w:r>
              <w:rPr>
                <w:rFonts w:ascii="宋体" w:hAnsi="宋体"/>
                <w:color w:val="auto"/>
                <w:szCs w:val="21"/>
                <w:highlight w:val="none"/>
                <w:u w:val="single"/>
              </w:rPr>
              <w:t>4.</w:t>
            </w:r>
            <w:r>
              <w:rPr>
                <w:rFonts w:hint="eastAsia" w:ascii="宋体" w:hAnsi="宋体"/>
                <w:color w:val="auto"/>
                <w:szCs w:val="21"/>
                <w:highlight w:val="none"/>
                <w:u w:val="single"/>
              </w:rPr>
              <w:t>上述时间及地点是否有改变，</w:t>
            </w:r>
            <w:r>
              <w:rPr>
                <w:rFonts w:ascii="宋体" w:hAnsi="宋体"/>
                <w:color w:val="auto"/>
                <w:szCs w:val="21"/>
                <w:highlight w:val="none"/>
                <w:u w:val="single"/>
              </w:rPr>
              <w:t xml:space="preserve"> </w:t>
            </w:r>
            <w:r>
              <w:rPr>
                <w:rFonts w:hint="eastAsia" w:ascii="宋体" w:hAnsi="宋体"/>
                <w:color w:val="auto"/>
                <w:szCs w:val="21"/>
                <w:highlight w:val="none"/>
                <w:u w:val="single"/>
              </w:rPr>
              <w:t>请密切留意招标答疑纪要的相关信息。</w:t>
            </w:r>
          </w:p>
        </w:tc>
      </w:tr>
      <w:tr w14:paraId="5197C4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97FADC1">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4.2.3</w:t>
            </w:r>
          </w:p>
        </w:tc>
        <w:tc>
          <w:tcPr>
            <w:tcW w:w="2160" w:type="dxa"/>
            <w:vAlign w:val="center"/>
          </w:tcPr>
          <w:p w14:paraId="12EB83FF">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投标文件是否退还</w:t>
            </w:r>
          </w:p>
        </w:tc>
        <w:tc>
          <w:tcPr>
            <w:tcW w:w="7200" w:type="dxa"/>
            <w:vAlign w:val="center"/>
          </w:tcPr>
          <w:p w14:paraId="6C060ECD">
            <w:pPr>
              <w:pStyle w:val="11"/>
              <w:topLinePunct/>
              <w:snapToGrid w:val="0"/>
              <w:spacing w:line="276" w:lineRule="auto"/>
              <w:rPr>
                <w:rFonts w:hint="eastAsia"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否</w:t>
            </w:r>
          </w:p>
          <w:p w14:paraId="2A213CDA">
            <w:pPr>
              <w:pStyle w:val="11"/>
              <w:topLinePunct/>
              <w:snapToGrid w:val="0"/>
              <w:spacing w:line="276" w:lineRule="auto"/>
              <w:rPr>
                <w:rFonts w:hint="eastAsia" w:hAnsi="宋体"/>
                <w:color w:val="auto"/>
                <w:sz w:val="21"/>
                <w:szCs w:val="21"/>
                <w:highlight w:val="none"/>
              </w:rPr>
            </w:pPr>
            <w:r>
              <w:rPr>
                <w:rFonts w:hint="eastAsia" w:hAnsi="宋体"/>
                <w:color w:val="auto"/>
                <w:sz w:val="21"/>
                <w:szCs w:val="21"/>
                <w:highlight w:val="none"/>
              </w:rPr>
              <w:t>□是，退还时间：</w:t>
            </w:r>
          </w:p>
        </w:tc>
      </w:tr>
      <w:tr w14:paraId="462F99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4A461EE">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5.1</w:t>
            </w:r>
          </w:p>
        </w:tc>
        <w:tc>
          <w:tcPr>
            <w:tcW w:w="2160" w:type="dxa"/>
            <w:vAlign w:val="center"/>
          </w:tcPr>
          <w:p w14:paraId="442772D8">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开标时间和地点</w:t>
            </w:r>
          </w:p>
        </w:tc>
        <w:tc>
          <w:tcPr>
            <w:tcW w:w="7200" w:type="dxa"/>
            <w:vAlign w:val="center"/>
          </w:tcPr>
          <w:p w14:paraId="3B47D0DB">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开标时间：同投标截止时间</w:t>
            </w:r>
          </w:p>
          <w:p w14:paraId="66FA9A3F">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开标地点：广州交易集团有限公司（广州公共资源交易中心）第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开标室</w:t>
            </w:r>
            <w:r>
              <w:rPr>
                <w:rFonts w:hint="eastAsia" w:ascii="宋体" w:hAnsi="宋体"/>
                <w:color w:val="auto"/>
                <w:szCs w:val="21"/>
                <w:highlight w:val="none"/>
                <w:u w:val="single"/>
              </w:rPr>
              <w:t>（详见广州交易集团有限公司（广州公共资源交易中心）网站信息），并邀请所有投标人的法定代表人或其委托代理人准时参加。</w:t>
            </w:r>
          </w:p>
        </w:tc>
      </w:tr>
      <w:tr w14:paraId="5B76FA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4F627930">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5.2</w:t>
            </w:r>
          </w:p>
        </w:tc>
        <w:tc>
          <w:tcPr>
            <w:tcW w:w="2160" w:type="dxa"/>
            <w:vAlign w:val="center"/>
          </w:tcPr>
          <w:p w14:paraId="1AF462E5">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开标程序</w:t>
            </w:r>
          </w:p>
        </w:tc>
        <w:tc>
          <w:tcPr>
            <w:tcW w:w="7200" w:type="dxa"/>
            <w:vAlign w:val="center"/>
          </w:tcPr>
          <w:p w14:paraId="670A8AA5">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电子招投标项目开标按下列程序进行：</w:t>
            </w:r>
          </w:p>
          <w:p w14:paraId="5091DC55">
            <w:pPr>
              <w:snapToGrid w:val="0"/>
              <w:spacing w:line="276" w:lineRule="auto"/>
              <w:rPr>
                <w:rFonts w:hint="eastAsia" w:ascii="宋体" w:hAnsi="宋体"/>
                <w:color w:val="auto"/>
                <w:szCs w:val="21"/>
                <w:highlight w:val="none"/>
                <w:u w:val="single"/>
              </w:rPr>
            </w:pPr>
            <w:r>
              <w:rPr>
                <w:rFonts w:ascii="宋体" w:hAnsi="宋体"/>
                <w:color w:val="auto"/>
                <w:szCs w:val="21"/>
                <w:highlight w:val="none"/>
                <w:u w:val="single"/>
              </w:rPr>
              <w:t>5.2.1</w:t>
            </w:r>
            <w:r>
              <w:rPr>
                <w:rFonts w:hint="eastAsia" w:ascii="宋体" w:hAnsi="宋体"/>
                <w:color w:val="auto"/>
                <w:szCs w:val="21"/>
                <w:highlight w:val="none"/>
                <w:u w:val="single"/>
              </w:rPr>
              <w:t>主持人按下列程序进行开标：</w:t>
            </w:r>
          </w:p>
          <w:p w14:paraId="2535E8D7">
            <w:pPr>
              <w:snapToGrid w:val="0"/>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）宣布开标纪律；</w:t>
            </w:r>
          </w:p>
          <w:p w14:paraId="393DE712">
            <w:pPr>
              <w:snapToGrid w:val="0"/>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）公布在投标截止时间前递交投标文件的投标人名称；</w:t>
            </w:r>
          </w:p>
          <w:p w14:paraId="3F633AE1">
            <w:pPr>
              <w:snapToGrid w:val="0"/>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）宣布开标人、唱标人、记录人、监标人等有关人员姓名；</w:t>
            </w:r>
          </w:p>
          <w:p w14:paraId="09BDFB15">
            <w:pPr>
              <w:snapToGrid w:val="0"/>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4</w:t>
            </w:r>
            <w:r>
              <w:rPr>
                <w:rFonts w:hint="eastAsia" w:ascii="宋体" w:hAnsi="宋体"/>
                <w:color w:val="auto"/>
                <w:szCs w:val="21"/>
                <w:highlight w:val="none"/>
                <w:u w:val="single"/>
              </w:rPr>
              <w:t>）投标人通过电子招标投标交易平台对已递交的电子投标文件进行解密，公布招标项目名称、投标人名称、投标保证金的递交情况、投标报价及其他内容，并记录在案；</w:t>
            </w:r>
          </w:p>
          <w:p w14:paraId="76D55052">
            <w:pPr>
              <w:snapToGrid w:val="0"/>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5</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14:paraId="3994C831">
            <w:pPr>
              <w:snapToGrid w:val="0"/>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6</w:t>
            </w:r>
            <w:r>
              <w:rPr>
                <w:rFonts w:hint="eastAsia" w:ascii="宋体" w:hAnsi="宋体"/>
                <w:color w:val="auto"/>
                <w:szCs w:val="21"/>
                <w:highlight w:val="none"/>
                <w:u w:val="single"/>
              </w:rPr>
              <w:t>）开标结束。</w:t>
            </w:r>
          </w:p>
          <w:p w14:paraId="2D915AAC">
            <w:pPr>
              <w:snapToGrid w:val="0"/>
              <w:spacing w:line="276" w:lineRule="auto"/>
              <w:rPr>
                <w:rFonts w:hint="eastAsia"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64C1CC4">
            <w:pPr>
              <w:snapToGrid w:val="0"/>
              <w:spacing w:line="276" w:lineRule="auto"/>
              <w:rPr>
                <w:rFonts w:hint="eastAsia" w:ascii="宋体" w:hAnsi="宋体"/>
                <w:color w:val="auto"/>
                <w:szCs w:val="21"/>
                <w:highlight w:val="none"/>
                <w:u w:val="single"/>
              </w:rPr>
            </w:pPr>
            <w:r>
              <w:rPr>
                <w:rFonts w:ascii="宋体" w:hAnsi="宋体"/>
                <w:color w:val="auto"/>
                <w:szCs w:val="21"/>
                <w:highlight w:val="none"/>
                <w:u w:val="singl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14:paraId="699BB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6162266E">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6.1.1</w:t>
            </w:r>
          </w:p>
        </w:tc>
        <w:tc>
          <w:tcPr>
            <w:tcW w:w="2160" w:type="dxa"/>
            <w:vAlign w:val="center"/>
          </w:tcPr>
          <w:p w14:paraId="630BFC63">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评标委员会的组建</w:t>
            </w:r>
          </w:p>
        </w:tc>
        <w:tc>
          <w:tcPr>
            <w:tcW w:w="7200" w:type="dxa"/>
            <w:vAlign w:val="center"/>
          </w:tcPr>
          <w:p w14:paraId="22050963">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评标委员会构成，由招标人依法组建。</w:t>
            </w:r>
          </w:p>
          <w:p w14:paraId="756CD7D1">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评标专家确定方式：广东省综合评标评审专家库</w:t>
            </w:r>
            <w:r>
              <w:rPr>
                <w:rFonts w:hint="eastAsia" w:ascii="宋体" w:hAnsi="宋体" w:cs="宋体"/>
                <w:color w:val="auto"/>
                <w:szCs w:val="21"/>
                <w:highlight w:val="none"/>
              </w:rPr>
              <w:t>中随机抽取</w:t>
            </w:r>
          </w:p>
        </w:tc>
      </w:tr>
      <w:tr w14:paraId="792CB9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946B030">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6.3.2</w:t>
            </w:r>
          </w:p>
        </w:tc>
        <w:tc>
          <w:tcPr>
            <w:tcW w:w="2160" w:type="dxa"/>
            <w:vAlign w:val="center"/>
          </w:tcPr>
          <w:p w14:paraId="49A1B41E">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评标委员会推荐中标候选人的人数</w:t>
            </w:r>
          </w:p>
        </w:tc>
        <w:tc>
          <w:tcPr>
            <w:tcW w:w="7200" w:type="dxa"/>
            <w:vAlign w:val="center"/>
          </w:tcPr>
          <w:p w14:paraId="4D63A283">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推荐中标候选人：</w:t>
            </w:r>
            <w:r>
              <w:rPr>
                <w:rFonts w:ascii="宋体" w:hAnsi="宋体"/>
                <w:color w:val="auto"/>
                <w:szCs w:val="21"/>
                <w:highlight w:val="none"/>
                <w:u w:val="single"/>
              </w:rPr>
              <w:t xml:space="preserve"> 3</w:t>
            </w:r>
            <w:r>
              <w:rPr>
                <w:rFonts w:hint="eastAsia" w:ascii="宋体" w:hAnsi="宋体"/>
                <w:color w:val="auto"/>
                <w:szCs w:val="21"/>
                <w:highlight w:val="none"/>
                <w:u w:val="single"/>
              </w:rPr>
              <w:t>人</w:t>
            </w:r>
          </w:p>
        </w:tc>
      </w:tr>
      <w:tr w14:paraId="0BA7D8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1C1DA42">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7.1</w:t>
            </w:r>
          </w:p>
        </w:tc>
        <w:tc>
          <w:tcPr>
            <w:tcW w:w="2160" w:type="dxa"/>
            <w:vAlign w:val="center"/>
          </w:tcPr>
          <w:p w14:paraId="6680850F">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中标候选人公示媒介及期限</w:t>
            </w:r>
          </w:p>
        </w:tc>
        <w:tc>
          <w:tcPr>
            <w:tcW w:w="7200" w:type="dxa"/>
            <w:vAlign w:val="center"/>
          </w:tcPr>
          <w:p w14:paraId="3FF56A70">
            <w:pPr>
              <w:spacing w:line="276" w:lineRule="auto"/>
              <w:rPr>
                <w:rFonts w:hint="eastAsia" w:ascii="宋体" w:hAnsi="宋体"/>
                <w:color w:val="auto"/>
                <w:szCs w:val="21"/>
                <w:highlight w:val="none"/>
              </w:rPr>
            </w:pPr>
            <w:r>
              <w:rPr>
                <w:rFonts w:hint="eastAsia" w:ascii="宋体" w:hAnsi="宋体"/>
                <w:color w:val="auto"/>
                <w:szCs w:val="21"/>
                <w:highlight w:val="none"/>
              </w:rPr>
              <w:t>公示媒介：</w:t>
            </w:r>
            <w:r>
              <w:rPr>
                <w:rFonts w:hint="eastAsia" w:ascii="宋体" w:hAnsi="宋体" w:cs="宋体"/>
                <w:color w:val="auto"/>
                <w:szCs w:val="21"/>
                <w:highlight w:val="none"/>
                <w:u w:val="single"/>
              </w:rPr>
              <w:t>广州交易集团有限公司（广州公共资源交易中心）网站、广东省招标投标监管网、中国招标投标公共服务平台</w:t>
            </w:r>
          </w:p>
          <w:p w14:paraId="65D63F56">
            <w:pPr>
              <w:snapToGrid w:val="0"/>
              <w:spacing w:line="276" w:lineRule="auto"/>
              <w:ind w:right="106"/>
              <w:rPr>
                <w:rFonts w:hint="eastAsia" w:ascii="宋体" w:hAnsi="宋体"/>
                <w:color w:val="auto"/>
                <w:szCs w:val="21"/>
                <w:highlight w:val="none"/>
              </w:rPr>
            </w:pPr>
            <w:r>
              <w:rPr>
                <w:rFonts w:hint="eastAsia" w:ascii="宋体" w:hAnsi="宋体"/>
                <w:color w:val="auto"/>
                <w:szCs w:val="21"/>
                <w:highlight w:val="none"/>
              </w:rPr>
              <w:t>公示期限：</w:t>
            </w:r>
            <w:r>
              <w:rPr>
                <w:rFonts w:ascii="宋体" w:hAnsi="宋体"/>
                <w:color w:val="auto"/>
                <w:szCs w:val="21"/>
                <w:highlight w:val="none"/>
                <w:u w:val="single"/>
              </w:rPr>
              <w:t>3</w:t>
            </w:r>
            <w:r>
              <w:rPr>
                <w:rFonts w:hint="eastAsia" w:ascii="宋体" w:hAnsi="宋体"/>
                <w:color w:val="auto"/>
                <w:szCs w:val="21"/>
                <w:highlight w:val="none"/>
              </w:rPr>
              <w:t>日</w:t>
            </w:r>
          </w:p>
        </w:tc>
      </w:tr>
      <w:tr w14:paraId="4157B8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D1579B6">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7.4</w:t>
            </w:r>
          </w:p>
        </w:tc>
        <w:tc>
          <w:tcPr>
            <w:tcW w:w="2160" w:type="dxa"/>
            <w:vAlign w:val="center"/>
          </w:tcPr>
          <w:p w14:paraId="11A541AB">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是否授权评标委员会确定中标人</w:t>
            </w:r>
          </w:p>
        </w:tc>
        <w:tc>
          <w:tcPr>
            <w:tcW w:w="7200" w:type="dxa"/>
            <w:vAlign w:val="center"/>
          </w:tcPr>
          <w:p w14:paraId="61644C3F">
            <w:pPr>
              <w:spacing w:line="276" w:lineRule="auto"/>
              <w:rPr>
                <w:rFonts w:hint="eastAsia" w:ascii="宋体" w:hAnsi="宋体"/>
                <w:color w:val="auto"/>
                <w:szCs w:val="21"/>
                <w:highlight w:val="none"/>
              </w:rPr>
            </w:pPr>
            <w:r>
              <w:rPr>
                <w:rFonts w:hint="eastAsia" w:ascii="宋体" w:hAnsi="宋体"/>
                <w:color w:val="auto"/>
                <w:szCs w:val="21"/>
                <w:highlight w:val="none"/>
              </w:rPr>
              <w:t>□是</w:t>
            </w:r>
          </w:p>
          <w:p w14:paraId="31EA109D">
            <w:pPr>
              <w:spacing w:line="276" w:lineRule="auto"/>
              <w:rPr>
                <w:rFonts w:hint="eastAsia" w:ascii="宋体" w:hAnsi="宋体"/>
                <w:color w:val="auto"/>
                <w:szCs w:val="21"/>
                <w:highlight w:val="none"/>
              </w:rPr>
            </w:pPr>
            <w:r>
              <w:rPr>
                <w:rFonts w:hint="eastAsia" w:ascii="宋体" w:hAnsi="宋体"/>
                <w:color w:val="auto"/>
                <w:szCs w:val="21"/>
                <w:highlight w:val="none"/>
              </w:rPr>
              <w:t>■否</w:t>
            </w:r>
          </w:p>
        </w:tc>
      </w:tr>
      <w:tr w14:paraId="78C87B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9BE35FD">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7.6.1</w:t>
            </w:r>
          </w:p>
        </w:tc>
        <w:tc>
          <w:tcPr>
            <w:tcW w:w="2160" w:type="dxa"/>
            <w:vAlign w:val="center"/>
          </w:tcPr>
          <w:p w14:paraId="00FC1A5D">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7200" w:type="dxa"/>
            <w:vAlign w:val="center"/>
          </w:tcPr>
          <w:p w14:paraId="316FBD20">
            <w:pPr>
              <w:pStyle w:val="11"/>
              <w:topLinePunct/>
              <w:spacing w:line="276" w:lineRule="auto"/>
              <w:rPr>
                <w:rFonts w:hint="eastAsia" w:hAnsi="宋体"/>
                <w:b/>
                <w:color w:val="auto"/>
                <w:sz w:val="21"/>
                <w:szCs w:val="21"/>
                <w:highlight w:val="none"/>
              </w:rPr>
            </w:pPr>
            <w:r>
              <w:rPr>
                <w:rFonts w:hint="eastAsia" w:hAnsi="宋体"/>
                <w:b/>
                <w:color w:val="auto"/>
                <w:sz w:val="21"/>
                <w:szCs w:val="21"/>
                <w:highlight w:val="none"/>
              </w:rPr>
              <w:t>是否要求中标人提交履约保证金：</w:t>
            </w:r>
          </w:p>
          <w:p w14:paraId="2A8EC314">
            <w:pPr>
              <w:topLinePunct/>
              <w:spacing w:line="276" w:lineRule="auto"/>
              <w:rPr>
                <w:rFonts w:hint="eastAsia" w:hAnsi="宋体"/>
                <w:b/>
                <w:color w:val="auto"/>
                <w:szCs w:val="21"/>
                <w:highlight w:val="none"/>
              </w:rPr>
            </w:pPr>
            <w:r>
              <w:rPr>
                <w:rFonts w:hint="eastAsia" w:ascii="宋体" w:hAnsi="宋体" w:cs="宋体"/>
                <w:color w:val="auto"/>
                <w:szCs w:val="21"/>
                <w:highlight w:val="none"/>
              </w:rPr>
              <w:t>☑</w:t>
            </w:r>
            <w:r>
              <w:rPr>
                <w:rFonts w:hint="eastAsia" w:hAnsi="宋体"/>
                <w:b/>
                <w:color w:val="auto"/>
                <w:szCs w:val="21"/>
                <w:highlight w:val="none"/>
              </w:rPr>
              <w:t>要求</w:t>
            </w:r>
          </w:p>
          <w:p w14:paraId="2376AB77">
            <w:pPr>
              <w:spacing w:line="276" w:lineRule="auto"/>
              <w:rPr>
                <w:rFonts w:hint="default" w:ascii="宋体" w:hAnsi="宋体" w:eastAsia="宋体"/>
                <w:color w:val="auto"/>
                <w:szCs w:val="21"/>
                <w:highlight w:val="none"/>
                <w:u w:val="single"/>
                <w:lang w:val="en-US" w:eastAsia="zh-CN"/>
              </w:rPr>
            </w:pPr>
            <w:r>
              <w:rPr>
                <w:rFonts w:hint="eastAsia" w:ascii="宋体" w:hAnsi="宋体"/>
                <w:b/>
                <w:color w:val="auto"/>
                <w:szCs w:val="21"/>
                <w:highlight w:val="none"/>
              </w:rPr>
              <w:t>履约保证金的金额：</w:t>
            </w:r>
            <w:r>
              <w:rPr>
                <w:rFonts w:hint="eastAsia" w:ascii="宋体" w:hAnsi="宋体"/>
                <w:color w:val="auto"/>
                <w:szCs w:val="21"/>
                <w:highlight w:val="none"/>
                <w:u w:val="single"/>
              </w:rPr>
              <w:t>中标价的10%</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具体详见合同。</w:t>
            </w:r>
          </w:p>
          <w:p w14:paraId="1E454A3D">
            <w:pPr>
              <w:pStyle w:val="11"/>
              <w:topLinePunct/>
              <w:spacing w:line="276" w:lineRule="auto"/>
              <w:rPr>
                <w:rFonts w:hint="eastAsia" w:hAnsi="宋体"/>
                <w:color w:val="auto"/>
                <w:sz w:val="21"/>
                <w:szCs w:val="21"/>
                <w:highlight w:val="none"/>
              </w:rPr>
            </w:pPr>
            <w:r>
              <w:rPr>
                <w:rFonts w:hint="eastAsia" w:hAnsi="宋体" w:cs="宋体"/>
                <w:color w:val="auto"/>
                <w:szCs w:val="21"/>
                <w:highlight w:val="none"/>
              </w:rPr>
              <w:t>□</w:t>
            </w:r>
            <w:r>
              <w:rPr>
                <w:rFonts w:hint="eastAsia" w:hAnsi="宋体"/>
                <w:b/>
                <w:color w:val="auto"/>
                <w:sz w:val="21"/>
                <w:szCs w:val="21"/>
                <w:highlight w:val="none"/>
              </w:rPr>
              <w:t>不要求</w:t>
            </w:r>
          </w:p>
        </w:tc>
      </w:tr>
      <w:tr w14:paraId="0888E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57A602F0">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9</w:t>
            </w:r>
          </w:p>
        </w:tc>
        <w:tc>
          <w:tcPr>
            <w:tcW w:w="2160" w:type="dxa"/>
            <w:vAlign w:val="center"/>
          </w:tcPr>
          <w:p w14:paraId="60ADF7FF">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是否采用电子招标投标</w:t>
            </w:r>
          </w:p>
        </w:tc>
        <w:tc>
          <w:tcPr>
            <w:tcW w:w="7200" w:type="dxa"/>
            <w:vAlign w:val="center"/>
          </w:tcPr>
          <w:p w14:paraId="7D645609">
            <w:pPr>
              <w:spacing w:line="276" w:lineRule="auto"/>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否</w:t>
            </w:r>
          </w:p>
          <w:p w14:paraId="71710584">
            <w:pPr>
              <w:spacing w:line="276" w:lineRule="auto"/>
              <w:ind w:left="2099" w:leftChars="3" w:hanging="2093" w:hangingChars="997"/>
              <w:rPr>
                <w:rFonts w:hint="eastAsia" w:ascii="宋体" w:hAnsi="宋体"/>
                <w:color w:val="auto"/>
                <w:szCs w:val="21"/>
                <w:highlight w:val="none"/>
              </w:rPr>
            </w:pPr>
            <w:r>
              <w:rPr>
                <w:rFonts w:hint="eastAsia" w:ascii="宋体" w:hAnsi="宋体"/>
                <w:color w:val="auto"/>
                <w:szCs w:val="21"/>
                <w:highlight w:val="none"/>
              </w:rPr>
              <w:t>■是，具体要求：</w:t>
            </w:r>
          </w:p>
          <w:p w14:paraId="1963489B">
            <w:pPr>
              <w:spacing w:line="276" w:lineRule="auto"/>
              <w:jc w:val="left"/>
              <w:rPr>
                <w:rFonts w:hint="eastAsia" w:ascii="宋体" w:hAnsi="宋体"/>
                <w:color w:val="auto"/>
                <w:szCs w:val="21"/>
                <w:highlight w:val="none"/>
                <w:u w:val="single"/>
              </w:rPr>
            </w:pPr>
            <w:r>
              <w:rPr>
                <w:rFonts w:hint="eastAsia" w:ascii="宋体" w:hAnsi="宋体" w:cs="Courier New"/>
                <w:color w:val="auto"/>
                <w:szCs w:val="21"/>
                <w:highlight w:val="none"/>
                <w:u w:val="single"/>
              </w:rPr>
              <w:t>1.具体操作详见广州交易集团有限公司（广州公共资源交易中心）网站最新发布的最新指引。</w:t>
            </w:r>
          </w:p>
          <w:p w14:paraId="421DA130">
            <w:pPr>
              <w:spacing w:line="276" w:lineRule="auto"/>
              <w:rPr>
                <w:rFonts w:hint="eastAsia"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14:paraId="0462ACDE">
            <w:pPr>
              <w:spacing w:line="276" w:lineRule="auto"/>
              <w:jc w:val="left"/>
              <w:rPr>
                <w:rFonts w:hint="eastAsia" w:ascii="宋体" w:hAnsi="宋体"/>
                <w:color w:val="auto"/>
                <w:szCs w:val="21"/>
                <w:highlight w:val="none"/>
                <w:u w:val="single"/>
              </w:rPr>
            </w:pPr>
            <w:r>
              <w:rPr>
                <w:rFonts w:hint="eastAsia" w:ascii="宋体" w:hAnsi="宋体"/>
                <w:color w:val="auto"/>
                <w:szCs w:val="21"/>
                <w:highlight w:val="none"/>
                <w:u w:val="single"/>
              </w:rPr>
              <w:t>投标人将按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14:paraId="631B0EBB">
            <w:pPr>
              <w:spacing w:line="276" w:lineRule="auto"/>
              <w:ind w:firstLine="0" w:firstLineChars="0"/>
              <w:rPr>
                <w:rFonts w:hint="eastAsia" w:ascii="宋体" w:hAnsi="宋体"/>
                <w:color w:val="auto"/>
                <w:szCs w:val="21"/>
                <w:highlight w:val="none"/>
                <w:u w:val="single"/>
              </w:rPr>
            </w:pPr>
            <w:r>
              <w:rPr>
                <w:rFonts w:ascii="宋体" w:hAnsi="宋体"/>
                <w:color w:val="auto"/>
                <w:szCs w:val="21"/>
                <w:highlight w:val="none"/>
                <w:u w:val="single"/>
              </w:rPr>
              <w:t>3</w:t>
            </w:r>
            <w:r>
              <w:rPr>
                <w:rFonts w:hint="eastAsia" w:ascii="宋体" w:hAnsi="宋体" w:eastAsia="宋体" w:cs="Courier New"/>
                <w:color w:val="auto"/>
                <w:szCs w:val="21"/>
                <w:highlight w:val="none"/>
                <w:u w:val="single"/>
              </w:rPr>
              <w:t>.</w:t>
            </w:r>
            <w:r>
              <w:rPr>
                <w:rFonts w:hint="eastAsia" w:ascii="宋体" w:hAnsi="宋体"/>
                <w:color w:val="auto"/>
                <w:szCs w:val="21"/>
                <w:highlight w:val="none"/>
                <w:u w:val="single"/>
              </w:rPr>
              <w:t>补救方案</w:t>
            </w:r>
          </w:p>
          <w:p w14:paraId="37DD4F80">
            <w:pPr>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）投标文件解密失败的补救方案：</w:t>
            </w:r>
          </w:p>
          <w:p w14:paraId="134A2E76">
            <w:pPr>
              <w:spacing w:line="276" w:lineRule="auto"/>
              <w:ind w:firstLine="210" w:firstLineChars="100"/>
              <w:rPr>
                <w:rFonts w:hint="eastAsia" w:ascii="宋体" w:hAnsi="宋体"/>
                <w:color w:val="auto"/>
                <w:szCs w:val="21"/>
                <w:highlight w:val="none"/>
                <w:u w:val="single"/>
              </w:rPr>
            </w:pPr>
            <w:r>
              <w:rPr>
                <w:rFonts w:hint="eastAsia" w:ascii="宋体" w:hAnsi="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1008177E">
            <w:pPr>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）评标时突发情况的补救方案</w:t>
            </w:r>
          </w:p>
          <w:p w14:paraId="21CDB54F">
            <w:pPr>
              <w:spacing w:line="276" w:lineRule="auto"/>
              <w:ind w:firstLine="315" w:firstLineChars="150"/>
              <w:rPr>
                <w:rFonts w:hint="eastAsia" w:ascii="宋体" w:hAnsi="宋体"/>
                <w:color w:val="auto"/>
                <w:szCs w:val="21"/>
                <w:highlight w:val="none"/>
                <w:u w:val="single"/>
              </w:rPr>
            </w:pPr>
            <w:r>
              <w:rPr>
                <w:rFonts w:hint="eastAsia" w:ascii="宋体" w:hAnsi="宋体"/>
                <w:color w:val="auto"/>
                <w:szCs w:val="21"/>
                <w:highlight w:val="none"/>
                <w:u w:val="single"/>
              </w:rPr>
              <w:t>若遇不可抗力发生（如：网络瘫痪、服务器损坏、交易系统故障短期无法恢复等因素），由评标委员会开启递交的全部投标文件光盘，并按光盘内容进行评审。</w:t>
            </w:r>
          </w:p>
          <w:p w14:paraId="3EE05E06">
            <w:pPr>
              <w:spacing w:line="276" w:lineRule="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）除发生上述情况外，开标评标均以投标人通过交易平台网上递交的电子投标文件为准。</w:t>
            </w:r>
          </w:p>
        </w:tc>
      </w:tr>
      <w:tr w14:paraId="691F39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1E01303D">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10</w:t>
            </w:r>
          </w:p>
        </w:tc>
        <w:tc>
          <w:tcPr>
            <w:tcW w:w="2160" w:type="dxa"/>
            <w:vAlign w:val="center"/>
          </w:tcPr>
          <w:p w14:paraId="341E3F6D">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需要补充的其他内容</w:t>
            </w:r>
          </w:p>
        </w:tc>
        <w:tc>
          <w:tcPr>
            <w:tcW w:w="7200" w:type="dxa"/>
            <w:vAlign w:val="center"/>
          </w:tcPr>
          <w:p w14:paraId="6BDF020B">
            <w:pPr>
              <w:snapToGrid w:val="0"/>
              <w:spacing w:line="276" w:lineRule="auto"/>
              <w:rPr>
                <w:rFonts w:hint="eastAsia" w:ascii="宋体" w:hAnsi="宋体"/>
                <w:color w:val="auto"/>
                <w:szCs w:val="21"/>
                <w:highlight w:val="none"/>
              </w:rPr>
            </w:pPr>
          </w:p>
        </w:tc>
      </w:tr>
      <w:tr w14:paraId="738D3C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0583315">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10.1</w:t>
            </w:r>
          </w:p>
        </w:tc>
        <w:tc>
          <w:tcPr>
            <w:tcW w:w="2160" w:type="dxa"/>
            <w:vAlign w:val="center"/>
          </w:tcPr>
          <w:p w14:paraId="7E3222E0">
            <w:pPr>
              <w:spacing w:line="276" w:lineRule="auto"/>
              <w:jc w:val="center"/>
              <w:rPr>
                <w:rFonts w:hint="eastAsia" w:ascii="宋体" w:hAnsi="宋体"/>
                <w:color w:val="auto"/>
                <w:szCs w:val="21"/>
                <w:highlight w:val="none"/>
              </w:rPr>
            </w:pPr>
            <w:r>
              <w:rPr>
                <w:rFonts w:hint="eastAsia" w:ascii="宋体" w:hAnsi="宋体"/>
                <w:color w:val="auto"/>
                <w:szCs w:val="21"/>
                <w:highlight w:val="none"/>
              </w:rPr>
              <w:t>特别提示</w:t>
            </w:r>
          </w:p>
        </w:tc>
        <w:tc>
          <w:tcPr>
            <w:tcW w:w="7200" w:type="dxa"/>
            <w:vAlign w:val="center"/>
          </w:tcPr>
          <w:p w14:paraId="0EF84292">
            <w:pPr>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14:paraId="69833A8A">
            <w:pPr>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1.将中标工程转包或者违法分包的；</w:t>
            </w:r>
          </w:p>
          <w:p w14:paraId="08E07BAE">
            <w:pPr>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2.在中标工程中不执行质量、安全生产相关规定的，造成质量或安全事故的；</w:t>
            </w:r>
          </w:p>
          <w:p w14:paraId="52E027E5">
            <w:pPr>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3.存在围标或串标情形的；</w:t>
            </w:r>
          </w:p>
          <w:p w14:paraId="4688F478">
            <w:pPr>
              <w:spacing w:line="276" w:lineRule="auto"/>
              <w:jc w:val="left"/>
              <w:rPr>
                <w:rFonts w:hint="eastAsia" w:ascii="宋体" w:hAnsi="宋体" w:eastAsia="宋体"/>
                <w:color w:val="auto"/>
                <w:szCs w:val="21"/>
                <w:highlight w:val="none"/>
                <w:lang w:val="en-US" w:eastAsia="zh-CN"/>
              </w:rPr>
            </w:pPr>
            <w:r>
              <w:rPr>
                <w:rFonts w:hint="eastAsia" w:ascii="宋体" w:hAnsi="宋体" w:eastAsia="宋体" w:cs="Times New Roman"/>
                <w:color w:val="auto"/>
                <w:szCs w:val="21"/>
                <w:highlight w:val="none"/>
              </w:rPr>
              <w:t>4.存在弄虚作假骗取中标情形的</w:t>
            </w:r>
            <w:r>
              <w:rPr>
                <w:rFonts w:hint="eastAsia" w:ascii="宋体" w:hAnsi="宋体" w:eastAsia="宋体" w:cs="Times New Roman"/>
                <w:color w:val="auto"/>
                <w:szCs w:val="21"/>
                <w:highlight w:val="none"/>
                <w:lang w:eastAsia="zh-CN"/>
              </w:rPr>
              <w:t>。</w:t>
            </w:r>
          </w:p>
        </w:tc>
      </w:tr>
      <w:tr w14:paraId="199149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02555770">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160" w:type="dxa"/>
            <w:vAlign w:val="center"/>
          </w:tcPr>
          <w:p w14:paraId="0F56D4C6">
            <w:pPr>
              <w:spacing w:line="276" w:lineRule="auto"/>
              <w:jc w:val="center"/>
              <w:rPr>
                <w:rFonts w:hint="eastAsia" w:ascii="宋体" w:hAnsi="宋体"/>
                <w:color w:val="auto"/>
                <w:szCs w:val="21"/>
                <w:highlight w:val="none"/>
              </w:rPr>
            </w:pPr>
            <w:r>
              <w:rPr>
                <w:rFonts w:hint="eastAsia" w:ascii="宋体" w:hAnsi="宋体"/>
                <w:color w:val="auto"/>
                <w:szCs w:val="21"/>
                <w:highlight w:val="none"/>
              </w:rPr>
              <w:t>招标失败情形</w:t>
            </w:r>
          </w:p>
        </w:tc>
        <w:tc>
          <w:tcPr>
            <w:tcW w:w="7200" w:type="dxa"/>
            <w:vAlign w:val="center"/>
          </w:tcPr>
          <w:p w14:paraId="4CD37D24">
            <w:pPr>
              <w:spacing w:line="276" w:lineRule="auto"/>
              <w:ind w:left="1" w:hanging="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本项目采用资格后审方式。若投标登记或递交投标文件或通过初步评审（含形式评审、资格评审、响应性评审）的合格投标人不足3家的，</w:t>
            </w:r>
            <w:r>
              <w:rPr>
                <w:rFonts w:hint="eastAsia" w:ascii="宋体" w:hAnsi="宋体" w:eastAsia="宋体" w:cs="宋体"/>
                <w:color w:val="auto"/>
                <w:szCs w:val="21"/>
                <w:highlight w:val="none"/>
                <w:u w:val="none"/>
              </w:rPr>
              <w:t>则该项目招标失败</w:t>
            </w:r>
            <w:r>
              <w:rPr>
                <w:rFonts w:hint="eastAsia" w:ascii="宋体" w:hAnsi="宋体" w:eastAsia="宋体" w:cs="宋体"/>
                <w:color w:val="auto"/>
                <w:szCs w:val="21"/>
                <w:highlight w:val="none"/>
              </w:rPr>
              <w:t>。招标人分析招标失败原因，修正招标方案，重新组织招标。</w:t>
            </w:r>
          </w:p>
        </w:tc>
      </w:tr>
      <w:tr w14:paraId="765F6A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14:paraId="6C1F8F3C">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160" w:type="dxa"/>
            <w:tcBorders>
              <w:bottom w:val="single" w:color="auto" w:sz="4" w:space="0"/>
            </w:tcBorders>
            <w:vAlign w:val="center"/>
          </w:tcPr>
          <w:p w14:paraId="639EDAA5">
            <w:pPr>
              <w:spacing w:line="276" w:lineRule="auto"/>
              <w:jc w:val="center"/>
              <w:rPr>
                <w:rFonts w:hint="eastAsia" w:ascii="宋体" w:hAnsi="宋体"/>
                <w:color w:val="auto"/>
                <w:szCs w:val="21"/>
                <w:highlight w:val="none"/>
              </w:rPr>
            </w:pPr>
            <w:r>
              <w:rPr>
                <w:rFonts w:hint="eastAsia" w:ascii="宋体" w:hAnsi="宋体"/>
                <w:color w:val="auto"/>
                <w:szCs w:val="21"/>
                <w:highlight w:val="none"/>
              </w:rPr>
              <w:t>其他费用</w:t>
            </w:r>
          </w:p>
        </w:tc>
        <w:tc>
          <w:tcPr>
            <w:tcW w:w="7200" w:type="dxa"/>
            <w:tcBorders>
              <w:bottom w:val="single" w:color="auto" w:sz="4" w:space="0"/>
            </w:tcBorders>
            <w:vAlign w:val="center"/>
          </w:tcPr>
          <w:p w14:paraId="39C52467">
            <w:pPr>
              <w:spacing w:line="276" w:lineRule="auto"/>
              <w:ind w:left="1" w:hanging="1"/>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1、交易服务费：中标人按规定，向广州交易集团有限公司（广州公共资源交易中心）缴纳交易服务费，其费用包含在中标人投标报价中，招标人不另行支付。</w:t>
            </w:r>
          </w:p>
          <w:p w14:paraId="79A4394A">
            <w:pPr>
              <w:spacing w:line="276" w:lineRule="auto"/>
              <w:ind w:left="1" w:hanging="1"/>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招标代理服务费：由中标人支付，在领取中标通知书前一次性支付给招标代理机构。招标代理服务费按《招标代理服务收费管理暂行办法》（计价〔2002〕1980号）、《国家发展改革委关于降低部分建设项目收费标准规范收费行为等有关问题的通知》（发改价格〔2011〕534号）文的规定计算，以《中标通知书》确定的中标价作为收费的计算基数，按差额定率累进法计算，下浮2%计取代理费。</w:t>
            </w:r>
          </w:p>
        </w:tc>
      </w:tr>
      <w:tr w14:paraId="5961C0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14:paraId="5EC32DC9">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0" w:type="dxa"/>
            <w:tcBorders>
              <w:bottom w:val="single" w:color="auto" w:sz="4" w:space="0"/>
            </w:tcBorders>
            <w:vAlign w:val="center"/>
          </w:tcPr>
          <w:p w14:paraId="553EBE04">
            <w:pPr>
              <w:spacing w:line="276" w:lineRule="auto"/>
              <w:jc w:val="center"/>
              <w:rPr>
                <w:rFonts w:hint="eastAsia" w:ascii="宋体" w:hAnsi="宋体"/>
                <w:color w:val="auto"/>
                <w:szCs w:val="21"/>
                <w:highlight w:val="none"/>
              </w:rPr>
            </w:pPr>
            <w:r>
              <w:rPr>
                <w:rFonts w:hint="eastAsia" w:ascii="宋体" w:hAnsi="宋体"/>
                <w:color w:val="auto"/>
                <w:szCs w:val="21"/>
                <w:highlight w:val="none"/>
              </w:rPr>
              <w:t>招标人拒绝接收其投标文件备用光盘情况</w:t>
            </w:r>
          </w:p>
        </w:tc>
        <w:tc>
          <w:tcPr>
            <w:tcW w:w="7200" w:type="dxa"/>
            <w:tcBorders>
              <w:bottom w:val="single" w:color="auto" w:sz="4" w:space="0"/>
            </w:tcBorders>
            <w:vAlign w:val="center"/>
          </w:tcPr>
          <w:p w14:paraId="69855546">
            <w:pPr>
              <w:pStyle w:val="27"/>
              <w:spacing w:line="276" w:lineRule="auto"/>
              <w:ind w:hanging="5"/>
              <w:rPr>
                <w:rFonts w:hint="eastAsia" w:ascii="宋体" w:hAnsi="宋体"/>
                <w:color w:val="auto"/>
                <w:szCs w:val="21"/>
                <w:highlight w:val="none"/>
              </w:rPr>
            </w:pPr>
            <w:r>
              <w:rPr>
                <w:rFonts w:hint="eastAsia" w:ascii="宋体" w:hAnsi="宋体"/>
                <w:color w:val="auto"/>
                <w:szCs w:val="21"/>
                <w:highlight w:val="none"/>
              </w:rPr>
              <w:t>1、投标人在投标截止期后逾期或未在指定地点递交备用投标文件电子光盘的；</w:t>
            </w:r>
          </w:p>
          <w:p w14:paraId="46E36D95">
            <w:pPr>
              <w:pStyle w:val="27"/>
              <w:spacing w:line="276" w:lineRule="auto"/>
              <w:ind w:hanging="5"/>
              <w:rPr>
                <w:rFonts w:hint="eastAsia" w:ascii="宋体" w:hAnsi="宋体"/>
                <w:color w:val="auto"/>
                <w:szCs w:val="21"/>
                <w:highlight w:val="none"/>
              </w:rPr>
            </w:pPr>
            <w:r>
              <w:rPr>
                <w:rFonts w:hint="eastAsia" w:ascii="宋体" w:hAnsi="宋体"/>
                <w:color w:val="auto"/>
                <w:szCs w:val="21"/>
                <w:highlight w:val="none"/>
              </w:rPr>
              <w:t>2、投标人递交的备用投标文件电子光盘未按招标文件要求密封或未在密封处盖章的；</w:t>
            </w:r>
          </w:p>
        </w:tc>
      </w:tr>
      <w:tr w14:paraId="4A996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14:paraId="565BAB2B">
            <w:pPr>
              <w:snapToGrid w:val="0"/>
              <w:spacing w:line="276" w:lineRule="auto"/>
              <w:jc w:val="center"/>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w:t>
            </w:r>
          </w:p>
        </w:tc>
        <w:tc>
          <w:tcPr>
            <w:tcW w:w="2160" w:type="dxa"/>
            <w:tcBorders>
              <w:bottom w:val="single" w:color="auto" w:sz="4" w:space="0"/>
            </w:tcBorders>
            <w:vAlign w:val="center"/>
          </w:tcPr>
          <w:p w14:paraId="76390D73">
            <w:pPr>
              <w:spacing w:line="276" w:lineRule="auto"/>
              <w:jc w:val="center"/>
              <w:rPr>
                <w:rFonts w:hint="eastAsia" w:ascii="宋体" w:hAnsi="宋体"/>
                <w:color w:val="auto"/>
                <w:szCs w:val="21"/>
                <w:highlight w:val="none"/>
              </w:rPr>
            </w:pPr>
            <w:r>
              <w:rPr>
                <w:rFonts w:hint="eastAsia" w:ascii="宋体" w:hAnsi="宋体"/>
                <w:color w:val="auto"/>
                <w:szCs w:val="21"/>
                <w:highlight w:val="none"/>
              </w:rPr>
              <w:t>其他</w:t>
            </w:r>
          </w:p>
        </w:tc>
        <w:tc>
          <w:tcPr>
            <w:tcW w:w="7200" w:type="dxa"/>
            <w:tcBorders>
              <w:bottom w:val="single" w:color="auto" w:sz="4" w:space="0"/>
            </w:tcBorders>
            <w:vAlign w:val="center"/>
          </w:tcPr>
          <w:p w14:paraId="7E559BD1">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1．在产生中标候选人后，招标人将中标候选人的投标文件商务部分的电子版（报价清单、方案等涉及商业秘密的内容除外）在广州交易集团有限公司（广州公共资源交易中心）网站公开。</w:t>
            </w:r>
          </w:p>
          <w:p w14:paraId="66586D02">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2.招标公告、招标文件、答疑纪要、图纸等招标资料全部发布在广州交易集团有限公司（广州公共资源交易中心）网站，由投标人自行下载查阅。</w:t>
            </w:r>
          </w:p>
          <w:p w14:paraId="31DEBC46">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3.投标截止时间、开标时间和地点：发布在广州交易集团有限公司（广州公共资源交易中心）网站（具体在网站主页“服务指南”中“交易活动安排”栏目上以“项目名称”或“项目编号”进行查询）。</w:t>
            </w:r>
          </w:p>
          <w:p w14:paraId="1DB1CBB6">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4．中标单位在中标通知书发出后3个工作日内，补送一正二副正式书面投标文件（加盖公章）及电子文件光盘给招标人。</w:t>
            </w:r>
          </w:p>
          <w:p w14:paraId="0CEA6E4A">
            <w:pPr>
              <w:pStyle w:val="27"/>
              <w:ind w:firstLine="0"/>
              <w:rPr>
                <w:rFonts w:hint="eastAsia" w:ascii="宋体" w:hAnsi="宋体"/>
                <w:color w:val="auto"/>
                <w:szCs w:val="21"/>
                <w:highlight w:val="none"/>
              </w:rPr>
            </w:pPr>
            <w:r>
              <w:rPr>
                <w:rFonts w:hint="eastAsia" w:ascii="宋体" w:hAnsi="宋体"/>
                <w:color w:val="auto"/>
                <w:szCs w:val="21"/>
                <w:highlight w:val="none"/>
              </w:rPr>
              <w:t>5.如遇政策变化、政府或招标人上级单位决策、土地出让等其他因招标人的原因取消该全部工程，则招标人有权单方取消本次招标，双方互不视为违约。潜在投标人已充分知悉上述风险，并且放弃向招标人主张索赔的权利。</w:t>
            </w:r>
          </w:p>
        </w:tc>
      </w:tr>
      <w:tr w14:paraId="37277D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14:paraId="3A588413">
            <w:pPr>
              <w:snapToGrid w:val="0"/>
              <w:spacing w:line="276" w:lineRule="auto"/>
              <w:jc w:val="center"/>
              <w:rPr>
                <w:rFonts w:hint="eastAsia" w:ascii="宋体" w:hAnsi="宋体"/>
                <w:color w:val="auto"/>
                <w:szCs w:val="21"/>
                <w:highlight w:val="none"/>
              </w:rPr>
            </w:pPr>
            <w:r>
              <w:rPr>
                <w:rFonts w:hint="eastAsia" w:ascii="宋体" w:hAnsi="宋体"/>
                <w:color w:val="auto"/>
                <w:szCs w:val="21"/>
                <w:highlight w:val="none"/>
              </w:rPr>
              <w:t>10.6</w:t>
            </w:r>
          </w:p>
        </w:tc>
        <w:tc>
          <w:tcPr>
            <w:tcW w:w="2160" w:type="dxa"/>
            <w:vAlign w:val="center"/>
          </w:tcPr>
          <w:p w14:paraId="2A02AF80">
            <w:pPr>
              <w:spacing w:line="276" w:lineRule="auto"/>
              <w:jc w:val="center"/>
              <w:rPr>
                <w:rFonts w:hint="eastAsia" w:ascii="宋体" w:hAnsi="宋体"/>
                <w:color w:val="auto"/>
                <w:szCs w:val="21"/>
                <w:highlight w:val="none"/>
              </w:rPr>
            </w:pPr>
            <w:r>
              <w:rPr>
                <w:rFonts w:hint="eastAsia" w:ascii="宋体" w:hAnsi="宋体"/>
                <w:color w:val="auto"/>
                <w:szCs w:val="21"/>
                <w:highlight w:val="none"/>
              </w:rPr>
              <w:t>投标人是否</w:t>
            </w:r>
            <w:r>
              <w:rPr>
                <w:rFonts w:hint="eastAsia" w:ascii="宋体" w:hAnsi="宋体" w:eastAsia="宋体" w:cs="Times New Roman"/>
                <w:color w:val="auto"/>
                <w:szCs w:val="21"/>
                <w:highlight w:val="none"/>
              </w:rPr>
              <w:t>参加</w:t>
            </w:r>
            <w:r>
              <w:rPr>
                <w:rFonts w:hint="eastAsia" w:ascii="宋体" w:hAnsi="宋体"/>
                <w:color w:val="auto"/>
                <w:szCs w:val="21"/>
                <w:highlight w:val="none"/>
              </w:rPr>
              <w:t>开标</w:t>
            </w:r>
          </w:p>
        </w:tc>
        <w:tc>
          <w:tcPr>
            <w:tcW w:w="7200" w:type="dxa"/>
            <w:vAlign w:val="center"/>
          </w:tcPr>
          <w:p w14:paraId="6E90E41D">
            <w:pPr>
              <w:snapToGrid w:val="0"/>
              <w:spacing w:line="276" w:lineRule="auto"/>
              <w:rPr>
                <w:rFonts w:hint="eastAsia" w:ascii="宋体" w:hAnsi="宋体"/>
                <w:color w:val="auto"/>
                <w:szCs w:val="21"/>
                <w:highlight w:val="none"/>
              </w:rPr>
            </w:pPr>
            <w:r>
              <w:rPr>
                <w:rFonts w:hint="eastAsia" w:ascii="宋体" w:hAnsi="宋体"/>
                <w:color w:val="auto"/>
                <w:szCs w:val="21"/>
                <w:highlight w:val="none"/>
              </w:rPr>
              <w:t>开标时，投标人代表有权出席开标会，也可以自主决定不参加开标会，若投标人代表对开标过程提出异议，该投标人代表须同时出示本人身份证原件。</w:t>
            </w:r>
          </w:p>
        </w:tc>
      </w:tr>
    </w:tbl>
    <w:p w14:paraId="32C9E256">
      <w:pPr>
        <w:rPr>
          <w:rFonts w:hint="eastAsia" w:ascii="宋体" w:hAnsi="宋体"/>
          <w:color w:val="auto"/>
          <w:highlight w:val="none"/>
        </w:rPr>
      </w:pPr>
    </w:p>
    <w:p w14:paraId="44B91AD0">
      <w:pPr>
        <w:pStyle w:val="4"/>
        <w:rPr>
          <w:rFonts w:hint="eastAsia"/>
          <w:color w:val="auto"/>
          <w:highlight w:val="none"/>
        </w:rPr>
      </w:pPr>
      <w:bookmarkStart w:id="51" w:name="_Toc533357308"/>
      <w:r>
        <w:rPr>
          <w:color w:val="auto"/>
          <w:highlight w:val="none"/>
        </w:rPr>
        <w:br w:type="page"/>
      </w:r>
      <w:bookmarkStart w:id="52" w:name="_Toc29117"/>
      <w:bookmarkStart w:id="53" w:name="_Toc5175"/>
      <w:bookmarkStart w:id="54" w:name="_Toc13362"/>
      <w:bookmarkStart w:id="55" w:name="_Toc17866"/>
      <w:r>
        <w:rPr>
          <w:color w:val="auto"/>
          <w:highlight w:val="none"/>
        </w:rPr>
        <w:t xml:space="preserve">1. </w:t>
      </w:r>
      <w:r>
        <w:rPr>
          <w:rFonts w:hint="eastAsia"/>
          <w:color w:val="auto"/>
          <w:highlight w:val="none"/>
        </w:rPr>
        <w:t>总则</w:t>
      </w:r>
      <w:bookmarkEnd w:id="51"/>
      <w:bookmarkEnd w:id="52"/>
      <w:bookmarkEnd w:id="53"/>
      <w:bookmarkEnd w:id="54"/>
      <w:bookmarkEnd w:id="55"/>
    </w:p>
    <w:p w14:paraId="231AD544">
      <w:pPr>
        <w:pStyle w:val="6"/>
        <w:rPr>
          <w:color w:val="auto"/>
          <w:highlight w:val="none"/>
        </w:rPr>
      </w:pPr>
      <w:r>
        <w:rPr>
          <w:color w:val="auto"/>
          <w:highlight w:val="none"/>
        </w:rPr>
        <w:t xml:space="preserve">1.1 </w:t>
      </w:r>
      <w:r>
        <w:rPr>
          <w:rFonts w:hint="eastAsia"/>
          <w:color w:val="auto"/>
          <w:highlight w:val="none"/>
        </w:rPr>
        <w:t>招标项目概况</w:t>
      </w:r>
    </w:p>
    <w:p w14:paraId="1EAB803C">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根据《中华人民共和国招标投标法》、《中华人民共和国招标投标法实施条例》等有关法律、法规和规章的规定，本招标项目已具备招标条件，现对检测监测服务进行招标。</w:t>
      </w:r>
    </w:p>
    <w:p w14:paraId="1B4D5C84">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招标人：见投标人须知前附表。</w:t>
      </w:r>
    </w:p>
    <w:p w14:paraId="7FE3BB93">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招标代理机构：见投标人须知前附表。</w:t>
      </w:r>
    </w:p>
    <w:p w14:paraId="12861599">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招标项目名称：见投标人须知前附表。</w:t>
      </w:r>
    </w:p>
    <w:p w14:paraId="5F6DCF7C">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项目建设地点：见投标人须知前附表。</w:t>
      </w:r>
    </w:p>
    <w:p w14:paraId="2C1B69C6">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1.1.6</w:t>
      </w:r>
      <w:r>
        <w:rPr>
          <w:rFonts w:hint="eastAsia" w:ascii="宋体" w:hAnsi="宋体"/>
          <w:color w:val="auto"/>
          <w:szCs w:val="21"/>
          <w:highlight w:val="none"/>
        </w:rPr>
        <w:t>项目建设规模：见投标人须知前附表。</w:t>
      </w:r>
    </w:p>
    <w:p w14:paraId="1A72C3A3">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1.1.7</w:t>
      </w:r>
      <w:r>
        <w:rPr>
          <w:rFonts w:hint="eastAsia" w:ascii="宋体" w:hAnsi="宋体"/>
          <w:color w:val="auto"/>
          <w:szCs w:val="21"/>
          <w:highlight w:val="none"/>
        </w:rPr>
        <w:t>工程项目施工预计开工日期和建设周期：见投标人须知前附表。</w:t>
      </w:r>
    </w:p>
    <w:p w14:paraId="0C5CD087">
      <w:pPr>
        <w:pStyle w:val="27"/>
        <w:spacing w:line="288" w:lineRule="auto"/>
        <w:ind w:firstLineChars="200"/>
        <w:rPr>
          <w:rFonts w:hint="eastAsia" w:ascii="宋体" w:hAnsi="宋体"/>
          <w:color w:val="auto"/>
          <w:szCs w:val="21"/>
          <w:highlight w:val="none"/>
        </w:rPr>
      </w:pPr>
      <w:r>
        <w:rPr>
          <w:rFonts w:ascii="宋体" w:hAnsi="宋体"/>
          <w:color w:val="auto"/>
          <w:szCs w:val="21"/>
          <w:highlight w:val="none"/>
        </w:rPr>
        <w:t>1.1.8</w:t>
      </w: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工程概算：见投标人须知前附表。</w:t>
      </w:r>
    </w:p>
    <w:p w14:paraId="69AF9EB1">
      <w:pPr>
        <w:pStyle w:val="12"/>
        <w:kinsoku w:val="0"/>
        <w:overflowPunct w:val="0"/>
        <w:spacing w:line="288" w:lineRule="auto"/>
        <w:ind w:firstLine="420" w:firstLineChars="200"/>
        <w:rPr>
          <w:rFonts w:hint="eastAsia" w:ascii="宋体" w:hAnsi="宋体"/>
          <w:color w:val="auto"/>
          <w:szCs w:val="21"/>
          <w:highlight w:val="none"/>
        </w:rPr>
      </w:pPr>
    </w:p>
    <w:p w14:paraId="47BE8465">
      <w:pPr>
        <w:pStyle w:val="6"/>
        <w:rPr>
          <w:color w:val="auto"/>
          <w:highlight w:val="none"/>
        </w:rPr>
      </w:pPr>
      <w:r>
        <w:rPr>
          <w:color w:val="auto"/>
          <w:highlight w:val="none"/>
        </w:rPr>
        <w:t xml:space="preserve">1.2 </w:t>
      </w:r>
      <w:r>
        <w:rPr>
          <w:rFonts w:hint="eastAsia"/>
          <w:color w:val="auto"/>
          <w:highlight w:val="none"/>
        </w:rPr>
        <w:t>招标项目的资金来源和落实情况</w:t>
      </w:r>
    </w:p>
    <w:p w14:paraId="58E31C51">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1.2.1</w:t>
      </w:r>
      <w:r>
        <w:rPr>
          <w:rFonts w:hint="eastAsia" w:ascii="宋体" w:hAnsi="宋体"/>
          <w:color w:val="auto"/>
          <w:szCs w:val="21"/>
          <w:highlight w:val="none"/>
        </w:rPr>
        <w:t>资金来源及比例：见投标人须知前附表。</w:t>
      </w:r>
    </w:p>
    <w:p w14:paraId="75AB73BC">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资金落实情况：见投标人须知前附表。</w:t>
      </w:r>
    </w:p>
    <w:p w14:paraId="6673E729">
      <w:pPr>
        <w:pStyle w:val="12"/>
        <w:kinsoku w:val="0"/>
        <w:overflowPunct w:val="0"/>
        <w:spacing w:line="288" w:lineRule="auto"/>
        <w:ind w:firstLine="420" w:firstLineChars="200"/>
        <w:rPr>
          <w:rFonts w:hint="eastAsia" w:ascii="宋体" w:hAnsi="宋体"/>
          <w:color w:val="auto"/>
          <w:szCs w:val="21"/>
          <w:highlight w:val="none"/>
        </w:rPr>
      </w:pPr>
    </w:p>
    <w:p w14:paraId="02F6D1A2">
      <w:pPr>
        <w:pStyle w:val="6"/>
        <w:rPr>
          <w:color w:val="auto"/>
          <w:highlight w:val="none"/>
        </w:rPr>
      </w:pPr>
      <w:r>
        <w:rPr>
          <w:color w:val="auto"/>
          <w:highlight w:val="none"/>
        </w:rPr>
        <w:t xml:space="preserve">1.3 </w:t>
      </w:r>
      <w:r>
        <w:rPr>
          <w:rFonts w:hint="eastAsia"/>
          <w:color w:val="auto"/>
          <w:highlight w:val="none"/>
        </w:rPr>
        <w:t>招标范围、服务期限和质量标准</w:t>
      </w:r>
    </w:p>
    <w:p w14:paraId="627DD9D6">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招标范围：见投标人须知前附表。</w:t>
      </w:r>
    </w:p>
    <w:p w14:paraId="59540CF4">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服务期：见投标人须知前附表。</w:t>
      </w:r>
    </w:p>
    <w:p w14:paraId="751FCB39">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1.3.3</w:t>
      </w:r>
      <w:r>
        <w:rPr>
          <w:rFonts w:hint="eastAsia" w:ascii="宋体" w:hAnsi="宋体"/>
          <w:color w:val="auto"/>
          <w:highlight w:val="none"/>
        </w:rPr>
        <w:t>质量标准</w:t>
      </w:r>
      <w:r>
        <w:rPr>
          <w:rFonts w:hint="eastAsia" w:ascii="宋体" w:hAnsi="宋体"/>
          <w:color w:val="auto"/>
          <w:szCs w:val="21"/>
          <w:highlight w:val="none"/>
        </w:rPr>
        <w:t>：见投标人须知前附表。</w:t>
      </w:r>
    </w:p>
    <w:p w14:paraId="1B6EFB78">
      <w:pPr>
        <w:pStyle w:val="12"/>
        <w:kinsoku w:val="0"/>
        <w:overflowPunct w:val="0"/>
        <w:spacing w:line="288" w:lineRule="auto"/>
        <w:ind w:firstLine="420" w:firstLineChars="200"/>
        <w:rPr>
          <w:rFonts w:hint="eastAsia" w:ascii="宋体" w:hAnsi="宋体"/>
          <w:color w:val="auto"/>
          <w:szCs w:val="21"/>
          <w:highlight w:val="none"/>
        </w:rPr>
      </w:pPr>
    </w:p>
    <w:p w14:paraId="59473113">
      <w:pPr>
        <w:pStyle w:val="6"/>
        <w:rPr>
          <w:color w:val="auto"/>
          <w:highlight w:val="none"/>
        </w:rPr>
      </w:pPr>
      <w:r>
        <w:rPr>
          <w:color w:val="auto"/>
          <w:highlight w:val="none"/>
        </w:rPr>
        <w:t xml:space="preserve">1.4 </w:t>
      </w:r>
      <w:r>
        <w:rPr>
          <w:rFonts w:hint="eastAsia"/>
          <w:color w:val="auto"/>
          <w:highlight w:val="none"/>
        </w:rPr>
        <w:t>投标人资格要求</w:t>
      </w:r>
    </w:p>
    <w:p w14:paraId="72A61C8E">
      <w:pPr>
        <w:pStyle w:val="12"/>
        <w:kinsoku w:val="0"/>
        <w:overflowPunct w:val="0"/>
        <w:spacing w:line="288" w:lineRule="auto"/>
        <w:ind w:firstLine="420" w:firstLineChars="200"/>
        <w:rPr>
          <w:rFonts w:hint="eastAsia" w:ascii="宋体" w:hAnsi="宋体"/>
          <w:color w:val="auto"/>
          <w:szCs w:val="21"/>
          <w:highlight w:val="none"/>
          <w:u w:val="single"/>
        </w:rPr>
      </w:pPr>
      <w:r>
        <w:rPr>
          <w:rFonts w:ascii="宋体" w:hAnsi="宋体"/>
          <w:color w:val="auto"/>
          <w:szCs w:val="21"/>
          <w:highlight w:val="none"/>
        </w:rPr>
        <w:t>1.4.1</w:t>
      </w:r>
      <w:r>
        <w:rPr>
          <w:rFonts w:hint="eastAsia" w:ascii="宋体" w:hAnsi="宋体"/>
          <w:color w:val="auto"/>
          <w:szCs w:val="21"/>
          <w:highlight w:val="none"/>
        </w:rPr>
        <w:t>投标人应具备承担本招标项目</w:t>
      </w:r>
      <w:r>
        <w:rPr>
          <w:rFonts w:hint="eastAsia" w:ascii="宋体" w:hAnsi="宋体"/>
          <w:color w:val="auto"/>
          <w:szCs w:val="21"/>
          <w:highlight w:val="none"/>
          <w:lang w:eastAsia="zh-CN"/>
        </w:rPr>
        <w:t>的</w:t>
      </w:r>
      <w:r>
        <w:rPr>
          <w:rFonts w:hint="eastAsia" w:ascii="宋体" w:hAnsi="宋体"/>
          <w:color w:val="auto"/>
          <w:szCs w:val="21"/>
          <w:highlight w:val="none"/>
        </w:rPr>
        <w:t>资质条件、能力和信誉：</w:t>
      </w:r>
      <w:r>
        <w:rPr>
          <w:rFonts w:hint="eastAsia" w:ascii="宋体" w:hAnsi="宋体"/>
          <w:color w:val="auto"/>
          <w:szCs w:val="21"/>
          <w:highlight w:val="none"/>
          <w:u w:val="single"/>
        </w:rPr>
        <w:t>详见招标公告。</w:t>
      </w:r>
    </w:p>
    <w:p w14:paraId="4BBD6D95">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投标人须知前附表规定接受联合体投标的，联合体除应符合本章第</w:t>
      </w:r>
      <w:r>
        <w:rPr>
          <w:rFonts w:ascii="宋体" w:hAnsi="宋体"/>
          <w:color w:val="auto"/>
          <w:szCs w:val="21"/>
          <w:highlight w:val="none"/>
        </w:rPr>
        <w:t>1.4.</w:t>
      </w:r>
      <w:r>
        <w:rPr>
          <w:rFonts w:hint="eastAsia" w:ascii="宋体" w:hAnsi="宋体"/>
          <w:color w:val="auto"/>
          <w:szCs w:val="21"/>
          <w:highlight w:val="none"/>
        </w:rPr>
        <w:t>2项和投标人须知前附表的要求外，还应遵守以下规定：</w:t>
      </w:r>
    </w:p>
    <w:p w14:paraId="03268BFE">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14:paraId="34C97731">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）联合体各方不得再以自己名义单独或参加其他联合体在本招标项目中投标，否则各相关投标均无效。</w:t>
      </w:r>
    </w:p>
    <w:p w14:paraId="55EBD90A">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投标人不得存在下列情形之一：</w:t>
      </w:r>
    </w:p>
    <w:p w14:paraId="32655E43">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399B5414">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3718FD94">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5E16D1C7">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0BFA9C1E">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（5）为本招标项目的代建人；</w:t>
      </w:r>
    </w:p>
    <w:p w14:paraId="6A985FEB">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（6）为本招标项目的招标代理机构；</w:t>
      </w:r>
    </w:p>
    <w:p w14:paraId="7922C0B2">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0435FE8E">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72795773">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39D59978">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（10）被依法暂停或者取消投标资格；</w:t>
      </w:r>
    </w:p>
    <w:p w14:paraId="0714E412">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（11）被责令停产停业、暂扣或者吊销许可证、暂扣或者吊销执照；</w:t>
      </w:r>
    </w:p>
    <w:p w14:paraId="77801BB2">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14:paraId="1F3782C5">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（13）在最近三年内发生重大检测质量问题（以相关行业主管部门的行政处罚决定或司法机关出具的有关法律文书为准）；</w:t>
      </w:r>
    </w:p>
    <w:p w14:paraId="46C6D6B5">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（14）被工商行政管理机关在</w:t>
      </w:r>
      <w:r>
        <w:rPr>
          <w:rFonts w:hint="eastAsia" w:ascii="宋体" w:hAnsi="宋体"/>
          <w:color w:val="auto"/>
          <w:szCs w:val="21"/>
          <w:highlight w:val="none"/>
          <w:lang w:eastAsia="zh-CN"/>
        </w:rPr>
        <w:t>在国家企业信用信息公示系</w:t>
      </w:r>
      <w:r>
        <w:rPr>
          <w:rFonts w:hint="eastAsia" w:ascii="宋体" w:hAnsi="宋体"/>
          <w:color w:val="auto"/>
          <w:szCs w:val="21"/>
          <w:highlight w:val="none"/>
        </w:rPr>
        <w:t>中列入严重违法失信企业名单；</w:t>
      </w:r>
    </w:p>
    <w:p w14:paraId="52C1BEAF">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（15）被最高人民法院在“信用中国”网站（www.creditchina.gov.cn）或各级信用信息共享平台中列入失信被执行人名单；</w:t>
      </w:r>
    </w:p>
    <w:p w14:paraId="17CB3FD5">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（16）法律法规或投标人须知前附表规定的其他情形。</w:t>
      </w:r>
    </w:p>
    <w:p w14:paraId="4C7E3F58">
      <w:pPr>
        <w:pStyle w:val="6"/>
        <w:rPr>
          <w:color w:val="auto"/>
          <w:highlight w:val="none"/>
        </w:rPr>
      </w:pPr>
      <w:r>
        <w:rPr>
          <w:color w:val="auto"/>
          <w:highlight w:val="none"/>
        </w:rPr>
        <w:t xml:space="preserve">1.5 </w:t>
      </w:r>
      <w:r>
        <w:rPr>
          <w:rFonts w:hint="eastAsia"/>
          <w:color w:val="auto"/>
          <w:highlight w:val="none"/>
        </w:rPr>
        <w:t>费用承担</w:t>
      </w:r>
    </w:p>
    <w:p w14:paraId="76CAADCA">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投标人准备和参加投标活动发生的费用自理。</w:t>
      </w:r>
    </w:p>
    <w:p w14:paraId="416A9742">
      <w:pPr>
        <w:pStyle w:val="12"/>
        <w:kinsoku w:val="0"/>
        <w:overflowPunct w:val="0"/>
        <w:spacing w:line="288" w:lineRule="auto"/>
        <w:ind w:firstLine="420" w:firstLineChars="200"/>
        <w:rPr>
          <w:rFonts w:hint="eastAsia" w:ascii="宋体" w:hAnsi="宋体"/>
          <w:color w:val="auto"/>
          <w:szCs w:val="21"/>
          <w:highlight w:val="none"/>
        </w:rPr>
      </w:pPr>
    </w:p>
    <w:p w14:paraId="216354FE">
      <w:pPr>
        <w:pStyle w:val="6"/>
        <w:rPr>
          <w:color w:val="auto"/>
          <w:highlight w:val="none"/>
        </w:rPr>
      </w:pPr>
      <w:bookmarkStart w:id="56" w:name="bookmark26"/>
      <w:bookmarkEnd w:id="56"/>
      <w:r>
        <w:rPr>
          <w:color w:val="auto"/>
          <w:highlight w:val="none"/>
        </w:rPr>
        <w:t xml:space="preserve">1.6 </w:t>
      </w:r>
      <w:r>
        <w:rPr>
          <w:rFonts w:hint="eastAsia"/>
          <w:color w:val="auto"/>
          <w:highlight w:val="none"/>
        </w:rPr>
        <w:t>保密</w:t>
      </w:r>
    </w:p>
    <w:p w14:paraId="62C97252">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14:paraId="29B6C7AE">
      <w:pPr>
        <w:pStyle w:val="12"/>
        <w:kinsoku w:val="0"/>
        <w:overflowPunct w:val="0"/>
        <w:spacing w:line="288" w:lineRule="auto"/>
        <w:ind w:firstLine="420" w:firstLineChars="200"/>
        <w:rPr>
          <w:rFonts w:hint="eastAsia" w:ascii="宋体" w:hAnsi="宋体"/>
          <w:color w:val="auto"/>
          <w:szCs w:val="21"/>
          <w:highlight w:val="none"/>
        </w:rPr>
      </w:pPr>
    </w:p>
    <w:p w14:paraId="378920D1">
      <w:pPr>
        <w:pStyle w:val="6"/>
        <w:rPr>
          <w:color w:val="auto"/>
          <w:highlight w:val="none"/>
        </w:rPr>
      </w:pPr>
      <w:bookmarkStart w:id="57" w:name="bookmark27"/>
      <w:bookmarkEnd w:id="57"/>
      <w:r>
        <w:rPr>
          <w:color w:val="auto"/>
          <w:highlight w:val="none"/>
        </w:rPr>
        <w:t xml:space="preserve">1.7 </w:t>
      </w:r>
      <w:r>
        <w:rPr>
          <w:rFonts w:hint="eastAsia"/>
          <w:color w:val="auto"/>
          <w:highlight w:val="none"/>
        </w:rPr>
        <w:t>语言文字</w:t>
      </w:r>
    </w:p>
    <w:p w14:paraId="6A4BE1F2">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14:paraId="2AAB4AF2">
      <w:pPr>
        <w:pStyle w:val="12"/>
        <w:kinsoku w:val="0"/>
        <w:overflowPunct w:val="0"/>
        <w:spacing w:line="288" w:lineRule="auto"/>
        <w:ind w:firstLine="420" w:firstLineChars="200"/>
        <w:rPr>
          <w:rFonts w:hint="eastAsia" w:ascii="宋体" w:hAnsi="宋体"/>
          <w:color w:val="auto"/>
          <w:szCs w:val="21"/>
          <w:highlight w:val="none"/>
        </w:rPr>
      </w:pPr>
    </w:p>
    <w:p w14:paraId="55A34148">
      <w:pPr>
        <w:pStyle w:val="6"/>
        <w:rPr>
          <w:color w:val="auto"/>
          <w:highlight w:val="none"/>
        </w:rPr>
      </w:pPr>
      <w:bookmarkStart w:id="58" w:name="bookmark28"/>
      <w:bookmarkEnd w:id="58"/>
      <w:r>
        <w:rPr>
          <w:color w:val="auto"/>
          <w:highlight w:val="none"/>
        </w:rPr>
        <w:t xml:space="preserve">1.8 </w:t>
      </w:r>
      <w:r>
        <w:rPr>
          <w:rFonts w:hint="eastAsia"/>
          <w:color w:val="auto"/>
          <w:highlight w:val="none"/>
        </w:rPr>
        <w:t>计量单位</w:t>
      </w:r>
    </w:p>
    <w:p w14:paraId="35084985">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所有计量均采用中华人民共和国法定计量单位。</w:t>
      </w:r>
    </w:p>
    <w:p w14:paraId="1F00A072">
      <w:pPr>
        <w:pStyle w:val="12"/>
        <w:kinsoku w:val="0"/>
        <w:overflowPunct w:val="0"/>
        <w:spacing w:line="288" w:lineRule="auto"/>
        <w:ind w:firstLine="420" w:firstLineChars="200"/>
        <w:rPr>
          <w:rFonts w:hint="eastAsia" w:ascii="宋体" w:hAnsi="宋体"/>
          <w:color w:val="auto"/>
          <w:szCs w:val="21"/>
          <w:highlight w:val="none"/>
        </w:rPr>
      </w:pPr>
    </w:p>
    <w:p w14:paraId="6C060981">
      <w:pPr>
        <w:pStyle w:val="6"/>
        <w:rPr>
          <w:color w:val="auto"/>
          <w:highlight w:val="none"/>
        </w:rPr>
      </w:pPr>
      <w:bookmarkStart w:id="59" w:name="bookmark29"/>
      <w:bookmarkEnd w:id="59"/>
      <w:r>
        <w:rPr>
          <w:color w:val="auto"/>
          <w:highlight w:val="none"/>
        </w:rPr>
        <w:t xml:space="preserve">1.9 </w:t>
      </w:r>
      <w:r>
        <w:rPr>
          <w:rFonts w:hint="eastAsia"/>
          <w:color w:val="auto"/>
          <w:highlight w:val="none"/>
        </w:rPr>
        <w:t>踏勘现场</w:t>
      </w:r>
    </w:p>
    <w:p w14:paraId="3CD69C0F">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3AA00169">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投标人踏勘现场发生的费用自理。</w:t>
      </w:r>
    </w:p>
    <w:p w14:paraId="352FD0AA">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1.9.3</w:t>
      </w:r>
      <w:r>
        <w:rPr>
          <w:rFonts w:hint="eastAsia" w:ascii="宋体" w:hAnsi="宋体"/>
          <w:color w:val="auto"/>
          <w:szCs w:val="21"/>
          <w:highlight w:val="none"/>
        </w:rPr>
        <w:t>除招标人的原因外，投标人自行负责在踏勘现场中所发生的人员伤亡和财产损失。</w:t>
      </w:r>
    </w:p>
    <w:p w14:paraId="52845A96">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1.9.4</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14:paraId="706C160E">
      <w:pPr>
        <w:pStyle w:val="12"/>
        <w:kinsoku w:val="0"/>
        <w:overflowPunct w:val="0"/>
        <w:spacing w:line="288" w:lineRule="auto"/>
        <w:ind w:firstLine="420" w:firstLineChars="200"/>
        <w:rPr>
          <w:rFonts w:hint="eastAsia" w:ascii="宋体" w:hAnsi="宋体"/>
          <w:color w:val="auto"/>
          <w:szCs w:val="21"/>
          <w:highlight w:val="none"/>
        </w:rPr>
      </w:pPr>
    </w:p>
    <w:p w14:paraId="5278FB12">
      <w:pPr>
        <w:pStyle w:val="6"/>
        <w:rPr>
          <w:color w:val="auto"/>
          <w:highlight w:val="none"/>
        </w:rPr>
      </w:pPr>
      <w:bookmarkStart w:id="60" w:name="bookmark30"/>
      <w:bookmarkEnd w:id="60"/>
      <w:r>
        <w:rPr>
          <w:color w:val="auto"/>
          <w:highlight w:val="none"/>
        </w:rPr>
        <w:t xml:space="preserve">1.10 </w:t>
      </w:r>
      <w:r>
        <w:rPr>
          <w:rFonts w:hint="eastAsia"/>
          <w:color w:val="auto"/>
          <w:highlight w:val="none"/>
        </w:rPr>
        <w:t>投标预备会</w:t>
      </w:r>
    </w:p>
    <w:p w14:paraId="4BCA6574">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1.10.1</w:t>
      </w:r>
      <w:r>
        <w:rPr>
          <w:rFonts w:hint="eastAsia" w:ascii="宋体" w:hAnsi="宋体"/>
          <w:color w:val="auto"/>
          <w:szCs w:val="21"/>
          <w:highlight w:val="none"/>
        </w:rPr>
        <w:t>投标人须知前附表规定召开投标预备会的，招标人按投标人须知前附表规定的时间和地点召开投标预备会，澄清投标人提出的问题。</w:t>
      </w:r>
    </w:p>
    <w:p w14:paraId="3890E1F0">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1.10.2</w:t>
      </w:r>
      <w:r>
        <w:rPr>
          <w:rFonts w:hint="eastAsia" w:ascii="宋体" w:hAnsi="宋体"/>
          <w:color w:val="auto"/>
          <w:szCs w:val="21"/>
          <w:highlight w:val="none"/>
        </w:rPr>
        <w:t>投标人应按投标人须知前附表规定的时间和形式将提出的问题送达招标人，以便招标人在会议期间澄清。</w:t>
      </w:r>
    </w:p>
    <w:p w14:paraId="6A6FB3E5">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1.10.3</w:t>
      </w:r>
      <w:r>
        <w:rPr>
          <w:rFonts w:hint="eastAsia" w:ascii="宋体" w:hAnsi="宋体"/>
          <w:color w:val="auto"/>
          <w:szCs w:val="21"/>
          <w:highlight w:val="none"/>
        </w:rPr>
        <w:t>投标预备会后，招标人将对投标人所提问题的澄清，以投标人须知前附表规定的形式通知所有潜在投标人。该澄清内容为招标文件的组成部分。</w:t>
      </w:r>
      <w:bookmarkStart w:id="61" w:name="bookmark31"/>
      <w:bookmarkEnd w:id="61"/>
    </w:p>
    <w:p w14:paraId="631CC916">
      <w:pPr>
        <w:pStyle w:val="12"/>
        <w:kinsoku w:val="0"/>
        <w:overflowPunct w:val="0"/>
        <w:spacing w:line="288" w:lineRule="auto"/>
        <w:ind w:firstLine="420" w:firstLineChars="200"/>
        <w:rPr>
          <w:rFonts w:hint="eastAsia" w:ascii="宋体" w:hAnsi="宋体"/>
          <w:color w:val="auto"/>
          <w:szCs w:val="21"/>
          <w:highlight w:val="none"/>
        </w:rPr>
      </w:pPr>
    </w:p>
    <w:p w14:paraId="264434FA">
      <w:pPr>
        <w:pStyle w:val="6"/>
        <w:rPr>
          <w:color w:val="auto"/>
          <w:highlight w:val="none"/>
        </w:rPr>
      </w:pPr>
      <w:r>
        <w:rPr>
          <w:color w:val="auto"/>
          <w:highlight w:val="none"/>
        </w:rPr>
        <w:t xml:space="preserve">1.11 </w:t>
      </w:r>
      <w:r>
        <w:rPr>
          <w:rFonts w:hint="eastAsia"/>
          <w:color w:val="auto"/>
          <w:highlight w:val="none"/>
        </w:rPr>
        <w:t>分包</w:t>
      </w:r>
    </w:p>
    <w:p w14:paraId="01F5C3E2">
      <w:pPr>
        <w:pStyle w:val="12"/>
        <w:kinsoku w:val="0"/>
        <w:overflowPunct w:val="0"/>
        <w:spacing w:line="288"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1.11.1对于非主要检测或监测工作，中标人不具备资质的，经招标人同意后可依法分包给具备相关资质的检测或监测单位，分包的检测或监测工作不得再次分包，且中标人与分包的检测或监测单位应对该检测或监测结果向招标人承担连带责任。具体约定按合同相应条款执行。</w:t>
      </w:r>
    </w:p>
    <w:p w14:paraId="115457E8">
      <w:pPr>
        <w:pStyle w:val="6"/>
        <w:rPr>
          <w:color w:val="auto"/>
          <w:highlight w:val="none"/>
        </w:rPr>
      </w:pPr>
      <w:bookmarkStart w:id="62" w:name="bookmark32"/>
      <w:bookmarkEnd w:id="62"/>
      <w:r>
        <w:rPr>
          <w:color w:val="auto"/>
          <w:highlight w:val="none"/>
        </w:rPr>
        <w:t xml:space="preserve">1.12 </w:t>
      </w:r>
      <w:r>
        <w:rPr>
          <w:rFonts w:hint="eastAsia"/>
          <w:color w:val="auto"/>
          <w:highlight w:val="none"/>
        </w:rPr>
        <w:t>响应和偏差</w:t>
      </w:r>
    </w:p>
    <w:p w14:paraId="30DDB07A">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投标文件应当对招标文件的实质性要求和条件作出满足性或更有利于招标人的响应，否则，投标人的投标将被否决。实质性要求和条件见投标人须知前附表。</w:t>
      </w:r>
    </w:p>
    <w:p w14:paraId="4FE78D47">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1.12.2</w:t>
      </w:r>
      <w:r>
        <w:rPr>
          <w:rFonts w:hint="eastAsia" w:ascii="宋体" w:hAnsi="宋体"/>
          <w:color w:val="auto"/>
          <w:szCs w:val="21"/>
          <w:highlight w:val="none"/>
        </w:rPr>
        <w:t>投标人应根据招标文件的要求提供技术方案等内容以对招标文件作出响应。</w:t>
      </w:r>
    </w:p>
    <w:p w14:paraId="7CA164B9">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投标人须知前附表允许投标文件偏离招标文件某些要求的，偏差应当符合招标文件规定的偏差范围和幅度。</w:t>
      </w:r>
    </w:p>
    <w:p w14:paraId="497723B0">
      <w:pPr>
        <w:pStyle w:val="4"/>
        <w:rPr>
          <w:rFonts w:hint="eastAsia"/>
          <w:color w:val="auto"/>
          <w:highlight w:val="none"/>
        </w:rPr>
      </w:pPr>
      <w:bookmarkStart w:id="63" w:name="_Toc14708"/>
      <w:bookmarkStart w:id="64" w:name="_Toc18455"/>
      <w:bookmarkStart w:id="65" w:name="_Toc533357309"/>
      <w:bookmarkStart w:id="66" w:name="_Toc10251"/>
      <w:bookmarkStart w:id="67" w:name="_Toc17570"/>
      <w:r>
        <w:rPr>
          <w:color w:val="auto"/>
          <w:highlight w:val="none"/>
        </w:rPr>
        <w:t xml:space="preserve">2. </w:t>
      </w:r>
      <w:r>
        <w:rPr>
          <w:rFonts w:hint="eastAsia"/>
          <w:color w:val="auto"/>
          <w:highlight w:val="none"/>
        </w:rPr>
        <w:t>招标文件</w:t>
      </w:r>
      <w:bookmarkEnd w:id="63"/>
      <w:bookmarkEnd w:id="64"/>
      <w:bookmarkEnd w:id="65"/>
      <w:bookmarkEnd w:id="66"/>
      <w:bookmarkEnd w:id="67"/>
    </w:p>
    <w:p w14:paraId="60754C12">
      <w:pPr>
        <w:pStyle w:val="6"/>
        <w:rPr>
          <w:color w:val="auto"/>
          <w:highlight w:val="none"/>
        </w:rPr>
      </w:pPr>
      <w:bookmarkStart w:id="68" w:name="bookmark34"/>
      <w:bookmarkEnd w:id="68"/>
      <w:r>
        <w:rPr>
          <w:color w:val="auto"/>
          <w:highlight w:val="none"/>
        </w:rPr>
        <w:t xml:space="preserve">2.1 </w:t>
      </w:r>
      <w:r>
        <w:rPr>
          <w:rFonts w:hint="eastAsia"/>
          <w:color w:val="auto"/>
          <w:highlight w:val="none"/>
        </w:rPr>
        <w:t>招标文件的组成</w:t>
      </w:r>
    </w:p>
    <w:p w14:paraId="298D3C02">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本招标文件包括：</w:t>
      </w:r>
    </w:p>
    <w:p w14:paraId="19D581BA">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14:paraId="2820FBA7">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14:paraId="3F2B8225">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14:paraId="0C4F41EA">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14:paraId="117B6EC1">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）委托人要求；</w:t>
      </w:r>
    </w:p>
    <w:p w14:paraId="5572C33D">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14:paraId="5273B9D8">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）投标人须知前附表规定的其他资料。</w:t>
      </w:r>
    </w:p>
    <w:p w14:paraId="572996EA">
      <w:pPr>
        <w:pStyle w:val="12"/>
        <w:kinsoku w:val="0"/>
        <w:overflowPunct w:val="0"/>
        <w:spacing w:line="288" w:lineRule="auto"/>
        <w:rPr>
          <w:rFonts w:hint="eastAsia" w:ascii="宋体" w:hAnsi="宋体"/>
          <w:color w:val="auto"/>
          <w:szCs w:val="21"/>
          <w:highlight w:val="none"/>
        </w:rPr>
      </w:pPr>
      <w:r>
        <w:rPr>
          <w:rFonts w:hint="eastAsia" w:ascii="宋体" w:hAnsi="宋体"/>
          <w:color w:val="auto"/>
          <w:szCs w:val="21"/>
          <w:highlight w:val="none"/>
        </w:rPr>
        <w:t>根据本章第</w:t>
      </w:r>
      <w:r>
        <w:rPr>
          <w:rFonts w:ascii="宋体" w:hAnsi="宋体"/>
          <w:color w:val="auto"/>
          <w:szCs w:val="21"/>
          <w:highlight w:val="none"/>
        </w:rPr>
        <w:t>1.10</w:t>
      </w:r>
      <w:r>
        <w:rPr>
          <w:rFonts w:hint="eastAsia" w:ascii="宋体" w:hAnsi="宋体"/>
          <w:color w:val="auto"/>
          <w:szCs w:val="21"/>
          <w:highlight w:val="none"/>
        </w:rPr>
        <w:t>款、第</w:t>
      </w:r>
      <w:r>
        <w:rPr>
          <w:rFonts w:ascii="宋体" w:hAnsi="宋体"/>
          <w:color w:val="auto"/>
          <w:szCs w:val="21"/>
          <w:highlight w:val="none"/>
        </w:rPr>
        <w:t>2.2</w:t>
      </w:r>
      <w:r>
        <w:rPr>
          <w:rFonts w:hint="eastAsia" w:ascii="宋体" w:hAnsi="宋体"/>
          <w:color w:val="auto"/>
          <w:szCs w:val="21"/>
          <w:highlight w:val="none"/>
        </w:rPr>
        <w:t>款和第</w:t>
      </w:r>
      <w:r>
        <w:rPr>
          <w:rFonts w:ascii="宋体" w:hAnsi="宋体"/>
          <w:color w:val="auto"/>
          <w:szCs w:val="21"/>
          <w:highlight w:val="none"/>
        </w:rPr>
        <w:t>2.3</w:t>
      </w:r>
      <w:r>
        <w:rPr>
          <w:rFonts w:hint="eastAsia" w:ascii="宋体" w:hAnsi="宋体"/>
          <w:color w:val="auto"/>
          <w:szCs w:val="21"/>
          <w:highlight w:val="none"/>
        </w:rPr>
        <w:t>款对招标文件所作的澄清、修改，构成招标文件的组成部分。</w:t>
      </w:r>
    </w:p>
    <w:p w14:paraId="31B5A21B">
      <w:pPr>
        <w:pStyle w:val="6"/>
        <w:rPr>
          <w:color w:val="auto"/>
          <w:highlight w:val="none"/>
        </w:rPr>
      </w:pPr>
      <w:bookmarkStart w:id="69" w:name="bookmark35"/>
      <w:bookmarkEnd w:id="69"/>
      <w:r>
        <w:rPr>
          <w:color w:val="auto"/>
          <w:highlight w:val="none"/>
        </w:rPr>
        <w:t xml:space="preserve">2.2 </w:t>
      </w:r>
      <w:r>
        <w:rPr>
          <w:rFonts w:hint="eastAsia"/>
          <w:color w:val="auto"/>
          <w:highlight w:val="none"/>
        </w:rPr>
        <w:t>招标文件的澄清</w:t>
      </w:r>
    </w:p>
    <w:p w14:paraId="69AEAFB4">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F30E9CF">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招标文件的澄清以投标人须知前附表规定的形式发给所有潜在投标人，但不指明澄清问题的来源。澄清发出的时间距本章第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日的，并且澄清内容可能影响投标文件编制的，将相应延长投标截止时间。</w:t>
      </w:r>
    </w:p>
    <w:p w14:paraId="4509E558">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2.2.3 </w:t>
      </w:r>
      <w:r>
        <w:rPr>
          <w:rFonts w:hint="eastAsia" w:ascii="宋体" w:hAnsi="宋体"/>
          <w:color w:val="auto"/>
          <w:szCs w:val="21"/>
          <w:highlight w:val="none"/>
        </w:rPr>
        <w:t>投标人在收到澄清后，应按投标人须知前附表规定的时间和形式通知</w:t>
      </w:r>
      <w:r>
        <w:rPr>
          <w:rFonts w:hint="eastAsia" w:ascii="宋体" w:hAnsi="宋体"/>
          <w:color w:val="auto"/>
          <w:sz w:val="24"/>
          <w:szCs w:val="24"/>
          <w:highlight w:val="none"/>
        </w:rPr>
        <w:t>招标人，</w:t>
      </w:r>
      <w:r>
        <w:rPr>
          <w:rFonts w:hint="eastAsia" w:ascii="宋体" w:hAnsi="宋体"/>
          <w:color w:val="auto"/>
          <w:szCs w:val="21"/>
          <w:highlight w:val="none"/>
        </w:rPr>
        <w:t>确认已收到该澄清。</w:t>
      </w:r>
    </w:p>
    <w:p w14:paraId="03E10A6B">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除非招标人认为确有必要答复，否则，招标人有权拒绝回复投标人在本章第</w:t>
      </w:r>
      <w:r>
        <w:rPr>
          <w:rFonts w:ascii="宋体" w:hAnsi="宋体"/>
          <w:color w:val="auto"/>
          <w:szCs w:val="21"/>
          <w:highlight w:val="none"/>
        </w:rPr>
        <w:t>2.2.1</w:t>
      </w:r>
      <w:r>
        <w:rPr>
          <w:rFonts w:hint="eastAsia" w:ascii="宋体" w:hAnsi="宋体"/>
          <w:color w:val="auto"/>
          <w:szCs w:val="21"/>
          <w:highlight w:val="none"/>
        </w:rPr>
        <w:t>项规定的时间后的任何澄清要求。</w:t>
      </w:r>
    </w:p>
    <w:p w14:paraId="6CA8B3E1">
      <w:pPr>
        <w:pStyle w:val="12"/>
        <w:kinsoku w:val="0"/>
        <w:overflowPunct w:val="0"/>
        <w:spacing w:line="288" w:lineRule="auto"/>
        <w:ind w:firstLine="420" w:firstLineChars="200"/>
        <w:rPr>
          <w:rFonts w:hint="eastAsia" w:ascii="宋体" w:hAnsi="宋体"/>
          <w:color w:val="auto"/>
          <w:szCs w:val="21"/>
          <w:highlight w:val="none"/>
        </w:rPr>
      </w:pPr>
    </w:p>
    <w:p w14:paraId="76452250">
      <w:pPr>
        <w:pStyle w:val="6"/>
        <w:rPr>
          <w:color w:val="auto"/>
          <w:highlight w:val="none"/>
        </w:rPr>
      </w:pPr>
      <w:bookmarkStart w:id="70" w:name="bookmark36"/>
      <w:bookmarkEnd w:id="70"/>
      <w:r>
        <w:rPr>
          <w:color w:val="auto"/>
          <w:highlight w:val="none"/>
        </w:rPr>
        <w:t xml:space="preserve">2.3 </w:t>
      </w:r>
      <w:r>
        <w:rPr>
          <w:rFonts w:hint="eastAsia"/>
          <w:color w:val="auto"/>
          <w:highlight w:val="none"/>
        </w:rPr>
        <w:t>招标文件的修改</w:t>
      </w:r>
    </w:p>
    <w:p w14:paraId="711D8349">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招标人以投标人须知前附表规定的形式修改招标文件，并通知所有潜在投标人。修改招标文件的时间距本章第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日的，并且修改内容可能影响投标文件编制的，将相应延长投标截止时间。</w:t>
      </w:r>
    </w:p>
    <w:p w14:paraId="5EBEA237">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投标人收到修改内容后，应按投标人须知前附表规定的时间和形式通知招标人，确认已收到该修改。</w:t>
      </w:r>
    </w:p>
    <w:p w14:paraId="0FAABECE">
      <w:pPr>
        <w:pStyle w:val="12"/>
        <w:kinsoku w:val="0"/>
        <w:overflowPunct w:val="0"/>
        <w:spacing w:line="288" w:lineRule="auto"/>
        <w:ind w:firstLine="420" w:firstLineChars="200"/>
        <w:rPr>
          <w:rFonts w:hint="eastAsia" w:ascii="宋体" w:hAnsi="宋体"/>
          <w:color w:val="auto"/>
          <w:szCs w:val="21"/>
          <w:highlight w:val="none"/>
        </w:rPr>
      </w:pPr>
    </w:p>
    <w:p w14:paraId="7475D4B4">
      <w:pPr>
        <w:pStyle w:val="6"/>
        <w:rPr>
          <w:color w:val="auto"/>
          <w:highlight w:val="none"/>
        </w:rPr>
      </w:pPr>
      <w:bookmarkStart w:id="71" w:name="bookmark37"/>
      <w:bookmarkEnd w:id="71"/>
      <w:r>
        <w:rPr>
          <w:color w:val="auto"/>
          <w:highlight w:val="none"/>
        </w:rPr>
        <w:t xml:space="preserve">2.4 </w:t>
      </w:r>
      <w:r>
        <w:rPr>
          <w:rFonts w:hint="eastAsia"/>
          <w:color w:val="auto"/>
          <w:highlight w:val="none"/>
        </w:rPr>
        <w:t>招标文件的异议</w:t>
      </w:r>
    </w:p>
    <w:p w14:paraId="1E98E1E6">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日前以书面形式提出。招标人将在收到异议之日起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158558A2">
      <w:pPr>
        <w:pStyle w:val="12"/>
        <w:kinsoku w:val="0"/>
        <w:overflowPunct w:val="0"/>
        <w:spacing w:line="288" w:lineRule="auto"/>
        <w:ind w:firstLine="420" w:firstLineChars="200"/>
        <w:rPr>
          <w:rFonts w:hint="eastAsia" w:ascii="宋体" w:hAnsi="宋体"/>
          <w:color w:val="auto"/>
          <w:szCs w:val="21"/>
          <w:highlight w:val="none"/>
        </w:rPr>
      </w:pPr>
    </w:p>
    <w:p w14:paraId="091B54D7">
      <w:pPr>
        <w:pStyle w:val="4"/>
        <w:rPr>
          <w:rFonts w:hint="eastAsia"/>
          <w:color w:val="auto"/>
          <w:highlight w:val="none"/>
        </w:rPr>
      </w:pPr>
      <w:bookmarkStart w:id="72" w:name="_Toc7990"/>
      <w:bookmarkStart w:id="73" w:name="_Toc14467"/>
      <w:bookmarkStart w:id="74" w:name="_Toc533357310"/>
      <w:bookmarkStart w:id="75" w:name="_Toc32364"/>
      <w:bookmarkStart w:id="76" w:name="_Toc12848"/>
      <w:r>
        <w:rPr>
          <w:color w:val="auto"/>
          <w:highlight w:val="none"/>
        </w:rPr>
        <w:t xml:space="preserve">3. </w:t>
      </w:r>
      <w:r>
        <w:rPr>
          <w:rFonts w:hint="eastAsia"/>
          <w:color w:val="auto"/>
          <w:highlight w:val="none"/>
        </w:rPr>
        <w:t>投标文件</w:t>
      </w:r>
      <w:bookmarkEnd w:id="72"/>
      <w:bookmarkEnd w:id="73"/>
      <w:bookmarkEnd w:id="74"/>
      <w:bookmarkEnd w:id="75"/>
      <w:bookmarkEnd w:id="76"/>
    </w:p>
    <w:p w14:paraId="4B0DEB34">
      <w:pPr>
        <w:pStyle w:val="6"/>
        <w:ind w:firstLine="420"/>
        <w:rPr>
          <w:color w:val="auto"/>
          <w:highlight w:val="none"/>
        </w:rPr>
      </w:pPr>
      <w:bookmarkStart w:id="77" w:name="bookmark39"/>
      <w:bookmarkEnd w:id="77"/>
      <w:r>
        <w:rPr>
          <w:color w:val="auto"/>
          <w:highlight w:val="none"/>
        </w:rPr>
        <w:t xml:space="preserve">3.1 </w:t>
      </w:r>
      <w:r>
        <w:rPr>
          <w:rFonts w:hint="eastAsia"/>
          <w:color w:val="auto"/>
          <w:highlight w:val="none"/>
        </w:rPr>
        <w:t>投标文件的组成</w:t>
      </w:r>
    </w:p>
    <w:p w14:paraId="49385331">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投标文件应包括下列内容：</w:t>
      </w:r>
    </w:p>
    <w:p w14:paraId="210B4C7B">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（1）投标函及其附表；</w:t>
      </w:r>
    </w:p>
    <w:p w14:paraId="754E1325">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（2）法定代表人证明书及授权委托书；</w:t>
      </w:r>
    </w:p>
    <w:p w14:paraId="18D3C04F">
      <w:pPr>
        <w:pStyle w:val="12"/>
        <w:kinsoku w:val="0"/>
        <w:overflowPunct w:val="0"/>
        <w:spacing w:line="288" w:lineRule="auto"/>
        <w:ind w:firstLine="420" w:firstLineChars="200"/>
        <w:rPr>
          <w:rFonts w:hint="eastAsia" w:ascii="宋体" w:hAnsi="宋体" w:cs="宋体"/>
          <w:color w:val="auto"/>
          <w:highlight w:val="none"/>
        </w:rPr>
      </w:pPr>
      <w:r>
        <w:rPr>
          <w:rFonts w:hint="eastAsia" w:ascii="宋体" w:hAnsi="宋体"/>
          <w:color w:val="auto"/>
          <w:szCs w:val="21"/>
          <w:highlight w:val="none"/>
        </w:rPr>
        <w:t>（3）</w:t>
      </w:r>
      <w:r>
        <w:rPr>
          <w:rFonts w:hint="eastAsia" w:ascii="宋体" w:hAnsi="宋体" w:cs="宋体"/>
          <w:color w:val="auto"/>
          <w:highlight w:val="none"/>
        </w:rPr>
        <w:t>联合体协议书；</w:t>
      </w:r>
    </w:p>
    <w:p w14:paraId="7345B7A4">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s="宋体"/>
          <w:color w:val="auto"/>
          <w:highlight w:val="none"/>
        </w:rPr>
        <w:t>（4）</w:t>
      </w:r>
      <w:r>
        <w:rPr>
          <w:rFonts w:hint="eastAsia" w:ascii="宋体" w:hAnsi="宋体"/>
          <w:color w:val="auto"/>
          <w:szCs w:val="21"/>
          <w:highlight w:val="none"/>
        </w:rPr>
        <w:t>投标保证金；</w:t>
      </w:r>
    </w:p>
    <w:p w14:paraId="257D833C">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（5）投标报价书；</w:t>
      </w:r>
    </w:p>
    <w:p w14:paraId="6C4C957C">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（6）资格审查资料；</w:t>
      </w:r>
    </w:p>
    <w:p w14:paraId="5298ACF4">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（7）类似项目情况表；</w:t>
      </w:r>
    </w:p>
    <w:p w14:paraId="0076A68A">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（8）拟投入本项目的人员一览表；</w:t>
      </w:r>
    </w:p>
    <w:p w14:paraId="6D07582E">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（9）拟投入本项目的人员简历表；</w:t>
      </w:r>
    </w:p>
    <w:p w14:paraId="32B5E5FD">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（10）拟投入本项目的主要检测监测仪器设备一览表；</w:t>
      </w:r>
    </w:p>
    <w:p w14:paraId="23B7945D">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（11）检测监测方案；</w:t>
      </w:r>
    </w:p>
    <w:p w14:paraId="153D161F">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（12）其他资料。投标人须知前附表规定的其他资料，投标人认为有必要提交的其他资料。投标人在评标过程中作出的符合法律法规和招标文件规定的澄清确认，构成投标文件的组成部分。</w:t>
      </w:r>
    </w:p>
    <w:p w14:paraId="3D4AEF7E">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3.1.2</w:t>
      </w:r>
      <w:r>
        <w:rPr>
          <w:rFonts w:hint="eastAsia" w:ascii="宋体" w:hAnsi="宋体"/>
          <w:color w:val="auto"/>
          <w:szCs w:val="21"/>
          <w:highlight w:val="none"/>
        </w:rPr>
        <w:t>投标人须知前附表规定不接受联合体投标的，或投标人没有组成联合体的，投标文件不包括本章第</w:t>
      </w:r>
      <w:r>
        <w:rPr>
          <w:rFonts w:ascii="宋体" w:hAnsi="宋体"/>
          <w:color w:val="auto"/>
          <w:szCs w:val="21"/>
          <w:highlight w:val="none"/>
        </w:rPr>
        <w:t>3.1.1</w:t>
      </w:r>
      <w:r>
        <w:rPr>
          <w:rFonts w:hint="eastAsia" w:ascii="宋体" w:hAnsi="宋体"/>
          <w:color w:val="auto"/>
          <w:szCs w:val="21"/>
          <w:highlight w:val="none"/>
        </w:rPr>
        <w:t>所指的联合体协议书。</w:t>
      </w:r>
    </w:p>
    <w:p w14:paraId="46A49231">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3.1.3</w:t>
      </w:r>
      <w:r>
        <w:rPr>
          <w:rFonts w:hint="eastAsia" w:ascii="宋体" w:hAnsi="宋体"/>
          <w:color w:val="auto"/>
          <w:szCs w:val="21"/>
          <w:highlight w:val="none"/>
        </w:rPr>
        <w:t>投标人须知前附表未要求提交投标保证金的，投标文件不包括本章第</w:t>
      </w:r>
      <w:r>
        <w:rPr>
          <w:rFonts w:ascii="宋体" w:hAnsi="宋体"/>
          <w:color w:val="auto"/>
          <w:szCs w:val="21"/>
          <w:highlight w:val="none"/>
        </w:rPr>
        <w:t>3.1.1</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）所指的投标保证金。</w:t>
      </w:r>
    </w:p>
    <w:p w14:paraId="49EA3304">
      <w:pPr>
        <w:pStyle w:val="12"/>
        <w:kinsoku w:val="0"/>
        <w:overflowPunct w:val="0"/>
        <w:spacing w:line="288" w:lineRule="auto"/>
        <w:ind w:firstLine="420" w:firstLineChars="200"/>
        <w:rPr>
          <w:rFonts w:hint="eastAsia" w:ascii="宋体" w:hAnsi="宋体"/>
          <w:color w:val="auto"/>
          <w:szCs w:val="21"/>
          <w:highlight w:val="none"/>
        </w:rPr>
      </w:pPr>
    </w:p>
    <w:p w14:paraId="75036E6E">
      <w:pPr>
        <w:pStyle w:val="6"/>
        <w:rPr>
          <w:color w:val="auto"/>
          <w:highlight w:val="none"/>
        </w:rPr>
      </w:pPr>
      <w:bookmarkStart w:id="78" w:name="bookmark40"/>
      <w:bookmarkEnd w:id="78"/>
      <w:r>
        <w:rPr>
          <w:color w:val="auto"/>
          <w:highlight w:val="none"/>
        </w:rPr>
        <w:t xml:space="preserve">3.2 </w:t>
      </w:r>
      <w:r>
        <w:rPr>
          <w:rFonts w:hint="eastAsia"/>
          <w:color w:val="auto"/>
          <w:highlight w:val="none"/>
        </w:rPr>
        <w:t>投标报价</w:t>
      </w:r>
    </w:p>
    <w:p w14:paraId="7E2AD252">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3.2.1</w:t>
      </w:r>
      <w:r>
        <w:rPr>
          <w:rFonts w:hint="eastAsia" w:ascii="宋体" w:hAnsi="宋体"/>
          <w:color w:val="auto"/>
          <w:szCs w:val="21"/>
          <w:highlight w:val="none"/>
        </w:rPr>
        <w:t>投标报价应包括国家规定的增值税税金，除投标人须知前附表另有规定外，增值税税金按一般计税方法计算。投标人应按第六章“投标文件格式”的要求在投标函中进行报价并填写报价书。</w:t>
      </w:r>
    </w:p>
    <w:p w14:paraId="425328E4">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3.2.2</w:t>
      </w:r>
      <w:r>
        <w:rPr>
          <w:rFonts w:hint="eastAsia" w:ascii="宋体" w:hAnsi="宋体"/>
          <w:color w:val="auto"/>
          <w:szCs w:val="21"/>
          <w:highlight w:val="none"/>
        </w:rPr>
        <w:t>投标人应充分了解该项目的总体情况以及影响投标报价的其他要素。</w:t>
      </w:r>
    </w:p>
    <w:p w14:paraId="19DDE7D5">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3.2.3</w:t>
      </w:r>
      <w:r>
        <w:rPr>
          <w:rFonts w:hint="eastAsia" w:ascii="宋体" w:hAnsi="宋体"/>
          <w:color w:val="auto"/>
          <w:szCs w:val="21"/>
          <w:highlight w:val="none"/>
        </w:rPr>
        <w:t>本项目的报价方式见投标人须知前附表。投标人在投标截止时间前修改投标函中的投标报价总额，应同时修改投标文件“报价书”中的相应报价。此修改须符合本章第</w:t>
      </w:r>
      <w:r>
        <w:rPr>
          <w:rFonts w:ascii="宋体" w:hAnsi="宋体"/>
          <w:color w:val="auto"/>
          <w:szCs w:val="21"/>
          <w:highlight w:val="none"/>
        </w:rPr>
        <w:t>4.3</w:t>
      </w:r>
      <w:r>
        <w:rPr>
          <w:rFonts w:hint="eastAsia" w:ascii="宋体" w:hAnsi="宋体"/>
          <w:color w:val="auto"/>
          <w:szCs w:val="21"/>
          <w:highlight w:val="none"/>
        </w:rPr>
        <w:t>款的有关要求。</w:t>
      </w:r>
    </w:p>
    <w:p w14:paraId="72C08120">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3.2.4</w:t>
      </w:r>
      <w:r>
        <w:rPr>
          <w:rFonts w:hint="eastAsia" w:ascii="宋体" w:hAnsi="宋体"/>
          <w:color w:val="auto"/>
          <w:szCs w:val="21"/>
          <w:highlight w:val="none"/>
        </w:rPr>
        <w:t>招标人设有最高投标限价的，投标人的投标报价不得超过最高投标限价，最高投标限价在投标人须知前附表中载明。</w:t>
      </w:r>
    </w:p>
    <w:p w14:paraId="45BF2A9D">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3.2.5</w:t>
      </w:r>
      <w:r>
        <w:rPr>
          <w:rFonts w:hint="eastAsia" w:ascii="宋体" w:hAnsi="宋体"/>
          <w:color w:val="auto"/>
          <w:szCs w:val="21"/>
          <w:highlight w:val="none"/>
        </w:rPr>
        <w:t>投标报价的其他要求见投标人须知前附表。</w:t>
      </w:r>
    </w:p>
    <w:p w14:paraId="11F49004">
      <w:pPr>
        <w:pStyle w:val="12"/>
        <w:kinsoku w:val="0"/>
        <w:overflowPunct w:val="0"/>
        <w:spacing w:line="288" w:lineRule="auto"/>
        <w:ind w:firstLine="420" w:firstLineChars="200"/>
        <w:rPr>
          <w:rFonts w:hint="eastAsia" w:ascii="宋体" w:hAnsi="宋体"/>
          <w:color w:val="auto"/>
          <w:szCs w:val="21"/>
          <w:highlight w:val="none"/>
        </w:rPr>
      </w:pPr>
    </w:p>
    <w:p w14:paraId="4FEB97A1">
      <w:pPr>
        <w:pStyle w:val="6"/>
        <w:rPr>
          <w:color w:val="auto"/>
          <w:highlight w:val="none"/>
        </w:rPr>
      </w:pPr>
      <w:bookmarkStart w:id="79" w:name="bookmark41"/>
      <w:bookmarkEnd w:id="79"/>
      <w:r>
        <w:rPr>
          <w:color w:val="auto"/>
          <w:highlight w:val="none"/>
        </w:rPr>
        <w:t xml:space="preserve">3.3 </w:t>
      </w:r>
      <w:r>
        <w:rPr>
          <w:rFonts w:hint="eastAsia"/>
          <w:color w:val="auto"/>
          <w:highlight w:val="none"/>
        </w:rPr>
        <w:t>投标有效期</w:t>
      </w:r>
    </w:p>
    <w:p w14:paraId="05088A1F">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除投标人须知前附表另有规定外，投标有效期为</w:t>
      </w:r>
      <w:r>
        <w:rPr>
          <w:rFonts w:ascii="宋体" w:hAnsi="宋体"/>
          <w:color w:val="auto"/>
          <w:szCs w:val="21"/>
          <w:highlight w:val="none"/>
        </w:rPr>
        <w:t>90</w:t>
      </w:r>
      <w:r>
        <w:rPr>
          <w:rFonts w:hint="eastAsia" w:ascii="宋体" w:hAnsi="宋体"/>
          <w:color w:val="auto"/>
          <w:szCs w:val="21"/>
          <w:highlight w:val="none"/>
        </w:rPr>
        <w:t>天。</w:t>
      </w:r>
    </w:p>
    <w:p w14:paraId="6C111092">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3.3.2</w:t>
      </w:r>
      <w:r>
        <w:rPr>
          <w:rFonts w:hint="eastAsia" w:ascii="宋体" w:hAnsi="宋体"/>
          <w:color w:val="auto"/>
          <w:szCs w:val="21"/>
          <w:highlight w:val="none"/>
        </w:rPr>
        <w:t>在投标有效期内，投标人撤销投标文件的，应承担招标文件和法律规定的责任。</w:t>
      </w:r>
    </w:p>
    <w:p w14:paraId="6B79A2A9">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3.3.3</w:t>
      </w:r>
      <w:r>
        <w:rPr>
          <w:rFonts w:hint="eastAsia" w:ascii="宋体" w:hAnsi="宋体"/>
          <w:color w:val="auto"/>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A19128A">
      <w:pPr>
        <w:pStyle w:val="12"/>
        <w:kinsoku w:val="0"/>
        <w:overflowPunct w:val="0"/>
        <w:spacing w:line="288" w:lineRule="auto"/>
        <w:ind w:firstLine="420" w:firstLineChars="200"/>
        <w:rPr>
          <w:rFonts w:hint="eastAsia" w:ascii="宋体" w:hAnsi="宋体"/>
          <w:color w:val="auto"/>
          <w:szCs w:val="21"/>
          <w:highlight w:val="none"/>
        </w:rPr>
      </w:pPr>
    </w:p>
    <w:p w14:paraId="393C4719">
      <w:pPr>
        <w:pStyle w:val="6"/>
        <w:rPr>
          <w:color w:val="auto"/>
          <w:highlight w:val="none"/>
        </w:rPr>
      </w:pPr>
      <w:bookmarkStart w:id="80" w:name="bookmark42"/>
      <w:bookmarkEnd w:id="80"/>
      <w:r>
        <w:rPr>
          <w:color w:val="auto"/>
          <w:highlight w:val="none"/>
        </w:rPr>
        <w:t xml:space="preserve">3.4 </w:t>
      </w:r>
      <w:r>
        <w:rPr>
          <w:rFonts w:hint="eastAsia"/>
          <w:color w:val="auto"/>
          <w:highlight w:val="none"/>
        </w:rPr>
        <w:t>投标保证金</w:t>
      </w:r>
    </w:p>
    <w:p w14:paraId="1A62E803">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3.4.1</w:t>
      </w:r>
      <w:r>
        <w:rPr>
          <w:rFonts w:hint="eastAsia" w:ascii="宋体" w:hAnsi="宋体"/>
          <w:color w:val="auto"/>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77B5A5A">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3.4.2</w:t>
      </w:r>
      <w:r>
        <w:rPr>
          <w:rFonts w:hint="eastAsia" w:ascii="宋体" w:hAnsi="宋体"/>
          <w:color w:val="auto"/>
          <w:szCs w:val="21"/>
          <w:highlight w:val="none"/>
        </w:rPr>
        <w:t>投标人不按本章第</w:t>
      </w:r>
      <w:r>
        <w:rPr>
          <w:rFonts w:ascii="宋体" w:hAnsi="宋体"/>
          <w:color w:val="auto"/>
          <w:szCs w:val="21"/>
          <w:highlight w:val="none"/>
        </w:rPr>
        <w:t>3.4.1</w:t>
      </w:r>
      <w:r>
        <w:rPr>
          <w:rFonts w:hint="eastAsia" w:ascii="宋体" w:hAnsi="宋体"/>
          <w:color w:val="auto"/>
          <w:szCs w:val="21"/>
          <w:highlight w:val="none"/>
        </w:rPr>
        <w:t>项要求提交投标保证金的，评标委员会将否决其投标。</w:t>
      </w:r>
    </w:p>
    <w:p w14:paraId="0A08AE0B">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3.4.3</w:t>
      </w:r>
      <w:r>
        <w:rPr>
          <w:rFonts w:hint="eastAsia" w:ascii="宋体" w:hAnsi="宋体"/>
          <w:color w:val="auto"/>
          <w:szCs w:val="21"/>
          <w:highlight w:val="none"/>
        </w:rPr>
        <w:t>招标人最迟将在与中标人签订合同后</w:t>
      </w:r>
      <w:r>
        <w:rPr>
          <w:rFonts w:ascii="宋体" w:hAnsi="宋体"/>
          <w:color w:val="auto"/>
          <w:szCs w:val="21"/>
          <w:highlight w:val="none"/>
        </w:rPr>
        <w:t>5</w:t>
      </w:r>
      <w:r>
        <w:rPr>
          <w:rFonts w:hint="eastAsia" w:ascii="宋体" w:hAnsi="宋体"/>
          <w:color w:val="auto"/>
          <w:szCs w:val="21"/>
          <w:highlight w:val="none"/>
        </w:rPr>
        <w:t>日内，向未中标的投标人和中标人退还投标保证金。投标保证金以现金或者支票形式递交的，还应退还银行同期存款利息。</w:t>
      </w:r>
    </w:p>
    <w:p w14:paraId="738888CD">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3.4.4</w:t>
      </w:r>
      <w:r>
        <w:rPr>
          <w:rFonts w:hint="eastAsia" w:ascii="宋体" w:hAnsi="宋体"/>
          <w:color w:val="auto"/>
          <w:szCs w:val="21"/>
          <w:highlight w:val="none"/>
        </w:rPr>
        <w:t>有下列情形之一的，投标保证金将不予退还：</w:t>
      </w:r>
    </w:p>
    <w:p w14:paraId="2D6EBE2B">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）投标人在投标有效期内撤销投标文件；</w:t>
      </w:r>
    </w:p>
    <w:p w14:paraId="6BE8F6C3">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）中标人在收到中标通知书后，无正当理由不与招标人订立合同，在签订合同时向招标人提出附加条件，或者不按照招标文件要求提交履约保证金；</w:t>
      </w:r>
    </w:p>
    <w:p w14:paraId="4DEFDA7F">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）发生投标人须知前附表规定的其他可以不予退还投标保证金的情形。</w:t>
      </w:r>
    </w:p>
    <w:p w14:paraId="271AA645">
      <w:pPr>
        <w:pStyle w:val="12"/>
        <w:kinsoku w:val="0"/>
        <w:overflowPunct w:val="0"/>
        <w:spacing w:line="288" w:lineRule="auto"/>
        <w:ind w:firstLine="420" w:firstLineChars="200"/>
        <w:rPr>
          <w:rFonts w:hint="eastAsia" w:ascii="宋体" w:hAnsi="宋体"/>
          <w:color w:val="auto"/>
          <w:szCs w:val="21"/>
          <w:highlight w:val="none"/>
        </w:rPr>
      </w:pPr>
      <w:bookmarkStart w:id="81" w:name="bookmark43"/>
      <w:bookmarkEnd w:id="81"/>
    </w:p>
    <w:p w14:paraId="4E874197">
      <w:pPr>
        <w:pStyle w:val="6"/>
        <w:rPr>
          <w:color w:val="auto"/>
          <w:highlight w:val="none"/>
        </w:rPr>
      </w:pPr>
      <w:bookmarkStart w:id="82" w:name="bookmark44"/>
      <w:bookmarkEnd w:id="82"/>
      <w:r>
        <w:rPr>
          <w:color w:val="auto"/>
          <w:highlight w:val="none"/>
        </w:rPr>
        <w:t xml:space="preserve">3.5 </w:t>
      </w:r>
      <w:r>
        <w:rPr>
          <w:rFonts w:hint="eastAsia"/>
          <w:color w:val="auto"/>
          <w:highlight w:val="none"/>
        </w:rPr>
        <w:t>资格审查资料</w:t>
      </w:r>
    </w:p>
    <w:p w14:paraId="384B8EC0">
      <w:pPr>
        <w:pStyle w:val="12"/>
        <w:kinsoku w:val="0"/>
        <w:overflowPunct w:val="0"/>
        <w:spacing w:line="288" w:lineRule="auto"/>
        <w:ind w:firstLine="420" w:firstLineChars="200"/>
        <w:rPr>
          <w:rFonts w:hint="eastAsia" w:ascii="宋体" w:hAnsi="宋体"/>
          <w:color w:val="auto"/>
          <w:szCs w:val="21"/>
          <w:highlight w:val="none"/>
        </w:rPr>
      </w:pPr>
      <w:bookmarkStart w:id="83" w:name="bookmark45"/>
      <w:bookmarkEnd w:id="83"/>
      <w:r>
        <w:rPr>
          <w:rFonts w:hint="eastAsia" w:ascii="宋体" w:hAnsi="宋体"/>
          <w:color w:val="auto"/>
          <w:szCs w:val="21"/>
          <w:highlight w:val="none"/>
        </w:rPr>
        <w:t>除投标人须知前附表另有规定外，投标人应按下列规定提供资格审查资料，以证明其满足本章第</w:t>
      </w:r>
      <w:r>
        <w:rPr>
          <w:rFonts w:ascii="宋体" w:hAnsi="宋体"/>
          <w:color w:val="auto"/>
          <w:szCs w:val="21"/>
          <w:highlight w:val="none"/>
        </w:rPr>
        <w:t>1.4</w:t>
      </w:r>
      <w:r>
        <w:rPr>
          <w:rFonts w:hint="eastAsia" w:ascii="宋体" w:hAnsi="宋体"/>
          <w:color w:val="auto"/>
          <w:szCs w:val="21"/>
          <w:highlight w:val="none"/>
        </w:rPr>
        <w:t>款规定的资质、财务、业绩、信誉等要求。</w:t>
      </w:r>
    </w:p>
    <w:p w14:paraId="1AB27D6B">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3.5.1</w:t>
      </w:r>
      <w:r>
        <w:rPr>
          <w:rFonts w:hint="eastAsia" w:ascii="宋体" w:hAnsi="宋体"/>
          <w:color w:val="auto"/>
          <w:szCs w:val="21"/>
          <w:highlight w:val="none"/>
        </w:rPr>
        <w:t>“投标人基本情况表”应附投标单位的营业执照副本或事业单位法人证书副本（若为联合体投标，指联合体各方）、建设行政主管部门颁发的建设工程质量检测机构资质证书（若为联合体投标，指承担检测任务的单位）、CMA计量认证合格证书（若为联合体投标，指联合体各方）、工程勘察资质证书（若为联合体投标，指承担监测任务的单位）以及其他相关资料。</w:t>
      </w:r>
    </w:p>
    <w:p w14:paraId="4CB23F70">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3.5.2其他满足本章第</w:t>
      </w:r>
      <w:r>
        <w:rPr>
          <w:rFonts w:ascii="宋体" w:hAnsi="宋体"/>
          <w:color w:val="auto"/>
          <w:szCs w:val="21"/>
          <w:highlight w:val="none"/>
        </w:rPr>
        <w:t>1.4.1</w:t>
      </w:r>
      <w:r>
        <w:rPr>
          <w:rFonts w:hint="eastAsia" w:ascii="宋体" w:hAnsi="宋体"/>
          <w:color w:val="auto"/>
          <w:szCs w:val="21"/>
          <w:highlight w:val="none"/>
        </w:rPr>
        <w:t>项规定的要求的相关资料。</w:t>
      </w:r>
    </w:p>
    <w:p w14:paraId="2062E51A">
      <w:pPr>
        <w:rPr>
          <w:rFonts w:hint="eastAsia" w:ascii="宋体" w:hAnsi="宋体"/>
          <w:color w:val="auto"/>
          <w:highlight w:val="none"/>
        </w:rPr>
      </w:pPr>
    </w:p>
    <w:p w14:paraId="5AACE441">
      <w:pPr>
        <w:pStyle w:val="6"/>
        <w:rPr>
          <w:color w:val="auto"/>
          <w:highlight w:val="none"/>
        </w:rPr>
      </w:pPr>
      <w:r>
        <w:rPr>
          <w:color w:val="auto"/>
          <w:highlight w:val="none"/>
        </w:rPr>
        <w:t xml:space="preserve">3.6 </w:t>
      </w:r>
      <w:r>
        <w:rPr>
          <w:rFonts w:hint="eastAsia"/>
          <w:color w:val="auto"/>
          <w:highlight w:val="none"/>
        </w:rPr>
        <w:t>备选投标方案</w:t>
      </w:r>
    </w:p>
    <w:p w14:paraId="572AF330">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除投标人须知前附表规定允许外，投标人不得递交备选投标方案，否则其投标将被否决。</w:t>
      </w:r>
    </w:p>
    <w:p w14:paraId="0F161DEC">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539D543">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3.6.3</w:t>
      </w:r>
      <w:r>
        <w:rPr>
          <w:rFonts w:hint="eastAsia" w:ascii="宋体" w:hAnsi="宋体"/>
          <w:color w:val="auto"/>
          <w:szCs w:val="21"/>
          <w:highlight w:val="none"/>
        </w:rPr>
        <w:t>投标人提供两个或两个以上投标报价，或者在投标文件中提供一个报价，但同时提供两个或两个以上服务方案的，视为提供备选方案。</w:t>
      </w:r>
    </w:p>
    <w:p w14:paraId="4FBE1017">
      <w:pPr>
        <w:pStyle w:val="12"/>
        <w:kinsoku w:val="0"/>
        <w:overflowPunct w:val="0"/>
        <w:spacing w:line="288" w:lineRule="auto"/>
        <w:ind w:firstLine="420" w:firstLineChars="200"/>
        <w:rPr>
          <w:rFonts w:hint="eastAsia" w:ascii="宋体" w:hAnsi="宋体"/>
          <w:color w:val="auto"/>
          <w:szCs w:val="21"/>
          <w:highlight w:val="none"/>
        </w:rPr>
      </w:pPr>
    </w:p>
    <w:p w14:paraId="26F52FD3">
      <w:pPr>
        <w:pStyle w:val="6"/>
        <w:rPr>
          <w:color w:val="auto"/>
          <w:highlight w:val="none"/>
        </w:rPr>
      </w:pPr>
      <w:bookmarkStart w:id="84" w:name="bookmark46"/>
      <w:bookmarkEnd w:id="84"/>
      <w:r>
        <w:rPr>
          <w:color w:val="auto"/>
          <w:highlight w:val="none"/>
        </w:rPr>
        <w:t xml:space="preserve">3.7 </w:t>
      </w:r>
      <w:r>
        <w:rPr>
          <w:rFonts w:hint="eastAsia"/>
          <w:color w:val="auto"/>
          <w:highlight w:val="none"/>
        </w:rPr>
        <w:t>投标文件的编制</w:t>
      </w:r>
    </w:p>
    <w:p w14:paraId="6734AB76">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投标文件应按第六章“投标文件格式”进行编写，如有必要，可以增加附页，作为投标文件的组成部分。</w:t>
      </w:r>
    </w:p>
    <w:p w14:paraId="76A141A8">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投标文件应当对招标文件有关服务期限、投标有效期、委托人要求、招标范围等实质性内容作出响应。</w:t>
      </w:r>
    </w:p>
    <w:p w14:paraId="47D9EE33">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4501152A">
      <w:pPr>
        <w:rPr>
          <w:rFonts w:hint="eastAsia" w:ascii="宋体" w:hAnsi="宋体"/>
          <w:color w:val="auto"/>
          <w:highlight w:val="none"/>
        </w:rPr>
      </w:pPr>
    </w:p>
    <w:p w14:paraId="26EFD9D0">
      <w:pPr>
        <w:pStyle w:val="4"/>
        <w:rPr>
          <w:rFonts w:hint="eastAsia"/>
          <w:color w:val="auto"/>
          <w:highlight w:val="none"/>
        </w:rPr>
      </w:pPr>
      <w:bookmarkStart w:id="85" w:name="_Toc14400"/>
      <w:bookmarkStart w:id="86" w:name="_Toc5256"/>
      <w:bookmarkStart w:id="87" w:name="_Toc20565"/>
      <w:bookmarkStart w:id="88" w:name="_Toc533357311"/>
      <w:bookmarkStart w:id="89" w:name="_Toc21250"/>
      <w:r>
        <w:rPr>
          <w:color w:val="auto"/>
          <w:highlight w:val="none"/>
        </w:rPr>
        <w:t xml:space="preserve">4. </w:t>
      </w:r>
      <w:r>
        <w:rPr>
          <w:rFonts w:hint="eastAsia"/>
          <w:color w:val="auto"/>
          <w:highlight w:val="none"/>
        </w:rPr>
        <w:t>投标</w:t>
      </w:r>
      <w:bookmarkEnd w:id="85"/>
      <w:bookmarkEnd w:id="86"/>
      <w:bookmarkEnd w:id="87"/>
      <w:bookmarkEnd w:id="88"/>
      <w:bookmarkEnd w:id="89"/>
    </w:p>
    <w:p w14:paraId="5D340574">
      <w:pPr>
        <w:pStyle w:val="6"/>
        <w:ind w:firstLine="420"/>
        <w:rPr>
          <w:color w:val="auto"/>
          <w:highlight w:val="none"/>
        </w:rPr>
      </w:pPr>
      <w:bookmarkStart w:id="90" w:name="bookmark48"/>
      <w:bookmarkEnd w:id="90"/>
      <w:r>
        <w:rPr>
          <w:color w:val="auto"/>
          <w:highlight w:val="none"/>
        </w:rPr>
        <w:t xml:space="preserve">4.1 </w:t>
      </w:r>
      <w:r>
        <w:rPr>
          <w:rFonts w:hint="eastAsia"/>
          <w:color w:val="auto"/>
          <w:highlight w:val="none"/>
        </w:rPr>
        <w:t>投标文件的密封和标记</w:t>
      </w:r>
    </w:p>
    <w:p w14:paraId="5C49F750">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投标人应当按照招标文件和电子招标投标交易平台的要求加密投标文件，具体要求见投标人须知前附表。</w:t>
      </w:r>
    </w:p>
    <w:p w14:paraId="65D618E2">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4.1.2</w:t>
      </w:r>
      <w:r>
        <w:rPr>
          <w:rFonts w:hint="eastAsia" w:ascii="宋体" w:hAnsi="宋体"/>
          <w:color w:val="auto"/>
          <w:szCs w:val="21"/>
          <w:highlight w:val="none"/>
        </w:rPr>
        <w:t>投标文件封套上应写明的内容见投标人须知前附表。</w:t>
      </w:r>
    </w:p>
    <w:p w14:paraId="72E32369">
      <w:pPr>
        <w:pStyle w:val="12"/>
        <w:kinsoku w:val="0"/>
        <w:overflowPunct w:val="0"/>
        <w:spacing w:line="288" w:lineRule="auto"/>
        <w:ind w:firstLine="420" w:firstLineChars="200"/>
        <w:rPr>
          <w:rFonts w:hint="eastAsia" w:ascii="宋体" w:hAnsi="宋体"/>
          <w:strike/>
          <w:color w:val="auto"/>
          <w:szCs w:val="21"/>
          <w:highlight w:val="none"/>
        </w:rPr>
      </w:pPr>
      <w:r>
        <w:rPr>
          <w:rFonts w:ascii="宋体" w:hAnsi="宋体"/>
          <w:strike/>
          <w:color w:val="auto"/>
          <w:szCs w:val="21"/>
          <w:highlight w:val="none"/>
        </w:rPr>
        <w:t>4.1.3</w:t>
      </w:r>
      <w:r>
        <w:rPr>
          <w:rFonts w:hint="eastAsia" w:ascii="宋体" w:hAnsi="宋体"/>
          <w:strike/>
          <w:color w:val="auto"/>
          <w:szCs w:val="21"/>
          <w:highlight w:val="none"/>
        </w:rPr>
        <w:t>未按本章第</w:t>
      </w:r>
      <w:r>
        <w:rPr>
          <w:rFonts w:ascii="宋体" w:hAnsi="宋体"/>
          <w:strike/>
          <w:color w:val="auto"/>
          <w:szCs w:val="21"/>
          <w:highlight w:val="none"/>
        </w:rPr>
        <w:t>4.1.1</w:t>
      </w:r>
      <w:r>
        <w:rPr>
          <w:rFonts w:hint="eastAsia" w:ascii="宋体" w:hAnsi="宋体"/>
          <w:strike/>
          <w:color w:val="auto"/>
          <w:szCs w:val="21"/>
          <w:highlight w:val="none"/>
        </w:rPr>
        <w:t>项要求密封的投标文件，招标人将予以拒收。</w:t>
      </w:r>
    </w:p>
    <w:p w14:paraId="0E43A88C">
      <w:pPr>
        <w:pStyle w:val="12"/>
        <w:kinsoku w:val="0"/>
        <w:overflowPunct w:val="0"/>
        <w:spacing w:line="288" w:lineRule="auto"/>
        <w:ind w:firstLine="420" w:firstLineChars="200"/>
        <w:rPr>
          <w:rFonts w:hint="eastAsia" w:ascii="宋体" w:hAnsi="宋体"/>
          <w:color w:val="auto"/>
          <w:szCs w:val="21"/>
          <w:highlight w:val="none"/>
        </w:rPr>
      </w:pPr>
    </w:p>
    <w:p w14:paraId="48D04DC8">
      <w:pPr>
        <w:pStyle w:val="6"/>
        <w:rPr>
          <w:color w:val="auto"/>
          <w:highlight w:val="none"/>
        </w:rPr>
      </w:pPr>
      <w:bookmarkStart w:id="91" w:name="bookmark49"/>
      <w:bookmarkEnd w:id="91"/>
      <w:r>
        <w:rPr>
          <w:color w:val="auto"/>
          <w:highlight w:val="none"/>
        </w:rPr>
        <w:t xml:space="preserve">4.2 </w:t>
      </w:r>
      <w:r>
        <w:rPr>
          <w:rFonts w:hint="eastAsia"/>
          <w:color w:val="auto"/>
          <w:highlight w:val="none"/>
        </w:rPr>
        <w:t>投标文件的递交</w:t>
      </w:r>
    </w:p>
    <w:p w14:paraId="4F8592C2">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4.2.1</w:t>
      </w:r>
      <w:r>
        <w:rPr>
          <w:rFonts w:hint="eastAsia" w:ascii="宋体" w:hAnsi="宋体"/>
          <w:color w:val="auto"/>
          <w:szCs w:val="21"/>
          <w:highlight w:val="none"/>
        </w:rPr>
        <w:t>投标人应在投标人须知前附表规定的投标截止时间前递交投标文件。</w:t>
      </w:r>
    </w:p>
    <w:p w14:paraId="39A7118D">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投标人通过下载招标文件的电子招标投标交易平台递交电子投标文件。</w:t>
      </w:r>
    </w:p>
    <w:p w14:paraId="162F8FDF">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除投标人须知前附表另有规定外，投标人所递交的投标文件不予退还。</w:t>
      </w:r>
    </w:p>
    <w:p w14:paraId="731708EE">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投标人完成电子投标文件上传后，电子招标投标交易平台即时向投标人发出递交回执通知。递交时间以递交回执通知载明的传输完成时间为准。</w:t>
      </w:r>
    </w:p>
    <w:p w14:paraId="2D949C15">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4.2.5</w:t>
      </w:r>
      <w:r>
        <w:rPr>
          <w:rFonts w:hint="eastAsia" w:ascii="宋体" w:hAnsi="宋体"/>
          <w:color w:val="auto"/>
          <w:szCs w:val="21"/>
          <w:highlight w:val="none"/>
        </w:rPr>
        <w:t>逾期送达的投标文件，电子招标投标交易平台将予以拒收。</w:t>
      </w:r>
      <w:bookmarkStart w:id="92" w:name="bookmark50"/>
      <w:bookmarkEnd w:id="92"/>
    </w:p>
    <w:p w14:paraId="7A98C317">
      <w:pPr>
        <w:pStyle w:val="12"/>
        <w:kinsoku w:val="0"/>
        <w:overflowPunct w:val="0"/>
        <w:spacing w:line="288" w:lineRule="auto"/>
        <w:ind w:firstLine="420" w:firstLineChars="200"/>
        <w:rPr>
          <w:rFonts w:hint="eastAsia" w:ascii="宋体" w:hAnsi="宋体"/>
          <w:color w:val="auto"/>
          <w:szCs w:val="21"/>
          <w:highlight w:val="none"/>
        </w:rPr>
      </w:pPr>
    </w:p>
    <w:p w14:paraId="0FF2AF30">
      <w:pPr>
        <w:pStyle w:val="6"/>
        <w:rPr>
          <w:color w:val="auto"/>
          <w:highlight w:val="none"/>
        </w:rPr>
      </w:pPr>
      <w:r>
        <w:rPr>
          <w:color w:val="auto"/>
          <w:highlight w:val="none"/>
        </w:rPr>
        <w:t xml:space="preserve">4.3 </w:t>
      </w:r>
      <w:r>
        <w:rPr>
          <w:rFonts w:hint="eastAsia"/>
          <w:color w:val="auto"/>
          <w:highlight w:val="none"/>
        </w:rPr>
        <w:t>投标文件的修改与撤回</w:t>
      </w:r>
    </w:p>
    <w:p w14:paraId="7928CA05">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4.3.1</w:t>
      </w:r>
      <w:r>
        <w:rPr>
          <w:rFonts w:hint="eastAsia" w:ascii="宋体" w:hAnsi="宋体"/>
          <w:color w:val="auto"/>
          <w:szCs w:val="21"/>
          <w:highlight w:val="none"/>
        </w:rPr>
        <w:t>在本章第</w:t>
      </w:r>
      <w:r>
        <w:rPr>
          <w:rFonts w:ascii="宋体" w:hAnsi="宋体"/>
          <w:color w:val="auto"/>
          <w:szCs w:val="21"/>
          <w:highlight w:val="none"/>
        </w:rPr>
        <w:t>4.2.1</w:t>
      </w:r>
      <w:r>
        <w:rPr>
          <w:rFonts w:hint="eastAsia" w:ascii="宋体" w:hAnsi="宋体"/>
          <w:color w:val="auto"/>
          <w:szCs w:val="21"/>
          <w:highlight w:val="none"/>
        </w:rPr>
        <w:t>项规定的投标截止时间前，投标人可以修改或撤回已递交的投标文件，但应以书面形式通知招标人。</w:t>
      </w:r>
    </w:p>
    <w:p w14:paraId="346B76BC">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4.3.2</w:t>
      </w:r>
      <w:r>
        <w:rPr>
          <w:rFonts w:hint="eastAsia" w:ascii="宋体" w:hAnsi="宋体"/>
          <w:color w:val="auto"/>
          <w:szCs w:val="21"/>
          <w:highlight w:val="none"/>
        </w:rPr>
        <w:t>投标人修改或撤回已递交投标文件的通知，应按照本章第</w:t>
      </w:r>
      <w:r>
        <w:rPr>
          <w:rFonts w:ascii="宋体" w:hAnsi="宋体"/>
          <w:color w:val="auto"/>
          <w:szCs w:val="21"/>
          <w:highlight w:val="none"/>
        </w:rPr>
        <w:t>3.7.3</w:t>
      </w:r>
      <w:r>
        <w:rPr>
          <w:rFonts w:hint="eastAsia" w:ascii="宋体" w:hAnsi="宋体"/>
          <w:color w:val="auto"/>
          <w:szCs w:val="21"/>
          <w:highlight w:val="none"/>
        </w:rPr>
        <w:t>项的要求加盖电子印章。电子招标投标交易平台收到通知后，即时向投标人发出确认回执通知。</w:t>
      </w:r>
    </w:p>
    <w:p w14:paraId="518D04C0">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4.3.3</w:t>
      </w:r>
      <w:r>
        <w:rPr>
          <w:rFonts w:hint="eastAsia" w:ascii="宋体" w:hAnsi="宋体"/>
          <w:color w:val="auto"/>
          <w:szCs w:val="21"/>
          <w:highlight w:val="none"/>
        </w:rPr>
        <w:t>投标人撤回投标文件的，招标人自收到投标人书面撤回通知之日起</w:t>
      </w:r>
      <w:r>
        <w:rPr>
          <w:rFonts w:ascii="宋体" w:hAnsi="宋体"/>
          <w:color w:val="auto"/>
          <w:szCs w:val="21"/>
          <w:highlight w:val="none"/>
        </w:rPr>
        <w:t>5</w:t>
      </w:r>
      <w:r>
        <w:rPr>
          <w:rFonts w:hint="eastAsia" w:ascii="宋体" w:hAnsi="宋体"/>
          <w:color w:val="auto"/>
          <w:szCs w:val="21"/>
          <w:highlight w:val="none"/>
        </w:rPr>
        <w:t>日内退还已收取的投标保证金。</w:t>
      </w:r>
    </w:p>
    <w:p w14:paraId="1B44F8BA">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4.3.4</w:t>
      </w:r>
      <w:r>
        <w:rPr>
          <w:rFonts w:hint="eastAsia" w:ascii="宋体" w:hAnsi="宋体"/>
          <w:color w:val="auto"/>
          <w:szCs w:val="21"/>
          <w:highlight w:val="none"/>
        </w:rPr>
        <w:t>修改的内容为投标文件的组成部分。修改的投标文件应按照本章第</w:t>
      </w:r>
      <w:r>
        <w:rPr>
          <w:rFonts w:ascii="宋体" w:hAnsi="宋体"/>
          <w:color w:val="auto"/>
          <w:szCs w:val="21"/>
          <w:highlight w:val="none"/>
        </w:rPr>
        <w:t>3</w:t>
      </w:r>
      <w:r>
        <w:rPr>
          <w:rFonts w:hint="eastAsia" w:ascii="宋体" w:hAnsi="宋体"/>
          <w:color w:val="auto"/>
          <w:szCs w:val="21"/>
          <w:highlight w:val="none"/>
        </w:rPr>
        <w:t>条、第</w:t>
      </w:r>
      <w:r>
        <w:rPr>
          <w:rFonts w:ascii="宋体" w:hAnsi="宋体"/>
          <w:color w:val="auto"/>
          <w:szCs w:val="21"/>
          <w:highlight w:val="none"/>
        </w:rPr>
        <w:t>4</w:t>
      </w:r>
      <w:r>
        <w:rPr>
          <w:rFonts w:hint="eastAsia" w:ascii="宋体" w:hAnsi="宋体"/>
          <w:color w:val="auto"/>
          <w:szCs w:val="21"/>
          <w:highlight w:val="none"/>
        </w:rPr>
        <w:t>条的规定进行编制、密封、标记和递交，并标明“修改”字样。</w:t>
      </w:r>
    </w:p>
    <w:p w14:paraId="1DAE249F">
      <w:pPr>
        <w:pStyle w:val="12"/>
        <w:kinsoku w:val="0"/>
        <w:overflowPunct w:val="0"/>
        <w:spacing w:line="288" w:lineRule="auto"/>
        <w:ind w:firstLine="420" w:firstLineChars="200"/>
        <w:rPr>
          <w:rFonts w:hint="eastAsia" w:ascii="宋体" w:hAnsi="宋体"/>
          <w:color w:val="auto"/>
          <w:szCs w:val="21"/>
          <w:highlight w:val="none"/>
        </w:rPr>
      </w:pPr>
    </w:p>
    <w:p w14:paraId="32BD965E">
      <w:pPr>
        <w:pStyle w:val="4"/>
        <w:rPr>
          <w:rFonts w:hint="eastAsia"/>
          <w:color w:val="auto"/>
          <w:highlight w:val="none"/>
        </w:rPr>
      </w:pPr>
      <w:bookmarkStart w:id="93" w:name="_Toc15422"/>
      <w:bookmarkStart w:id="94" w:name="_Toc533357312"/>
      <w:bookmarkStart w:id="95" w:name="_Toc4940"/>
      <w:bookmarkStart w:id="96" w:name="_Toc8307"/>
      <w:bookmarkStart w:id="97" w:name="_Toc30561"/>
      <w:r>
        <w:rPr>
          <w:color w:val="auto"/>
          <w:highlight w:val="none"/>
        </w:rPr>
        <w:t xml:space="preserve">5. </w:t>
      </w:r>
      <w:r>
        <w:rPr>
          <w:rFonts w:hint="eastAsia"/>
          <w:color w:val="auto"/>
          <w:highlight w:val="none"/>
        </w:rPr>
        <w:t>开标</w:t>
      </w:r>
      <w:bookmarkEnd w:id="93"/>
      <w:bookmarkEnd w:id="94"/>
      <w:bookmarkEnd w:id="95"/>
      <w:bookmarkEnd w:id="96"/>
      <w:bookmarkEnd w:id="97"/>
    </w:p>
    <w:p w14:paraId="5823D386">
      <w:pPr>
        <w:pStyle w:val="6"/>
        <w:ind w:firstLine="0"/>
        <w:rPr>
          <w:color w:val="auto"/>
          <w:highlight w:val="none"/>
        </w:rPr>
      </w:pPr>
      <w:bookmarkStart w:id="98" w:name="bookmark52"/>
      <w:bookmarkEnd w:id="98"/>
      <w:bookmarkStart w:id="99" w:name="bookmark53"/>
      <w:bookmarkEnd w:id="99"/>
      <w:r>
        <w:rPr>
          <w:color w:val="auto"/>
          <w:highlight w:val="none"/>
        </w:rPr>
        <w:t xml:space="preserve">5.1 </w:t>
      </w:r>
      <w:r>
        <w:rPr>
          <w:rFonts w:hint="eastAsia"/>
          <w:color w:val="auto"/>
          <w:highlight w:val="none"/>
        </w:rPr>
        <w:t>开标时间和地点</w:t>
      </w:r>
    </w:p>
    <w:p w14:paraId="2E915D33">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招标人在本章第</w:t>
      </w:r>
      <w:r>
        <w:rPr>
          <w:rFonts w:ascii="宋体" w:hAnsi="宋体"/>
          <w:color w:val="auto"/>
          <w:szCs w:val="21"/>
          <w:highlight w:val="none"/>
        </w:rPr>
        <w:t>4.2.1</w:t>
      </w:r>
      <w:r>
        <w:rPr>
          <w:rFonts w:hint="eastAsia" w:ascii="宋体" w:hAnsi="宋体"/>
          <w:color w:val="auto"/>
          <w:szCs w:val="21"/>
          <w:highlight w:val="none"/>
        </w:rPr>
        <w:t>项规定的投标截止时间（开标时间）</w:t>
      </w:r>
      <w:r>
        <w:rPr>
          <w:rFonts w:ascii="宋体" w:hAnsi="宋体"/>
          <w:color w:val="auto"/>
          <w:szCs w:val="21"/>
          <w:highlight w:val="none"/>
        </w:rPr>
        <w:t>,</w:t>
      </w:r>
      <w:r>
        <w:rPr>
          <w:rFonts w:hint="eastAsia" w:ascii="宋体" w:hAnsi="宋体"/>
          <w:color w:val="auto"/>
          <w:szCs w:val="21"/>
          <w:highlight w:val="none"/>
        </w:rPr>
        <w:t>通过电子招标投标交易平台公开开标。开标时，投标人代表有权出席开标会，也可以自主决定不参加开标会。</w:t>
      </w:r>
    </w:p>
    <w:p w14:paraId="554EC1FF">
      <w:pPr>
        <w:rPr>
          <w:rFonts w:hint="eastAsia" w:ascii="宋体" w:hAnsi="宋体"/>
          <w:color w:val="auto"/>
          <w:highlight w:val="none"/>
        </w:rPr>
      </w:pPr>
    </w:p>
    <w:p w14:paraId="42D89B62">
      <w:pPr>
        <w:pStyle w:val="6"/>
        <w:rPr>
          <w:color w:val="auto"/>
          <w:highlight w:val="none"/>
        </w:rPr>
      </w:pPr>
      <w:bookmarkStart w:id="100" w:name="bookmark54"/>
      <w:bookmarkEnd w:id="100"/>
      <w:r>
        <w:rPr>
          <w:color w:val="auto"/>
          <w:highlight w:val="none"/>
        </w:rPr>
        <w:t xml:space="preserve">5.2 </w:t>
      </w:r>
      <w:r>
        <w:rPr>
          <w:rFonts w:hint="eastAsia"/>
          <w:color w:val="auto"/>
          <w:highlight w:val="none"/>
        </w:rPr>
        <w:t>开标程序</w:t>
      </w:r>
    </w:p>
    <w:p w14:paraId="5FF680AF">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14:paraId="52BB17BA">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14:paraId="249B0CEB">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）公布在投标截止时间前递交投标文件的投标人名称；</w:t>
      </w:r>
    </w:p>
    <w:p w14:paraId="73D08F69">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）宣布开标人、唱标人、记录人、监标人等有关人员姓名；</w:t>
      </w:r>
    </w:p>
    <w:p w14:paraId="226CB380">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）投标人通过电子招标投标交易平台对已递交的电子投标文件进行解密，公布招标项目名称、投标人名称、投标保证金的递交情况、投标报价及其他内容，并记录在案；</w:t>
      </w:r>
    </w:p>
    <w:p w14:paraId="5B78E5BE">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）投标人代表、招标人代表、监标人、记录人等有关人员在开标记录上签字确认；若有关人员不签字的，不影响开标程序；</w:t>
      </w:r>
    </w:p>
    <w:p w14:paraId="56F7E81A">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）开标结束。</w:t>
      </w:r>
    </w:p>
    <w:p w14:paraId="7E88B18D">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5AF3A3C">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5.2.3</w:t>
      </w:r>
      <w:r>
        <w:rPr>
          <w:rFonts w:hint="eastAsia" w:ascii="宋体" w:hAnsi="宋体"/>
          <w:color w:val="auto"/>
          <w:szCs w:val="21"/>
          <w:highlight w:val="none"/>
        </w:rPr>
        <w:t>开标时，两个（含两个）以上的投标人加密打包投标文件电脑机器特征码一致的，不参与下一程序，并由评标委员会否决其投标。</w:t>
      </w:r>
    </w:p>
    <w:p w14:paraId="6EC3C476">
      <w:pPr>
        <w:pStyle w:val="12"/>
        <w:kinsoku w:val="0"/>
        <w:overflowPunct w:val="0"/>
        <w:spacing w:line="288" w:lineRule="auto"/>
        <w:ind w:firstLine="420" w:firstLineChars="200"/>
        <w:rPr>
          <w:rFonts w:hint="eastAsia" w:ascii="宋体" w:hAnsi="宋体"/>
          <w:color w:val="auto"/>
          <w:szCs w:val="21"/>
          <w:highlight w:val="none"/>
        </w:rPr>
      </w:pPr>
    </w:p>
    <w:p w14:paraId="4A292159">
      <w:pPr>
        <w:pStyle w:val="6"/>
        <w:rPr>
          <w:color w:val="auto"/>
          <w:highlight w:val="none"/>
        </w:rPr>
      </w:pPr>
      <w:bookmarkStart w:id="101" w:name="bookmark55"/>
      <w:bookmarkEnd w:id="101"/>
      <w:r>
        <w:rPr>
          <w:color w:val="auto"/>
          <w:highlight w:val="none"/>
        </w:rPr>
        <w:t xml:space="preserve">5.3 </w:t>
      </w:r>
      <w:r>
        <w:rPr>
          <w:rFonts w:hint="eastAsia"/>
          <w:color w:val="auto"/>
          <w:highlight w:val="none"/>
        </w:rPr>
        <w:t>开标异议</w:t>
      </w:r>
    </w:p>
    <w:p w14:paraId="1EEEE936">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投标人对开标有异议的，应当在开标现场提出，并出示本人身份证，招标人当场作出答复，并制作记录。</w:t>
      </w:r>
    </w:p>
    <w:p w14:paraId="440BFA2C">
      <w:pPr>
        <w:pStyle w:val="12"/>
        <w:kinsoku w:val="0"/>
        <w:overflowPunct w:val="0"/>
        <w:spacing w:line="288" w:lineRule="auto"/>
        <w:ind w:firstLine="420" w:firstLineChars="200"/>
        <w:rPr>
          <w:rFonts w:hint="eastAsia" w:ascii="宋体" w:hAnsi="宋体"/>
          <w:color w:val="auto"/>
          <w:szCs w:val="21"/>
          <w:highlight w:val="none"/>
        </w:rPr>
      </w:pPr>
    </w:p>
    <w:p w14:paraId="32FC725F">
      <w:pPr>
        <w:pStyle w:val="4"/>
        <w:rPr>
          <w:rFonts w:hint="eastAsia"/>
          <w:color w:val="auto"/>
          <w:highlight w:val="none"/>
        </w:rPr>
      </w:pPr>
      <w:bookmarkStart w:id="102" w:name="_Toc21387"/>
      <w:bookmarkStart w:id="103" w:name="_Toc533357313"/>
      <w:bookmarkStart w:id="104" w:name="_Toc26604"/>
      <w:bookmarkStart w:id="105" w:name="_Toc17228"/>
      <w:bookmarkStart w:id="106" w:name="_Toc1023"/>
      <w:r>
        <w:rPr>
          <w:color w:val="auto"/>
          <w:highlight w:val="none"/>
        </w:rPr>
        <w:t xml:space="preserve">6. </w:t>
      </w:r>
      <w:r>
        <w:rPr>
          <w:rFonts w:hint="eastAsia"/>
          <w:color w:val="auto"/>
          <w:highlight w:val="none"/>
        </w:rPr>
        <w:t>评标</w:t>
      </w:r>
      <w:bookmarkEnd w:id="102"/>
      <w:bookmarkEnd w:id="103"/>
      <w:bookmarkEnd w:id="104"/>
      <w:bookmarkEnd w:id="105"/>
      <w:bookmarkEnd w:id="106"/>
    </w:p>
    <w:p w14:paraId="72B6CEC1">
      <w:pPr>
        <w:pStyle w:val="6"/>
        <w:ind w:firstLine="0"/>
        <w:rPr>
          <w:color w:val="auto"/>
          <w:highlight w:val="none"/>
        </w:rPr>
      </w:pPr>
      <w:bookmarkStart w:id="107" w:name="bookmark57"/>
      <w:bookmarkEnd w:id="107"/>
      <w:r>
        <w:rPr>
          <w:color w:val="auto"/>
          <w:highlight w:val="none"/>
        </w:rPr>
        <w:t xml:space="preserve">6.1 </w:t>
      </w:r>
      <w:r>
        <w:rPr>
          <w:rFonts w:hint="eastAsia"/>
          <w:color w:val="auto"/>
          <w:highlight w:val="none"/>
        </w:rPr>
        <w:t>评标</w:t>
      </w:r>
      <w:r>
        <w:rPr>
          <w:rFonts w:hint="eastAsia" w:eastAsia="宋体"/>
          <w:color w:val="auto"/>
          <w:highlight w:val="none"/>
        </w:rPr>
        <w:t>委员会</w:t>
      </w:r>
    </w:p>
    <w:p w14:paraId="79396B1D">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6.1.1</w:t>
      </w:r>
      <w:r>
        <w:rPr>
          <w:rFonts w:hint="eastAsia" w:ascii="宋体" w:hAnsi="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A72BEDA">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6.1.2</w:t>
      </w:r>
      <w:r>
        <w:rPr>
          <w:rFonts w:hint="eastAsia" w:ascii="宋体" w:hAnsi="宋体"/>
          <w:color w:val="auto"/>
          <w:szCs w:val="21"/>
          <w:highlight w:val="none"/>
        </w:rPr>
        <w:t>评标委员会成员有下列情形之一的，应当回避：</w:t>
      </w:r>
    </w:p>
    <w:p w14:paraId="3018E373">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）投标人或投标人主要负责人的近亲属；</w:t>
      </w:r>
    </w:p>
    <w:p w14:paraId="2B60C191">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）项目主管部门或者行政监督部门的人员；</w:t>
      </w:r>
    </w:p>
    <w:p w14:paraId="4D4C9AFB">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）与投标人有经济利益关系，可能影响对投标公正评审的；</w:t>
      </w:r>
    </w:p>
    <w:p w14:paraId="4733F735">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）曾因在招标、评标以及其他与招标投标有关活动中从事违法行为而受过行政处罚或刑事处罚的</w:t>
      </w:r>
    </w:p>
    <w:p w14:paraId="5A42C827">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）与投标人有其他利害关系。</w:t>
      </w:r>
    </w:p>
    <w:p w14:paraId="1FD30287">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6.1.3</w:t>
      </w:r>
      <w:r>
        <w:rPr>
          <w:rFonts w:hint="eastAsia" w:ascii="宋体" w:hAnsi="宋体"/>
          <w:color w:val="auto"/>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2E7C04F9">
      <w:pPr>
        <w:pStyle w:val="12"/>
        <w:kinsoku w:val="0"/>
        <w:overflowPunct w:val="0"/>
        <w:spacing w:line="288" w:lineRule="auto"/>
        <w:ind w:firstLine="420" w:firstLineChars="200"/>
        <w:rPr>
          <w:rFonts w:hint="eastAsia" w:ascii="宋体" w:hAnsi="宋体"/>
          <w:color w:val="auto"/>
          <w:szCs w:val="21"/>
          <w:highlight w:val="none"/>
        </w:rPr>
      </w:pPr>
    </w:p>
    <w:p w14:paraId="044CF5C6">
      <w:pPr>
        <w:pStyle w:val="6"/>
        <w:rPr>
          <w:color w:val="auto"/>
          <w:highlight w:val="none"/>
        </w:rPr>
      </w:pPr>
      <w:bookmarkStart w:id="108" w:name="bookmark58"/>
      <w:bookmarkEnd w:id="108"/>
      <w:r>
        <w:rPr>
          <w:color w:val="auto"/>
          <w:highlight w:val="none"/>
        </w:rPr>
        <w:t xml:space="preserve">6.2 </w:t>
      </w:r>
      <w:r>
        <w:rPr>
          <w:rFonts w:hint="eastAsia"/>
          <w:color w:val="auto"/>
          <w:highlight w:val="none"/>
        </w:rPr>
        <w:t>评标原则</w:t>
      </w:r>
    </w:p>
    <w:p w14:paraId="3E42F631">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评标活动遵循公平、公正、科学和择优的原则。</w:t>
      </w:r>
    </w:p>
    <w:p w14:paraId="70297A33">
      <w:pPr>
        <w:pStyle w:val="12"/>
        <w:kinsoku w:val="0"/>
        <w:overflowPunct w:val="0"/>
        <w:spacing w:line="288" w:lineRule="auto"/>
        <w:ind w:firstLine="420" w:firstLineChars="200"/>
        <w:rPr>
          <w:rFonts w:hint="eastAsia" w:ascii="宋体" w:hAnsi="宋体"/>
          <w:color w:val="auto"/>
          <w:szCs w:val="21"/>
          <w:highlight w:val="none"/>
        </w:rPr>
      </w:pPr>
    </w:p>
    <w:p w14:paraId="016AE2F6">
      <w:pPr>
        <w:pStyle w:val="6"/>
        <w:rPr>
          <w:color w:val="auto"/>
          <w:highlight w:val="none"/>
        </w:rPr>
      </w:pPr>
      <w:bookmarkStart w:id="109" w:name="bookmark59"/>
      <w:bookmarkEnd w:id="109"/>
      <w:r>
        <w:rPr>
          <w:color w:val="auto"/>
          <w:highlight w:val="none"/>
        </w:rPr>
        <w:t xml:space="preserve">6.3 </w:t>
      </w:r>
      <w:r>
        <w:rPr>
          <w:rFonts w:hint="eastAsia"/>
          <w:color w:val="auto"/>
          <w:highlight w:val="none"/>
        </w:rPr>
        <w:t>评标</w:t>
      </w:r>
    </w:p>
    <w:p w14:paraId="474F6C8E">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6.3.1</w:t>
      </w: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p>
    <w:p w14:paraId="479E225E">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6.3.2</w:t>
      </w:r>
      <w:r>
        <w:rPr>
          <w:rFonts w:hint="eastAsia" w:ascii="宋体" w:hAnsi="宋体"/>
          <w:color w:val="auto"/>
          <w:szCs w:val="21"/>
          <w:highlight w:val="none"/>
        </w:rPr>
        <w:t>评标完成后，评标委员会应当向招标人提交书面评标报告和中标候选人名单。评标委员会推荐中标候选人的人数见投标人须知前附表。</w:t>
      </w:r>
    </w:p>
    <w:p w14:paraId="40C9791E">
      <w:pPr>
        <w:pStyle w:val="12"/>
        <w:kinsoku w:val="0"/>
        <w:overflowPunct w:val="0"/>
        <w:spacing w:line="288" w:lineRule="auto"/>
        <w:ind w:firstLine="420" w:firstLineChars="200"/>
        <w:rPr>
          <w:rFonts w:hint="eastAsia" w:ascii="宋体" w:hAnsi="宋体"/>
          <w:color w:val="auto"/>
          <w:szCs w:val="21"/>
          <w:highlight w:val="none"/>
        </w:rPr>
      </w:pPr>
    </w:p>
    <w:p w14:paraId="1FB83E26">
      <w:pPr>
        <w:pStyle w:val="4"/>
        <w:rPr>
          <w:rFonts w:hint="eastAsia"/>
          <w:color w:val="auto"/>
          <w:highlight w:val="none"/>
        </w:rPr>
      </w:pPr>
      <w:bookmarkStart w:id="110" w:name="bookmark60"/>
      <w:bookmarkEnd w:id="110"/>
      <w:bookmarkStart w:id="111" w:name="_Toc20828"/>
      <w:bookmarkStart w:id="112" w:name="_Toc5461"/>
      <w:bookmarkStart w:id="113" w:name="_Toc533357314"/>
      <w:bookmarkStart w:id="114" w:name="_Toc14587"/>
      <w:bookmarkStart w:id="115" w:name="_Toc26243"/>
      <w:r>
        <w:rPr>
          <w:color w:val="auto"/>
          <w:highlight w:val="none"/>
        </w:rPr>
        <w:t xml:space="preserve">7. </w:t>
      </w:r>
      <w:r>
        <w:rPr>
          <w:rFonts w:hint="eastAsia"/>
          <w:color w:val="auto"/>
          <w:highlight w:val="none"/>
        </w:rPr>
        <w:t>合同授予</w:t>
      </w:r>
      <w:bookmarkEnd w:id="111"/>
      <w:bookmarkEnd w:id="112"/>
      <w:bookmarkEnd w:id="113"/>
      <w:bookmarkEnd w:id="114"/>
      <w:bookmarkEnd w:id="115"/>
    </w:p>
    <w:p w14:paraId="08C53798">
      <w:pPr>
        <w:pStyle w:val="6"/>
        <w:ind w:firstLine="0"/>
        <w:rPr>
          <w:color w:val="auto"/>
          <w:highlight w:val="none"/>
        </w:rPr>
      </w:pPr>
      <w:bookmarkStart w:id="116" w:name="bookmark61"/>
      <w:bookmarkEnd w:id="116"/>
      <w:r>
        <w:rPr>
          <w:color w:val="auto"/>
          <w:highlight w:val="none"/>
        </w:rPr>
        <w:t xml:space="preserve">7.1 </w:t>
      </w:r>
      <w:r>
        <w:rPr>
          <w:rFonts w:hint="eastAsia"/>
          <w:color w:val="auto"/>
          <w:highlight w:val="none"/>
        </w:rPr>
        <w:t>中标</w:t>
      </w:r>
      <w:r>
        <w:rPr>
          <w:rFonts w:hint="eastAsia" w:eastAsia="宋体"/>
          <w:color w:val="auto"/>
          <w:highlight w:val="none"/>
        </w:rPr>
        <w:t>候选人</w:t>
      </w:r>
      <w:r>
        <w:rPr>
          <w:rFonts w:hint="eastAsia"/>
          <w:color w:val="auto"/>
          <w:highlight w:val="none"/>
        </w:rPr>
        <w:t>公示</w:t>
      </w:r>
    </w:p>
    <w:p w14:paraId="0F7960D4">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招标人在收到评标报告之日起</w:t>
      </w:r>
      <w:r>
        <w:rPr>
          <w:rFonts w:ascii="宋体" w:hAnsi="宋体"/>
          <w:color w:val="auto"/>
          <w:szCs w:val="21"/>
          <w:highlight w:val="none"/>
        </w:rPr>
        <w:t>3</w:t>
      </w:r>
      <w:r>
        <w:rPr>
          <w:rFonts w:hint="eastAsia" w:ascii="宋体" w:hAnsi="宋体"/>
          <w:color w:val="auto"/>
          <w:szCs w:val="21"/>
          <w:highlight w:val="none"/>
        </w:rPr>
        <w:t>日内，按照投标人须知前附表规定的公示媒介和期限公示中标候选人，公示期不得少于</w:t>
      </w:r>
      <w:r>
        <w:rPr>
          <w:rFonts w:ascii="宋体" w:hAnsi="宋体"/>
          <w:color w:val="auto"/>
          <w:szCs w:val="21"/>
          <w:highlight w:val="none"/>
        </w:rPr>
        <w:t>3</w:t>
      </w:r>
      <w:r>
        <w:rPr>
          <w:rFonts w:hint="eastAsia" w:ascii="宋体" w:hAnsi="宋体"/>
          <w:color w:val="auto"/>
          <w:szCs w:val="21"/>
          <w:highlight w:val="none"/>
        </w:rPr>
        <w:t>天。</w:t>
      </w:r>
    </w:p>
    <w:p w14:paraId="2FAFF7E0">
      <w:pPr>
        <w:pStyle w:val="6"/>
        <w:rPr>
          <w:color w:val="auto"/>
          <w:highlight w:val="none"/>
        </w:rPr>
      </w:pPr>
      <w:bookmarkStart w:id="117" w:name="bookmark62"/>
      <w:bookmarkEnd w:id="117"/>
      <w:r>
        <w:rPr>
          <w:color w:val="auto"/>
          <w:highlight w:val="none"/>
        </w:rPr>
        <w:t xml:space="preserve">7.2 </w:t>
      </w:r>
      <w:r>
        <w:rPr>
          <w:rFonts w:hint="eastAsia"/>
          <w:color w:val="auto"/>
          <w:highlight w:val="none"/>
        </w:rPr>
        <w:t>评标结果异议</w:t>
      </w:r>
    </w:p>
    <w:p w14:paraId="26F7E96A">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14:paraId="41FCD072">
      <w:pPr>
        <w:pStyle w:val="12"/>
        <w:kinsoku w:val="0"/>
        <w:overflowPunct w:val="0"/>
        <w:spacing w:line="288" w:lineRule="auto"/>
        <w:ind w:firstLine="420" w:firstLineChars="200"/>
        <w:rPr>
          <w:rFonts w:hint="eastAsia" w:ascii="宋体" w:hAnsi="宋体"/>
          <w:color w:val="auto"/>
          <w:szCs w:val="21"/>
          <w:highlight w:val="none"/>
        </w:rPr>
      </w:pPr>
    </w:p>
    <w:p w14:paraId="4179EA72">
      <w:pPr>
        <w:pStyle w:val="6"/>
        <w:rPr>
          <w:color w:val="auto"/>
          <w:highlight w:val="none"/>
        </w:rPr>
      </w:pPr>
      <w:bookmarkStart w:id="118" w:name="bookmark63"/>
      <w:bookmarkEnd w:id="118"/>
      <w:r>
        <w:rPr>
          <w:color w:val="auto"/>
          <w:highlight w:val="none"/>
        </w:rPr>
        <w:t xml:space="preserve">7.3 </w:t>
      </w:r>
      <w:r>
        <w:rPr>
          <w:rFonts w:hint="eastAsia"/>
          <w:color w:val="auto"/>
          <w:highlight w:val="none"/>
        </w:rPr>
        <w:t>中标候选人履约能力审查</w:t>
      </w:r>
    </w:p>
    <w:p w14:paraId="7B08EE42">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7A2143F">
      <w:pPr>
        <w:pStyle w:val="12"/>
        <w:kinsoku w:val="0"/>
        <w:overflowPunct w:val="0"/>
        <w:spacing w:line="288" w:lineRule="auto"/>
        <w:ind w:firstLine="420" w:firstLineChars="200"/>
        <w:rPr>
          <w:rFonts w:hint="eastAsia" w:ascii="宋体" w:hAnsi="宋体"/>
          <w:color w:val="auto"/>
          <w:szCs w:val="21"/>
          <w:highlight w:val="none"/>
        </w:rPr>
      </w:pPr>
    </w:p>
    <w:p w14:paraId="6B102DB1">
      <w:pPr>
        <w:pStyle w:val="6"/>
        <w:rPr>
          <w:color w:val="auto"/>
          <w:highlight w:val="none"/>
        </w:rPr>
      </w:pPr>
      <w:bookmarkStart w:id="119" w:name="bookmark64"/>
      <w:bookmarkEnd w:id="119"/>
      <w:r>
        <w:rPr>
          <w:color w:val="auto"/>
          <w:highlight w:val="none"/>
        </w:rPr>
        <w:t xml:space="preserve">7.4 </w:t>
      </w:r>
      <w:r>
        <w:rPr>
          <w:rFonts w:hint="eastAsia"/>
          <w:color w:val="auto"/>
          <w:highlight w:val="none"/>
        </w:rPr>
        <w:t>定标</w:t>
      </w:r>
    </w:p>
    <w:p w14:paraId="3D5432F2">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按照投标人须知前附表的规定，招标人或招标人授权的评标委员会依法确定中标人。</w:t>
      </w:r>
    </w:p>
    <w:p w14:paraId="6163D2BF">
      <w:pPr>
        <w:pStyle w:val="12"/>
        <w:kinsoku w:val="0"/>
        <w:overflowPunct w:val="0"/>
        <w:spacing w:line="288" w:lineRule="auto"/>
        <w:ind w:firstLine="420" w:firstLineChars="200"/>
        <w:rPr>
          <w:rFonts w:hint="eastAsia" w:ascii="宋体" w:hAnsi="宋体"/>
          <w:color w:val="auto"/>
          <w:szCs w:val="21"/>
          <w:highlight w:val="none"/>
        </w:rPr>
      </w:pPr>
    </w:p>
    <w:p w14:paraId="4891A63A">
      <w:pPr>
        <w:pStyle w:val="6"/>
        <w:rPr>
          <w:color w:val="auto"/>
          <w:highlight w:val="none"/>
        </w:rPr>
      </w:pPr>
      <w:bookmarkStart w:id="120" w:name="bookmark65"/>
      <w:bookmarkEnd w:id="120"/>
      <w:r>
        <w:rPr>
          <w:color w:val="auto"/>
          <w:highlight w:val="none"/>
        </w:rPr>
        <w:t xml:space="preserve">7.5 </w:t>
      </w:r>
      <w:r>
        <w:rPr>
          <w:rFonts w:hint="eastAsia"/>
          <w:color w:val="auto"/>
          <w:highlight w:val="none"/>
        </w:rPr>
        <w:t>中标通知</w:t>
      </w:r>
    </w:p>
    <w:p w14:paraId="38496980">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在本章第</w:t>
      </w:r>
      <w:r>
        <w:rPr>
          <w:rFonts w:ascii="宋体" w:hAnsi="宋体"/>
          <w:color w:val="auto"/>
          <w:szCs w:val="21"/>
          <w:highlight w:val="none"/>
        </w:rPr>
        <w:t>3.3</w:t>
      </w:r>
      <w:r>
        <w:rPr>
          <w:rFonts w:hint="eastAsia" w:ascii="宋体" w:hAnsi="宋体"/>
          <w:color w:val="auto"/>
          <w:szCs w:val="21"/>
          <w:highlight w:val="none"/>
        </w:rPr>
        <w:t>款规定的投标有效期内，招标人以书面形式向中标人发出中标通知书，同时将中标结果通知未中标的投标人。</w:t>
      </w:r>
    </w:p>
    <w:p w14:paraId="71DDE137">
      <w:pPr>
        <w:pStyle w:val="12"/>
        <w:kinsoku w:val="0"/>
        <w:overflowPunct w:val="0"/>
        <w:spacing w:line="288" w:lineRule="auto"/>
        <w:ind w:firstLine="420" w:firstLineChars="200"/>
        <w:rPr>
          <w:rFonts w:hint="eastAsia" w:ascii="宋体" w:hAnsi="宋体"/>
          <w:color w:val="auto"/>
          <w:szCs w:val="21"/>
          <w:highlight w:val="none"/>
        </w:rPr>
      </w:pPr>
    </w:p>
    <w:p w14:paraId="1C3BB6A0">
      <w:pPr>
        <w:pStyle w:val="6"/>
        <w:rPr>
          <w:color w:val="auto"/>
          <w:highlight w:val="none"/>
        </w:rPr>
      </w:pPr>
      <w:bookmarkStart w:id="121" w:name="bookmark66"/>
      <w:bookmarkEnd w:id="121"/>
      <w:r>
        <w:rPr>
          <w:color w:val="auto"/>
          <w:highlight w:val="none"/>
        </w:rPr>
        <w:t xml:space="preserve">7.6 </w:t>
      </w:r>
      <w:r>
        <w:rPr>
          <w:rFonts w:hint="eastAsia"/>
          <w:color w:val="auto"/>
          <w:highlight w:val="none"/>
        </w:rPr>
        <w:t>履约保证金</w:t>
      </w:r>
    </w:p>
    <w:p w14:paraId="4C939DD7">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7.6.1</w:t>
      </w:r>
      <w:r>
        <w:rPr>
          <w:rFonts w:hint="eastAsia" w:ascii="宋体" w:hAnsi="宋体"/>
          <w:color w:val="auto"/>
          <w:szCs w:val="21"/>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auto"/>
          <w:szCs w:val="21"/>
          <w:highlight w:val="none"/>
        </w:rPr>
        <w:t>10%</w:t>
      </w:r>
      <w:r>
        <w:rPr>
          <w:rFonts w:hint="eastAsia" w:ascii="宋体" w:hAnsi="宋体"/>
          <w:color w:val="auto"/>
          <w:szCs w:val="21"/>
          <w:highlight w:val="none"/>
        </w:rPr>
        <w:t>。联合体中标的，其履约保证金以联合体各方或者联合体中牵头人的名义提交。</w:t>
      </w:r>
    </w:p>
    <w:p w14:paraId="320D26DC">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7.6.2</w:t>
      </w:r>
      <w:r>
        <w:rPr>
          <w:rFonts w:hint="eastAsia" w:ascii="宋体" w:hAnsi="宋体"/>
          <w:color w:val="auto"/>
          <w:szCs w:val="21"/>
          <w:highlight w:val="none"/>
        </w:rPr>
        <w:t>中标人不能按本章第</w:t>
      </w:r>
      <w:r>
        <w:rPr>
          <w:rFonts w:ascii="宋体" w:hAnsi="宋体"/>
          <w:color w:val="auto"/>
          <w:szCs w:val="21"/>
          <w:highlight w:val="none"/>
        </w:rPr>
        <w:t>7.6.1</w:t>
      </w:r>
      <w:r>
        <w:rPr>
          <w:rFonts w:hint="eastAsia" w:ascii="宋体" w:hAnsi="宋体"/>
          <w:color w:val="auto"/>
          <w:szCs w:val="21"/>
          <w:highlight w:val="none"/>
        </w:rPr>
        <w:t>项要求提交履约保证金的，视为放弃中标，其投标保证金不予退还，给招标人造成的损失超过投标保证金数额的，中标人还应当对超过部分予以赔偿。</w:t>
      </w:r>
    </w:p>
    <w:p w14:paraId="19D7EF30">
      <w:pPr>
        <w:pStyle w:val="12"/>
        <w:kinsoku w:val="0"/>
        <w:overflowPunct w:val="0"/>
        <w:spacing w:line="288" w:lineRule="auto"/>
        <w:ind w:firstLine="420" w:firstLineChars="200"/>
        <w:rPr>
          <w:rFonts w:hint="eastAsia" w:ascii="宋体" w:hAnsi="宋体"/>
          <w:color w:val="auto"/>
          <w:szCs w:val="21"/>
          <w:highlight w:val="none"/>
        </w:rPr>
      </w:pPr>
    </w:p>
    <w:p w14:paraId="16C81C0C">
      <w:pPr>
        <w:pStyle w:val="6"/>
        <w:rPr>
          <w:color w:val="auto"/>
          <w:highlight w:val="none"/>
        </w:rPr>
      </w:pPr>
      <w:bookmarkStart w:id="122" w:name="bookmark67"/>
      <w:bookmarkEnd w:id="122"/>
      <w:r>
        <w:rPr>
          <w:color w:val="auto"/>
          <w:highlight w:val="none"/>
        </w:rPr>
        <w:t xml:space="preserve">7.7 </w:t>
      </w:r>
      <w:r>
        <w:rPr>
          <w:rFonts w:hint="eastAsia"/>
          <w:color w:val="auto"/>
          <w:highlight w:val="none"/>
        </w:rPr>
        <w:t>签订合同</w:t>
      </w:r>
    </w:p>
    <w:p w14:paraId="1B484A53">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7.7.1</w:t>
      </w:r>
      <w:r>
        <w:rPr>
          <w:rFonts w:hint="eastAsia" w:ascii="宋体" w:hAnsi="宋体"/>
          <w:color w:val="auto"/>
          <w:szCs w:val="21"/>
          <w:highlight w:val="none"/>
        </w:rPr>
        <w:t>招标人和中标人应当在中标通知书发出之日起</w:t>
      </w:r>
      <w:r>
        <w:rPr>
          <w:rFonts w:ascii="宋体" w:hAnsi="宋体"/>
          <w:color w:val="auto"/>
          <w:szCs w:val="21"/>
          <w:highlight w:val="none"/>
        </w:rPr>
        <w:t>30</w:t>
      </w:r>
      <w:r>
        <w:rPr>
          <w:rFonts w:hint="eastAsia" w:ascii="宋体" w:hAnsi="宋体"/>
          <w:color w:val="auto"/>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EB5DBF3">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7.7.2</w:t>
      </w:r>
      <w:r>
        <w:rPr>
          <w:rFonts w:hint="eastAsia" w:ascii="宋体" w:hAnsi="宋体"/>
          <w:color w:val="auto"/>
          <w:szCs w:val="21"/>
          <w:highlight w:val="none"/>
        </w:rPr>
        <w:t>发出中标通知书后，招标人无正当理由拒签合同，或者在签订合同时向中标人提出附加条件的，招标人向中标人退还投标保证金；给中标人造成损失的，还应当赔偿损失。</w:t>
      </w:r>
    </w:p>
    <w:p w14:paraId="3AD68CC1">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7.7.3</w:t>
      </w:r>
      <w:r>
        <w:rPr>
          <w:rFonts w:hint="eastAsia" w:ascii="宋体" w:hAnsi="宋体"/>
          <w:color w:val="auto"/>
          <w:szCs w:val="21"/>
          <w:highlight w:val="none"/>
        </w:rPr>
        <w:t>联合体中标的，联合体各方应当共同与招标人签订合同，就中标项目向招标人承担连带责任。</w:t>
      </w:r>
    </w:p>
    <w:p w14:paraId="15479B2E">
      <w:pPr>
        <w:pStyle w:val="12"/>
        <w:kinsoku w:val="0"/>
        <w:overflowPunct w:val="0"/>
        <w:spacing w:line="288" w:lineRule="auto"/>
        <w:ind w:firstLine="420" w:firstLineChars="200"/>
        <w:rPr>
          <w:rFonts w:hint="eastAsia" w:ascii="宋体" w:hAnsi="宋体"/>
          <w:color w:val="auto"/>
          <w:szCs w:val="21"/>
          <w:highlight w:val="none"/>
        </w:rPr>
      </w:pPr>
    </w:p>
    <w:p w14:paraId="05F2E219">
      <w:pPr>
        <w:pStyle w:val="4"/>
        <w:rPr>
          <w:rFonts w:hint="eastAsia"/>
          <w:color w:val="auto"/>
          <w:highlight w:val="none"/>
        </w:rPr>
      </w:pPr>
      <w:bookmarkStart w:id="123" w:name="bookmark68"/>
      <w:bookmarkEnd w:id="123"/>
      <w:bookmarkStart w:id="124" w:name="_Toc533357315"/>
      <w:bookmarkStart w:id="125" w:name="_Toc7930"/>
      <w:bookmarkStart w:id="126" w:name="_Toc32395"/>
      <w:bookmarkStart w:id="127" w:name="_Toc1102"/>
      <w:bookmarkStart w:id="128" w:name="_Toc20041"/>
      <w:r>
        <w:rPr>
          <w:color w:val="auto"/>
          <w:highlight w:val="none"/>
        </w:rPr>
        <w:t xml:space="preserve">8. </w:t>
      </w:r>
      <w:r>
        <w:rPr>
          <w:rFonts w:hint="eastAsia"/>
          <w:color w:val="auto"/>
          <w:highlight w:val="none"/>
        </w:rPr>
        <w:t>纪律和监督</w:t>
      </w:r>
      <w:bookmarkEnd w:id="124"/>
      <w:bookmarkEnd w:id="125"/>
      <w:bookmarkEnd w:id="126"/>
      <w:bookmarkEnd w:id="127"/>
      <w:bookmarkEnd w:id="128"/>
    </w:p>
    <w:p w14:paraId="31E82DF6">
      <w:pPr>
        <w:pStyle w:val="6"/>
        <w:rPr>
          <w:color w:val="auto"/>
          <w:highlight w:val="none"/>
        </w:rPr>
      </w:pPr>
      <w:bookmarkStart w:id="129" w:name="bookmark69"/>
      <w:bookmarkEnd w:id="129"/>
      <w:r>
        <w:rPr>
          <w:color w:val="auto"/>
          <w:highlight w:val="none"/>
        </w:rPr>
        <w:t xml:space="preserve">8.1 </w:t>
      </w:r>
      <w:r>
        <w:rPr>
          <w:rFonts w:hint="eastAsia"/>
          <w:color w:val="auto"/>
          <w:highlight w:val="none"/>
        </w:rPr>
        <w:t>对招标人的纪律要求</w:t>
      </w:r>
    </w:p>
    <w:p w14:paraId="2D787E2C">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14:paraId="466E7675">
      <w:pPr>
        <w:pStyle w:val="12"/>
        <w:kinsoku w:val="0"/>
        <w:overflowPunct w:val="0"/>
        <w:spacing w:line="288" w:lineRule="auto"/>
        <w:ind w:firstLine="420" w:firstLineChars="200"/>
        <w:rPr>
          <w:rFonts w:hint="eastAsia" w:ascii="宋体" w:hAnsi="宋体"/>
          <w:color w:val="auto"/>
          <w:szCs w:val="21"/>
          <w:highlight w:val="none"/>
        </w:rPr>
      </w:pPr>
    </w:p>
    <w:p w14:paraId="2C292D02">
      <w:pPr>
        <w:pStyle w:val="6"/>
        <w:rPr>
          <w:color w:val="auto"/>
          <w:highlight w:val="none"/>
        </w:rPr>
      </w:pPr>
      <w:bookmarkStart w:id="130" w:name="bookmark70"/>
      <w:bookmarkEnd w:id="130"/>
      <w:r>
        <w:rPr>
          <w:color w:val="auto"/>
          <w:highlight w:val="none"/>
        </w:rPr>
        <w:t xml:space="preserve">8.2 </w:t>
      </w:r>
      <w:r>
        <w:rPr>
          <w:rFonts w:hint="eastAsia"/>
          <w:color w:val="auto"/>
          <w:highlight w:val="none"/>
        </w:rPr>
        <w:t>对投标人的纪律要求</w:t>
      </w:r>
    </w:p>
    <w:p w14:paraId="4410477A">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CC63F41">
      <w:pPr>
        <w:pStyle w:val="12"/>
        <w:kinsoku w:val="0"/>
        <w:overflowPunct w:val="0"/>
        <w:spacing w:line="288" w:lineRule="auto"/>
        <w:ind w:firstLine="420" w:firstLineChars="200"/>
        <w:rPr>
          <w:rFonts w:hint="eastAsia" w:ascii="宋体" w:hAnsi="宋体"/>
          <w:color w:val="auto"/>
          <w:szCs w:val="21"/>
          <w:highlight w:val="none"/>
        </w:rPr>
      </w:pPr>
    </w:p>
    <w:p w14:paraId="6F6476BC">
      <w:pPr>
        <w:pStyle w:val="6"/>
        <w:rPr>
          <w:color w:val="auto"/>
          <w:highlight w:val="none"/>
        </w:rPr>
      </w:pPr>
      <w:bookmarkStart w:id="131" w:name="bookmark71"/>
      <w:bookmarkEnd w:id="131"/>
      <w:r>
        <w:rPr>
          <w:color w:val="auto"/>
          <w:highlight w:val="none"/>
        </w:rPr>
        <w:t xml:space="preserve">8.3 </w:t>
      </w:r>
      <w:r>
        <w:rPr>
          <w:rFonts w:hint="eastAsia"/>
          <w:color w:val="auto"/>
          <w:highlight w:val="none"/>
        </w:rPr>
        <w:t>对评标委员会成员的纪律要求</w:t>
      </w:r>
    </w:p>
    <w:p w14:paraId="2CBF9E0C">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5A5F812">
      <w:pPr>
        <w:pStyle w:val="12"/>
        <w:kinsoku w:val="0"/>
        <w:overflowPunct w:val="0"/>
        <w:spacing w:line="288" w:lineRule="auto"/>
        <w:ind w:firstLine="420" w:firstLineChars="200"/>
        <w:rPr>
          <w:rFonts w:hint="eastAsia" w:ascii="宋体" w:hAnsi="宋体"/>
          <w:color w:val="auto"/>
          <w:szCs w:val="21"/>
          <w:highlight w:val="none"/>
        </w:rPr>
      </w:pPr>
    </w:p>
    <w:p w14:paraId="56CFBDB4">
      <w:pPr>
        <w:pStyle w:val="6"/>
        <w:rPr>
          <w:color w:val="auto"/>
          <w:highlight w:val="none"/>
        </w:rPr>
      </w:pPr>
      <w:bookmarkStart w:id="132" w:name="bookmark72"/>
      <w:bookmarkEnd w:id="132"/>
      <w:r>
        <w:rPr>
          <w:color w:val="auto"/>
          <w:highlight w:val="none"/>
        </w:rPr>
        <w:t xml:space="preserve">8.4 </w:t>
      </w:r>
      <w:r>
        <w:rPr>
          <w:rFonts w:hint="eastAsia"/>
          <w:color w:val="auto"/>
          <w:highlight w:val="none"/>
        </w:rPr>
        <w:t>对与评标活动有关的工作人员的纪律要求</w:t>
      </w:r>
    </w:p>
    <w:p w14:paraId="65639FB2">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E02B609">
      <w:pPr>
        <w:pStyle w:val="12"/>
        <w:kinsoku w:val="0"/>
        <w:overflowPunct w:val="0"/>
        <w:spacing w:line="288" w:lineRule="auto"/>
        <w:ind w:firstLine="420" w:firstLineChars="200"/>
        <w:rPr>
          <w:rFonts w:hint="eastAsia" w:ascii="宋体" w:hAnsi="宋体"/>
          <w:color w:val="auto"/>
          <w:szCs w:val="21"/>
          <w:highlight w:val="none"/>
        </w:rPr>
      </w:pPr>
    </w:p>
    <w:p w14:paraId="225C8031">
      <w:pPr>
        <w:pStyle w:val="6"/>
        <w:rPr>
          <w:color w:val="auto"/>
          <w:highlight w:val="none"/>
        </w:rPr>
      </w:pPr>
      <w:bookmarkStart w:id="133" w:name="bookmark73"/>
      <w:bookmarkEnd w:id="133"/>
      <w:r>
        <w:rPr>
          <w:color w:val="auto"/>
          <w:highlight w:val="none"/>
        </w:rPr>
        <w:t xml:space="preserve">8.5 </w:t>
      </w:r>
      <w:r>
        <w:rPr>
          <w:rFonts w:hint="eastAsia"/>
          <w:color w:val="auto"/>
          <w:highlight w:val="none"/>
        </w:rPr>
        <w:t>投诉</w:t>
      </w:r>
    </w:p>
    <w:p w14:paraId="031E51C2">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8.5.1</w:t>
      </w:r>
      <w:r>
        <w:rPr>
          <w:rFonts w:hint="eastAsia" w:ascii="宋体" w:hAnsi="宋体"/>
          <w:color w:val="auto"/>
          <w:szCs w:val="21"/>
          <w:highlight w:val="none"/>
        </w:rPr>
        <w:t>投标人或者其他利害关系人认为招标投标活动不符合法律、行政法规规定的，可以自知道或者应当知道之日起</w:t>
      </w:r>
      <w:r>
        <w:rPr>
          <w:rFonts w:ascii="宋体" w:hAnsi="宋体"/>
          <w:color w:val="auto"/>
          <w:szCs w:val="21"/>
          <w:highlight w:val="none"/>
        </w:rPr>
        <w:t>10</w:t>
      </w:r>
      <w:r>
        <w:rPr>
          <w:rFonts w:hint="eastAsia" w:ascii="宋体" w:hAnsi="宋体"/>
          <w:color w:val="auto"/>
          <w:szCs w:val="21"/>
          <w:highlight w:val="none"/>
        </w:rPr>
        <w:t>日内向有关行政监督部门投诉。投诉应当有明确的请求和必要的证明材料。</w:t>
      </w:r>
    </w:p>
    <w:p w14:paraId="2C1E18F9">
      <w:pPr>
        <w:pStyle w:val="12"/>
        <w:kinsoku w:val="0"/>
        <w:overflowPunct w:val="0"/>
        <w:spacing w:line="288" w:lineRule="auto"/>
        <w:ind w:firstLine="420" w:firstLineChars="200"/>
        <w:rPr>
          <w:rFonts w:hint="eastAsia" w:ascii="宋体" w:hAnsi="宋体"/>
          <w:color w:val="auto"/>
          <w:szCs w:val="21"/>
          <w:highlight w:val="none"/>
        </w:rPr>
      </w:pPr>
      <w:r>
        <w:rPr>
          <w:rFonts w:ascii="宋体" w:hAnsi="宋体"/>
          <w:color w:val="auto"/>
          <w:szCs w:val="21"/>
          <w:highlight w:val="none"/>
        </w:rPr>
        <w:t>8.5.2</w:t>
      </w:r>
      <w:r>
        <w:rPr>
          <w:rFonts w:hint="eastAsia" w:ascii="宋体" w:hAnsi="宋体"/>
          <w:color w:val="auto"/>
          <w:szCs w:val="21"/>
          <w:highlight w:val="none"/>
        </w:rPr>
        <w:t>投标人或者其他利害关系人对招标文件、开标和评标结果提出投诉的，应当按照投标人须知第</w:t>
      </w:r>
      <w:r>
        <w:rPr>
          <w:rFonts w:ascii="宋体" w:hAnsi="宋体"/>
          <w:color w:val="auto"/>
          <w:szCs w:val="21"/>
          <w:highlight w:val="none"/>
        </w:rPr>
        <w:t>2.4</w:t>
      </w:r>
      <w:r>
        <w:rPr>
          <w:rFonts w:hint="eastAsia" w:ascii="宋体" w:hAnsi="宋体"/>
          <w:color w:val="auto"/>
          <w:szCs w:val="21"/>
          <w:highlight w:val="none"/>
        </w:rPr>
        <w:t>款、第</w:t>
      </w:r>
      <w:r>
        <w:rPr>
          <w:rFonts w:ascii="宋体" w:hAnsi="宋体"/>
          <w:color w:val="auto"/>
          <w:szCs w:val="21"/>
          <w:highlight w:val="none"/>
        </w:rPr>
        <w:t>5.3</w:t>
      </w:r>
      <w:r>
        <w:rPr>
          <w:rFonts w:hint="eastAsia" w:ascii="宋体" w:hAnsi="宋体"/>
          <w:color w:val="auto"/>
          <w:szCs w:val="21"/>
          <w:highlight w:val="none"/>
        </w:rPr>
        <w:t>款和第</w:t>
      </w:r>
      <w:r>
        <w:rPr>
          <w:rFonts w:ascii="宋体" w:hAnsi="宋体"/>
          <w:color w:val="auto"/>
          <w:szCs w:val="21"/>
          <w:highlight w:val="none"/>
        </w:rPr>
        <w:t>7.2</w:t>
      </w:r>
      <w:r>
        <w:rPr>
          <w:rFonts w:hint="eastAsia" w:ascii="宋体" w:hAnsi="宋体"/>
          <w:color w:val="auto"/>
          <w:szCs w:val="21"/>
          <w:highlight w:val="none"/>
        </w:rPr>
        <w:t>款的规定先向招标人提出异议。异议答复期间不计算在第</w:t>
      </w:r>
      <w:r>
        <w:rPr>
          <w:rFonts w:ascii="宋体" w:hAnsi="宋体"/>
          <w:color w:val="auto"/>
          <w:szCs w:val="21"/>
          <w:highlight w:val="none"/>
        </w:rPr>
        <w:t>8.5.1</w:t>
      </w:r>
      <w:r>
        <w:rPr>
          <w:rFonts w:hint="eastAsia" w:ascii="宋体" w:hAnsi="宋体"/>
          <w:color w:val="auto"/>
          <w:szCs w:val="21"/>
          <w:highlight w:val="none"/>
        </w:rPr>
        <w:t>项规定的期限内。</w:t>
      </w:r>
    </w:p>
    <w:p w14:paraId="065E82FE">
      <w:pPr>
        <w:pStyle w:val="12"/>
        <w:kinsoku w:val="0"/>
        <w:overflowPunct w:val="0"/>
        <w:spacing w:line="288" w:lineRule="auto"/>
        <w:ind w:firstLine="420" w:firstLineChars="200"/>
        <w:rPr>
          <w:rFonts w:hint="eastAsia" w:ascii="宋体" w:hAnsi="宋体"/>
          <w:color w:val="auto"/>
          <w:szCs w:val="21"/>
          <w:highlight w:val="none"/>
        </w:rPr>
      </w:pPr>
    </w:p>
    <w:p w14:paraId="2A9CF09F">
      <w:pPr>
        <w:pStyle w:val="4"/>
        <w:rPr>
          <w:rFonts w:hint="eastAsia"/>
          <w:color w:val="auto"/>
          <w:highlight w:val="none"/>
        </w:rPr>
      </w:pPr>
      <w:bookmarkStart w:id="134" w:name="bookmark74"/>
      <w:bookmarkEnd w:id="134"/>
      <w:bookmarkStart w:id="135" w:name="_Toc11707"/>
      <w:bookmarkStart w:id="136" w:name="_Toc9876"/>
      <w:bookmarkStart w:id="137" w:name="_Toc8466"/>
      <w:bookmarkStart w:id="138" w:name="_Toc344"/>
      <w:r>
        <w:rPr>
          <w:color w:val="auto"/>
          <w:highlight w:val="none"/>
        </w:rPr>
        <w:t xml:space="preserve">9. </w:t>
      </w:r>
      <w:r>
        <w:rPr>
          <w:rFonts w:hint="eastAsia"/>
          <w:color w:val="auto"/>
          <w:highlight w:val="none"/>
        </w:rPr>
        <w:t>是否采用电子招标投标</w:t>
      </w:r>
      <w:bookmarkEnd w:id="135"/>
      <w:bookmarkEnd w:id="136"/>
      <w:bookmarkEnd w:id="137"/>
      <w:bookmarkEnd w:id="138"/>
    </w:p>
    <w:p w14:paraId="0C8203D1">
      <w:pPr>
        <w:pStyle w:val="12"/>
        <w:kinsoku w:val="0"/>
        <w:overflowPunct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本招标项目采用电子招标投标方式，具体要求见投标人须知前附表。</w:t>
      </w:r>
    </w:p>
    <w:p w14:paraId="7E794AA4">
      <w:pPr>
        <w:pStyle w:val="12"/>
        <w:kinsoku w:val="0"/>
        <w:overflowPunct w:val="0"/>
        <w:spacing w:line="288" w:lineRule="auto"/>
        <w:ind w:firstLine="420" w:firstLineChars="200"/>
        <w:rPr>
          <w:rFonts w:hint="eastAsia" w:ascii="宋体" w:hAnsi="宋体"/>
          <w:color w:val="auto"/>
          <w:szCs w:val="21"/>
          <w:highlight w:val="none"/>
        </w:rPr>
      </w:pPr>
    </w:p>
    <w:p w14:paraId="42E8DAD4">
      <w:pPr>
        <w:pStyle w:val="4"/>
        <w:rPr>
          <w:rFonts w:hint="eastAsia"/>
          <w:color w:val="auto"/>
          <w:highlight w:val="none"/>
        </w:rPr>
      </w:pPr>
      <w:bookmarkStart w:id="139" w:name="bookmark75"/>
      <w:bookmarkEnd w:id="139"/>
      <w:bookmarkStart w:id="140" w:name="_Toc30144"/>
      <w:bookmarkStart w:id="141" w:name="_Toc988"/>
      <w:bookmarkStart w:id="142" w:name="_Toc25151"/>
      <w:bookmarkStart w:id="143" w:name="_Toc22240"/>
      <w:r>
        <w:rPr>
          <w:color w:val="auto"/>
          <w:highlight w:val="none"/>
        </w:rPr>
        <w:t xml:space="preserve">10. </w:t>
      </w:r>
      <w:r>
        <w:rPr>
          <w:rFonts w:hint="eastAsia"/>
          <w:color w:val="auto"/>
          <w:highlight w:val="none"/>
        </w:rPr>
        <w:t>需要补充的其他内容</w:t>
      </w:r>
      <w:bookmarkEnd w:id="140"/>
      <w:bookmarkEnd w:id="141"/>
      <w:bookmarkEnd w:id="142"/>
      <w:bookmarkEnd w:id="143"/>
    </w:p>
    <w:p w14:paraId="47E558B8">
      <w:pPr>
        <w:ind w:firstLine="424" w:firstLineChars="202"/>
        <w:rPr>
          <w:rFonts w:hint="eastAsia" w:ascii="宋体" w:hAnsi="宋体"/>
          <w:color w:val="auto"/>
          <w:highlight w:val="none"/>
        </w:rPr>
      </w:pPr>
      <w:r>
        <w:rPr>
          <w:rFonts w:hint="eastAsia" w:ascii="宋体" w:hAnsi="宋体"/>
          <w:color w:val="auto"/>
          <w:highlight w:val="none"/>
        </w:rPr>
        <w:t>需要补充的其他内容：见投标人须知前附表。</w:t>
      </w:r>
    </w:p>
    <w:p w14:paraId="61739DCC">
      <w:pPr>
        <w:ind w:firstLine="0" w:firstLineChars="0"/>
        <w:rPr>
          <w:rFonts w:hint="eastAsia" w:ascii="宋体" w:hAnsi="宋体"/>
          <w:color w:val="auto"/>
          <w:highlight w:val="none"/>
        </w:rPr>
      </w:pPr>
      <w:r>
        <w:rPr>
          <w:rFonts w:hint="eastAsia" w:ascii="宋体" w:hAnsi="宋体"/>
          <w:color w:val="auto"/>
          <w:highlight w:val="none"/>
        </w:rPr>
        <w:br w:type="page"/>
      </w:r>
    </w:p>
    <w:p w14:paraId="7DEEC4E8">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附件一：评标委员会成员声明</w:t>
      </w:r>
    </w:p>
    <w:p w14:paraId="77240D15">
      <w:pPr>
        <w:spacing w:line="360" w:lineRule="auto"/>
        <w:ind w:firstLine="0" w:firstLine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评标委员会成员声明</w:t>
      </w:r>
    </w:p>
    <w:p w14:paraId="5C318517">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14:paraId="7969C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14:paraId="39D602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F601E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95E17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ED549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调查。如果本人存在评审错误的，本人将主动改正错误，配合招标人挽回损失。</w:t>
      </w:r>
    </w:p>
    <w:p w14:paraId="4FC1BE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726BF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14:paraId="28B15BCC">
      <w:pPr>
        <w:spacing w:line="360" w:lineRule="auto"/>
        <w:ind w:firstLine="420" w:firstLineChars="200"/>
        <w:rPr>
          <w:rFonts w:hint="eastAsia" w:ascii="宋体" w:hAnsi="宋体" w:cs="宋体"/>
          <w:color w:val="auto"/>
          <w:szCs w:val="21"/>
          <w:highlight w:val="none"/>
        </w:rPr>
      </w:pPr>
    </w:p>
    <w:p w14:paraId="0C046BC7">
      <w:pPr>
        <w:pStyle w:val="2"/>
        <w:spacing w:line="360" w:lineRule="auto"/>
        <w:rPr>
          <w:rFonts w:hint="eastAsia"/>
          <w:color w:val="auto"/>
          <w:highlight w:val="none"/>
        </w:rPr>
      </w:pPr>
      <w:bookmarkStart w:id="144" w:name="_Toc4760"/>
      <w:bookmarkStart w:id="145" w:name="_Toc7591"/>
      <w:bookmarkStart w:id="146" w:name="_Toc16713"/>
      <w:r>
        <w:rPr>
          <w:rFonts w:hint="eastAsia" w:cs="宋体"/>
          <w:color w:val="auto"/>
          <w:sz w:val="21"/>
          <w:szCs w:val="21"/>
          <w:highlight w:val="none"/>
        </w:rPr>
        <w:t>声明人：</w:t>
      </w:r>
      <w:r>
        <w:rPr>
          <w:rFonts w:hint="eastAsia" w:cs="宋体"/>
          <w:color w:val="auto"/>
          <w:sz w:val="21"/>
          <w:szCs w:val="21"/>
          <w:highlight w:val="none"/>
          <w:u w:val="single"/>
        </w:rPr>
        <w:t xml:space="preserve">（签名） </w:t>
      </w:r>
      <w:r>
        <w:rPr>
          <w:rFonts w:hint="eastAsia" w:cs="宋体"/>
          <w:color w:val="auto"/>
          <w:sz w:val="21"/>
          <w:szCs w:val="21"/>
          <w:highlight w:val="none"/>
        </w:rPr>
        <w:br w:type="page"/>
      </w:r>
      <w:bookmarkStart w:id="147" w:name="_Toc533357317"/>
      <w:bookmarkStart w:id="148" w:name="_Toc18086"/>
      <w:r>
        <w:rPr>
          <w:rFonts w:hint="eastAsia"/>
          <w:color w:val="auto"/>
          <w:highlight w:val="none"/>
        </w:rPr>
        <w:t>第三章  评标办法（综合评估法）</w:t>
      </w:r>
      <w:bookmarkEnd w:id="144"/>
      <w:bookmarkEnd w:id="145"/>
      <w:bookmarkEnd w:id="146"/>
      <w:bookmarkEnd w:id="147"/>
      <w:bookmarkEnd w:id="148"/>
    </w:p>
    <w:p w14:paraId="7CB51BA8">
      <w:pPr>
        <w:pStyle w:val="3"/>
        <w:rPr>
          <w:rFonts w:hint="eastAsia" w:ascii="宋体" w:hAnsi="宋体"/>
          <w:color w:val="auto"/>
          <w:highlight w:val="none"/>
        </w:rPr>
      </w:pPr>
      <w:bookmarkStart w:id="149" w:name="_Toc968"/>
      <w:bookmarkStart w:id="150" w:name="_Toc20205"/>
      <w:bookmarkStart w:id="151" w:name="_Toc12962"/>
      <w:bookmarkStart w:id="152" w:name="_Toc533357318"/>
      <w:bookmarkStart w:id="153" w:name="_Toc31498"/>
      <w:r>
        <w:rPr>
          <w:rFonts w:hint="eastAsia" w:ascii="宋体" w:hAnsi="宋体"/>
          <w:color w:val="auto"/>
          <w:highlight w:val="none"/>
        </w:rPr>
        <w:t>评标办法前附表</w:t>
      </w:r>
      <w:bookmarkEnd w:id="149"/>
      <w:bookmarkEnd w:id="150"/>
      <w:bookmarkEnd w:id="151"/>
      <w:bookmarkEnd w:id="152"/>
      <w:bookmarkEnd w:id="153"/>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824"/>
        <w:gridCol w:w="1493"/>
        <w:gridCol w:w="6900"/>
      </w:tblGrid>
      <w:tr w14:paraId="243D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pct"/>
            <w:gridSpan w:val="2"/>
            <w:vAlign w:val="center"/>
          </w:tcPr>
          <w:p w14:paraId="71E704CC">
            <w:pPr>
              <w:spacing w:line="276" w:lineRule="auto"/>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50" w:type="pct"/>
            <w:vAlign w:val="center"/>
          </w:tcPr>
          <w:p w14:paraId="713258B6">
            <w:pPr>
              <w:spacing w:line="276" w:lineRule="auto"/>
              <w:jc w:val="center"/>
              <w:rPr>
                <w:rFonts w:hint="eastAsia" w:ascii="宋体" w:hAnsi="宋体"/>
                <w:b/>
                <w:color w:val="auto"/>
                <w:szCs w:val="21"/>
                <w:highlight w:val="none"/>
              </w:rPr>
            </w:pPr>
            <w:r>
              <w:rPr>
                <w:rFonts w:hint="eastAsia" w:ascii="宋体" w:hAnsi="宋体"/>
                <w:b/>
                <w:color w:val="auto"/>
                <w:szCs w:val="21"/>
                <w:highlight w:val="none"/>
              </w:rPr>
              <w:t>评审因素</w:t>
            </w:r>
          </w:p>
        </w:tc>
        <w:tc>
          <w:tcPr>
            <w:tcW w:w="3463" w:type="pct"/>
            <w:vAlign w:val="center"/>
          </w:tcPr>
          <w:p w14:paraId="010ABB80">
            <w:pPr>
              <w:spacing w:line="276" w:lineRule="auto"/>
              <w:jc w:val="center"/>
              <w:rPr>
                <w:rFonts w:hint="eastAsia" w:ascii="宋体" w:hAnsi="宋体"/>
                <w:b/>
                <w:color w:val="auto"/>
                <w:szCs w:val="21"/>
                <w:highlight w:val="none"/>
              </w:rPr>
            </w:pPr>
            <w:r>
              <w:rPr>
                <w:rFonts w:hint="eastAsia" w:ascii="宋体" w:hAnsi="宋体"/>
                <w:b/>
                <w:color w:val="auto"/>
                <w:szCs w:val="21"/>
                <w:highlight w:val="none"/>
              </w:rPr>
              <w:t>评审标准</w:t>
            </w:r>
          </w:p>
        </w:tc>
      </w:tr>
      <w:tr w14:paraId="34F5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371" w:type="pct"/>
            <w:vAlign w:val="center"/>
          </w:tcPr>
          <w:p w14:paraId="09141CA9">
            <w:pPr>
              <w:spacing w:line="276" w:lineRule="auto"/>
              <w:jc w:val="center"/>
              <w:rPr>
                <w:rFonts w:hint="eastAsia" w:ascii="宋体" w:hAnsi="宋体"/>
                <w:color w:val="auto"/>
                <w:szCs w:val="21"/>
                <w:highlight w:val="none"/>
              </w:rPr>
            </w:pPr>
            <w:r>
              <w:rPr>
                <w:rFonts w:ascii="宋体" w:hAnsi="宋体"/>
                <w:color w:val="auto"/>
                <w:szCs w:val="21"/>
                <w:highlight w:val="none"/>
              </w:rPr>
              <w:t>1</w:t>
            </w:r>
          </w:p>
        </w:tc>
        <w:tc>
          <w:tcPr>
            <w:tcW w:w="413" w:type="pct"/>
            <w:vAlign w:val="center"/>
          </w:tcPr>
          <w:p w14:paraId="5BAB6F33">
            <w:pPr>
              <w:spacing w:line="276" w:lineRule="auto"/>
              <w:jc w:val="center"/>
              <w:rPr>
                <w:rFonts w:hint="eastAsia" w:ascii="宋体" w:hAnsi="宋体"/>
                <w:color w:val="auto"/>
                <w:szCs w:val="21"/>
                <w:highlight w:val="none"/>
              </w:rPr>
            </w:pPr>
            <w:r>
              <w:rPr>
                <w:rFonts w:hint="eastAsia" w:ascii="宋体" w:hAnsi="宋体"/>
                <w:color w:val="auto"/>
                <w:szCs w:val="21"/>
                <w:highlight w:val="none"/>
              </w:rPr>
              <w:t>评标方法</w:t>
            </w:r>
          </w:p>
        </w:tc>
        <w:tc>
          <w:tcPr>
            <w:tcW w:w="750" w:type="pct"/>
            <w:vAlign w:val="center"/>
          </w:tcPr>
          <w:p w14:paraId="33FC4EF8">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中标候选人排序方法</w:t>
            </w:r>
          </w:p>
        </w:tc>
        <w:tc>
          <w:tcPr>
            <w:tcW w:w="3463" w:type="pct"/>
            <w:vAlign w:val="center"/>
          </w:tcPr>
          <w:p w14:paraId="3A92BD09">
            <w:pPr>
              <w:spacing w:line="276" w:lineRule="auto"/>
              <w:rPr>
                <w:rFonts w:hint="eastAsia"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总报价低的优先；报价也相等的，以检测监测方案得分高的优先；如果检测监测方案得分也相等，由评标委员会采用记名投票方式，以得票多的优先。</w:t>
            </w:r>
          </w:p>
        </w:tc>
      </w:tr>
      <w:tr w14:paraId="2F7E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restart"/>
            <w:vAlign w:val="center"/>
          </w:tcPr>
          <w:p w14:paraId="0B4B960A">
            <w:pPr>
              <w:spacing w:line="276" w:lineRule="auto"/>
              <w:jc w:val="center"/>
              <w:rPr>
                <w:rFonts w:hint="eastAsia" w:ascii="宋体" w:hAnsi="宋体"/>
                <w:color w:val="auto"/>
                <w:szCs w:val="21"/>
                <w:highlight w:val="none"/>
              </w:rPr>
            </w:pPr>
            <w:r>
              <w:rPr>
                <w:rFonts w:ascii="宋体" w:hAnsi="宋体"/>
                <w:color w:val="auto"/>
                <w:szCs w:val="21"/>
                <w:highlight w:val="none"/>
              </w:rPr>
              <w:t>2.1.1</w:t>
            </w:r>
          </w:p>
        </w:tc>
        <w:tc>
          <w:tcPr>
            <w:tcW w:w="413" w:type="pct"/>
            <w:vMerge w:val="restart"/>
            <w:vAlign w:val="center"/>
          </w:tcPr>
          <w:p w14:paraId="2C55F837">
            <w:pPr>
              <w:spacing w:line="276" w:lineRule="auto"/>
              <w:jc w:val="center"/>
              <w:rPr>
                <w:rFonts w:hint="eastAsia" w:ascii="宋体" w:hAnsi="宋体"/>
                <w:color w:val="auto"/>
                <w:szCs w:val="21"/>
                <w:highlight w:val="none"/>
              </w:rPr>
            </w:pPr>
            <w:r>
              <w:rPr>
                <w:rFonts w:hint="eastAsia" w:ascii="宋体" w:hAnsi="宋体"/>
                <w:color w:val="auto"/>
                <w:szCs w:val="21"/>
                <w:highlight w:val="none"/>
              </w:rPr>
              <w:t>形式评审标准</w:t>
            </w:r>
          </w:p>
        </w:tc>
        <w:tc>
          <w:tcPr>
            <w:tcW w:w="750" w:type="pct"/>
            <w:vAlign w:val="center"/>
          </w:tcPr>
          <w:p w14:paraId="6A9B3F6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3463" w:type="pct"/>
            <w:vAlign w:val="center"/>
          </w:tcPr>
          <w:p w14:paraId="2EB13A07">
            <w:pPr>
              <w:spacing w:line="276" w:lineRule="auto"/>
              <w:rPr>
                <w:rFonts w:hint="eastAsia" w:ascii="宋体" w:hAnsi="宋体"/>
                <w:color w:val="auto"/>
                <w:szCs w:val="21"/>
                <w:highlight w:val="none"/>
              </w:rPr>
            </w:pPr>
            <w:r>
              <w:rPr>
                <w:rFonts w:hint="eastAsia" w:ascii="宋体" w:hAnsi="宋体"/>
                <w:color w:val="auto"/>
                <w:szCs w:val="21"/>
                <w:highlight w:val="none"/>
              </w:rPr>
              <w:t>与营业执照（或事业单位法人证书）、资质证书一致。</w:t>
            </w:r>
          </w:p>
        </w:tc>
      </w:tr>
      <w:tr w14:paraId="4140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35A11F53">
            <w:pPr>
              <w:spacing w:line="276" w:lineRule="auto"/>
              <w:rPr>
                <w:rFonts w:hint="eastAsia" w:ascii="宋体" w:hAnsi="宋体"/>
                <w:color w:val="auto"/>
                <w:szCs w:val="21"/>
                <w:highlight w:val="none"/>
              </w:rPr>
            </w:pPr>
          </w:p>
        </w:tc>
        <w:tc>
          <w:tcPr>
            <w:tcW w:w="413" w:type="pct"/>
            <w:vMerge w:val="continue"/>
            <w:vAlign w:val="center"/>
          </w:tcPr>
          <w:p w14:paraId="49B7AE2D">
            <w:pPr>
              <w:spacing w:line="276" w:lineRule="auto"/>
              <w:rPr>
                <w:rFonts w:hint="eastAsia" w:ascii="宋体" w:hAnsi="宋体"/>
                <w:color w:val="auto"/>
                <w:szCs w:val="21"/>
                <w:highlight w:val="none"/>
              </w:rPr>
            </w:pPr>
          </w:p>
        </w:tc>
        <w:tc>
          <w:tcPr>
            <w:tcW w:w="750" w:type="pct"/>
            <w:vAlign w:val="center"/>
          </w:tcPr>
          <w:p w14:paraId="5E0E3B4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3463" w:type="pct"/>
            <w:vAlign w:val="center"/>
          </w:tcPr>
          <w:p w14:paraId="4398D853">
            <w:pPr>
              <w:spacing w:line="276" w:lineRule="auto"/>
              <w:rPr>
                <w:rFonts w:hint="eastAsia"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投标函及其附表格式及签字盖章符合招标文件要求，由法定代表人签字的，应附法定代表人证明书，由代理人签字的，应附法定代表人证明书及授权委托书。</w:t>
            </w:r>
          </w:p>
        </w:tc>
      </w:tr>
      <w:tr w14:paraId="1851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43A6D540">
            <w:pPr>
              <w:spacing w:line="276" w:lineRule="auto"/>
              <w:rPr>
                <w:rFonts w:hint="eastAsia" w:ascii="宋体" w:hAnsi="宋体"/>
                <w:color w:val="auto"/>
                <w:szCs w:val="21"/>
                <w:highlight w:val="none"/>
              </w:rPr>
            </w:pPr>
          </w:p>
        </w:tc>
        <w:tc>
          <w:tcPr>
            <w:tcW w:w="413" w:type="pct"/>
            <w:vMerge w:val="continue"/>
            <w:vAlign w:val="center"/>
          </w:tcPr>
          <w:p w14:paraId="3D30E235">
            <w:pPr>
              <w:spacing w:line="276" w:lineRule="auto"/>
              <w:rPr>
                <w:rFonts w:hint="eastAsia" w:ascii="宋体" w:hAnsi="宋体"/>
                <w:color w:val="auto"/>
                <w:szCs w:val="21"/>
                <w:highlight w:val="none"/>
              </w:rPr>
            </w:pPr>
          </w:p>
        </w:tc>
        <w:tc>
          <w:tcPr>
            <w:tcW w:w="750" w:type="pct"/>
            <w:vAlign w:val="center"/>
          </w:tcPr>
          <w:p w14:paraId="39C71E14">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3463" w:type="pct"/>
            <w:vAlign w:val="center"/>
          </w:tcPr>
          <w:p w14:paraId="6E2028DE">
            <w:pPr>
              <w:spacing w:line="276" w:lineRule="auto"/>
              <w:rPr>
                <w:rFonts w:hint="eastAsia" w:ascii="宋体" w:hAnsi="宋体"/>
                <w:color w:val="auto"/>
                <w:szCs w:val="21"/>
                <w:highlight w:val="none"/>
              </w:rPr>
            </w:pPr>
            <w:r>
              <w:rPr>
                <w:rFonts w:hint="eastAsia" w:ascii="宋体" w:hAnsi="宋体"/>
                <w:color w:val="auto"/>
                <w:szCs w:val="21"/>
                <w:highlight w:val="none"/>
              </w:rPr>
              <w:t>符合第六章“投标文件格式”的规定。</w:t>
            </w:r>
          </w:p>
        </w:tc>
      </w:tr>
      <w:tr w14:paraId="061E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3A518F29">
            <w:pPr>
              <w:spacing w:line="276" w:lineRule="auto"/>
              <w:rPr>
                <w:rFonts w:hint="eastAsia" w:ascii="宋体" w:hAnsi="宋体"/>
                <w:color w:val="auto"/>
                <w:szCs w:val="21"/>
                <w:highlight w:val="none"/>
              </w:rPr>
            </w:pPr>
          </w:p>
        </w:tc>
        <w:tc>
          <w:tcPr>
            <w:tcW w:w="413" w:type="pct"/>
            <w:vMerge w:val="continue"/>
            <w:vAlign w:val="center"/>
          </w:tcPr>
          <w:p w14:paraId="185472AA">
            <w:pPr>
              <w:spacing w:line="276" w:lineRule="auto"/>
              <w:rPr>
                <w:rFonts w:hint="eastAsia" w:ascii="宋体" w:hAnsi="宋体"/>
                <w:color w:val="auto"/>
                <w:szCs w:val="21"/>
                <w:highlight w:val="none"/>
              </w:rPr>
            </w:pPr>
          </w:p>
        </w:tc>
        <w:tc>
          <w:tcPr>
            <w:tcW w:w="750" w:type="pct"/>
            <w:vAlign w:val="center"/>
          </w:tcPr>
          <w:p w14:paraId="124D85AF">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联合体投标人</w:t>
            </w:r>
          </w:p>
        </w:tc>
        <w:tc>
          <w:tcPr>
            <w:tcW w:w="3463" w:type="pct"/>
            <w:vAlign w:val="center"/>
          </w:tcPr>
          <w:p w14:paraId="14D8C98D">
            <w:pPr>
              <w:spacing w:line="276" w:lineRule="auto"/>
              <w:rPr>
                <w:rFonts w:hint="eastAsia" w:ascii="宋体" w:hAnsi="宋体"/>
                <w:color w:val="auto"/>
                <w:szCs w:val="21"/>
                <w:highlight w:val="none"/>
              </w:rPr>
            </w:pPr>
            <w:r>
              <w:rPr>
                <w:rFonts w:hint="eastAsia" w:ascii="宋体" w:hAnsi="宋体"/>
                <w:color w:val="auto"/>
                <w:szCs w:val="21"/>
                <w:highlight w:val="none"/>
              </w:rPr>
              <w:t>符合第二章“投标人须知”第 1.4.2 项规定</w:t>
            </w:r>
          </w:p>
        </w:tc>
      </w:tr>
      <w:tr w14:paraId="083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6FD5B234">
            <w:pPr>
              <w:spacing w:line="276" w:lineRule="auto"/>
              <w:rPr>
                <w:rFonts w:hint="eastAsia" w:ascii="宋体" w:hAnsi="宋体"/>
                <w:color w:val="auto"/>
                <w:szCs w:val="21"/>
                <w:highlight w:val="none"/>
              </w:rPr>
            </w:pPr>
          </w:p>
        </w:tc>
        <w:tc>
          <w:tcPr>
            <w:tcW w:w="413" w:type="pct"/>
            <w:vMerge w:val="continue"/>
            <w:vAlign w:val="center"/>
          </w:tcPr>
          <w:p w14:paraId="1FA06D8C">
            <w:pPr>
              <w:spacing w:line="276" w:lineRule="auto"/>
              <w:rPr>
                <w:rFonts w:hint="eastAsia" w:ascii="宋体" w:hAnsi="宋体"/>
                <w:color w:val="auto"/>
                <w:szCs w:val="21"/>
                <w:highlight w:val="none"/>
              </w:rPr>
            </w:pPr>
          </w:p>
        </w:tc>
        <w:tc>
          <w:tcPr>
            <w:tcW w:w="750" w:type="pct"/>
            <w:vAlign w:val="center"/>
          </w:tcPr>
          <w:p w14:paraId="4DB11DEE">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备选投标方案</w:t>
            </w:r>
          </w:p>
        </w:tc>
        <w:tc>
          <w:tcPr>
            <w:tcW w:w="3463" w:type="pct"/>
            <w:vAlign w:val="center"/>
          </w:tcPr>
          <w:p w14:paraId="29FC9060">
            <w:pPr>
              <w:spacing w:line="276" w:lineRule="auto"/>
              <w:rPr>
                <w:rFonts w:hint="eastAsia" w:ascii="宋体" w:hAnsi="宋体"/>
                <w:color w:val="auto"/>
                <w:szCs w:val="21"/>
                <w:highlight w:val="none"/>
              </w:rPr>
            </w:pPr>
            <w:r>
              <w:rPr>
                <w:rFonts w:hint="eastAsia" w:ascii="宋体" w:hAnsi="宋体"/>
                <w:color w:val="auto"/>
                <w:szCs w:val="21"/>
                <w:highlight w:val="none"/>
              </w:rPr>
              <w:t>不允许。</w:t>
            </w:r>
          </w:p>
        </w:tc>
      </w:tr>
      <w:tr w14:paraId="36CA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149E91F1">
            <w:pPr>
              <w:spacing w:line="276" w:lineRule="auto"/>
              <w:rPr>
                <w:rFonts w:hint="eastAsia" w:ascii="宋体" w:hAnsi="宋体"/>
                <w:color w:val="auto"/>
                <w:szCs w:val="21"/>
                <w:highlight w:val="none"/>
              </w:rPr>
            </w:pPr>
          </w:p>
        </w:tc>
        <w:tc>
          <w:tcPr>
            <w:tcW w:w="413" w:type="pct"/>
            <w:vMerge w:val="continue"/>
            <w:vAlign w:val="center"/>
          </w:tcPr>
          <w:p w14:paraId="40166E95">
            <w:pPr>
              <w:spacing w:line="276" w:lineRule="auto"/>
              <w:rPr>
                <w:rFonts w:hint="eastAsia" w:ascii="宋体" w:hAnsi="宋体"/>
                <w:color w:val="auto"/>
                <w:szCs w:val="21"/>
                <w:highlight w:val="none"/>
              </w:rPr>
            </w:pPr>
          </w:p>
        </w:tc>
        <w:tc>
          <w:tcPr>
            <w:tcW w:w="750" w:type="pct"/>
          </w:tcPr>
          <w:p w14:paraId="50D41F0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投标人机器码</w:t>
            </w:r>
          </w:p>
        </w:tc>
        <w:tc>
          <w:tcPr>
            <w:tcW w:w="3463" w:type="pct"/>
            <w:vAlign w:val="center"/>
          </w:tcPr>
          <w:p w14:paraId="3FEB27D7">
            <w:pPr>
              <w:spacing w:line="276" w:lineRule="auto"/>
              <w:rPr>
                <w:rFonts w:hint="eastAsia" w:ascii="宋体" w:hAnsi="宋体"/>
                <w:color w:val="auto"/>
                <w:szCs w:val="21"/>
                <w:highlight w:val="none"/>
              </w:rPr>
            </w:pPr>
            <w:r>
              <w:rPr>
                <w:rFonts w:hint="eastAsia" w:ascii="宋体" w:hAnsi="宋体"/>
                <w:color w:val="auto"/>
                <w:szCs w:val="21"/>
                <w:highlight w:val="none"/>
              </w:rPr>
              <w:t>不同投标人机器码相同（以广州交易集团有限公司（广州公共资源交易中心）评标系统的检索信息为准），将被否决。</w:t>
            </w:r>
          </w:p>
        </w:tc>
      </w:tr>
      <w:tr w14:paraId="6A5C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restart"/>
            <w:vAlign w:val="center"/>
          </w:tcPr>
          <w:p w14:paraId="5EDF06F3">
            <w:pPr>
              <w:spacing w:line="276" w:lineRule="auto"/>
              <w:jc w:val="center"/>
              <w:rPr>
                <w:rFonts w:hint="eastAsia" w:ascii="宋体" w:hAnsi="宋体"/>
                <w:color w:val="auto"/>
                <w:szCs w:val="21"/>
                <w:highlight w:val="none"/>
              </w:rPr>
            </w:pPr>
            <w:r>
              <w:rPr>
                <w:rFonts w:ascii="宋体" w:hAnsi="宋体"/>
                <w:color w:val="auto"/>
                <w:szCs w:val="21"/>
                <w:highlight w:val="none"/>
              </w:rPr>
              <w:t>2.1.2</w:t>
            </w:r>
          </w:p>
        </w:tc>
        <w:tc>
          <w:tcPr>
            <w:tcW w:w="413" w:type="pct"/>
            <w:vMerge w:val="restart"/>
            <w:vAlign w:val="center"/>
          </w:tcPr>
          <w:p w14:paraId="790BC18B">
            <w:pPr>
              <w:spacing w:line="276" w:lineRule="auto"/>
              <w:jc w:val="center"/>
              <w:rPr>
                <w:rFonts w:hint="eastAsia" w:ascii="宋体" w:hAnsi="宋体"/>
                <w:color w:val="auto"/>
                <w:szCs w:val="21"/>
                <w:highlight w:val="none"/>
              </w:rPr>
            </w:pPr>
            <w:r>
              <w:rPr>
                <w:rFonts w:hint="eastAsia" w:ascii="宋体" w:hAnsi="宋体"/>
                <w:color w:val="auto"/>
                <w:szCs w:val="21"/>
                <w:highlight w:val="none"/>
              </w:rPr>
              <w:t>资格评审标准</w:t>
            </w:r>
          </w:p>
        </w:tc>
        <w:tc>
          <w:tcPr>
            <w:tcW w:w="750" w:type="pct"/>
            <w:vAlign w:val="center"/>
          </w:tcPr>
          <w:p w14:paraId="157BCFC2">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营业执照</w:t>
            </w:r>
            <w:r>
              <w:rPr>
                <w:rFonts w:hint="eastAsia" w:ascii="宋体" w:hAnsi="宋体" w:cs="宋体"/>
                <w:color w:val="auto"/>
                <w:szCs w:val="21"/>
                <w:highlight w:val="none"/>
                <w:u w:val="single"/>
              </w:rPr>
              <w:t>（或事业单位法人证书）</w:t>
            </w:r>
          </w:p>
        </w:tc>
        <w:tc>
          <w:tcPr>
            <w:tcW w:w="3463" w:type="pct"/>
            <w:vAlign w:val="center"/>
          </w:tcPr>
          <w:p w14:paraId="5A6FEB93">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14:paraId="2E5E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7C9419FA">
            <w:pPr>
              <w:spacing w:line="276" w:lineRule="auto"/>
              <w:jc w:val="center"/>
              <w:rPr>
                <w:rFonts w:hint="eastAsia" w:ascii="宋体" w:hAnsi="宋体"/>
                <w:color w:val="auto"/>
                <w:szCs w:val="21"/>
                <w:highlight w:val="none"/>
              </w:rPr>
            </w:pPr>
          </w:p>
        </w:tc>
        <w:tc>
          <w:tcPr>
            <w:tcW w:w="413" w:type="pct"/>
            <w:vMerge w:val="continue"/>
            <w:vAlign w:val="center"/>
          </w:tcPr>
          <w:p w14:paraId="79CBFBCD">
            <w:pPr>
              <w:spacing w:line="276" w:lineRule="auto"/>
              <w:jc w:val="center"/>
              <w:rPr>
                <w:rFonts w:hint="eastAsia" w:ascii="宋体" w:hAnsi="宋体"/>
                <w:color w:val="auto"/>
                <w:szCs w:val="21"/>
                <w:highlight w:val="none"/>
              </w:rPr>
            </w:pPr>
          </w:p>
        </w:tc>
        <w:tc>
          <w:tcPr>
            <w:tcW w:w="750" w:type="pct"/>
            <w:vAlign w:val="center"/>
          </w:tcPr>
          <w:p w14:paraId="7042DE76">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资质要求</w:t>
            </w:r>
          </w:p>
        </w:tc>
        <w:tc>
          <w:tcPr>
            <w:tcW w:w="3463" w:type="pct"/>
            <w:vAlign w:val="center"/>
          </w:tcPr>
          <w:p w14:paraId="7675369F">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2A0F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01DC5C7E">
            <w:pPr>
              <w:spacing w:line="276" w:lineRule="auto"/>
              <w:jc w:val="center"/>
              <w:rPr>
                <w:rFonts w:hint="eastAsia" w:ascii="宋体" w:hAnsi="宋体"/>
                <w:color w:val="auto"/>
                <w:szCs w:val="21"/>
                <w:highlight w:val="none"/>
              </w:rPr>
            </w:pPr>
          </w:p>
        </w:tc>
        <w:tc>
          <w:tcPr>
            <w:tcW w:w="413" w:type="pct"/>
            <w:vMerge w:val="continue"/>
            <w:vAlign w:val="center"/>
          </w:tcPr>
          <w:p w14:paraId="7536F839">
            <w:pPr>
              <w:spacing w:line="276" w:lineRule="auto"/>
              <w:jc w:val="center"/>
              <w:rPr>
                <w:rFonts w:hint="eastAsia" w:ascii="宋体" w:hAnsi="宋体"/>
                <w:color w:val="auto"/>
                <w:szCs w:val="21"/>
                <w:highlight w:val="none"/>
              </w:rPr>
            </w:pPr>
          </w:p>
        </w:tc>
        <w:tc>
          <w:tcPr>
            <w:tcW w:w="750" w:type="pct"/>
            <w:vAlign w:val="center"/>
          </w:tcPr>
          <w:p w14:paraId="3F3F740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3463" w:type="pct"/>
            <w:vAlign w:val="center"/>
          </w:tcPr>
          <w:p w14:paraId="4EA6009E">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6E69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43056984">
            <w:pPr>
              <w:spacing w:line="276" w:lineRule="auto"/>
              <w:jc w:val="center"/>
              <w:rPr>
                <w:rFonts w:hint="eastAsia" w:ascii="宋体" w:hAnsi="宋体"/>
                <w:color w:val="auto"/>
                <w:szCs w:val="21"/>
                <w:highlight w:val="none"/>
              </w:rPr>
            </w:pPr>
          </w:p>
        </w:tc>
        <w:tc>
          <w:tcPr>
            <w:tcW w:w="413" w:type="pct"/>
            <w:vMerge w:val="continue"/>
            <w:vAlign w:val="center"/>
          </w:tcPr>
          <w:p w14:paraId="7E4541F9">
            <w:pPr>
              <w:spacing w:line="276" w:lineRule="auto"/>
              <w:jc w:val="center"/>
              <w:rPr>
                <w:rFonts w:hint="eastAsia" w:ascii="宋体" w:hAnsi="宋体"/>
                <w:color w:val="auto"/>
                <w:szCs w:val="21"/>
                <w:highlight w:val="none"/>
              </w:rPr>
            </w:pPr>
          </w:p>
        </w:tc>
        <w:tc>
          <w:tcPr>
            <w:tcW w:w="750" w:type="pct"/>
            <w:vAlign w:val="center"/>
          </w:tcPr>
          <w:p w14:paraId="772D3051">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3463" w:type="pct"/>
            <w:vAlign w:val="center"/>
          </w:tcPr>
          <w:p w14:paraId="0D415251">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5E72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28091214">
            <w:pPr>
              <w:spacing w:line="276" w:lineRule="auto"/>
              <w:jc w:val="center"/>
              <w:rPr>
                <w:rFonts w:hint="eastAsia" w:ascii="宋体" w:hAnsi="宋体"/>
                <w:color w:val="auto"/>
                <w:szCs w:val="21"/>
                <w:highlight w:val="none"/>
              </w:rPr>
            </w:pPr>
          </w:p>
        </w:tc>
        <w:tc>
          <w:tcPr>
            <w:tcW w:w="413" w:type="pct"/>
            <w:vMerge w:val="continue"/>
            <w:vAlign w:val="center"/>
          </w:tcPr>
          <w:p w14:paraId="2EFC8C0C">
            <w:pPr>
              <w:spacing w:line="276" w:lineRule="auto"/>
              <w:jc w:val="center"/>
              <w:rPr>
                <w:rFonts w:hint="eastAsia" w:ascii="宋体" w:hAnsi="宋体"/>
                <w:color w:val="auto"/>
                <w:szCs w:val="21"/>
                <w:highlight w:val="none"/>
              </w:rPr>
            </w:pPr>
          </w:p>
        </w:tc>
        <w:tc>
          <w:tcPr>
            <w:tcW w:w="750" w:type="pct"/>
            <w:vAlign w:val="center"/>
          </w:tcPr>
          <w:p w14:paraId="116BEE37">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联合体投标人</w:t>
            </w:r>
          </w:p>
        </w:tc>
        <w:tc>
          <w:tcPr>
            <w:tcW w:w="3463" w:type="pct"/>
            <w:vAlign w:val="center"/>
          </w:tcPr>
          <w:p w14:paraId="519D87C1">
            <w:pPr>
              <w:spacing w:line="276" w:lineRule="auto"/>
              <w:rPr>
                <w:rFonts w:hint="eastAsia" w:ascii="宋体" w:hAnsi="宋体"/>
                <w:color w:val="auto"/>
                <w:szCs w:val="21"/>
                <w:highlight w:val="none"/>
              </w:rPr>
            </w:pPr>
            <w:r>
              <w:rPr>
                <w:rFonts w:hint="eastAsia" w:ascii="宋体" w:hAnsi="宋体" w:cs="宋体"/>
                <w:color w:val="auto"/>
                <w:szCs w:val="21"/>
                <w:highlight w:val="none"/>
              </w:rPr>
              <w:t>符合第二章“投标人须知”第 1.4.2 项规定</w:t>
            </w:r>
            <w:r>
              <w:rPr>
                <w:rFonts w:hint="eastAsia" w:ascii="宋体" w:hAnsi="宋体"/>
                <w:color w:val="auto"/>
                <w:szCs w:val="21"/>
                <w:highlight w:val="none"/>
                <w:u w:val="none"/>
              </w:rPr>
              <w:t>。</w:t>
            </w:r>
          </w:p>
        </w:tc>
      </w:tr>
      <w:tr w14:paraId="31F3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4DCE75A4">
            <w:pPr>
              <w:spacing w:line="276" w:lineRule="auto"/>
              <w:jc w:val="center"/>
              <w:rPr>
                <w:rFonts w:hint="eastAsia" w:ascii="宋体" w:hAnsi="宋体"/>
                <w:color w:val="auto"/>
                <w:szCs w:val="21"/>
                <w:highlight w:val="none"/>
              </w:rPr>
            </w:pPr>
          </w:p>
        </w:tc>
        <w:tc>
          <w:tcPr>
            <w:tcW w:w="413" w:type="pct"/>
            <w:vMerge w:val="continue"/>
            <w:vAlign w:val="center"/>
          </w:tcPr>
          <w:p w14:paraId="12D08A29">
            <w:pPr>
              <w:spacing w:line="276" w:lineRule="auto"/>
              <w:jc w:val="center"/>
              <w:rPr>
                <w:rFonts w:hint="eastAsia" w:ascii="宋体" w:hAnsi="宋体"/>
                <w:color w:val="auto"/>
                <w:szCs w:val="21"/>
                <w:highlight w:val="none"/>
              </w:rPr>
            </w:pPr>
          </w:p>
        </w:tc>
        <w:tc>
          <w:tcPr>
            <w:tcW w:w="750" w:type="pct"/>
            <w:vAlign w:val="center"/>
          </w:tcPr>
          <w:p w14:paraId="3487E7C2">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专门面向中小企业</w:t>
            </w:r>
          </w:p>
        </w:tc>
        <w:tc>
          <w:tcPr>
            <w:tcW w:w="3463" w:type="pct"/>
            <w:vAlign w:val="center"/>
          </w:tcPr>
          <w:p w14:paraId="3FA68811">
            <w:p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按招标文件要求提供</w:t>
            </w:r>
            <w:r>
              <w:rPr>
                <w:rFonts w:hint="default" w:ascii="宋体" w:hAnsi="宋体" w:eastAsia="宋体" w:cs="宋体"/>
                <w:color w:val="auto"/>
                <w:szCs w:val="21"/>
                <w:highlight w:val="none"/>
                <w:lang w:val="en-US" w:eastAsia="zh-CN"/>
              </w:rPr>
              <w:t>中小企业证明材料</w:t>
            </w:r>
            <w:r>
              <w:rPr>
                <w:rFonts w:hint="eastAsia" w:ascii="宋体" w:hAnsi="宋体" w:cs="宋体"/>
                <w:color w:val="auto"/>
                <w:szCs w:val="21"/>
                <w:highlight w:val="none"/>
                <w:lang w:val="en-US" w:eastAsia="zh-CN"/>
              </w:rPr>
              <w:t>。</w:t>
            </w:r>
          </w:p>
        </w:tc>
      </w:tr>
      <w:tr w14:paraId="6CC3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vMerge w:val="continue"/>
            <w:vAlign w:val="center"/>
          </w:tcPr>
          <w:p w14:paraId="201DE326">
            <w:pPr>
              <w:spacing w:line="276" w:lineRule="auto"/>
              <w:jc w:val="center"/>
              <w:rPr>
                <w:rFonts w:hint="eastAsia" w:ascii="宋体" w:hAnsi="宋体"/>
                <w:color w:val="auto"/>
                <w:szCs w:val="21"/>
                <w:highlight w:val="none"/>
              </w:rPr>
            </w:pPr>
          </w:p>
        </w:tc>
        <w:tc>
          <w:tcPr>
            <w:tcW w:w="413" w:type="pct"/>
            <w:vMerge w:val="continue"/>
            <w:vAlign w:val="center"/>
          </w:tcPr>
          <w:p w14:paraId="5DC388A9">
            <w:pPr>
              <w:spacing w:line="276" w:lineRule="auto"/>
              <w:jc w:val="center"/>
              <w:rPr>
                <w:rFonts w:hint="eastAsia" w:ascii="宋体" w:hAnsi="宋体"/>
                <w:color w:val="auto"/>
                <w:szCs w:val="21"/>
                <w:highlight w:val="none"/>
              </w:rPr>
            </w:pPr>
          </w:p>
        </w:tc>
        <w:tc>
          <w:tcPr>
            <w:tcW w:w="750" w:type="pct"/>
            <w:vAlign w:val="center"/>
          </w:tcPr>
          <w:p w14:paraId="27FFAFF7">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不存在禁止投标的情形</w:t>
            </w:r>
          </w:p>
        </w:tc>
        <w:tc>
          <w:tcPr>
            <w:tcW w:w="3463" w:type="pct"/>
            <w:vAlign w:val="center"/>
          </w:tcPr>
          <w:p w14:paraId="5CEF9339">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不存在第二章“投标人须知”第 1.4.3 项规定的任何一种情形（以《投标申请人声明》为准）</w:t>
            </w:r>
          </w:p>
        </w:tc>
      </w:tr>
      <w:tr w14:paraId="2CDE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1" w:type="pct"/>
            <w:vMerge w:val="restart"/>
            <w:vAlign w:val="center"/>
          </w:tcPr>
          <w:p w14:paraId="4DB8DEAE">
            <w:pPr>
              <w:spacing w:line="276" w:lineRule="auto"/>
              <w:jc w:val="center"/>
              <w:rPr>
                <w:rFonts w:hint="eastAsia" w:ascii="宋体" w:hAnsi="宋体"/>
                <w:color w:val="auto"/>
                <w:szCs w:val="21"/>
                <w:highlight w:val="none"/>
              </w:rPr>
            </w:pPr>
            <w:r>
              <w:rPr>
                <w:rFonts w:ascii="宋体" w:hAnsi="宋体"/>
                <w:color w:val="auto"/>
                <w:szCs w:val="21"/>
                <w:highlight w:val="none"/>
              </w:rPr>
              <w:t>2.1.3</w:t>
            </w:r>
          </w:p>
        </w:tc>
        <w:tc>
          <w:tcPr>
            <w:tcW w:w="413" w:type="pct"/>
            <w:vMerge w:val="restart"/>
            <w:vAlign w:val="center"/>
          </w:tcPr>
          <w:p w14:paraId="2DC3FB21">
            <w:pPr>
              <w:spacing w:line="276" w:lineRule="auto"/>
              <w:jc w:val="center"/>
              <w:rPr>
                <w:rFonts w:hint="eastAsia" w:ascii="宋体" w:hAnsi="宋体"/>
                <w:color w:val="auto"/>
                <w:szCs w:val="21"/>
                <w:highlight w:val="none"/>
              </w:rPr>
            </w:pPr>
            <w:r>
              <w:rPr>
                <w:rFonts w:hint="eastAsia" w:ascii="宋体" w:hAnsi="宋体"/>
                <w:color w:val="auto"/>
                <w:szCs w:val="21"/>
                <w:highlight w:val="none"/>
              </w:rPr>
              <w:t>响应性评审标准</w:t>
            </w:r>
          </w:p>
        </w:tc>
        <w:tc>
          <w:tcPr>
            <w:tcW w:w="750" w:type="pct"/>
            <w:vAlign w:val="center"/>
          </w:tcPr>
          <w:p w14:paraId="70ACDC3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3463" w:type="pct"/>
            <w:vAlign w:val="center"/>
          </w:tcPr>
          <w:p w14:paraId="41B4A84C">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符合第二章“投标人须知”第3.2规定；</w:t>
            </w:r>
          </w:p>
        </w:tc>
      </w:tr>
      <w:tr w14:paraId="6775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0A60FABC">
            <w:pPr>
              <w:spacing w:line="276" w:lineRule="auto"/>
              <w:jc w:val="center"/>
              <w:rPr>
                <w:rFonts w:hint="eastAsia" w:ascii="宋体" w:hAnsi="宋体"/>
                <w:color w:val="auto"/>
                <w:szCs w:val="21"/>
                <w:highlight w:val="none"/>
              </w:rPr>
            </w:pPr>
          </w:p>
        </w:tc>
        <w:tc>
          <w:tcPr>
            <w:tcW w:w="413" w:type="pct"/>
            <w:vMerge w:val="continue"/>
            <w:vAlign w:val="center"/>
          </w:tcPr>
          <w:p w14:paraId="1FBBE67D">
            <w:pPr>
              <w:spacing w:line="276" w:lineRule="auto"/>
              <w:jc w:val="center"/>
              <w:rPr>
                <w:rFonts w:hint="eastAsia" w:ascii="宋体" w:hAnsi="宋体"/>
                <w:color w:val="auto"/>
                <w:szCs w:val="21"/>
                <w:highlight w:val="none"/>
              </w:rPr>
            </w:pPr>
          </w:p>
        </w:tc>
        <w:tc>
          <w:tcPr>
            <w:tcW w:w="750" w:type="pct"/>
            <w:vAlign w:val="center"/>
          </w:tcPr>
          <w:p w14:paraId="6A24C56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3463" w:type="pct"/>
            <w:vAlign w:val="center"/>
          </w:tcPr>
          <w:p w14:paraId="3D3E529B">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符合第二章“投标人须知”第1.3.1规定；</w:t>
            </w:r>
          </w:p>
        </w:tc>
      </w:tr>
      <w:tr w14:paraId="4349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154A7B33">
            <w:pPr>
              <w:spacing w:line="276" w:lineRule="auto"/>
              <w:jc w:val="center"/>
              <w:rPr>
                <w:rFonts w:hint="eastAsia" w:ascii="宋体" w:hAnsi="宋体"/>
                <w:color w:val="auto"/>
                <w:szCs w:val="21"/>
                <w:highlight w:val="none"/>
              </w:rPr>
            </w:pPr>
          </w:p>
        </w:tc>
        <w:tc>
          <w:tcPr>
            <w:tcW w:w="413" w:type="pct"/>
            <w:vMerge w:val="continue"/>
            <w:vAlign w:val="center"/>
          </w:tcPr>
          <w:p w14:paraId="33E0FB12">
            <w:pPr>
              <w:spacing w:line="276" w:lineRule="auto"/>
              <w:jc w:val="center"/>
              <w:rPr>
                <w:rFonts w:hint="eastAsia" w:ascii="宋体" w:hAnsi="宋体"/>
                <w:color w:val="auto"/>
                <w:szCs w:val="21"/>
                <w:highlight w:val="none"/>
              </w:rPr>
            </w:pPr>
          </w:p>
        </w:tc>
        <w:tc>
          <w:tcPr>
            <w:tcW w:w="750" w:type="pct"/>
            <w:vAlign w:val="center"/>
          </w:tcPr>
          <w:p w14:paraId="7D7139A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服务期限</w:t>
            </w:r>
          </w:p>
        </w:tc>
        <w:tc>
          <w:tcPr>
            <w:tcW w:w="3463" w:type="pct"/>
            <w:vAlign w:val="center"/>
          </w:tcPr>
          <w:p w14:paraId="33C0EE7F">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符合第二章“投标人须知”第1.3.2规定；</w:t>
            </w:r>
          </w:p>
        </w:tc>
      </w:tr>
      <w:tr w14:paraId="398F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555EBE78">
            <w:pPr>
              <w:spacing w:line="276" w:lineRule="auto"/>
              <w:jc w:val="center"/>
              <w:rPr>
                <w:rFonts w:hint="eastAsia" w:ascii="宋体" w:hAnsi="宋体"/>
                <w:color w:val="auto"/>
                <w:szCs w:val="21"/>
                <w:highlight w:val="none"/>
              </w:rPr>
            </w:pPr>
          </w:p>
        </w:tc>
        <w:tc>
          <w:tcPr>
            <w:tcW w:w="413" w:type="pct"/>
            <w:vMerge w:val="continue"/>
            <w:vAlign w:val="center"/>
          </w:tcPr>
          <w:p w14:paraId="760EC101">
            <w:pPr>
              <w:spacing w:line="276" w:lineRule="auto"/>
              <w:jc w:val="center"/>
              <w:rPr>
                <w:rFonts w:hint="eastAsia" w:ascii="宋体" w:hAnsi="宋体"/>
                <w:color w:val="auto"/>
                <w:szCs w:val="21"/>
                <w:highlight w:val="none"/>
              </w:rPr>
            </w:pPr>
          </w:p>
        </w:tc>
        <w:tc>
          <w:tcPr>
            <w:tcW w:w="750" w:type="pct"/>
            <w:vAlign w:val="center"/>
          </w:tcPr>
          <w:p w14:paraId="54C674F0">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3463" w:type="pct"/>
            <w:vAlign w:val="center"/>
          </w:tcPr>
          <w:p w14:paraId="7CC0AC8F">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符合第二章“投标人须知”第1.3.3规定；</w:t>
            </w:r>
          </w:p>
        </w:tc>
      </w:tr>
      <w:tr w14:paraId="7E39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vMerge w:val="continue"/>
            <w:vAlign w:val="center"/>
          </w:tcPr>
          <w:p w14:paraId="56BDB940">
            <w:pPr>
              <w:spacing w:line="276" w:lineRule="auto"/>
              <w:jc w:val="center"/>
              <w:rPr>
                <w:rFonts w:hint="eastAsia" w:ascii="宋体" w:hAnsi="宋体"/>
                <w:color w:val="auto"/>
                <w:szCs w:val="21"/>
                <w:highlight w:val="none"/>
              </w:rPr>
            </w:pPr>
          </w:p>
        </w:tc>
        <w:tc>
          <w:tcPr>
            <w:tcW w:w="413" w:type="pct"/>
            <w:vMerge w:val="continue"/>
            <w:vAlign w:val="center"/>
          </w:tcPr>
          <w:p w14:paraId="40FC8F2F">
            <w:pPr>
              <w:spacing w:line="276" w:lineRule="auto"/>
              <w:jc w:val="center"/>
              <w:rPr>
                <w:rFonts w:hint="eastAsia" w:ascii="宋体" w:hAnsi="宋体"/>
                <w:color w:val="auto"/>
                <w:szCs w:val="21"/>
                <w:highlight w:val="none"/>
              </w:rPr>
            </w:pPr>
          </w:p>
        </w:tc>
        <w:tc>
          <w:tcPr>
            <w:tcW w:w="750" w:type="pct"/>
            <w:vAlign w:val="center"/>
          </w:tcPr>
          <w:p w14:paraId="52E30705">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3463" w:type="pct"/>
          </w:tcPr>
          <w:p w14:paraId="76D920A0">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符合第二章“投标人须知”第3.3.1规定；</w:t>
            </w:r>
          </w:p>
        </w:tc>
      </w:tr>
      <w:tr w14:paraId="6719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vMerge w:val="continue"/>
            <w:vAlign w:val="center"/>
          </w:tcPr>
          <w:p w14:paraId="7D28EFE5">
            <w:pPr>
              <w:spacing w:line="276" w:lineRule="auto"/>
              <w:jc w:val="center"/>
              <w:rPr>
                <w:rFonts w:hint="eastAsia" w:ascii="宋体" w:hAnsi="宋体"/>
                <w:color w:val="auto"/>
                <w:szCs w:val="21"/>
                <w:highlight w:val="none"/>
              </w:rPr>
            </w:pPr>
          </w:p>
        </w:tc>
        <w:tc>
          <w:tcPr>
            <w:tcW w:w="413" w:type="pct"/>
            <w:vMerge w:val="continue"/>
            <w:vAlign w:val="center"/>
          </w:tcPr>
          <w:p w14:paraId="55FBE74B">
            <w:pPr>
              <w:spacing w:line="276" w:lineRule="auto"/>
              <w:jc w:val="center"/>
              <w:rPr>
                <w:rFonts w:hint="eastAsia" w:ascii="宋体" w:hAnsi="宋体"/>
                <w:color w:val="auto"/>
                <w:szCs w:val="21"/>
                <w:highlight w:val="none"/>
              </w:rPr>
            </w:pPr>
          </w:p>
        </w:tc>
        <w:tc>
          <w:tcPr>
            <w:tcW w:w="750" w:type="pct"/>
            <w:vAlign w:val="center"/>
          </w:tcPr>
          <w:p w14:paraId="39C4ACFD">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3463" w:type="pct"/>
          </w:tcPr>
          <w:p w14:paraId="55D3156E">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符合第二章“投标人须知”第3.4.1规定；</w:t>
            </w:r>
          </w:p>
        </w:tc>
      </w:tr>
      <w:tr w14:paraId="77AE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vMerge w:val="continue"/>
            <w:vAlign w:val="center"/>
          </w:tcPr>
          <w:p w14:paraId="07E3242D">
            <w:pPr>
              <w:spacing w:line="276" w:lineRule="auto"/>
              <w:jc w:val="center"/>
              <w:rPr>
                <w:rFonts w:hint="eastAsia" w:ascii="宋体" w:hAnsi="宋体"/>
                <w:color w:val="auto"/>
                <w:szCs w:val="21"/>
                <w:highlight w:val="none"/>
              </w:rPr>
            </w:pPr>
          </w:p>
        </w:tc>
        <w:tc>
          <w:tcPr>
            <w:tcW w:w="413" w:type="pct"/>
            <w:vMerge w:val="continue"/>
            <w:vAlign w:val="center"/>
          </w:tcPr>
          <w:p w14:paraId="4958F356">
            <w:pPr>
              <w:spacing w:line="276" w:lineRule="auto"/>
              <w:jc w:val="center"/>
              <w:rPr>
                <w:rFonts w:hint="eastAsia" w:ascii="宋体" w:hAnsi="宋体"/>
                <w:color w:val="auto"/>
                <w:szCs w:val="21"/>
                <w:highlight w:val="none"/>
              </w:rPr>
            </w:pPr>
          </w:p>
        </w:tc>
        <w:tc>
          <w:tcPr>
            <w:tcW w:w="750" w:type="pct"/>
            <w:vAlign w:val="center"/>
          </w:tcPr>
          <w:p w14:paraId="038CB02A">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串通投标情形</w:t>
            </w:r>
          </w:p>
        </w:tc>
        <w:tc>
          <w:tcPr>
            <w:tcW w:w="3463" w:type="pct"/>
          </w:tcPr>
          <w:p w14:paraId="736E67CD">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不存在串通投标情形（串通投标情形以《中华人民共和国招标投标法实施条例》的规定为准）；</w:t>
            </w:r>
          </w:p>
        </w:tc>
      </w:tr>
      <w:tr w14:paraId="6863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85" w:type="pct"/>
            <w:gridSpan w:val="2"/>
            <w:vAlign w:val="center"/>
          </w:tcPr>
          <w:p w14:paraId="6AF4B5B9">
            <w:pPr>
              <w:spacing w:line="276" w:lineRule="auto"/>
              <w:jc w:val="center"/>
              <w:rPr>
                <w:rFonts w:hint="eastAsia" w:ascii="宋体" w:hAnsi="宋体"/>
                <w:color w:val="auto"/>
                <w:szCs w:val="21"/>
                <w:highlight w:val="none"/>
              </w:rPr>
            </w:pPr>
            <w:r>
              <w:rPr>
                <w:rFonts w:ascii="宋体" w:hAnsi="宋体"/>
                <w:color w:val="auto"/>
                <w:szCs w:val="21"/>
                <w:highlight w:val="none"/>
              </w:rPr>
              <w:t>2.2.1</w:t>
            </w:r>
          </w:p>
        </w:tc>
        <w:tc>
          <w:tcPr>
            <w:tcW w:w="750" w:type="pct"/>
            <w:vAlign w:val="center"/>
          </w:tcPr>
          <w:p w14:paraId="5B7B9F22">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77572E3E">
            <w:pPr>
              <w:spacing w:line="276" w:lineRule="auto"/>
              <w:jc w:val="center"/>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r>
              <w:rPr>
                <w:rFonts w:ascii="宋体" w:hAnsi="宋体" w:cs="宋体"/>
                <w:color w:val="auto"/>
                <w:szCs w:val="21"/>
                <w:highlight w:val="none"/>
              </w:rPr>
              <w:t>)</w:t>
            </w:r>
          </w:p>
        </w:tc>
        <w:tc>
          <w:tcPr>
            <w:tcW w:w="3463" w:type="pct"/>
            <w:vAlign w:val="center"/>
          </w:tcPr>
          <w:p w14:paraId="401BEB54">
            <w:pPr>
              <w:spacing w:line="240" w:lineRule="auto"/>
              <w:rPr>
                <w:color w:val="auto"/>
                <w:highlight w:val="none"/>
              </w:rPr>
            </w:pPr>
            <w:r>
              <w:rPr>
                <w:rFonts w:hint="eastAsia"/>
                <w:color w:val="auto"/>
                <w:highlight w:val="none"/>
              </w:rPr>
              <w:t>A企业综合实力部分：</w:t>
            </w:r>
            <w:r>
              <w:rPr>
                <w:rFonts w:hint="eastAsia"/>
                <w:color w:val="auto"/>
                <w:highlight w:val="none"/>
                <w:lang w:val="en-US" w:eastAsia="zh-CN"/>
              </w:rPr>
              <w:t>45</w:t>
            </w:r>
            <w:r>
              <w:rPr>
                <w:rFonts w:hint="eastAsia"/>
                <w:color w:val="auto"/>
                <w:highlight w:val="none"/>
              </w:rPr>
              <w:t>分</w:t>
            </w:r>
          </w:p>
          <w:p w14:paraId="75B060A8">
            <w:pPr>
              <w:spacing w:line="240" w:lineRule="auto"/>
              <w:rPr>
                <w:color w:val="auto"/>
                <w:highlight w:val="none"/>
              </w:rPr>
            </w:pPr>
            <w:r>
              <w:rPr>
                <w:rFonts w:hint="eastAsia"/>
                <w:color w:val="auto"/>
                <w:highlight w:val="none"/>
              </w:rPr>
              <w:t>B技术方案部分：</w:t>
            </w:r>
            <w:r>
              <w:rPr>
                <w:rFonts w:hint="eastAsia"/>
                <w:color w:val="auto"/>
                <w:highlight w:val="none"/>
                <w:lang w:val="en-US" w:eastAsia="zh-CN"/>
              </w:rPr>
              <w:t>35</w:t>
            </w:r>
            <w:r>
              <w:rPr>
                <w:rFonts w:hint="eastAsia"/>
                <w:color w:val="auto"/>
                <w:highlight w:val="none"/>
              </w:rPr>
              <w:t>分</w:t>
            </w:r>
          </w:p>
          <w:p w14:paraId="75838AB6">
            <w:pPr>
              <w:spacing w:line="240" w:lineRule="auto"/>
              <w:rPr>
                <w:color w:val="auto"/>
                <w:highlight w:val="none"/>
              </w:rPr>
            </w:pPr>
            <w:r>
              <w:rPr>
                <w:rFonts w:hint="eastAsia"/>
                <w:color w:val="auto"/>
                <w:highlight w:val="none"/>
              </w:rPr>
              <w:t>C投标报价部分：</w:t>
            </w:r>
            <w:r>
              <w:rPr>
                <w:rFonts w:hint="eastAsia"/>
                <w:color w:val="auto"/>
                <w:highlight w:val="none"/>
                <w:lang w:val="en-US" w:eastAsia="zh-CN"/>
              </w:rPr>
              <w:t>2</w:t>
            </w:r>
            <w:r>
              <w:rPr>
                <w:rFonts w:hint="eastAsia"/>
                <w:color w:val="auto"/>
                <w:highlight w:val="none"/>
              </w:rPr>
              <w:t>0分</w:t>
            </w:r>
          </w:p>
          <w:p w14:paraId="0F2FD69B">
            <w:pPr>
              <w:spacing w:line="240" w:lineRule="auto"/>
              <w:rPr>
                <w:color w:val="auto"/>
                <w:highlight w:val="none"/>
              </w:rPr>
            </w:pPr>
            <w:r>
              <w:rPr>
                <w:rFonts w:hint="eastAsia" w:ascii="宋体" w:hAnsi="宋体" w:cs="宋体"/>
                <w:color w:val="auto"/>
                <w:szCs w:val="21"/>
                <w:highlight w:val="none"/>
              </w:rPr>
              <w:t>注：投标人综合得分为各评委A+B+C评分的算术平均分，评分如出现小数点，则保留小数点后二位，第三位四舍五入。</w:t>
            </w:r>
          </w:p>
        </w:tc>
      </w:tr>
      <w:tr w14:paraId="79C5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pct"/>
            <w:gridSpan w:val="2"/>
            <w:vAlign w:val="center"/>
          </w:tcPr>
          <w:p w14:paraId="6CBA7F5D">
            <w:pPr>
              <w:spacing w:line="276" w:lineRule="auto"/>
              <w:jc w:val="center"/>
              <w:rPr>
                <w:rFonts w:hint="eastAsia" w:ascii="宋体" w:hAnsi="宋体"/>
                <w:color w:val="auto"/>
                <w:szCs w:val="21"/>
                <w:highlight w:val="none"/>
              </w:rPr>
            </w:pPr>
            <w:r>
              <w:rPr>
                <w:rFonts w:ascii="宋体" w:hAnsi="宋体"/>
                <w:color w:val="auto"/>
                <w:szCs w:val="21"/>
                <w:highlight w:val="none"/>
              </w:rPr>
              <w:t>2.2.2</w:t>
            </w:r>
          </w:p>
        </w:tc>
        <w:tc>
          <w:tcPr>
            <w:tcW w:w="750" w:type="pct"/>
            <w:vAlign w:val="center"/>
          </w:tcPr>
          <w:p w14:paraId="04ABDED5">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3463" w:type="pct"/>
            <w:vAlign w:val="center"/>
          </w:tcPr>
          <w:p w14:paraId="60621B8E">
            <w:pPr>
              <w:rPr>
                <w:rFonts w:hint="eastAsia" w:ascii="宋体" w:hAnsi="宋体" w:cs="宋体"/>
                <w:color w:val="auto"/>
                <w:szCs w:val="21"/>
                <w:highlight w:val="none"/>
              </w:rPr>
            </w:pPr>
            <w:r>
              <w:rPr>
                <w:rFonts w:hint="eastAsia" w:ascii="宋体" w:hAnsi="宋体" w:cs="宋体"/>
                <w:color w:val="auto"/>
                <w:szCs w:val="21"/>
                <w:highlight w:val="none"/>
              </w:rPr>
              <w:t>投标报价得分以评标基准价作为计算各有效投标总报价得分的基础，当有效投标总报价等于评标基准价时得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0分；有效投标总报价与评标基准价相比，每上偏1%扣0.5分，每下偏1%扣0.3分。</w:t>
            </w:r>
            <w:r>
              <w:rPr>
                <w:rFonts w:hint="eastAsia" w:ascii="宋体" w:hAnsi="宋体" w:cs="宋体"/>
                <w:color w:val="auto"/>
                <w:szCs w:val="21"/>
                <w:highlight w:val="none"/>
                <w:lang w:bidi="ar"/>
              </w:rPr>
              <w:t>最多扣</w:t>
            </w: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bidi="ar"/>
              </w:rPr>
              <w:t>0分</w:t>
            </w:r>
            <w:r>
              <w:rPr>
                <w:rFonts w:hint="eastAsia" w:ascii="宋体" w:hAnsi="宋体" w:cs="宋体"/>
                <w:color w:val="auto"/>
                <w:szCs w:val="21"/>
                <w:highlight w:val="none"/>
              </w:rPr>
              <w:t>。</w:t>
            </w:r>
          </w:p>
          <w:p w14:paraId="139E5E19">
            <w:pPr>
              <w:rPr>
                <w:rFonts w:hint="eastAsia" w:ascii="宋体" w:hAnsi="宋体" w:cs="宋体"/>
                <w:color w:val="auto"/>
                <w:szCs w:val="21"/>
                <w:highlight w:val="none"/>
              </w:rPr>
            </w:pPr>
            <w:r>
              <w:rPr>
                <w:rFonts w:hint="eastAsia" w:ascii="宋体" w:hAnsi="宋体" w:cs="宋体"/>
                <w:color w:val="auto"/>
                <w:szCs w:val="21"/>
                <w:highlight w:val="none"/>
              </w:rPr>
              <w:t>注：（1）当通过初步评审在位于[最高投标限价×90%，最高投标限价]区间的投标总报价中的有效投标人大于或等于5名时，所有入围的有效投标总报价中去掉一个最高价和一个最低价，取余下有效投标总报价的算术平均值作为评标基准价。当通过初步评审在位于[最高投标限价×90%，最高投标限价]区间的投标总报价中的有效投标人小于5名时，取所有入围的有效投标总报价的算术平均值作为评标基准价。若当通过初步评审没有投标总报价位于[最高投标限价×90%，最高投标限价]区间的有效投标人，取最高投标限价×90%作为评标基准价。</w:t>
            </w:r>
          </w:p>
          <w:p w14:paraId="69B3427F">
            <w:pPr>
              <w:jc w:val="left"/>
              <w:rPr>
                <w:rFonts w:hint="eastAsia" w:ascii="宋体" w:hAnsi="宋体"/>
                <w:color w:val="auto"/>
                <w:szCs w:val="21"/>
                <w:highlight w:val="none"/>
              </w:rPr>
            </w:pPr>
            <w:r>
              <w:rPr>
                <w:rFonts w:hint="eastAsia" w:ascii="宋体" w:hAnsi="宋体" w:cs="宋体"/>
                <w:color w:val="auto"/>
                <w:szCs w:val="21"/>
                <w:highlight w:val="none"/>
              </w:rPr>
              <w:t>（2）投标人的得分为各评委评分的算术平均值，评分如出现小数点，则保留小数点后两位，第三位四舍五入。</w:t>
            </w:r>
          </w:p>
        </w:tc>
      </w:tr>
      <w:tr w14:paraId="626B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85" w:type="pct"/>
            <w:gridSpan w:val="2"/>
            <w:vAlign w:val="center"/>
          </w:tcPr>
          <w:p w14:paraId="4F40C8ED">
            <w:pPr>
              <w:spacing w:line="276" w:lineRule="auto"/>
              <w:jc w:val="center"/>
              <w:rPr>
                <w:rFonts w:hint="eastAsia" w:ascii="宋体" w:hAnsi="宋体"/>
                <w:color w:val="auto"/>
                <w:szCs w:val="21"/>
                <w:highlight w:val="none"/>
              </w:rPr>
            </w:pPr>
            <w:r>
              <w:rPr>
                <w:rFonts w:ascii="宋体" w:hAnsi="宋体"/>
                <w:color w:val="auto"/>
                <w:szCs w:val="21"/>
                <w:highlight w:val="none"/>
              </w:rPr>
              <w:t>2.2.3</w:t>
            </w:r>
          </w:p>
        </w:tc>
        <w:tc>
          <w:tcPr>
            <w:tcW w:w="750" w:type="pct"/>
            <w:vAlign w:val="center"/>
          </w:tcPr>
          <w:p w14:paraId="41132D81">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3463" w:type="pct"/>
            <w:vAlign w:val="center"/>
          </w:tcPr>
          <w:p w14:paraId="70405766">
            <w:pPr>
              <w:spacing w:line="240" w:lineRule="auto"/>
              <w:rPr>
                <w:rFonts w:hint="eastAsia" w:ascii="宋体" w:hAnsi="宋体"/>
                <w:color w:val="auto"/>
                <w:szCs w:val="21"/>
                <w:highlight w:val="none"/>
              </w:rPr>
            </w:pPr>
            <w:r>
              <w:rPr>
                <w:rFonts w:hint="eastAsia" w:ascii="宋体" w:hAnsi="宋体"/>
                <w:color w:val="auto"/>
                <w:szCs w:val="21"/>
                <w:highlight w:val="none"/>
              </w:rPr>
              <w:t>偏差率=100%×|投标人报价-评标基准价|/评标基准价（偏差率出现小数点时，保留小数点后2位，第三位小数四舍五入。）</w:t>
            </w:r>
          </w:p>
        </w:tc>
      </w:tr>
      <w:tr w14:paraId="6F68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71" w:type="pct"/>
            <w:vMerge w:val="restart"/>
            <w:vAlign w:val="center"/>
          </w:tcPr>
          <w:p w14:paraId="5F4985AE">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rPr>
              <w:t>2.2.4（1）</w:t>
            </w:r>
          </w:p>
        </w:tc>
        <w:tc>
          <w:tcPr>
            <w:tcW w:w="413" w:type="pct"/>
            <w:vMerge w:val="restart"/>
            <w:vAlign w:val="center"/>
          </w:tcPr>
          <w:p w14:paraId="1B344440">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企业综合实力评分标准</w:t>
            </w:r>
          </w:p>
        </w:tc>
        <w:tc>
          <w:tcPr>
            <w:tcW w:w="750" w:type="pct"/>
            <w:vAlign w:val="center"/>
          </w:tcPr>
          <w:p w14:paraId="43B7CBBD">
            <w:pPr>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企业业绩</w:t>
            </w:r>
            <w:r>
              <w:rPr>
                <w:rFonts w:hint="eastAsia" w:ascii="宋体" w:hAnsi="宋体" w:cs="宋体"/>
                <w:color w:val="auto"/>
                <w:szCs w:val="21"/>
                <w:highlight w:val="none"/>
              </w:rPr>
              <w:br w:type="textWrapping"/>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6分</w:t>
            </w:r>
            <w:r>
              <w:rPr>
                <w:rFonts w:hint="eastAsia" w:ascii="宋体" w:hAnsi="宋体" w:cs="宋体"/>
                <w:color w:val="auto"/>
                <w:szCs w:val="21"/>
                <w:highlight w:val="none"/>
                <w:lang w:eastAsia="zh-CN"/>
              </w:rPr>
              <w:t>）</w:t>
            </w:r>
          </w:p>
        </w:tc>
        <w:tc>
          <w:tcPr>
            <w:tcW w:w="3463" w:type="pct"/>
            <w:vAlign w:val="center"/>
          </w:tcPr>
          <w:p w14:paraId="601030C2">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自2021年1月1日至投标截止时间止，投标人承接过单个合同额2</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万元以上的类似检测业绩，每项得1.5分，本项最高得6分。</w:t>
            </w:r>
          </w:p>
        </w:tc>
      </w:tr>
      <w:tr w14:paraId="1319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vMerge w:val="continue"/>
            <w:vAlign w:val="center"/>
          </w:tcPr>
          <w:p w14:paraId="1EFADA6C">
            <w:pPr>
              <w:spacing w:line="276" w:lineRule="auto"/>
              <w:jc w:val="center"/>
              <w:rPr>
                <w:rFonts w:hint="eastAsia" w:ascii="宋体" w:hAnsi="宋体" w:cs="宋体"/>
                <w:color w:val="auto"/>
                <w:szCs w:val="21"/>
                <w:highlight w:val="none"/>
              </w:rPr>
            </w:pPr>
          </w:p>
        </w:tc>
        <w:tc>
          <w:tcPr>
            <w:tcW w:w="413" w:type="pct"/>
            <w:vMerge w:val="continue"/>
            <w:vAlign w:val="center"/>
          </w:tcPr>
          <w:p w14:paraId="5258F69C">
            <w:pPr>
              <w:spacing w:line="276" w:lineRule="auto"/>
              <w:jc w:val="center"/>
              <w:rPr>
                <w:rFonts w:hint="eastAsia" w:ascii="宋体" w:hAnsi="宋体" w:cs="宋体"/>
                <w:color w:val="auto"/>
                <w:szCs w:val="21"/>
                <w:highlight w:val="none"/>
              </w:rPr>
            </w:pPr>
          </w:p>
        </w:tc>
        <w:tc>
          <w:tcPr>
            <w:tcW w:w="750" w:type="pct"/>
            <w:vMerge w:val="restart"/>
            <w:vAlign w:val="center"/>
          </w:tcPr>
          <w:p w14:paraId="0533523D">
            <w:pPr>
              <w:spacing w:line="24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企业资信</w:t>
            </w:r>
          </w:p>
          <w:p w14:paraId="3D577A2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（9分）</w:t>
            </w:r>
          </w:p>
        </w:tc>
        <w:tc>
          <w:tcPr>
            <w:tcW w:w="3463" w:type="pct"/>
            <w:vAlign w:val="center"/>
          </w:tcPr>
          <w:p w14:paraId="6D55CEDA">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具有有效期内的中国合格评定国家认可委员会（CNAS）检验机构</w:t>
            </w:r>
            <w:r>
              <w:rPr>
                <w:rFonts w:hint="eastAsia" w:ascii="宋体" w:hAnsi="宋体" w:cs="宋体"/>
                <w:color w:val="auto"/>
                <w:szCs w:val="21"/>
                <w:highlight w:val="none"/>
                <w:lang w:val="en-US" w:eastAsia="zh-CN"/>
              </w:rPr>
              <w:t>能力</w:t>
            </w:r>
            <w:r>
              <w:rPr>
                <w:rFonts w:hint="eastAsia" w:ascii="宋体" w:hAnsi="宋体" w:cs="宋体"/>
                <w:color w:val="auto"/>
                <w:szCs w:val="21"/>
                <w:highlight w:val="none"/>
              </w:rPr>
              <w:t>认可证书或实验室认可证书</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，得3分。</w:t>
            </w:r>
          </w:p>
        </w:tc>
      </w:tr>
      <w:tr w14:paraId="29A8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vMerge w:val="continue"/>
            <w:vAlign w:val="center"/>
          </w:tcPr>
          <w:p w14:paraId="30DEABE8">
            <w:pPr>
              <w:spacing w:line="276" w:lineRule="auto"/>
              <w:jc w:val="center"/>
              <w:rPr>
                <w:rFonts w:hint="eastAsia" w:ascii="宋体" w:hAnsi="宋体" w:cs="宋体"/>
                <w:color w:val="auto"/>
                <w:szCs w:val="21"/>
                <w:highlight w:val="none"/>
              </w:rPr>
            </w:pPr>
          </w:p>
        </w:tc>
        <w:tc>
          <w:tcPr>
            <w:tcW w:w="413" w:type="pct"/>
            <w:vMerge w:val="continue"/>
            <w:vAlign w:val="center"/>
          </w:tcPr>
          <w:p w14:paraId="44A88E35">
            <w:pPr>
              <w:spacing w:line="276" w:lineRule="auto"/>
              <w:jc w:val="center"/>
              <w:rPr>
                <w:rFonts w:hint="eastAsia" w:ascii="宋体" w:hAnsi="宋体" w:cs="宋体"/>
                <w:color w:val="auto"/>
                <w:szCs w:val="21"/>
                <w:highlight w:val="none"/>
              </w:rPr>
            </w:pPr>
          </w:p>
        </w:tc>
        <w:tc>
          <w:tcPr>
            <w:tcW w:w="750" w:type="pct"/>
            <w:vMerge w:val="continue"/>
            <w:vAlign w:val="center"/>
          </w:tcPr>
          <w:p w14:paraId="6CB8D5BB">
            <w:pPr>
              <w:spacing w:line="360" w:lineRule="auto"/>
              <w:jc w:val="center"/>
              <w:rPr>
                <w:rFonts w:hint="eastAsia" w:ascii="宋体" w:hAnsi="宋体" w:cs="宋体"/>
                <w:color w:val="auto"/>
                <w:szCs w:val="21"/>
                <w:highlight w:val="none"/>
                <w:lang w:val="en-US" w:eastAsia="zh-CN"/>
              </w:rPr>
            </w:pPr>
          </w:p>
        </w:tc>
        <w:tc>
          <w:tcPr>
            <w:tcW w:w="3463" w:type="pct"/>
            <w:vAlign w:val="center"/>
          </w:tcPr>
          <w:p w14:paraId="64DACFB4">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具备有效期内</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“环境管理体系、职业健康安全管理体系、质量管理体系、履约能力评价体系”认证证书，每</w:t>
            </w:r>
            <w:r>
              <w:rPr>
                <w:rFonts w:hint="eastAsia" w:ascii="宋体" w:hAnsi="宋体" w:cs="宋体"/>
                <w:color w:val="auto"/>
                <w:szCs w:val="21"/>
                <w:highlight w:val="none"/>
                <w:lang w:val="en-US" w:eastAsia="zh-CN"/>
              </w:rPr>
              <w:t>项得1.5</w:t>
            </w:r>
            <w:r>
              <w:rPr>
                <w:rFonts w:hint="eastAsia" w:ascii="宋体" w:hAnsi="宋体" w:cs="宋体"/>
                <w:color w:val="auto"/>
                <w:szCs w:val="21"/>
                <w:highlight w:val="none"/>
              </w:rPr>
              <w:t>分，本项最高得6分。</w:t>
            </w:r>
          </w:p>
        </w:tc>
      </w:tr>
      <w:tr w14:paraId="008B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vMerge w:val="continue"/>
            <w:vAlign w:val="center"/>
          </w:tcPr>
          <w:p w14:paraId="127D2397">
            <w:pPr>
              <w:spacing w:line="276" w:lineRule="auto"/>
              <w:jc w:val="center"/>
              <w:rPr>
                <w:rFonts w:hint="eastAsia" w:ascii="宋体" w:hAnsi="宋体"/>
                <w:color w:val="auto"/>
                <w:szCs w:val="21"/>
                <w:highlight w:val="none"/>
              </w:rPr>
            </w:pPr>
          </w:p>
        </w:tc>
        <w:tc>
          <w:tcPr>
            <w:tcW w:w="413" w:type="pct"/>
            <w:vMerge w:val="continue"/>
            <w:vAlign w:val="center"/>
          </w:tcPr>
          <w:p w14:paraId="126FD362">
            <w:pPr>
              <w:spacing w:line="276" w:lineRule="auto"/>
              <w:jc w:val="center"/>
              <w:rPr>
                <w:rFonts w:hint="eastAsia" w:ascii="宋体" w:hAnsi="宋体"/>
                <w:color w:val="auto"/>
                <w:szCs w:val="21"/>
                <w:highlight w:val="none"/>
              </w:rPr>
            </w:pPr>
          </w:p>
        </w:tc>
        <w:tc>
          <w:tcPr>
            <w:tcW w:w="750" w:type="pct"/>
            <w:vMerge w:val="restart"/>
            <w:vAlign w:val="center"/>
          </w:tcPr>
          <w:p w14:paraId="0F0C54BE">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p w14:paraId="3396D8A1">
            <w:pPr>
              <w:spacing w:line="240" w:lineRule="auto"/>
              <w:jc w:val="center"/>
              <w:rPr>
                <w:rFonts w:hint="eastAsia" w:eastAsia="宋体"/>
                <w:color w:val="auto"/>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10分</w:t>
            </w:r>
            <w:r>
              <w:rPr>
                <w:rFonts w:hint="eastAsia" w:ascii="宋体" w:hAnsi="宋体" w:cs="宋体"/>
                <w:color w:val="auto"/>
                <w:szCs w:val="21"/>
                <w:highlight w:val="none"/>
                <w:lang w:eastAsia="zh-CN"/>
              </w:rPr>
              <w:t>）</w:t>
            </w:r>
          </w:p>
        </w:tc>
        <w:tc>
          <w:tcPr>
            <w:tcW w:w="3463" w:type="pct"/>
            <w:vAlign w:val="center"/>
          </w:tcPr>
          <w:p w14:paraId="129CA49D">
            <w:pPr>
              <w:spacing w:line="24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具有工程类高级（或以上）工程师职称的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得4分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具有工程类中级工程师职称的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得2分</w:t>
            </w:r>
            <w:r>
              <w:rPr>
                <w:rFonts w:hint="eastAsia" w:ascii="宋体" w:hAnsi="宋体" w:cs="宋体"/>
                <w:color w:val="auto"/>
                <w:szCs w:val="21"/>
                <w:highlight w:val="none"/>
                <w:lang w:eastAsia="zh-CN"/>
              </w:rPr>
              <w:t>。</w:t>
            </w:r>
          </w:p>
        </w:tc>
      </w:tr>
      <w:tr w14:paraId="092D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vMerge w:val="continue"/>
            <w:vAlign w:val="center"/>
          </w:tcPr>
          <w:p w14:paraId="6B6E6777">
            <w:pPr>
              <w:spacing w:line="276" w:lineRule="auto"/>
              <w:jc w:val="left"/>
              <w:rPr>
                <w:color w:val="auto"/>
                <w:highlight w:val="none"/>
              </w:rPr>
            </w:pPr>
          </w:p>
        </w:tc>
        <w:tc>
          <w:tcPr>
            <w:tcW w:w="413" w:type="pct"/>
            <w:vMerge w:val="continue"/>
            <w:vAlign w:val="center"/>
          </w:tcPr>
          <w:p w14:paraId="1DBFCFDC">
            <w:pPr>
              <w:spacing w:line="276" w:lineRule="auto"/>
              <w:jc w:val="left"/>
              <w:rPr>
                <w:color w:val="auto"/>
                <w:highlight w:val="none"/>
              </w:rPr>
            </w:pPr>
          </w:p>
        </w:tc>
        <w:tc>
          <w:tcPr>
            <w:tcW w:w="750" w:type="pct"/>
            <w:vMerge w:val="continue"/>
            <w:vAlign w:val="center"/>
          </w:tcPr>
          <w:p w14:paraId="29F4F306">
            <w:pPr>
              <w:spacing w:line="360" w:lineRule="auto"/>
              <w:jc w:val="center"/>
              <w:rPr>
                <w:rFonts w:hint="eastAsia" w:ascii="宋体" w:hAnsi="宋体" w:cs="宋体"/>
                <w:color w:val="auto"/>
                <w:szCs w:val="21"/>
                <w:highlight w:val="none"/>
              </w:rPr>
            </w:pPr>
          </w:p>
        </w:tc>
        <w:tc>
          <w:tcPr>
            <w:tcW w:w="3463" w:type="pct"/>
            <w:vAlign w:val="center"/>
          </w:tcPr>
          <w:p w14:paraId="7E1B6311">
            <w:pPr>
              <w:spacing w:line="24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具有注册土木工程师（岩土）执业资格证书且注册单位为投标单位的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r>
      <w:tr w14:paraId="6A2F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vMerge w:val="continue"/>
            <w:vAlign w:val="center"/>
          </w:tcPr>
          <w:p w14:paraId="651F751B">
            <w:pPr>
              <w:spacing w:line="276" w:lineRule="auto"/>
              <w:jc w:val="left"/>
              <w:rPr>
                <w:rFonts w:hint="eastAsia" w:ascii="宋体" w:hAnsi="宋体" w:cs="宋体"/>
                <w:color w:val="auto"/>
                <w:szCs w:val="21"/>
                <w:highlight w:val="none"/>
              </w:rPr>
            </w:pPr>
          </w:p>
        </w:tc>
        <w:tc>
          <w:tcPr>
            <w:tcW w:w="413" w:type="pct"/>
            <w:vMerge w:val="continue"/>
            <w:vAlign w:val="center"/>
          </w:tcPr>
          <w:p w14:paraId="64D4D7FE">
            <w:pPr>
              <w:spacing w:line="276" w:lineRule="auto"/>
              <w:jc w:val="left"/>
              <w:rPr>
                <w:rFonts w:hint="eastAsia" w:ascii="宋体" w:hAnsi="宋体" w:cs="宋体"/>
                <w:color w:val="auto"/>
                <w:szCs w:val="21"/>
                <w:highlight w:val="none"/>
              </w:rPr>
            </w:pPr>
          </w:p>
        </w:tc>
        <w:tc>
          <w:tcPr>
            <w:tcW w:w="750" w:type="pct"/>
            <w:vMerge w:val="continue"/>
            <w:vAlign w:val="center"/>
          </w:tcPr>
          <w:p w14:paraId="097FC973">
            <w:pPr>
              <w:spacing w:line="360" w:lineRule="auto"/>
              <w:jc w:val="center"/>
              <w:rPr>
                <w:rFonts w:hint="eastAsia" w:ascii="宋体" w:hAnsi="宋体" w:cs="宋体"/>
                <w:color w:val="auto"/>
                <w:szCs w:val="21"/>
                <w:highlight w:val="none"/>
              </w:rPr>
            </w:pPr>
          </w:p>
        </w:tc>
        <w:tc>
          <w:tcPr>
            <w:tcW w:w="3463" w:type="pct"/>
            <w:vAlign w:val="center"/>
          </w:tcPr>
          <w:p w14:paraId="7A84E9EF">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具有省级或以上建设主管部门或其委托的机构、行业协会颁发的相关检测员证书或检测鉴定培训合格证的</w:t>
            </w:r>
            <w:r>
              <w:rPr>
                <w:rFonts w:hint="eastAsia" w:ascii="宋体" w:hAnsi="宋体" w:cs="宋体"/>
                <w:color w:val="auto"/>
                <w:sz w:val="24"/>
                <w:szCs w:val="24"/>
                <w:highlight w:val="none"/>
                <w:lang w:eastAsia="zh-CN" w:bidi="ar"/>
              </w:rPr>
              <w:t>，</w:t>
            </w:r>
            <w:r>
              <w:rPr>
                <w:rFonts w:hint="eastAsia" w:ascii="宋体" w:hAnsi="宋体" w:cs="宋体"/>
                <w:color w:val="auto"/>
                <w:szCs w:val="21"/>
                <w:highlight w:val="none"/>
              </w:rPr>
              <w:t>得2分。</w:t>
            </w:r>
          </w:p>
        </w:tc>
      </w:tr>
      <w:tr w14:paraId="6C17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vMerge w:val="continue"/>
            <w:vAlign w:val="center"/>
          </w:tcPr>
          <w:p w14:paraId="78748287">
            <w:pPr>
              <w:spacing w:line="276" w:lineRule="auto"/>
              <w:jc w:val="center"/>
              <w:rPr>
                <w:rFonts w:hint="eastAsia" w:ascii="宋体" w:hAnsi="宋体"/>
                <w:color w:val="auto"/>
                <w:szCs w:val="21"/>
                <w:highlight w:val="none"/>
              </w:rPr>
            </w:pPr>
          </w:p>
        </w:tc>
        <w:tc>
          <w:tcPr>
            <w:tcW w:w="413" w:type="pct"/>
            <w:vMerge w:val="continue"/>
            <w:vAlign w:val="center"/>
          </w:tcPr>
          <w:p w14:paraId="372C142B">
            <w:pPr>
              <w:spacing w:line="276" w:lineRule="auto"/>
              <w:jc w:val="center"/>
              <w:rPr>
                <w:rFonts w:hint="eastAsia" w:ascii="宋体" w:hAnsi="宋体"/>
                <w:color w:val="auto"/>
                <w:szCs w:val="21"/>
                <w:highlight w:val="none"/>
              </w:rPr>
            </w:pPr>
          </w:p>
        </w:tc>
        <w:tc>
          <w:tcPr>
            <w:tcW w:w="750" w:type="pct"/>
            <w:vMerge w:val="restart"/>
            <w:vAlign w:val="center"/>
          </w:tcPr>
          <w:p w14:paraId="5C51E723">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p w14:paraId="4CE72006">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10分</w:t>
            </w:r>
            <w:r>
              <w:rPr>
                <w:rFonts w:hint="eastAsia" w:ascii="宋体" w:hAnsi="宋体" w:cs="宋体"/>
                <w:color w:val="auto"/>
                <w:szCs w:val="21"/>
                <w:highlight w:val="none"/>
                <w:lang w:eastAsia="zh-CN"/>
              </w:rPr>
              <w:t>）</w:t>
            </w:r>
          </w:p>
        </w:tc>
        <w:tc>
          <w:tcPr>
            <w:tcW w:w="3463" w:type="pct"/>
            <w:vAlign w:val="center"/>
          </w:tcPr>
          <w:p w14:paraId="3E85491F">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具有工程类高级（或以上）工程师职称的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得4分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具有工程类中级工程师职称的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得2分</w:t>
            </w:r>
            <w:r>
              <w:rPr>
                <w:rFonts w:hint="eastAsia" w:ascii="宋体" w:hAnsi="宋体" w:cs="宋体"/>
                <w:color w:val="auto"/>
                <w:szCs w:val="21"/>
                <w:highlight w:val="none"/>
                <w:lang w:eastAsia="zh-CN"/>
              </w:rPr>
              <w:t>。</w:t>
            </w:r>
          </w:p>
        </w:tc>
      </w:tr>
      <w:tr w14:paraId="5E62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vMerge w:val="continue"/>
            <w:vAlign w:val="center"/>
          </w:tcPr>
          <w:p w14:paraId="189BB6D6">
            <w:pPr>
              <w:pStyle w:val="28"/>
              <w:rPr>
                <w:color w:val="auto"/>
                <w:highlight w:val="none"/>
              </w:rPr>
            </w:pPr>
          </w:p>
        </w:tc>
        <w:tc>
          <w:tcPr>
            <w:tcW w:w="413" w:type="pct"/>
            <w:vMerge w:val="continue"/>
            <w:vAlign w:val="center"/>
          </w:tcPr>
          <w:p w14:paraId="2C79CEBA">
            <w:pPr>
              <w:pStyle w:val="28"/>
              <w:rPr>
                <w:color w:val="auto"/>
                <w:highlight w:val="none"/>
              </w:rPr>
            </w:pPr>
          </w:p>
        </w:tc>
        <w:tc>
          <w:tcPr>
            <w:tcW w:w="750" w:type="pct"/>
            <w:vMerge w:val="continue"/>
            <w:vAlign w:val="center"/>
          </w:tcPr>
          <w:p w14:paraId="57BE3CEE">
            <w:pPr>
              <w:pStyle w:val="28"/>
              <w:rPr>
                <w:color w:val="auto"/>
                <w:highlight w:val="none"/>
              </w:rPr>
            </w:pPr>
          </w:p>
        </w:tc>
        <w:tc>
          <w:tcPr>
            <w:tcW w:w="3463" w:type="pct"/>
            <w:shd w:val="clear" w:color="auto" w:fill="auto"/>
            <w:vAlign w:val="center"/>
          </w:tcPr>
          <w:p w14:paraId="33B21AE3">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具有省级或以上建设主管部门或其委托的机构、行业协会颁发的相关检测员证书或检测鉴定培训合格证的，</w:t>
            </w:r>
            <w:r>
              <w:rPr>
                <w:rFonts w:hint="eastAsia" w:ascii="宋体" w:hAnsi="宋体" w:cs="宋体"/>
                <w:color w:val="auto"/>
                <w:szCs w:val="21"/>
                <w:highlight w:val="none"/>
                <w:lang w:val="en-US" w:eastAsia="zh-CN"/>
              </w:rPr>
              <w:t>且包括与本项目检测内容相关的</w:t>
            </w:r>
            <w:r>
              <w:rPr>
                <w:rFonts w:hint="eastAsia" w:ascii="宋体" w:hAnsi="宋体" w:cs="宋体"/>
                <w:bCs/>
                <w:color w:val="auto"/>
                <w:szCs w:val="21"/>
                <w:highlight w:val="none"/>
              </w:rPr>
              <w:t>地基与基桩承载力检测(静载荷试验)、基桩承载力与完整性检测（高应变）、桩身完整性检测（低应变）</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桩身完整性检测（声波透射）、桩身完整性检测（钻孔取芯[机长]）、桩身</w:t>
            </w:r>
            <w:r>
              <w:rPr>
                <w:rFonts w:hint="eastAsia" w:ascii="宋体" w:hAnsi="宋体" w:eastAsia="宋体" w:cs="宋体"/>
                <w:bCs/>
                <w:color w:val="auto"/>
                <w:szCs w:val="21"/>
                <w:highlight w:val="none"/>
              </w:rPr>
              <w:t>完整性检测（钻孔取芯[编审]）、岩土工程室内</w:t>
            </w:r>
            <w:r>
              <w:rPr>
                <w:rFonts w:hint="eastAsia" w:ascii="宋体" w:hAnsi="宋体" w:cs="宋体"/>
                <w:bCs/>
                <w:color w:val="auto"/>
                <w:szCs w:val="21"/>
                <w:highlight w:val="none"/>
                <w:lang w:val="en-US" w:eastAsia="zh-CN"/>
              </w:rPr>
              <w:t>试验</w:t>
            </w:r>
            <w:r>
              <w:rPr>
                <w:rFonts w:hint="eastAsia" w:ascii="宋体" w:hAnsi="宋体" w:eastAsia="宋体" w:cs="宋体"/>
                <w:bCs/>
                <w:color w:val="auto"/>
                <w:szCs w:val="21"/>
                <w:highlight w:val="none"/>
              </w:rPr>
              <w:t>、岩土工程原位测试、混凝土结构实体检测、砌体结构检测、混凝土构件结构性能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常用</w:t>
            </w:r>
            <w:r>
              <w:rPr>
                <w:rFonts w:hint="eastAsia" w:ascii="宋体" w:hAnsi="宋体" w:eastAsia="宋体" w:cs="宋体"/>
                <w:bCs/>
                <w:color w:val="auto"/>
                <w:szCs w:val="21"/>
                <w:highlight w:val="none"/>
              </w:rPr>
              <w:t>非金属材料检测、常用金属材料检测、基坑监测、建筑变形测量、建筑电气工程检测以上检测项目的，每项加0.5分，本</w:t>
            </w:r>
            <w:r>
              <w:rPr>
                <w:rFonts w:hint="eastAsia" w:ascii="宋体" w:hAnsi="宋体" w:cs="宋体"/>
                <w:color w:val="auto"/>
                <w:szCs w:val="21"/>
                <w:highlight w:val="none"/>
              </w:rPr>
              <w:t>项最高得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bCs/>
                <w:color w:val="auto"/>
                <w:szCs w:val="21"/>
                <w:highlight w:val="none"/>
              </w:rPr>
              <w:t>。</w:t>
            </w:r>
          </w:p>
        </w:tc>
      </w:tr>
      <w:tr w14:paraId="7356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71" w:type="pct"/>
            <w:vMerge w:val="continue"/>
            <w:vAlign w:val="center"/>
          </w:tcPr>
          <w:p w14:paraId="5C94436D">
            <w:pPr>
              <w:spacing w:line="276" w:lineRule="auto"/>
              <w:jc w:val="center"/>
              <w:rPr>
                <w:rFonts w:hint="eastAsia" w:ascii="宋体" w:hAnsi="宋体"/>
                <w:color w:val="auto"/>
                <w:szCs w:val="21"/>
                <w:highlight w:val="none"/>
              </w:rPr>
            </w:pPr>
          </w:p>
        </w:tc>
        <w:tc>
          <w:tcPr>
            <w:tcW w:w="413" w:type="pct"/>
            <w:vMerge w:val="continue"/>
            <w:vAlign w:val="center"/>
          </w:tcPr>
          <w:p w14:paraId="7AE3DB77">
            <w:pPr>
              <w:spacing w:line="276" w:lineRule="auto"/>
              <w:jc w:val="center"/>
              <w:rPr>
                <w:rFonts w:hint="eastAsia" w:ascii="宋体" w:hAnsi="宋体"/>
                <w:color w:val="auto"/>
                <w:szCs w:val="21"/>
                <w:highlight w:val="none"/>
              </w:rPr>
            </w:pPr>
          </w:p>
        </w:tc>
        <w:tc>
          <w:tcPr>
            <w:tcW w:w="750" w:type="pct"/>
            <w:vMerge w:val="restart"/>
            <w:vAlign w:val="center"/>
          </w:tcPr>
          <w:p w14:paraId="45D9C3D8">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主要技术人员（不含项目负责人及技术负责人）</w:t>
            </w:r>
          </w:p>
          <w:p w14:paraId="4E09C53F">
            <w:pPr>
              <w:spacing w:line="240" w:lineRule="auto"/>
              <w:jc w:val="center"/>
              <w:rPr>
                <w:rFonts w:hint="eastAsia" w:eastAsia="宋体"/>
                <w:color w:val="auto"/>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10分</w:t>
            </w:r>
            <w:r>
              <w:rPr>
                <w:rFonts w:hint="eastAsia" w:ascii="宋体" w:hAnsi="宋体" w:cs="宋体"/>
                <w:color w:val="auto"/>
                <w:szCs w:val="21"/>
                <w:highlight w:val="none"/>
                <w:lang w:eastAsia="zh-CN"/>
              </w:rPr>
              <w:t>）</w:t>
            </w:r>
          </w:p>
        </w:tc>
        <w:tc>
          <w:tcPr>
            <w:tcW w:w="3463" w:type="pct"/>
            <w:vAlign w:val="center"/>
          </w:tcPr>
          <w:p w14:paraId="523BB1F6">
            <w:pPr>
              <w:spacing w:line="276"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具有工程类高级（或以上）工程师职称，每人得1分，具有工程类中级（或以上）工程师职称的，每人得0.5分，本项最高得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tc>
      </w:tr>
      <w:tr w14:paraId="1429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71" w:type="pct"/>
            <w:vMerge w:val="continue"/>
            <w:vAlign w:val="center"/>
          </w:tcPr>
          <w:p w14:paraId="424000D0">
            <w:pPr>
              <w:spacing w:line="276" w:lineRule="auto"/>
              <w:jc w:val="center"/>
              <w:rPr>
                <w:rFonts w:hint="eastAsia" w:ascii="宋体" w:hAnsi="宋体"/>
                <w:color w:val="auto"/>
                <w:szCs w:val="21"/>
                <w:highlight w:val="none"/>
              </w:rPr>
            </w:pPr>
          </w:p>
        </w:tc>
        <w:tc>
          <w:tcPr>
            <w:tcW w:w="413" w:type="pct"/>
            <w:vMerge w:val="continue"/>
            <w:vAlign w:val="center"/>
          </w:tcPr>
          <w:p w14:paraId="71326E59">
            <w:pPr>
              <w:spacing w:line="276" w:lineRule="auto"/>
              <w:jc w:val="center"/>
              <w:rPr>
                <w:rFonts w:hint="eastAsia" w:ascii="宋体" w:hAnsi="宋体"/>
                <w:color w:val="auto"/>
                <w:szCs w:val="21"/>
                <w:highlight w:val="none"/>
              </w:rPr>
            </w:pPr>
          </w:p>
        </w:tc>
        <w:tc>
          <w:tcPr>
            <w:tcW w:w="750" w:type="pct"/>
            <w:vMerge w:val="continue"/>
            <w:vAlign w:val="center"/>
          </w:tcPr>
          <w:p w14:paraId="79597D61">
            <w:pPr>
              <w:jc w:val="center"/>
              <w:rPr>
                <w:rFonts w:hint="eastAsia" w:ascii="宋体" w:hAnsi="宋体" w:cs="宋体"/>
                <w:color w:val="auto"/>
                <w:szCs w:val="21"/>
                <w:highlight w:val="none"/>
              </w:rPr>
            </w:pPr>
          </w:p>
        </w:tc>
        <w:tc>
          <w:tcPr>
            <w:tcW w:w="3463" w:type="pct"/>
            <w:vAlign w:val="center"/>
          </w:tcPr>
          <w:p w14:paraId="73D9F187">
            <w:pPr>
              <w:keepNext w:val="0"/>
              <w:keepLines w:val="0"/>
              <w:pageBreakBefore w:val="0"/>
              <w:kinsoku/>
              <w:wordWrap/>
              <w:overflowPunct/>
              <w:topLinePunct w:val="0"/>
              <w:autoSpaceDE/>
              <w:autoSpaceDN/>
              <w:bidi w:val="0"/>
              <w:spacing w:line="24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具有省级或以上建设主管部门或其委托的机构、行业协会颁发的相关检测员证书或检测鉴定培训合格证的，每人得0.5分，本项最高得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tc>
      </w:tr>
      <w:tr w14:paraId="06ED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371" w:type="pct"/>
            <w:vAlign w:val="center"/>
          </w:tcPr>
          <w:p w14:paraId="23A870F5">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rPr>
              <w:t>2.2.4（2）</w:t>
            </w:r>
          </w:p>
        </w:tc>
        <w:tc>
          <w:tcPr>
            <w:tcW w:w="413" w:type="pct"/>
            <w:vAlign w:val="center"/>
          </w:tcPr>
          <w:p w14:paraId="27C6A2F2">
            <w:pPr>
              <w:spacing w:line="276" w:lineRule="auto"/>
              <w:jc w:val="center"/>
              <w:rPr>
                <w:rFonts w:hint="eastAsia" w:ascii="宋体" w:hAnsi="宋体"/>
                <w:color w:val="auto"/>
                <w:szCs w:val="21"/>
                <w:highlight w:val="none"/>
              </w:rPr>
            </w:pPr>
            <w:r>
              <w:rPr>
                <w:rFonts w:hint="eastAsia" w:ascii="宋体" w:hAnsi="宋体" w:cs="宋体"/>
                <w:color w:val="auto"/>
                <w:szCs w:val="21"/>
                <w:highlight w:val="none"/>
              </w:rPr>
              <w:t>技术方案评分标准</w:t>
            </w:r>
          </w:p>
        </w:tc>
        <w:tc>
          <w:tcPr>
            <w:tcW w:w="750" w:type="pct"/>
            <w:vAlign w:val="center"/>
          </w:tcPr>
          <w:p w14:paraId="59AA43D6">
            <w:pPr>
              <w:spacing w:line="240" w:lineRule="auto"/>
              <w:jc w:val="center"/>
              <w:rPr>
                <w:rFonts w:hint="eastAsia" w:ascii="宋体" w:hAnsi="宋体" w:cs="Arial Unicode MS"/>
                <w:color w:val="auto"/>
                <w:szCs w:val="21"/>
                <w:highlight w:val="none"/>
              </w:rPr>
            </w:pPr>
            <w:r>
              <w:rPr>
                <w:rFonts w:hint="eastAsia" w:ascii="宋体" w:hAnsi="宋体" w:cs="宋体"/>
                <w:color w:val="auto"/>
                <w:highlight w:val="none"/>
              </w:rPr>
              <w:t>检测监测方案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35分</w:t>
            </w:r>
            <w:r>
              <w:rPr>
                <w:rFonts w:hint="eastAsia" w:ascii="宋体" w:hAnsi="宋体" w:cs="宋体"/>
                <w:color w:val="auto"/>
                <w:szCs w:val="21"/>
                <w:highlight w:val="none"/>
                <w:lang w:eastAsia="zh-CN"/>
              </w:rPr>
              <w:t>）</w:t>
            </w:r>
          </w:p>
        </w:tc>
        <w:tc>
          <w:tcPr>
            <w:tcW w:w="3463" w:type="pct"/>
            <w:shd w:val="clear" w:color="auto" w:fill="auto"/>
            <w:vAlign w:val="top"/>
          </w:tcPr>
          <w:p w14:paraId="7E773AAB">
            <w:pPr>
              <w:keepNext w:val="0"/>
              <w:keepLines w:val="0"/>
              <w:pageBreakBefore w:val="0"/>
              <w:kinsoku/>
              <w:wordWrap/>
              <w:overflowPunct/>
              <w:topLinePunct w:val="0"/>
              <w:autoSpaceDE/>
              <w:autoSpaceDN/>
              <w:bidi w:val="0"/>
              <w:spacing w:line="240" w:lineRule="auto"/>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根据投标人编制的检测监测方案进行评审：</w:t>
            </w:r>
          </w:p>
          <w:p w14:paraId="2E868EA1">
            <w:pPr>
              <w:keepNext w:val="0"/>
              <w:keepLines w:val="0"/>
              <w:pageBreakBefore w:val="0"/>
              <w:kinsoku/>
              <w:wordWrap/>
              <w:overflowPunct/>
              <w:topLinePunct w:val="0"/>
              <w:autoSpaceDE/>
              <w:autoSpaceDN/>
              <w:bidi w:val="0"/>
              <w:spacing w:line="24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优：方案编制详细、具体，内容齐全，能满足本工程提出的所有项目，有全面，合理可行的质量、进度保证措施，得(</w:t>
            </w: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35</w:t>
            </w:r>
            <w:r>
              <w:rPr>
                <w:rFonts w:hint="eastAsia" w:ascii="宋体" w:hAnsi="宋体" w:cs="宋体"/>
                <w:color w:val="auto"/>
                <w:kern w:val="0"/>
                <w:szCs w:val="21"/>
                <w:highlight w:val="none"/>
              </w:rPr>
              <w:t>]分；</w:t>
            </w:r>
          </w:p>
          <w:p w14:paraId="2B61E884">
            <w:pPr>
              <w:keepNext w:val="0"/>
              <w:keepLines w:val="0"/>
              <w:pageBreakBefore w:val="0"/>
              <w:kinsoku/>
              <w:wordWrap/>
              <w:overflowPunct/>
              <w:topLinePunct w:val="0"/>
              <w:autoSpaceDE/>
              <w:autoSpaceDN/>
              <w:bidi w:val="0"/>
              <w:spacing w:line="24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良：方案编制较详细、较具体，内容较齐全，有比较可行的质量、进度保证措施，得(</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]分；</w:t>
            </w:r>
          </w:p>
          <w:p w14:paraId="688E73A2">
            <w:pPr>
              <w:keepNext w:val="0"/>
              <w:keepLines w:val="0"/>
              <w:pageBreakBefore w:val="0"/>
              <w:kinsoku/>
              <w:wordWrap/>
              <w:overflowPunct/>
              <w:topLinePunct w:val="0"/>
              <w:autoSpaceDE/>
              <w:autoSpaceDN/>
              <w:bidi w:val="0"/>
              <w:spacing w:line="24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中：方案编制基本内容满足要求，方法符合规范要求，有质量、进度保证措施，得(</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p w14:paraId="3A46630B">
            <w:pPr>
              <w:keepNext w:val="0"/>
              <w:keepLines w:val="0"/>
              <w:pageBreakBefore w:val="0"/>
              <w:kinsoku/>
              <w:wordWrap/>
              <w:overflowPunct/>
              <w:topLinePunct w:val="0"/>
              <w:autoSpaceDE/>
              <w:autoSpaceDN/>
              <w:bidi w:val="0"/>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差：方案基本内容阐述缺项，方法基本不能满足检测和监测要求，质量、进度保证措施不完整，得[0-</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1947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71" w:type="pct"/>
            <w:vMerge w:val="restart"/>
            <w:vAlign w:val="center"/>
          </w:tcPr>
          <w:p w14:paraId="5C9B01B6">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413" w:type="pct"/>
            <w:vMerge w:val="restart"/>
            <w:vAlign w:val="center"/>
          </w:tcPr>
          <w:p w14:paraId="2728BC2B">
            <w:pPr>
              <w:spacing w:line="276" w:lineRule="auto"/>
              <w:ind w:left="-107" w:leftChars="-51" w:right="-107" w:rightChars="-51"/>
              <w:jc w:val="center"/>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750" w:type="pct"/>
            <w:vAlign w:val="center"/>
          </w:tcPr>
          <w:p w14:paraId="79288C50">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偏差率</w:t>
            </w:r>
          </w:p>
        </w:tc>
        <w:tc>
          <w:tcPr>
            <w:tcW w:w="3463" w:type="pct"/>
            <w:vAlign w:val="center"/>
          </w:tcPr>
          <w:p w14:paraId="28080D10">
            <w:pPr>
              <w:keepNext w:val="0"/>
              <w:keepLines w:val="0"/>
              <w:pageBreakBefore w:val="0"/>
              <w:kinsoku/>
              <w:wordWrap/>
              <w:overflowPunct/>
              <w:topLinePunct w:val="0"/>
              <w:autoSpaceDE/>
              <w:autoSpaceDN/>
              <w:bidi w:val="0"/>
              <w:adjustRightInd w:val="0"/>
              <w:spacing w:line="240" w:lineRule="auto"/>
              <w:ind w:right="65" w:rightChars="31"/>
              <w:rPr>
                <w:rFonts w:hint="eastAsia" w:ascii="宋体" w:hAnsi="宋体" w:cs="宋体"/>
                <w:color w:val="auto"/>
                <w:szCs w:val="21"/>
                <w:highlight w:val="none"/>
              </w:rPr>
            </w:pPr>
            <w:r>
              <w:rPr>
                <w:rFonts w:hint="eastAsia" w:ascii="宋体" w:hAnsi="宋体"/>
                <w:color w:val="auto"/>
                <w:szCs w:val="21"/>
                <w:highlight w:val="none"/>
              </w:rPr>
              <w:t>偏差率=100% ×|投标人报价-评标基准价|/评标基准价（偏差率出现小数点时，保留小数点后2位，第三位小数四舍五入；报价偏差率不足1%的，按直线内插法计算投标报价得分。）</w:t>
            </w:r>
          </w:p>
        </w:tc>
      </w:tr>
      <w:tr w14:paraId="0B1A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71" w:type="pct"/>
            <w:vMerge w:val="continue"/>
            <w:vAlign w:val="center"/>
          </w:tcPr>
          <w:p w14:paraId="17BC8189">
            <w:pPr>
              <w:widowControl/>
              <w:spacing w:line="276" w:lineRule="auto"/>
              <w:rPr>
                <w:color w:val="auto"/>
                <w:highlight w:val="none"/>
              </w:rPr>
            </w:pPr>
          </w:p>
        </w:tc>
        <w:tc>
          <w:tcPr>
            <w:tcW w:w="413" w:type="pct"/>
            <w:vMerge w:val="continue"/>
            <w:vAlign w:val="center"/>
          </w:tcPr>
          <w:p w14:paraId="44517A81">
            <w:pPr>
              <w:widowControl/>
              <w:spacing w:line="276" w:lineRule="auto"/>
              <w:rPr>
                <w:color w:val="auto"/>
                <w:highlight w:val="none"/>
              </w:rPr>
            </w:pPr>
          </w:p>
        </w:tc>
        <w:tc>
          <w:tcPr>
            <w:tcW w:w="750" w:type="pct"/>
            <w:vAlign w:val="center"/>
          </w:tcPr>
          <w:p w14:paraId="7764F8B8">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计算</w:t>
            </w:r>
          </w:p>
          <w:p w14:paraId="5136F29A">
            <w:pPr>
              <w:keepNext w:val="0"/>
              <w:keepLines w:val="0"/>
              <w:pageBreakBefore w:val="0"/>
              <w:kinsoku/>
              <w:wordWrap/>
              <w:overflowPunct/>
              <w:topLinePunct w:val="0"/>
              <w:autoSpaceDE/>
              <w:autoSpaceDN/>
              <w:bidi w:val="0"/>
              <w:spacing w:line="240" w:lineRule="auto"/>
              <w:jc w:val="center"/>
              <w:rPr>
                <w:color w:val="auto"/>
                <w:highlight w:val="none"/>
              </w:rPr>
            </w:pPr>
            <w:r>
              <w:rPr>
                <w:rFonts w:hint="eastAsia" w:ascii="宋体" w:hAnsi="宋体" w:cs="宋体"/>
                <w:color w:val="auto"/>
                <w:szCs w:val="21"/>
                <w:highlight w:val="none"/>
              </w:rPr>
              <w:t>方法</w:t>
            </w:r>
          </w:p>
        </w:tc>
        <w:tc>
          <w:tcPr>
            <w:tcW w:w="3463" w:type="pct"/>
            <w:vAlign w:val="center"/>
          </w:tcPr>
          <w:p w14:paraId="03633900">
            <w:pPr>
              <w:keepNext w:val="0"/>
              <w:keepLines w:val="0"/>
              <w:pageBreakBefore w:val="0"/>
              <w:kinsoku/>
              <w:wordWrap/>
              <w:overflowPunct/>
              <w:topLinePunct w:val="0"/>
              <w:autoSpaceDE/>
              <w:autoSpaceDN/>
              <w:bidi w:val="0"/>
              <w:spacing w:line="240" w:lineRule="auto"/>
              <w:ind w:left="27" w:leftChars="13"/>
              <w:rPr>
                <w:rFonts w:hint="eastAsia" w:ascii="宋体" w:hAnsi="宋体" w:cs="宋体"/>
                <w:color w:val="auto"/>
                <w:szCs w:val="21"/>
                <w:highlight w:val="none"/>
              </w:rPr>
            </w:pPr>
            <w:r>
              <w:rPr>
                <w:rFonts w:hint="eastAsia" w:ascii="宋体" w:hAnsi="宋体" w:cs="宋体"/>
                <w:color w:val="auto"/>
                <w:szCs w:val="21"/>
                <w:highlight w:val="none"/>
              </w:rPr>
              <w:t>投标报价得分以评标基准价作为计算各有效投标总报价得分的基础，当有效投标总报价等于评标基准价时得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0分；有效投标总报价与评标基准价相比，每上偏1%扣0.5分，每下偏1%扣0.3分。</w:t>
            </w:r>
            <w:r>
              <w:rPr>
                <w:rFonts w:hint="eastAsia" w:ascii="宋体" w:hAnsi="宋体" w:cs="宋体"/>
                <w:color w:val="auto"/>
                <w:szCs w:val="21"/>
                <w:highlight w:val="none"/>
                <w:lang w:bidi="ar"/>
              </w:rPr>
              <w:t>最多扣</w:t>
            </w: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bidi="ar"/>
              </w:rPr>
              <w:t>0分</w:t>
            </w:r>
            <w:r>
              <w:rPr>
                <w:rFonts w:hint="eastAsia" w:ascii="宋体" w:hAnsi="宋体" w:cs="宋体"/>
                <w:color w:val="auto"/>
                <w:szCs w:val="21"/>
                <w:highlight w:val="none"/>
              </w:rPr>
              <w:t>。</w:t>
            </w:r>
          </w:p>
          <w:p w14:paraId="2A560A19">
            <w:pPr>
              <w:keepNext w:val="0"/>
              <w:keepLines w:val="0"/>
              <w:pageBreakBefore w:val="0"/>
              <w:kinsoku/>
              <w:wordWrap/>
              <w:overflowPunct/>
              <w:topLinePunct w:val="0"/>
              <w:autoSpaceDE/>
              <w:autoSpaceDN/>
              <w:bidi w:val="0"/>
              <w:spacing w:line="240" w:lineRule="auto"/>
              <w:ind w:left="27" w:leftChars="13"/>
              <w:rPr>
                <w:color w:val="auto"/>
                <w:highlight w:val="none"/>
              </w:rPr>
            </w:pPr>
            <w:r>
              <w:rPr>
                <w:rFonts w:hint="eastAsia" w:ascii="宋体" w:hAnsi="宋体" w:cs="宋体"/>
                <w:color w:val="auto"/>
                <w:szCs w:val="21"/>
                <w:highlight w:val="none"/>
              </w:rPr>
              <w:t>注：当通过初步评审在位于[最高投标限价×90%，最高投标限价]区间的投标总报价中的有效投标人大于或等于5名时，所有入围的有效投标总报价中去掉一个最高价和一个最低价，取余下有效投标总报价的算术平均值作为评标基准价。当通过初步评审在位于[最高投标限价×90%，最高投标限价]区间的投标总报价中的有效投标人小于5名时，取所有入围的有效投标总报价的算术平均值作为评标基准价。若通过初步评审没有投标总报价位于[最高投标限价×90%，最高投标限价]区间的有效投标人，取最高投标限价×90%作为评标基准价。</w:t>
            </w:r>
          </w:p>
        </w:tc>
      </w:tr>
    </w:tbl>
    <w:p w14:paraId="49210CAD">
      <w:pPr>
        <w:spacing w:line="360" w:lineRule="auto"/>
        <w:jc w:val="left"/>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注：1、企业业绩</w:t>
      </w:r>
    </w:p>
    <w:p w14:paraId="2C958091">
      <w:pPr>
        <w:spacing w:line="360" w:lineRule="auto"/>
        <w:ind w:firstLine="420" w:firstLineChars="200"/>
        <w:jc w:val="lef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类似检测业绩指包含本次招标内容中的一项或多项的建设工程质量检测类业绩，需同时提供中标通知书（或免招标证明）、技术服务合同证明材料扫描件，业绩时间以合同签订时间为准、金额以中标通知书为准（其中免招标的项目以技术服务合同为准）。</w:t>
      </w:r>
    </w:p>
    <w:p w14:paraId="6EBC7C2D">
      <w:pPr>
        <w:wordWrap w:val="0"/>
        <w:adjustRightInd w:val="0"/>
        <w:snapToGrid w:val="0"/>
        <w:spacing w:line="360" w:lineRule="auto"/>
        <w:ind w:firstLine="422" w:firstLineChars="200"/>
        <w:rPr>
          <w:rFonts w:hint="eastAsia" w:ascii="宋体" w:hAnsi="宋体" w:cs="宋体"/>
          <w:b/>
          <w:bCs/>
          <w:color w:val="auto"/>
          <w:szCs w:val="21"/>
          <w:highlight w:val="none"/>
          <w:lang w:bidi="ar"/>
        </w:rPr>
      </w:pPr>
      <w:r>
        <w:rPr>
          <w:rFonts w:ascii="宋体" w:hAnsi="宋体" w:cs="宋体"/>
          <w:b/>
          <w:bCs/>
          <w:color w:val="auto"/>
          <w:szCs w:val="21"/>
          <w:highlight w:val="none"/>
          <w:lang w:bidi="ar"/>
        </w:rPr>
        <w:t>2</w:t>
      </w:r>
      <w:r>
        <w:rPr>
          <w:rFonts w:hint="eastAsia" w:ascii="宋体" w:hAnsi="宋体" w:cs="宋体"/>
          <w:b/>
          <w:bCs/>
          <w:color w:val="auto"/>
          <w:szCs w:val="21"/>
          <w:highlight w:val="none"/>
          <w:lang w:bidi="ar"/>
        </w:rPr>
        <w:t>、企业资信</w:t>
      </w:r>
    </w:p>
    <w:p w14:paraId="3C7E38F4">
      <w:pPr>
        <w:wordWrap w:val="0"/>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.1检验机构能力认可证书或实验室认可证书：提供</w:t>
      </w:r>
      <w:r>
        <w:rPr>
          <w:rFonts w:hint="eastAsia" w:ascii="宋体" w:hAnsi="宋体" w:eastAsia="宋体" w:cs="宋体"/>
          <w:color w:val="auto"/>
          <w:szCs w:val="21"/>
          <w:highlight w:val="none"/>
          <w:lang w:val="en-US" w:eastAsia="zh-CN" w:bidi="ar"/>
        </w:rPr>
        <w:t>有效期内的</w:t>
      </w:r>
      <w:r>
        <w:rPr>
          <w:rFonts w:hint="eastAsia" w:ascii="宋体" w:hAnsi="宋体" w:eastAsia="宋体" w:cs="宋体"/>
          <w:color w:val="auto"/>
          <w:szCs w:val="21"/>
          <w:highlight w:val="none"/>
          <w:lang w:bidi="ar"/>
        </w:rPr>
        <w:t>证书扫描件。</w:t>
      </w:r>
    </w:p>
    <w:p w14:paraId="26EBFEF5">
      <w:pPr>
        <w:wordWrap w:val="0"/>
        <w:adjustRightInd w:val="0"/>
        <w:snapToGri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.2管理体系认证证书：同时提供在有效期内的相关的管理体系认证证书扫描件及管理体系证书在（全国认证认可信息公共服务平台（网址：http://cx.cnca.cn/CertECloud/index/index/page）上的查询信息网页截图。</w:t>
      </w:r>
    </w:p>
    <w:p w14:paraId="2CBE8984">
      <w:pPr>
        <w:wordWrap w:val="0"/>
        <w:adjustRightInd w:val="0"/>
        <w:snapToGrid w:val="0"/>
        <w:spacing w:line="360" w:lineRule="auto"/>
        <w:ind w:firstLine="422" w:firstLineChars="200"/>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3、人员投入情况</w:t>
      </w:r>
    </w:p>
    <w:p w14:paraId="7D81B2A9">
      <w:pPr>
        <w:wordWrap w:val="0"/>
        <w:adjustRightInd w:val="0"/>
        <w:snapToGrid w:val="0"/>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3.1拟投入本项目所有人员不可兼任，同一人满足多档要求仅按最高档计取一次得分。</w:t>
      </w:r>
    </w:p>
    <w:p w14:paraId="123787E3">
      <w:pPr>
        <w:wordWrap w:val="0"/>
        <w:adjustRightInd w:val="0"/>
        <w:snapToGrid w:val="0"/>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3.2须相对应提供身份证、职称证书</w:t>
      </w:r>
      <w:r>
        <w:rPr>
          <w:rFonts w:hint="eastAsia" w:ascii="宋体" w:hAnsi="宋体" w:cs="宋体"/>
          <w:bCs/>
          <w:strike w:val="0"/>
          <w:dstrike w:val="0"/>
          <w:color w:val="auto"/>
          <w:szCs w:val="21"/>
          <w:highlight w:val="none"/>
          <w:lang w:bidi="ar"/>
        </w:rPr>
        <w:t>、注册证、</w:t>
      </w:r>
      <w:r>
        <w:rPr>
          <w:rFonts w:hint="eastAsia" w:ascii="宋体" w:hAnsi="宋体" w:cs="宋体"/>
          <w:bCs/>
          <w:color w:val="auto"/>
          <w:szCs w:val="21"/>
          <w:highlight w:val="none"/>
          <w:lang w:bidi="ar"/>
        </w:rPr>
        <w:t>检测员证或</w:t>
      </w:r>
      <w:r>
        <w:rPr>
          <w:rFonts w:hint="eastAsia" w:ascii="宋体" w:hAnsi="宋体" w:cs="宋体"/>
          <w:color w:val="auto"/>
          <w:szCs w:val="21"/>
          <w:highlight w:val="none"/>
        </w:rPr>
        <w:t>检</w:t>
      </w:r>
      <w:r>
        <w:rPr>
          <w:rFonts w:hint="eastAsia" w:ascii="宋体" w:hAnsi="宋体" w:cs="宋体"/>
          <w:bCs/>
          <w:color w:val="auto"/>
          <w:szCs w:val="21"/>
          <w:highlight w:val="none"/>
          <w:lang w:bidi="ar"/>
        </w:rPr>
        <w:t>测鉴定培训合格证等，</w:t>
      </w:r>
      <w:r>
        <w:rPr>
          <w:rFonts w:hint="eastAsia" w:ascii="宋体" w:hAnsi="宋体" w:cs="宋体"/>
          <w:bCs/>
          <w:color w:val="auto"/>
          <w:szCs w:val="21"/>
          <w:highlight w:val="none"/>
          <w:lang w:val="en-US" w:eastAsia="zh-CN" w:bidi="ar"/>
        </w:rPr>
        <w:t>并</w:t>
      </w:r>
      <w:r>
        <w:rPr>
          <w:rFonts w:hint="eastAsia" w:ascii="宋体" w:hAnsi="宋体" w:cs="宋体"/>
          <w:bCs/>
          <w:color w:val="auto"/>
          <w:szCs w:val="21"/>
          <w:highlight w:val="none"/>
          <w:lang w:bidi="ar"/>
        </w:rPr>
        <w:t>提供近六月（</w:t>
      </w:r>
      <w:r>
        <w:rPr>
          <w:rFonts w:ascii="宋体" w:hAnsi="宋体" w:cs="宋体"/>
          <w:bCs/>
          <w:color w:val="auto"/>
          <w:szCs w:val="21"/>
          <w:highlight w:val="none"/>
          <w:lang w:bidi="ar"/>
        </w:rPr>
        <w:t>202</w:t>
      </w:r>
      <w:r>
        <w:rPr>
          <w:rFonts w:hint="eastAsia" w:ascii="宋体" w:hAnsi="宋体" w:cs="宋体"/>
          <w:bCs/>
          <w:color w:val="auto"/>
          <w:szCs w:val="21"/>
          <w:highlight w:val="none"/>
          <w:lang w:val="en-US" w:eastAsia="zh-CN" w:bidi="ar"/>
        </w:rPr>
        <w:t>5</w:t>
      </w:r>
      <w:r>
        <w:rPr>
          <w:rFonts w:hint="eastAsia" w:ascii="宋体" w:hAnsi="宋体" w:cs="宋体"/>
          <w:bCs/>
          <w:color w:val="auto"/>
          <w:szCs w:val="21"/>
          <w:highlight w:val="none"/>
          <w:lang w:bidi="ar"/>
        </w:rPr>
        <w:t>年</w:t>
      </w:r>
      <w:r>
        <w:rPr>
          <w:rFonts w:hint="eastAsia" w:ascii="宋体" w:hAnsi="宋体" w:cs="宋体"/>
          <w:bCs/>
          <w:color w:val="auto"/>
          <w:szCs w:val="21"/>
          <w:highlight w:val="none"/>
          <w:lang w:val="en-US" w:eastAsia="zh-CN" w:bidi="ar"/>
        </w:rPr>
        <w:t>1</w:t>
      </w:r>
      <w:r>
        <w:rPr>
          <w:rFonts w:hint="eastAsia" w:ascii="宋体" w:hAnsi="宋体" w:cs="宋体"/>
          <w:bCs/>
          <w:color w:val="auto"/>
          <w:szCs w:val="21"/>
          <w:highlight w:val="none"/>
          <w:lang w:bidi="ar"/>
        </w:rPr>
        <w:t>月</w:t>
      </w:r>
      <w:r>
        <w:rPr>
          <w:rFonts w:hint="eastAsia" w:ascii="宋体" w:hAnsi="宋体" w:cs="宋体"/>
          <w:bCs/>
          <w:color w:val="auto"/>
          <w:szCs w:val="21"/>
          <w:highlight w:val="none"/>
          <w:lang w:val="en-US" w:eastAsia="zh-CN" w:bidi="ar"/>
        </w:rPr>
        <w:t>至2025年6月</w:t>
      </w:r>
      <w:r>
        <w:rPr>
          <w:rFonts w:hint="eastAsia" w:ascii="宋体" w:hAnsi="宋体" w:cs="宋体"/>
          <w:bCs/>
          <w:color w:val="auto"/>
          <w:szCs w:val="21"/>
          <w:highlight w:val="none"/>
          <w:lang w:bidi="ar"/>
        </w:rPr>
        <w:t>）在本单位连续参保的社保缴纳证明材料</w:t>
      </w:r>
      <w:r>
        <w:rPr>
          <w:rFonts w:hint="eastAsia" w:ascii="宋体" w:hAnsi="宋体" w:cs="宋体"/>
          <w:bCs/>
          <w:color w:val="auto"/>
          <w:szCs w:val="21"/>
          <w:highlight w:val="none"/>
          <w:lang w:val="en-US" w:eastAsia="zh-CN" w:bidi="ar"/>
        </w:rPr>
        <w:t>扫描件</w:t>
      </w:r>
      <w:r>
        <w:rPr>
          <w:rFonts w:hint="eastAsia" w:ascii="宋体" w:hAnsi="宋体" w:cs="宋体"/>
          <w:bCs/>
          <w:color w:val="auto"/>
          <w:szCs w:val="21"/>
          <w:highlight w:val="none"/>
          <w:lang w:bidi="ar"/>
        </w:rPr>
        <w:t>。</w:t>
      </w:r>
    </w:p>
    <w:p w14:paraId="66B5F31C">
      <w:pPr>
        <w:wordWrap w:val="0"/>
        <w:adjustRightInd w:val="0"/>
        <w:snapToGrid w:val="0"/>
        <w:spacing w:line="360" w:lineRule="auto"/>
        <w:ind w:firstLine="420" w:firstLineChars="200"/>
        <w:rPr>
          <w:bCs/>
          <w:color w:val="auto"/>
          <w:szCs w:val="21"/>
          <w:highlight w:val="none"/>
          <w:lang w:bidi="ar"/>
        </w:rPr>
      </w:pPr>
      <w:r>
        <w:rPr>
          <w:rFonts w:hint="eastAsia"/>
          <w:bCs/>
          <w:color w:val="auto"/>
          <w:szCs w:val="21"/>
          <w:highlight w:val="none"/>
          <w:lang w:val="en-US" w:eastAsia="zh-CN" w:bidi="ar"/>
        </w:rPr>
        <w:t>4</w:t>
      </w:r>
      <w:r>
        <w:rPr>
          <w:rFonts w:hint="eastAsia"/>
          <w:bCs/>
          <w:color w:val="auto"/>
          <w:szCs w:val="21"/>
          <w:highlight w:val="none"/>
          <w:lang w:bidi="ar"/>
        </w:rPr>
        <w:t>.投标人的综合得分为所有评委评分的算术平均分（分数出现小数点时，保留小数点后二位，第三位小数四舍五入）。</w:t>
      </w:r>
    </w:p>
    <w:p w14:paraId="2B3EF15E">
      <w:pPr>
        <w:wordWrap w:val="0"/>
        <w:adjustRightInd w:val="0"/>
        <w:snapToGrid w:val="0"/>
        <w:spacing w:line="360" w:lineRule="auto"/>
        <w:ind w:firstLine="420" w:firstLineChars="200"/>
        <w:rPr>
          <w:rFonts w:hint="eastAsia" w:ascii="Times New Roman" w:hAnsi="Times New Roman" w:eastAsia="宋体" w:cs="Times New Roman"/>
          <w:bCs/>
          <w:color w:val="auto"/>
          <w:szCs w:val="21"/>
          <w:highlight w:val="none"/>
          <w:lang w:bidi="ar"/>
        </w:rPr>
      </w:pPr>
      <w:r>
        <w:rPr>
          <w:rFonts w:hint="eastAsia"/>
          <w:bCs/>
          <w:color w:val="auto"/>
          <w:szCs w:val="21"/>
          <w:highlight w:val="none"/>
          <w:lang w:val="en-US" w:eastAsia="zh-CN" w:bidi="ar"/>
        </w:rPr>
        <w:t>5</w:t>
      </w:r>
      <w:r>
        <w:rPr>
          <w:rFonts w:hint="eastAsia"/>
          <w:bCs/>
          <w:color w:val="auto"/>
          <w:szCs w:val="21"/>
          <w:highlight w:val="none"/>
          <w:lang w:bidi="ar"/>
        </w:rPr>
        <w:t>、以上所附证书或证明文件均须提供网页截图（含网页打印件）或原件彩色扫描件，投标人提供的网</w:t>
      </w:r>
      <w:r>
        <w:rPr>
          <w:rFonts w:hint="eastAsia" w:ascii="Times New Roman" w:hAnsi="Times New Roman" w:eastAsia="宋体" w:cs="Times New Roman"/>
          <w:bCs/>
          <w:color w:val="auto"/>
          <w:szCs w:val="21"/>
          <w:highlight w:val="none"/>
          <w:lang w:bidi="ar"/>
        </w:rPr>
        <w:t>页截图（含网页打印件）或原件彩色扫描件必须加盖投标人电子印章且内容必须清晰可辨，如因网页截图或原件彩色扫描件内容模糊导致评标时无法判断的，后果由投标人自负。上述资料不提供或提供不完整或提供不符合要求的不得分。</w:t>
      </w:r>
    </w:p>
    <w:p w14:paraId="71F0A166">
      <w:pPr>
        <w:wordWrap w:val="0"/>
        <w:adjustRightInd w:val="0"/>
        <w:snapToGrid w:val="0"/>
        <w:spacing w:line="360" w:lineRule="auto"/>
        <w:ind w:firstLine="420" w:firstLineChars="200"/>
        <w:rPr>
          <w:rFonts w:hint="eastAsia" w:ascii="Times New Roman" w:hAnsi="Times New Roman" w:eastAsia="宋体" w:cs="Times New Roman"/>
          <w:bCs/>
          <w:color w:val="auto"/>
          <w:szCs w:val="21"/>
          <w:highlight w:val="none"/>
          <w:lang w:bidi="ar"/>
        </w:rPr>
      </w:pPr>
      <w:r>
        <w:rPr>
          <w:rFonts w:hint="eastAsia" w:ascii="Times New Roman" w:hAnsi="Times New Roman" w:eastAsia="宋体" w:cs="Times New Roman"/>
          <w:bCs/>
          <w:color w:val="auto"/>
          <w:szCs w:val="21"/>
          <w:highlight w:val="none"/>
          <w:lang w:val="en-US" w:eastAsia="zh-CN" w:bidi="ar"/>
        </w:rPr>
        <w:t>6</w:t>
      </w:r>
      <w:r>
        <w:rPr>
          <w:rFonts w:hint="eastAsia" w:ascii="Times New Roman" w:hAnsi="Times New Roman" w:eastAsia="宋体" w:cs="Times New Roman"/>
          <w:bCs/>
          <w:color w:val="auto"/>
          <w:szCs w:val="21"/>
          <w:highlight w:val="none"/>
          <w:lang w:bidi="ar"/>
        </w:rPr>
        <w:t>、若以联合体方式参与投标的，</w:t>
      </w:r>
      <w:r>
        <w:rPr>
          <w:rFonts w:hint="eastAsia" w:ascii="Times New Roman" w:hAnsi="Times New Roman" w:eastAsia="宋体" w:cs="Times New Roman"/>
          <w:bCs/>
          <w:color w:val="auto"/>
          <w:szCs w:val="21"/>
          <w:highlight w:val="none"/>
          <w:lang w:val="en-US" w:eastAsia="zh-CN" w:bidi="ar"/>
        </w:rPr>
        <w:t>企业业绩、</w:t>
      </w:r>
      <w:r>
        <w:rPr>
          <w:rFonts w:hint="eastAsia" w:ascii="Times New Roman" w:hAnsi="Times New Roman" w:eastAsia="宋体" w:cs="Times New Roman"/>
          <w:bCs/>
          <w:color w:val="auto"/>
          <w:szCs w:val="21"/>
          <w:highlight w:val="none"/>
          <w:lang w:bidi="ar"/>
        </w:rPr>
        <w:t>企业资信、项目负责人、技术负责人的评分内容以联合体牵头方信息为准，其他成员单位不进行累计计分；主要技术人员（不含项目负责人及技术负责人）的评分内容联合体各成员可以累计加分。</w:t>
      </w:r>
    </w:p>
    <w:p w14:paraId="1A57140A">
      <w:pPr>
        <w:wordWrap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ascii="宋体" w:hAnsi="宋体" w:cs="宋体"/>
          <w:color w:val="auto"/>
          <w:szCs w:val="21"/>
          <w:highlight w:val="none"/>
        </w:rPr>
        <w:t>、</w:t>
      </w:r>
      <w:r>
        <w:rPr>
          <w:rFonts w:hint="eastAsia" w:ascii="宋体" w:hAnsi="宋体" w:cs="宋体"/>
          <w:color w:val="auto"/>
          <w:szCs w:val="21"/>
          <w:highlight w:val="none"/>
        </w:rPr>
        <w:t>中标单位需准备投标文件涉及的所有原件待查，如原件不齐或与原件不符的，招标人有权取消其中标人资格，并上报建设行政主管部门。</w:t>
      </w:r>
    </w:p>
    <w:p w14:paraId="683F36DA">
      <w:pPr>
        <w:rPr>
          <w:color w:val="auto"/>
          <w:highlight w:val="none"/>
        </w:rPr>
      </w:pPr>
      <w:r>
        <w:rPr>
          <w:color w:val="auto"/>
          <w:highlight w:val="none"/>
        </w:rPr>
        <w:br w:type="page"/>
      </w:r>
    </w:p>
    <w:p w14:paraId="4626369A">
      <w:pPr>
        <w:pStyle w:val="4"/>
        <w:rPr>
          <w:rFonts w:hint="eastAsia"/>
          <w:color w:val="auto"/>
          <w:szCs w:val="21"/>
          <w:highlight w:val="none"/>
        </w:rPr>
      </w:pPr>
      <w:bookmarkStart w:id="154" w:name="_Toc28043"/>
      <w:bookmarkStart w:id="155" w:name="_Toc22300"/>
      <w:bookmarkStart w:id="156" w:name="_Toc30630"/>
      <w:bookmarkStart w:id="157" w:name="_Toc26722"/>
      <w:r>
        <w:rPr>
          <w:rFonts w:hint="eastAsia"/>
          <w:color w:val="auto"/>
          <w:highlight w:val="none"/>
        </w:rPr>
        <w:t>附表：算术复核表</w:t>
      </w:r>
      <w:bookmarkEnd w:id="154"/>
      <w:bookmarkEnd w:id="155"/>
      <w:bookmarkEnd w:id="156"/>
      <w:bookmarkEnd w:id="157"/>
    </w:p>
    <w:p w14:paraId="2A945BC6">
      <w:pPr>
        <w:spacing w:line="360" w:lineRule="auto"/>
        <w:jc w:val="center"/>
        <w:rPr>
          <w:rFonts w:hint="eastAsia" w:ascii="宋体" w:hAnsi="宋体"/>
          <w:b/>
          <w:color w:val="auto"/>
          <w:sz w:val="36"/>
          <w:szCs w:val="36"/>
          <w:highlight w:val="none"/>
        </w:rPr>
      </w:pPr>
      <w:r>
        <w:rPr>
          <w:rFonts w:hint="eastAsia" w:ascii="宋体" w:hAnsi="宋体" w:cs="宋体"/>
          <w:color w:val="auto"/>
          <w:sz w:val="28"/>
          <w:szCs w:val="28"/>
          <w:highlight w:val="none"/>
        </w:rPr>
        <w:t>算术复核表</w:t>
      </w:r>
    </w:p>
    <w:p w14:paraId="36014CE1">
      <w:pPr>
        <w:adjustRightInd w:val="0"/>
        <w:snapToGrid w:val="0"/>
        <w:spacing w:line="360" w:lineRule="auto"/>
        <w:rPr>
          <w:rFonts w:hint="eastAsia"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9"/>
        <w:tblW w:w="0" w:type="auto"/>
        <w:jc w:val="center"/>
        <w:tblLayout w:type="fixed"/>
        <w:tblCellMar>
          <w:top w:w="0" w:type="dxa"/>
          <w:left w:w="108" w:type="dxa"/>
          <w:bottom w:w="0" w:type="dxa"/>
          <w:right w:w="108" w:type="dxa"/>
        </w:tblCellMar>
      </w:tblPr>
      <w:tblGrid>
        <w:gridCol w:w="727"/>
        <w:gridCol w:w="2057"/>
        <w:gridCol w:w="1701"/>
        <w:gridCol w:w="2551"/>
        <w:gridCol w:w="2725"/>
      </w:tblGrid>
      <w:tr w14:paraId="17569317">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32E44FC3">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14:paraId="3FB97458">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14:paraId="7976C8B7">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原投标总报价</w:t>
            </w:r>
            <w:r>
              <w:rPr>
                <w:rFonts w:ascii="宋体" w:hAnsi="宋体"/>
                <w:color w:val="auto"/>
                <w:szCs w:val="21"/>
                <w:highlight w:val="none"/>
              </w:rPr>
              <w:t>A</w:t>
            </w:r>
          </w:p>
        </w:tc>
        <w:tc>
          <w:tcPr>
            <w:tcW w:w="2551" w:type="dxa"/>
            <w:tcBorders>
              <w:top w:val="single" w:color="auto" w:sz="4" w:space="0"/>
              <w:left w:val="nil"/>
              <w:bottom w:val="single" w:color="auto" w:sz="4" w:space="0"/>
              <w:right w:val="single" w:color="auto" w:sz="4" w:space="0"/>
            </w:tcBorders>
            <w:vAlign w:val="center"/>
          </w:tcPr>
          <w:p w14:paraId="3E5F5ACE">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算术复核后投标总报价</w:t>
            </w:r>
            <w:r>
              <w:rPr>
                <w:rFonts w:ascii="宋体" w:hAnsi="宋体"/>
                <w:color w:val="auto"/>
                <w:szCs w:val="21"/>
                <w:highlight w:val="none"/>
              </w:rPr>
              <w:t>B</w:t>
            </w:r>
          </w:p>
        </w:tc>
        <w:tc>
          <w:tcPr>
            <w:tcW w:w="2725" w:type="dxa"/>
            <w:tcBorders>
              <w:top w:val="single" w:color="auto" w:sz="4" w:space="0"/>
              <w:left w:val="nil"/>
              <w:bottom w:val="single" w:color="auto" w:sz="4" w:space="0"/>
              <w:right w:val="single" w:color="auto" w:sz="4" w:space="0"/>
            </w:tcBorders>
            <w:vAlign w:val="center"/>
          </w:tcPr>
          <w:p w14:paraId="3216E564">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14:paraId="599A6482">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A4BA328">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14:paraId="636D62B1">
            <w:pPr>
              <w:snapToGrid w:val="0"/>
              <w:spacing w:line="240" w:lineRule="atLeast"/>
              <w:jc w:val="center"/>
              <w:rPr>
                <w:rFonts w:hint="eastAsia"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0598F39">
            <w:pPr>
              <w:snapToGrid w:val="0"/>
              <w:spacing w:line="240" w:lineRule="atLeast"/>
              <w:jc w:val="center"/>
              <w:rPr>
                <w:rFonts w:hint="eastAsia" w:ascii="宋体" w:hAnsi="宋体"/>
                <w:color w:val="auto"/>
                <w:szCs w:val="21"/>
                <w:highlight w:val="none"/>
              </w:rPr>
            </w:pPr>
          </w:p>
        </w:tc>
        <w:tc>
          <w:tcPr>
            <w:tcW w:w="2551" w:type="dxa"/>
            <w:tcBorders>
              <w:top w:val="nil"/>
              <w:left w:val="nil"/>
              <w:bottom w:val="single" w:color="auto" w:sz="4" w:space="0"/>
              <w:right w:val="single" w:color="auto" w:sz="4" w:space="0"/>
            </w:tcBorders>
            <w:vAlign w:val="center"/>
          </w:tcPr>
          <w:p w14:paraId="616BC03D">
            <w:pPr>
              <w:snapToGrid w:val="0"/>
              <w:spacing w:line="240" w:lineRule="atLeast"/>
              <w:jc w:val="center"/>
              <w:rPr>
                <w:rFonts w:hint="eastAsia" w:ascii="宋体" w:hAnsi="宋体"/>
                <w:color w:val="auto"/>
                <w:szCs w:val="21"/>
                <w:highlight w:val="none"/>
              </w:rPr>
            </w:pPr>
          </w:p>
        </w:tc>
        <w:tc>
          <w:tcPr>
            <w:tcW w:w="2725" w:type="dxa"/>
            <w:tcBorders>
              <w:top w:val="nil"/>
              <w:left w:val="nil"/>
              <w:bottom w:val="single" w:color="auto" w:sz="4" w:space="0"/>
              <w:right w:val="single" w:color="auto" w:sz="4" w:space="0"/>
            </w:tcBorders>
            <w:vAlign w:val="center"/>
          </w:tcPr>
          <w:p w14:paraId="2D337A33">
            <w:pPr>
              <w:snapToGrid w:val="0"/>
              <w:spacing w:line="240" w:lineRule="atLeast"/>
              <w:jc w:val="center"/>
              <w:rPr>
                <w:rFonts w:hint="eastAsia" w:ascii="宋体" w:hAnsi="宋体"/>
                <w:color w:val="auto"/>
                <w:szCs w:val="21"/>
                <w:highlight w:val="none"/>
              </w:rPr>
            </w:pPr>
          </w:p>
        </w:tc>
      </w:tr>
      <w:tr w14:paraId="3AEEBE88">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8FEF2ED">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14:paraId="12F8B8BC">
            <w:pPr>
              <w:snapToGrid w:val="0"/>
              <w:spacing w:line="240" w:lineRule="atLeast"/>
              <w:jc w:val="center"/>
              <w:rPr>
                <w:rFonts w:hint="eastAsia"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B3F8D17">
            <w:pPr>
              <w:snapToGrid w:val="0"/>
              <w:spacing w:line="240" w:lineRule="atLeast"/>
              <w:jc w:val="center"/>
              <w:rPr>
                <w:rFonts w:hint="eastAsia" w:ascii="宋体" w:hAnsi="宋体"/>
                <w:color w:val="auto"/>
                <w:szCs w:val="21"/>
                <w:highlight w:val="none"/>
              </w:rPr>
            </w:pPr>
          </w:p>
        </w:tc>
        <w:tc>
          <w:tcPr>
            <w:tcW w:w="2551" w:type="dxa"/>
            <w:tcBorders>
              <w:top w:val="nil"/>
              <w:left w:val="nil"/>
              <w:bottom w:val="single" w:color="auto" w:sz="4" w:space="0"/>
              <w:right w:val="single" w:color="auto" w:sz="4" w:space="0"/>
            </w:tcBorders>
            <w:vAlign w:val="center"/>
          </w:tcPr>
          <w:p w14:paraId="7CC2F50E">
            <w:pPr>
              <w:snapToGrid w:val="0"/>
              <w:spacing w:line="240" w:lineRule="atLeast"/>
              <w:jc w:val="center"/>
              <w:rPr>
                <w:rFonts w:hint="eastAsia" w:ascii="宋体" w:hAnsi="宋体"/>
                <w:color w:val="auto"/>
                <w:szCs w:val="21"/>
                <w:highlight w:val="none"/>
              </w:rPr>
            </w:pPr>
          </w:p>
        </w:tc>
        <w:tc>
          <w:tcPr>
            <w:tcW w:w="2725" w:type="dxa"/>
            <w:tcBorders>
              <w:top w:val="nil"/>
              <w:left w:val="nil"/>
              <w:bottom w:val="single" w:color="auto" w:sz="4" w:space="0"/>
              <w:right w:val="single" w:color="auto" w:sz="4" w:space="0"/>
            </w:tcBorders>
            <w:vAlign w:val="center"/>
          </w:tcPr>
          <w:p w14:paraId="4387EB8C">
            <w:pPr>
              <w:snapToGrid w:val="0"/>
              <w:spacing w:line="240" w:lineRule="atLeast"/>
              <w:jc w:val="center"/>
              <w:rPr>
                <w:rFonts w:hint="eastAsia" w:ascii="宋体" w:hAnsi="宋体"/>
                <w:color w:val="auto"/>
                <w:szCs w:val="21"/>
                <w:highlight w:val="none"/>
              </w:rPr>
            </w:pPr>
          </w:p>
        </w:tc>
      </w:tr>
      <w:tr w14:paraId="7B584889">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16E6A089">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14:paraId="5FB6B781">
            <w:pPr>
              <w:snapToGrid w:val="0"/>
              <w:spacing w:line="240" w:lineRule="atLeast"/>
              <w:jc w:val="center"/>
              <w:rPr>
                <w:rFonts w:hint="eastAsia"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557800E1">
            <w:pPr>
              <w:snapToGrid w:val="0"/>
              <w:spacing w:line="240" w:lineRule="atLeast"/>
              <w:jc w:val="center"/>
              <w:rPr>
                <w:rFonts w:hint="eastAsia" w:ascii="宋体" w:hAnsi="宋体"/>
                <w:color w:val="auto"/>
                <w:szCs w:val="21"/>
                <w:highlight w:val="none"/>
              </w:rPr>
            </w:pPr>
          </w:p>
        </w:tc>
        <w:tc>
          <w:tcPr>
            <w:tcW w:w="2551" w:type="dxa"/>
            <w:tcBorders>
              <w:top w:val="nil"/>
              <w:left w:val="nil"/>
              <w:bottom w:val="single" w:color="auto" w:sz="4" w:space="0"/>
              <w:right w:val="single" w:color="auto" w:sz="4" w:space="0"/>
            </w:tcBorders>
            <w:vAlign w:val="center"/>
          </w:tcPr>
          <w:p w14:paraId="12F5C27A">
            <w:pPr>
              <w:snapToGrid w:val="0"/>
              <w:spacing w:line="240" w:lineRule="atLeast"/>
              <w:jc w:val="center"/>
              <w:rPr>
                <w:rFonts w:hint="eastAsia" w:ascii="宋体" w:hAnsi="宋体"/>
                <w:color w:val="auto"/>
                <w:szCs w:val="21"/>
                <w:highlight w:val="none"/>
              </w:rPr>
            </w:pPr>
          </w:p>
        </w:tc>
        <w:tc>
          <w:tcPr>
            <w:tcW w:w="2725" w:type="dxa"/>
            <w:tcBorders>
              <w:top w:val="nil"/>
              <w:left w:val="nil"/>
              <w:bottom w:val="single" w:color="auto" w:sz="4" w:space="0"/>
              <w:right w:val="single" w:color="auto" w:sz="4" w:space="0"/>
            </w:tcBorders>
            <w:vAlign w:val="center"/>
          </w:tcPr>
          <w:p w14:paraId="59588558">
            <w:pPr>
              <w:snapToGrid w:val="0"/>
              <w:spacing w:line="240" w:lineRule="atLeast"/>
              <w:jc w:val="center"/>
              <w:rPr>
                <w:rFonts w:hint="eastAsia" w:ascii="宋体" w:hAnsi="宋体"/>
                <w:color w:val="auto"/>
                <w:szCs w:val="21"/>
                <w:highlight w:val="none"/>
              </w:rPr>
            </w:pPr>
          </w:p>
        </w:tc>
      </w:tr>
      <w:tr w14:paraId="0D98537A">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8494F9E">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14:paraId="2C8A5E05">
            <w:pPr>
              <w:snapToGrid w:val="0"/>
              <w:spacing w:line="240" w:lineRule="atLeast"/>
              <w:jc w:val="center"/>
              <w:rPr>
                <w:rFonts w:hint="eastAsia"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6A8783CD">
            <w:pPr>
              <w:snapToGrid w:val="0"/>
              <w:spacing w:line="240" w:lineRule="atLeast"/>
              <w:jc w:val="center"/>
              <w:rPr>
                <w:rFonts w:hint="eastAsia" w:ascii="宋体" w:hAnsi="宋体"/>
                <w:color w:val="auto"/>
                <w:szCs w:val="21"/>
                <w:highlight w:val="none"/>
              </w:rPr>
            </w:pPr>
          </w:p>
        </w:tc>
        <w:tc>
          <w:tcPr>
            <w:tcW w:w="2551" w:type="dxa"/>
            <w:tcBorders>
              <w:top w:val="nil"/>
              <w:left w:val="nil"/>
              <w:bottom w:val="single" w:color="auto" w:sz="4" w:space="0"/>
              <w:right w:val="single" w:color="auto" w:sz="4" w:space="0"/>
            </w:tcBorders>
            <w:vAlign w:val="center"/>
          </w:tcPr>
          <w:p w14:paraId="439754C4">
            <w:pPr>
              <w:snapToGrid w:val="0"/>
              <w:spacing w:line="240" w:lineRule="atLeast"/>
              <w:jc w:val="center"/>
              <w:rPr>
                <w:rFonts w:hint="eastAsia" w:ascii="宋体" w:hAnsi="宋体"/>
                <w:color w:val="auto"/>
                <w:szCs w:val="21"/>
                <w:highlight w:val="none"/>
              </w:rPr>
            </w:pPr>
          </w:p>
        </w:tc>
        <w:tc>
          <w:tcPr>
            <w:tcW w:w="2725" w:type="dxa"/>
            <w:tcBorders>
              <w:top w:val="nil"/>
              <w:left w:val="nil"/>
              <w:bottom w:val="single" w:color="auto" w:sz="4" w:space="0"/>
              <w:right w:val="single" w:color="auto" w:sz="4" w:space="0"/>
            </w:tcBorders>
            <w:vAlign w:val="center"/>
          </w:tcPr>
          <w:p w14:paraId="1449C5D3">
            <w:pPr>
              <w:snapToGrid w:val="0"/>
              <w:spacing w:line="240" w:lineRule="atLeast"/>
              <w:jc w:val="center"/>
              <w:rPr>
                <w:rFonts w:hint="eastAsia" w:ascii="宋体" w:hAnsi="宋体"/>
                <w:color w:val="auto"/>
                <w:szCs w:val="21"/>
                <w:highlight w:val="none"/>
              </w:rPr>
            </w:pPr>
          </w:p>
        </w:tc>
      </w:tr>
      <w:tr w14:paraId="3B804E75">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33E4D133">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14:paraId="6C983AE5">
            <w:pPr>
              <w:snapToGrid w:val="0"/>
              <w:spacing w:line="240" w:lineRule="atLeast"/>
              <w:jc w:val="center"/>
              <w:rPr>
                <w:rFonts w:hint="eastAsia"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732F3D14">
            <w:pPr>
              <w:snapToGrid w:val="0"/>
              <w:spacing w:line="240" w:lineRule="atLeast"/>
              <w:jc w:val="center"/>
              <w:rPr>
                <w:rFonts w:hint="eastAsia" w:ascii="宋体" w:hAnsi="宋体"/>
                <w:color w:val="auto"/>
                <w:szCs w:val="21"/>
                <w:highlight w:val="none"/>
              </w:rPr>
            </w:pPr>
          </w:p>
        </w:tc>
        <w:tc>
          <w:tcPr>
            <w:tcW w:w="2551" w:type="dxa"/>
            <w:tcBorders>
              <w:top w:val="nil"/>
              <w:left w:val="nil"/>
              <w:bottom w:val="single" w:color="auto" w:sz="4" w:space="0"/>
              <w:right w:val="single" w:color="auto" w:sz="4" w:space="0"/>
            </w:tcBorders>
            <w:vAlign w:val="center"/>
          </w:tcPr>
          <w:p w14:paraId="10E22EDD">
            <w:pPr>
              <w:snapToGrid w:val="0"/>
              <w:spacing w:line="240" w:lineRule="atLeast"/>
              <w:jc w:val="center"/>
              <w:rPr>
                <w:rFonts w:hint="eastAsia" w:ascii="宋体" w:hAnsi="宋体"/>
                <w:color w:val="auto"/>
                <w:szCs w:val="21"/>
                <w:highlight w:val="none"/>
              </w:rPr>
            </w:pPr>
          </w:p>
        </w:tc>
        <w:tc>
          <w:tcPr>
            <w:tcW w:w="2725" w:type="dxa"/>
            <w:tcBorders>
              <w:top w:val="nil"/>
              <w:left w:val="nil"/>
              <w:bottom w:val="single" w:color="auto" w:sz="4" w:space="0"/>
              <w:right w:val="single" w:color="auto" w:sz="4" w:space="0"/>
            </w:tcBorders>
            <w:vAlign w:val="center"/>
          </w:tcPr>
          <w:p w14:paraId="2D5CE493">
            <w:pPr>
              <w:snapToGrid w:val="0"/>
              <w:spacing w:line="240" w:lineRule="atLeast"/>
              <w:jc w:val="center"/>
              <w:rPr>
                <w:rFonts w:hint="eastAsia" w:ascii="宋体" w:hAnsi="宋体"/>
                <w:color w:val="auto"/>
                <w:szCs w:val="21"/>
                <w:highlight w:val="none"/>
              </w:rPr>
            </w:pPr>
          </w:p>
        </w:tc>
      </w:tr>
      <w:tr w14:paraId="3922B210">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ADC5C63">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14:paraId="100F1508">
            <w:pPr>
              <w:snapToGrid w:val="0"/>
              <w:spacing w:line="240" w:lineRule="atLeast"/>
              <w:jc w:val="center"/>
              <w:rPr>
                <w:rFonts w:hint="eastAsia"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11B7D8D8">
            <w:pPr>
              <w:snapToGrid w:val="0"/>
              <w:spacing w:line="240" w:lineRule="atLeast"/>
              <w:jc w:val="center"/>
              <w:rPr>
                <w:rFonts w:hint="eastAsia" w:ascii="宋体" w:hAnsi="宋体"/>
                <w:color w:val="auto"/>
                <w:szCs w:val="21"/>
                <w:highlight w:val="none"/>
              </w:rPr>
            </w:pPr>
          </w:p>
        </w:tc>
        <w:tc>
          <w:tcPr>
            <w:tcW w:w="2551" w:type="dxa"/>
            <w:tcBorders>
              <w:top w:val="nil"/>
              <w:left w:val="nil"/>
              <w:bottom w:val="single" w:color="auto" w:sz="4" w:space="0"/>
              <w:right w:val="single" w:color="auto" w:sz="4" w:space="0"/>
            </w:tcBorders>
            <w:vAlign w:val="center"/>
          </w:tcPr>
          <w:p w14:paraId="2BA840DF">
            <w:pPr>
              <w:snapToGrid w:val="0"/>
              <w:spacing w:line="240" w:lineRule="atLeast"/>
              <w:jc w:val="center"/>
              <w:rPr>
                <w:rFonts w:hint="eastAsia" w:ascii="宋体" w:hAnsi="宋体"/>
                <w:color w:val="auto"/>
                <w:szCs w:val="21"/>
                <w:highlight w:val="none"/>
              </w:rPr>
            </w:pPr>
          </w:p>
        </w:tc>
        <w:tc>
          <w:tcPr>
            <w:tcW w:w="2725" w:type="dxa"/>
            <w:tcBorders>
              <w:top w:val="nil"/>
              <w:left w:val="nil"/>
              <w:bottom w:val="single" w:color="auto" w:sz="4" w:space="0"/>
              <w:right w:val="single" w:color="auto" w:sz="4" w:space="0"/>
            </w:tcBorders>
            <w:vAlign w:val="center"/>
          </w:tcPr>
          <w:p w14:paraId="3B13C920">
            <w:pPr>
              <w:snapToGrid w:val="0"/>
              <w:spacing w:line="240" w:lineRule="atLeast"/>
              <w:jc w:val="center"/>
              <w:rPr>
                <w:rFonts w:hint="eastAsia" w:ascii="宋体" w:hAnsi="宋体"/>
                <w:color w:val="auto"/>
                <w:szCs w:val="21"/>
                <w:highlight w:val="none"/>
              </w:rPr>
            </w:pPr>
          </w:p>
        </w:tc>
      </w:tr>
      <w:tr w14:paraId="73FF8EAB">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BCC73BB">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14:paraId="58953D6E">
            <w:pPr>
              <w:snapToGrid w:val="0"/>
              <w:spacing w:line="240" w:lineRule="atLeast"/>
              <w:jc w:val="center"/>
              <w:rPr>
                <w:rFonts w:hint="eastAsia"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15247F4C">
            <w:pPr>
              <w:snapToGrid w:val="0"/>
              <w:spacing w:line="240" w:lineRule="atLeast"/>
              <w:jc w:val="center"/>
              <w:rPr>
                <w:rFonts w:hint="eastAsia" w:ascii="宋体" w:hAnsi="宋体"/>
                <w:color w:val="auto"/>
                <w:szCs w:val="21"/>
                <w:highlight w:val="none"/>
              </w:rPr>
            </w:pPr>
          </w:p>
        </w:tc>
        <w:tc>
          <w:tcPr>
            <w:tcW w:w="2551" w:type="dxa"/>
            <w:tcBorders>
              <w:top w:val="nil"/>
              <w:left w:val="nil"/>
              <w:bottom w:val="single" w:color="auto" w:sz="4" w:space="0"/>
              <w:right w:val="single" w:color="auto" w:sz="4" w:space="0"/>
            </w:tcBorders>
            <w:vAlign w:val="center"/>
          </w:tcPr>
          <w:p w14:paraId="550BC937">
            <w:pPr>
              <w:snapToGrid w:val="0"/>
              <w:spacing w:line="240" w:lineRule="atLeast"/>
              <w:jc w:val="center"/>
              <w:rPr>
                <w:rFonts w:hint="eastAsia" w:ascii="宋体" w:hAnsi="宋体"/>
                <w:color w:val="auto"/>
                <w:szCs w:val="21"/>
                <w:highlight w:val="none"/>
              </w:rPr>
            </w:pPr>
          </w:p>
        </w:tc>
        <w:tc>
          <w:tcPr>
            <w:tcW w:w="2725" w:type="dxa"/>
            <w:tcBorders>
              <w:top w:val="nil"/>
              <w:left w:val="nil"/>
              <w:bottom w:val="single" w:color="auto" w:sz="4" w:space="0"/>
              <w:right w:val="single" w:color="auto" w:sz="4" w:space="0"/>
            </w:tcBorders>
            <w:vAlign w:val="center"/>
          </w:tcPr>
          <w:p w14:paraId="670934C3">
            <w:pPr>
              <w:snapToGrid w:val="0"/>
              <w:spacing w:line="240" w:lineRule="atLeast"/>
              <w:jc w:val="center"/>
              <w:rPr>
                <w:rFonts w:hint="eastAsia" w:ascii="宋体" w:hAnsi="宋体"/>
                <w:color w:val="auto"/>
                <w:szCs w:val="21"/>
                <w:highlight w:val="none"/>
              </w:rPr>
            </w:pPr>
          </w:p>
        </w:tc>
      </w:tr>
      <w:tr w14:paraId="598A6777">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EDB6C42">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14:paraId="6AB60932">
            <w:pPr>
              <w:snapToGrid w:val="0"/>
              <w:spacing w:line="240" w:lineRule="atLeast"/>
              <w:jc w:val="center"/>
              <w:rPr>
                <w:rFonts w:hint="eastAsia"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740F4621">
            <w:pPr>
              <w:snapToGrid w:val="0"/>
              <w:spacing w:line="240" w:lineRule="atLeast"/>
              <w:jc w:val="center"/>
              <w:rPr>
                <w:rFonts w:hint="eastAsia" w:ascii="宋体" w:hAnsi="宋体"/>
                <w:color w:val="auto"/>
                <w:szCs w:val="21"/>
                <w:highlight w:val="none"/>
              </w:rPr>
            </w:pPr>
          </w:p>
        </w:tc>
        <w:tc>
          <w:tcPr>
            <w:tcW w:w="2551" w:type="dxa"/>
            <w:tcBorders>
              <w:top w:val="nil"/>
              <w:left w:val="nil"/>
              <w:bottom w:val="single" w:color="auto" w:sz="4" w:space="0"/>
              <w:right w:val="single" w:color="auto" w:sz="4" w:space="0"/>
            </w:tcBorders>
            <w:vAlign w:val="center"/>
          </w:tcPr>
          <w:p w14:paraId="54094037">
            <w:pPr>
              <w:snapToGrid w:val="0"/>
              <w:spacing w:line="240" w:lineRule="atLeast"/>
              <w:jc w:val="center"/>
              <w:rPr>
                <w:rFonts w:hint="eastAsia" w:ascii="宋体" w:hAnsi="宋体"/>
                <w:color w:val="auto"/>
                <w:szCs w:val="21"/>
                <w:highlight w:val="none"/>
              </w:rPr>
            </w:pPr>
          </w:p>
        </w:tc>
        <w:tc>
          <w:tcPr>
            <w:tcW w:w="2725" w:type="dxa"/>
            <w:tcBorders>
              <w:top w:val="nil"/>
              <w:left w:val="nil"/>
              <w:bottom w:val="single" w:color="auto" w:sz="4" w:space="0"/>
              <w:right w:val="single" w:color="auto" w:sz="4" w:space="0"/>
            </w:tcBorders>
            <w:vAlign w:val="center"/>
          </w:tcPr>
          <w:p w14:paraId="0E224642">
            <w:pPr>
              <w:snapToGrid w:val="0"/>
              <w:spacing w:line="240" w:lineRule="atLeast"/>
              <w:jc w:val="center"/>
              <w:rPr>
                <w:rFonts w:hint="eastAsia" w:ascii="宋体" w:hAnsi="宋体"/>
                <w:color w:val="auto"/>
                <w:szCs w:val="21"/>
                <w:highlight w:val="none"/>
              </w:rPr>
            </w:pPr>
          </w:p>
        </w:tc>
      </w:tr>
      <w:tr w14:paraId="3E015466">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E5CEEFC">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14:paraId="24871AA1">
            <w:pPr>
              <w:snapToGrid w:val="0"/>
              <w:spacing w:line="240" w:lineRule="atLeast"/>
              <w:jc w:val="center"/>
              <w:rPr>
                <w:rFonts w:hint="eastAsia"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064BE60">
            <w:pPr>
              <w:snapToGrid w:val="0"/>
              <w:spacing w:line="240" w:lineRule="atLeast"/>
              <w:jc w:val="center"/>
              <w:rPr>
                <w:rFonts w:hint="eastAsia" w:ascii="宋体" w:hAnsi="宋体"/>
                <w:color w:val="auto"/>
                <w:szCs w:val="21"/>
                <w:highlight w:val="none"/>
              </w:rPr>
            </w:pPr>
          </w:p>
        </w:tc>
        <w:tc>
          <w:tcPr>
            <w:tcW w:w="2551" w:type="dxa"/>
            <w:tcBorders>
              <w:top w:val="nil"/>
              <w:left w:val="nil"/>
              <w:bottom w:val="single" w:color="auto" w:sz="4" w:space="0"/>
              <w:right w:val="single" w:color="auto" w:sz="4" w:space="0"/>
            </w:tcBorders>
            <w:vAlign w:val="center"/>
          </w:tcPr>
          <w:p w14:paraId="483D16DD">
            <w:pPr>
              <w:snapToGrid w:val="0"/>
              <w:spacing w:line="240" w:lineRule="atLeast"/>
              <w:jc w:val="center"/>
              <w:rPr>
                <w:rFonts w:hint="eastAsia" w:ascii="宋体" w:hAnsi="宋体"/>
                <w:color w:val="auto"/>
                <w:szCs w:val="21"/>
                <w:highlight w:val="none"/>
              </w:rPr>
            </w:pPr>
          </w:p>
        </w:tc>
        <w:tc>
          <w:tcPr>
            <w:tcW w:w="2725" w:type="dxa"/>
            <w:tcBorders>
              <w:top w:val="nil"/>
              <w:left w:val="nil"/>
              <w:bottom w:val="single" w:color="auto" w:sz="4" w:space="0"/>
              <w:right w:val="single" w:color="auto" w:sz="4" w:space="0"/>
            </w:tcBorders>
            <w:vAlign w:val="center"/>
          </w:tcPr>
          <w:p w14:paraId="672A0EAF">
            <w:pPr>
              <w:snapToGrid w:val="0"/>
              <w:spacing w:line="240" w:lineRule="atLeast"/>
              <w:jc w:val="center"/>
              <w:rPr>
                <w:rFonts w:hint="eastAsia" w:ascii="宋体" w:hAnsi="宋体"/>
                <w:color w:val="auto"/>
                <w:szCs w:val="21"/>
                <w:highlight w:val="none"/>
              </w:rPr>
            </w:pPr>
          </w:p>
        </w:tc>
      </w:tr>
      <w:tr w14:paraId="45BD352E">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4D71F47">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14:paraId="2DE09E07">
            <w:pPr>
              <w:snapToGrid w:val="0"/>
              <w:spacing w:line="240" w:lineRule="atLeast"/>
              <w:jc w:val="center"/>
              <w:rPr>
                <w:rFonts w:hint="eastAsia"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7350D895">
            <w:pPr>
              <w:snapToGrid w:val="0"/>
              <w:spacing w:line="240" w:lineRule="atLeast"/>
              <w:jc w:val="center"/>
              <w:rPr>
                <w:rFonts w:hint="eastAsia" w:ascii="宋体" w:hAnsi="宋体"/>
                <w:color w:val="auto"/>
                <w:szCs w:val="21"/>
                <w:highlight w:val="none"/>
              </w:rPr>
            </w:pPr>
          </w:p>
        </w:tc>
        <w:tc>
          <w:tcPr>
            <w:tcW w:w="2551" w:type="dxa"/>
            <w:tcBorders>
              <w:top w:val="nil"/>
              <w:left w:val="nil"/>
              <w:bottom w:val="single" w:color="auto" w:sz="4" w:space="0"/>
              <w:right w:val="single" w:color="auto" w:sz="4" w:space="0"/>
            </w:tcBorders>
            <w:vAlign w:val="center"/>
          </w:tcPr>
          <w:p w14:paraId="1FA5374E">
            <w:pPr>
              <w:snapToGrid w:val="0"/>
              <w:spacing w:line="240" w:lineRule="atLeast"/>
              <w:jc w:val="center"/>
              <w:rPr>
                <w:rFonts w:hint="eastAsia" w:ascii="宋体" w:hAnsi="宋体"/>
                <w:color w:val="auto"/>
                <w:szCs w:val="21"/>
                <w:highlight w:val="none"/>
              </w:rPr>
            </w:pPr>
          </w:p>
        </w:tc>
        <w:tc>
          <w:tcPr>
            <w:tcW w:w="2725" w:type="dxa"/>
            <w:tcBorders>
              <w:top w:val="nil"/>
              <w:left w:val="nil"/>
              <w:bottom w:val="single" w:color="auto" w:sz="4" w:space="0"/>
              <w:right w:val="single" w:color="auto" w:sz="4" w:space="0"/>
            </w:tcBorders>
            <w:vAlign w:val="center"/>
          </w:tcPr>
          <w:p w14:paraId="0A5DC3DE">
            <w:pPr>
              <w:snapToGrid w:val="0"/>
              <w:spacing w:line="240" w:lineRule="atLeast"/>
              <w:jc w:val="center"/>
              <w:rPr>
                <w:rFonts w:hint="eastAsia" w:ascii="宋体" w:hAnsi="宋体"/>
                <w:color w:val="auto"/>
                <w:szCs w:val="21"/>
                <w:highlight w:val="none"/>
              </w:rPr>
            </w:pPr>
          </w:p>
        </w:tc>
      </w:tr>
      <w:tr w14:paraId="3748335A">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3C476E6F">
            <w:pPr>
              <w:snapToGrid w:val="0"/>
              <w:spacing w:line="240" w:lineRule="atLeast"/>
              <w:jc w:val="center"/>
              <w:rPr>
                <w:rFonts w:hint="eastAsia"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14:paraId="38576787">
            <w:pPr>
              <w:snapToGrid w:val="0"/>
              <w:spacing w:line="240" w:lineRule="atLeast"/>
              <w:jc w:val="center"/>
              <w:rPr>
                <w:rFonts w:hint="eastAsia"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14:paraId="37C03454">
            <w:pPr>
              <w:snapToGrid w:val="0"/>
              <w:spacing w:line="240" w:lineRule="atLeast"/>
              <w:jc w:val="center"/>
              <w:rPr>
                <w:rFonts w:hint="eastAsia" w:ascii="宋体" w:hAnsi="宋体"/>
                <w:color w:val="auto"/>
                <w:szCs w:val="21"/>
                <w:highlight w:val="none"/>
              </w:rPr>
            </w:pPr>
          </w:p>
        </w:tc>
        <w:tc>
          <w:tcPr>
            <w:tcW w:w="2551" w:type="dxa"/>
            <w:tcBorders>
              <w:top w:val="nil"/>
              <w:left w:val="nil"/>
              <w:bottom w:val="single" w:color="auto" w:sz="4" w:space="0"/>
              <w:right w:val="single" w:color="auto" w:sz="4" w:space="0"/>
            </w:tcBorders>
            <w:vAlign w:val="center"/>
          </w:tcPr>
          <w:p w14:paraId="4F536DAE">
            <w:pPr>
              <w:snapToGrid w:val="0"/>
              <w:spacing w:line="240" w:lineRule="atLeast"/>
              <w:jc w:val="center"/>
              <w:rPr>
                <w:rFonts w:hint="eastAsia" w:ascii="宋体" w:hAnsi="宋体"/>
                <w:color w:val="auto"/>
                <w:szCs w:val="21"/>
                <w:highlight w:val="none"/>
              </w:rPr>
            </w:pPr>
          </w:p>
        </w:tc>
        <w:tc>
          <w:tcPr>
            <w:tcW w:w="2725" w:type="dxa"/>
            <w:tcBorders>
              <w:top w:val="nil"/>
              <w:left w:val="nil"/>
              <w:bottom w:val="single" w:color="auto" w:sz="4" w:space="0"/>
              <w:right w:val="single" w:color="auto" w:sz="4" w:space="0"/>
            </w:tcBorders>
            <w:vAlign w:val="center"/>
          </w:tcPr>
          <w:p w14:paraId="6C1BDE42">
            <w:pPr>
              <w:snapToGrid w:val="0"/>
              <w:spacing w:line="240" w:lineRule="atLeast"/>
              <w:jc w:val="center"/>
              <w:rPr>
                <w:rFonts w:hint="eastAsia" w:ascii="宋体" w:hAnsi="宋体"/>
                <w:color w:val="auto"/>
                <w:szCs w:val="21"/>
                <w:highlight w:val="none"/>
              </w:rPr>
            </w:pPr>
          </w:p>
        </w:tc>
      </w:tr>
    </w:tbl>
    <w:p w14:paraId="36086665">
      <w:pPr>
        <w:snapToGrid w:val="0"/>
        <w:spacing w:line="240" w:lineRule="atLeast"/>
        <w:jc w:val="center"/>
        <w:rPr>
          <w:rFonts w:hint="eastAsia" w:ascii="宋体" w:hAnsi="宋体"/>
          <w:color w:val="auto"/>
          <w:szCs w:val="21"/>
          <w:highlight w:val="none"/>
        </w:rPr>
      </w:pPr>
    </w:p>
    <w:p w14:paraId="7DE4267B">
      <w:pPr>
        <w:pStyle w:val="27"/>
        <w:adjustRightInd w:val="0"/>
        <w:snapToGrid w:val="0"/>
        <w:spacing w:line="360" w:lineRule="auto"/>
        <w:ind w:firstLine="0"/>
        <w:rPr>
          <w:rFonts w:hint="eastAsia" w:ascii="宋体" w:hAnsi="宋体"/>
          <w:color w:val="auto"/>
          <w:highlight w:val="none"/>
        </w:rPr>
      </w:pPr>
    </w:p>
    <w:p w14:paraId="09FED151">
      <w:pPr>
        <w:pStyle w:val="4"/>
        <w:numPr>
          <w:ilvl w:val="0"/>
          <w:numId w:val="1"/>
        </w:numPr>
        <w:rPr>
          <w:rFonts w:hint="eastAsia"/>
          <w:color w:val="auto"/>
          <w:highlight w:val="none"/>
        </w:rPr>
      </w:pPr>
      <w:r>
        <w:rPr>
          <w:b w:val="0"/>
          <w:color w:val="auto"/>
          <w:spacing w:val="20"/>
          <w:highlight w:val="none"/>
        </w:rPr>
        <w:br w:type="page"/>
      </w:r>
      <w:bookmarkStart w:id="158" w:name="_Toc25276"/>
      <w:bookmarkStart w:id="159" w:name="_Toc11628"/>
      <w:bookmarkStart w:id="160" w:name="_Toc533357319"/>
      <w:bookmarkStart w:id="161" w:name="_Toc25477"/>
      <w:bookmarkStart w:id="162" w:name="_Toc28350"/>
      <w:r>
        <w:rPr>
          <w:rFonts w:hint="eastAsia" w:ascii="宋体" w:hAnsi="宋体" w:eastAsia="宋体" w:cs="Times New Roman"/>
          <w:color w:val="auto"/>
          <w:highlight w:val="none"/>
        </w:rPr>
        <w:t>评标</w:t>
      </w:r>
      <w:r>
        <w:rPr>
          <w:rFonts w:hint="eastAsia"/>
          <w:color w:val="auto"/>
          <w:highlight w:val="none"/>
        </w:rPr>
        <w:t>方法</w:t>
      </w:r>
      <w:bookmarkEnd w:id="158"/>
      <w:bookmarkEnd w:id="159"/>
      <w:bookmarkEnd w:id="160"/>
      <w:bookmarkEnd w:id="161"/>
      <w:bookmarkEnd w:id="162"/>
    </w:p>
    <w:p w14:paraId="38F1934F">
      <w:pPr>
        <w:rPr>
          <w:rFonts w:hint="eastAsia" w:ascii="宋体" w:hAnsi="宋体"/>
          <w:color w:val="auto"/>
          <w:highlight w:val="none"/>
        </w:rPr>
      </w:pPr>
    </w:p>
    <w:p w14:paraId="5E84293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本次评标采用综合评估法。评标委员会对满足招标文件实质性要求的投标文件，按照本章第2.2款规定的评分标准进行打分，并按得分由高到低顺序推荐中标候选人，排序的前一</w:t>
      </w:r>
      <w:r>
        <w:rPr>
          <w:rFonts w:hint="eastAsia" w:ascii="宋体" w:hAnsi="宋体"/>
          <w:color w:val="auto"/>
          <w:sz w:val="24"/>
          <w:szCs w:val="24"/>
          <w:highlight w:val="none"/>
          <w:lang w:val="en-US" w:eastAsia="zh-CN"/>
        </w:rPr>
        <w:t>至</w:t>
      </w:r>
      <w:r>
        <w:rPr>
          <w:rFonts w:hint="eastAsia" w:ascii="宋体" w:hAnsi="宋体"/>
          <w:color w:val="auto"/>
          <w:sz w:val="24"/>
          <w:szCs w:val="24"/>
          <w:highlight w:val="none"/>
        </w:rPr>
        <w:t>三名为第一中标候选人、第二中标候选人和第三中标候选人。总得分相等时，以投标总报价低的优先；报价也相等的，以检测监测方案得分高的优先；如果检测监测方案得分也相等，由评标委员会采用记名投票方式，以得票多的优先。</w:t>
      </w:r>
    </w:p>
    <w:p w14:paraId="2257B931">
      <w:pPr>
        <w:rPr>
          <w:rFonts w:hint="eastAsia" w:ascii="宋体" w:hAnsi="宋体"/>
          <w:color w:val="auto"/>
          <w:highlight w:val="none"/>
        </w:rPr>
      </w:pPr>
    </w:p>
    <w:p w14:paraId="6929D5E0">
      <w:pPr>
        <w:pStyle w:val="4"/>
        <w:rPr>
          <w:rFonts w:hint="eastAsia"/>
          <w:color w:val="auto"/>
          <w:highlight w:val="none"/>
        </w:rPr>
      </w:pPr>
      <w:bookmarkStart w:id="163" w:name="bookmark85"/>
      <w:bookmarkEnd w:id="163"/>
      <w:bookmarkStart w:id="164" w:name="_Toc29371"/>
      <w:bookmarkStart w:id="165" w:name="_Toc3398"/>
      <w:bookmarkStart w:id="166" w:name="_Toc533357320"/>
      <w:bookmarkStart w:id="167" w:name="_Toc15152"/>
      <w:bookmarkStart w:id="168" w:name="_Toc10943"/>
      <w:r>
        <w:rPr>
          <w:color w:val="auto"/>
          <w:highlight w:val="none"/>
        </w:rPr>
        <w:t xml:space="preserve">2. </w:t>
      </w:r>
      <w:r>
        <w:rPr>
          <w:rFonts w:hint="eastAsia"/>
          <w:color w:val="auto"/>
          <w:highlight w:val="none"/>
        </w:rPr>
        <w:t>评审标准</w:t>
      </w:r>
      <w:bookmarkEnd w:id="164"/>
      <w:bookmarkEnd w:id="165"/>
      <w:bookmarkEnd w:id="166"/>
      <w:bookmarkEnd w:id="167"/>
      <w:bookmarkEnd w:id="168"/>
    </w:p>
    <w:p w14:paraId="304F807C">
      <w:pPr>
        <w:rPr>
          <w:rFonts w:hint="eastAsia" w:ascii="宋体" w:hAnsi="宋体"/>
          <w:color w:val="auto"/>
          <w:highlight w:val="none"/>
        </w:rPr>
      </w:pPr>
    </w:p>
    <w:p w14:paraId="5073D3C5">
      <w:pPr>
        <w:pStyle w:val="6"/>
        <w:ind w:firstLine="420"/>
        <w:rPr>
          <w:color w:val="auto"/>
          <w:highlight w:val="none"/>
        </w:rPr>
      </w:pPr>
      <w:bookmarkStart w:id="169" w:name="bookmark86"/>
      <w:bookmarkEnd w:id="169"/>
      <w:r>
        <w:rPr>
          <w:color w:val="auto"/>
          <w:highlight w:val="none"/>
        </w:rPr>
        <w:t xml:space="preserve">2.1 </w:t>
      </w:r>
      <w:r>
        <w:rPr>
          <w:rFonts w:hint="eastAsia"/>
          <w:color w:val="auto"/>
          <w:highlight w:val="none"/>
        </w:rPr>
        <w:t>初步评审标准</w:t>
      </w:r>
    </w:p>
    <w:p w14:paraId="3B3627CA">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14:paraId="5A42B5F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14:paraId="6D0829F7">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14:paraId="2FE08A0B">
      <w:pPr>
        <w:rPr>
          <w:rFonts w:hint="eastAsia" w:ascii="宋体" w:hAnsi="宋体"/>
          <w:color w:val="auto"/>
          <w:highlight w:val="none"/>
        </w:rPr>
      </w:pPr>
    </w:p>
    <w:p w14:paraId="559F5A0B">
      <w:pPr>
        <w:pStyle w:val="6"/>
        <w:rPr>
          <w:color w:val="auto"/>
          <w:highlight w:val="none"/>
        </w:rPr>
      </w:pPr>
      <w:bookmarkStart w:id="170" w:name="bookmark87"/>
      <w:bookmarkEnd w:id="170"/>
      <w:r>
        <w:rPr>
          <w:color w:val="auto"/>
          <w:highlight w:val="none"/>
        </w:rPr>
        <w:t xml:space="preserve">2.2 </w:t>
      </w:r>
      <w:r>
        <w:rPr>
          <w:rFonts w:hint="eastAsia"/>
          <w:color w:val="auto"/>
          <w:highlight w:val="none"/>
        </w:rPr>
        <w:t>分值构成与评分标准</w:t>
      </w:r>
    </w:p>
    <w:p w14:paraId="448AD94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14:paraId="1B17695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14:paraId="30B735C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14:paraId="4EE084D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14:paraId="0378C46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评标基准价计算</w:t>
      </w:r>
    </w:p>
    <w:p w14:paraId="119B875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评标基准价计算方法：见评标办法前附表。</w:t>
      </w:r>
    </w:p>
    <w:p w14:paraId="0ECE965C">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14:paraId="3D8590E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14:paraId="05F4F7F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14:paraId="4DEE55C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14:paraId="254928C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14:paraId="641259B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14:paraId="242E622C">
      <w:pPr>
        <w:pStyle w:val="4"/>
        <w:rPr>
          <w:rFonts w:hint="eastAsia"/>
          <w:color w:val="auto"/>
          <w:highlight w:val="none"/>
        </w:rPr>
      </w:pPr>
      <w:bookmarkStart w:id="171" w:name="bookmark88"/>
      <w:bookmarkEnd w:id="171"/>
      <w:bookmarkStart w:id="172" w:name="_Toc533357321"/>
      <w:bookmarkStart w:id="173" w:name="_Toc21355"/>
      <w:bookmarkStart w:id="174" w:name="_Toc3800"/>
      <w:bookmarkStart w:id="175" w:name="_Toc19392"/>
      <w:bookmarkStart w:id="176" w:name="_Toc14460"/>
      <w:r>
        <w:rPr>
          <w:color w:val="auto"/>
          <w:highlight w:val="none"/>
        </w:rPr>
        <w:t xml:space="preserve">3. </w:t>
      </w:r>
      <w:r>
        <w:rPr>
          <w:rFonts w:hint="eastAsia"/>
          <w:color w:val="auto"/>
          <w:highlight w:val="none"/>
        </w:rPr>
        <w:t>评标程序</w:t>
      </w:r>
      <w:bookmarkEnd w:id="172"/>
      <w:bookmarkEnd w:id="173"/>
      <w:bookmarkEnd w:id="174"/>
      <w:bookmarkEnd w:id="175"/>
      <w:bookmarkEnd w:id="176"/>
    </w:p>
    <w:p w14:paraId="60DAEF3D">
      <w:pPr>
        <w:rPr>
          <w:rFonts w:hint="eastAsia" w:ascii="宋体" w:hAnsi="宋体"/>
          <w:color w:val="auto"/>
          <w:highlight w:val="none"/>
        </w:rPr>
      </w:pPr>
    </w:p>
    <w:p w14:paraId="4C2A6914">
      <w:pPr>
        <w:pStyle w:val="6"/>
        <w:rPr>
          <w:color w:val="auto"/>
          <w:highlight w:val="none"/>
        </w:rPr>
      </w:pPr>
      <w:bookmarkStart w:id="177" w:name="bookmark89"/>
      <w:bookmarkEnd w:id="177"/>
      <w:r>
        <w:rPr>
          <w:color w:val="auto"/>
          <w:highlight w:val="none"/>
        </w:rPr>
        <w:t xml:space="preserve">3.1 </w:t>
      </w:r>
      <w:r>
        <w:rPr>
          <w:rFonts w:hint="eastAsia"/>
          <w:color w:val="auto"/>
          <w:highlight w:val="none"/>
        </w:rPr>
        <w:t>初步评审</w:t>
      </w:r>
    </w:p>
    <w:p w14:paraId="4E64E59C">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14:paraId="3DECB1EC">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14:paraId="47D92C3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14:paraId="27522BA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14:paraId="0E14DF0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14:paraId="16B72B5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14:paraId="2CFEDB5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）总价金额与单价金额不一致的，以单价金额为准，但单价金额小数点有明显错误的除外。</w:t>
      </w:r>
    </w:p>
    <w:p w14:paraId="4DA08D2F">
      <w:pPr>
        <w:rPr>
          <w:rFonts w:hint="eastAsia" w:ascii="宋体" w:hAnsi="宋体"/>
          <w:color w:val="auto"/>
          <w:highlight w:val="none"/>
        </w:rPr>
      </w:pPr>
    </w:p>
    <w:p w14:paraId="61F6EC03">
      <w:pPr>
        <w:pStyle w:val="6"/>
        <w:rPr>
          <w:color w:val="auto"/>
          <w:highlight w:val="none"/>
        </w:rPr>
      </w:pPr>
      <w:bookmarkStart w:id="178" w:name="bookmark90"/>
      <w:bookmarkEnd w:id="178"/>
      <w:r>
        <w:rPr>
          <w:color w:val="auto"/>
          <w:highlight w:val="none"/>
        </w:rPr>
        <w:t xml:space="preserve">3.2 </w:t>
      </w:r>
      <w:r>
        <w:rPr>
          <w:rFonts w:hint="eastAsia"/>
          <w:color w:val="auto"/>
          <w:highlight w:val="none"/>
        </w:rPr>
        <w:t>详细评审</w:t>
      </w:r>
    </w:p>
    <w:p w14:paraId="75D687A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14:paraId="630FBE5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14:paraId="652FD0B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14:paraId="2334E80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14:paraId="0E70C55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14:paraId="3B4536F7">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评标办法前附表</w:t>
      </w:r>
    </w:p>
    <w:p w14:paraId="75FD0222">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2747E65">
      <w:pPr>
        <w:rPr>
          <w:rFonts w:hint="eastAsia" w:ascii="宋体" w:hAnsi="宋体"/>
          <w:color w:val="auto"/>
          <w:highlight w:val="none"/>
        </w:rPr>
      </w:pPr>
    </w:p>
    <w:p w14:paraId="0C288090">
      <w:pPr>
        <w:pStyle w:val="6"/>
        <w:rPr>
          <w:color w:val="auto"/>
          <w:highlight w:val="none"/>
        </w:rPr>
      </w:pPr>
      <w:bookmarkStart w:id="179" w:name="bookmark91"/>
      <w:bookmarkEnd w:id="179"/>
      <w:r>
        <w:rPr>
          <w:color w:val="auto"/>
          <w:highlight w:val="none"/>
        </w:rPr>
        <w:t xml:space="preserve">3.3 </w:t>
      </w:r>
      <w:r>
        <w:rPr>
          <w:rFonts w:hint="eastAsia"/>
          <w:color w:val="auto"/>
          <w:highlight w:val="none"/>
        </w:rPr>
        <w:t>投标文件的澄清</w:t>
      </w:r>
    </w:p>
    <w:p w14:paraId="5475027B">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w:t>
      </w:r>
      <w:r>
        <w:rPr>
          <w:rFonts w:hint="eastAsia" w:ascii="宋体" w:hAnsi="宋体"/>
          <w:color w:val="auto"/>
          <w:sz w:val="24"/>
          <w:szCs w:val="24"/>
          <w:highlight w:val="none"/>
          <w:lang w:val="en-US" w:eastAsia="zh-CN"/>
        </w:rPr>
        <w:t>做</w:t>
      </w:r>
      <w:r>
        <w:rPr>
          <w:rFonts w:hint="eastAsia" w:ascii="宋体" w:hAnsi="宋体"/>
          <w:color w:val="auto"/>
          <w:sz w:val="24"/>
          <w:szCs w:val="24"/>
          <w:highlight w:val="none"/>
        </w:rPr>
        <w:t>必要的澄清、说明或补正。澄清、说明或补正应以书面方式进行。评标委员会不接受投标人主动提出的澄清、说明或补正。</w:t>
      </w:r>
    </w:p>
    <w:p w14:paraId="65F5355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14:paraId="06BA762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14:paraId="40FC316B">
      <w:pPr>
        <w:rPr>
          <w:rFonts w:hint="eastAsia" w:ascii="宋体" w:hAnsi="宋体"/>
          <w:color w:val="auto"/>
          <w:highlight w:val="none"/>
        </w:rPr>
      </w:pPr>
    </w:p>
    <w:p w14:paraId="3220DE2F">
      <w:pPr>
        <w:pStyle w:val="6"/>
        <w:rPr>
          <w:color w:val="auto"/>
          <w:highlight w:val="none"/>
        </w:rPr>
      </w:pPr>
      <w:bookmarkStart w:id="180" w:name="bookmark92"/>
      <w:bookmarkEnd w:id="180"/>
      <w:r>
        <w:rPr>
          <w:color w:val="auto"/>
          <w:highlight w:val="none"/>
        </w:rPr>
        <w:t xml:space="preserve">3.4 </w:t>
      </w:r>
      <w:r>
        <w:rPr>
          <w:rFonts w:hint="eastAsia"/>
          <w:color w:val="auto"/>
          <w:highlight w:val="none"/>
        </w:rPr>
        <w:t>评标结果</w:t>
      </w:r>
    </w:p>
    <w:p w14:paraId="69EBE52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14:paraId="0967CBE3">
      <w:pPr>
        <w:spacing w:line="360" w:lineRule="auto"/>
        <w:ind w:firstLine="480" w:firstLineChars="200"/>
        <w:rPr>
          <w:color w:val="auto"/>
          <w:highlight w:val="none"/>
        </w:rPr>
      </w:pPr>
      <w:r>
        <w:rPr>
          <w:rFonts w:ascii="宋体" w:hAnsi="宋体"/>
          <w:color w:val="auto"/>
          <w:sz w:val="24"/>
          <w:szCs w:val="24"/>
          <w:highlight w:val="none"/>
        </w:rPr>
        <w:t>3.4.2</w:t>
      </w:r>
      <w:r>
        <w:rPr>
          <w:rFonts w:hint="eastAsia" w:ascii="宋体" w:hAnsi="宋体"/>
          <w:color w:val="auto"/>
          <w:sz w:val="24"/>
          <w:szCs w:val="24"/>
          <w:highlight w:val="none"/>
        </w:rPr>
        <w:t>评标</w:t>
      </w:r>
      <w:r>
        <w:rPr>
          <w:rFonts w:hint="eastAsia" w:ascii="宋体" w:hAnsi="宋体" w:eastAsia="宋体"/>
          <w:color w:val="auto"/>
          <w:sz w:val="24"/>
          <w:szCs w:val="24"/>
          <w:highlight w:val="none"/>
        </w:rPr>
        <w:t>委员会</w:t>
      </w:r>
      <w:r>
        <w:rPr>
          <w:rFonts w:hint="eastAsia" w:ascii="宋体" w:hAnsi="宋体"/>
          <w:color w:val="auto"/>
          <w:sz w:val="24"/>
          <w:szCs w:val="24"/>
          <w:highlight w:val="none"/>
        </w:rPr>
        <w:t>完成评标后，应当向招标人提交书面评标报告和中标候选人名单。</w:t>
      </w:r>
    </w:p>
    <w:p w14:paraId="61E67C2C">
      <w:pPr>
        <w:pStyle w:val="2"/>
        <w:numPr>
          <w:ilvl w:val="0"/>
          <w:numId w:val="2"/>
        </w:numPr>
        <w:rPr>
          <w:rFonts w:hint="eastAsia"/>
          <w:color w:val="auto"/>
          <w:highlight w:val="none"/>
        </w:rPr>
      </w:pPr>
      <w:r>
        <w:rPr>
          <w:rFonts w:cs="宋体"/>
          <w:color w:val="auto"/>
          <w:szCs w:val="21"/>
          <w:highlight w:val="none"/>
        </w:rPr>
        <w:br w:type="page"/>
      </w:r>
      <w:bookmarkStart w:id="181" w:name="_Toc12056"/>
      <w:bookmarkStart w:id="182" w:name="_Toc533357322"/>
      <w:bookmarkStart w:id="183" w:name="_Toc19537"/>
      <w:bookmarkStart w:id="184" w:name="_Toc20798"/>
      <w:r>
        <w:rPr>
          <w:rFonts w:hint="eastAsia"/>
          <w:color w:val="auto"/>
          <w:highlight w:val="none"/>
        </w:rPr>
        <w:t xml:space="preserve"> </w:t>
      </w:r>
      <w:bookmarkStart w:id="185" w:name="_Toc4244"/>
      <w:r>
        <w:rPr>
          <w:rFonts w:hint="eastAsia"/>
          <w:color w:val="auto"/>
          <w:highlight w:val="none"/>
        </w:rPr>
        <w:t>合同条款及格</w:t>
      </w:r>
      <w:bookmarkEnd w:id="185"/>
    </w:p>
    <w:p w14:paraId="061B4959">
      <w:pPr>
        <w:jc w:val="center"/>
        <w:outlineLvl w:val="9"/>
        <w:rPr>
          <w:rFonts w:hint="eastAsia"/>
          <w:color w:val="auto"/>
          <w:highlight w:val="none"/>
        </w:rPr>
        <w:sectPr>
          <w:headerReference r:id="rId5" w:type="default"/>
          <w:footerReference r:id="rId6" w:type="default"/>
          <w:pgSz w:w="11906" w:h="16838"/>
          <w:pgMar w:top="1440" w:right="1080" w:bottom="1440" w:left="1080" w:header="851" w:footer="1020" w:gutter="0"/>
          <w:cols w:space="720" w:num="1"/>
          <w:docGrid w:type="lines" w:linePitch="312" w:charSpace="0"/>
        </w:sectPr>
      </w:pPr>
      <w:r>
        <w:rPr>
          <w:rFonts w:hint="eastAsia"/>
          <w:color w:val="auto"/>
          <w:sz w:val="32"/>
          <w:szCs w:val="36"/>
          <w:highlight w:val="none"/>
          <w:lang w:val="en-US" w:eastAsia="zh-CN"/>
        </w:rPr>
        <w:t>（另册）</w:t>
      </w:r>
      <w:bookmarkEnd w:id="181"/>
      <w:bookmarkEnd w:id="182"/>
      <w:bookmarkEnd w:id="183"/>
      <w:bookmarkEnd w:id="184"/>
      <w:bookmarkStart w:id="186" w:name="_Toc533357324"/>
    </w:p>
    <w:p w14:paraId="3611FE16">
      <w:pPr>
        <w:pStyle w:val="2"/>
        <w:ind w:firstLine="470"/>
        <w:rPr>
          <w:color w:val="auto"/>
          <w:highlight w:val="none"/>
        </w:rPr>
      </w:pPr>
      <w:bookmarkStart w:id="187" w:name="_Toc13347"/>
      <w:bookmarkStart w:id="188" w:name="_Toc15445"/>
      <w:bookmarkStart w:id="189" w:name="_Toc71"/>
      <w:bookmarkStart w:id="190" w:name="_Toc20926"/>
      <w:bookmarkStart w:id="191" w:name="_Toc6189"/>
      <w:bookmarkStart w:id="192" w:name="_Toc30698"/>
      <w:bookmarkStart w:id="193" w:name="_Toc29142"/>
      <w:r>
        <w:rPr>
          <w:rFonts w:hint="eastAsia"/>
          <w:color w:val="auto"/>
          <w:highlight w:val="none"/>
        </w:rPr>
        <w:t>第二卷</w:t>
      </w:r>
      <w:bookmarkEnd w:id="187"/>
      <w:bookmarkEnd w:id="188"/>
      <w:bookmarkEnd w:id="189"/>
      <w:bookmarkEnd w:id="190"/>
    </w:p>
    <w:p w14:paraId="7EB1304E">
      <w:pPr>
        <w:pStyle w:val="2"/>
        <w:numPr>
          <w:ilvl w:val="0"/>
          <w:numId w:val="3"/>
        </w:numPr>
        <w:rPr>
          <w:color w:val="auto"/>
          <w:highlight w:val="none"/>
        </w:rPr>
      </w:pPr>
      <w:r>
        <w:rPr>
          <w:rFonts w:hint="eastAsia"/>
          <w:color w:val="auto"/>
          <w:highlight w:val="none"/>
        </w:rPr>
        <w:t xml:space="preserve"> </w:t>
      </w:r>
      <w:bookmarkStart w:id="194" w:name="_Toc16553"/>
      <w:bookmarkStart w:id="195" w:name="_Toc3390"/>
      <w:bookmarkStart w:id="196" w:name="_Toc2489"/>
      <w:bookmarkStart w:id="197" w:name="_Toc18036"/>
      <w:r>
        <w:rPr>
          <w:rFonts w:hint="eastAsia"/>
          <w:color w:val="auto"/>
          <w:highlight w:val="none"/>
        </w:rPr>
        <w:t>委托人要求</w:t>
      </w:r>
      <w:bookmarkEnd w:id="194"/>
      <w:bookmarkEnd w:id="195"/>
      <w:bookmarkEnd w:id="196"/>
      <w:bookmarkEnd w:id="197"/>
    </w:p>
    <w:p w14:paraId="28BDE664">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14:paraId="20F47991">
      <w:pPr>
        <w:spacing w:line="360" w:lineRule="auto"/>
        <w:ind w:firstLine="424" w:firstLineChars="177"/>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1.1项目名称：</w:t>
      </w:r>
      <w:r>
        <w:rPr>
          <w:rFonts w:hint="eastAsia" w:ascii="宋体" w:hAnsi="宋体"/>
          <w:color w:val="auto"/>
          <w:sz w:val="24"/>
          <w:szCs w:val="24"/>
          <w:highlight w:val="none"/>
          <w:u w:val="single"/>
          <w:lang w:eastAsia="zh-CN"/>
        </w:rPr>
        <w:t>国家林业和草原局穿山甲保护研究中心项目第三方检测、监测服务（第二次）</w:t>
      </w:r>
    </w:p>
    <w:p w14:paraId="361401C6">
      <w:pPr>
        <w:tabs>
          <w:tab w:val="left" w:pos="7513"/>
        </w:tabs>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rPr>
        <w:t>1.2建设规模：</w:t>
      </w:r>
      <w:r>
        <w:rPr>
          <w:rFonts w:hint="eastAsia" w:ascii="宋体" w:hAnsi="宋体"/>
          <w:color w:val="auto"/>
          <w:sz w:val="24"/>
          <w:szCs w:val="24"/>
          <w:highlight w:val="none"/>
          <w:u w:val="single"/>
        </w:rPr>
        <w:t>本项目包括“山上”“山下”两地块，其中：</w:t>
      </w:r>
    </w:p>
    <w:p w14:paraId="75EA321E">
      <w:pPr>
        <w:tabs>
          <w:tab w:val="left" w:pos="7513"/>
        </w:tabs>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1）山上：本地块地势较为陡峭，海拔61m至103m。包括：综合研究楼1栋、值班楼1栋、人工繁育A楼一栋、人工繁育B楼一栋、隔离救治楼一栋，总建筑面积9829.43平方米，建筑层数地上3层，建筑总高度17.9米，最大单跨跨度20.05米。</w:t>
      </w:r>
    </w:p>
    <w:p w14:paraId="550C2841">
      <w:pPr>
        <w:tabs>
          <w:tab w:val="left" w:pos="7513"/>
        </w:tabs>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2）山下：本地块地势较为平缓，海拔33m至47m。包括：科普服务楼1栋、配套楼1栋、宣教笼舍楼1栋，总建筑面积8286.57平方米（其中地下2294.40平方米，地上5992.17平方米）。建筑层数地上4层，地下1层，建筑总高度19.8米，最大单跨跨度11.3米。</w:t>
      </w:r>
    </w:p>
    <w:p w14:paraId="536E018E">
      <w:pPr>
        <w:tabs>
          <w:tab w:val="left" w:pos="7513"/>
        </w:tabs>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（3）基坑安全等级：垂直支护段为二级</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放坡段为三级；地基基础设计等级最高为乙级。</w:t>
      </w:r>
    </w:p>
    <w:p w14:paraId="31BCA8CD">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1.3建设地点：</w:t>
      </w:r>
      <w:r>
        <w:rPr>
          <w:rFonts w:hint="eastAsia" w:ascii="宋体" w:hAnsi="宋体" w:cs="宋体"/>
          <w:bCs/>
          <w:color w:val="auto"/>
          <w:sz w:val="24"/>
          <w:szCs w:val="24"/>
          <w:highlight w:val="none"/>
          <w:u w:val="single"/>
        </w:rPr>
        <w:t>广州市天河区凤凰街道渔沙坦村</w:t>
      </w:r>
      <w:r>
        <w:rPr>
          <w:rFonts w:hint="eastAsia" w:ascii="宋体" w:hAnsi="宋体" w:cs="宋体"/>
          <w:color w:val="auto"/>
          <w:sz w:val="24"/>
          <w:szCs w:val="24"/>
          <w:highlight w:val="none"/>
          <w:u w:val="single"/>
          <w:lang w:eastAsia="zh-CN"/>
        </w:rPr>
        <w:t>。</w:t>
      </w:r>
    </w:p>
    <w:p w14:paraId="6908F206">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1.4工程投资：</w:t>
      </w:r>
      <w:r>
        <w:rPr>
          <w:rFonts w:hint="eastAsia" w:ascii="宋体" w:hAnsi="宋体"/>
          <w:color w:val="auto"/>
          <w:sz w:val="24"/>
          <w:szCs w:val="24"/>
          <w:highlight w:val="none"/>
          <w:u w:val="single"/>
        </w:rPr>
        <w:t>本项目总投资为25251万元，其中建筑安装工程费用16,861.94万元。</w:t>
      </w:r>
    </w:p>
    <w:p w14:paraId="6FFFB141">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1.5服务期</w:t>
      </w:r>
      <w:r>
        <w:rPr>
          <w:rFonts w:hint="eastAsia" w:ascii="宋体" w:hAnsi="宋体"/>
          <w:color w:val="auto"/>
          <w:sz w:val="24"/>
          <w:szCs w:val="24"/>
          <w:highlight w:val="none"/>
          <w:lang w:val="en-US" w:eastAsia="zh-CN"/>
        </w:rPr>
        <w:t>限</w:t>
      </w:r>
      <w:r>
        <w:rPr>
          <w:rFonts w:hint="eastAsia" w:ascii="宋体" w:hAnsi="宋体"/>
          <w:color w:val="auto"/>
          <w:sz w:val="24"/>
          <w:szCs w:val="24"/>
          <w:highlight w:val="none"/>
        </w:rPr>
        <w:t>：</w:t>
      </w:r>
    </w:p>
    <w:p w14:paraId="4671553E">
      <w:pPr>
        <w:spacing w:line="360" w:lineRule="auto"/>
        <w:ind w:firstLine="424" w:firstLineChars="177"/>
        <w:rPr>
          <w:rFonts w:hint="eastAsia" w:ascii="宋体" w:hAnsi="宋体"/>
          <w:color w:val="auto"/>
          <w:sz w:val="24"/>
          <w:szCs w:val="24"/>
          <w:highlight w:val="none"/>
        </w:rPr>
      </w:pPr>
      <w:r>
        <w:rPr>
          <w:rFonts w:hint="eastAsia" w:ascii="宋体" w:hAnsi="宋体"/>
          <w:color w:val="auto"/>
          <w:sz w:val="24"/>
          <w:szCs w:val="24"/>
          <w:highlight w:val="none"/>
          <w:u w:val="single"/>
        </w:rPr>
        <w:t>从中标人进场至完成所有检测监测项目且技术成果通过审批，服务周期必须满足实际施工及验收要求，且招标人有权根据工程实际需要调整工期及验收时间，中标人需配合招标人的调整作出相应的执行计划。进场日期以招标人通知时间为准。</w:t>
      </w:r>
    </w:p>
    <w:p w14:paraId="588DD7F6">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olor w:val="auto"/>
          <w:sz w:val="24"/>
          <w:szCs w:val="24"/>
          <w:highlight w:val="none"/>
          <w:u w:val="single"/>
        </w:rPr>
        <w:t>合格。</w:t>
      </w:r>
    </w:p>
    <w:p w14:paraId="03AB10B1">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w:t>
      </w:r>
      <w:r>
        <w:rPr>
          <w:rFonts w:hint="eastAsia" w:ascii="宋体" w:hAnsi="宋体"/>
          <w:b/>
          <w:color w:val="auto"/>
          <w:sz w:val="24"/>
          <w:szCs w:val="24"/>
          <w:highlight w:val="none"/>
          <w:lang w:val="en-US" w:eastAsia="zh-CN"/>
        </w:rPr>
        <w:t>监测</w:t>
      </w:r>
      <w:r>
        <w:rPr>
          <w:rFonts w:hint="eastAsia" w:ascii="宋体" w:hAnsi="宋体"/>
          <w:b/>
          <w:color w:val="auto"/>
          <w:sz w:val="24"/>
          <w:szCs w:val="24"/>
          <w:highlight w:val="none"/>
        </w:rPr>
        <w:t>范围及内容：</w:t>
      </w:r>
    </w:p>
    <w:p w14:paraId="197A19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olor w:val="auto"/>
          <w:sz w:val="24"/>
          <w:szCs w:val="24"/>
          <w:highlight w:val="none"/>
          <w:u w:val="single"/>
        </w:rPr>
      </w:pPr>
      <w:r>
        <w:rPr>
          <w:rFonts w:hint="eastAsia" w:ascii="宋体" w:hAnsi="宋体"/>
          <w:color w:val="auto"/>
          <w:sz w:val="24"/>
          <w:szCs w:val="24"/>
          <w:highlight w:val="none"/>
          <w:u w:val="single"/>
        </w:rPr>
        <w:t>依据施工图及相关规范要求，开展工程第三方检测</w:t>
      </w:r>
      <w:r>
        <w:rPr>
          <w:rFonts w:hint="eastAsia" w:ascii="宋体" w:hAnsi="宋体"/>
          <w:color w:val="auto"/>
          <w:sz w:val="24"/>
          <w:szCs w:val="24"/>
          <w:highlight w:val="none"/>
          <w:u w:val="single"/>
          <w:lang w:val="en-US" w:eastAsia="zh-CN"/>
        </w:rPr>
        <w:t>监测</w:t>
      </w:r>
      <w:r>
        <w:rPr>
          <w:rFonts w:hint="eastAsia" w:ascii="宋体" w:hAnsi="宋体"/>
          <w:color w:val="auto"/>
          <w:sz w:val="24"/>
          <w:szCs w:val="24"/>
          <w:highlight w:val="none"/>
          <w:u w:val="single"/>
        </w:rPr>
        <w:t>工作，具体以施工图纸、检测</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监测</w:t>
      </w:r>
      <w:r>
        <w:rPr>
          <w:rFonts w:hint="eastAsia" w:ascii="宋体" w:hAnsi="宋体"/>
          <w:color w:val="auto"/>
          <w:sz w:val="24"/>
          <w:szCs w:val="24"/>
          <w:highlight w:val="none"/>
          <w:u w:val="single"/>
        </w:rPr>
        <w:t>规范</w:t>
      </w:r>
      <w:r>
        <w:rPr>
          <w:rFonts w:hint="eastAsia" w:ascii="宋体" w:hAnsi="宋体" w:eastAsia="宋体"/>
          <w:color w:val="auto"/>
          <w:sz w:val="24"/>
          <w:szCs w:val="24"/>
          <w:highlight w:val="none"/>
          <w:u w:val="single"/>
        </w:rPr>
        <w:t>及主管部门要求为准。施工及验收阶段相关的第三方检测监测包括但不限于见证取样检测、基坑支护检测、地基基础检测、主体结构检测、建筑材料检测、园林工程检测、建筑节能检测、建筑门窗幕墙检测、建筑智能检测、防雷检测、电气检测、建筑环境检测、管道检测、消防设施检测、主体沉降监测、高支模监测、基坑监测等按规范和验收要求必须检测和监测的项目。具体检测监测项目以本项目清单、设计图纸及有关规范要求为准。</w:t>
      </w:r>
    </w:p>
    <w:p w14:paraId="2466F152">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服务范围除以上工作外，还包括但不限于以下内容：</w:t>
      </w:r>
    </w:p>
    <w:p w14:paraId="77C3D999">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1）与工程所在行政区域的相关建设行政主管部门和监督部门所进行的协调工作，且合同价中已经综合考虑了该项协调工作的费用。如申报检测监测技术成果的审批，保证技术成果能够通过相关部门认可，确保不因检测监测工作影响本工程项目的建设进度和竣工验收。</w:t>
      </w:r>
    </w:p>
    <w:p w14:paraId="42D6147F">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（2）在进行检测监测任务的过程中与该工程相关的施工单位、监理单位、设计单位、业主、建设管理单位、建设主管部门等相关单位的协调工作，且合同价中已经综合考虑了该项协调工作的费用。</w:t>
      </w:r>
    </w:p>
    <w:p w14:paraId="5B1451A2">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（3）因按相关规定须与行业、行政监督部门传输报送检测监测数据信息的工作，且合同价中已经综合考虑了该项协调工作的费用。</w:t>
      </w:r>
    </w:p>
    <w:p w14:paraId="6504BBA2">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（4）根据相关规范和标准、主管部门文件的规定以及设计图纸的有关要求，结合工程实际情况编制相关项目的《检测监测方案》，并报质监部门备案（如需要）。</w:t>
      </w:r>
    </w:p>
    <w:p w14:paraId="50C63B04">
      <w:pPr>
        <w:spacing w:line="360" w:lineRule="auto"/>
        <w:ind w:firstLine="424" w:firstLineChars="177"/>
        <w:rPr>
          <w:rFonts w:hint="eastAsia" w:ascii="宋体" w:hAnsi="宋体"/>
          <w:bCs/>
          <w:color w:val="auto"/>
          <w:sz w:val="24"/>
          <w:szCs w:val="24"/>
          <w:highlight w:val="none"/>
          <w:u w:val="single"/>
        </w:rPr>
      </w:pPr>
      <w:r>
        <w:rPr>
          <w:rFonts w:hint="eastAsia" w:ascii="宋体" w:hAnsi="宋体"/>
          <w:color w:val="auto"/>
          <w:sz w:val="24"/>
          <w:szCs w:val="24"/>
          <w:highlight w:val="none"/>
          <w:u w:val="single"/>
        </w:rPr>
        <w:t>（5）负责检测、监测的工程质量需符合《建设工程质量管理条例》等国家相关管理要求。</w:t>
      </w:r>
    </w:p>
    <w:p w14:paraId="09AF682D">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3.检测</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监测</w:t>
      </w:r>
      <w:r>
        <w:rPr>
          <w:rFonts w:hint="eastAsia" w:ascii="宋体" w:hAnsi="宋体"/>
          <w:b/>
          <w:color w:val="auto"/>
          <w:sz w:val="24"/>
          <w:szCs w:val="24"/>
          <w:highlight w:val="none"/>
        </w:rPr>
        <w:t>标准：</w:t>
      </w:r>
    </w:p>
    <w:p w14:paraId="2A913E5B">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（1）《建筑工程施工质量验收统一标准》GB 50300-2013</w:t>
      </w:r>
    </w:p>
    <w:p w14:paraId="60B1026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（2）《砌体工程施工质量验收规范》GB 50203-2011</w:t>
      </w:r>
    </w:p>
    <w:p w14:paraId="2B7FBDE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（3）《屋面工程质量验收规范》GB 50207-2012</w:t>
      </w:r>
    </w:p>
    <w:p w14:paraId="75DD6F08">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（4）《建筑地面工程施工质量验收规范》GB 50209-2010</w:t>
      </w:r>
    </w:p>
    <w:p w14:paraId="5750D62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（5）《建筑装饰装修工程质量验收标准》GB 50210-2018</w:t>
      </w:r>
    </w:p>
    <w:p w14:paraId="3FF9C87F">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（6）《广东省建筑节能工程施工质量验收规范》DBJ15-65-2009</w:t>
      </w:r>
    </w:p>
    <w:p w14:paraId="1BD22571">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（7）《建筑电气工程施工质量验收规范》GB 50303-2015</w:t>
      </w:r>
    </w:p>
    <w:p w14:paraId="7364F41F">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（8）《居住建筑节能检测标准》JGJ/T 132-2009</w:t>
      </w:r>
    </w:p>
    <w:p w14:paraId="70E9BB6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（9）《建筑变形测量规范》JGJ 8-2016；</w:t>
      </w:r>
    </w:p>
    <w:p w14:paraId="5CD3D9D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（10）《钢管满堂支架预压技术规程》JGJ/T 194-2009；</w:t>
      </w:r>
    </w:p>
    <w:p w14:paraId="64A46A8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（11）《建筑施工临时支撑结构技术规范》JGJ 300-2013</w:t>
      </w:r>
    </w:p>
    <w:p w14:paraId="124DBA7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（12）委托单位提供的高支模专项施工方案</w:t>
      </w:r>
    </w:p>
    <w:p w14:paraId="7E17494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（13）委托单位提供的高支模部位梁板结构图</w:t>
      </w:r>
    </w:p>
    <w:p w14:paraId="616F3648">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（14）《工程测量标准》GB 50026-2020</w:t>
      </w:r>
    </w:p>
    <w:p w14:paraId="0126D0F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（15）《建筑地基基础设计规范》GB 50007-2011</w:t>
      </w:r>
    </w:p>
    <w:p w14:paraId="726E34AF">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（16）《国家一、二等水准测量规范》GB 12897-2006</w:t>
      </w:r>
    </w:p>
    <w:p w14:paraId="48E3120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（17）本项目沉降监测布置平面图</w:t>
      </w:r>
    </w:p>
    <w:p w14:paraId="16607EE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（18）《钢筋混凝土用钢第 1 部分：热轧光圆钢筋》GB/T 1499.1-2024</w:t>
      </w:r>
    </w:p>
    <w:p w14:paraId="14E56288">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（19）《钢筋混凝土用钢第 2 部分：热轧带肋钢筋》GB/T 1499.2-2024</w:t>
      </w:r>
    </w:p>
    <w:p w14:paraId="5C0CC7B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（20）《金属材料 夏比摆锤冲击试验方法》GB/T 229-2020</w:t>
      </w:r>
    </w:p>
    <w:p w14:paraId="3BDE148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（21）《金属材料 拉伸试验 第1部分:室温试验方法》GB/T 228.1-2021</w:t>
      </w:r>
    </w:p>
    <w:p w14:paraId="5BAE5EDF">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（22）《钢筋混凝土用钢材试验方法》GB/T 28900-2022</w:t>
      </w:r>
    </w:p>
    <w:p w14:paraId="1C6FA9F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（23）《金属材料 弯曲试验方法》GB/T 232-2024</w:t>
      </w:r>
    </w:p>
    <w:p w14:paraId="113A438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（24）《钢筋焊接接头试验方法》JGJ/T 27-2014</w:t>
      </w:r>
    </w:p>
    <w:p w14:paraId="0B45F58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（25）《钢筋焊接及验收规程》JGJ 18-2012</w:t>
      </w:r>
    </w:p>
    <w:p w14:paraId="7DF40320">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（26）《钢筋机械连接技术规范》JGJ 107-2016</w:t>
      </w:r>
    </w:p>
    <w:p w14:paraId="6822FACB">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（27）《金属材料焊缝破坏性试验 冲击试验》GB/T 2650-2022</w:t>
      </w:r>
    </w:p>
    <w:p w14:paraId="5B77A84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（28）《金属材料焊缝破坏性试验 熔化焊接头焊缝金属纵向拉伸试验》GB/T 2652-2022</w:t>
      </w:r>
    </w:p>
    <w:p w14:paraId="26F78A5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（29）《金属材料焊缝破坏性试验 横向拉伸试验》GB/T 2651-2023</w:t>
      </w:r>
    </w:p>
    <w:p w14:paraId="77CC739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（30）《焊接接头弯曲试验方法》GB/T 2653-2008</w:t>
      </w:r>
    </w:p>
    <w:p w14:paraId="761EC431">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（31）《低压流体输送用焊接钢管》GB/T 3091-2015</w:t>
      </w:r>
    </w:p>
    <w:p w14:paraId="23F8DF3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（32）《输送流体用无缝钢管》GB/T 8163-2018</w:t>
      </w:r>
    </w:p>
    <w:p w14:paraId="0A1B0E8F">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（33）《结构用无缝钢管》GB/T 8162-2018</w:t>
      </w:r>
    </w:p>
    <w:p w14:paraId="07B400F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（34）《钢产品镀锌层质量试验方法》GB/T 1839-2008</w:t>
      </w:r>
    </w:p>
    <w:p w14:paraId="0636D24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（35）《磁性基体上非磁性覆盖层 覆盖层厚度测量 磁性法》GB/T 4956-2003</w:t>
      </w:r>
    </w:p>
    <w:p w14:paraId="1BF66E6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（36）《碳素结构钢》GB/T 700-2006</w:t>
      </w:r>
    </w:p>
    <w:p w14:paraId="374F201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（37）《低合金高强度结构钢》GB/T 1591-2018</w:t>
      </w:r>
    </w:p>
    <w:p w14:paraId="470A4E1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（38）《碳素结构钢和低合金结构钢热轧钢板和钢带》GB/T 3274-2017</w:t>
      </w:r>
    </w:p>
    <w:p w14:paraId="46A351C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（39）《冷弯型钢通用技术要求》GB/T 6725-2017</w:t>
      </w:r>
    </w:p>
    <w:p w14:paraId="6F97850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（40）《污水用球墨铸铁管、管件和附件》GB/T 26081-2022</w:t>
      </w:r>
    </w:p>
    <w:p w14:paraId="652B4E50">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（41）《水及燃气用球墨铸铁管、管件和附件》GB/T 13295-2019</w:t>
      </w:r>
    </w:p>
    <w:p w14:paraId="709AC8E1">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（42）《建筑防火及消防设施检测技术规程》DBJ/T 15-110-2015</w:t>
      </w:r>
    </w:p>
    <w:p w14:paraId="6E3A5CA0">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（43）《建筑物防雷设计规范》GB 50057-2010</w:t>
      </w:r>
    </w:p>
    <w:p w14:paraId="54E52F2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（44）《建筑物雷电防护装置检测技术规范》GB/T 21431-2023</w:t>
      </w:r>
    </w:p>
    <w:p w14:paraId="5B6FAF5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（45）《人防防空工程防护设备产品与安装质量检测标准（暂行）》RFJ003-2021</w:t>
      </w:r>
    </w:p>
    <w:p w14:paraId="342881A1">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（46）《人民防空工程质量验收与评价标准》RFJ01-2015</w:t>
      </w:r>
    </w:p>
    <w:p w14:paraId="4068D5EE">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（47）《人民防空工程防护设备质量检验与施工验收标准》RFJ01-2002</w:t>
      </w:r>
    </w:p>
    <w:p w14:paraId="66DDEAB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（48）《人民防空工程防护设备试验测试与质量检测标准》RFJ04-2009</w:t>
      </w:r>
    </w:p>
    <w:p w14:paraId="1B47491E">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（49）人防设计图纸及其他人防标准和规范</w:t>
      </w:r>
    </w:p>
    <w:p w14:paraId="2C3B6D5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（50）《公路土工试验规程》JTG 3430-2020</w:t>
      </w:r>
    </w:p>
    <w:p w14:paraId="08CFDF7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（51）《土工试验方法标准》GB/T 50123-2019</w:t>
      </w:r>
    </w:p>
    <w:p w14:paraId="66DF110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（52）《城镇道路工程施工与质量验收规范》CJJ 1-2008</w:t>
      </w:r>
    </w:p>
    <w:p w14:paraId="53F3ABD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（53）《公路工程无机结合料稳定材料试验规程》JTG E51-2009</w:t>
      </w:r>
    </w:p>
    <w:p w14:paraId="3F2302D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（54）《公路工程质量检验评定标准 第一册 土建工程》JTG F80/1-2017</w:t>
      </w:r>
    </w:p>
    <w:p w14:paraId="4224615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（55）《公路路基路面现场测试规程》JTG 3450-2019</w:t>
      </w:r>
    </w:p>
    <w:p w14:paraId="65FDB4DE">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（56）《给水排水管道工程施工及验收规范》GB 50268-2008</w:t>
      </w:r>
    </w:p>
    <w:p w14:paraId="288469A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（57）《建筑与小区雨水控制利用工程技术规范》GB 50400-2016</w:t>
      </w:r>
    </w:p>
    <w:p w14:paraId="5C2FFBB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（58）《给水排水构筑物工程施工及验收规范》GB 50141-2008</w:t>
      </w:r>
    </w:p>
    <w:p w14:paraId="086FE340">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（59）《民用建筑工程室内环境污染控制标准》GB 50325-2020</w:t>
      </w:r>
    </w:p>
    <w:p w14:paraId="7E11538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（60）《智能建筑工程检测规程》CECS 182:2005</w:t>
      </w:r>
    </w:p>
    <w:p w14:paraId="4811941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（61）《数据中心基础设施施工及验收规范》GB 50462-2015</w:t>
      </w:r>
    </w:p>
    <w:p w14:paraId="1D5F0B7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（62）《电子计算机场地通用规范》GB/T 2887-2011</w:t>
      </w:r>
    </w:p>
    <w:p w14:paraId="5874214E">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（63）《数据中心基础设施施工及验收规范》GB 50462-2015</w:t>
      </w:r>
    </w:p>
    <w:p w14:paraId="0D7D6C8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（64）《电子计算机场地通用规范》GB/T 2887-2011</w:t>
      </w:r>
    </w:p>
    <w:p w14:paraId="28CC951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（65）《综合布线系统工程验收规范》GB/T 50312-2016</w:t>
      </w:r>
    </w:p>
    <w:p w14:paraId="1CC2157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（66）《停车库(场)出入口控制设备技术要求》GA/T 992-2012</w:t>
      </w:r>
    </w:p>
    <w:p w14:paraId="719DA71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（67）《公共广播系统工程技术标准》GB/T 50526-2021</w:t>
      </w:r>
    </w:p>
    <w:p w14:paraId="1AA207F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（68）《楼寓对讲系统第1部分:通用技术要求》GB/T 31070.1-2014</w:t>
      </w:r>
    </w:p>
    <w:p w14:paraId="7EFB06B8">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（69）《联网型可视对讲系统技术要求》GA/T 678-2007</w:t>
      </w:r>
    </w:p>
    <w:p w14:paraId="3AB9A730">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（70）《民用建筑远传抄表系统》JG/T 162-2017</w:t>
      </w:r>
    </w:p>
    <w:p w14:paraId="237E4A3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（71）《基于以太网技术的局域网(LAN)系统验收测试方法》GB/T 21671-2018</w:t>
      </w:r>
    </w:p>
    <w:p w14:paraId="52EBB71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（72）《住宅区和住宅建筑内光纤到户通信设施工程施工及验收规范》GB 50847-2012</w:t>
      </w:r>
    </w:p>
    <w:p w14:paraId="430AF2F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（73）《光纤试验方法规范 第40部分：传输特性的测量方法和试验程序 衰减》GB/T 15972.40-2024</w:t>
      </w:r>
    </w:p>
    <w:p w14:paraId="02EB1D9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（74）《光纤试验方法规范第22部分:尺寸参数的测量方法和试验程序一长度》GB/T 15972.22-2008</w:t>
      </w:r>
    </w:p>
    <w:p w14:paraId="0598DC0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（75）《风机盘管机组》GB/T 19232-2019</w:t>
      </w:r>
    </w:p>
    <w:p w14:paraId="233DFFA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（76）《建筑照明设计标准》GB/T 50034-2024</w:t>
      </w:r>
    </w:p>
    <w:p w14:paraId="5C1410A0">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（77）《照明测量方法》GB/T 5700-2023</w:t>
      </w:r>
    </w:p>
    <w:p w14:paraId="3D66682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（78）委托方提供的相关技术资料（设计图纸等）</w:t>
      </w:r>
    </w:p>
    <w:p w14:paraId="132D587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（79）《建筑节能工程施工质量验收标准》GB/T 50411-2019</w:t>
      </w:r>
    </w:p>
    <w:p w14:paraId="47F632D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（80）《公共建筑节能检测标准》JGJ/T 177-2009</w:t>
      </w:r>
    </w:p>
    <w:p w14:paraId="0E686BA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（81）《电能质量 公用电网谐波》GB/T 14549-1993</w:t>
      </w:r>
    </w:p>
    <w:p w14:paraId="5C64163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（82）《电能质量 三相电压不平衡》GB/T 15543-2008</w:t>
      </w:r>
    </w:p>
    <w:p w14:paraId="302F061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（83）《电能质量 供电电压偏差》GB/T 12325-2008</w:t>
      </w:r>
    </w:p>
    <w:p w14:paraId="62B2BCA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（84）《通风与空调工程施工质量验收规范》GB 50243-2016</w:t>
      </w:r>
    </w:p>
    <w:p w14:paraId="50D4304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（85）《公共建筑节能设计标准》GB 50189-2015</w:t>
      </w:r>
    </w:p>
    <w:p w14:paraId="0B731571">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（86）《声学 建筑和建筑构件隔声测量 第7部分：撞击声隔声的现场测量》GB/T 19889.7-2022</w:t>
      </w:r>
    </w:p>
    <w:p w14:paraId="074B4EA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（87）《声学 建筑和建筑构件隔声测量第5部分：外墙构件和外墙空气声隔声的现场测量》GB/T 19889.5-2006</w:t>
      </w:r>
    </w:p>
    <w:p w14:paraId="1A26FFF1">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（88）《声学 建筑和建筑构件隔声测量第4部分：房间之间空气声隔声的现场测量》GB/T 19889.4-2005</w:t>
      </w:r>
    </w:p>
    <w:p w14:paraId="51573E8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（89）《建筑能效标识技术标准》JGJ/T 288-2012</w:t>
      </w:r>
    </w:p>
    <w:p w14:paraId="5947B38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（90）《广东省公共建筑节能设计标准》DBJ 15-51-2020</w:t>
      </w:r>
    </w:p>
    <w:p w14:paraId="2C764AC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（91）《混凝土结构设计规范》GB 50010-2010</w:t>
      </w:r>
    </w:p>
    <w:p w14:paraId="63F3C25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（92）《建筑结构检测技术标准》GB/T 50344-2019</w:t>
      </w:r>
    </w:p>
    <w:p w14:paraId="73F5F47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（93）《混凝土质量控制标准》GB 50164-2011</w:t>
      </w:r>
    </w:p>
    <w:p w14:paraId="6538D01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（94）《水运工程混凝土试验检测技术规范》JTS/T 236-2019</w:t>
      </w:r>
    </w:p>
    <w:p w14:paraId="4CB5B44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（95）《混凝土结构工程施工质量验收规范》GB 50204-2015</w:t>
      </w:r>
    </w:p>
    <w:p w14:paraId="51062D6F">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（96）《钻芯法检测混凝土强度技术规程》JGJ/T 384-2016</w:t>
      </w:r>
    </w:p>
    <w:p w14:paraId="0C99D351">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（97）关于广州市建筑结构实体质量监督抽测办法的相关规定《穗建质[2010]303号》</w:t>
      </w:r>
    </w:p>
    <w:p w14:paraId="08C8D02F">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（98）广州市住房和城乡建设局关于加强混凝土结构工程施工质量管理工作的通知（2019年9月24日）</w:t>
      </w:r>
    </w:p>
    <w:p w14:paraId="2B5D602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（99）《普通混凝土力学性能试验方法标准》GB/T 50081-2019</w:t>
      </w:r>
    </w:p>
    <w:p w14:paraId="2181D44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（100）《混凝土长期性能和耐久性能试验方法标准》GB/T 50082-2024</w:t>
      </w:r>
    </w:p>
    <w:p w14:paraId="74652F5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（101）《建筑砂浆基本性能试验方法》》JGJ/T 70-2009</w:t>
      </w:r>
    </w:p>
    <w:p w14:paraId="21401B1B">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（102）《紧固件机械性能  螺栓、螺钉和螺柱》GB/T 3098.1-2010</w:t>
      </w:r>
    </w:p>
    <w:p w14:paraId="59C5F308">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（103）《金属材料 洛氏硬度试验 第1部分 试验方法》GB/T 230.1-2018</w:t>
      </w:r>
    </w:p>
    <w:p w14:paraId="7E2B1EC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（104）《土工合成材料 短纤针刺非织造土工布》GB/T 17638-2017</w:t>
      </w:r>
    </w:p>
    <w:p w14:paraId="631F96C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（105）《土工合成材料 长丝纺粘针刺非织造土工布》GB/T 17639-2023</w:t>
      </w:r>
    </w:p>
    <w:p w14:paraId="75533A8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（106）《土工合成材料 非织复合造土工膜》GB/T 17642-2008</w:t>
      </w:r>
    </w:p>
    <w:p w14:paraId="1EFC0B5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（107）《通用硅酸盐水泥》GB 175-2023</w:t>
      </w:r>
    </w:p>
    <w:p w14:paraId="2D61671B">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（108）《普通混凝土用砂、石质量及检验方法标准》JGJ 52-2006</w:t>
      </w:r>
    </w:p>
    <w:p w14:paraId="79124AFE">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（109）《建筑用砂》GB/T 14684-2022</w:t>
      </w:r>
    </w:p>
    <w:p w14:paraId="3EEB7EA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（110）《建设用卵石、碎石》GB/T 14685-2022</w:t>
      </w:r>
    </w:p>
    <w:p w14:paraId="32F9A260">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（111）《用于水泥和混凝土中的粉煤灰》GB/T 1596-2017</w:t>
      </w:r>
    </w:p>
    <w:p w14:paraId="3EBB6030">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（112）《用于水泥和混凝土中的粒化高炉矿渣粉》GB/T 18046-2017</w:t>
      </w:r>
    </w:p>
    <w:p w14:paraId="0CD46C8E">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（113）《普通混凝土配合比设计规程》 JGJ 55-2011</w:t>
      </w:r>
    </w:p>
    <w:p w14:paraId="747CEB1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（114）《混凝土外加剂》GB 8076-2008</w:t>
      </w:r>
    </w:p>
    <w:p w14:paraId="27E26A8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（115）《镀锌电焊网》GB/T 33281-2016</w:t>
      </w:r>
    </w:p>
    <w:p w14:paraId="186EE3CB">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（116）《建筑幕墙》GB/T 21086-2007</w:t>
      </w:r>
    </w:p>
    <w:p w14:paraId="074111C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（117）《建筑幕墙、门窗通用技术条件》GB/T 31433-2015</w:t>
      </w:r>
    </w:p>
    <w:p w14:paraId="2F444831">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（118）《给水用钢丝网增强聚乙烯复合管道》GB/T 32439-2015</w:t>
      </w:r>
    </w:p>
    <w:p w14:paraId="470FE28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（119）《埋地用聚乙烯（PE）结构壁管道系统 第2部分：聚乙烯缠绕结构壁管材》GB/T 19472.2-2017</w:t>
      </w:r>
    </w:p>
    <w:p w14:paraId="6850B05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（120）《埋地用聚乙烯（PE）结构壁管道系统 第1部分：聚乙烯双壁波纹管材》GB/T 19472.1-2019</w:t>
      </w:r>
    </w:p>
    <w:p w14:paraId="3CEFE94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（121）《冷热水用聚丙烯管道系统 第2部分：管材》GB/T 18742.2-2017</w:t>
      </w:r>
    </w:p>
    <w:p w14:paraId="69559B2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（122）《冷热水用聚丙烯管道系统 第3部分：管件》GB/T 18742.3-2017</w:t>
      </w:r>
    </w:p>
    <w:p w14:paraId="02B0574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（123）《建筑排水用硬聚氯乙烯(PVC-U)管材》GB/T 5836.1-2018</w:t>
      </w:r>
    </w:p>
    <w:p w14:paraId="121351A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（124）《建筑排水用硬聚氯乙烯(PVC-U)管件》GB/T 5836.2-2018</w:t>
      </w:r>
    </w:p>
    <w:p w14:paraId="1A254FE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（125）《给水用硬聚氯乙烯（PVC-U）管材》GB/T 10002.1-2023</w:t>
      </w:r>
    </w:p>
    <w:p w14:paraId="693EB62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（126）《给水用硬聚氯乙烯（PVC-U）管件》GB/T 10002.2-2023</w:t>
      </w:r>
    </w:p>
    <w:p w14:paraId="1CE8E828">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（127）《流体输送用钢塑复合管及管件》GB/T 28897-2021</w:t>
      </w:r>
    </w:p>
    <w:p w14:paraId="3371C5CF">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（128）《不锈钢卡压式管件组件 第2部分：连接用薄壁不锈钢管》GB/T 19228.2-2011</w:t>
      </w:r>
    </w:p>
    <w:p w14:paraId="3E34767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（129）《不锈钢卡压式管件组件 第1部分：卡压式管件》GB/T 19228.1-2024</w:t>
      </w:r>
    </w:p>
    <w:p w14:paraId="6D5C1F7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（130）《给水用聚乙烯（PE）管道系统 第2部分：管材》GB/T 13663.2-2018</w:t>
      </w:r>
    </w:p>
    <w:p w14:paraId="4FA9306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（131）《给水用聚乙烯（PE）管道系统 第3部分：管件》GB/T 13663.3-2018</w:t>
      </w:r>
    </w:p>
    <w:p w14:paraId="7207186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（132）《室外消火栓》GB 4452-2011</w:t>
      </w:r>
    </w:p>
    <w:p w14:paraId="69DA5BE0">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（133）《消防水带》GB 6246-2011</w:t>
      </w:r>
    </w:p>
    <w:p w14:paraId="6130F1D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（134）《消防水枪》GB 8181-2005</w:t>
      </w:r>
    </w:p>
    <w:p w14:paraId="3496F4F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（135）《自动喷水灭火系统 第1部分：洒水喷头》GB 5135.1-2019</w:t>
      </w:r>
    </w:p>
    <w:p w14:paraId="135E4BA8">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（136）《工业阀门 压力试验》GB/T 13927-2022</w:t>
      </w:r>
    </w:p>
    <w:p w14:paraId="7B6CACD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（137）《市政排水用塑料检查井》CJ/T 326-2010</w:t>
      </w:r>
    </w:p>
    <w:p w14:paraId="396FBFE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（138）《建筑用玻璃与金属护栏》JG/T 342-2012</w:t>
      </w:r>
    </w:p>
    <w:p w14:paraId="1EFDDDB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（139）《绝热用挤塑聚苯乙烯泡沫塑料(XPS)》GB/T 10801.2-2018</w:t>
      </w:r>
    </w:p>
    <w:p w14:paraId="7B3B804B">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（140）《航天器热控涂层试验方法 第2部分 太阳吸收比测试》GJB 2502.2-2015</w:t>
      </w:r>
    </w:p>
    <w:p w14:paraId="5346F3B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（141）《建筑节能材料性能评价及检测技术规程》DBJ/T 15-69-2023</w:t>
      </w:r>
    </w:p>
    <w:p w14:paraId="065E6F8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（142）《建筑保温砂浆》GB/T 20473-2021</w:t>
      </w:r>
    </w:p>
    <w:p w14:paraId="377B0C1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（143）《建筑外门窗保温性能检测方法》GB/T 8484-2020</w:t>
      </w:r>
    </w:p>
    <w:p w14:paraId="40D0210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（144）《建筑外门窗气密、水密、抗风压性能检测方法》GB/T 7106-2019</w:t>
      </w:r>
    </w:p>
    <w:p w14:paraId="19E0721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（145）《中空玻璃》GB/T 11944-2012</w:t>
      </w:r>
    </w:p>
    <w:p w14:paraId="2A820E3E">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（146）《建筑玻璃 可见光透射比、太阳光直接透射比、太阳能总透射比、紫外线透射比及有关窗玻璃参数的测定》GB/T 2680-2021</w:t>
      </w:r>
    </w:p>
    <w:p w14:paraId="4824D22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（147）《铝合金建筑型材》GB/T 5237.1～6-2017</w:t>
      </w:r>
    </w:p>
    <w:p w14:paraId="0BB68D3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（148）《灯具 第1部分：一般要求与试验》GB 7000.1-2015</w:t>
      </w:r>
    </w:p>
    <w:p w14:paraId="44673A4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（149）《建筑装饰用铝单板》GB/T 23443-2024</w:t>
      </w:r>
    </w:p>
    <w:p w14:paraId="3E98D14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（150）《金属及金属复合材料吊顶板》GB/T 23444-2024</w:t>
      </w:r>
    </w:p>
    <w:p w14:paraId="4ACE232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（151）《聚氨酯防水涂料》GB/T 19250-2013</w:t>
      </w:r>
    </w:p>
    <w:p w14:paraId="63CCE9A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（152）《陶瓷砖胶粘剂》JC/T 547-2017</w:t>
      </w:r>
    </w:p>
    <w:p w14:paraId="1C66000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（153）《建筑用轻钢龙骨》GB/T 11981-2024</w:t>
      </w:r>
    </w:p>
    <w:p w14:paraId="22BBD4E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（154）《环氧树脂防水涂料》JC/T 2217-2014</w:t>
      </w:r>
    </w:p>
    <w:p w14:paraId="1A48CA9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（155）《聚氯乙烯（PVC）防水卷材》GB 12952-2011</w:t>
      </w:r>
    </w:p>
    <w:p w14:paraId="09B101D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（156）《预铺防水卷材》GB 23457-2017</w:t>
      </w:r>
    </w:p>
    <w:p w14:paraId="7EA5B0D8">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（157）《高分子防水材料 第1部分：片材》GB 18173.1-2012</w:t>
      </w:r>
    </w:p>
    <w:p w14:paraId="3328818E">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（158）《热塑性聚烯烃(TPO)防水卷材》GB 27789-2011</w:t>
      </w:r>
    </w:p>
    <w:p w14:paraId="1C6C35E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（159）《弹性体改性沥青防水卷材》GB 18242-2008</w:t>
      </w:r>
    </w:p>
    <w:p w14:paraId="5C056B4B">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（160）《自粘聚合物改性沥青防水卷材》GB 23441-2009</w:t>
      </w:r>
    </w:p>
    <w:p w14:paraId="7F4136E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（161）《种植屋面用耐根穿刺防水卷材》GB/T 35468-2017</w:t>
      </w:r>
    </w:p>
    <w:p w14:paraId="548BCEF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（162）《高分子防水材料 第二部分 止水带》GB/T 18173.2-2014</w:t>
      </w:r>
    </w:p>
    <w:p w14:paraId="23BF536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（163）《环氧沥青防腐涂料》GB/T 27806-2011</w:t>
      </w:r>
    </w:p>
    <w:p w14:paraId="579C5B7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（164）《橡胶密封件 给、排水管及污水管道用接口密封圈 材料规范》GB/T 21873-2008</w:t>
      </w:r>
    </w:p>
    <w:p w14:paraId="7CD81F2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（165）《建筑用硅酮结构密封胶》GB 16776-2005</w:t>
      </w:r>
    </w:p>
    <w:p w14:paraId="6C41C29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（166）《硅酮和改性硅酮建筑密封胶》GB/T 14683-2017</w:t>
      </w:r>
    </w:p>
    <w:p w14:paraId="57667D58">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（167）《水性渗透型无机防水剂》JC/T 1018-2020</w:t>
      </w:r>
    </w:p>
    <w:p w14:paraId="7E5A671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 xml:space="preserve">（168）《合成树脂乳液砂壁状建筑涂料》JG/T 24-2018 </w:t>
      </w:r>
    </w:p>
    <w:p w14:paraId="2F4B106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（169）《天然花岗岩建筑板材》GB/T 18601-2024</w:t>
      </w:r>
    </w:p>
    <w:p w14:paraId="20C6682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（170）《建筑材料及制品燃烧性能分级》GB 8624-2012</w:t>
      </w:r>
    </w:p>
    <w:p w14:paraId="37370A6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（171）《陶瓷砖》GB/T 4100-2015</w:t>
      </w:r>
    </w:p>
    <w:p w14:paraId="76150B3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（172）《建筑地面工程防滑技术规程》JGJ/T 331-2014</w:t>
      </w:r>
    </w:p>
    <w:p w14:paraId="17717D3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（173）《纤维增强硅酸钙板 第1部分：无石棉硅酸钙板》JC/T 564.1-2018</w:t>
      </w:r>
    </w:p>
    <w:p w14:paraId="5256402F">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（174）《纤维增强硅酸钙板 第2部分：温石棉硅酸钙板》JC/T 564.2-2018</w:t>
      </w:r>
    </w:p>
    <w:p w14:paraId="15E4892F">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（175）《天然大理石建筑板材》GB/T 19766-2016</w:t>
      </w:r>
    </w:p>
    <w:p w14:paraId="3905685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（176）《预拌砂浆》GB/T 25181-2019</w:t>
      </w:r>
    </w:p>
    <w:p w14:paraId="7D796ED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（177）《蒸压加气混凝土砌块》GB/T 11968-2020</w:t>
      </w:r>
    </w:p>
    <w:p w14:paraId="6746085E">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（178）《蒸压灰砂实心砖和实心砌块》GB/T 11945-2019</w:t>
      </w:r>
    </w:p>
    <w:p w14:paraId="3C1F676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（179）《透水路面砖和透水路面板》GB/T 25993-2023</w:t>
      </w:r>
    </w:p>
    <w:p w14:paraId="59F8A9D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（180）《植草砖》NY/T 1253-2006</w:t>
      </w:r>
    </w:p>
    <w:p w14:paraId="63AEB4FA">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（181）《建筑用岩棉绝热制品》GB/T 19686-2015</w:t>
      </w:r>
    </w:p>
    <w:p w14:paraId="72A90E5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（182）《混凝土实心砖》GB/T 21144-2023</w:t>
      </w:r>
    </w:p>
    <w:p w14:paraId="41AD9318">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（183）《水泥混凝土和砂浆用合成纤维》GB/T 21120-2018</w:t>
      </w:r>
    </w:p>
    <w:p w14:paraId="4E85BB5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（184）《公路沥青路面施工技术规范》JTG F40-2004</w:t>
      </w:r>
    </w:p>
    <w:p w14:paraId="3B2C38B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（185）《公路工程沥青及沥青混合料试验规程》JTG E20-2011</w:t>
      </w:r>
    </w:p>
    <w:p w14:paraId="2889951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（186）《额定电压1 kV(Um=1.2 kV)到35 kV(Um=40.5 kV)挤包绝缘电力电缆及附件 第1部分：额定电压1 kV(Um=1.2 kV)和3 kV(Um=3.6 kV)电缆》GB/T 12706.1-2020</w:t>
      </w:r>
    </w:p>
    <w:p w14:paraId="00968B2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（187）《额定电压 450/750V 及以下交联聚烯烃绝缘电线和电缆》JB/T 10491-2022</w:t>
      </w:r>
    </w:p>
    <w:p w14:paraId="601586F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（188）《额定电压450/750V及以下聚氯乙烯绝缘电缆 第3部分：固定布线用无护套电缆》GB/T 5023.3-2008</w:t>
      </w:r>
    </w:p>
    <w:p w14:paraId="6200EF4B">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（189）《额定电压450/750V及以下聚氯乙烯绝缘电缆电线和软线 第3部分：连接用软电线和软电缆》JB/T 8734.3-2016</w:t>
      </w:r>
    </w:p>
    <w:p w14:paraId="2E80BDCF">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（190）《塑料绝缘控制电缆》GB/T 9330-2020</w:t>
      </w:r>
    </w:p>
    <w:p w14:paraId="35CE328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（191）《电缆管理用导管系统 第1部分：通用要求》GB/T20041.1-2015</w:t>
      </w:r>
    </w:p>
    <w:p w14:paraId="77A9277E">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（192）《低压开关设备和控制设备 第2部分：断路器》GB/T 14048.2-2020</w:t>
      </w:r>
    </w:p>
    <w:p w14:paraId="670CFFB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（193）《电气附件 家用及类似场所用过电流保护断路器 第1部分：用于交流的断路器》GB/T 10963.1-2020</w:t>
      </w:r>
    </w:p>
    <w:p w14:paraId="2D0ABA47">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（194）《家用和类似用途的带过电流保护的剩余电流动作断路器(RCBO) 第1部分: 一般规则》GB/T 16917.1-2014</w:t>
      </w:r>
    </w:p>
    <w:p w14:paraId="00160770">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（195）《家用和类似用途固定式电气装置的开关 第1部分：通用要求》GB/T 16915.1-2014</w:t>
      </w:r>
    </w:p>
    <w:p w14:paraId="6EB2A20E">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（196）《家用和类似用途插头插座 第1部分：通用要求》GB/T 2099.1-2021</w:t>
      </w:r>
    </w:p>
    <w:p w14:paraId="37050B3D">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（197）《建筑用墙面涂料中有害物质限量》GB 18582-2020</w:t>
      </w:r>
    </w:p>
    <w:p w14:paraId="300BE2F5">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（198）《建筑材料放射性核素限量》GB 6566-2010</w:t>
      </w:r>
    </w:p>
    <w:p w14:paraId="4994B729">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（199）《钢结构防火涂料》GB 14907-2018</w:t>
      </w:r>
    </w:p>
    <w:p w14:paraId="6CA01A7B">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（200）《饰面型防火涂料》GB 12441-2018</w:t>
      </w:r>
    </w:p>
    <w:p w14:paraId="50991C78">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（201）《防火门》GB 12955-2008</w:t>
      </w:r>
    </w:p>
    <w:p w14:paraId="273B0796">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（202）《防火卷帘》GB 14102-2005</w:t>
      </w:r>
    </w:p>
    <w:p w14:paraId="6C6B171B">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（203）《防火窗》GB 16809-2008</w:t>
      </w:r>
    </w:p>
    <w:p w14:paraId="5C03892C">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（204）《建筑构件耐火试验方法 第1部分：通用要求》GB/T 9978.1-2008</w:t>
      </w:r>
    </w:p>
    <w:p w14:paraId="172289D4">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（205）《建筑用安全玻璃 第1部分：防火玻璃》GB 15763.1-2009</w:t>
      </w:r>
    </w:p>
    <w:p w14:paraId="25C42EE2">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（206）《电缆及光缆燃烧性能分级》GB 31247-2014</w:t>
      </w:r>
    </w:p>
    <w:p w14:paraId="336C57B4">
      <w:pPr>
        <w:spacing w:line="360" w:lineRule="auto"/>
        <w:ind w:firstLine="424" w:firstLineChars="177"/>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207</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国家和广东省、广州市有关</w:t>
      </w:r>
      <w:r>
        <w:rPr>
          <w:rFonts w:hint="eastAsia" w:ascii="宋体" w:hAnsi="宋体" w:eastAsia="宋体" w:cs="Times New Roman"/>
          <w:color w:val="auto"/>
          <w:sz w:val="24"/>
          <w:szCs w:val="24"/>
          <w:highlight w:val="none"/>
          <w:lang w:eastAsia="zh-CN"/>
        </w:rPr>
        <w:t>检测监测</w:t>
      </w:r>
      <w:r>
        <w:rPr>
          <w:rFonts w:hint="eastAsia" w:ascii="宋体" w:hAnsi="宋体" w:eastAsia="宋体" w:cs="Times New Roman"/>
          <w:color w:val="auto"/>
          <w:sz w:val="24"/>
          <w:szCs w:val="24"/>
          <w:highlight w:val="none"/>
        </w:rPr>
        <w:t>的法律、法规、规章、规范及标准</w:t>
      </w:r>
    </w:p>
    <w:p w14:paraId="3FCEC263">
      <w:pPr>
        <w:spacing w:line="360" w:lineRule="auto"/>
        <w:ind w:firstLine="424" w:firstLineChars="177"/>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实际</w:t>
      </w:r>
      <w:r>
        <w:rPr>
          <w:rFonts w:hint="eastAsia" w:ascii="宋体" w:hAnsi="宋体" w:eastAsia="宋体" w:cs="Times New Roman"/>
          <w:color w:val="auto"/>
          <w:sz w:val="24"/>
          <w:szCs w:val="24"/>
          <w:highlight w:val="none"/>
          <w:lang w:eastAsia="zh-CN"/>
        </w:rPr>
        <w:t>检测监测</w:t>
      </w:r>
      <w:r>
        <w:rPr>
          <w:rFonts w:hint="eastAsia" w:ascii="宋体" w:hAnsi="宋体" w:eastAsia="宋体" w:cs="Times New Roman"/>
          <w:color w:val="auto"/>
          <w:sz w:val="24"/>
          <w:szCs w:val="24"/>
          <w:highlight w:val="none"/>
        </w:rPr>
        <w:t>依据以实施</w:t>
      </w:r>
      <w:r>
        <w:rPr>
          <w:rFonts w:hint="eastAsia" w:ascii="宋体" w:hAnsi="宋体" w:eastAsia="宋体" w:cs="Times New Roman"/>
          <w:color w:val="auto"/>
          <w:sz w:val="24"/>
          <w:szCs w:val="24"/>
          <w:highlight w:val="none"/>
          <w:lang w:eastAsia="zh-CN"/>
        </w:rPr>
        <w:t>检测监测</w:t>
      </w:r>
      <w:r>
        <w:rPr>
          <w:rFonts w:hint="eastAsia" w:ascii="宋体" w:hAnsi="宋体" w:eastAsia="宋体" w:cs="Times New Roman"/>
          <w:color w:val="auto"/>
          <w:sz w:val="24"/>
          <w:szCs w:val="24"/>
          <w:highlight w:val="none"/>
        </w:rPr>
        <w:t>时国家及地方发布的最新规范、标准及规定为准</w:t>
      </w:r>
      <w:r>
        <w:rPr>
          <w:rFonts w:hint="eastAsia" w:ascii="宋体" w:hAnsi="宋体" w:cs="Times New Roman"/>
          <w:color w:val="auto"/>
          <w:sz w:val="24"/>
          <w:szCs w:val="24"/>
          <w:highlight w:val="none"/>
          <w:lang w:eastAsia="zh-CN"/>
        </w:rPr>
        <w:t>。</w:t>
      </w:r>
    </w:p>
    <w:p w14:paraId="3F18FECF">
      <w:pPr>
        <w:spacing w:line="360" w:lineRule="auto"/>
        <w:ind w:firstLine="426" w:firstLineChars="177"/>
        <w:rPr>
          <w:rFonts w:ascii="宋体" w:hAnsi="宋体"/>
          <w:color w:val="auto"/>
          <w:sz w:val="24"/>
          <w:szCs w:val="24"/>
          <w:highlight w:val="none"/>
        </w:rPr>
      </w:pPr>
      <w:r>
        <w:rPr>
          <w:rFonts w:hint="eastAsia" w:ascii="宋体" w:hAnsi="宋体"/>
          <w:b/>
          <w:color w:val="auto"/>
          <w:sz w:val="24"/>
          <w:szCs w:val="24"/>
          <w:highlight w:val="none"/>
        </w:rPr>
        <w:t>4.服务要求：</w:t>
      </w:r>
    </w:p>
    <w:p w14:paraId="17E5F426">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在检测监测工作完成后，应按</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要求及时提交有效的检测监测报告（检测监测报告分为初步</w:t>
      </w:r>
      <w:r>
        <w:rPr>
          <w:rFonts w:hint="eastAsia" w:ascii="宋体" w:hAnsi="宋体"/>
          <w:color w:val="auto"/>
          <w:sz w:val="24"/>
          <w:szCs w:val="24"/>
          <w:highlight w:val="none"/>
          <w:lang w:val="en-US" w:eastAsia="zh-CN"/>
        </w:rPr>
        <w:t>成果</w:t>
      </w:r>
      <w:r>
        <w:rPr>
          <w:rFonts w:hint="eastAsia" w:ascii="宋体" w:hAnsi="宋体"/>
          <w:color w:val="auto"/>
          <w:sz w:val="24"/>
          <w:szCs w:val="24"/>
          <w:highlight w:val="none"/>
        </w:rPr>
        <w:t>和最终报告）。初步</w:t>
      </w:r>
      <w:r>
        <w:rPr>
          <w:rFonts w:hint="eastAsia" w:ascii="宋体" w:hAnsi="宋体"/>
          <w:color w:val="auto"/>
          <w:sz w:val="24"/>
          <w:szCs w:val="24"/>
          <w:highlight w:val="none"/>
          <w:lang w:val="en-US" w:eastAsia="zh-CN"/>
        </w:rPr>
        <w:t>成果</w:t>
      </w:r>
      <w:r>
        <w:rPr>
          <w:rFonts w:hint="eastAsia" w:ascii="宋体" w:hAnsi="宋体"/>
          <w:color w:val="auto"/>
          <w:sz w:val="24"/>
          <w:szCs w:val="24"/>
          <w:highlight w:val="none"/>
        </w:rPr>
        <w:t>应在每次检测监测后3天内提交给</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，一式三份。最终报告应在每次检测监测后7天内提交，一式十份。最终报告需加盖检测、监测报告专用章和计量认证章（CMA章）；检测、监测报告签认人员的检测资格证书必须在</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处注册。</w:t>
      </w:r>
    </w:p>
    <w:p w14:paraId="4030752E">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（2）所有检测、监测报告必须符合国家和地方现行的规范、标准。</w:t>
      </w:r>
    </w:p>
    <w:p w14:paraId="58233602">
      <w:pPr>
        <w:spacing w:line="360" w:lineRule="auto"/>
        <w:ind w:firstLine="426" w:firstLineChars="177"/>
        <w:rPr>
          <w:rFonts w:ascii="宋体" w:hAnsi="宋体"/>
          <w:b/>
          <w:color w:val="auto"/>
          <w:sz w:val="24"/>
          <w:szCs w:val="24"/>
          <w:highlight w:val="none"/>
        </w:rPr>
      </w:pPr>
      <w:bookmarkStart w:id="198" w:name="_Toc511557119"/>
      <w:bookmarkStart w:id="199" w:name="_Toc9843"/>
      <w:bookmarkStart w:id="200" w:name="_Toc24882"/>
      <w:r>
        <w:rPr>
          <w:rFonts w:hint="eastAsia" w:ascii="宋体" w:hAnsi="宋体"/>
          <w:b/>
          <w:color w:val="auto"/>
          <w:sz w:val="24"/>
          <w:szCs w:val="24"/>
          <w:highlight w:val="none"/>
        </w:rPr>
        <w:t>5.委托人的其他要求</w:t>
      </w:r>
      <w:bookmarkEnd w:id="198"/>
      <w:bookmarkEnd w:id="199"/>
      <w:bookmarkEnd w:id="200"/>
      <w:r>
        <w:rPr>
          <w:rFonts w:hint="eastAsia" w:ascii="宋体" w:hAnsi="宋体"/>
          <w:b/>
          <w:color w:val="auto"/>
          <w:sz w:val="24"/>
          <w:szCs w:val="24"/>
          <w:highlight w:val="none"/>
        </w:rPr>
        <w:t>：</w:t>
      </w:r>
    </w:p>
    <w:p w14:paraId="329EFBB9">
      <w:pPr>
        <w:pStyle w:val="28"/>
        <w:spacing w:line="360" w:lineRule="auto"/>
        <w:ind w:left="0" w:leftChars="0" w:firstLine="480"/>
        <w:rPr>
          <w:rFonts w:hint="eastAsia" w:ascii="宋体" w:hAnsi="宋体"/>
          <w:color w:val="auto"/>
          <w:sz w:val="24"/>
          <w:highlight w:val="none"/>
        </w:rPr>
      </w:pPr>
      <w:r>
        <w:rPr>
          <w:rFonts w:hint="eastAsia" w:ascii="宋体" w:hAnsi="宋体"/>
          <w:color w:val="auto"/>
          <w:sz w:val="24"/>
          <w:szCs w:val="24"/>
          <w:highlight w:val="none"/>
        </w:rPr>
        <w:t>（1）</w:t>
      </w:r>
      <w:r>
        <w:rPr>
          <w:rFonts w:hint="eastAsia" w:ascii="宋体" w:hAnsi="宋体"/>
          <w:color w:val="auto"/>
          <w:sz w:val="24"/>
          <w:highlight w:val="none"/>
        </w:rPr>
        <w:t>本项目实施期间，如果因本项目施工质量抽查监督及验收需要，按规范和经批准的检测监测方案，经</w:t>
      </w:r>
      <w:r>
        <w:rPr>
          <w:rFonts w:hint="eastAsia" w:ascii="宋体" w:hAnsi="宋体"/>
          <w:color w:val="auto"/>
          <w:sz w:val="24"/>
          <w:highlight w:val="none"/>
          <w:lang w:eastAsia="zh-CN"/>
        </w:rPr>
        <w:t>招标人</w:t>
      </w:r>
      <w:r>
        <w:rPr>
          <w:rFonts w:hint="eastAsia" w:ascii="宋体" w:hAnsi="宋体"/>
          <w:color w:val="auto"/>
          <w:sz w:val="24"/>
          <w:highlight w:val="none"/>
        </w:rPr>
        <w:t>确认需增加检测监测项目，且</w:t>
      </w:r>
      <w:r>
        <w:rPr>
          <w:rFonts w:hint="eastAsia" w:ascii="宋体" w:hAnsi="宋体"/>
          <w:color w:val="auto"/>
          <w:sz w:val="24"/>
          <w:highlight w:val="none"/>
          <w:lang w:eastAsia="zh-CN"/>
        </w:rPr>
        <w:t>投标人</w:t>
      </w:r>
      <w:r>
        <w:rPr>
          <w:rFonts w:hint="eastAsia" w:ascii="宋体" w:hAnsi="宋体"/>
          <w:color w:val="auto"/>
          <w:sz w:val="24"/>
          <w:highlight w:val="none"/>
        </w:rPr>
        <w:t>也具备相应资质，则</w:t>
      </w:r>
      <w:r>
        <w:rPr>
          <w:rFonts w:hint="eastAsia" w:ascii="宋体" w:hAnsi="宋体"/>
          <w:color w:val="auto"/>
          <w:sz w:val="24"/>
          <w:highlight w:val="none"/>
          <w:lang w:eastAsia="zh-CN"/>
        </w:rPr>
        <w:t>投标人</w:t>
      </w:r>
      <w:r>
        <w:rPr>
          <w:rFonts w:hint="eastAsia" w:ascii="宋体" w:hAnsi="宋体"/>
          <w:color w:val="auto"/>
          <w:sz w:val="24"/>
          <w:highlight w:val="none"/>
        </w:rPr>
        <w:t>不得以任何原因拒绝为</w:t>
      </w:r>
      <w:r>
        <w:rPr>
          <w:rFonts w:hint="eastAsia" w:ascii="宋体" w:hAnsi="宋体"/>
          <w:color w:val="auto"/>
          <w:sz w:val="24"/>
          <w:highlight w:val="none"/>
          <w:lang w:eastAsia="zh-CN"/>
        </w:rPr>
        <w:t>招标人</w:t>
      </w:r>
      <w:r>
        <w:rPr>
          <w:rFonts w:hint="eastAsia" w:ascii="宋体" w:hAnsi="宋体"/>
          <w:color w:val="auto"/>
          <w:sz w:val="24"/>
          <w:highlight w:val="none"/>
        </w:rPr>
        <w:t>提供检测监测，并按要求出具检测监测报告。</w:t>
      </w:r>
      <w:r>
        <w:rPr>
          <w:rFonts w:hint="eastAsia" w:ascii="宋体" w:hAnsi="宋体"/>
          <w:color w:val="auto"/>
          <w:sz w:val="24"/>
          <w:highlight w:val="none"/>
          <w:lang w:eastAsia="zh-CN"/>
        </w:rPr>
        <w:t>投标人</w:t>
      </w:r>
      <w:r>
        <w:rPr>
          <w:rFonts w:hint="eastAsia" w:ascii="宋体" w:hAnsi="宋体"/>
          <w:color w:val="auto"/>
          <w:sz w:val="24"/>
          <w:highlight w:val="none"/>
        </w:rPr>
        <w:t>检测监测资质不能涵盖的项目报</w:t>
      </w:r>
      <w:r>
        <w:rPr>
          <w:rFonts w:hint="eastAsia" w:ascii="宋体" w:hAnsi="宋体"/>
          <w:color w:val="auto"/>
          <w:sz w:val="24"/>
          <w:highlight w:val="none"/>
          <w:lang w:eastAsia="zh-CN"/>
        </w:rPr>
        <w:t>招标人</w:t>
      </w:r>
      <w:r>
        <w:rPr>
          <w:rFonts w:hint="eastAsia" w:ascii="宋体" w:hAnsi="宋体"/>
          <w:color w:val="auto"/>
          <w:sz w:val="24"/>
          <w:highlight w:val="none"/>
        </w:rPr>
        <w:t>批准后，由</w:t>
      </w:r>
      <w:r>
        <w:rPr>
          <w:rFonts w:hint="eastAsia" w:ascii="宋体" w:hAnsi="宋体"/>
          <w:color w:val="auto"/>
          <w:sz w:val="24"/>
          <w:highlight w:val="none"/>
          <w:lang w:eastAsia="zh-CN"/>
        </w:rPr>
        <w:t>投标人</w:t>
      </w:r>
      <w:r>
        <w:rPr>
          <w:rFonts w:hint="eastAsia" w:ascii="宋体" w:hAnsi="宋体"/>
          <w:color w:val="auto"/>
          <w:sz w:val="24"/>
          <w:highlight w:val="none"/>
        </w:rPr>
        <w:t>委托具有相应资质的第三方实施，</w:t>
      </w:r>
      <w:r>
        <w:rPr>
          <w:rFonts w:hint="eastAsia" w:ascii="宋体" w:hAnsi="宋体"/>
          <w:color w:val="auto"/>
          <w:sz w:val="24"/>
          <w:highlight w:val="none"/>
          <w:lang w:eastAsia="zh-CN"/>
        </w:rPr>
        <w:t>投标人</w:t>
      </w:r>
      <w:r>
        <w:rPr>
          <w:rFonts w:hint="eastAsia" w:ascii="宋体" w:hAnsi="宋体"/>
          <w:color w:val="auto"/>
          <w:sz w:val="24"/>
          <w:highlight w:val="none"/>
        </w:rPr>
        <w:t>应对该第三方出具的结果负责，并取得相应管理部门的确认。</w:t>
      </w:r>
    </w:p>
    <w:p w14:paraId="19688101">
      <w:pPr>
        <w:pStyle w:val="28"/>
        <w:spacing w:line="360" w:lineRule="auto"/>
        <w:ind w:left="0" w:leftChars="0" w:firstLine="480"/>
        <w:rPr>
          <w:rFonts w:ascii="宋体" w:hAnsi="宋体"/>
          <w:color w:val="auto"/>
          <w:sz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highlight w:val="none"/>
        </w:rPr>
        <w:t>在施工过程中，</w:t>
      </w:r>
      <w:r>
        <w:rPr>
          <w:rFonts w:hint="eastAsia" w:ascii="宋体" w:hAnsi="宋体"/>
          <w:color w:val="auto"/>
          <w:sz w:val="24"/>
          <w:highlight w:val="none"/>
          <w:lang w:eastAsia="zh-CN"/>
        </w:rPr>
        <w:t>投标人</w:t>
      </w:r>
      <w:r>
        <w:rPr>
          <w:rFonts w:hint="eastAsia" w:ascii="宋体" w:hAnsi="宋体"/>
          <w:color w:val="auto"/>
          <w:sz w:val="24"/>
          <w:highlight w:val="none"/>
        </w:rPr>
        <w:t>依据施工图及相关检测监测验收规范，编制检测监测方案和工程量清单（如需要），以满足施工质量抽查监督、各单项竣工验收、竣工验收备案及区质检站等政府职能部门要求为前提，合理编制，不可擅自虚增检测、监测项目和工作量，否则不予结算。检测监测方案需报施工单位、监理单位、代建单位和建设单位审核确认后方可实施，检测监测项目及工作量按实结算。</w:t>
      </w:r>
    </w:p>
    <w:p w14:paraId="30CB34DB">
      <w:pPr>
        <w:pStyle w:val="28"/>
        <w:spacing w:line="360" w:lineRule="auto"/>
        <w:ind w:left="0" w:leftChars="0" w:firstLine="480"/>
        <w:rPr>
          <w:rFonts w:ascii="宋体" w:hAnsi="宋体"/>
          <w:color w:val="auto"/>
          <w:sz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highlight w:val="none"/>
        </w:rPr>
        <w:t>其他详见本招标文件的第一章投标人须知和本工程委托检测</w:t>
      </w:r>
      <w:r>
        <w:rPr>
          <w:rFonts w:hint="eastAsia" w:ascii="宋体" w:hAnsi="宋体"/>
          <w:color w:val="auto"/>
          <w:sz w:val="24"/>
          <w:highlight w:val="none"/>
          <w:lang w:val="en-US" w:eastAsia="zh-CN"/>
        </w:rPr>
        <w:t>监测</w:t>
      </w:r>
      <w:r>
        <w:rPr>
          <w:rFonts w:hint="eastAsia" w:ascii="宋体" w:hAnsi="宋体"/>
          <w:color w:val="auto"/>
          <w:sz w:val="24"/>
          <w:highlight w:val="none"/>
        </w:rPr>
        <w:t>合同的相关约定。</w:t>
      </w:r>
    </w:p>
    <w:p w14:paraId="22C244BC">
      <w:pPr>
        <w:pStyle w:val="2"/>
        <w:rPr>
          <w:rFonts w:hint="eastAsia"/>
          <w:color w:val="auto"/>
          <w:highlight w:val="none"/>
        </w:rPr>
      </w:pPr>
      <w:r>
        <w:rPr>
          <w:color w:val="auto"/>
          <w:highlight w:val="none"/>
        </w:rPr>
        <w:br w:type="page"/>
      </w:r>
      <w:bookmarkStart w:id="201" w:name="_Toc12303"/>
      <w:r>
        <w:rPr>
          <w:rFonts w:hint="eastAsia"/>
          <w:color w:val="auto"/>
          <w:highlight w:val="none"/>
        </w:rPr>
        <w:t>第三卷</w:t>
      </w:r>
      <w:bookmarkEnd w:id="186"/>
      <w:bookmarkEnd w:id="191"/>
      <w:bookmarkEnd w:id="192"/>
      <w:bookmarkEnd w:id="193"/>
      <w:bookmarkEnd w:id="201"/>
    </w:p>
    <w:p w14:paraId="1841EA77">
      <w:pPr>
        <w:pStyle w:val="2"/>
        <w:rPr>
          <w:rFonts w:hint="eastAsia"/>
          <w:color w:val="auto"/>
          <w:highlight w:val="none"/>
        </w:rPr>
      </w:pPr>
      <w:bookmarkStart w:id="202" w:name="_Toc533357327"/>
      <w:bookmarkStart w:id="203" w:name="_Toc20522"/>
      <w:bookmarkStart w:id="204" w:name="_Toc5875"/>
      <w:bookmarkStart w:id="205" w:name="_Toc2527"/>
      <w:bookmarkStart w:id="206" w:name="_Toc14078"/>
      <w:r>
        <w:rPr>
          <w:rFonts w:hint="eastAsia"/>
          <w:color w:val="auto"/>
          <w:highlight w:val="none"/>
        </w:rPr>
        <w:t>第六章  投标文件格式</w:t>
      </w:r>
      <w:bookmarkEnd w:id="202"/>
      <w:bookmarkEnd w:id="203"/>
      <w:bookmarkEnd w:id="204"/>
      <w:bookmarkEnd w:id="205"/>
      <w:bookmarkEnd w:id="206"/>
    </w:p>
    <w:p w14:paraId="4976BC44">
      <w:pPr>
        <w:rPr>
          <w:color w:val="auto"/>
          <w:highlight w:val="none"/>
        </w:rPr>
      </w:pPr>
    </w:p>
    <w:p w14:paraId="62629FF5">
      <w:pPr>
        <w:pStyle w:val="28"/>
        <w:rPr>
          <w:rFonts w:ascii="Calibri" w:hAnsi="Calibri"/>
          <w:color w:val="auto"/>
          <w:highlight w:val="none"/>
        </w:rPr>
      </w:pPr>
    </w:p>
    <w:p w14:paraId="360D24A3">
      <w:pPr>
        <w:jc w:val="center"/>
        <w:rPr>
          <w:rFonts w:hint="eastAsia" w:ascii="宋体" w:hAnsi="宋体"/>
          <w:b/>
          <w:color w:val="auto"/>
          <w:sz w:val="28"/>
          <w:szCs w:val="28"/>
          <w:highlight w:val="none"/>
        </w:rPr>
      </w:pPr>
      <w:r>
        <w:rPr>
          <w:rFonts w:hint="eastAsia" w:ascii="宋体" w:hAnsi="宋体"/>
          <w:b/>
          <w:color w:val="auto"/>
          <w:sz w:val="28"/>
          <w:szCs w:val="28"/>
          <w:highlight w:val="none"/>
        </w:rPr>
        <w:t>目  录</w:t>
      </w:r>
    </w:p>
    <w:p w14:paraId="4E41C172">
      <w:pPr>
        <w:pStyle w:val="27"/>
        <w:tabs>
          <w:tab w:val="left" w:pos="960"/>
        </w:tabs>
        <w:spacing w:line="440" w:lineRule="exact"/>
        <w:ind w:left="960"/>
        <w:rPr>
          <w:rFonts w:hint="eastAsia" w:ascii="宋体" w:hAnsi="宋体" w:eastAsia="宋体"/>
          <w:color w:val="auto"/>
          <w:sz w:val="24"/>
          <w:highlight w:val="none"/>
        </w:rPr>
      </w:pPr>
      <w:bookmarkStart w:id="207" w:name="_Toc390704763"/>
      <w:bookmarkStart w:id="208" w:name="_Toc266373528"/>
      <w:r>
        <w:rPr>
          <w:rFonts w:hint="eastAsia" w:ascii="宋体" w:hAnsi="宋体"/>
          <w:color w:val="auto"/>
          <w:sz w:val="24"/>
          <w:highlight w:val="none"/>
        </w:rPr>
        <w:t>一</w:t>
      </w:r>
      <w:r>
        <w:rPr>
          <w:rFonts w:hint="eastAsia" w:ascii="宋体" w:hAnsi="宋体" w:eastAsia="宋体"/>
          <w:color w:val="auto"/>
          <w:sz w:val="24"/>
          <w:highlight w:val="none"/>
        </w:rPr>
        <w:t>、投标函及其附表</w:t>
      </w:r>
    </w:p>
    <w:p w14:paraId="7C85386C">
      <w:pPr>
        <w:pStyle w:val="27"/>
        <w:tabs>
          <w:tab w:val="left" w:pos="960"/>
        </w:tabs>
        <w:spacing w:line="440" w:lineRule="exact"/>
        <w:ind w:left="960"/>
        <w:rPr>
          <w:rFonts w:hint="eastAsia" w:ascii="宋体" w:hAnsi="宋体" w:eastAsia="宋体"/>
          <w:color w:val="auto"/>
          <w:sz w:val="24"/>
          <w:highlight w:val="none"/>
        </w:rPr>
      </w:pPr>
      <w:r>
        <w:rPr>
          <w:rFonts w:hint="eastAsia" w:ascii="宋体" w:hAnsi="宋体" w:eastAsia="宋体"/>
          <w:color w:val="auto"/>
          <w:sz w:val="24"/>
          <w:highlight w:val="none"/>
        </w:rPr>
        <w:t>二、法定代表人证明书及授权委托书</w:t>
      </w:r>
    </w:p>
    <w:p w14:paraId="072F0A90">
      <w:pPr>
        <w:pStyle w:val="27"/>
        <w:tabs>
          <w:tab w:val="left" w:pos="960"/>
        </w:tabs>
        <w:spacing w:line="440" w:lineRule="exact"/>
        <w:ind w:left="960"/>
        <w:rPr>
          <w:rFonts w:hint="eastAsia" w:ascii="宋体" w:hAnsi="宋体" w:eastAsia="宋体" w:cs="Times New Roman"/>
          <w:color w:val="auto"/>
          <w:sz w:val="24"/>
          <w:highlight w:val="none"/>
        </w:rPr>
      </w:pPr>
      <w:r>
        <w:rPr>
          <w:rFonts w:hint="eastAsia" w:ascii="宋体" w:hAnsi="宋体" w:eastAsia="宋体"/>
          <w:color w:val="auto"/>
          <w:sz w:val="24"/>
          <w:highlight w:val="none"/>
        </w:rPr>
        <w:t>三、</w:t>
      </w:r>
      <w:r>
        <w:rPr>
          <w:rFonts w:hint="eastAsia" w:ascii="宋体" w:hAnsi="宋体" w:eastAsia="宋体" w:cs="Times New Roman"/>
          <w:color w:val="auto"/>
          <w:sz w:val="24"/>
          <w:highlight w:val="none"/>
        </w:rPr>
        <w:t>联合体协议书</w:t>
      </w:r>
    </w:p>
    <w:p w14:paraId="652A2327">
      <w:pPr>
        <w:pStyle w:val="27"/>
        <w:tabs>
          <w:tab w:val="left" w:pos="960"/>
        </w:tabs>
        <w:spacing w:line="440" w:lineRule="exact"/>
        <w:ind w:left="960"/>
        <w:rPr>
          <w:rFonts w:hint="eastAsia" w:ascii="宋体" w:hAnsi="宋体" w:eastAsia="宋体"/>
          <w:color w:val="auto"/>
          <w:sz w:val="24"/>
          <w:highlight w:val="none"/>
        </w:rPr>
      </w:pPr>
      <w:r>
        <w:rPr>
          <w:rFonts w:hint="eastAsia" w:ascii="宋体" w:hAnsi="宋体" w:eastAsia="宋体"/>
          <w:color w:val="auto"/>
          <w:sz w:val="24"/>
          <w:highlight w:val="none"/>
          <w:lang w:val="en-US"/>
        </w:rPr>
        <w:t>四</w:t>
      </w:r>
      <w:r>
        <w:rPr>
          <w:rFonts w:hint="eastAsia" w:ascii="宋体" w:hAnsi="宋体" w:eastAsia="宋体"/>
          <w:color w:val="auto"/>
          <w:sz w:val="24"/>
          <w:highlight w:val="none"/>
        </w:rPr>
        <w:t>、投标报价书</w:t>
      </w:r>
    </w:p>
    <w:p w14:paraId="61952329">
      <w:pPr>
        <w:pStyle w:val="27"/>
        <w:tabs>
          <w:tab w:val="left" w:pos="960"/>
        </w:tabs>
        <w:spacing w:line="440" w:lineRule="exact"/>
        <w:ind w:left="960"/>
        <w:rPr>
          <w:rFonts w:hint="eastAsia" w:ascii="宋体" w:hAnsi="宋体" w:eastAsia="宋体"/>
          <w:color w:val="auto"/>
          <w:sz w:val="24"/>
          <w:highlight w:val="none"/>
        </w:rPr>
      </w:pPr>
      <w:r>
        <w:rPr>
          <w:rFonts w:hint="eastAsia" w:ascii="宋体" w:hAnsi="宋体" w:eastAsia="宋体"/>
          <w:color w:val="auto"/>
          <w:sz w:val="24"/>
          <w:highlight w:val="none"/>
        </w:rPr>
        <w:t>五、资格审查资料</w:t>
      </w:r>
    </w:p>
    <w:p w14:paraId="66C664D8">
      <w:pPr>
        <w:pStyle w:val="27"/>
        <w:tabs>
          <w:tab w:val="left" w:pos="960"/>
        </w:tabs>
        <w:spacing w:line="440" w:lineRule="exact"/>
        <w:ind w:left="960"/>
        <w:rPr>
          <w:rFonts w:hint="eastAsia" w:ascii="宋体" w:hAnsi="宋体" w:eastAsia="宋体"/>
          <w:color w:val="auto"/>
          <w:sz w:val="24"/>
          <w:highlight w:val="none"/>
        </w:rPr>
      </w:pPr>
      <w:r>
        <w:rPr>
          <w:rFonts w:hint="eastAsia" w:ascii="宋体" w:hAnsi="宋体" w:eastAsia="宋体"/>
          <w:color w:val="auto"/>
          <w:sz w:val="24"/>
          <w:highlight w:val="none"/>
        </w:rPr>
        <w:t>六、类似项目业绩表</w:t>
      </w:r>
    </w:p>
    <w:p w14:paraId="31DA40CF">
      <w:pPr>
        <w:pStyle w:val="27"/>
        <w:tabs>
          <w:tab w:val="left" w:pos="960"/>
        </w:tabs>
        <w:spacing w:line="440" w:lineRule="exact"/>
        <w:ind w:left="960"/>
        <w:rPr>
          <w:rFonts w:hint="eastAsia" w:ascii="宋体" w:hAnsi="宋体" w:eastAsia="宋体"/>
          <w:color w:val="auto"/>
          <w:sz w:val="24"/>
          <w:highlight w:val="none"/>
        </w:rPr>
      </w:pPr>
      <w:r>
        <w:rPr>
          <w:rFonts w:hint="eastAsia" w:ascii="宋体" w:hAnsi="宋体" w:eastAsia="宋体"/>
          <w:color w:val="auto"/>
          <w:sz w:val="24"/>
          <w:highlight w:val="none"/>
        </w:rPr>
        <w:t>七、拟投入本项目的人员一览表</w:t>
      </w:r>
    </w:p>
    <w:p w14:paraId="06503C17">
      <w:pPr>
        <w:pStyle w:val="27"/>
        <w:tabs>
          <w:tab w:val="left" w:pos="960"/>
        </w:tabs>
        <w:spacing w:line="440" w:lineRule="exact"/>
        <w:ind w:left="960"/>
        <w:rPr>
          <w:rFonts w:hint="eastAsia" w:ascii="宋体" w:hAnsi="宋体" w:eastAsia="宋体"/>
          <w:color w:val="auto"/>
          <w:sz w:val="24"/>
          <w:highlight w:val="none"/>
        </w:rPr>
      </w:pPr>
      <w:r>
        <w:rPr>
          <w:rFonts w:hint="eastAsia" w:ascii="宋体" w:hAnsi="宋体" w:eastAsia="宋体"/>
          <w:color w:val="auto"/>
          <w:sz w:val="24"/>
          <w:highlight w:val="none"/>
        </w:rPr>
        <w:t>八、拟投入本项目的人员简历表</w:t>
      </w:r>
    </w:p>
    <w:p w14:paraId="61129BB7">
      <w:pPr>
        <w:pStyle w:val="27"/>
        <w:tabs>
          <w:tab w:val="left" w:pos="960"/>
        </w:tabs>
        <w:spacing w:line="440" w:lineRule="exact"/>
        <w:ind w:left="960"/>
        <w:rPr>
          <w:rFonts w:hint="eastAsia" w:ascii="宋体" w:hAnsi="宋体" w:eastAsia="宋体"/>
          <w:color w:val="auto"/>
          <w:sz w:val="24"/>
          <w:highlight w:val="none"/>
        </w:rPr>
      </w:pPr>
      <w:r>
        <w:rPr>
          <w:rFonts w:hint="eastAsia" w:ascii="宋体" w:hAnsi="宋体" w:eastAsia="宋体"/>
          <w:color w:val="auto"/>
          <w:sz w:val="24"/>
          <w:highlight w:val="none"/>
        </w:rPr>
        <w:t>九、拟投入本项目的主要检测监测仪器设备一览表</w:t>
      </w:r>
    </w:p>
    <w:p w14:paraId="5BB7DBBF">
      <w:pPr>
        <w:pStyle w:val="27"/>
        <w:tabs>
          <w:tab w:val="left" w:pos="960"/>
        </w:tabs>
        <w:spacing w:line="440" w:lineRule="exact"/>
        <w:ind w:left="96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十</w:t>
      </w:r>
      <w:r>
        <w:rPr>
          <w:rFonts w:hint="eastAsia" w:ascii="宋体" w:hAnsi="宋体" w:eastAsia="宋体"/>
          <w:color w:val="auto"/>
          <w:sz w:val="24"/>
          <w:highlight w:val="none"/>
        </w:rPr>
        <w:t>、检测监测方案</w:t>
      </w:r>
    </w:p>
    <w:p w14:paraId="27742F78">
      <w:pPr>
        <w:pStyle w:val="27"/>
        <w:tabs>
          <w:tab w:val="left" w:pos="960"/>
        </w:tabs>
        <w:spacing w:line="440" w:lineRule="exact"/>
        <w:ind w:left="960"/>
        <w:rPr>
          <w:rFonts w:hint="eastAsia" w:ascii="宋体" w:hAnsi="宋体" w:eastAsia="宋体"/>
          <w:color w:val="auto"/>
          <w:sz w:val="24"/>
          <w:highlight w:val="none"/>
        </w:rPr>
      </w:pPr>
      <w:r>
        <w:rPr>
          <w:rFonts w:hint="eastAsia" w:ascii="宋体" w:hAnsi="宋体" w:eastAsia="宋体"/>
          <w:color w:val="auto"/>
          <w:sz w:val="24"/>
          <w:highlight w:val="none"/>
        </w:rPr>
        <w:t>十</w:t>
      </w:r>
      <w:r>
        <w:rPr>
          <w:rFonts w:hint="eastAsia" w:ascii="宋体" w:hAnsi="宋体" w:eastAsia="宋体"/>
          <w:color w:val="auto"/>
          <w:sz w:val="24"/>
          <w:highlight w:val="none"/>
          <w:lang w:val="en-US" w:eastAsia="zh-CN"/>
        </w:rPr>
        <w:t>一</w:t>
      </w:r>
      <w:r>
        <w:rPr>
          <w:rFonts w:hint="eastAsia" w:ascii="宋体" w:hAnsi="宋体" w:eastAsia="宋体"/>
          <w:color w:val="auto"/>
          <w:sz w:val="24"/>
          <w:highlight w:val="none"/>
        </w:rPr>
        <w:t>、其他资料</w:t>
      </w:r>
    </w:p>
    <w:p w14:paraId="3FE3F5AC">
      <w:pPr>
        <w:pStyle w:val="27"/>
        <w:tabs>
          <w:tab w:val="left" w:pos="960"/>
        </w:tabs>
        <w:spacing w:line="440" w:lineRule="exact"/>
        <w:ind w:left="960"/>
        <w:rPr>
          <w:rFonts w:hint="eastAsia" w:ascii="宋体" w:hAnsi="宋体"/>
          <w:color w:val="auto"/>
          <w:kern w:val="0"/>
          <w:sz w:val="18"/>
          <w:highlight w:val="none"/>
        </w:rPr>
      </w:pPr>
      <w:r>
        <w:rPr>
          <w:rFonts w:ascii="宋体" w:hAnsi="宋体"/>
          <w:color w:val="auto"/>
          <w:sz w:val="24"/>
          <w:highlight w:val="none"/>
        </w:rPr>
        <w:br w:type="page"/>
      </w:r>
      <w:bookmarkEnd w:id="207"/>
    </w:p>
    <w:p w14:paraId="33BE9FEB">
      <w:pPr>
        <w:pStyle w:val="4"/>
        <w:rPr>
          <w:rFonts w:hint="eastAsia"/>
          <w:color w:val="auto"/>
          <w:highlight w:val="none"/>
        </w:rPr>
      </w:pPr>
      <w:bookmarkStart w:id="209" w:name="_Toc31926"/>
      <w:bookmarkStart w:id="210" w:name="_Toc23749"/>
      <w:bookmarkStart w:id="211" w:name="_Toc25580"/>
      <w:bookmarkStart w:id="212" w:name="_Toc533334219"/>
      <w:bookmarkStart w:id="213" w:name="_Toc575"/>
      <w:bookmarkStart w:id="214" w:name="_Toc390704764"/>
      <w:bookmarkStart w:id="215" w:name="_Toc533357328"/>
      <w:bookmarkStart w:id="216" w:name="_Toc11434"/>
      <w:r>
        <w:rPr>
          <w:rFonts w:hint="eastAsia"/>
          <w:color w:val="auto"/>
          <w:highlight w:val="none"/>
        </w:rPr>
        <w:t>一、</w:t>
      </w:r>
      <w:bookmarkStart w:id="217" w:name="_Toc6931"/>
      <w:bookmarkStart w:id="218" w:name="_Toc352691656"/>
      <w:bookmarkStart w:id="219" w:name="_Toc369531692"/>
      <w:r>
        <w:rPr>
          <w:rFonts w:hint="eastAsia"/>
          <w:color w:val="auto"/>
          <w:highlight w:val="none"/>
        </w:rPr>
        <w:t>投标函及其附表</w:t>
      </w:r>
      <w:bookmarkEnd w:id="209"/>
      <w:bookmarkEnd w:id="210"/>
      <w:bookmarkEnd w:id="211"/>
      <w:bookmarkEnd w:id="212"/>
      <w:bookmarkEnd w:id="213"/>
    </w:p>
    <w:bookmarkEnd w:id="217"/>
    <w:bookmarkEnd w:id="218"/>
    <w:bookmarkEnd w:id="219"/>
    <w:p w14:paraId="07133CE4">
      <w:pPr>
        <w:spacing w:line="360" w:lineRule="auto"/>
        <w:ind w:firstLine="482" w:firstLineChars="200"/>
        <w:jc w:val="center"/>
        <w:rPr>
          <w:rFonts w:hint="eastAsia" w:ascii="宋体" w:hAnsi="宋体"/>
          <w:b/>
          <w:bCs/>
          <w:color w:val="auto"/>
          <w:sz w:val="24"/>
          <w:szCs w:val="24"/>
          <w:highlight w:val="none"/>
        </w:rPr>
      </w:pPr>
      <w:r>
        <w:rPr>
          <w:rFonts w:hint="eastAsia" w:ascii="宋体" w:hAnsi="宋体"/>
          <w:b/>
          <w:bCs/>
          <w:color w:val="auto"/>
          <w:sz w:val="24"/>
          <w:szCs w:val="24"/>
          <w:highlight w:val="none"/>
        </w:rPr>
        <w:t>（一）投标函</w:t>
      </w:r>
    </w:p>
    <w:p w14:paraId="3D1CC9F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14:paraId="63C23AC1">
      <w:pPr>
        <w:pStyle w:val="12"/>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14:paraId="2417745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14:paraId="76DFD12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如果贵单位接受我方的投标，我方保证按合同规定的期限内开始本工程的检测监测工作并按投标书中规定的期限内完成合同规定的全部任务。</w:t>
      </w:r>
    </w:p>
    <w:p w14:paraId="77302A8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14:paraId="2F984776">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14:paraId="0104F9AC">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14:paraId="1C263D2D">
      <w:pPr>
        <w:rPr>
          <w:rFonts w:hint="eastAsia" w:ascii="宋体" w:hAnsi="宋体"/>
          <w:color w:val="auto"/>
          <w:highlight w:val="none"/>
        </w:rPr>
      </w:pPr>
    </w:p>
    <w:p w14:paraId="20A777D5">
      <w:pPr>
        <w:spacing w:line="440" w:lineRule="exact"/>
        <w:ind w:firstLine="2520" w:firstLineChars="1200"/>
        <w:jc w:val="left"/>
        <w:rPr>
          <w:rFonts w:hint="eastAsia" w:ascii="宋体" w:hAnsi="宋体"/>
          <w:color w:val="auto"/>
          <w:szCs w:val="21"/>
          <w:highlight w:val="none"/>
        </w:rPr>
      </w:pPr>
    </w:p>
    <w:p w14:paraId="709098EE">
      <w:pPr>
        <w:pStyle w:val="12"/>
        <w:tabs>
          <w:tab w:val="left" w:pos="7321"/>
        </w:tabs>
        <w:spacing w:before="36"/>
        <w:ind w:left="2701"/>
        <w:rPr>
          <w:rFonts w:hint="eastAsia"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14:paraId="1D24348F">
      <w:pPr>
        <w:spacing w:before="13"/>
        <w:rPr>
          <w:rFonts w:hint="eastAsia" w:ascii="宋体" w:hAnsi="宋体" w:cs="宋体"/>
          <w:color w:val="auto"/>
          <w:sz w:val="9"/>
          <w:szCs w:val="9"/>
          <w:highlight w:val="none"/>
        </w:rPr>
      </w:pPr>
    </w:p>
    <w:p w14:paraId="6D71A039">
      <w:pPr>
        <w:pStyle w:val="12"/>
        <w:tabs>
          <w:tab w:val="left" w:pos="6481"/>
        </w:tabs>
        <w:spacing w:before="36"/>
        <w:ind w:left="2701"/>
        <w:rPr>
          <w:rFonts w:hint="eastAsia"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w:t>
      </w:r>
    </w:p>
    <w:p w14:paraId="70C1A86E">
      <w:pPr>
        <w:spacing w:before="10"/>
        <w:rPr>
          <w:rFonts w:hint="eastAsia" w:ascii="宋体" w:hAnsi="宋体" w:cs="宋体"/>
          <w:color w:val="auto"/>
          <w:sz w:val="9"/>
          <w:szCs w:val="9"/>
          <w:highlight w:val="none"/>
        </w:rPr>
      </w:pPr>
    </w:p>
    <w:p w14:paraId="60307C35">
      <w:pPr>
        <w:spacing w:line="440" w:lineRule="exact"/>
        <w:ind w:firstLine="4725" w:firstLineChars="2250"/>
        <w:jc w:val="right"/>
        <w:rPr>
          <w:rFonts w:hint="eastAsia" w:ascii="宋体" w:hAnsi="宋体"/>
          <w:color w:val="auto"/>
          <w:szCs w:val="21"/>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14:paraId="464CD705">
      <w:pPr>
        <w:spacing w:line="360" w:lineRule="auto"/>
        <w:ind w:firstLine="422" w:firstLineChars="200"/>
        <w:jc w:val="center"/>
        <w:rPr>
          <w:rFonts w:hint="eastAsia" w:ascii="宋体" w:hAnsi="宋体"/>
          <w:b/>
          <w:bCs/>
          <w:color w:val="auto"/>
          <w:sz w:val="24"/>
          <w:szCs w:val="24"/>
          <w:highlight w:val="none"/>
        </w:rPr>
      </w:pPr>
      <w:bookmarkStart w:id="220" w:name="_Toc359594236"/>
      <w:bookmarkStart w:id="221" w:name="_Toc528170356"/>
      <w:bookmarkStart w:id="222" w:name="_Toc533334220"/>
      <w:bookmarkStart w:id="223" w:name="_Toc532390635"/>
      <w:bookmarkStart w:id="224" w:name="_Toc482188652"/>
      <w:bookmarkStart w:id="225" w:name="_Toc385943066"/>
      <w:bookmarkStart w:id="226" w:name="_Toc13516"/>
      <w:bookmarkStart w:id="227" w:name="_Toc370676427"/>
      <w:bookmarkStart w:id="228" w:name="_Toc391394112"/>
      <w:r>
        <w:rPr>
          <w:rFonts w:ascii="宋体" w:hAnsi="宋体"/>
          <w:b/>
          <w:color w:val="auto"/>
          <w:szCs w:val="21"/>
          <w:highlight w:val="none"/>
        </w:rPr>
        <w:br w:type="page"/>
      </w:r>
      <w:r>
        <w:rPr>
          <w:rFonts w:hint="eastAsia" w:ascii="宋体" w:hAnsi="宋体"/>
          <w:b/>
          <w:bCs/>
          <w:color w:val="auto"/>
          <w:sz w:val="24"/>
          <w:szCs w:val="24"/>
          <w:highlight w:val="none"/>
        </w:rPr>
        <w:t>（二）投标函附</w:t>
      </w:r>
      <w:bookmarkEnd w:id="220"/>
      <w:bookmarkEnd w:id="221"/>
      <w:bookmarkEnd w:id="222"/>
      <w:bookmarkEnd w:id="223"/>
      <w:bookmarkEnd w:id="224"/>
      <w:bookmarkEnd w:id="225"/>
      <w:bookmarkEnd w:id="226"/>
      <w:bookmarkEnd w:id="227"/>
      <w:bookmarkEnd w:id="228"/>
      <w:r>
        <w:rPr>
          <w:rFonts w:hint="eastAsia" w:ascii="宋体" w:hAnsi="宋体"/>
          <w:b/>
          <w:bCs/>
          <w:color w:val="auto"/>
          <w:sz w:val="24"/>
          <w:szCs w:val="24"/>
          <w:highlight w:val="none"/>
        </w:rPr>
        <w:t>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14:paraId="364C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F817DA0">
            <w:pPr>
              <w:jc w:val="center"/>
              <w:rPr>
                <w:rFonts w:hint="eastAsia" w:ascii="宋体" w:hAnsi="宋体"/>
                <w:b/>
                <w:color w:val="auto"/>
                <w:sz w:val="24"/>
                <w:szCs w:val="28"/>
                <w:highlight w:val="none"/>
              </w:rPr>
            </w:pPr>
            <w:r>
              <w:rPr>
                <w:rFonts w:hint="eastAsia" w:ascii="宋体" w:hAnsi="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14:paraId="20A4A045">
            <w:pPr>
              <w:jc w:val="center"/>
              <w:rPr>
                <w:rFonts w:hint="eastAsia" w:ascii="宋体" w:hAnsi="宋体"/>
                <w:b/>
                <w:color w:val="auto"/>
                <w:sz w:val="24"/>
                <w:szCs w:val="28"/>
                <w:highlight w:val="none"/>
              </w:rPr>
            </w:pPr>
            <w:r>
              <w:rPr>
                <w:rFonts w:hint="eastAsia" w:ascii="宋体" w:hAnsi="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14:paraId="176F69D9">
            <w:pPr>
              <w:jc w:val="center"/>
              <w:rPr>
                <w:rFonts w:hint="eastAsia"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14:paraId="61F90024">
            <w:pPr>
              <w:jc w:val="center"/>
              <w:rPr>
                <w:rFonts w:hint="eastAsia" w:ascii="宋体" w:hAnsi="宋体"/>
                <w:b/>
                <w:color w:val="auto"/>
                <w:sz w:val="24"/>
                <w:szCs w:val="28"/>
                <w:highlight w:val="none"/>
              </w:rPr>
            </w:pPr>
            <w:r>
              <w:rPr>
                <w:rFonts w:hint="eastAsia" w:ascii="宋体" w:hAnsi="宋体"/>
                <w:b/>
                <w:color w:val="auto"/>
                <w:sz w:val="24"/>
                <w:szCs w:val="28"/>
                <w:highlight w:val="none"/>
              </w:rPr>
              <w:t>备注</w:t>
            </w:r>
          </w:p>
        </w:tc>
      </w:tr>
      <w:tr w14:paraId="2A62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E4257D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vAlign w:val="center"/>
          </w:tcPr>
          <w:p w14:paraId="1698DBE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14:paraId="2273B8FC">
            <w:pPr>
              <w:jc w:val="lef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p>
          <w:p w14:paraId="543D92A9">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p>
          <w:p w14:paraId="2FE9589B">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1CC79489">
            <w:pPr>
              <w:jc w:val="center"/>
              <w:rPr>
                <w:rFonts w:hint="eastAsia" w:ascii="宋体" w:hAnsi="宋体"/>
                <w:b/>
                <w:color w:val="auto"/>
                <w:szCs w:val="21"/>
                <w:highlight w:val="none"/>
              </w:rPr>
            </w:pPr>
          </w:p>
        </w:tc>
      </w:tr>
      <w:tr w14:paraId="635E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6E532E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vAlign w:val="center"/>
          </w:tcPr>
          <w:p w14:paraId="1B841D3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14:paraId="61E31D39">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5701E207">
            <w:pPr>
              <w:jc w:val="center"/>
              <w:rPr>
                <w:rFonts w:hint="eastAsia" w:ascii="宋体" w:hAnsi="宋体"/>
                <w:b/>
                <w:color w:val="auto"/>
                <w:szCs w:val="21"/>
                <w:highlight w:val="none"/>
              </w:rPr>
            </w:pPr>
          </w:p>
        </w:tc>
      </w:tr>
      <w:tr w14:paraId="1E70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8B07F0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vAlign w:val="center"/>
          </w:tcPr>
          <w:p w14:paraId="0C54E8B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14:paraId="3D6FCE38">
            <w:pPr>
              <w:jc w:val="left"/>
              <w:rPr>
                <w:rFonts w:hint="eastAsia" w:ascii="宋体" w:hAnsi="宋体" w:cs="宋体"/>
                <w:bCs/>
                <w:color w:val="auto"/>
                <w:sz w:val="24"/>
                <w:szCs w:val="24"/>
                <w:highlight w:val="none"/>
              </w:rPr>
            </w:pPr>
            <w:r>
              <w:rPr>
                <w:rFonts w:hint="eastAsia" w:ascii="宋体" w:hAnsi="宋体" w:cs="宋体"/>
                <w:color w:val="auto"/>
                <w:sz w:val="24"/>
                <w:szCs w:val="24"/>
                <w:highlight w:val="none"/>
              </w:rPr>
              <w:t>符合国家及省、市有关检测监测规范、标准</w:t>
            </w:r>
          </w:p>
        </w:tc>
        <w:tc>
          <w:tcPr>
            <w:tcW w:w="1654" w:type="dxa"/>
            <w:tcBorders>
              <w:top w:val="single" w:color="auto" w:sz="4" w:space="0"/>
              <w:left w:val="single" w:color="auto" w:sz="4" w:space="0"/>
              <w:bottom w:val="single" w:color="auto" w:sz="4" w:space="0"/>
              <w:right w:val="single" w:color="auto" w:sz="4" w:space="0"/>
            </w:tcBorders>
            <w:vAlign w:val="center"/>
          </w:tcPr>
          <w:p w14:paraId="1F83C48B">
            <w:pPr>
              <w:jc w:val="center"/>
              <w:rPr>
                <w:rFonts w:hint="eastAsia" w:ascii="宋体" w:hAnsi="宋体"/>
                <w:b/>
                <w:color w:val="auto"/>
                <w:szCs w:val="21"/>
                <w:highlight w:val="none"/>
              </w:rPr>
            </w:pPr>
          </w:p>
        </w:tc>
      </w:tr>
      <w:tr w14:paraId="75A6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restart"/>
            <w:tcBorders>
              <w:top w:val="single" w:color="auto" w:sz="4" w:space="0"/>
              <w:left w:val="single" w:color="auto" w:sz="4" w:space="0"/>
              <w:right w:val="single" w:color="auto" w:sz="4" w:space="0"/>
            </w:tcBorders>
            <w:vAlign w:val="center"/>
          </w:tcPr>
          <w:p w14:paraId="07315E5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889" w:type="dxa"/>
            <w:vMerge w:val="restart"/>
            <w:tcBorders>
              <w:top w:val="single" w:color="auto" w:sz="4" w:space="0"/>
              <w:left w:val="single" w:color="auto" w:sz="4" w:space="0"/>
              <w:bottom w:val="single" w:color="auto" w:sz="4" w:space="0"/>
              <w:right w:val="single" w:color="auto" w:sz="4" w:space="0"/>
            </w:tcBorders>
            <w:vAlign w:val="center"/>
          </w:tcPr>
          <w:p w14:paraId="7CB8296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4126" w:type="dxa"/>
            <w:tcBorders>
              <w:top w:val="single" w:color="auto" w:sz="4" w:space="0"/>
              <w:left w:val="single" w:color="auto" w:sz="4" w:space="0"/>
              <w:bottom w:val="single" w:color="auto" w:sz="4" w:space="0"/>
              <w:right w:val="single" w:color="auto" w:sz="4" w:space="0"/>
            </w:tcBorders>
            <w:vAlign w:val="center"/>
          </w:tcPr>
          <w:p w14:paraId="1EEF5909">
            <w:pPr>
              <w:jc w:val="lef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14:paraId="17AC2476">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1CF5BD0A">
            <w:pPr>
              <w:jc w:val="center"/>
              <w:rPr>
                <w:rFonts w:hint="eastAsia" w:ascii="宋体" w:hAnsi="宋体"/>
                <w:b/>
                <w:color w:val="auto"/>
                <w:szCs w:val="21"/>
                <w:highlight w:val="none"/>
              </w:rPr>
            </w:pPr>
            <w:r>
              <w:rPr>
                <w:rFonts w:hint="eastAsia" w:ascii="宋体" w:hAnsi="宋体"/>
                <w:b/>
                <w:color w:val="auto"/>
                <w:szCs w:val="21"/>
                <w:highlight w:val="none"/>
              </w:rPr>
              <w:t>以“元”为单位，精确到小数点后2位。</w:t>
            </w:r>
          </w:p>
        </w:tc>
      </w:tr>
      <w:tr w14:paraId="5905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continue"/>
            <w:tcBorders>
              <w:left w:val="single" w:color="auto" w:sz="4" w:space="0"/>
              <w:right w:val="single" w:color="auto" w:sz="4" w:space="0"/>
            </w:tcBorders>
            <w:vAlign w:val="center"/>
          </w:tcPr>
          <w:p w14:paraId="5ADC95AD">
            <w:pPr>
              <w:widowControl/>
              <w:jc w:val="left"/>
              <w:rPr>
                <w:rFonts w:hint="eastAsia" w:ascii="宋体" w:hAnsi="宋体" w:cs="宋体"/>
                <w:color w:val="auto"/>
                <w:sz w:val="24"/>
                <w:szCs w:val="24"/>
                <w:highlight w:val="none"/>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14:paraId="2C9E3906">
            <w:pPr>
              <w:widowControl/>
              <w:jc w:val="left"/>
              <w:rPr>
                <w:rFonts w:hint="eastAsia" w:ascii="宋体" w:hAnsi="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vAlign w:val="center"/>
          </w:tcPr>
          <w:p w14:paraId="4E09D7BC">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14:paraId="34152256">
            <w:pPr>
              <w:jc w:val="center"/>
              <w:rPr>
                <w:rFonts w:hint="eastAsia" w:ascii="宋体" w:hAnsi="宋体"/>
                <w:b/>
                <w:color w:val="auto"/>
                <w:szCs w:val="21"/>
                <w:highlight w:val="none"/>
              </w:rPr>
            </w:pPr>
            <w:r>
              <w:rPr>
                <w:rFonts w:hint="eastAsia" w:ascii="宋体" w:hAnsi="宋体"/>
                <w:b/>
                <w:color w:val="auto"/>
                <w:szCs w:val="21"/>
                <w:highlight w:val="none"/>
              </w:rPr>
              <w:t>投标下浮率=（1-投标总报价/</w:t>
            </w:r>
            <w:r>
              <w:rPr>
                <w:rFonts w:hint="eastAsia" w:ascii="宋体" w:hAnsi="宋体" w:cs="宋体"/>
                <w:b/>
                <w:color w:val="auto"/>
                <w:szCs w:val="21"/>
                <w:highlight w:val="none"/>
              </w:rPr>
              <w:t>最高投标限价</w:t>
            </w:r>
            <w:r>
              <w:rPr>
                <w:rFonts w:hint="eastAsia" w:ascii="宋体" w:hAnsi="宋体"/>
                <w:b/>
                <w:color w:val="auto"/>
                <w:szCs w:val="21"/>
                <w:highlight w:val="none"/>
              </w:rPr>
              <w:t>）*100%</w:t>
            </w:r>
          </w:p>
        </w:tc>
      </w:tr>
      <w:tr w14:paraId="0A33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continue"/>
            <w:tcBorders>
              <w:left w:val="single" w:color="auto" w:sz="4" w:space="0"/>
              <w:right w:val="single" w:color="auto" w:sz="4" w:space="0"/>
            </w:tcBorders>
            <w:vAlign w:val="center"/>
          </w:tcPr>
          <w:p w14:paraId="6B6CDE6A">
            <w:pPr>
              <w:widowControl/>
              <w:jc w:val="left"/>
              <w:rPr>
                <w:rFonts w:hint="eastAsia" w:ascii="宋体" w:hAnsi="宋体" w:cs="宋体"/>
                <w:color w:val="auto"/>
                <w:sz w:val="24"/>
                <w:szCs w:val="24"/>
                <w:highlight w:val="none"/>
              </w:rPr>
            </w:pPr>
          </w:p>
        </w:tc>
        <w:tc>
          <w:tcPr>
            <w:tcW w:w="1889" w:type="dxa"/>
            <w:tcBorders>
              <w:top w:val="single" w:color="auto" w:sz="4" w:space="0"/>
              <w:left w:val="single" w:color="auto" w:sz="4" w:space="0"/>
              <w:bottom w:val="single" w:color="auto" w:sz="4" w:space="0"/>
              <w:right w:val="single" w:color="auto" w:sz="4" w:space="0"/>
            </w:tcBorders>
            <w:vAlign w:val="center"/>
          </w:tcPr>
          <w:p w14:paraId="5D7D5DE8">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其中：检测费</w:t>
            </w:r>
          </w:p>
        </w:tc>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5ECD47F2">
            <w:pPr>
              <w:jc w:val="lef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14:paraId="3EEF4B5C">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3EF66772">
            <w:pPr>
              <w:jc w:val="center"/>
              <w:rPr>
                <w:rFonts w:hint="eastAsia" w:ascii="宋体" w:hAnsi="宋体"/>
                <w:b/>
                <w:color w:val="auto"/>
                <w:szCs w:val="21"/>
                <w:highlight w:val="none"/>
              </w:rPr>
            </w:pPr>
            <w:r>
              <w:rPr>
                <w:rFonts w:hint="eastAsia" w:ascii="宋体" w:hAnsi="宋体"/>
                <w:b/>
                <w:color w:val="auto"/>
                <w:szCs w:val="21"/>
                <w:highlight w:val="none"/>
              </w:rPr>
              <w:t>以“元”为单位，精确到小数点后2位。</w:t>
            </w:r>
          </w:p>
        </w:tc>
      </w:tr>
      <w:tr w14:paraId="0303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continue"/>
            <w:tcBorders>
              <w:left w:val="single" w:color="auto" w:sz="4" w:space="0"/>
              <w:bottom w:val="single" w:color="auto" w:sz="4" w:space="0"/>
              <w:right w:val="single" w:color="auto" w:sz="4" w:space="0"/>
            </w:tcBorders>
            <w:vAlign w:val="center"/>
          </w:tcPr>
          <w:p w14:paraId="16A430DC">
            <w:pPr>
              <w:widowControl/>
              <w:jc w:val="left"/>
              <w:rPr>
                <w:rFonts w:hint="eastAsia" w:ascii="宋体" w:hAnsi="宋体" w:cs="宋体"/>
                <w:color w:val="auto"/>
                <w:sz w:val="24"/>
                <w:szCs w:val="24"/>
                <w:highlight w:val="none"/>
              </w:rPr>
            </w:pPr>
          </w:p>
        </w:tc>
        <w:tc>
          <w:tcPr>
            <w:tcW w:w="1889" w:type="dxa"/>
            <w:tcBorders>
              <w:top w:val="single" w:color="auto" w:sz="4" w:space="0"/>
              <w:left w:val="single" w:color="auto" w:sz="4" w:space="0"/>
              <w:bottom w:val="single" w:color="auto" w:sz="4" w:space="0"/>
              <w:right w:val="single" w:color="auto" w:sz="4" w:space="0"/>
            </w:tcBorders>
            <w:vAlign w:val="center"/>
          </w:tcPr>
          <w:p w14:paraId="5A103AE1">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其中：监测费</w:t>
            </w:r>
          </w:p>
        </w:tc>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14:paraId="63D2043F">
            <w:pPr>
              <w:jc w:val="lef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14:paraId="66B418DB">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435E636F">
            <w:pPr>
              <w:jc w:val="center"/>
              <w:rPr>
                <w:rFonts w:hint="eastAsia" w:ascii="宋体" w:hAnsi="宋体"/>
                <w:b/>
                <w:color w:val="auto"/>
                <w:szCs w:val="21"/>
                <w:highlight w:val="none"/>
              </w:rPr>
            </w:pPr>
            <w:r>
              <w:rPr>
                <w:rFonts w:hint="eastAsia" w:ascii="宋体" w:hAnsi="宋体"/>
                <w:b/>
                <w:color w:val="auto"/>
                <w:szCs w:val="21"/>
                <w:highlight w:val="none"/>
              </w:rPr>
              <w:t>以“元”为单位，精确到小数点后2位。</w:t>
            </w:r>
          </w:p>
        </w:tc>
      </w:tr>
      <w:tr w14:paraId="2BD3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657F81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889" w:type="dxa"/>
            <w:tcBorders>
              <w:top w:val="single" w:color="auto" w:sz="4" w:space="0"/>
              <w:left w:val="single" w:color="auto" w:sz="4" w:space="0"/>
              <w:bottom w:val="single" w:color="auto" w:sz="4" w:space="0"/>
              <w:right w:val="single" w:color="auto" w:sz="4" w:space="0"/>
            </w:tcBorders>
            <w:vAlign w:val="center"/>
          </w:tcPr>
          <w:p w14:paraId="73A4518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14:paraId="2D7C27FC">
            <w:pPr>
              <w:jc w:val="left"/>
              <w:rPr>
                <w:rFonts w:hint="eastAsia" w:ascii="宋体" w:hAnsi="宋体" w:cs="宋体"/>
                <w:bCs/>
                <w:color w:val="auto"/>
                <w:sz w:val="24"/>
                <w:szCs w:val="24"/>
                <w:highlight w:val="none"/>
              </w:rPr>
            </w:pPr>
            <w:r>
              <w:rPr>
                <w:rFonts w:hint="eastAsia" w:ascii="宋体" w:hAnsi="宋体" w:cs="宋体"/>
                <w:bCs/>
                <w:color w:val="auto"/>
                <w:sz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14:paraId="51A33A73">
            <w:pPr>
              <w:jc w:val="center"/>
              <w:rPr>
                <w:rFonts w:hint="eastAsia" w:ascii="宋体" w:hAnsi="宋体"/>
                <w:b/>
                <w:color w:val="auto"/>
                <w:szCs w:val="21"/>
                <w:highlight w:val="none"/>
              </w:rPr>
            </w:pPr>
          </w:p>
        </w:tc>
      </w:tr>
    </w:tbl>
    <w:p w14:paraId="710C9C42">
      <w:pPr>
        <w:spacing w:line="440" w:lineRule="exact"/>
        <w:ind w:firstLine="2520" w:firstLineChars="1200"/>
        <w:jc w:val="left"/>
        <w:rPr>
          <w:rFonts w:hint="eastAsia" w:ascii="宋体" w:hAnsi="宋体"/>
          <w:color w:val="auto"/>
          <w:szCs w:val="21"/>
          <w:highlight w:val="none"/>
        </w:rPr>
      </w:pPr>
    </w:p>
    <w:p w14:paraId="54DD4F4D">
      <w:pPr>
        <w:pStyle w:val="12"/>
        <w:tabs>
          <w:tab w:val="left" w:pos="7321"/>
        </w:tabs>
        <w:spacing w:before="36"/>
        <w:ind w:left="2701"/>
        <w:rPr>
          <w:rFonts w:hint="eastAsia"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14:paraId="4A412358">
      <w:pPr>
        <w:spacing w:before="13"/>
        <w:rPr>
          <w:rFonts w:hint="eastAsia" w:ascii="宋体" w:hAnsi="宋体" w:cs="宋体"/>
          <w:color w:val="auto"/>
          <w:sz w:val="9"/>
          <w:szCs w:val="9"/>
          <w:highlight w:val="none"/>
        </w:rPr>
      </w:pPr>
    </w:p>
    <w:p w14:paraId="11E72343">
      <w:pPr>
        <w:pStyle w:val="12"/>
        <w:tabs>
          <w:tab w:val="left" w:pos="6481"/>
        </w:tabs>
        <w:spacing w:before="36"/>
        <w:ind w:left="2701"/>
        <w:rPr>
          <w:rFonts w:hint="eastAsia"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14:paraId="6E5ACB4E">
      <w:pPr>
        <w:spacing w:before="10"/>
        <w:rPr>
          <w:rFonts w:hint="eastAsia" w:ascii="宋体" w:hAnsi="宋体" w:cs="宋体"/>
          <w:color w:val="auto"/>
          <w:sz w:val="9"/>
          <w:szCs w:val="9"/>
          <w:highlight w:val="none"/>
        </w:rPr>
      </w:pPr>
    </w:p>
    <w:p w14:paraId="5BB16210">
      <w:pPr>
        <w:spacing w:line="440" w:lineRule="exact"/>
        <w:ind w:firstLine="4620" w:firstLineChars="2200"/>
        <w:rPr>
          <w:rFonts w:hint="eastAsia" w:ascii="宋体" w:hAnsi="宋体"/>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14:paraId="2357C921">
      <w:pPr>
        <w:spacing w:line="440" w:lineRule="exact"/>
        <w:ind w:firstLine="4620" w:firstLineChars="2200"/>
        <w:rPr>
          <w:rFonts w:hint="eastAsia" w:ascii="宋体" w:hAnsi="宋体"/>
          <w:color w:val="auto"/>
          <w:sz w:val="24"/>
          <w:highlight w:val="none"/>
        </w:rPr>
      </w:pPr>
      <w:r>
        <w:rPr>
          <w:rFonts w:ascii="宋体" w:hAnsi="宋体"/>
          <w:color w:val="auto"/>
          <w:highlight w:val="none"/>
        </w:rPr>
        <w:br w:type="page"/>
      </w:r>
      <w:bookmarkEnd w:id="214"/>
      <w:bookmarkEnd w:id="215"/>
      <w:bookmarkEnd w:id="216"/>
      <w:bookmarkStart w:id="229" w:name="_Toc21863"/>
      <w:bookmarkStart w:id="230" w:name="_Toc390704765"/>
      <w:bookmarkStart w:id="231" w:name="_Toc374536213"/>
      <w:bookmarkStart w:id="232" w:name="_Toc333829918"/>
      <w:bookmarkStart w:id="233" w:name="_Toc533357330"/>
    </w:p>
    <w:bookmarkEnd w:id="208"/>
    <w:bookmarkEnd w:id="229"/>
    <w:bookmarkEnd w:id="230"/>
    <w:bookmarkEnd w:id="231"/>
    <w:bookmarkEnd w:id="232"/>
    <w:bookmarkEnd w:id="233"/>
    <w:p w14:paraId="03A6958C">
      <w:pPr>
        <w:pStyle w:val="4"/>
        <w:rPr>
          <w:rFonts w:hint="eastAsia"/>
          <w:color w:val="auto"/>
          <w:highlight w:val="none"/>
        </w:rPr>
      </w:pPr>
      <w:bookmarkStart w:id="234" w:name="_Toc5287"/>
      <w:bookmarkStart w:id="235" w:name="_Toc25046"/>
      <w:bookmarkStart w:id="236" w:name="_Toc11026"/>
      <w:bookmarkStart w:id="237" w:name="_Toc15853"/>
      <w:r>
        <w:rPr>
          <w:rFonts w:hint="eastAsia"/>
          <w:color w:val="auto"/>
          <w:highlight w:val="none"/>
        </w:rPr>
        <w:t>二、法定代表人证明书及授权委托书</w:t>
      </w:r>
      <w:bookmarkEnd w:id="234"/>
      <w:bookmarkEnd w:id="235"/>
      <w:bookmarkEnd w:id="236"/>
      <w:bookmarkEnd w:id="237"/>
    </w:p>
    <w:p w14:paraId="2381961C">
      <w:pPr>
        <w:spacing w:before="156" w:beforeLines="50"/>
        <w:ind w:firstLine="482" w:firstLineChars="2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14:paraId="450CE980">
      <w:pPr>
        <w:spacing w:line="360" w:lineRule="auto"/>
        <w:jc w:val="center"/>
        <w:rPr>
          <w:rFonts w:hint="eastAsia"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14:paraId="3CF3E597">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0E7A41A6">
                              <w:pPr>
                                <w:snapToGrid w:val="0"/>
                                <w:spacing w:line="480" w:lineRule="atLeast"/>
                                <w:rPr>
                                  <w:sz w:val="24"/>
                                  <w:szCs w:val="24"/>
                                </w:rPr>
                              </w:pPr>
                              <w:r>
                                <w:rPr>
                                  <w:rFonts w:hint="eastAsia" w:cs="宋体"/>
                                  <w:sz w:val="24"/>
                                  <w:szCs w:val="24"/>
                                </w:rPr>
                                <w:t>特此证明。</w:t>
                              </w:r>
                            </w:p>
                            <w:p w14:paraId="3223A161">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02AB39CD">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0E64215">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1D706EF8">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7521A6E6">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63A2C17F">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CF3E597">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0E7A41A6">
                        <w:pPr>
                          <w:snapToGrid w:val="0"/>
                          <w:spacing w:line="480" w:lineRule="atLeast"/>
                          <w:rPr>
                            <w:sz w:val="24"/>
                            <w:szCs w:val="24"/>
                          </w:rPr>
                        </w:pPr>
                        <w:r>
                          <w:rPr>
                            <w:rFonts w:hint="eastAsia" w:cs="宋体"/>
                            <w:sz w:val="24"/>
                            <w:szCs w:val="24"/>
                          </w:rPr>
                          <w:t>特此证明。</w:t>
                        </w:r>
                      </w:p>
                      <w:p w14:paraId="3223A161">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02AB39CD">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0E64215">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1D706EF8">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7521A6E6">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63A2C17F">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6FE7C482">
      <w:pPr>
        <w:spacing w:line="360" w:lineRule="auto"/>
        <w:rPr>
          <w:rFonts w:hint="eastAsia" w:ascii="宋体" w:hAnsi="宋体"/>
          <w:color w:val="auto"/>
          <w:sz w:val="24"/>
          <w:szCs w:val="24"/>
          <w:highlight w:val="none"/>
        </w:rPr>
      </w:pPr>
      <w:r>
        <w:rPr>
          <w:rFonts w:hint="eastAsia" w:ascii="宋体" w:hAnsi="宋体" w:cs="宋体"/>
          <w:color w:val="auto"/>
          <w:sz w:val="24"/>
          <w:szCs w:val="24"/>
          <w:highlight w:val="none"/>
        </w:rPr>
        <w:t>注：按提供的该表格格式填写，或使用工商管理部门的格式填写。</w:t>
      </w:r>
    </w:p>
    <w:p w14:paraId="44B07209">
      <w:pPr>
        <w:spacing w:before="156" w:beforeLines="50"/>
        <w:ind w:firstLine="482" w:firstLineChars="200"/>
        <w:jc w:val="center"/>
        <w:rPr>
          <w:rFonts w:hint="eastAsia" w:ascii="宋体" w:hAnsi="宋体" w:cs="宋体"/>
          <w:b/>
          <w:color w:val="auto"/>
          <w:sz w:val="24"/>
          <w:szCs w:val="24"/>
          <w:highlight w:val="none"/>
        </w:rPr>
      </w:pPr>
    </w:p>
    <w:p w14:paraId="722B0CD8">
      <w:pPr>
        <w:spacing w:before="156" w:beforeLines="50"/>
        <w:ind w:firstLine="482" w:firstLineChars="2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14:paraId="734D3472">
      <w:pPr>
        <w:widowControl/>
        <w:spacing w:before="260" w:after="260"/>
        <w:ind w:right="1542"/>
        <w:jc w:val="center"/>
        <w:rPr>
          <w:rFonts w:hint="eastAsia"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14:paraId="15D09F9C">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46CDCA8F">
                            <w:pPr>
                              <w:snapToGrid w:val="0"/>
                              <w:spacing w:line="480" w:lineRule="atLeast"/>
                              <w:rPr>
                                <w:sz w:val="24"/>
                                <w:szCs w:val="24"/>
                                <w:u w:val="single"/>
                              </w:rPr>
                            </w:pPr>
                            <w:r>
                              <w:rPr>
                                <w:sz w:val="24"/>
                                <w:szCs w:val="24"/>
                                <w:u w:val="single"/>
                              </w:rPr>
                              <w:t xml:space="preserve">                                                                        </w:t>
                            </w:r>
                          </w:p>
                          <w:p w14:paraId="39D3CABC">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1FBFD38D">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67A203F0">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7F6319A8">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01E3F10B">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545DC007">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395C4381">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14:paraId="15D09F9C">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46CDCA8F">
                      <w:pPr>
                        <w:snapToGrid w:val="0"/>
                        <w:spacing w:line="480" w:lineRule="atLeast"/>
                        <w:rPr>
                          <w:sz w:val="24"/>
                          <w:szCs w:val="24"/>
                          <w:u w:val="single"/>
                        </w:rPr>
                      </w:pPr>
                      <w:r>
                        <w:rPr>
                          <w:sz w:val="24"/>
                          <w:szCs w:val="24"/>
                          <w:u w:val="single"/>
                        </w:rPr>
                        <w:t xml:space="preserve">                                                                        </w:t>
                      </w:r>
                    </w:p>
                    <w:p w14:paraId="39D3CABC">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1FBFD38D">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67A203F0">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7F6319A8">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01E3F10B">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545DC007">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395C4381">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3BCD4B7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注：按提供的该表格格式填写，或使用工商管理部门的格式填写。</w:t>
      </w:r>
    </w:p>
    <w:p w14:paraId="7CD0D6DC">
      <w:pPr>
        <w:pStyle w:val="4"/>
        <w:rPr>
          <w:rFonts w:hint="eastAsia" w:ascii="黑体" w:hAnsi="黑体" w:eastAsia="黑体" w:cs="黑体"/>
          <w:bCs/>
          <w:color w:val="auto"/>
          <w:kern w:val="28"/>
          <w:sz w:val="32"/>
          <w:szCs w:val="32"/>
          <w:highlight w:val="none"/>
        </w:rPr>
      </w:pPr>
      <w:r>
        <w:rPr>
          <w:color w:val="auto"/>
          <w:highlight w:val="none"/>
        </w:rPr>
        <w:br w:type="page"/>
      </w:r>
      <w:bookmarkStart w:id="238" w:name="_Toc7529"/>
      <w:bookmarkStart w:id="239" w:name="_Toc247527832"/>
      <w:bookmarkStart w:id="240" w:name="_Toc533334223"/>
      <w:bookmarkStart w:id="241" w:name="_Toc369531702"/>
      <w:bookmarkStart w:id="242" w:name="_Toc13469"/>
      <w:bookmarkStart w:id="243" w:name="_Toc152045792"/>
      <w:bookmarkStart w:id="244" w:name="_Toc384308381"/>
      <w:bookmarkStart w:id="245" w:name="_Toc300835214"/>
      <w:bookmarkStart w:id="246" w:name="_Toc11935"/>
      <w:bookmarkStart w:id="247" w:name="_Toc361508757"/>
      <w:bookmarkStart w:id="248" w:name="_Toc152042581"/>
      <w:bookmarkStart w:id="249" w:name="_Toc144974861"/>
      <w:bookmarkStart w:id="250" w:name="_Toc352691666"/>
      <w:bookmarkStart w:id="251" w:name="_Toc247514284"/>
      <w:r>
        <w:rPr>
          <w:rFonts w:hint="eastAsia"/>
          <w:color w:val="auto"/>
          <w:highlight w:val="none"/>
        </w:rPr>
        <w:t>三、联合体协议书</w:t>
      </w:r>
      <w:bookmarkEnd w:id="238"/>
    </w:p>
    <w:p w14:paraId="2407B3B7">
      <w:pPr>
        <w:numPr>
          <w:ilvl w:val="255"/>
          <w:numId w:val="0"/>
        </w:numPr>
        <w:spacing w:line="360" w:lineRule="auto"/>
        <w:jc w:val="center"/>
        <w:rPr>
          <w:rFonts w:hint="eastAsia" w:ascii="黑体" w:hAnsi="黑体" w:eastAsia="黑体" w:cs="黑体"/>
          <w:b/>
          <w:bCs/>
          <w:color w:val="auto"/>
          <w:kern w:val="28"/>
          <w:sz w:val="32"/>
          <w:szCs w:val="32"/>
          <w:highlight w:val="none"/>
        </w:rPr>
      </w:pPr>
      <w:r>
        <w:rPr>
          <w:rFonts w:hint="eastAsia" w:ascii="黑体" w:hAnsi="黑体" w:eastAsia="黑体" w:cs="黑体"/>
          <w:b/>
          <w:bCs/>
          <w:color w:val="auto"/>
          <w:kern w:val="28"/>
          <w:sz w:val="32"/>
          <w:szCs w:val="32"/>
          <w:highlight w:val="none"/>
        </w:rPr>
        <w:t>联合体协议书</w:t>
      </w:r>
    </w:p>
    <w:p w14:paraId="3AC726FB">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（所有成员单位名称）自愿组成</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（联合体名称）联合体，共同参加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（项目名称）招标项目投标。现就联合体投标事宜订立如下协议。</w:t>
      </w:r>
    </w:p>
    <w:p w14:paraId="1CA198C3">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1.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（某成员单位名称）为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（联合体名称）牵头人。</w:t>
      </w:r>
    </w:p>
    <w:p w14:paraId="32041F67">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 联合体各成员授权牵头人代表联合体参加投标活动，签署文件，提交和接收相关的资料、信息及指示，进行合同谈判活动，负责合同实施阶段的组织和协调工作，以及处理与本招标项目有关的一切事宜。</w:t>
      </w:r>
    </w:p>
    <w:p w14:paraId="69894067">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 联合体牵头人在本项目中签署的一切文件和处理的一切事宜，联合体各成员均予以承认。联合体各成员将严格按照招标文件、投标文件和合同的要求全面履行义务，并向招标人承担连带责任。</w:t>
      </w:r>
    </w:p>
    <w:p w14:paraId="18F08D91">
      <w:pPr>
        <w:snapToGrid w:val="0"/>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4. 联合体各成员单位内部的职责分工如下：</w:t>
      </w:r>
    </w:p>
    <w:p w14:paraId="2D6F4E84">
      <w:pPr>
        <w:topLinePunct/>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①             </w:t>
      </w:r>
      <w:r>
        <w:rPr>
          <w:rFonts w:hint="eastAsia" w:ascii="宋体" w:hAnsi="宋体" w:cs="宋体"/>
          <w:color w:val="auto"/>
          <w:sz w:val="24"/>
          <w:szCs w:val="24"/>
          <w:highlight w:val="none"/>
        </w:rPr>
        <w:t>：为整个项目的牵头人（主办方），具体负责</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的</w:t>
      </w:r>
      <w:r>
        <w:rPr>
          <w:rFonts w:hint="eastAsia" w:ascii="宋体" w:hAnsi="宋体" w:cs="宋体"/>
          <w:b/>
          <w:color w:val="auto"/>
          <w:sz w:val="24"/>
          <w:szCs w:val="24"/>
          <w:highlight w:val="none"/>
          <w:u w:val="single"/>
        </w:rPr>
        <w:t xml:space="preserve">         </w:t>
      </w:r>
      <w:r>
        <w:rPr>
          <w:rFonts w:hint="eastAsia" w:ascii="宋体" w:hAnsi="宋体" w:cs="宋体"/>
          <w:bCs/>
          <w:color w:val="auto"/>
          <w:sz w:val="24"/>
          <w:szCs w:val="24"/>
          <w:highlight w:val="none"/>
          <w:u w:val="single"/>
        </w:rPr>
        <w:t>任务</w:t>
      </w:r>
      <w:r>
        <w:rPr>
          <w:rFonts w:hint="eastAsia" w:ascii="宋体" w:hAnsi="宋体" w:cs="宋体"/>
          <w:color w:val="auto"/>
          <w:sz w:val="24"/>
          <w:szCs w:val="24"/>
          <w:highlight w:val="none"/>
        </w:rPr>
        <w:t>，还负责管理的职责。若联合体成员方违约时，牵头人（主办方）应承担连带责任，具体按合同要求。</w:t>
      </w:r>
    </w:p>
    <w:p w14:paraId="36B57718">
      <w:pPr>
        <w:topLinePunct/>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②             ：为整个项目的成员方，具体负责   （项目名称）   的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任务，具体按合同要求。</w:t>
      </w:r>
    </w:p>
    <w:p w14:paraId="1BA111D2">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 本协议书自所有成员单位法定代表人签字或盖单位章之日起生效，合同履行完毕后自动失效。</w:t>
      </w:r>
    </w:p>
    <w:p w14:paraId="0197A8C7">
      <w:pPr>
        <w:snapToGrid w:val="0"/>
        <w:spacing w:line="360" w:lineRule="auto"/>
        <w:ind w:firstLine="480" w:firstLineChars="200"/>
        <w:jc w:val="right"/>
        <w:rPr>
          <w:rFonts w:hint="eastAsia" w:ascii="宋体" w:hAnsi="宋体"/>
          <w:color w:val="auto"/>
          <w:sz w:val="24"/>
          <w:szCs w:val="24"/>
          <w:highlight w:val="none"/>
        </w:rPr>
      </w:pPr>
    </w:p>
    <w:p w14:paraId="47EE4B02">
      <w:pPr>
        <w:snapToGrid w:val="0"/>
        <w:spacing w:line="360" w:lineRule="auto"/>
        <w:jc w:val="right"/>
        <w:rPr>
          <w:rFonts w:hint="eastAsia" w:ascii="宋体" w:hAnsi="宋体"/>
          <w:color w:val="auto"/>
          <w:sz w:val="24"/>
          <w:szCs w:val="24"/>
          <w:highlight w:val="none"/>
        </w:rPr>
      </w:pPr>
      <w:r>
        <w:rPr>
          <w:rFonts w:hint="eastAsia" w:ascii="宋体" w:hAnsi="宋体"/>
          <w:color w:val="auto"/>
          <w:sz w:val="24"/>
          <w:szCs w:val="24"/>
          <w:highlight w:val="none"/>
        </w:rPr>
        <w:t>联合体牵头人名称：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58562BD1">
      <w:pPr>
        <w:snapToGrid w:val="0"/>
        <w:spacing w:line="360" w:lineRule="auto"/>
        <w:jc w:val="right"/>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37C16004">
      <w:pPr>
        <w:snapToGrid w:val="0"/>
        <w:spacing w:line="360" w:lineRule="auto"/>
        <w:ind w:firstLine="3158" w:firstLineChars="1316"/>
        <w:jc w:val="right"/>
        <w:rPr>
          <w:rFonts w:hint="eastAsia" w:ascii="宋体" w:hAnsi="宋体"/>
          <w:color w:val="auto"/>
          <w:sz w:val="24"/>
          <w:szCs w:val="24"/>
          <w:highlight w:val="none"/>
        </w:rPr>
      </w:pPr>
    </w:p>
    <w:p w14:paraId="00D0B899">
      <w:pPr>
        <w:snapToGrid w:val="0"/>
        <w:spacing w:line="360" w:lineRule="auto"/>
        <w:jc w:val="right"/>
        <w:rPr>
          <w:rFonts w:hint="eastAsia" w:ascii="宋体" w:hAnsi="宋体"/>
          <w:color w:val="auto"/>
          <w:sz w:val="24"/>
          <w:szCs w:val="24"/>
          <w:highlight w:val="none"/>
        </w:rPr>
      </w:pPr>
      <w:r>
        <w:rPr>
          <w:rFonts w:hint="eastAsia" w:ascii="宋体" w:hAnsi="宋体"/>
          <w:color w:val="auto"/>
          <w:sz w:val="24"/>
          <w:szCs w:val="24"/>
          <w:highlight w:val="none"/>
        </w:rPr>
        <w:t>联合体成员名称：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5BF9086D">
      <w:pPr>
        <w:snapToGrid w:val="0"/>
        <w:spacing w:line="360" w:lineRule="auto"/>
        <w:jc w:val="right"/>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1D491DB4">
      <w:pPr>
        <w:snapToGrid w:val="0"/>
        <w:spacing w:line="360" w:lineRule="auto"/>
        <w:ind w:firstLine="3158" w:firstLineChars="1316"/>
        <w:jc w:val="left"/>
        <w:rPr>
          <w:rFonts w:hint="eastAsia" w:ascii="宋体" w:hAnsi="宋体"/>
          <w:color w:val="auto"/>
          <w:sz w:val="24"/>
          <w:szCs w:val="24"/>
          <w:highlight w:val="none"/>
        </w:rPr>
      </w:pPr>
    </w:p>
    <w:p w14:paraId="6C947746">
      <w:pPr>
        <w:snapToGrid w:val="0"/>
        <w:spacing w:line="360" w:lineRule="auto"/>
        <w:ind w:firstLine="3158" w:firstLineChars="1316"/>
        <w:jc w:val="left"/>
        <w:rPr>
          <w:rFonts w:hint="eastAsia" w:ascii="宋体" w:hAnsi="宋体" w:cs="宋体"/>
          <w:b/>
          <w:bCs/>
          <w:color w:val="auto"/>
          <w:szCs w:val="21"/>
          <w:highlight w:val="none"/>
          <w:u w:val="single"/>
          <w:lang w:val="zh-CN"/>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432168D3">
      <w:pPr>
        <w:snapToGrid w:val="0"/>
        <w:spacing w:line="360" w:lineRule="auto"/>
        <w:jc w:val="left"/>
        <w:rPr>
          <w:color w:val="auto"/>
          <w:highlight w:val="none"/>
        </w:rPr>
      </w:pPr>
      <w:r>
        <w:rPr>
          <w:rFonts w:hint="eastAsia" w:ascii="宋体" w:hAnsi="宋体" w:cs="宋体"/>
          <w:b/>
          <w:bCs/>
          <w:color w:val="auto"/>
          <w:szCs w:val="21"/>
          <w:highlight w:val="none"/>
          <w:lang w:val="zh-CN"/>
        </w:rPr>
        <w:t>注：非联合体投标的，无需提交本协议书。</w:t>
      </w:r>
    </w:p>
    <w:bookmarkEnd w:id="239"/>
    <w:bookmarkEnd w:id="240"/>
    <w:bookmarkEnd w:id="241"/>
    <w:bookmarkEnd w:id="242"/>
    <w:bookmarkEnd w:id="243"/>
    <w:bookmarkEnd w:id="244"/>
    <w:bookmarkEnd w:id="245"/>
    <w:bookmarkEnd w:id="246"/>
    <w:bookmarkEnd w:id="247"/>
    <w:bookmarkEnd w:id="248"/>
    <w:bookmarkEnd w:id="249"/>
    <w:bookmarkEnd w:id="250"/>
    <w:bookmarkEnd w:id="251"/>
    <w:p w14:paraId="612D6A25">
      <w:pPr>
        <w:pStyle w:val="8"/>
        <w:ind w:firstLine="0"/>
        <w:rPr>
          <w:rFonts w:hint="eastAsia"/>
          <w:color w:val="auto"/>
          <w:szCs w:val="32"/>
          <w:highlight w:val="none"/>
        </w:rPr>
      </w:pPr>
      <w:bookmarkStart w:id="252" w:name="_Toc29831"/>
      <w:bookmarkStart w:id="253" w:name="_Toc11199"/>
      <w:bookmarkStart w:id="254" w:name="_Toc12773"/>
      <w:bookmarkStart w:id="255" w:name="_Toc533357333"/>
      <w:bookmarkStart w:id="256" w:name="_Toc27230"/>
    </w:p>
    <w:p w14:paraId="34C98537">
      <w:pPr>
        <w:pStyle w:val="8"/>
        <w:ind w:firstLine="0"/>
        <w:rPr>
          <w:rFonts w:hint="eastAsia"/>
          <w:color w:val="auto"/>
          <w:szCs w:val="32"/>
          <w:highlight w:val="none"/>
        </w:rPr>
      </w:pPr>
    </w:p>
    <w:p w14:paraId="746FDA02">
      <w:pPr>
        <w:pStyle w:val="4"/>
        <w:rPr>
          <w:rFonts w:hint="eastAsia"/>
          <w:color w:val="auto"/>
          <w:highlight w:val="none"/>
        </w:rPr>
      </w:pPr>
      <w:bookmarkStart w:id="257" w:name="_Toc28287"/>
      <w:r>
        <w:rPr>
          <w:rFonts w:hint="eastAsia"/>
          <w:color w:val="auto"/>
          <w:highlight w:val="none"/>
          <w:lang w:val="en-US" w:eastAsia="zh-CN"/>
        </w:rPr>
        <w:t>四、</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252"/>
      <w:bookmarkEnd w:id="253"/>
      <w:bookmarkEnd w:id="254"/>
      <w:bookmarkEnd w:id="255"/>
      <w:bookmarkEnd w:id="256"/>
      <w:bookmarkEnd w:id="257"/>
    </w:p>
    <w:p w14:paraId="0C51F3F7">
      <w:pPr>
        <w:spacing w:line="500" w:lineRule="exact"/>
        <w:jc w:val="both"/>
        <w:rPr>
          <w:color w:val="auto"/>
          <w:sz w:val="24"/>
          <w:szCs w:val="20"/>
          <w:highlight w:val="none"/>
        </w:rPr>
      </w:pPr>
      <w:bookmarkStart w:id="258" w:name="_Toc266373531"/>
      <w:bookmarkStart w:id="259" w:name="_Toc333829923"/>
      <w:bookmarkStart w:id="260" w:name="_Toc31556"/>
      <w:bookmarkStart w:id="261" w:name="_Toc374610687"/>
      <w:bookmarkStart w:id="262" w:name="_Toc374536218"/>
      <w:bookmarkStart w:id="263" w:name="_Toc390704770"/>
      <w:r>
        <w:rPr>
          <w:rFonts w:hint="eastAsia" w:ascii="宋体" w:hAnsi="宋体" w:cs="宋体"/>
          <w:b/>
          <w:color w:val="auto"/>
          <w:sz w:val="32"/>
          <w:szCs w:val="32"/>
          <w:highlight w:val="none"/>
          <w:lang w:bidi="ar"/>
        </w:rPr>
        <w:t>1、报价汇总表</w:t>
      </w:r>
    </w:p>
    <w:p w14:paraId="33EBDEBB">
      <w:pPr>
        <w:spacing w:line="360" w:lineRule="auto"/>
        <w:jc w:val="left"/>
        <w:rPr>
          <w:rFonts w:hint="eastAsia" w:ascii="宋体" w:hAnsi="宋体" w:eastAsia="宋体" w:cs="宋体"/>
          <w:color w:val="auto"/>
          <w:sz w:val="22"/>
          <w:szCs w:val="20"/>
          <w:highlight w:val="none"/>
          <w:lang w:eastAsia="zh-CN"/>
        </w:rPr>
      </w:pPr>
      <w:r>
        <w:rPr>
          <w:rFonts w:hint="eastAsia" w:ascii="宋体" w:hAnsi="宋体" w:cs="宋体"/>
          <w:color w:val="auto"/>
          <w:sz w:val="22"/>
          <w:szCs w:val="20"/>
          <w:highlight w:val="none"/>
          <w:lang w:bidi="ar"/>
        </w:rPr>
        <w:t>工程名称：</w:t>
      </w:r>
      <w:r>
        <w:rPr>
          <w:rFonts w:hint="eastAsia" w:ascii="宋体" w:hAnsi="宋体" w:cs="宋体"/>
          <w:color w:val="auto"/>
          <w:sz w:val="22"/>
          <w:szCs w:val="20"/>
          <w:highlight w:val="none"/>
          <w:lang w:eastAsia="zh-CN" w:bidi="ar"/>
        </w:rPr>
        <w:t>国家林业和草原局穿山甲保护研究中心项目第三方检测、监测服务（第二次）</w:t>
      </w:r>
    </w:p>
    <w:tbl>
      <w:tblPr>
        <w:tblStyle w:val="29"/>
        <w:tblW w:w="4995" w:type="pct"/>
        <w:jc w:val="center"/>
        <w:tblLayout w:type="autofit"/>
        <w:tblCellMar>
          <w:top w:w="0" w:type="dxa"/>
          <w:left w:w="108" w:type="dxa"/>
          <w:bottom w:w="0" w:type="dxa"/>
          <w:right w:w="108" w:type="dxa"/>
        </w:tblCellMar>
      </w:tblPr>
      <w:tblGrid>
        <w:gridCol w:w="1246"/>
        <w:gridCol w:w="3049"/>
        <w:gridCol w:w="2746"/>
        <w:gridCol w:w="2911"/>
      </w:tblGrid>
      <w:tr w14:paraId="6357EBCB">
        <w:tblPrEx>
          <w:tblCellMar>
            <w:top w:w="0" w:type="dxa"/>
            <w:left w:w="108" w:type="dxa"/>
            <w:bottom w:w="0" w:type="dxa"/>
            <w:right w:w="108" w:type="dxa"/>
          </w:tblCellMar>
        </w:tblPrEx>
        <w:trPr>
          <w:trHeight w:val="880"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6B99025F">
            <w:pPr>
              <w:widowControl/>
              <w:jc w:val="center"/>
              <w:textAlignment w:val="center"/>
              <w:rPr>
                <w:rFonts w:hint="eastAsia" w:ascii="宋体" w:hAnsi="宋体" w:cs="宋体"/>
                <w:color w:val="auto"/>
                <w:kern w:val="0"/>
                <w:szCs w:val="21"/>
                <w:highlight w:val="none"/>
              </w:rPr>
            </w:pPr>
            <w:r>
              <w:rPr>
                <w:rFonts w:hint="eastAsia" w:ascii="宋体" w:hAnsi="宋体" w:cs="宋体"/>
                <w:b/>
                <w:bCs/>
                <w:color w:val="auto"/>
                <w:kern w:val="0"/>
                <w:sz w:val="24"/>
                <w:szCs w:val="24"/>
                <w:highlight w:val="none"/>
                <w:lang w:bidi="ar"/>
              </w:rPr>
              <w:t>序号</w:t>
            </w:r>
          </w:p>
        </w:tc>
        <w:tc>
          <w:tcPr>
            <w:tcW w:w="1531" w:type="pct"/>
            <w:tcBorders>
              <w:top w:val="single" w:color="auto" w:sz="4" w:space="0"/>
              <w:left w:val="nil"/>
              <w:bottom w:val="single" w:color="auto" w:sz="4" w:space="0"/>
              <w:right w:val="single" w:color="auto" w:sz="4" w:space="0"/>
            </w:tcBorders>
            <w:vAlign w:val="center"/>
          </w:tcPr>
          <w:p w14:paraId="1581B220">
            <w:pPr>
              <w:widowControl/>
              <w:jc w:val="center"/>
              <w:textAlignment w:val="center"/>
              <w:rPr>
                <w:rFonts w:hint="eastAsia" w:ascii="宋体" w:hAnsi="宋体" w:cs="宋体"/>
                <w:color w:val="auto"/>
                <w:kern w:val="0"/>
                <w:szCs w:val="21"/>
                <w:highlight w:val="none"/>
              </w:rPr>
            </w:pPr>
            <w:r>
              <w:rPr>
                <w:rFonts w:hint="eastAsia" w:ascii="宋体" w:hAnsi="宋体" w:cs="宋体"/>
                <w:b/>
                <w:bCs/>
                <w:color w:val="auto"/>
                <w:kern w:val="0"/>
                <w:sz w:val="24"/>
                <w:szCs w:val="24"/>
                <w:highlight w:val="none"/>
                <w:lang w:bidi="ar"/>
              </w:rPr>
              <w:t>费用名称</w:t>
            </w:r>
          </w:p>
        </w:tc>
        <w:tc>
          <w:tcPr>
            <w:tcW w:w="1379" w:type="pct"/>
            <w:tcBorders>
              <w:top w:val="single" w:color="auto" w:sz="4" w:space="0"/>
              <w:left w:val="nil"/>
              <w:bottom w:val="single" w:color="auto" w:sz="4" w:space="0"/>
              <w:right w:val="single" w:color="auto" w:sz="4" w:space="0"/>
            </w:tcBorders>
            <w:vAlign w:val="center"/>
          </w:tcPr>
          <w:p w14:paraId="22F9DA2B">
            <w:pPr>
              <w:widowControl/>
              <w:jc w:val="center"/>
              <w:textAlignment w:val="center"/>
              <w:rPr>
                <w:rFonts w:hint="eastAsia" w:ascii="宋体" w:hAnsi="宋体" w:cs="宋体"/>
                <w:color w:val="auto"/>
                <w:kern w:val="0"/>
                <w:szCs w:val="21"/>
                <w:highlight w:val="none"/>
              </w:rPr>
            </w:pPr>
            <w:r>
              <w:rPr>
                <w:rFonts w:hint="eastAsia" w:ascii="宋体" w:hAnsi="宋体" w:cs="宋体"/>
                <w:b/>
                <w:bCs/>
                <w:color w:val="auto"/>
                <w:kern w:val="0"/>
                <w:sz w:val="24"/>
                <w:szCs w:val="24"/>
                <w:highlight w:val="none"/>
                <w:lang w:bidi="ar"/>
              </w:rPr>
              <w:t>投标报价（元）</w:t>
            </w:r>
          </w:p>
        </w:tc>
        <w:tc>
          <w:tcPr>
            <w:tcW w:w="1462" w:type="pct"/>
            <w:tcBorders>
              <w:top w:val="single" w:color="auto" w:sz="4" w:space="0"/>
              <w:left w:val="nil"/>
              <w:bottom w:val="single" w:color="auto" w:sz="4" w:space="0"/>
              <w:right w:val="single" w:color="auto" w:sz="4" w:space="0"/>
            </w:tcBorders>
            <w:vAlign w:val="center"/>
          </w:tcPr>
          <w:p w14:paraId="3A762B8B">
            <w:pPr>
              <w:widowControl/>
              <w:jc w:val="center"/>
              <w:textAlignment w:val="center"/>
              <w:rPr>
                <w:rFonts w:hint="eastAsia" w:ascii="宋体" w:hAnsi="宋体" w:cs="宋体"/>
                <w:color w:val="auto"/>
                <w:kern w:val="0"/>
                <w:szCs w:val="21"/>
                <w:highlight w:val="none"/>
              </w:rPr>
            </w:pPr>
            <w:r>
              <w:rPr>
                <w:rFonts w:hint="eastAsia" w:ascii="宋体" w:hAnsi="宋体" w:cs="宋体"/>
                <w:b/>
                <w:bCs/>
                <w:color w:val="auto"/>
                <w:kern w:val="0"/>
                <w:sz w:val="24"/>
                <w:szCs w:val="24"/>
                <w:highlight w:val="none"/>
                <w:lang w:bidi="ar"/>
              </w:rPr>
              <w:t>备注</w:t>
            </w:r>
          </w:p>
        </w:tc>
      </w:tr>
      <w:tr w14:paraId="261292C1">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14:paraId="0E18A5C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4"/>
                <w:szCs w:val="24"/>
                <w:highlight w:val="none"/>
                <w:lang w:bidi="ar"/>
              </w:rPr>
              <w:t>1</w:t>
            </w:r>
          </w:p>
        </w:tc>
        <w:tc>
          <w:tcPr>
            <w:tcW w:w="1531" w:type="pct"/>
            <w:tcBorders>
              <w:top w:val="nil"/>
              <w:left w:val="nil"/>
              <w:bottom w:val="single" w:color="auto" w:sz="4" w:space="0"/>
              <w:right w:val="single" w:color="auto" w:sz="4" w:space="0"/>
            </w:tcBorders>
            <w:vAlign w:val="center"/>
          </w:tcPr>
          <w:p w14:paraId="2737373C">
            <w:pPr>
              <w:keepNext w:val="0"/>
              <w:keepLines w:val="0"/>
              <w:widowControl/>
              <w:suppressLineNumbers w:val="0"/>
              <w:jc w:val="center"/>
              <w:textAlignment w:val="center"/>
              <w:rPr>
                <w:rFonts w:hint="eastAsia" w:ascii="宋体" w:hAnsi="宋体" w:cs="宋体"/>
                <w:color w:val="auto"/>
                <w:sz w:val="24"/>
                <w:szCs w:val="24"/>
                <w:highlight w:val="none"/>
              </w:rPr>
            </w:pPr>
            <w:r>
              <w:rPr>
                <w:rFonts w:hint="default" w:ascii="幼圆" w:hAnsi="幼圆" w:eastAsia="幼圆" w:cs="幼圆"/>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16280" cy="266700"/>
                  <wp:effectExtent l="0" t="0" r="0" b="0"/>
                  <wp:wrapNone/>
                  <wp:docPr id="9" name="TextBox_5"/>
                  <wp:cNvGraphicFramePr/>
                  <a:graphic xmlns:a="http://schemas.openxmlformats.org/drawingml/2006/main">
                    <a:graphicData uri="http://schemas.openxmlformats.org/drawingml/2006/picture">
                      <pic:pic xmlns:pic="http://schemas.openxmlformats.org/drawingml/2006/picture">
                        <pic:nvPicPr>
                          <pic:cNvPr id="9" name="TextBox_5"/>
                          <pic:cNvPicPr/>
                        </pic:nvPicPr>
                        <pic:blipFill>
                          <a:blip r:embed="rId8"/>
                          <a:stretch>
                            <a:fillRect/>
                          </a:stretch>
                        </pic:blipFill>
                        <pic:spPr>
                          <a:xfrm>
                            <a:off x="0" y="0"/>
                            <a:ext cx="716280" cy="266700"/>
                          </a:xfrm>
                          <a:prstGeom prst="rect">
                            <a:avLst/>
                          </a:prstGeom>
                          <a:noFill/>
                          <a:ln>
                            <a:noFill/>
                          </a:ln>
                        </pic:spPr>
                      </pic:pic>
                    </a:graphicData>
                  </a:graphic>
                </wp:anchor>
              </w:drawing>
            </w:r>
            <w:r>
              <w:rPr>
                <w:rFonts w:hint="default" w:ascii="幼圆" w:hAnsi="幼圆" w:eastAsia="幼圆" w:cs="幼圆"/>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16280" cy="266700"/>
                  <wp:effectExtent l="0" t="0" r="0" b="0"/>
                  <wp:wrapNone/>
                  <wp:docPr id="10" name="TextBox_6"/>
                  <wp:cNvGraphicFramePr/>
                  <a:graphic xmlns:a="http://schemas.openxmlformats.org/drawingml/2006/main">
                    <a:graphicData uri="http://schemas.openxmlformats.org/drawingml/2006/picture">
                      <pic:pic xmlns:pic="http://schemas.openxmlformats.org/drawingml/2006/picture">
                        <pic:nvPicPr>
                          <pic:cNvPr id="10" name="TextBox_6"/>
                          <pic:cNvPicPr/>
                        </pic:nvPicPr>
                        <pic:blipFill>
                          <a:blip r:embed="rId8"/>
                          <a:stretch>
                            <a:fillRect/>
                          </a:stretch>
                        </pic:blipFill>
                        <pic:spPr>
                          <a:xfrm>
                            <a:off x="0" y="0"/>
                            <a:ext cx="716280" cy="266700"/>
                          </a:xfrm>
                          <a:prstGeom prst="rect">
                            <a:avLst/>
                          </a:prstGeom>
                          <a:noFill/>
                          <a:ln>
                            <a:noFill/>
                          </a:ln>
                        </pic:spPr>
                      </pic:pic>
                    </a:graphicData>
                  </a:graphic>
                </wp:anchor>
              </w:drawing>
            </w:r>
            <w:r>
              <w:rPr>
                <w:rFonts w:hint="default" w:ascii="幼圆" w:hAnsi="幼圆" w:eastAsia="幼圆" w:cs="幼圆"/>
                <w:i w:val="0"/>
                <w:iCs w:val="0"/>
                <w:color w:val="auto"/>
                <w:kern w:val="0"/>
                <w:sz w:val="22"/>
                <w:szCs w:val="22"/>
                <w:highlight w:val="none"/>
                <w:u w:val="none"/>
                <w:lang w:val="en-US" w:eastAsia="zh-CN" w:bidi="ar"/>
              </w:rPr>
              <w:t>主体沉降监测、高支模监测、基坑监测</w:t>
            </w:r>
          </w:p>
        </w:tc>
        <w:tc>
          <w:tcPr>
            <w:tcW w:w="1379" w:type="pct"/>
            <w:tcBorders>
              <w:top w:val="nil"/>
              <w:left w:val="nil"/>
              <w:bottom w:val="single" w:color="auto" w:sz="4" w:space="0"/>
              <w:right w:val="single" w:color="auto" w:sz="4" w:space="0"/>
            </w:tcBorders>
            <w:vAlign w:val="center"/>
          </w:tcPr>
          <w:p w14:paraId="5E676674">
            <w:pPr>
              <w:widowControl/>
              <w:jc w:val="center"/>
              <w:textAlignment w:val="center"/>
              <w:rPr>
                <w:rFonts w:hint="eastAsia" w:ascii="宋体" w:hAnsi="宋体" w:cs="宋体"/>
                <w:b/>
                <w:bCs/>
                <w:color w:val="auto"/>
                <w:szCs w:val="21"/>
                <w:highlight w:val="none"/>
              </w:rPr>
            </w:pPr>
          </w:p>
        </w:tc>
        <w:tc>
          <w:tcPr>
            <w:tcW w:w="1462" w:type="pct"/>
            <w:tcBorders>
              <w:top w:val="nil"/>
              <w:left w:val="nil"/>
              <w:bottom w:val="single" w:color="auto" w:sz="4" w:space="0"/>
              <w:right w:val="single" w:color="auto" w:sz="4" w:space="0"/>
            </w:tcBorders>
            <w:vAlign w:val="center"/>
          </w:tcPr>
          <w:p w14:paraId="672B8F65">
            <w:pPr>
              <w:jc w:val="center"/>
              <w:rPr>
                <w:rFonts w:hint="eastAsia" w:ascii="宋体" w:hAnsi="宋体" w:cs="宋体"/>
                <w:color w:val="auto"/>
                <w:kern w:val="0"/>
                <w:szCs w:val="21"/>
                <w:highlight w:val="none"/>
              </w:rPr>
            </w:pPr>
          </w:p>
        </w:tc>
      </w:tr>
      <w:tr w14:paraId="54B8C013">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14:paraId="7E0CE61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4"/>
                <w:szCs w:val="24"/>
                <w:highlight w:val="none"/>
                <w:lang w:bidi="ar"/>
              </w:rPr>
              <w:t>2</w:t>
            </w:r>
          </w:p>
        </w:tc>
        <w:tc>
          <w:tcPr>
            <w:tcW w:w="1531" w:type="pct"/>
            <w:tcBorders>
              <w:top w:val="nil"/>
              <w:left w:val="nil"/>
              <w:bottom w:val="single" w:color="auto" w:sz="4" w:space="0"/>
              <w:right w:val="single" w:color="auto" w:sz="4" w:space="0"/>
            </w:tcBorders>
            <w:vAlign w:val="center"/>
          </w:tcPr>
          <w:p w14:paraId="0F6AB81B">
            <w:pPr>
              <w:keepNext w:val="0"/>
              <w:keepLines w:val="0"/>
              <w:widowControl/>
              <w:suppressLineNumbers w:val="0"/>
              <w:jc w:val="center"/>
              <w:textAlignment w:val="center"/>
              <w:rPr>
                <w:rFonts w:hint="eastAsia"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地基基础检测</w:t>
            </w:r>
          </w:p>
        </w:tc>
        <w:tc>
          <w:tcPr>
            <w:tcW w:w="1379" w:type="pct"/>
            <w:tcBorders>
              <w:top w:val="nil"/>
              <w:left w:val="nil"/>
              <w:bottom w:val="single" w:color="auto" w:sz="4" w:space="0"/>
              <w:right w:val="single" w:color="auto" w:sz="4" w:space="0"/>
            </w:tcBorders>
            <w:vAlign w:val="center"/>
          </w:tcPr>
          <w:p w14:paraId="4641252F">
            <w:pPr>
              <w:widowControl/>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vAlign w:val="center"/>
          </w:tcPr>
          <w:p w14:paraId="1C509973">
            <w:pPr>
              <w:jc w:val="center"/>
              <w:rPr>
                <w:rFonts w:hint="eastAsia" w:ascii="宋体" w:hAnsi="宋体" w:cs="宋体"/>
                <w:color w:val="auto"/>
                <w:kern w:val="0"/>
                <w:szCs w:val="21"/>
                <w:highlight w:val="none"/>
              </w:rPr>
            </w:pPr>
          </w:p>
        </w:tc>
      </w:tr>
      <w:tr w14:paraId="11EB3AB4">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14:paraId="6F43D75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4"/>
                <w:szCs w:val="24"/>
                <w:highlight w:val="none"/>
                <w:lang w:bidi="ar"/>
              </w:rPr>
              <w:t>3</w:t>
            </w:r>
          </w:p>
        </w:tc>
        <w:tc>
          <w:tcPr>
            <w:tcW w:w="1531" w:type="pct"/>
            <w:tcBorders>
              <w:top w:val="nil"/>
              <w:left w:val="nil"/>
              <w:bottom w:val="single" w:color="auto" w:sz="4" w:space="0"/>
              <w:right w:val="single" w:color="auto" w:sz="4" w:space="0"/>
            </w:tcBorders>
            <w:vAlign w:val="center"/>
          </w:tcPr>
          <w:p w14:paraId="1DF6053E">
            <w:pPr>
              <w:keepNext w:val="0"/>
              <w:keepLines w:val="0"/>
              <w:widowControl/>
              <w:suppressLineNumbers w:val="0"/>
              <w:jc w:val="center"/>
              <w:textAlignment w:val="center"/>
              <w:rPr>
                <w:rFonts w:hint="eastAsia"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建筑材料检测</w:t>
            </w:r>
          </w:p>
        </w:tc>
        <w:tc>
          <w:tcPr>
            <w:tcW w:w="1379" w:type="pct"/>
            <w:tcBorders>
              <w:top w:val="nil"/>
              <w:left w:val="nil"/>
              <w:bottom w:val="single" w:color="auto" w:sz="4" w:space="0"/>
              <w:right w:val="single" w:color="auto" w:sz="4" w:space="0"/>
            </w:tcBorders>
            <w:vAlign w:val="center"/>
          </w:tcPr>
          <w:p w14:paraId="66BCAE12">
            <w:pPr>
              <w:widowControl/>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vAlign w:val="center"/>
          </w:tcPr>
          <w:p w14:paraId="45FE83A8">
            <w:pPr>
              <w:jc w:val="center"/>
              <w:rPr>
                <w:rFonts w:hint="eastAsia" w:ascii="宋体" w:hAnsi="宋体" w:cs="宋体"/>
                <w:color w:val="auto"/>
                <w:kern w:val="0"/>
                <w:szCs w:val="21"/>
                <w:highlight w:val="none"/>
              </w:rPr>
            </w:pPr>
          </w:p>
        </w:tc>
      </w:tr>
      <w:tr w14:paraId="45934E71">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14:paraId="5CCED9E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4"/>
                <w:szCs w:val="24"/>
                <w:highlight w:val="none"/>
                <w:lang w:bidi="ar"/>
              </w:rPr>
              <w:t>4</w:t>
            </w:r>
          </w:p>
        </w:tc>
        <w:tc>
          <w:tcPr>
            <w:tcW w:w="1531" w:type="pct"/>
            <w:tcBorders>
              <w:top w:val="nil"/>
              <w:left w:val="nil"/>
              <w:bottom w:val="single" w:color="auto" w:sz="4" w:space="0"/>
              <w:right w:val="single" w:color="auto" w:sz="4" w:space="0"/>
            </w:tcBorders>
            <w:vAlign w:val="center"/>
          </w:tcPr>
          <w:p w14:paraId="763F9D3B">
            <w:pPr>
              <w:keepNext w:val="0"/>
              <w:keepLines w:val="0"/>
              <w:widowControl/>
              <w:suppressLineNumbers w:val="0"/>
              <w:jc w:val="center"/>
              <w:textAlignment w:val="center"/>
              <w:rPr>
                <w:rFonts w:hint="eastAsia" w:ascii="宋体" w:hAnsi="宋体" w:cs="宋体"/>
                <w:color w:val="auto"/>
                <w:sz w:val="24"/>
                <w:szCs w:val="24"/>
                <w:highlight w:val="none"/>
              </w:rPr>
            </w:pPr>
            <w:r>
              <w:rPr>
                <w:rFonts w:hint="default" w:ascii="幼圆" w:hAnsi="幼圆" w:eastAsia="幼圆" w:cs="幼圆"/>
                <w:i w:val="0"/>
                <w:iCs w:val="0"/>
                <w:color w:val="auto"/>
                <w:kern w:val="0"/>
                <w:sz w:val="22"/>
                <w:szCs w:val="22"/>
                <w:highlight w:val="none"/>
                <w:u w:val="none"/>
                <w:lang w:val="en-US" w:eastAsia="zh-CN" w:bidi="ar"/>
              </w:rPr>
              <w:t>主体结构检测</w:t>
            </w:r>
          </w:p>
        </w:tc>
        <w:tc>
          <w:tcPr>
            <w:tcW w:w="1379" w:type="pct"/>
            <w:tcBorders>
              <w:top w:val="nil"/>
              <w:left w:val="nil"/>
              <w:bottom w:val="single" w:color="auto" w:sz="4" w:space="0"/>
              <w:right w:val="single" w:color="auto" w:sz="4" w:space="0"/>
            </w:tcBorders>
            <w:vAlign w:val="center"/>
          </w:tcPr>
          <w:p w14:paraId="7B8DCB48">
            <w:pPr>
              <w:widowControl/>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vAlign w:val="center"/>
          </w:tcPr>
          <w:p w14:paraId="16775FA0">
            <w:pPr>
              <w:jc w:val="center"/>
              <w:rPr>
                <w:rFonts w:hint="eastAsia" w:ascii="宋体" w:hAnsi="宋体" w:cs="宋体"/>
                <w:color w:val="auto"/>
                <w:kern w:val="0"/>
                <w:szCs w:val="21"/>
                <w:highlight w:val="none"/>
              </w:rPr>
            </w:pPr>
          </w:p>
        </w:tc>
      </w:tr>
      <w:tr w14:paraId="12391BC6">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14:paraId="4C617EB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4"/>
                <w:szCs w:val="24"/>
                <w:highlight w:val="none"/>
                <w:lang w:bidi="ar"/>
              </w:rPr>
              <w:t>5</w:t>
            </w:r>
          </w:p>
        </w:tc>
        <w:tc>
          <w:tcPr>
            <w:tcW w:w="1531" w:type="pct"/>
            <w:tcBorders>
              <w:top w:val="nil"/>
              <w:left w:val="nil"/>
              <w:bottom w:val="single" w:color="auto" w:sz="4" w:space="0"/>
              <w:right w:val="single" w:color="auto" w:sz="4" w:space="0"/>
            </w:tcBorders>
            <w:vAlign w:val="center"/>
          </w:tcPr>
          <w:p w14:paraId="3F70E31C">
            <w:pPr>
              <w:keepNext w:val="0"/>
              <w:keepLines w:val="0"/>
              <w:widowControl/>
              <w:suppressLineNumbers w:val="0"/>
              <w:jc w:val="center"/>
              <w:textAlignment w:val="center"/>
              <w:rPr>
                <w:rFonts w:hint="eastAsia" w:ascii="宋体" w:hAnsi="宋体" w:cs="宋体"/>
                <w:color w:val="auto"/>
                <w:sz w:val="24"/>
                <w:szCs w:val="24"/>
                <w:highlight w:val="none"/>
              </w:rPr>
            </w:pPr>
            <w:r>
              <w:rPr>
                <w:rFonts w:hint="default" w:ascii="幼圆" w:hAnsi="幼圆" w:eastAsia="幼圆" w:cs="幼圆"/>
                <w:i w:val="0"/>
                <w:iCs w:val="0"/>
                <w:color w:val="auto"/>
                <w:kern w:val="0"/>
                <w:sz w:val="22"/>
                <w:szCs w:val="22"/>
                <w:highlight w:val="none"/>
                <w:u w:val="none"/>
                <w:lang w:val="en-US" w:eastAsia="zh-CN" w:bidi="ar"/>
              </w:rPr>
              <w:t>建筑节能检测</w:t>
            </w:r>
          </w:p>
        </w:tc>
        <w:tc>
          <w:tcPr>
            <w:tcW w:w="1379" w:type="pct"/>
            <w:tcBorders>
              <w:top w:val="nil"/>
              <w:left w:val="nil"/>
              <w:bottom w:val="single" w:color="auto" w:sz="4" w:space="0"/>
              <w:right w:val="single" w:color="auto" w:sz="4" w:space="0"/>
            </w:tcBorders>
            <w:vAlign w:val="center"/>
          </w:tcPr>
          <w:p w14:paraId="5AA7A3C8">
            <w:pPr>
              <w:widowControl/>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vAlign w:val="center"/>
          </w:tcPr>
          <w:p w14:paraId="60A3CB1F">
            <w:pPr>
              <w:jc w:val="center"/>
              <w:rPr>
                <w:rFonts w:hint="eastAsia" w:ascii="宋体" w:hAnsi="宋体" w:cs="宋体"/>
                <w:color w:val="auto"/>
                <w:kern w:val="0"/>
                <w:szCs w:val="21"/>
                <w:highlight w:val="none"/>
              </w:rPr>
            </w:pPr>
          </w:p>
        </w:tc>
      </w:tr>
      <w:tr w14:paraId="753358A5">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14:paraId="0A869AC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4"/>
                <w:szCs w:val="24"/>
                <w:highlight w:val="none"/>
                <w:lang w:bidi="ar"/>
              </w:rPr>
              <w:t>6</w:t>
            </w:r>
          </w:p>
        </w:tc>
        <w:tc>
          <w:tcPr>
            <w:tcW w:w="1531" w:type="pct"/>
            <w:tcBorders>
              <w:top w:val="nil"/>
              <w:left w:val="nil"/>
              <w:bottom w:val="single" w:color="auto" w:sz="4" w:space="0"/>
              <w:right w:val="single" w:color="auto" w:sz="4" w:space="0"/>
            </w:tcBorders>
            <w:vAlign w:val="center"/>
          </w:tcPr>
          <w:p w14:paraId="4E332B6C">
            <w:pPr>
              <w:keepNext w:val="0"/>
              <w:keepLines w:val="0"/>
              <w:widowControl/>
              <w:suppressLineNumbers w:val="0"/>
              <w:jc w:val="center"/>
              <w:textAlignment w:val="center"/>
              <w:rPr>
                <w:rFonts w:hint="eastAsia"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建筑智能检测</w:t>
            </w:r>
          </w:p>
        </w:tc>
        <w:tc>
          <w:tcPr>
            <w:tcW w:w="1379" w:type="pct"/>
            <w:tcBorders>
              <w:top w:val="nil"/>
              <w:left w:val="nil"/>
              <w:bottom w:val="single" w:color="auto" w:sz="4" w:space="0"/>
              <w:right w:val="single" w:color="auto" w:sz="4" w:space="0"/>
            </w:tcBorders>
            <w:vAlign w:val="center"/>
          </w:tcPr>
          <w:p w14:paraId="3DB1369E">
            <w:pPr>
              <w:widowControl/>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vAlign w:val="center"/>
          </w:tcPr>
          <w:p w14:paraId="6670BFE1">
            <w:pPr>
              <w:jc w:val="center"/>
              <w:rPr>
                <w:rFonts w:hint="eastAsia" w:ascii="宋体" w:hAnsi="宋体" w:cs="宋体"/>
                <w:color w:val="auto"/>
                <w:kern w:val="0"/>
                <w:szCs w:val="21"/>
                <w:highlight w:val="none"/>
              </w:rPr>
            </w:pPr>
          </w:p>
        </w:tc>
      </w:tr>
      <w:tr w14:paraId="49A3049B">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14:paraId="71842E3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4"/>
                <w:szCs w:val="24"/>
                <w:highlight w:val="none"/>
                <w:lang w:bidi="ar"/>
              </w:rPr>
              <w:t>7</w:t>
            </w:r>
          </w:p>
        </w:tc>
        <w:tc>
          <w:tcPr>
            <w:tcW w:w="1531" w:type="pct"/>
            <w:tcBorders>
              <w:top w:val="nil"/>
              <w:left w:val="nil"/>
              <w:bottom w:val="single" w:color="auto" w:sz="4" w:space="0"/>
              <w:right w:val="single" w:color="auto" w:sz="4" w:space="0"/>
            </w:tcBorders>
            <w:vAlign w:val="center"/>
          </w:tcPr>
          <w:p w14:paraId="226FCC07">
            <w:pPr>
              <w:keepNext w:val="0"/>
              <w:keepLines w:val="0"/>
              <w:widowControl/>
              <w:suppressLineNumbers w:val="0"/>
              <w:jc w:val="center"/>
              <w:textAlignment w:val="center"/>
              <w:rPr>
                <w:rFonts w:hint="eastAsia"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建筑环境检测</w:t>
            </w:r>
          </w:p>
        </w:tc>
        <w:tc>
          <w:tcPr>
            <w:tcW w:w="1379" w:type="pct"/>
            <w:tcBorders>
              <w:top w:val="nil"/>
              <w:left w:val="nil"/>
              <w:bottom w:val="single" w:color="auto" w:sz="4" w:space="0"/>
              <w:right w:val="single" w:color="auto" w:sz="4" w:space="0"/>
            </w:tcBorders>
            <w:vAlign w:val="center"/>
          </w:tcPr>
          <w:p w14:paraId="537E50F0">
            <w:pPr>
              <w:widowControl/>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vAlign w:val="center"/>
          </w:tcPr>
          <w:p w14:paraId="01E1199E">
            <w:pPr>
              <w:jc w:val="center"/>
              <w:rPr>
                <w:rFonts w:hint="eastAsia" w:ascii="宋体" w:hAnsi="宋体" w:cs="宋体"/>
                <w:color w:val="auto"/>
                <w:kern w:val="0"/>
                <w:szCs w:val="21"/>
                <w:highlight w:val="none"/>
              </w:rPr>
            </w:pPr>
          </w:p>
        </w:tc>
      </w:tr>
      <w:tr w14:paraId="378CDE4F">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14:paraId="5ACCDE5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4"/>
                <w:szCs w:val="24"/>
                <w:highlight w:val="none"/>
                <w:lang w:bidi="ar"/>
              </w:rPr>
              <w:t>8</w:t>
            </w:r>
          </w:p>
        </w:tc>
        <w:tc>
          <w:tcPr>
            <w:tcW w:w="1531" w:type="pct"/>
            <w:tcBorders>
              <w:top w:val="nil"/>
              <w:left w:val="nil"/>
              <w:bottom w:val="single" w:color="auto" w:sz="4" w:space="0"/>
              <w:right w:val="single" w:color="auto" w:sz="4" w:space="0"/>
            </w:tcBorders>
            <w:vAlign w:val="center"/>
          </w:tcPr>
          <w:p w14:paraId="0686F37D">
            <w:pPr>
              <w:keepNext w:val="0"/>
              <w:keepLines w:val="0"/>
              <w:widowControl/>
              <w:suppressLineNumbers w:val="0"/>
              <w:jc w:val="center"/>
              <w:textAlignment w:val="center"/>
              <w:rPr>
                <w:rFonts w:hint="eastAsia"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园林、管道工程检测</w:t>
            </w:r>
          </w:p>
        </w:tc>
        <w:tc>
          <w:tcPr>
            <w:tcW w:w="1379" w:type="pct"/>
            <w:tcBorders>
              <w:top w:val="nil"/>
              <w:left w:val="nil"/>
              <w:bottom w:val="single" w:color="auto" w:sz="4" w:space="0"/>
              <w:right w:val="single" w:color="auto" w:sz="4" w:space="0"/>
            </w:tcBorders>
            <w:vAlign w:val="center"/>
          </w:tcPr>
          <w:p w14:paraId="6593251D">
            <w:pPr>
              <w:widowControl/>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vAlign w:val="center"/>
          </w:tcPr>
          <w:p w14:paraId="2497846E">
            <w:pPr>
              <w:jc w:val="center"/>
              <w:rPr>
                <w:rFonts w:hint="eastAsia" w:ascii="宋体" w:hAnsi="宋体" w:cs="宋体"/>
                <w:color w:val="auto"/>
                <w:kern w:val="0"/>
                <w:szCs w:val="21"/>
                <w:highlight w:val="none"/>
              </w:rPr>
            </w:pPr>
          </w:p>
        </w:tc>
      </w:tr>
      <w:tr w14:paraId="30685855">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14:paraId="65C9347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4"/>
                <w:szCs w:val="24"/>
                <w:highlight w:val="none"/>
                <w:lang w:bidi="ar"/>
              </w:rPr>
              <w:t>9</w:t>
            </w:r>
          </w:p>
        </w:tc>
        <w:tc>
          <w:tcPr>
            <w:tcW w:w="1531" w:type="pct"/>
            <w:tcBorders>
              <w:top w:val="nil"/>
              <w:left w:val="nil"/>
              <w:bottom w:val="single" w:color="auto" w:sz="4" w:space="0"/>
              <w:right w:val="single" w:color="auto" w:sz="4" w:space="0"/>
            </w:tcBorders>
            <w:vAlign w:val="center"/>
          </w:tcPr>
          <w:p w14:paraId="4CC35471">
            <w:pPr>
              <w:keepNext w:val="0"/>
              <w:keepLines w:val="0"/>
              <w:widowControl/>
              <w:suppressLineNumbers w:val="0"/>
              <w:jc w:val="center"/>
              <w:textAlignment w:val="center"/>
              <w:rPr>
                <w:rFonts w:hint="eastAsia"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人防设备检测</w:t>
            </w:r>
          </w:p>
        </w:tc>
        <w:tc>
          <w:tcPr>
            <w:tcW w:w="1379" w:type="pct"/>
            <w:tcBorders>
              <w:top w:val="nil"/>
              <w:left w:val="nil"/>
              <w:bottom w:val="single" w:color="auto" w:sz="4" w:space="0"/>
              <w:right w:val="single" w:color="auto" w:sz="4" w:space="0"/>
            </w:tcBorders>
            <w:vAlign w:val="center"/>
          </w:tcPr>
          <w:p w14:paraId="072083E3">
            <w:pPr>
              <w:widowControl/>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vAlign w:val="center"/>
          </w:tcPr>
          <w:p w14:paraId="2F5BDB0A">
            <w:pPr>
              <w:jc w:val="center"/>
              <w:rPr>
                <w:rFonts w:hint="eastAsia" w:ascii="宋体" w:hAnsi="宋体" w:cs="宋体"/>
                <w:color w:val="auto"/>
                <w:kern w:val="0"/>
                <w:szCs w:val="21"/>
                <w:highlight w:val="none"/>
              </w:rPr>
            </w:pPr>
          </w:p>
        </w:tc>
      </w:tr>
      <w:tr w14:paraId="28008B94">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14:paraId="76AF2E15">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10</w:t>
            </w:r>
          </w:p>
        </w:tc>
        <w:tc>
          <w:tcPr>
            <w:tcW w:w="1531" w:type="pct"/>
            <w:tcBorders>
              <w:top w:val="nil"/>
              <w:left w:val="nil"/>
              <w:bottom w:val="single" w:color="auto" w:sz="4" w:space="0"/>
              <w:right w:val="single" w:color="auto" w:sz="4" w:space="0"/>
            </w:tcBorders>
            <w:vAlign w:val="center"/>
          </w:tcPr>
          <w:p w14:paraId="7D9BE10E">
            <w:pPr>
              <w:keepNext w:val="0"/>
              <w:keepLines w:val="0"/>
              <w:widowControl/>
              <w:suppressLineNumbers w:val="0"/>
              <w:jc w:val="center"/>
              <w:textAlignment w:val="center"/>
              <w:rPr>
                <w:rFonts w:hint="eastAsia"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防雷检测</w:t>
            </w:r>
          </w:p>
        </w:tc>
        <w:tc>
          <w:tcPr>
            <w:tcW w:w="1379" w:type="pct"/>
            <w:tcBorders>
              <w:top w:val="nil"/>
              <w:left w:val="nil"/>
              <w:bottom w:val="single" w:color="auto" w:sz="4" w:space="0"/>
              <w:right w:val="single" w:color="auto" w:sz="4" w:space="0"/>
            </w:tcBorders>
            <w:vAlign w:val="center"/>
          </w:tcPr>
          <w:p w14:paraId="6AF95116">
            <w:pPr>
              <w:widowControl/>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vAlign w:val="center"/>
          </w:tcPr>
          <w:p w14:paraId="41552228">
            <w:pPr>
              <w:jc w:val="center"/>
              <w:rPr>
                <w:rFonts w:hint="eastAsia" w:ascii="宋体" w:hAnsi="宋体" w:cs="宋体"/>
                <w:color w:val="auto"/>
                <w:kern w:val="0"/>
                <w:szCs w:val="21"/>
                <w:highlight w:val="none"/>
              </w:rPr>
            </w:pPr>
          </w:p>
        </w:tc>
      </w:tr>
      <w:tr w14:paraId="5698C84E">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14:paraId="6E7F14FC">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11</w:t>
            </w:r>
          </w:p>
        </w:tc>
        <w:tc>
          <w:tcPr>
            <w:tcW w:w="1531" w:type="pct"/>
            <w:tcBorders>
              <w:top w:val="nil"/>
              <w:left w:val="nil"/>
              <w:bottom w:val="single" w:color="auto" w:sz="4" w:space="0"/>
              <w:right w:val="single" w:color="auto" w:sz="4" w:space="0"/>
            </w:tcBorders>
            <w:vAlign w:val="center"/>
          </w:tcPr>
          <w:p w14:paraId="4BD3CE13">
            <w:pPr>
              <w:keepNext w:val="0"/>
              <w:keepLines w:val="0"/>
              <w:widowControl/>
              <w:suppressLineNumbers w:val="0"/>
              <w:jc w:val="center"/>
              <w:textAlignment w:val="center"/>
              <w:rPr>
                <w:rFonts w:hint="eastAsia" w:ascii="宋体" w:hAnsi="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消防设施检测</w:t>
            </w:r>
          </w:p>
        </w:tc>
        <w:tc>
          <w:tcPr>
            <w:tcW w:w="1379" w:type="pct"/>
            <w:tcBorders>
              <w:top w:val="nil"/>
              <w:left w:val="nil"/>
              <w:bottom w:val="single" w:color="auto" w:sz="4" w:space="0"/>
              <w:right w:val="single" w:color="auto" w:sz="4" w:space="0"/>
            </w:tcBorders>
            <w:vAlign w:val="center"/>
          </w:tcPr>
          <w:p w14:paraId="3DD4D792">
            <w:pPr>
              <w:widowControl/>
              <w:jc w:val="center"/>
              <w:textAlignment w:val="center"/>
              <w:rPr>
                <w:rFonts w:hint="eastAsia" w:ascii="宋体" w:hAnsi="宋体" w:cs="宋体"/>
                <w:color w:val="auto"/>
                <w:kern w:val="0"/>
                <w:szCs w:val="21"/>
                <w:highlight w:val="none"/>
              </w:rPr>
            </w:pPr>
          </w:p>
        </w:tc>
        <w:tc>
          <w:tcPr>
            <w:tcW w:w="1462" w:type="pct"/>
            <w:tcBorders>
              <w:top w:val="nil"/>
              <w:left w:val="nil"/>
              <w:bottom w:val="single" w:color="auto" w:sz="4" w:space="0"/>
              <w:right w:val="single" w:color="auto" w:sz="4" w:space="0"/>
            </w:tcBorders>
            <w:vAlign w:val="center"/>
          </w:tcPr>
          <w:p w14:paraId="05C31B7F">
            <w:pPr>
              <w:jc w:val="center"/>
              <w:rPr>
                <w:rFonts w:hint="eastAsia" w:ascii="宋体" w:hAnsi="宋体" w:cs="宋体"/>
                <w:color w:val="auto"/>
                <w:kern w:val="0"/>
                <w:szCs w:val="21"/>
                <w:highlight w:val="none"/>
              </w:rPr>
            </w:pPr>
          </w:p>
        </w:tc>
      </w:tr>
      <w:tr w14:paraId="41BD9669">
        <w:tblPrEx>
          <w:tblCellMar>
            <w:top w:w="0" w:type="dxa"/>
            <w:left w:w="108" w:type="dxa"/>
            <w:bottom w:w="0" w:type="dxa"/>
            <w:right w:w="108" w:type="dxa"/>
          </w:tblCellMar>
        </w:tblPrEx>
        <w:trPr>
          <w:trHeight w:val="595" w:hRule="atLeast"/>
          <w:jc w:val="center"/>
        </w:trPr>
        <w:tc>
          <w:tcPr>
            <w:tcW w:w="2157" w:type="pct"/>
            <w:gridSpan w:val="2"/>
            <w:tcBorders>
              <w:top w:val="single" w:color="auto" w:sz="4" w:space="0"/>
              <w:left w:val="single" w:color="auto" w:sz="4" w:space="0"/>
              <w:bottom w:val="single" w:color="auto" w:sz="4" w:space="0"/>
              <w:right w:val="single" w:color="auto" w:sz="4" w:space="0"/>
            </w:tcBorders>
            <w:vAlign w:val="center"/>
          </w:tcPr>
          <w:p w14:paraId="07810B44">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b/>
                <w:bCs/>
                <w:color w:val="auto"/>
                <w:kern w:val="0"/>
                <w:sz w:val="24"/>
                <w:szCs w:val="24"/>
                <w:highlight w:val="none"/>
                <w:lang w:bidi="ar"/>
              </w:rPr>
              <w:t>总计</w:t>
            </w:r>
          </w:p>
        </w:tc>
        <w:tc>
          <w:tcPr>
            <w:tcW w:w="1379" w:type="pct"/>
            <w:tcBorders>
              <w:top w:val="single" w:color="auto" w:sz="4" w:space="0"/>
              <w:left w:val="single" w:color="auto" w:sz="4" w:space="0"/>
              <w:bottom w:val="single" w:color="auto" w:sz="4" w:space="0"/>
              <w:right w:val="single" w:color="auto" w:sz="4" w:space="0"/>
            </w:tcBorders>
            <w:vAlign w:val="center"/>
          </w:tcPr>
          <w:p w14:paraId="5BEB59F1">
            <w:pPr>
              <w:widowControl/>
              <w:jc w:val="center"/>
              <w:textAlignment w:val="center"/>
              <w:rPr>
                <w:rFonts w:hint="eastAsia" w:ascii="宋体" w:hAnsi="宋体" w:cs="宋体"/>
                <w:color w:val="auto"/>
                <w:kern w:val="0"/>
                <w:sz w:val="24"/>
                <w:szCs w:val="24"/>
                <w:highlight w:val="none"/>
                <w:lang w:bidi="ar"/>
              </w:rPr>
            </w:pPr>
          </w:p>
        </w:tc>
        <w:tc>
          <w:tcPr>
            <w:tcW w:w="1462" w:type="pct"/>
            <w:tcBorders>
              <w:top w:val="single" w:color="auto" w:sz="4" w:space="0"/>
              <w:left w:val="single" w:color="auto" w:sz="4" w:space="0"/>
              <w:bottom w:val="single" w:color="auto" w:sz="4" w:space="0"/>
              <w:right w:val="single" w:color="auto" w:sz="4" w:space="0"/>
            </w:tcBorders>
            <w:vAlign w:val="center"/>
          </w:tcPr>
          <w:p w14:paraId="4D11231C">
            <w:pPr>
              <w:jc w:val="center"/>
              <w:rPr>
                <w:rFonts w:hint="eastAsia" w:ascii="宋体" w:hAnsi="宋体" w:cs="宋体"/>
                <w:color w:val="auto"/>
                <w:kern w:val="0"/>
                <w:szCs w:val="21"/>
                <w:highlight w:val="none"/>
              </w:rPr>
            </w:pPr>
          </w:p>
        </w:tc>
      </w:tr>
    </w:tbl>
    <w:p w14:paraId="30399E68">
      <w:pPr>
        <w:spacing w:line="360" w:lineRule="auto"/>
        <w:jc w:val="center"/>
        <w:rPr>
          <w:rFonts w:hint="eastAsia" w:ascii="宋体" w:hAnsi="宋体" w:cs="宋体"/>
          <w:color w:val="auto"/>
          <w:sz w:val="22"/>
          <w:szCs w:val="20"/>
          <w:highlight w:val="none"/>
          <w:lang w:bidi="ar"/>
        </w:rPr>
      </w:pPr>
    </w:p>
    <w:p w14:paraId="5168E301">
      <w:pPr>
        <w:spacing w:line="360" w:lineRule="auto"/>
        <w:jc w:val="center"/>
        <w:rPr>
          <w:rFonts w:hint="eastAsia" w:ascii="宋体" w:hAnsi="宋体" w:cs="宋体"/>
          <w:color w:val="auto"/>
          <w:sz w:val="22"/>
          <w:szCs w:val="20"/>
          <w:highlight w:val="none"/>
          <w:lang w:bidi="ar"/>
        </w:rPr>
      </w:pPr>
    </w:p>
    <w:p w14:paraId="5C34CBD9">
      <w:pPr>
        <w:spacing w:line="360" w:lineRule="auto"/>
        <w:jc w:val="center"/>
        <w:rPr>
          <w:rFonts w:hint="eastAsia" w:ascii="宋体" w:hAnsi="宋体" w:cs="宋体"/>
          <w:color w:val="auto"/>
          <w:sz w:val="22"/>
          <w:szCs w:val="20"/>
          <w:highlight w:val="none"/>
          <w:lang w:bidi="ar"/>
        </w:rPr>
      </w:pPr>
    </w:p>
    <w:p w14:paraId="3E6D052C">
      <w:pPr>
        <w:spacing w:line="360" w:lineRule="auto"/>
        <w:jc w:val="center"/>
        <w:rPr>
          <w:rFonts w:hint="eastAsia" w:ascii="宋体" w:hAnsi="宋体" w:cs="宋体"/>
          <w:color w:val="auto"/>
          <w:sz w:val="22"/>
          <w:szCs w:val="20"/>
          <w:highlight w:val="none"/>
        </w:rPr>
      </w:pPr>
      <w:r>
        <w:rPr>
          <w:rFonts w:hint="eastAsia" w:ascii="宋体" w:hAnsi="宋体" w:cs="宋体"/>
          <w:color w:val="auto"/>
          <w:sz w:val="22"/>
          <w:szCs w:val="20"/>
          <w:highlight w:val="none"/>
          <w:lang w:bidi="ar"/>
        </w:rPr>
        <w:t xml:space="preserve">                            投标人：（公章）</w:t>
      </w:r>
    </w:p>
    <w:p w14:paraId="046061F6">
      <w:pPr>
        <w:spacing w:line="360" w:lineRule="auto"/>
        <w:jc w:val="right"/>
        <w:rPr>
          <w:rFonts w:hint="eastAsia" w:ascii="宋体" w:hAnsi="宋体" w:cs="宋体"/>
          <w:color w:val="auto"/>
          <w:sz w:val="22"/>
          <w:szCs w:val="20"/>
          <w:highlight w:val="none"/>
        </w:rPr>
      </w:pPr>
    </w:p>
    <w:p w14:paraId="38264095">
      <w:pPr>
        <w:spacing w:line="360" w:lineRule="auto"/>
        <w:jc w:val="center"/>
        <w:rPr>
          <w:rFonts w:hint="eastAsia" w:ascii="宋体" w:hAnsi="宋体" w:cs="宋体"/>
          <w:color w:val="auto"/>
          <w:sz w:val="22"/>
          <w:szCs w:val="20"/>
          <w:highlight w:val="none"/>
        </w:rPr>
      </w:pPr>
      <w:r>
        <w:rPr>
          <w:rFonts w:hint="eastAsia" w:ascii="宋体" w:hAnsi="宋体" w:cs="宋体"/>
          <w:color w:val="auto"/>
          <w:sz w:val="22"/>
          <w:szCs w:val="20"/>
          <w:highlight w:val="none"/>
          <w:lang w:bidi="ar"/>
        </w:rPr>
        <w:t xml:space="preserve">                                                     年  月   日</w:t>
      </w:r>
    </w:p>
    <w:p w14:paraId="5DCB2E22">
      <w:pPr>
        <w:widowControl/>
        <w:numPr>
          <w:ilvl w:val="-1"/>
          <w:numId w:val="0"/>
        </w:numPr>
        <w:spacing w:line="240" w:lineRule="auto"/>
        <w:rPr>
          <w:rFonts w:hint="eastAsia" w:ascii="宋体" w:hAnsi="宋体" w:cs="宋体"/>
          <w:b/>
          <w:color w:val="auto"/>
          <w:sz w:val="32"/>
          <w:szCs w:val="32"/>
          <w:highlight w:val="none"/>
          <w:lang w:bidi="ar"/>
        </w:rPr>
      </w:pPr>
      <w:r>
        <w:rPr>
          <w:rFonts w:hint="eastAsia" w:ascii="宋体" w:hAnsi="宋体" w:cs="宋体"/>
          <w:b/>
          <w:color w:val="auto"/>
          <w:sz w:val="32"/>
          <w:szCs w:val="32"/>
          <w:highlight w:val="none"/>
          <w:lang w:bidi="ar"/>
        </w:rPr>
        <w:br w:type="page"/>
      </w:r>
    </w:p>
    <w:p w14:paraId="540B4DDC">
      <w:pPr>
        <w:widowControl/>
        <w:numPr>
          <w:ilvl w:val="0"/>
          <w:numId w:val="4"/>
        </w:numPr>
        <w:spacing w:line="360" w:lineRule="auto"/>
        <w:rPr>
          <w:rFonts w:hint="eastAsia" w:ascii="宋体" w:hAnsi="宋体" w:cs="宋体"/>
          <w:b/>
          <w:color w:val="auto"/>
          <w:sz w:val="32"/>
          <w:szCs w:val="32"/>
          <w:highlight w:val="none"/>
          <w:lang w:bidi="ar"/>
        </w:rPr>
      </w:pPr>
      <w:r>
        <w:rPr>
          <w:rFonts w:hint="eastAsia" w:ascii="宋体" w:hAnsi="宋体" w:cs="宋体"/>
          <w:b/>
          <w:color w:val="auto"/>
          <w:sz w:val="32"/>
          <w:szCs w:val="32"/>
          <w:highlight w:val="none"/>
          <w:lang w:bidi="ar"/>
        </w:rPr>
        <w:t>工程量清单报价</w:t>
      </w:r>
    </w:p>
    <w:p w14:paraId="3DE656AD">
      <w:pPr>
        <w:widowControl/>
        <w:spacing w:line="360" w:lineRule="auto"/>
        <w:jc w:val="center"/>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(格式详见招标文件第七章第三方检测监测清单及综合单价限价表）</w:t>
      </w:r>
      <w:bookmarkEnd w:id="258"/>
      <w:bookmarkEnd w:id="259"/>
      <w:bookmarkEnd w:id="260"/>
      <w:bookmarkEnd w:id="261"/>
      <w:bookmarkEnd w:id="262"/>
      <w:bookmarkEnd w:id="263"/>
    </w:p>
    <w:p w14:paraId="31B5D5A9">
      <w:pPr>
        <w:rPr>
          <w:color w:val="auto"/>
          <w:highlight w:val="none"/>
        </w:rPr>
      </w:pPr>
      <w:r>
        <w:rPr>
          <w:rFonts w:hint="eastAsia"/>
          <w:color w:val="auto"/>
          <w:highlight w:val="none"/>
        </w:rPr>
        <w:br w:type="page"/>
      </w:r>
    </w:p>
    <w:p w14:paraId="08CA9B08">
      <w:pPr>
        <w:pStyle w:val="4"/>
        <w:jc w:val="both"/>
        <w:rPr>
          <w:rFonts w:hint="eastAsia"/>
          <w:color w:val="auto"/>
          <w:highlight w:val="none"/>
        </w:rPr>
      </w:pPr>
      <w:bookmarkStart w:id="264" w:name="_Toc28153"/>
      <w:bookmarkStart w:id="265" w:name="_Toc14387"/>
      <w:bookmarkStart w:id="266" w:name="_Toc25034"/>
      <w:bookmarkStart w:id="267" w:name="_Toc4407"/>
      <w:r>
        <w:rPr>
          <w:rFonts w:hint="eastAsia"/>
          <w:color w:val="auto"/>
          <w:highlight w:val="none"/>
        </w:rPr>
        <w:t>五、资格审查资料</w:t>
      </w:r>
      <w:bookmarkEnd w:id="264"/>
      <w:bookmarkEnd w:id="265"/>
      <w:bookmarkEnd w:id="266"/>
      <w:bookmarkEnd w:id="267"/>
    </w:p>
    <w:p w14:paraId="7EAC210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（一）投标人基本情况表</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2098A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5A5F03C6">
            <w:pPr>
              <w:topLinePunct/>
              <w:spacing w:line="440" w:lineRule="exact"/>
              <w:jc w:val="center"/>
              <w:rPr>
                <w:rFonts w:hint="eastAsia"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0F774936">
            <w:pPr>
              <w:topLinePunct/>
              <w:spacing w:line="440" w:lineRule="exact"/>
              <w:jc w:val="center"/>
              <w:rPr>
                <w:rFonts w:hint="eastAsia" w:ascii="宋体" w:hAnsi="宋体"/>
                <w:color w:val="auto"/>
                <w:highlight w:val="none"/>
              </w:rPr>
            </w:pPr>
          </w:p>
        </w:tc>
      </w:tr>
      <w:tr w14:paraId="34A28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5247ED3">
            <w:pPr>
              <w:topLinePunct/>
              <w:spacing w:line="440" w:lineRule="exact"/>
              <w:jc w:val="center"/>
              <w:rPr>
                <w:rFonts w:hint="eastAsia"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D1923A1">
            <w:pPr>
              <w:topLinePunct/>
              <w:spacing w:line="440" w:lineRule="exact"/>
              <w:jc w:val="center"/>
              <w:rPr>
                <w:rFonts w:hint="eastAsia"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0813EAF">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5567236E">
            <w:pPr>
              <w:topLinePunct/>
              <w:spacing w:line="440" w:lineRule="exact"/>
              <w:jc w:val="center"/>
              <w:rPr>
                <w:rFonts w:hint="eastAsia" w:ascii="宋体" w:hAnsi="宋体"/>
                <w:color w:val="auto"/>
                <w:highlight w:val="none"/>
              </w:rPr>
            </w:pPr>
          </w:p>
        </w:tc>
      </w:tr>
      <w:tr w14:paraId="73963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3B7704B6">
            <w:pPr>
              <w:topLinePunct/>
              <w:spacing w:line="440" w:lineRule="exact"/>
              <w:jc w:val="center"/>
              <w:rPr>
                <w:rFonts w:hint="eastAsia"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9F8F472">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43A0504A">
            <w:pPr>
              <w:topLinePunct/>
              <w:spacing w:line="440" w:lineRule="exact"/>
              <w:jc w:val="center"/>
              <w:rPr>
                <w:rFonts w:hint="eastAsia"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DA68039">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14:paraId="013DEAAD">
            <w:pPr>
              <w:topLinePunct/>
              <w:spacing w:line="440" w:lineRule="exact"/>
              <w:jc w:val="center"/>
              <w:rPr>
                <w:rFonts w:hint="eastAsia" w:ascii="宋体" w:hAnsi="宋体"/>
                <w:color w:val="auto"/>
                <w:highlight w:val="none"/>
              </w:rPr>
            </w:pPr>
          </w:p>
        </w:tc>
      </w:tr>
      <w:tr w14:paraId="42AA5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62F95B4C">
            <w:pPr>
              <w:jc w:val="center"/>
              <w:rPr>
                <w:rFonts w:hint="eastAsia"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7EA22399">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64B71831">
            <w:pPr>
              <w:topLinePunct/>
              <w:spacing w:line="440" w:lineRule="exact"/>
              <w:jc w:val="center"/>
              <w:rPr>
                <w:rFonts w:hint="eastAsia"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23537D3">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14:paraId="367C504C">
            <w:pPr>
              <w:topLinePunct/>
              <w:spacing w:line="440" w:lineRule="exact"/>
              <w:jc w:val="center"/>
              <w:rPr>
                <w:rFonts w:hint="eastAsia" w:ascii="宋体" w:hAnsi="宋体"/>
                <w:color w:val="auto"/>
                <w:highlight w:val="none"/>
              </w:rPr>
            </w:pPr>
          </w:p>
        </w:tc>
      </w:tr>
      <w:tr w14:paraId="63260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121CB059">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4F78434">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9F168F9">
            <w:pPr>
              <w:topLinePunct/>
              <w:spacing w:line="440" w:lineRule="exact"/>
              <w:jc w:val="center"/>
              <w:rPr>
                <w:rFonts w:hint="eastAsia"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020F806A">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5B88848">
            <w:pPr>
              <w:topLinePunct/>
              <w:spacing w:line="440" w:lineRule="exact"/>
              <w:jc w:val="center"/>
              <w:rPr>
                <w:rFonts w:hint="eastAsia"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807D61A">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0F628956">
            <w:pPr>
              <w:topLinePunct/>
              <w:spacing w:line="440" w:lineRule="exact"/>
              <w:jc w:val="center"/>
              <w:rPr>
                <w:rFonts w:hint="eastAsia" w:ascii="宋体" w:hAnsi="宋体"/>
                <w:color w:val="auto"/>
                <w:highlight w:val="none"/>
              </w:rPr>
            </w:pPr>
          </w:p>
        </w:tc>
      </w:tr>
      <w:tr w14:paraId="3DD7D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8EF5DCC">
            <w:pPr>
              <w:topLinePunct/>
              <w:spacing w:line="440" w:lineRule="exact"/>
              <w:jc w:val="center"/>
              <w:rPr>
                <w:rFonts w:hint="eastAsia"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6853452B">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9C1A256">
            <w:pPr>
              <w:topLinePunct/>
              <w:spacing w:line="440" w:lineRule="exact"/>
              <w:jc w:val="center"/>
              <w:rPr>
                <w:rFonts w:hint="eastAsia"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6E1D1506">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FF4F256">
            <w:pPr>
              <w:topLinePunct/>
              <w:spacing w:line="440" w:lineRule="exact"/>
              <w:jc w:val="center"/>
              <w:rPr>
                <w:rFonts w:hint="eastAsia"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12B0A16">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1ADE7E53">
            <w:pPr>
              <w:topLinePunct/>
              <w:spacing w:line="440" w:lineRule="exact"/>
              <w:jc w:val="center"/>
              <w:rPr>
                <w:rFonts w:hint="eastAsia" w:ascii="宋体" w:hAnsi="宋体"/>
                <w:color w:val="auto"/>
                <w:highlight w:val="none"/>
              </w:rPr>
            </w:pPr>
          </w:p>
        </w:tc>
      </w:tr>
      <w:tr w14:paraId="63528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CD22A93">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14:paraId="200759F7">
            <w:pPr>
              <w:topLinePunct/>
              <w:spacing w:before="100" w:beforeAutospacing="1" w:after="100" w:afterAutospacing="1" w:line="440" w:lineRule="exact"/>
              <w:ind w:firstLine="105" w:firstLineChars="50"/>
              <w:jc w:val="center"/>
              <w:rPr>
                <w:rFonts w:hint="eastAsia" w:ascii="宋体" w:hAnsi="宋体"/>
                <w:color w:val="auto"/>
                <w:highlight w:val="none"/>
              </w:rPr>
            </w:pPr>
            <w:r>
              <w:rPr>
                <w:rFonts w:hint="eastAsia" w:ascii="宋体" w:hAnsi="宋体"/>
                <w:color w:val="auto"/>
                <w:highlight w:val="none"/>
              </w:rPr>
              <w:t>类型：等级：证书号：</w:t>
            </w:r>
          </w:p>
        </w:tc>
      </w:tr>
      <w:tr w14:paraId="1CCC3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BC347DC">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6A32D3D2">
            <w:pPr>
              <w:topLinePunct/>
              <w:spacing w:before="100" w:beforeAutospacing="1" w:after="100" w:afterAutospacing="1" w:line="440" w:lineRule="exact"/>
              <w:ind w:firstLine="105" w:firstLineChars="50"/>
              <w:jc w:val="center"/>
              <w:rPr>
                <w:rFonts w:hint="eastAsia" w:ascii="宋体" w:hAnsi="宋体"/>
                <w:color w:val="auto"/>
                <w:highlight w:val="none"/>
              </w:rPr>
            </w:pPr>
            <w:r>
              <w:rPr>
                <w:rFonts w:hint="eastAsia" w:ascii="宋体" w:hAnsi="宋体"/>
                <w:color w:val="auto"/>
                <w:highlight w:val="none"/>
              </w:rPr>
              <w:t>类型：等级：证书号：</w:t>
            </w:r>
          </w:p>
        </w:tc>
      </w:tr>
      <w:tr w14:paraId="77E3B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BBD6E51">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E9566D7">
            <w:pPr>
              <w:topLinePunct/>
              <w:spacing w:line="440" w:lineRule="exact"/>
              <w:jc w:val="center"/>
              <w:rPr>
                <w:rFonts w:hint="eastAsia"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14:paraId="34602D5C">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员工总人数：</w:t>
            </w:r>
          </w:p>
        </w:tc>
      </w:tr>
      <w:tr w14:paraId="4CEBF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093C709">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A4DDF58">
            <w:pPr>
              <w:topLinePunct/>
              <w:spacing w:line="440" w:lineRule="exact"/>
              <w:jc w:val="center"/>
              <w:rPr>
                <w:rFonts w:hint="eastAsia"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392386E5">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261A8F3">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12C9AEEA">
            <w:pPr>
              <w:topLinePunct/>
              <w:spacing w:line="440" w:lineRule="exact"/>
              <w:jc w:val="center"/>
              <w:rPr>
                <w:rFonts w:hint="eastAsia" w:ascii="宋体" w:hAnsi="宋体"/>
                <w:color w:val="auto"/>
                <w:highlight w:val="none"/>
              </w:rPr>
            </w:pPr>
          </w:p>
        </w:tc>
      </w:tr>
      <w:tr w14:paraId="56962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C4996EF">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CF881AE">
            <w:pPr>
              <w:topLinePunct/>
              <w:spacing w:line="440" w:lineRule="exact"/>
              <w:jc w:val="center"/>
              <w:rPr>
                <w:rFonts w:hint="eastAsia" w:ascii="宋体" w:hAnsi="宋体"/>
                <w:color w:val="auto"/>
                <w:highlight w:val="none"/>
              </w:rPr>
            </w:pPr>
          </w:p>
        </w:tc>
        <w:tc>
          <w:tcPr>
            <w:tcW w:w="414" w:type="dxa"/>
            <w:vMerge w:val="continue"/>
            <w:tcBorders>
              <w:left w:val="single" w:color="auto" w:sz="4" w:space="0"/>
              <w:right w:val="single" w:color="auto" w:sz="4" w:space="0"/>
            </w:tcBorders>
            <w:vAlign w:val="center"/>
          </w:tcPr>
          <w:p w14:paraId="5EE0C64C">
            <w:pPr>
              <w:jc w:val="center"/>
              <w:rPr>
                <w:rFonts w:hint="eastAsia"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E2BB995">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23845FED">
            <w:pPr>
              <w:topLinePunct/>
              <w:spacing w:line="440" w:lineRule="exact"/>
              <w:jc w:val="center"/>
              <w:rPr>
                <w:rFonts w:hint="eastAsia" w:ascii="宋体" w:hAnsi="宋体"/>
                <w:color w:val="auto"/>
                <w:highlight w:val="none"/>
              </w:rPr>
            </w:pPr>
          </w:p>
        </w:tc>
      </w:tr>
      <w:tr w14:paraId="53F64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B74281F">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820F3F4">
            <w:pPr>
              <w:topLinePunct/>
              <w:spacing w:line="440" w:lineRule="exact"/>
              <w:jc w:val="center"/>
              <w:rPr>
                <w:rFonts w:hint="eastAsia" w:ascii="宋体" w:hAnsi="宋体"/>
                <w:color w:val="auto"/>
                <w:highlight w:val="none"/>
              </w:rPr>
            </w:pPr>
          </w:p>
        </w:tc>
        <w:tc>
          <w:tcPr>
            <w:tcW w:w="414" w:type="dxa"/>
            <w:vMerge w:val="continue"/>
            <w:tcBorders>
              <w:left w:val="single" w:color="auto" w:sz="4" w:space="0"/>
              <w:right w:val="single" w:color="auto" w:sz="4" w:space="0"/>
            </w:tcBorders>
            <w:vAlign w:val="center"/>
          </w:tcPr>
          <w:p w14:paraId="6DD2D762">
            <w:pPr>
              <w:jc w:val="center"/>
              <w:rPr>
                <w:rFonts w:hint="eastAsia"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1B7BA3A">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7380E9C4">
            <w:pPr>
              <w:topLinePunct/>
              <w:spacing w:line="440" w:lineRule="exact"/>
              <w:jc w:val="center"/>
              <w:rPr>
                <w:rFonts w:hint="eastAsia" w:ascii="宋体" w:hAnsi="宋体"/>
                <w:color w:val="auto"/>
                <w:highlight w:val="none"/>
              </w:rPr>
            </w:pPr>
          </w:p>
        </w:tc>
      </w:tr>
      <w:tr w14:paraId="01054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B61D000">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16A0997">
            <w:pPr>
              <w:topLinePunct/>
              <w:spacing w:line="440" w:lineRule="exact"/>
              <w:jc w:val="center"/>
              <w:rPr>
                <w:rFonts w:hint="eastAsia" w:ascii="宋体" w:hAnsi="宋体"/>
                <w:color w:val="auto"/>
                <w:highlight w:val="none"/>
              </w:rPr>
            </w:pPr>
          </w:p>
        </w:tc>
        <w:tc>
          <w:tcPr>
            <w:tcW w:w="414" w:type="dxa"/>
            <w:vMerge w:val="continue"/>
            <w:tcBorders>
              <w:left w:val="single" w:color="auto" w:sz="4" w:space="0"/>
              <w:right w:val="single" w:color="auto" w:sz="4" w:space="0"/>
            </w:tcBorders>
            <w:vAlign w:val="center"/>
          </w:tcPr>
          <w:p w14:paraId="7DD1F031">
            <w:pPr>
              <w:jc w:val="center"/>
              <w:rPr>
                <w:rFonts w:hint="eastAsia"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071C4D8">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0C8EADD8">
            <w:pPr>
              <w:topLinePunct/>
              <w:spacing w:line="440" w:lineRule="exact"/>
              <w:jc w:val="center"/>
              <w:rPr>
                <w:rFonts w:hint="eastAsia" w:ascii="宋体" w:hAnsi="宋体"/>
                <w:color w:val="auto"/>
                <w:highlight w:val="none"/>
              </w:rPr>
            </w:pPr>
          </w:p>
        </w:tc>
      </w:tr>
      <w:tr w14:paraId="2924F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23ECB69F">
            <w:pPr>
              <w:topLinePunct/>
              <w:spacing w:before="100" w:beforeAutospacing="1" w:after="100" w:afterAutospacing="1" w:line="440" w:lineRule="exact"/>
              <w:ind w:firstLine="210" w:firstLineChars="100"/>
              <w:jc w:val="center"/>
              <w:rPr>
                <w:rFonts w:hint="eastAsia"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14:paraId="396B6414">
            <w:pPr>
              <w:topLinePunct/>
              <w:spacing w:line="440" w:lineRule="exact"/>
              <w:jc w:val="center"/>
              <w:rPr>
                <w:rFonts w:hint="eastAsia" w:ascii="宋体" w:hAnsi="宋体"/>
                <w:color w:val="auto"/>
                <w:highlight w:val="none"/>
              </w:rPr>
            </w:pPr>
          </w:p>
        </w:tc>
      </w:tr>
      <w:tr w14:paraId="5E14C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174FF921">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0029E064">
            <w:pPr>
              <w:topLinePunct/>
              <w:spacing w:line="440" w:lineRule="exact"/>
              <w:jc w:val="center"/>
              <w:rPr>
                <w:rFonts w:hint="eastAsia" w:ascii="宋体" w:hAnsi="宋体"/>
                <w:color w:val="auto"/>
                <w:highlight w:val="none"/>
              </w:rPr>
            </w:pPr>
          </w:p>
        </w:tc>
      </w:tr>
      <w:tr w14:paraId="2E329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5FF95F39">
            <w:pPr>
              <w:topLinePunct/>
              <w:spacing w:before="100" w:beforeAutospacing="1" w:after="100" w:afterAutospacing="1" w:line="440" w:lineRule="exact"/>
              <w:jc w:val="center"/>
              <w:rPr>
                <w:rFonts w:hint="eastAsia"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14:paraId="7ADF2522">
            <w:pPr>
              <w:topLinePunct/>
              <w:spacing w:line="440" w:lineRule="exact"/>
              <w:jc w:val="center"/>
              <w:rPr>
                <w:rFonts w:hint="eastAsia" w:ascii="宋体" w:hAnsi="宋体"/>
                <w:color w:val="auto"/>
                <w:highlight w:val="none"/>
              </w:rPr>
            </w:pPr>
          </w:p>
        </w:tc>
      </w:tr>
    </w:tbl>
    <w:p w14:paraId="262EBAD1">
      <w:pPr>
        <w:snapToGrid w:val="0"/>
        <w:rPr>
          <w:rFonts w:hint="eastAsia" w:ascii="宋体" w:hAnsi="宋体"/>
          <w:color w:val="auto"/>
          <w:spacing w:val="-5"/>
          <w:szCs w:val="21"/>
          <w:highlight w:val="none"/>
        </w:rPr>
      </w:pPr>
    </w:p>
    <w:p w14:paraId="68406CE9">
      <w:pPr>
        <w:snapToGrid w:val="0"/>
        <w:rPr>
          <w:rFonts w:hint="eastAsia"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14:paraId="672C31C0">
      <w:pPr>
        <w:snapToGrid w:val="0"/>
        <w:rPr>
          <w:rFonts w:hint="eastAsia"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、本表后须附招标文件第二章1.4.1项规定的要求的相关资料。</w:t>
      </w:r>
    </w:p>
    <w:p w14:paraId="0CE2CA82">
      <w:pPr>
        <w:widowControl/>
        <w:jc w:val="center"/>
        <w:rPr>
          <w:rFonts w:hint="eastAsia"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14:paraId="66353981">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本招标项目招标人及招标监管机构：</w:t>
      </w:r>
    </w:p>
    <w:p w14:paraId="7FFE3F89">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本公司就参加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投标工作，作出郑重声明：</w:t>
      </w:r>
    </w:p>
    <w:p w14:paraId="550AAB11">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620A7B62">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二、本公司保证在本项目投标中不与其他单位围标、串标，不出让投标资格，不向招标人或评标委员会成员行贿。</w:t>
      </w:r>
    </w:p>
    <w:p w14:paraId="2D48BE50">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近二年（从招标公告发布年度起逆推2年的1月1日起至投标截止时间止）未因以往检测工作中存在伪造检测数据、出具虚假检测报告的行为被各级建设行政主管部门或市场监督管理部门行政处罚或通报的。</w:t>
      </w:r>
    </w:p>
    <w:p w14:paraId="0ABC52DC">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四、本公司不存在招标文件第二章投标人须知第1.4.3项所规定的任何一种情形。</w:t>
      </w:r>
    </w:p>
    <w:p w14:paraId="5396F93D">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 xml:space="preserve">五、本公司不为招标人不具有独立法人资格的附属机构（单位），不存在与招标人存在利害关系且可能影响招标公正性；本公司及其有隶属关系的机构没有参加本项目的设计、前期工作、招标文件编写、监理工作；本公司与承担本招标项目代建单位（适用于有代建单位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 </w:t>
      </w:r>
    </w:p>
    <w:p w14:paraId="481B0021">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六、与本公司单位负责人为同一人或者与本公司存在控股、管理关系的其他单位包括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。（注：本条由投标人如实填写，如有，应列出全部满足招标公告资质要求的相关单位的名称；如无，则填写“无”。）</w:t>
      </w:r>
    </w:p>
    <w:p w14:paraId="71F997AA">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七、本公司承诺，中标后严格执行安全生产相关管理规定。</w:t>
      </w:r>
    </w:p>
    <w:p w14:paraId="4D4AE4D7">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276A4C2F">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14:paraId="5E5DA1E7">
      <w:pPr>
        <w:spacing w:line="360" w:lineRule="auto"/>
        <w:ind w:firstLine="484" w:firstLineChars="202"/>
        <w:rPr>
          <w:rFonts w:hint="eastAsia" w:ascii="宋体" w:hAnsi="宋体"/>
          <w:color w:val="auto"/>
          <w:highlight w:val="none"/>
        </w:rPr>
      </w:pPr>
      <w:r>
        <w:rPr>
          <w:rFonts w:hint="eastAsia" w:ascii="宋体" w:hAnsi="宋体"/>
          <w:color w:val="auto"/>
          <w:sz w:val="24"/>
          <w:szCs w:val="24"/>
          <w:highlight w:val="none"/>
        </w:rPr>
        <w:t>特此声明。</w:t>
      </w:r>
    </w:p>
    <w:p w14:paraId="7D1EC1AC">
      <w:pPr>
        <w:pStyle w:val="61"/>
        <w:adjustRightInd w:val="0"/>
        <w:snapToGrid w:val="0"/>
        <w:ind w:firstLine="0"/>
        <w:rPr>
          <w:rFonts w:hint="eastAsia" w:ascii="宋体" w:hAnsi="宋体" w:eastAsia="宋体"/>
          <w:color w:val="auto"/>
          <w:sz w:val="24"/>
          <w:szCs w:val="24"/>
          <w:highlight w:val="none"/>
        </w:rPr>
      </w:pPr>
    </w:p>
    <w:p w14:paraId="252A7E96">
      <w:pPr>
        <w:pStyle w:val="61"/>
        <w:adjustRightInd w:val="0"/>
        <w:snapToGrid w:val="0"/>
        <w:ind w:firstLine="0"/>
        <w:rPr>
          <w:rFonts w:hint="eastAsia" w:ascii="宋体" w:hAnsi="宋体" w:eastAsia="宋体"/>
          <w:color w:val="auto"/>
          <w:sz w:val="24"/>
          <w:szCs w:val="24"/>
          <w:highlight w:val="none"/>
        </w:rPr>
      </w:pPr>
    </w:p>
    <w:p w14:paraId="15818B0B">
      <w:pPr>
        <w:pStyle w:val="61"/>
        <w:adjustRightInd w:val="0"/>
        <w:snapToGrid w:val="0"/>
        <w:ind w:firstLine="0"/>
        <w:rPr>
          <w:rFonts w:hint="eastAsia" w:ascii="宋体" w:hAnsi="宋体" w:eastAsia="宋体"/>
          <w:color w:val="auto"/>
          <w:sz w:val="24"/>
          <w:szCs w:val="24"/>
          <w:highlight w:val="none"/>
        </w:rPr>
      </w:pPr>
    </w:p>
    <w:p w14:paraId="76AAA5E1">
      <w:pPr>
        <w:pStyle w:val="61"/>
        <w:adjustRightInd w:val="0"/>
        <w:snapToGrid w:val="0"/>
        <w:ind w:right="-35" w:firstLine="4819" w:firstLineChars="2008"/>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投标单位（盖公章）：</w:t>
      </w:r>
    </w:p>
    <w:p w14:paraId="3B01DD43">
      <w:pPr>
        <w:pStyle w:val="61"/>
        <w:adjustRightInd w:val="0"/>
        <w:snapToGrid w:val="0"/>
        <w:ind w:right="-35" w:firstLine="4819" w:firstLineChars="2008"/>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法定代表人或授权委托人（签字或盖章）：</w:t>
      </w:r>
    </w:p>
    <w:p w14:paraId="518F6F95">
      <w:pPr>
        <w:pStyle w:val="61"/>
        <w:adjustRightInd w:val="0"/>
        <w:snapToGrid w:val="0"/>
        <w:ind w:right="-35" w:firstLine="4819" w:firstLineChars="2008"/>
        <w:jc w:val="left"/>
        <w:rPr>
          <w:rFonts w:hint="eastAsia" w:ascii="宋体" w:hAnsi="宋体" w:cs="宋体"/>
          <w:b/>
          <w:bCs/>
          <w:color w:val="auto"/>
          <w:kern w:val="0"/>
          <w:szCs w:val="21"/>
          <w:highlight w:val="none"/>
        </w:rPr>
      </w:pPr>
      <w:r>
        <w:rPr>
          <w:rFonts w:hint="eastAsia" w:ascii="宋体" w:hAnsi="宋体" w:eastAsia="宋体"/>
          <w:color w:val="auto"/>
          <w:sz w:val="24"/>
          <w:szCs w:val="24"/>
          <w:highlight w:val="none"/>
        </w:rPr>
        <w:t>日</w:t>
      </w:r>
      <w:r>
        <w:rPr>
          <w:rFonts w:hint="eastAsia" w:ascii="宋体" w:hAnsi="宋体"/>
          <w:color w:val="auto"/>
          <w:sz w:val="24"/>
          <w:szCs w:val="24"/>
          <w:highlight w:val="none"/>
        </w:rPr>
        <w:t xml:space="preserve">  期：    年   月   日</w:t>
      </w:r>
    </w:p>
    <w:p w14:paraId="0CC9C313">
      <w:pPr>
        <w:widowControl/>
        <w:jc w:val="center"/>
        <w:rPr>
          <w:rFonts w:hint="eastAsia" w:ascii="宋体" w:hAnsi="宋体" w:cs="宋体"/>
          <w:b/>
          <w:bCs/>
          <w:color w:val="auto"/>
          <w:kern w:val="0"/>
          <w:szCs w:val="21"/>
          <w:highlight w:val="none"/>
        </w:rPr>
      </w:pPr>
    </w:p>
    <w:p w14:paraId="6C298B12">
      <w:pPr>
        <w:widowControl/>
        <w:rPr>
          <w:rFonts w:hint="eastAsia" w:ascii="宋体" w:hAnsi="宋体" w:cs="宋体"/>
          <w:b/>
          <w:bCs/>
          <w:color w:val="auto"/>
          <w:kern w:val="0"/>
          <w:szCs w:val="21"/>
          <w:highlight w:val="none"/>
        </w:rPr>
      </w:pPr>
    </w:p>
    <w:p w14:paraId="0DC8A6DB">
      <w:pPr>
        <w:widowControl/>
        <w:spacing w:line="360" w:lineRule="auto"/>
        <w:jc w:val="center"/>
        <w:rPr>
          <w:rFonts w:hint="eastAsia" w:ascii="宋体" w:hAnsi="宋体" w:cs="华文楷体"/>
          <w:strike/>
          <w:color w:val="auto"/>
          <w:sz w:val="24"/>
          <w:szCs w:val="24"/>
          <w:highlight w:val="none"/>
        </w:rPr>
      </w:pPr>
      <w:r>
        <w:rPr>
          <w:color w:val="auto"/>
          <w:highlight w:val="none"/>
        </w:rPr>
        <w:br w:type="page"/>
      </w:r>
    </w:p>
    <w:p w14:paraId="0F635739">
      <w:pPr>
        <w:pStyle w:val="4"/>
        <w:rPr>
          <w:rFonts w:hint="default" w:ascii="宋体" w:hAnsi="宋体" w:eastAsia="宋体" w:cs="Times New Roman"/>
          <w:color w:val="auto"/>
          <w:sz w:val="28"/>
          <w:highlight w:val="none"/>
          <w:lang w:val="en-US" w:eastAsia="zh-CN"/>
        </w:rPr>
      </w:pPr>
      <w:bookmarkStart w:id="268" w:name="_Toc29873"/>
      <w:r>
        <w:rPr>
          <w:rFonts w:hint="eastAsia" w:ascii="宋体" w:hAnsi="宋体" w:cs="宋体"/>
          <w:b/>
          <w:bCs/>
          <w:color w:val="auto"/>
          <w:kern w:val="0"/>
          <w:sz w:val="28"/>
          <w:szCs w:val="28"/>
          <w:highlight w:val="none"/>
        </w:rPr>
        <w:t>（三）</w:t>
      </w:r>
      <w:r>
        <w:rPr>
          <w:rFonts w:hint="eastAsia" w:ascii="宋体" w:hAnsi="宋体" w:eastAsia="宋体" w:cs="Times New Roman"/>
          <w:color w:val="auto"/>
          <w:sz w:val="28"/>
          <w:highlight w:val="none"/>
          <w:lang w:val="en-US" w:eastAsia="zh-CN"/>
        </w:rPr>
        <w:t>中小企业证明材料</w:t>
      </w:r>
      <w:bookmarkEnd w:id="268"/>
    </w:p>
    <w:p w14:paraId="35007730">
      <w:pPr>
        <w:spacing w:line="360" w:lineRule="auto"/>
        <w:jc w:val="center"/>
        <w:rPr>
          <w:b/>
          <w:color w:val="auto"/>
          <w:kern w:val="0"/>
          <w:sz w:val="40"/>
          <w:szCs w:val="44"/>
          <w:highlight w:val="none"/>
        </w:rPr>
      </w:pPr>
      <w:r>
        <w:rPr>
          <w:rFonts w:hint="eastAsia"/>
          <w:b/>
          <w:color w:val="auto"/>
          <w:kern w:val="0"/>
          <w:sz w:val="40"/>
          <w:szCs w:val="44"/>
          <w:highlight w:val="none"/>
        </w:rPr>
        <w:t>中小企业声明函</w:t>
      </w:r>
    </w:p>
    <w:p w14:paraId="3E3E67B0">
      <w:pPr>
        <w:spacing w:line="360" w:lineRule="auto"/>
        <w:rPr>
          <w:rFonts w:hint="eastAsia" w:ascii="宋体" w:hAnsi="宋体" w:eastAsia="宋体" w:cs="宋体"/>
          <w:color w:val="auto"/>
          <w:sz w:val="24"/>
          <w:szCs w:val="20"/>
          <w:highlight w:val="none"/>
          <w:u w:val="single"/>
        </w:rPr>
      </w:pPr>
    </w:p>
    <w:p w14:paraId="19E1E908">
      <w:pPr>
        <w:spacing w:line="360" w:lineRule="auto"/>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u w:val="single"/>
        </w:rPr>
        <w:t xml:space="preserve">致：        （招标人）         </w:t>
      </w:r>
    </w:p>
    <w:p w14:paraId="286B0103">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本公司（联合体）郑重声明，根据《政府采购促进中小企业发展管理办法》（财库﹝2020﹞46号）的规定，本公司（联合体）参加</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招标人</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rPr>
        <w:t>活动，服务全部由符合政策要求的中小企业承接。相关企业的具体情况如下：</w:t>
      </w:r>
    </w:p>
    <w:p w14:paraId="35854CD7">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rPr>
        <w:t xml:space="preserve">     （项目名称）     </w:t>
      </w:r>
      <w:r>
        <w:rPr>
          <w:rFonts w:hint="eastAsia" w:ascii="宋体" w:hAnsi="宋体" w:cs="宋体"/>
          <w:color w:val="auto"/>
          <w:sz w:val="24"/>
          <w:szCs w:val="20"/>
          <w:highlight w:val="none"/>
        </w:rPr>
        <w:t>，属</w:t>
      </w:r>
      <w:r>
        <w:rPr>
          <w:rFonts w:hint="eastAsia" w:ascii="宋体" w:hAnsi="宋体" w:eastAsia="宋体" w:cs="宋体"/>
          <w:color w:val="auto"/>
          <w:sz w:val="24"/>
          <w:szCs w:val="20"/>
          <w:highlight w:val="none"/>
        </w:rPr>
        <w:t>于</w:t>
      </w:r>
      <w:r>
        <w:rPr>
          <w:rFonts w:hint="eastAsia" w:ascii="宋体" w:hAnsi="宋体" w:eastAsia="宋体" w:cs="宋体"/>
          <w:b w:val="0"/>
          <w:bCs w:val="0"/>
          <w:color w:val="auto"/>
          <w:sz w:val="24"/>
          <w:szCs w:val="20"/>
          <w:highlight w:val="none"/>
          <w:u w:val="none"/>
          <w:lang w:val="en-US" w:eastAsia="zh-CN"/>
        </w:rPr>
        <w:t>其他未列明</w:t>
      </w:r>
      <w:r>
        <w:rPr>
          <w:rFonts w:hint="eastAsia" w:ascii="宋体" w:hAnsi="宋体" w:eastAsia="宋体" w:cs="宋体"/>
          <w:color w:val="auto"/>
          <w:sz w:val="24"/>
          <w:szCs w:val="20"/>
          <w:highlight w:val="none"/>
          <w:u w:val="none"/>
        </w:rPr>
        <w:t>行业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rPr>
        <w:t xml:space="preserve">    （企业名称）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（□中型企业、□小型企业、□微型企业）</w:t>
      </w:r>
      <w:r>
        <w:rPr>
          <w:rFonts w:hint="eastAsia" w:ascii="宋体" w:hAnsi="宋体" w:cs="宋体"/>
          <w:color w:val="auto"/>
          <w:sz w:val="24"/>
          <w:szCs w:val="20"/>
          <w:highlight w:val="none"/>
        </w:rPr>
        <w:t>。</w:t>
      </w:r>
    </w:p>
    <w:p w14:paraId="563B1824">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55333AA2">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72CE258C">
      <w:pPr>
        <w:spacing w:line="360" w:lineRule="auto"/>
        <w:ind w:firstLine="480" w:firstLineChars="200"/>
        <w:rPr>
          <w:rFonts w:ascii="宋体" w:hAnsi="宋体" w:cs="宋体"/>
          <w:color w:val="auto"/>
          <w:sz w:val="24"/>
          <w:szCs w:val="20"/>
          <w:highlight w:val="none"/>
        </w:rPr>
      </w:pPr>
    </w:p>
    <w:p w14:paraId="7F189CE4">
      <w:pPr>
        <w:spacing w:line="360" w:lineRule="auto"/>
        <w:jc w:val="right"/>
        <w:rPr>
          <w:rFonts w:ascii="宋体" w:hAnsi="宋体" w:cs="宋体"/>
          <w:color w:val="auto"/>
          <w:sz w:val="24"/>
          <w:szCs w:val="20"/>
          <w:highlight w:val="none"/>
        </w:rPr>
      </w:pPr>
      <w:r>
        <w:rPr>
          <w:rFonts w:hint="eastAsia" w:ascii="宋体" w:hAnsi="宋体" w:cs="宋体"/>
          <w:color w:val="auto"/>
          <w:sz w:val="24"/>
          <w:szCs w:val="20"/>
          <w:highlight w:val="none"/>
        </w:rPr>
        <w:t>投标人名称（盖章或电子印章）：</w:t>
      </w:r>
    </w:p>
    <w:p w14:paraId="23733B05">
      <w:pPr>
        <w:spacing w:line="360" w:lineRule="auto"/>
        <w:jc w:val="right"/>
        <w:rPr>
          <w:rFonts w:ascii="宋体" w:hAnsi="宋体" w:cs="宋体"/>
          <w:color w:val="auto"/>
          <w:sz w:val="24"/>
          <w:szCs w:val="20"/>
          <w:highlight w:val="none"/>
        </w:rPr>
      </w:pPr>
      <w:r>
        <w:rPr>
          <w:rFonts w:hint="eastAsia" w:ascii="宋体" w:hAnsi="宋体" w:cs="宋体"/>
          <w:color w:val="auto"/>
          <w:sz w:val="24"/>
          <w:szCs w:val="20"/>
          <w:highlight w:val="none"/>
        </w:rPr>
        <w:t>日   期：     年   月   日</w:t>
      </w:r>
    </w:p>
    <w:p w14:paraId="2BCCE57E">
      <w:pPr>
        <w:spacing w:line="360" w:lineRule="auto"/>
        <w:rPr>
          <w:rFonts w:ascii="宋体" w:hAnsi="宋体" w:cs="宋体"/>
          <w:color w:val="auto"/>
          <w:sz w:val="24"/>
          <w:szCs w:val="20"/>
          <w:highlight w:val="none"/>
        </w:rPr>
      </w:pPr>
    </w:p>
    <w:p w14:paraId="049E06C1">
      <w:pPr>
        <w:pStyle w:val="16"/>
        <w:rPr>
          <w:rFonts w:hAnsi="宋体" w:cs="宋体"/>
          <w:color w:val="auto"/>
          <w:sz w:val="24"/>
          <w:highlight w:val="none"/>
        </w:rPr>
      </w:pPr>
    </w:p>
    <w:p w14:paraId="3D19A546">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注：1、从业人员、营业收入、资产总额填报上一年度数据，无上一年度数据的新成立企业可不填报。</w:t>
      </w:r>
    </w:p>
    <w:p w14:paraId="09C49D4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2、《中小企业声明函》适用于中小微企业参加招投标活动的。投标人应当自行核实是否属于中小微企业，并认真填写，若有虚假将追究其责任。</w:t>
      </w:r>
    </w:p>
    <w:p w14:paraId="6941336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3、需按照本项目对应行业出具《中小企业声明函》，而非按照投标人的经营范围出具。</w:t>
      </w:r>
    </w:p>
    <w:p w14:paraId="6189684E">
      <w:pPr>
        <w:spacing w:line="360" w:lineRule="auto"/>
        <w:ind w:firstLine="422" w:firstLineChars="200"/>
        <w:rPr>
          <w:rFonts w:hint="eastAsia" w:ascii="宋体" w:hAnsi="宋体" w:cs="宋体"/>
          <w:b/>
          <w:bCs/>
          <w:color w:val="auto"/>
          <w:szCs w:val="21"/>
          <w:highlight w:val="none"/>
        </w:rPr>
      </w:pPr>
    </w:p>
    <w:p w14:paraId="29EF62BA">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4EB31E00">
      <w:pPr>
        <w:pStyle w:val="72"/>
        <w:jc w:val="center"/>
        <w:outlineLvl w:val="3"/>
        <w:rPr>
          <w:rFonts w:ascii="宋体" w:hAnsi="宋体" w:eastAsia="宋体" w:cs="宋体"/>
          <w:b/>
          <w:color w:val="auto"/>
          <w:kern w:val="2"/>
          <w:sz w:val="32"/>
          <w:szCs w:val="32"/>
          <w:highlight w:val="none"/>
          <w:lang w:eastAsia="zh-CN" w:bidi="ar-SA"/>
        </w:rPr>
      </w:pPr>
      <w:bookmarkStart w:id="269" w:name="_Toc30411"/>
      <w:r>
        <w:rPr>
          <w:rFonts w:ascii="宋体" w:hAnsi="宋体" w:eastAsia="宋体" w:cs="宋体"/>
          <w:b/>
          <w:color w:val="auto"/>
          <w:kern w:val="2"/>
          <w:sz w:val="32"/>
          <w:szCs w:val="32"/>
          <w:highlight w:val="none"/>
          <w:lang w:eastAsia="zh-CN" w:bidi="ar-SA"/>
        </w:rPr>
        <w:t>残疾人福利性单位声明函</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w:t>
      </w:r>
      <w:r>
        <w:rPr>
          <w:rFonts w:hint="eastAsia" w:ascii="宋体" w:hAnsi="宋体" w:cs="宋体"/>
          <w:b/>
          <w:color w:val="auto"/>
          <w:kern w:val="2"/>
          <w:sz w:val="32"/>
          <w:szCs w:val="32"/>
          <w:highlight w:val="none"/>
          <w:lang w:val="en-US" w:eastAsia="zh-CN" w:bidi="ar-SA"/>
        </w:rPr>
        <w:t>需</w:t>
      </w:r>
      <w:r>
        <w:rPr>
          <w:rFonts w:hint="eastAsia" w:ascii="宋体" w:hAnsi="宋体" w:eastAsia="宋体" w:cs="宋体"/>
          <w:b/>
          <w:color w:val="auto"/>
          <w:kern w:val="2"/>
          <w:sz w:val="32"/>
          <w:szCs w:val="32"/>
          <w:highlight w:val="none"/>
          <w:lang w:eastAsia="zh-CN" w:bidi="ar-SA"/>
        </w:rPr>
        <w:t>）</w:t>
      </w:r>
      <w:bookmarkEnd w:id="269"/>
    </w:p>
    <w:p w14:paraId="4A35CEAC">
      <w:pPr>
        <w:pStyle w:val="72"/>
        <w:spacing w:line="360" w:lineRule="auto"/>
        <w:ind w:firstLine="480" w:firstLineChars="200"/>
        <w:rPr>
          <w:rFonts w:hint="eastAsia" w:ascii="宋体" w:hAnsi="宋体" w:cs="宋体"/>
          <w:color w:val="auto"/>
          <w:sz w:val="24"/>
          <w:szCs w:val="20"/>
          <w:highlight w:val="none"/>
        </w:rPr>
      </w:pPr>
    </w:p>
    <w:p w14:paraId="2BBEAE49">
      <w:pPr>
        <w:pStyle w:val="72"/>
        <w:spacing w:line="360" w:lineRule="auto"/>
        <w:ind w:firstLine="0" w:firstLineChars="0"/>
        <w:rPr>
          <w:color w:val="auto"/>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14:paraId="1017A579">
      <w:pPr>
        <w:pStyle w:val="7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0"/>
          <w:highlight w:val="none"/>
          <w:u w:val="single"/>
        </w:rPr>
        <w:t>（招标人）</w:t>
      </w:r>
      <w:r>
        <w:rPr>
          <w:rFonts w:hint="eastAsia"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（项目名称）</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活动由本单位</w:t>
      </w:r>
      <w:r>
        <w:rPr>
          <w:rFonts w:hint="eastAsia" w:ascii="宋体" w:hAnsi="宋体" w:eastAsia="宋体" w:cs="宋体"/>
          <w:color w:val="auto"/>
          <w:sz w:val="24"/>
          <w:szCs w:val="24"/>
          <w:highlight w:val="none"/>
          <w:u w:val="single"/>
        </w:rPr>
        <w:t>提供服务</w:t>
      </w:r>
      <w:r>
        <w:rPr>
          <w:rFonts w:hint="eastAsia" w:ascii="宋体" w:hAnsi="宋体" w:eastAsia="宋体" w:cs="宋体"/>
          <w:color w:val="auto"/>
          <w:sz w:val="24"/>
          <w:szCs w:val="24"/>
          <w:highlight w:val="none"/>
        </w:rPr>
        <w:t>。</w:t>
      </w:r>
    </w:p>
    <w:p w14:paraId="19A9C7C2">
      <w:pPr>
        <w:pStyle w:val="72"/>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1BA3F40">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3AC68D9C">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130A6491">
      <w:pPr>
        <w:pStyle w:val="16"/>
        <w:spacing w:line="360" w:lineRule="auto"/>
        <w:rPr>
          <w:rFonts w:hint="eastAsia" w:ascii="宋体" w:hAnsi="宋体" w:cs="宋体"/>
          <w:color w:val="auto"/>
          <w:sz w:val="24"/>
          <w:szCs w:val="20"/>
          <w:highlight w:val="none"/>
          <w:lang w:val="en-US" w:eastAsia="zh-CN"/>
        </w:rPr>
      </w:pPr>
    </w:p>
    <w:p w14:paraId="700802AB">
      <w:pPr>
        <w:pStyle w:val="16"/>
        <w:spacing w:line="360" w:lineRule="auto"/>
        <w:rPr>
          <w:rFonts w:hint="eastAsia" w:ascii="宋体" w:hAnsi="宋体" w:cs="宋体"/>
          <w:color w:val="auto"/>
          <w:sz w:val="24"/>
          <w:szCs w:val="20"/>
          <w:highlight w:val="none"/>
          <w:lang w:val="en-US" w:eastAsia="zh-CN"/>
        </w:rPr>
      </w:pPr>
    </w:p>
    <w:p w14:paraId="78AF3058">
      <w:pPr>
        <w:spacing w:line="360" w:lineRule="auto"/>
        <w:ind w:firstLine="5040" w:firstLineChars="210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投标人</w:t>
      </w:r>
      <w:r>
        <w:rPr>
          <w:rFonts w:hint="eastAsia" w:ascii="宋体" w:hAnsi="宋体" w:eastAsia="宋体" w:cs="宋体"/>
          <w:color w:val="auto"/>
          <w:sz w:val="24"/>
          <w:szCs w:val="20"/>
          <w:highlight w:val="none"/>
        </w:rPr>
        <w:t>名称</w:t>
      </w:r>
      <w:r>
        <w:rPr>
          <w:rFonts w:hint="eastAsia" w:ascii="宋体" w:hAnsi="宋体" w:cs="宋体"/>
          <w:color w:val="auto"/>
          <w:sz w:val="24"/>
          <w:szCs w:val="20"/>
          <w:highlight w:val="none"/>
        </w:rPr>
        <w:t>（</w:t>
      </w:r>
      <w:r>
        <w:rPr>
          <w:rFonts w:hint="eastAsia" w:ascii="宋体" w:hAnsi="宋体" w:cs="宋体"/>
          <w:color w:val="auto"/>
          <w:sz w:val="24"/>
          <w:szCs w:val="20"/>
          <w:highlight w:val="none"/>
          <w:lang w:eastAsia="zh-CN"/>
        </w:rPr>
        <w:t>单位</w:t>
      </w:r>
      <w:r>
        <w:rPr>
          <w:rFonts w:hint="eastAsia" w:ascii="宋体" w:hAnsi="宋体" w:cs="宋体"/>
          <w:color w:val="auto"/>
          <w:sz w:val="24"/>
          <w:szCs w:val="20"/>
          <w:highlight w:val="none"/>
        </w:rPr>
        <w:t>盖章）</w:t>
      </w:r>
      <w:r>
        <w:rPr>
          <w:rFonts w:hint="eastAsia" w:ascii="宋体" w:hAnsi="宋体" w:eastAsia="宋体" w:cs="宋体"/>
          <w:color w:val="auto"/>
          <w:sz w:val="24"/>
          <w:szCs w:val="20"/>
          <w:highlight w:val="none"/>
        </w:rPr>
        <w:t>：</w:t>
      </w:r>
    </w:p>
    <w:p w14:paraId="3BA1E1C3">
      <w:pPr>
        <w:spacing w:line="360" w:lineRule="auto"/>
        <w:ind w:firstLine="5040" w:firstLineChars="2100"/>
        <w:jc w:val="both"/>
        <w:rPr>
          <w:color w:val="auto"/>
          <w:highlight w:val="none"/>
        </w:rPr>
      </w:pPr>
      <w:r>
        <w:rPr>
          <w:rFonts w:hint="eastAsia" w:ascii="宋体" w:hAnsi="宋体" w:eastAsia="宋体" w:cs="宋体"/>
          <w:color w:val="auto"/>
          <w:sz w:val="24"/>
          <w:szCs w:val="20"/>
          <w:highlight w:val="none"/>
        </w:rPr>
        <w:t xml:space="preserve">日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期：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月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日</w:t>
      </w:r>
    </w:p>
    <w:p w14:paraId="0960C9EA">
      <w:pPr>
        <w:widowControl/>
        <w:spacing w:line="360" w:lineRule="auto"/>
        <w:rPr>
          <w:rFonts w:hint="eastAsia" w:ascii="宋体" w:hAnsi="宋体" w:cs="宋体"/>
          <w:b/>
          <w:bCs/>
          <w:color w:val="auto"/>
          <w:kern w:val="0"/>
          <w:sz w:val="28"/>
          <w:szCs w:val="28"/>
          <w:highlight w:val="none"/>
        </w:rPr>
      </w:pPr>
    </w:p>
    <w:p w14:paraId="1E82BD11">
      <w:pPr>
        <w:widowControl/>
        <w:spacing w:line="240" w:lineRule="auto"/>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p>
    <w:p w14:paraId="734EA1FD">
      <w:pPr>
        <w:widowControl/>
        <w:spacing w:line="360" w:lineRule="auto"/>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w:t>
      </w:r>
      <w:r>
        <w:rPr>
          <w:rFonts w:hint="eastAsia" w:ascii="宋体" w:hAnsi="宋体" w:cs="宋体"/>
          <w:b/>
          <w:bCs/>
          <w:color w:val="auto"/>
          <w:kern w:val="0"/>
          <w:sz w:val="28"/>
          <w:szCs w:val="28"/>
          <w:highlight w:val="none"/>
          <w:lang w:val="en-US" w:eastAsia="zh-CN"/>
        </w:rPr>
        <w:t>四</w:t>
      </w:r>
      <w:r>
        <w:rPr>
          <w:rFonts w:hint="eastAsia" w:ascii="宋体" w:hAnsi="宋体" w:cs="宋体"/>
          <w:b/>
          <w:bCs/>
          <w:color w:val="auto"/>
          <w:kern w:val="0"/>
          <w:sz w:val="28"/>
          <w:szCs w:val="28"/>
          <w:highlight w:val="none"/>
        </w:rPr>
        <w:t>）其他符合第二章第1.4.1条款规定的证明</w:t>
      </w:r>
    </w:p>
    <w:p w14:paraId="04565D6E">
      <w:pPr>
        <w:pStyle w:val="28"/>
        <w:ind w:left="0" w:leftChars="0" w:firstLine="0" w:firstLineChars="0"/>
        <w:jc w:val="center"/>
        <w:rPr>
          <w:rFonts w:hint="eastAsia" w:ascii="宋体" w:hAnsi="宋体" w:cs="宋体"/>
          <w:b/>
          <w:bCs/>
          <w:color w:val="auto"/>
          <w:kern w:val="0"/>
          <w:szCs w:val="21"/>
          <w:highlight w:val="none"/>
        </w:rPr>
      </w:pPr>
    </w:p>
    <w:p w14:paraId="38F39A24">
      <w:pPr>
        <w:pStyle w:val="28"/>
        <w:ind w:left="0" w:leftChars="0" w:firstLine="0" w:firstLineChars="0"/>
        <w:jc w:val="center"/>
        <w:rPr>
          <w:rFonts w:hint="eastAsia" w:ascii="宋体" w:hAnsi="宋体" w:cs="宋体"/>
          <w:b/>
          <w:bCs/>
          <w:color w:val="auto"/>
          <w:kern w:val="0"/>
          <w:szCs w:val="21"/>
          <w:highlight w:val="none"/>
        </w:rPr>
      </w:pPr>
    </w:p>
    <w:p w14:paraId="294E11E6">
      <w:pPr>
        <w:pStyle w:val="28"/>
        <w:ind w:left="0" w:leftChars="0" w:firstLine="0" w:firstLineChars="0"/>
        <w:jc w:val="center"/>
        <w:rPr>
          <w:rFonts w:hint="eastAsia" w:ascii="宋体" w:hAnsi="宋体" w:cs="宋体"/>
          <w:b/>
          <w:bCs/>
          <w:color w:val="auto"/>
          <w:kern w:val="0"/>
          <w:szCs w:val="21"/>
          <w:highlight w:val="none"/>
        </w:rPr>
      </w:pPr>
    </w:p>
    <w:p w14:paraId="4FCAA36E">
      <w:pPr>
        <w:pStyle w:val="4"/>
        <w:rPr>
          <w:rFonts w:hint="eastAsia"/>
          <w:color w:val="auto"/>
          <w:highlight w:val="none"/>
        </w:rPr>
      </w:pPr>
      <w:r>
        <w:rPr>
          <w:color w:val="auto"/>
          <w:highlight w:val="none"/>
        </w:rPr>
        <w:br w:type="page"/>
      </w:r>
      <w:bookmarkStart w:id="270" w:name="_Toc21588"/>
      <w:bookmarkStart w:id="271" w:name="_Toc22112"/>
      <w:bookmarkStart w:id="272" w:name="_Toc823"/>
      <w:bookmarkStart w:id="273" w:name="_Toc1854"/>
      <w:bookmarkStart w:id="274" w:name="_Toc20625"/>
      <w:bookmarkStart w:id="275" w:name="_Toc533357334"/>
      <w:r>
        <w:rPr>
          <w:rFonts w:hint="eastAsia"/>
          <w:color w:val="auto"/>
          <w:highlight w:val="none"/>
        </w:rPr>
        <w:t>六、类似项目业绩表</w:t>
      </w:r>
      <w:bookmarkEnd w:id="270"/>
      <w:bookmarkEnd w:id="271"/>
      <w:bookmarkEnd w:id="272"/>
      <w:bookmarkEnd w:id="273"/>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2088"/>
        <w:gridCol w:w="1263"/>
        <w:gridCol w:w="1626"/>
        <w:gridCol w:w="1116"/>
        <w:gridCol w:w="2192"/>
        <w:gridCol w:w="1043"/>
      </w:tblGrid>
      <w:tr w14:paraId="43E7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315" w:type="pct"/>
            <w:vAlign w:val="center"/>
          </w:tcPr>
          <w:p w14:paraId="12897E3B">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序号</w:t>
            </w:r>
          </w:p>
        </w:tc>
        <w:tc>
          <w:tcPr>
            <w:tcW w:w="1048" w:type="pct"/>
            <w:vAlign w:val="center"/>
          </w:tcPr>
          <w:p w14:paraId="69B19F1C">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工程名称</w:t>
            </w:r>
          </w:p>
        </w:tc>
        <w:tc>
          <w:tcPr>
            <w:tcW w:w="634" w:type="pct"/>
            <w:vAlign w:val="center"/>
          </w:tcPr>
          <w:p w14:paraId="5DF39DBE">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建设单位</w:t>
            </w:r>
          </w:p>
        </w:tc>
        <w:tc>
          <w:tcPr>
            <w:tcW w:w="816" w:type="pct"/>
            <w:vAlign w:val="center"/>
          </w:tcPr>
          <w:p w14:paraId="751B798C">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合同价（万元）</w:t>
            </w:r>
          </w:p>
        </w:tc>
        <w:tc>
          <w:tcPr>
            <w:tcW w:w="560" w:type="pct"/>
            <w:vAlign w:val="center"/>
          </w:tcPr>
          <w:p w14:paraId="61CD6044">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起止时间</w:t>
            </w:r>
          </w:p>
        </w:tc>
        <w:tc>
          <w:tcPr>
            <w:tcW w:w="1100" w:type="pct"/>
            <w:vAlign w:val="center"/>
          </w:tcPr>
          <w:p w14:paraId="353F9CBF">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工程所在地址</w:t>
            </w:r>
          </w:p>
        </w:tc>
        <w:tc>
          <w:tcPr>
            <w:tcW w:w="523" w:type="pct"/>
            <w:vAlign w:val="center"/>
          </w:tcPr>
          <w:p w14:paraId="065B533B">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备注</w:t>
            </w:r>
          </w:p>
        </w:tc>
      </w:tr>
      <w:tr w14:paraId="2377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315" w:type="pct"/>
            <w:vAlign w:val="center"/>
          </w:tcPr>
          <w:p w14:paraId="75CEBBD5">
            <w:pPr>
              <w:spacing w:line="240" w:lineRule="atLeast"/>
              <w:jc w:val="center"/>
              <w:rPr>
                <w:rFonts w:hint="eastAsia" w:ascii="宋体" w:hAnsi="宋体"/>
                <w:color w:val="auto"/>
                <w:sz w:val="24"/>
                <w:highlight w:val="none"/>
              </w:rPr>
            </w:pPr>
          </w:p>
        </w:tc>
        <w:tc>
          <w:tcPr>
            <w:tcW w:w="1048" w:type="pct"/>
            <w:vAlign w:val="center"/>
          </w:tcPr>
          <w:p w14:paraId="444EA8DE">
            <w:pPr>
              <w:spacing w:line="240" w:lineRule="atLeast"/>
              <w:jc w:val="center"/>
              <w:rPr>
                <w:rFonts w:hint="eastAsia" w:ascii="宋体" w:hAnsi="宋体"/>
                <w:color w:val="auto"/>
                <w:sz w:val="24"/>
                <w:highlight w:val="none"/>
              </w:rPr>
            </w:pPr>
          </w:p>
        </w:tc>
        <w:tc>
          <w:tcPr>
            <w:tcW w:w="634" w:type="pct"/>
            <w:vAlign w:val="center"/>
          </w:tcPr>
          <w:p w14:paraId="074D85B7">
            <w:pPr>
              <w:spacing w:line="240" w:lineRule="atLeast"/>
              <w:jc w:val="center"/>
              <w:rPr>
                <w:rFonts w:hint="eastAsia" w:ascii="宋体" w:hAnsi="宋体"/>
                <w:color w:val="auto"/>
                <w:sz w:val="24"/>
                <w:highlight w:val="none"/>
              </w:rPr>
            </w:pPr>
          </w:p>
        </w:tc>
        <w:tc>
          <w:tcPr>
            <w:tcW w:w="816" w:type="pct"/>
            <w:vAlign w:val="center"/>
          </w:tcPr>
          <w:p w14:paraId="14CC4CD6">
            <w:pPr>
              <w:spacing w:line="240" w:lineRule="atLeast"/>
              <w:jc w:val="center"/>
              <w:rPr>
                <w:rFonts w:hint="eastAsia" w:ascii="宋体" w:hAnsi="宋体"/>
                <w:color w:val="auto"/>
                <w:sz w:val="24"/>
                <w:highlight w:val="none"/>
              </w:rPr>
            </w:pPr>
          </w:p>
        </w:tc>
        <w:tc>
          <w:tcPr>
            <w:tcW w:w="560" w:type="pct"/>
            <w:vAlign w:val="center"/>
          </w:tcPr>
          <w:p w14:paraId="60C9AE7E">
            <w:pPr>
              <w:spacing w:line="240" w:lineRule="atLeast"/>
              <w:jc w:val="center"/>
              <w:rPr>
                <w:rFonts w:hint="eastAsia" w:ascii="宋体" w:hAnsi="宋体"/>
                <w:color w:val="auto"/>
                <w:sz w:val="24"/>
                <w:highlight w:val="none"/>
              </w:rPr>
            </w:pPr>
          </w:p>
        </w:tc>
        <w:tc>
          <w:tcPr>
            <w:tcW w:w="1100" w:type="pct"/>
            <w:vAlign w:val="center"/>
          </w:tcPr>
          <w:p w14:paraId="346C9AE9">
            <w:pPr>
              <w:spacing w:line="240" w:lineRule="atLeast"/>
              <w:jc w:val="center"/>
              <w:rPr>
                <w:rFonts w:hint="eastAsia" w:ascii="宋体" w:hAnsi="宋体"/>
                <w:color w:val="auto"/>
                <w:sz w:val="24"/>
                <w:highlight w:val="none"/>
              </w:rPr>
            </w:pPr>
          </w:p>
        </w:tc>
        <w:tc>
          <w:tcPr>
            <w:tcW w:w="523" w:type="pct"/>
            <w:vAlign w:val="center"/>
          </w:tcPr>
          <w:p w14:paraId="7EE85A56">
            <w:pPr>
              <w:spacing w:line="240" w:lineRule="atLeast"/>
              <w:jc w:val="center"/>
              <w:rPr>
                <w:rFonts w:hint="eastAsia" w:ascii="宋体" w:hAnsi="宋体"/>
                <w:color w:val="auto"/>
                <w:sz w:val="24"/>
                <w:highlight w:val="none"/>
              </w:rPr>
            </w:pPr>
          </w:p>
        </w:tc>
      </w:tr>
      <w:tr w14:paraId="77A4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0BA04DEA">
            <w:pPr>
              <w:spacing w:line="240" w:lineRule="atLeast"/>
              <w:jc w:val="center"/>
              <w:rPr>
                <w:rFonts w:hint="eastAsia" w:ascii="宋体" w:hAnsi="宋体"/>
                <w:color w:val="auto"/>
                <w:sz w:val="24"/>
                <w:highlight w:val="none"/>
              </w:rPr>
            </w:pPr>
          </w:p>
        </w:tc>
        <w:tc>
          <w:tcPr>
            <w:tcW w:w="1048" w:type="pct"/>
            <w:vAlign w:val="center"/>
          </w:tcPr>
          <w:p w14:paraId="75B0DA8E">
            <w:pPr>
              <w:spacing w:line="240" w:lineRule="atLeast"/>
              <w:jc w:val="center"/>
              <w:rPr>
                <w:rFonts w:hint="eastAsia" w:ascii="宋体" w:hAnsi="宋体"/>
                <w:color w:val="auto"/>
                <w:sz w:val="24"/>
                <w:highlight w:val="none"/>
              </w:rPr>
            </w:pPr>
          </w:p>
        </w:tc>
        <w:tc>
          <w:tcPr>
            <w:tcW w:w="634" w:type="pct"/>
            <w:vAlign w:val="center"/>
          </w:tcPr>
          <w:p w14:paraId="1E51DCBE">
            <w:pPr>
              <w:spacing w:line="240" w:lineRule="atLeast"/>
              <w:jc w:val="center"/>
              <w:rPr>
                <w:rFonts w:hint="eastAsia" w:ascii="宋体" w:hAnsi="宋体"/>
                <w:color w:val="auto"/>
                <w:sz w:val="24"/>
                <w:highlight w:val="none"/>
              </w:rPr>
            </w:pPr>
          </w:p>
        </w:tc>
        <w:tc>
          <w:tcPr>
            <w:tcW w:w="816" w:type="pct"/>
            <w:vAlign w:val="center"/>
          </w:tcPr>
          <w:p w14:paraId="7A520977">
            <w:pPr>
              <w:spacing w:line="240" w:lineRule="atLeast"/>
              <w:jc w:val="center"/>
              <w:rPr>
                <w:rFonts w:hint="eastAsia" w:ascii="宋体" w:hAnsi="宋体"/>
                <w:color w:val="auto"/>
                <w:sz w:val="24"/>
                <w:highlight w:val="none"/>
              </w:rPr>
            </w:pPr>
          </w:p>
        </w:tc>
        <w:tc>
          <w:tcPr>
            <w:tcW w:w="560" w:type="pct"/>
            <w:vAlign w:val="center"/>
          </w:tcPr>
          <w:p w14:paraId="4AA41054">
            <w:pPr>
              <w:spacing w:line="240" w:lineRule="atLeast"/>
              <w:jc w:val="center"/>
              <w:rPr>
                <w:rFonts w:hint="eastAsia" w:ascii="宋体" w:hAnsi="宋体"/>
                <w:color w:val="auto"/>
                <w:sz w:val="24"/>
                <w:highlight w:val="none"/>
              </w:rPr>
            </w:pPr>
          </w:p>
        </w:tc>
        <w:tc>
          <w:tcPr>
            <w:tcW w:w="1100" w:type="pct"/>
            <w:vAlign w:val="center"/>
          </w:tcPr>
          <w:p w14:paraId="1561D38D">
            <w:pPr>
              <w:spacing w:line="240" w:lineRule="atLeast"/>
              <w:jc w:val="center"/>
              <w:rPr>
                <w:rFonts w:hint="eastAsia" w:ascii="宋体" w:hAnsi="宋体"/>
                <w:color w:val="auto"/>
                <w:sz w:val="24"/>
                <w:highlight w:val="none"/>
              </w:rPr>
            </w:pPr>
          </w:p>
        </w:tc>
        <w:tc>
          <w:tcPr>
            <w:tcW w:w="523" w:type="pct"/>
            <w:vAlign w:val="center"/>
          </w:tcPr>
          <w:p w14:paraId="08B5309D">
            <w:pPr>
              <w:spacing w:line="240" w:lineRule="atLeast"/>
              <w:jc w:val="center"/>
              <w:rPr>
                <w:rFonts w:hint="eastAsia" w:ascii="宋体" w:hAnsi="宋体"/>
                <w:color w:val="auto"/>
                <w:sz w:val="24"/>
                <w:highlight w:val="none"/>
              </w:rPr>
            </w:pPr>
          </w:p>
        </w:tc>
      </w:tr>
      <w:tr w14:paraId="7603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55E681FD">
            <w:pPr>
              <w:spacing w:line="240" w:lineRule="atLeast"/>
              <w:jc w:val="center"/>
              <w:rPr>
                <w:rFonts w:hint="eastAsia" w:ascii="宋体" w:hAnsi="宋体"/>
                <w:color w:val="auto"/>
                <w:sz w:val="24"/>
                <w:highlight w:val="none"/>
              </w:rPr>
            </w:pPr>
          </w:p>
        </w:tc>
        <w:tc>
          <w:tcPr>
            <w:tcW w:w="1048" w:type="pct"/>
            <w:vAlign w:val="center"/>
          </w:tcPr>
          <w:p w14:paraId="7FFF7004">
            <w:pPr>
              <w:spacing w:line="240" w:lineRule="atLeast"/>
              <w:jc w:val="center"/>
              <w:rPr>
                <w:rFonts w:hint="eastAsia" w:ascii="宋体" w:hAnsi="宋体"/>
                <w:color w:val="auto"/>
                <w:sz w:val="24"/>
                <w:highlight w:val="none"/>
              </w:rPr>
            </w:pPr>
          </w:p>
        </w:tc>
        <w:tc>
          <w:tcPr>
            <w:tcW w:w="634" w:type="pct"/>
            <w:vAlign w:val="center"/>
          </w:tcPr>
          <w:p w14:paraId="4E0E7042">
            <w:pPr>
              <w:spacing w:line="240" w:lineRule="atLeast"/>
              <w:jc w:val="center"/>
              <w:rPr>
                <w:rFonts w:hint="eastAsia" w:ascii="宋体" w:hAnsi="宋体"/>
                <w:color w:val="auto"/>
                <w:sz w:val="24"/>
                <w:highlight w:val="none"/>
              </w:rPr>
            </w:pPr>
          </w:p>
        </w:tc>
        <w:tc>
          <w:tcPr>
            <w:tcW w:w="816" w:type="pct"/>
            <w:vAlign w:val="center"/>
          </w:tcPr>
          <w:p w14:paraId="5B395F81">
            <w:pPr>
              <w:spacing w:line="240" w:lineRule="atLeast"/>
              <w:jc w:val="center"/>
              <w:rPr>
                <w:rFonts w:hint="eastAsia" w:ascii="宋体" w:hAnsi="宋体"/>
                <w:color w:val="auto"/>
                <w:sz w:val="24"/>
                <w:highlight w:val="none"/>
              </w:rPr>
            </w:pPr>
          </w:p>
        </w:tc>
        <w:tc>
          <w:tcPr>
            <w:tcW w:w="560" w:type="pct"/>
            <w:vAlign w:val="center"/>
          </w:tcPr>
          <w:p w14:paraId="6F680908">
            <w:pPr>
              <w:spacing w:line="240" w:lineRule="atLeast"/>
              <w:jc w:val="center"/>
              <w:rPr>
                <w:rFonts w:hint="eastAsia" w:ascii="宋体" w:hAnsi="宋体"/>
                <w:color w:val="auto"/>
                <w:sz w:val="24"/>
                <w:highlight w:val="none"/>
              </w:rPr>
            </w:pPr>
          </w:p>
        </w:tc>
        <w:tc>
          <w:tcPr>
            <w:tcW w:w="1100" w:type="pct"/>
            <w:vAlign w:val="center"/>
          </w:tcPr>
          <w:p w14:paraId="6708E234">
            <w:pPr>
              <w:spacing w:line="240" w:lineRule="atLeast"/>
              <w:jc w:val="center"/>
              <w:rPr>
                <w:rFonts w:hint="eastAsia" w:ascii="宋体" w:hAnsi="宋体"/>
                <w:color w:val="auto"/>
                <w:sz w:val="24"/>
                <w:highlight w:val="none"/>
              </w:rPr>
            </w:pPr>
          </w:p>
        </w:tc>
        <w:tc>
          <w:tcPr>
            <w:tcW w:w="523" w:type="pct"/>
            <w:vAlign w:val="center"/>
          </w:tcPr>
          <w:p w14:paraId="74BE9E6E">
            <w:pPr>
              <w:spacing w:line="240" w:lineRule="atLeast"/>
              <w:jc w:val="center"/>
              <w:rPr>
                <w:rFonts w:hint="eastAsia" w:ascii="宋体" w:hAnsi="宋体"/>
                <w:color w:val="auto"/>
                <w:sz w:val="24"/>
                <w:highlight w:val="none"/>
              </w:rPr>
            </w:pPr>
          </w:p>
        </w:tc>
      </w:tr>
      <w:tr w14:paraId="4D82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39999A32">
            <w:pPr>
              <w:spacing w:line="240" w:lineRule="atLeast"/>
              <w:jc w:val="center"/>
              <w:rPr>
                <w:rFonts w:hint="eastAsia" w:ascii="宋体" w:hAnsi="宋体"/>
                <w:color w:val="auto"/>
                <w:sz w:val="24"/>
                <w:highlight w:val="none"/>
              </w:rPr>
            </w:pPr>
          </w:p>
        </w:tc>
        <w:tc>
          <w:tcPr>
            <w:tcW w:w="1048" w:type="pct"/>
            <w:vAlign w:val="center"/>
          </w:tcPr>
          <w:p w14:paraId="54FFBEC6">
            <w:pPr>
              <w:spacing w:line="240" w:lineRule="atLeast"/>
              <w:jc w:val="center"/>
              <w:rPr>
                <w:rFonts w:hint="eastAsia" w:ascii="宋体" w:hAnsi="宋体"/>
                <w:color w:val="auto"/>
                <w:sz w:val="24"/>
                <w:highlight w:val="none"/>
              </w:rPr>
            </w:pPr>
          </w:p>
        </w:tc>
        <w:tc>
          <w:tcPr>
            <w:tcW w:w="634" w:type="pct"/>
            <w:vAlign w:val="center"/>
          </w:tcPr>
          <w:p w14:paraId="299299F6">
            <w:pPr>
              <w:spacing w:line="240" w:lineRule="atLeast"/>
              <w:jc w:val="center"/>
              <w:rPr>
                <w:rFonts w:hint="eastAsia" w:ascii="宋体" w:hAnsi="宋体"/>
                <w:color w:val="auto"/>
                <w:sz w:val="24"/>
                <w:highlight w:val="none"/>
              </w:rPr>
            </w:pPr>
          </w:p>
        </w:tc>
        <w:tc>
          <w:tcPr>
            <w:tcW w:w="816" w:type="pct"/>
            <w:vAlign w:val="center"/>
          </w:tcPr>
          <w:p w14:paraId="3F8ED8B8">
            <w:pPr>
              <w:spacing w:line="240" w:lineRule="atLeast"/>
              <w:jc w:val="center"/>
              <w:rPr>
                <w:rFonts w:hint="eastAsia" w:ascii="宋体" w:hAnsi="宋体"/>
                <w:color w:val="auto"/>
                <w:sz w:val="24"/>
                <w:highlight w:val="none"/>
              </w:rPr>
            </w:pPr>
          </w:p>
        </w:tc>
        <w:tc>
          <w:tcPr>
            <w:tcW w:w="560" w:type="pct"/>
            <w:vAlign w:val="center"/>
          </w:tcPr>
          <w:p w14:paraId="1259C6EC">
            <w:pPr>
              <w:spacing w:line="240" w:lineRule="atLeast"/>
              <w:jc w:val="center"/>
              <w:rPr>
                <w:rFonts w:hint="eastAsia" w:ascii="宋体" w:hAnsi="宋体"/>
                <w:color w:val="auto"/>
                <w:sz w:val="24"/>
                <w:highlight w:val="none"/>
              </w:rPr>
            </w:pPr>
          </w:p>
        </w:tc>
        <w:tc>
          <w:tcPr>
            <w:tcW w:w="1100" w:type="pct"/>
            <w:vAlign w:val="center"/>
          </w:tcPr>
          <w:p w14:paraId="002D3D0D">
            <w:pPr>
              <w:spacing w:line="240" w:lineRule="atLeast"/>
              <w:jc w:val="center"/>
              <w:rPr>
                <w:rFonts w:hint="eastAsia" w:ascii="宋体" w:hAnsi="宋体"/>
                <w:color w:val="auto"/>
                <w:sz w:val="24"/>
                <w:highlight w:val="none"/>
              </w:rPr>
            </w:pPr>
          </w:p>
        </w:tc>
        <w:tc>
          <w:tcPr>
            <w:tcW w:w="523" w:type="pct"/>
            <w:vAlign w:val="center"/>
          </w:tcPr>
          <w:p w14:paraId="7E00716C">
            <w:pPr>
              <w:spacing w:line="240" w:lineRule="atLeast"/>
              <w:jc w:val="center"/>
              <w:rPr>
                <w:rFonts w:hint="eastAsia" w:ascii="宋体" w:hAnsi="宋体"/>
                <w:color w:val="auto"/>
                <w:sz w:val="24"/>
                <w:highlight w:val="none"/>
              </w:rPr>
            </w:pPr>
          </w:p>
        </w:tc>
      </w:tr>
      <w:tr w14:paraId="21B6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6174562F">
            <w:pPr>
              <w:spacing w:line="240" w:lineRule="atLeast"/>
              <w:jc w:val="center"/>
              <w:rPr>
                <w:rFonts w:hint="eastAsia" w:ascii="宋体" w:hAnsi="宋体"/>
                <w:color w:val="auto"/>
                <w:sz w:val="24"/>
                <w:highlight w:val="none"/>
              </w:rPr>
            </w:pPr>
          </w:p>
        </w:tc>
        <w:tc>
          <w:tcPr>
            <w:tcW w:w="1048" w:type="pct"/>
            <w:vAlign w:val="center"/>
          </w:tcPr>
          <w:p w14:paraId="5D42C898">
            <w:pPr>
              <w:spacing w:line="240" w:lineRule="atLeast"/>
              <w:jc w:val="center"/>
              <w:rPr>
                <w:rFonts w:hint="eastAsia" w:ascii="宋体" w:hAnsi="宋体"/>
                <w:color w:val="auto"/>
                <w:sz w:val="24"/>
                <w:highlight w:val="none"/>
              </w:rPr>
            </w:pPr>
          </w:p>
        </w:tc>
        <w:tc>
          <w:tcPr>
            <w:tcW w:w="634" w:type="pct"/>
            <w:vAlign w:val="center"/>
          </w:tcPr>
          <w:p w14:paraId="7A029A8C">
            <w:pPr>
              <w:spacing w:line="240" w:lineRule="atLeast"/>
              <w:jc w:val="center"/>
              <w:rPr>
                <w:rFonts w:hint="eastAsia" w:ascii="宋体" w:hAnsi="宋体"/>
                <w:color w:val="auto"/>
                <w:sz w:val="24"/>
                <w:highlight w:val="none"/>
              </w:rPr>
            </w:pPr>
          </w:p>
        </w:tc>
        <w:tc>
          <w:tcPr>
            <w:tcW w:w="816" w:type="pct"/>
            <w:vAlign w:val="center"/>
          </w:tcPr>
          <w:p w14:paraId="735B392F">
            <w:pPr>
              <w:spacing w:line="240" w:lineRule="atLeast"/>
              <w:jc w:val="center"/>
              <w:rPr>
                <w:rFonts w:hint="eastAsia" w:ascii="宋体" w:hAnsi="宋体"/>
                <w:color w:val="auto"/>
                <w:sz w:val="24"/>
                <w:highlight w:val="none"/>
              </w:rPr>
            </w:pPr>
          </w:p>
        </w:tc>
        <w:tc>
          <w:tcPr>
            <w:tcW w:w="560" w:type="pct"/>
            <w:vAlign w:val="center"/>
          </w:tcPr>
          <w:p w14:paraId="4114641A">
            <w:pPr>
              <w:spacing w:line="240" w:lineRule="atLeast"/>
              <w:jc w:val="center"/>
              <w:rPr>
                <w:rFonts w:hint="eastAsia" w:ascii="宋体" w:hAnsi="宋体"/>
                <w:color w:val="auto"/>
                <w:sz w:val="24"/>
                <w:highlight w:val="none"/>
              </w:rPr>
            </w:pPr>
          </w:p>
        </w:tc>
        <w:tc>
          <w:tcPr>
            <w:tcW w:w="1100" w:type="pct"/>
            <w:vAlign w:val="center"/>
          </w:tcPr>
          <w:p w14:paraId="10647A06">
            <w:pPr>
              <w:spacing w:line="240" w:lineRule="atLeast"/>
              <w:jc w:val="center"/>
              <w:rPr>
                <w:rFonts w:hint="eastAsia" w:ascii="宋体" w:hAnsi="宋体"/>
                <w:color w:val="auto"/>
                <w:sz w:val="24"/>
                <w:highlight w:val="none"/>
              </w:rPr>
            </w:pPr>
          </w:p>
        </w:tc>
        <w:tc>
          <w:tcPr>
            <w:tcW w:w="523" w:type="pct"/>
            <w:vAlign w:val="center"/>
          </w:tcPr>
          <w:p w14:paraId="23C4D8F6">
            <w:pPr>
              <w:spacing w:line="240" w:lineRule="atLeast"/>
              <w:jc w:val="center"/>
              <w:rPr>
                <w:rFonts w:hint="eastAsia" w:ascii="宋体" w:hAnsi="宋体"/>
                <w:color w:val="auto"/>
                <w:sz w:val="24"/>
                <w:highlight w:val="none"/>
              </w:rPr>
            </w:pPr>
          </w:p>
        </w:tc>
      </w:tr>
      <w:tr w14:paraId="76C3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7504AAC2">
            <w:pPr>
              <w:spacing w:line="240" w:lineRule="atLeast"/>
              <w:jc w:val="center"/>
              <w:rPr>
                <w:rFonts w:hint="eastAsia" w:ascii="宋体" w:hAnsi="宋体"/>
                <w:color w:val="auto"/>
                <w:sz w:val="24"/>
                <w:highlight w:val="none"/>
              </w:rPr>
            </w:pPr>
          </w:p>
        </w:tc>
        <w:tc>
          <w:tcPr>
            <w:tcW w:w="1048" w:type="pct"/>
            <w:vAlign w:val="center"/>
          </w:tcPr>
          <w:p w14:paraId="1BC6753D">
            <w:pPr>
              <w:spacing w:line="240" w:lineRule="atLeast"/>
              <w:jc w:val="center"/>
              <w:rPr>
                <w:rFonts w:hint="eastAsia" w:ascii="宋体" w:hAnsi="宋体"/>
                <w:color w:val="auto"/>
                <w:sz w:val="24"/>
                <w:highlight w:val="none"/>
              </w:rPr>
            </w:pPr>
          </w:p>
        </w:tc>
        <w:tc>
          <w:tcPr>
            <w:tcW w:w="634" w:type="pct"/>
            <w:vAlign w:val="center"/>
          </w:tcPr>
          <w:p w14:paraId="4962F7D1">
            <w:pPr>
              <w:spacing w:line="240" w:lineRule="atLeast"/>
              <w:jc w:val="center"/>
              <w:rPr>
                <w:rFonts w:hint="eastAsia" w:ascii="宋体" w:hAnsi="宋体"/>
                <w:color w:val="auto"/>
                <w:sz w:val="24"/>
                <w:highlight w:val="none"/>
              </w:rPr>
            </w:pPr>
          </w:p>
        </w:tc>
        <w:tc>
          <w:tcPr>
            <w:tcW w:w="816" w:type="pct"/>
            <w:vAlign w:val="center"/>
          </w:tcPr>
          <w:p w14:paraId="00201473">
            <w:pPr>
              <w:spacing w:line="240" w:lineRule="atLeast"/>
              <w:jc w:val="center"/>
              <w:rPr>
                <w:rFonts w:hint="eastAsia" w:ascii="宋体" w:hAnsi="宋体"/>
                <w:color w:val="auto"/>
                <w:sz w:val="24"/>
                <w:highlight w:val="none"/>
              </w:rPr>
            </w:pPr>
          </w:p>
        </w:tc>
        <w:tc>
          <w:tcPr>
            <w:tcW w:w="560" w:type="pct"/>
            <w:vAlign w:val="center"/>
          </w:tcPr>
          <w:p w14:paraId="67B8948B">
            <w:pPr>
              <w:spacing w:line="240" w:lineRule="atLeast"/>
              <w:jc w:val="center"/>
              <w:rPr>
                <w:rFonts w:hint="eastAsia" w:ascii="宋体" w:hAnsi="宋体"/>
                <w:color w:val="auto"/>
                <w:sz w:val="24"/>
                <w:highlight w:val="none"/>
              </w:rPr>
            </w:pPr>
          </w:p>
        </w:tc>
        <w:tc>
          <w:tcPr>
            <w:tcW w:w="1100" w:type="pct"/>
            <w:vAlign w:val="center"/>
          </w:tcPr>
          <w:p w14:paraId="3426321D">
            <w:pPr>
              <w:spacing w:line="240" w:lineRule="atLeast"/>
              <w:jc w:val="center"/>
              <w:rPr>
                <w:rFonts w:hint="eastAsia" w:ascii="宋体" w:hAnsi="宋体"/>
                <w:color w:val="auto"/>
                <w:sz w:val="24"/>
                <w:highlight w:val="none"/>
              </w:rPr>
            </w:pPr>
          </w:p>
        </w:tc>
        <w:tc>
          <w:tcPr>
            <w:tcW w:w="523" w:type="pct"/>
            <w:vAlign w:val="center"/>
          </w:tcPr>
          <w:p w14:paraId="46DBF45D">
            <w:pPr>
              <w:spacing w:line="240" w:lineRule="atLeast"/>
              <w:jc w:val="center"/>
              <w:rPr>
                <w:rFonts w:hint="eastAsia" w:ascii="宋体" w:hAnsi="宋体"/>
                <w:color w:val="auto"/>
                <w:sz w:val="24"/>
                <w:highlight w:val="none"/>
              </w:rPr>
            </w:pPr>
          </w:p>
        </w:tc>
      </w:tr>
      <w:tr w14:paraId="56F4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3619ACD1">
            <w:pPr>
              <w:spacing w:line="240" w:lineRule="atLeast"/>
              <w:jc w:val="center"/>
              <w:rPr>
                <w:rFonts w:hint="eastAsia" w:ascii="宋体" w:hAnsi="宋体"/>
                <w:color w:val="auto"/>
                <w:sz w:val="24"/>
                <w:highlight w:val="none"/>
              </w:rPr>
            </w:pPr>
          </w:p>
        </w:tc>
        <w:tc>
          <w:tcPr>
            <w:tcW w:w="1048" w:type="pct"/>
            <w:vAlign w:val="center"/>
          </w:tcPr>
          <w:p w14:paraId="38BE94B7">
            <w:pPr>
              <w:spacing w:line="240" w:lineRule="atLeast"/>
              <w:jc w:val="center"/>
              <w:rPr>
                <w:rFonts w:hint="eastAsia" w:ascii="宋体" w:hAnsi="宋体"/>
                <w:color w:val="auto"/>
                <w:sz w:val="24"/>
                <w:highlight w:val="none"/>
              </w:rPr>
            </w:pPr>
          </w:p>
        </w:tc>
        <w:tc>
          <w:tcPr>
            <w:tcW w:w="634" w:type="pct"/>
            <w:vAlign w:val="center"/>
          </w:tcPr>
          <w:p w14:paraId="079806BF">
            <w:pPr>
              <w:spacing w:line="240" w:lineRule="atLeast"/>
              <w:jc w:val="center"/>
              <w:rPr>
                <w:rFonts w:hint="eastAsia" w:ascii="宋体" w:hAnsi="宋体"/>
                <w:color w:val="auto"/>
                <w:sz w:val="24"/>
                <w:highlight w:val="none"/>
              </w:rPr>
            </w:pPr>
          </w:p>
        </w:tc>
        <w:tc>
          <w:tcPr>
            <w:tcW w:w="816" w:type="pct"/>
            <w:vAlign w:val="center"/>
          </w:tcPr>
          <w:p w14:paraId="4DCB5F9A">
            <w:pPr>
              <w:spacing w:line="240" w:lineRule="atLeast"/>
              <w:jc w:val="center"/>
              <w:rPr>
                <w:rFonts w:hint="eastAsia" w:ascii="宋体" w:hAnsi="宋体"/>
                <w:color w:val="auto"/>
                <w:sz w:val="24"/>
                <w:highlight w:val="none"/>
              </w:rPr>
            </w:pPr>
          </w:p>
        </w:tc>
        <w:tc>
          <w:tcPr>
            <w:tcW w:w="560" w:type="pct"/>
            <w:vAlign w:val="center"/>
          </w:tcPr>
          <w:p w14:paraId="15486D93">
            <w:pPr>
              <w:spacing w:line="240" w:lineRule="atLeast"/>
              <w:jc w:val="center"/>
              <w:rPr>
                <w:rFonts w:hint="eastAsia" w:ascii="宋体" w:hAnsi="宋体"/>
                <w:color w:val="auto"/>
                <w:sz w:val="24"/>
                <w:highlight w:val="none"/>
              </w:rPr>
            </w:pPr>
          </w:p>
        </w:tc>
        <w:tc>
          <w:tcPr>
            <w:tcW w:w="1100" w:type="pct"/>
            <w:vAlign w:val="center"/>
          </w:tcPr>
          <w:p w14:paraId="72C36D3D">
            <w:pPr>
              <w:spacing w:line="240" w:lineRule="atLeast"/>
              <w:jc w:val="center"/>
              <w:rPr>
                <w:rFonts w:hint="eastAsia" w:ascii="宋体" w:hAnsi="宋体"/>
                <w:color w:val="auto"/>
                <w:sz w:val="24"/>
                <w:highlight w:val="none"/>
              </w:rPr>
            </w:pPr>
          </w:p>
        </w:tc>
        <w:tc>
          <w:tcPr>
            <w:tcW w:w="523" w:type="pct"/>
            <w:vAlign w:val="center"/>
          </w:tcPr>
          <w:p w14:paraId="70FB7427">
            <w:pPr>
              <w:spacing w:line="240" w:lineRule="atLeast"/>
              <w:jc w:val="center"/>
              <w:rPr>
                <w:rFonts w:hint="eastAsia" w:ascii="宋体" w:hAnsi="宋体"/>
                <w:color w:val="auto"/>
                <w:sz w:val="24"/>
                <w:highlight w:val="none"/>
              </w:rPr>
            </w:pPr>
          </w:p>
        </w:tc>
      </w:tr>
      <w:tr w14:paraId="4976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5B93CFFF">
            <w:pPr>
              <w:spacing w:line="240" w:lineRule="atLeast"/>
              <w:jc w:val="center"/>
              <w:rPr>
                <w:rFonts w:hint="eastAsia" w:ascii="宋体" w:hAnsi="宋体"/>
                <w:color w:val="auto"/>
                <w:sz w:val="24"/>
                <w:highlight w:val="none"/>
              </w:rPr>
            </w:pPr>
          </w:p>
        </w:tc>
        <w:tc>
          <w:tcPr>
            <w:tcW w:w="1048" w:type="pct"/>
            <w:vAlign w:val="center"/>
          </w:tcPr>
          <w:p w14:paraId="3BB098B5">
            <w:pPr>
              <w:spacing w:line="240" w:lineRule="atLeast"/>
              <w:jc w:val="center"/>
              <w:rPr>
                <w:rFonts w:hint="eastAsia" w:ascii="宋体" w:hAnsi="宋体"/>
                <w:color w:val="auto"/>
                <w:sz w:val="24"/>
                <w:highlight w:val="none"/>
              </w:rPr>
            </w:pPr>
          </w:p>
        </w:tc>
        <w:tc>
          <w:tcPr>
            <w:tcW w:w="634" w:type="pct"/>
            <w:vAlign w:val="center"/>
          </w:tcPr>
          <w:p w14:paraId="11832743">
            <w:pPr>
              <w:spacing w:line="240" w:lineRule="atLeast"/>
              <w:jc w:val="center"/>
              <w:rPr>
                <w:rFonts w:hint="eastAsia" w:ascii="宋体" w:hAnsi="宋体"/>
                <w:color w:val="auto"/>
                <w:sz w:val="24"/>
                <w:highlight w:val="none"/>
              </w:rPr>
            </w:pPr>
          </w:p>
        </w:tc>
        <w:tc>
          <w:tcPr>
            <w:tcW w:w="816" w:type="pct"/>
            <w:vAlign w:val="center"/>
          </w:tcPr>
          <w:p w14:paraId="7B80F35B">
            <w:pPr>
              <w:spacing w:line="240" w:lineRule="atLeast"/>
              <w:jc w:val="center"/>
              <w:rPr>
                <w:rFonts w:hint="eastAsia" w:ascii="宋体" w:hAnsi="宋体"/>
                <w:color w:val="auto"/>
                <w:sz w:val="24"/>
                <w:highlight w:val="none"/>
              </w:rPr>
            </w:pPr>
          </w:p>
        </w:tc>
        <w:tc>
          <w:tcPr>
            <w:tcW w:w="560" w:type="pct"/>
            <w:vAlign w:val="center"/>
          </w:tcPr>
          <w:p w14:paraId="6F6FB7B9">
            <w:pPr>
              <w:spacing w:line="240" w:lineRule="atLeast"/>
              <w:jc w:val="center"/>
              <w:rPr>
                <w:rFonts w:hint="eastAsia" w:ascii="宋体" w:hAnsi="宋体"/>
                <w:color w:val="auto"/>
                <w:sz w:val="24"/>
                <w:highlight w:val="none"/>
              </w:rPr>
            </w:pPr>
          </w:p>
        </w:tc>
        <w:tc>
          <w:tcPr>
            <w:tcW w:w="1100" w:type="pct"/>
            <w:vAlign w:val="center"/>
          </w:tcPr>
          <w:p w14:paraId="0B17214A">
            <w:pPr>
              <w:spacing w:line="240" w:lineRule="atLeast"/>
              <w:jc w:val="center"/>
              <w:rPr>
                <w:rFonts w:hint="eastAsia" w:ascii="宋体" w:hAnsi="宋体"/>
                <w:color w:val="auto"/>
                <w:sz w:val="24"/>
                <w:highlight w:val="none"/>
              </w:rPr>
            </w:pPr>
          </w:p>
        </w:tc>
        <w:tc>
          <w:tcPr>
            <w:tcW w:w="523" w:type="pct"/>
            <w:vAlign w:val="center"/>
          </w:tcPr>
          <w:p w14:paraId="266201C1">
            <w:pPr>
              <w:spacing w:line="240" w:lineRule="atLeast"/>
              <w:jc w:val="center"/>
              <w:rPr>
                <w:rFonts w:hint="eastAsia" w:ascii="宋体" w:hAnsi="宋体"/>
                <w:color w:val="auto"/>
                <w:sz w:val="24"/>
                <w:highlight w:val="none"/>
              </w:rPr>
            </w:pPr>
          </w:p>
        </w:tc>
      </w:tr>
      <w:tr w14:paraId="09FB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4BF6F6C5">
            <w:pPr>
              <w:spacing w:line="240" w:lineRule="atLeast"/>
              <w:jc w:val="center"/>
              <w:rPr>
                <w:rFonts w:hint="eastAsia" w:ascii="宋体" w:hAnsi="宋体"/>
                <w:color w:val="auto"/>
                <w:sz w:val="24"/>
                <w:highlight w:val="none"/>
              </w:rPr>
            </w:pPr>
          </w:p>
        </w:tc>
        <w:tc>
          <w:tcPr>
            <w:tcW w:w="1048" w:type="pct"/>
            <w:vAlign w:val="center"/>
          </w:tcPr>
          <w:p w14:paraId="11BFD63A">
            <w:pPr>
              <w:spacing w:line="240" w:lineRule="atLeast"/>
              <w:jc w:val="center"/>
              <w:rPr>
                <w:rFonts w:hint="eastAsia" w:ascii="宋体" w:hAnsi="宋体"/>
                <w:color w:val="auto"/>
                <w:sz w:val="24"/>
                <w:highlight w:val="none"/>
              </w:rPr>
            </w:pPr>
          </w:p>
        </w:tc>
        <w:tc>
          <w:tcPr>
            <w:tcW w:w="634" w:type="pct"/>
            <w:vAlign w:val="center"/>
          </w:tcPr>
          <w:p w14:paraId="65E46FB6">
            <w:pPr>
              <w:spacing w:line="240" w:lineRule="atLeast"/>
              <w:jc w:val="center"/>
              <w:rPr>
                <w:rFonts w:hint="eastAsia" w:ascii="宋体" w:hAnsi="宋体"/>
                <w:color w:val="auto"/>
                <w:sz w:val="24"/>
                <w:highlight w:val="none"/>
              </w:rPr>
            </w:pPr>
          </w:p>
        </w:tc>
        <w:tc>
          <w:tcPr>
            <w:tcW w:w="816" w:type="pct"/>
            <w:vAlign w:val="center"/>
          </w:tcPr>
          <w:p w14:paraId="32C58063">
            <w:pPr>
              <w:spacing w:line="240" w:lineRule="atLeast"/>
              <w:jc w:val="center"/>
              <w:rPr>
                <w:rFonts w:hint="eastAsia" w:ascii="宋体" w:hAnsi="宋体"/>
                <w:color w:val="auto"/>
                <w:sz w:val="24"/>
                <w:highlight w:val="none"/>
              </w:rPr>
            </w:pPr>
          </w:p>
        </w:tc>
        <w:tc>
          <w:tcPr>
            <w:tcW w:w="560" w:type="pct"/>
            <w:vAlign w:val="center"/>
          </w:tcPr>
          <w:p w14:paraId="7B01C6A8">
            <w:pPr>
              <w:spacing w:line="240" w:lineRule="atLeast"/>
              <w:jc w:val="center"/>
              <w:rPr>
                <w:rFonts w:hint="eastAsia" w:ascii="宋体" w:hAnsi="宋体"/>
                <w:color w:val="auto"/>
                <w:sz w:val="24"/>
                <w:highlight w:val="none"/>
              </w:rPr>
            </w:pPr>
          </w:p>
        </w:tc>
        <w:tc>
          <w:tcPr>
            <w:tcW w:w="1100" w:type="pct"/>
            <w:vAlign w:val="center"/>
          </w:tcPr>
          <w:p w14:paraId="597FCA27">
            <w:pPr>
              <w:spacing w:line="240" w:lineRule="atLeast"/>
              <w:jc w:val="center"/>
              <w:rPr>
                <w:rFonts w:hint="eastAsia" w:ascii="宋体" w:hAnsi="宋体"/>
                <w:color w:val="auto"/>
                <w:sz w:val="24"/>
                <w:highlight w:val="none"/>
              </w:rPr>
            </w:pPr>
          </w:p>
        </w:tc>
        <w:tc>
          <w:tcPr>
            <w:tcW w:w="523" w:type="pct"/>
            <w:vAlign w:val="center"/>
          </w:tcPr>
          <w:p w14:paraId="71708308">
            <w:pPr>
              <w:spacing w:line="240" w:lineRule="atLeast"/>
              <w:jc w:val="center"/>
              <w:rPr>
                <w:rFonts w:hint="eastAsia" w:ascii="宋体" w:hAnsi="宋体"/>
                <w:color w:val="auto"/>
                <w:sz w:val="24"/>
                <w:highlight w:val="none"/>
              </w:rPr>
            </w:pPr>
          </w:p>
        </w:tc>
      </w:tr>
      <w:bookmarkEnd w:id="274"/>
      <w:bookmarkEnd w:id="275"/>
    </w:tbl>
    <w:p w14:paraId="1D809C0D">
      <w:pPr>
        <w:rPr>
          <w:color w:val="auto"/>
          <w:highlight w:val="none"/>
        </w:rPr>
      </w:pPr>
      <w:r>
        <w:rPr>
          <w:rFonts w:hint="eastAsia"/>
          <w:color w:val="auto"/>
          <w:highlight w:val="none"/>
        </w:rPr>
        <w:br w:type="page"/>
      </w:r>
    </w:p>
    <w:p w14:paraId="37279087">
      <w:pPr>
        <w:pStyle w:val="4"/>
        <w:rPr>
          <w:rFonts w:hint="eastAsia"/>
          <w:color w:val="auto"/>
          <w:highlight w:val="none"/>
        </w:rPr>
      </w:pPr>
      <w:bookmarkStart w:id="276" w:name="_Toc16868"/>
      <w:bookmarkStart w:id="277" w:name="_Toc13483"/>
      <w:bookmarkStart w:id="278" w:name="_Toc4181"/>
      <w:bookmarkStart w:id="279" w:name="_Toc14395"/>
      <w:r>
        <w:rPr>
          <w:rFonts w:hint="eastAsia"/>
          <w:color w:val="auto"/>
          <w:highlight w:val="none"/>
        </w:rPr>
        <w:t>七、拟投入本项目的人员一览表</w:t>
      </w:r>
      <w:bookmarkEnd w:id="276"/>
      <w:bookmarkEnd w:id="277"/>
      <w:bookmarkEnd w:id="278"/>
      <w:bookmarkEnd w:id="27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39"/>
        <w:gridCol w:w="904"/>
        <w:gridCol w:w="1484"/>
        <w:gridCol w:w="1885"/>
        <w:gridCol w:w="883"/>
        <w:gridCol w:w="992"/>
        <w:gridCol w:w="1276"/>
      </w:tblGrid>
      <w:tr w14:paraId="6995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17" w:type="dxa"/>
            <w:vAlign w:val="center"/>
          </w:tcPr>
          <w:p w14:paraId="6645DFB9">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序号</w:t>
            </w:r>
          </w:p>
        </w:tc>
        <w:tc>
          <w:tcPr>
            <w:tcW w:w="939" w:type="dxa"/>
            <w:vAlign w:val="center"/>
          </w:tcPr>
          <w:p w14:paraId="6BA78D89">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姓名</w:t>
            </w:r>
          </w:p>
        </w:tc>
        <w:tc>
          <w:tcPr>
            <w:tcW w:w="904" w:type="dxa"/>
            <w:vAlign w:val="center"/>
          </w:tcPr>
          <w:p w14:paraId="14351686">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年龄</w:t>
            </w:r>
          </w:p>
        </w:tc>
        <w:tc>
          <w:tcPr>
            <w:tcW w:w="1484" w:type="dxa"/>
            <w:vAlign w:val="center"/>
          </w:tcPr>
          <w:p w14:paraId="4F395613">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14:paraId="5331E9D8">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14:paraId="3619BEF6">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学历</w:t>
            </w:r>
          </w:p>
        </w:tc>
        <w:tc>
          <w:tcPr>
            <w:tcW w:w="992" w:type="dxa"/>
            <w:vAlign w:val="center"/>
          </w:tcPr>
          <w:p w14:paraId="57A7065E">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14:paraId="32F14A0F">
            <w:pPr>
              <w:snapToGrid w:val="0"/>
              <w:spacing w:line="240" w:lineRule="atLeast"/>
              <w:jc w:val="center"/>
              <w:rPr>
                <w:rFonts w:hint="eastAsia" w:ascii="宋体" w:hAnsi="宋体"/>
                <w:color w:val="auto"/>
                <w:sz w:val="24"/>
                <w:highlight w:val="none"/>
              </w:rPr>
            </w:pPr>
            <w:r>
              <w:rPr>
                <w:rFonts w:hint="eastAsia" w:ascii="宋体" w:hAnsi="宋体"/>
                <w:color w:val="auto"/>
                <w:sz w:val="24"/>
                <w:highlight w:val="none"/>
              </w:rPr>
              <w:t>从事检测或监测工作年限</w:t>
            </w:r>
          </w:p>
        </w:tc>
      </w:tr>
      <w:tr w14:paraId="5F76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0BD24D7D">
            <w:pPr>
              <w:jc w:val="center"/>
              <w:rPr>
                <w:rFonts w:hint="eastAsia" w:ascii="宋体" w:hAnsi="宋体"/>
                <w:color w:val="auto"/>
                <w:sz w:val="22"/>
                <w:highlight w:val="none"/>
              </w:rPr>
            </w:pPr>
          </w:p>
        </w:tc>
        <w:tc>
          <w:tcPr>
            <w:tcW w:w="939" w:type="dxa"/>
            <w:vAlign w:val="center"/>
          </w:tcPr>
          <w:p w14:paraId="745EAC26">
            <w:pPr>
              <w:jc w:val="center"/>
              <w:rPr>
                <w:rFonts w:hint="eastAsia" w:ascii="宋体" w:hAnsi="宋体"/>
                <w:color w:val="auto"/>
                <w:sz w:val="22"/>
                <w:highlight w:val="none"/>
              </w:rPr>
            </w:pPr>
          </w:p>
        </w:tc>
        <w:tc>
          <w:tcPr>
            <w:tcW w:w="904" w:type="dxa"/>
            <w:vAlign w:val="center"/>
          </w:tcPr>
          <w:p w14:paraId="22ED80D4">
            <w:pPr>
              <w:jc w:val="center"/>
              <w:rPr>
                <w:rFonts w:hint="eastAsia" w:ascii="宋体" w:hAnsi="宋体"/>
                <w:color w:val="auto"/>
                <w:sz w:val="22"/>
                <w:highlight w:val="none"/>
              </w:rPr>
            </w:pPr>
          </w:p>
        </w:tc>
        <w:tc>
          <w:tcPr>
            <w:tcW w:w="1484" w:type="dxa"/>
            <w:vAlign w:val="center"/>
          </w:tcPr>
          <w:p w14:paraId="1CA91F76">
            <w:pPr>
              <w:jc w:val="center"/>
              <w:rPr>
                <w:rFonts w:hint="eastAsia" w:ascii="宋体" w:hAnsi="宋体"/>
                <w:color w:val="auto"/>
                <w:sz w:val="22"/>
                <w:highlight w:val="none"/>
              </w:rPr>
            </w:pPr>
          </w:p>
        </w:tc>
        <w:tc>
          <w:tcPr>
            <w:tcW w:w="1885" w:type="dxa"/>
            <w:vAlign w:val="center"/>
          </w:tcPr>
          <w:p w14:paraId="55D68F2A">
            <w:pPr>
              <w:jc w:val="center"/>
              <w:rPr>
                <w:rFonts w:hint="eastAsia" w:ascii="宋体" w:hAnsi="宋体"/>
                <w:color w:val="auto"/>
                <w:sz w:val="22"/>
                <w:highlight w:val="none"/>
              </w:rPr>
            </w:pPr>
          </w:p>
        </w:tc>
        <w:tc>
          <w:tcPr>
            <w:tcW w:w="883" w:type="dxa"/>
            <w:vAlign w:val="center"/>
          </w:tcPr>
          <w:p w14:paraId="7D62E071">
            <w:pPr>
              <w:jc w:val="center"/>
              <w:rPr>
                <w:rFonts w:hint="eastAsia" w:ascii="宋体" w:hAnsi="宋体"/>
                <w:color w:val="auto"/>
                <w:sz w:val="22"/>
                <w:highlight w:val="none"/>
              </w:rPr>
            </w:pPr>
          </w:p>
        </w:tc>
        <w:tc>
          <w:tcPr>
            <w:tcW w:w="992" w:type="dxa"/>
            <w:vAlign w:val="center"/>
          </w:tcPr>
          <w:p w14:paraId="3F607168">
            <w:pPr>
              <w:jc w:val="center"/>
              <w:rPr>
                <w:rFonts w:hint="eastAsia" w:ascii="宋体" w:hAnsi="宋体"/>
                <w:color w:val="auto"/>
                <w:sz w:val="22"/>
                <w:highlight w:val="none"/>
              </w:rPr>
            </w:pPr>
          </w:p>
        </w:tc>
        <w:tc>
          <w:tcPr>
            <w:tcW w:w="1276" w:type="dxa"/>
            <w:vAlign w:val="center"/>
          </w:tcPr>
          <w:p w14:paraId="1F8C859C">
            <w:pPr>
              <w:jc w:val="center"/>
              <w:rPr>
                <w:rFonts w:hint="eastAsia" w:ascii="宋体" w:hAnsi="宋体"/>
                <w:color w:val="auto"/>
                <w:sz w:val="22"/>
                <w:highlight w:val="none"/>
              </w:rPr>
            </w:pPr>
          </w:p>
        </w:tc>
      </w:tr>
      <w:tr w14:paraId="5380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0111A274">
            <w:pPr>
              <w:jc w:val="center"/>
              <w:rPr>
                <w:rFonts w:hint="eastAsia" w:ascii="宋体" w:hAnsi="宋体"/>
                <w:color w:val="auto"/>
                <w:sz w:val="22"/>
                <w:highlight w:val="none"/>
              </w:rPr>
            </w:pPr>
          </w:p>
        </w:tc>
        <w:tc>
          <w:tcPr>
            <w:tcW w:w="939" w:type="dxa"/>
            <w:vAlign w:val="center"/>
          </w:tcPr>
          <w:p w14:paraId="593198FF">
            <w:pPr>
              <w:jc w:val="center"/>
              <w:rPr>
                <w:rFonts w:hint="eastAsia" w:ascii="宋体" w:hAnsi="宋体"/>
                <w:color w:val="auto"/>
                <w:sz w:val="22"/>
                <w:highlight w:val="none"/>
              </w:rPr>
            </w:pPr>
          </w:p>
        </w:tc>
        <w:tc>
          <w:tcPr>
            <w:tcW w:w="904" w:type="dxa"/>
            <w:vAlign w:val="center"/>
          </w:tcPr>
          <w:p w14:paraId="5CC15D0F">
            <w:pPr>
              <w:jc w:val="center"/>
              <w:rPr>
                <w:rFonts w:hint="eastAsia" w:ascii="宋体" w:hAnsi="宋体"/>
                <w:color w:val="auto"/>
                <w:sz w:val="22"/>
                <w:highlight w:val="none"/>
              </w:rPr>
            </w:pPr>
          </w:p>
        </w:tc>
        <w:tc>
          <w:tcPr>
            <w:tcW w:w="1484" w:type="dxa"/>
            <w:vAlign w:val="center"/>
          </w:tcPr>
          <w:p w14:paraId="68165C48">
            <w:pPr>
              <w:jc w:val="center"/>
              <w:rPr>
                <w:rFonts w:hint="eastAsia" w:ascii="宋体" w:hAnsi="宋体"/>
                <w:color w:val="auto"/>
                <w:sz w:val="22"/>
                <w:highlight w:val="none"/>
              </w:rPr>
            </w:pPr>
          </w:p>
        </w:tc>
        <w:tc>
          <w:tcPr>
            <w:tcW w:w="1885" w:type="dxa"/>
            <w:vAlign w:val="center"/>
          </w:tcPr>
          <w:p w14:paraId="1DEBCEE7">
            <w:pPr>
              <w:jc w:val="center"/>
              <w:rPr>
                <w:rFonts w:hint="eastAsia" w:ascii="宋体" w:hAnsi="宋体"/>
                <w:color w:val="auto"/>
                <w:sz w:val="22"/>
                <w:highlight w:val="none"/>
              </w:rPr>
            </w:pPr>
          </w:p>
        </w:tc>
        <w:tc>
          <w:tcPr>
            <w:tcW w:w="883" w:type="dxa"/>
            <w:vAlign w:val="center"/>
          </w:tcPr>
          <w:p w14:paraId="6C8809C5">
            <w:pPr>
              <w:jc w:val="center"/>
              <w:rPr>
                <w:rFonts w:hint="eastAsia" w:ascii="宋体" w:hAnsi="宋体"/>
                <w:color w:val="auto"/>
                <w:sz w:val="22"/>
                <w:highlight w:val="none"/>
              </w:rPr>
            </w:pPr>
          </w:p>
        </w:tc>
        <w:tc>
          <w:tcPr>
            <w:tcW w:w="992" w:type="dxa"/>
            <w:vAlign w:val="center"/>
          </w:tcPr>
          <w:p w14:paraId="694D0EF1">
            <w:pPr>
              <w:jc w:val="center"/>
              <w:rPr>
                <w:rFonts w:hint="eastAsia" w:ascii="宋体" w:hAnsi="宋体"/>
                <w:color w:val="auto"/>
                <w:sz w:val="22"/>
                <w:highlight w:val="none"/>
              </w:rPr>
            </w:pPr>
          </w:p>
        </w:tc>
        <w:tc>
          <w:tcPr>
            <w:tcW w:w="1276" w:type="dxa"/>
            <w:vAlign w:val="center"/>
          </w:tcPr>
          <w:p w14:paraId="14D0532A">
            <w:pPr>
              <w:jc w:val="center"/>
              <w:rPr>
                <w:rFonts w:hint="eastAsia" w:ascii="宋体" w:hAnsi="宋体"/>
                <w:color w:val="auto"/>
                <w:sz w:val="22"/>
                <w:highlight w:val="none"/>
              </w:rPr>
            </w:pPr>
          </w:p>
        </w:tc>
      </w:tr>
      <w:tr w14:paraId="674C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72C47E3D">
            <w:pPr>
              <w:jc w:val="center"/>
              <w:rPr>
                <w:rFonts w:hint="eastAsia" w:ascii="宋体" w:hAnsi="宋体"/>
                <w:color w:val="auto"/>
                <w:sz w:val="22"/>
                <w:highlight w:val="none"/>
              </w:rPr>
            </w:pPr>
          </w:p>
        </w:tc>
        <w:tc>
          <w:tcPr>
            <w:tcW w:w="939" w:type="dxa"/>
            <w:vAlign w:val="center"/>
          </w:tcPr>
          <w:p w14:paraId="11FAF702">
            <w:pPr>
              <w:jc w:val="center"/>
              <w:rPr>
                <w:rFonts w:hint="eastAsia" w:ascii="宋体" w:hAnsi="宋体"/>
                <w:color w:val="auto"/>
                <w:sz w:val="22"/>
                <w:highlight w:val="none"/>
              </w:rPr>
            </w:pPr>
          </w:p>
        </w:tc>
        <w:tc>
          <w:tcPr>
            <w:tcW w:w="904" w:type="dxa"/>
            <w:vAlign w:val="center"/>
          </w:tcPr>
          <w:p w14:paraId="540A1C60">
            <w:pPr>
              <w:jc w:val="center"/>
              <w:rPr>
                <w:rFonts w:hint="eastAsia" w:ascii="宋体" w:hAnsi="宋体"/>
                <w:color w:val="auto"/>
                <w:sz w:val="22"/>
                <w:highlight w:val="none"/>
              </w:rPr>
            </w:pPr>
          </w:p>
        </w:tc>
        <w:tc>
          <w:tcPr>
            <w:tcW w:w="1484" w:type="dxa"/>
            <w:vAlign w:val="center"/>
          </w:tcPr>
          <w:p w14:paraId="3D85C0C7">
            <w:pPr>
              <w:jc w:val="center"/>
              <w:rPr>
                <w:rFonts w:hint="eastAsia" w:ascii="宋体" w:hAnsi="宋体"/>
                <w:color w:val="auto"/>
                <w:sz w:val="22"/>
                <w:highlight w:val="none"/>
              </w:rPr>
            </w:pPr>
          </w:p>
        </w:tc>
        <w:tc>
          <w:tcPr>
            <w:tcW w:w="1885" w:type="dxa"/>
            <w:vAlign w:val="center"/>
          </w:tcPr>
          <w:p w14:paraId="6A25FBDB">
            <w:pPr>
              <w:jc w:val="center"/>
              <w:rPr>
                <w:rFonts w:hint="eastAsia" w:ascii="宋体" w:hAnsi="宋体"/>
                <w:color w:val="auto"/>
                <w:sz w:val="22"/>
                <w:highlight w:val="none"/>
              </w:rPr>
            </w:pPr>
          </w:p>
        </w:tc>
        <w:tc>
          <w:tcPr>
            <w:tcW w:w="883" w:type="dxa"/>
            <w:vAlign w:val="center"/>
          </w:tcPr>
          <w:p w14:paraId="3343602D">
            <w:pPr>
              <w:jc w:val="center"/>
              <w:rPr>
                <w:rFonts w:hint="eastAsia" w:ascii="宋体" w:hAnsi="宋体"/>
                <w:color w:val="auto"/>
                <w:sz w:val="22"/>
                <w:highlight w:val="none"/>
              </w:rPr>
            </w:pPr>
          </w:p>
        </w:tc>
        <w:tc>
          <w:tcPr>
            <w:tcW w:w="992" w:type="dxa"/>
            <w:vAlign w:val="center"/>
          </w:tcPr>
          <w:p w14:paraId="7BEC71E9">
            <w:pPr>
              <w:jc w:val="center"/>
              <w:rPr>
                <w:rFonts w:hint="eastAsia" w:ascii="宋体" w:hAnsi="宋体"/>
                <w:color w:val="auto"/>
                <w:sz w:val="22"/>
                <w:highlight w:val="none"/>
              </w:rPr>
            </w:pPr>
          </w:p>
        </w:tc>
        <w:tc>
          <w:tcPr>
            <w:tcW w:w="1276" w:type="dxa"/>
            <w:vAlign w:val="center"/>
          </w:tcPr>
          <w:p w14:paraId="47FC61EC">
            <w:pPr>
              <w:jc w:val="center"/>
              <w:rPr>
                <w:rFonts w:hint="eastAsia" w:ascii="宋体" w:hAnsi="宋体"/>
                <w:color w:val="auto"/>
                <w:sz w:val="22"/>
                <w:highlight w:val="none"/>
              </w:rPr>
            </w:pPr>
          </w:p>
        </w:tc>
      </w:tr>
      <w:tr w14:paraId="6273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04B9B57F">
            <w:pPr>
              <w:jc w:val="center"/>
              <w:rPr>
                <w:rFonts w:hint="eastAsia" w:ascii="宋体" w:hAnsi="宋体"/>
                <w:color w:val="auto"/>
                <w:sz w:val="22"/>
                <w:highlight w:val="none"/>
              </w:rPr>
            </w:pPr>
          </w:p>
        </w:tc>
        <w:tc>
          <w:tcPr>
            <w:tcW w:w="939" w:type="dxa"/>
            <w:vAlign w:val="center"/>
          </w:tcPr>
          <w:p w14:paraId="537B09DF">
            <w:pPr>
              <w:jc w:val="center"/>
              <w:rPr>
                <w:rFonts w:hint="eastAsia" w:ascii="宋体" w:hAnsi="宋体"/>
                <w:color w:val="auto"/>
                <w:sz w:val="22"/>
                <w:highlight w:val="none"/>
              </w:rPr>
            </w:pPr>
          </w:p>
        </w:tc>
        <w:tc>
          <w:tcPr>
            <w:tcW w:w="904" w:type="dxa"/>
            <w:vAlign w:val="center"/>
          </w:tcPr>
          <w:p w14:paraId="14BA8E6F">
            <w:pPr>
              <w:jc w:val="center"/>
              <w:rPr>
                <w:rFonts w:hint="eastAsia" w:ascii="宋体" w:hAnsi="宋体"/>
                <w:color w:val="auto"/>
                <w:sz w:val="22"/>
                <w:highlight w:val="none"/>
              </w:rPr>
            </w:pPr>
          </w:p>
        </w:tc>
        <w:tc>
          <w:tcPr>
            <w:tcW w:w="1484" w:type="dxa"/>
            <w:vAlign w:val="center"/>
          </w:tcPr>
          <w:p w14:paraId="5411287F">
            <w:pPr>
              <w:jc w:val="center"/>
              <w:rPr>
                <w:rFonts w:hint="eastAsia" w:ascii="宋体" w:hAnsi="宋体"/>
                <w:color w:val="auto"/>
                <w:sz w:val="22"/>
                <w:highlight w:val="none"/>
              </w:rPr>
            </w:pPr>
          </w:p>
        </w:tc>
        <w:tc>
          <w:tcPr>
            <w:tcW w:w="1885" w:type="dxa"/>
            <w:vAlign w:val="center"/>
          </w:tcPr>
          <w:p w14:paraId="0C883785">
            <w:pPr>
              <w:jc w:val="center"/>
              <w:rPr>
                <w:rFonts w:hint="eastAsia" w:ascii="宋体" w:hAnsi="宋体"/>
                <w:color w:val="auto"/>
                <w:sz w:val="22"/>
                <w:highlight w:val="none"/>
              </w:rPr>
            </w:pPr>
          </w:p>
        </w:tc>
        <w:tc>
          <w:tcPr>
            <w:tcW w:w="883" w:type="dxa"/>
            <w:vAlign w:val="center"/>
          </w:tcPr>
          <w:p w14:paraId="3736B3E3">
            <w:pPr>
              <w:jc w:val="center"/>
              <w:rPr>
                <w:rFonts w:hint="eastAsia" w:ascii="宋体" w:hAnsi="宋体"/>
                <w:color w:val="auto"/>
                <w:sz w:val="22"/>
                <w:highlight w:val="none"/>
              </w:rPr>
            </w:pPr>
          </w:p>
        </w:tc>
        <w:tc>
          <w:tcPr>
            <w:tcW w:w="992" w:type="dxa"/>
            <w:vAlign w:val="center"/>
          </w:tcPr>
          <w:p w14:paraId="483B51E2">
            <w:pPr>
              <w:jc w:val="center"/>
              <w:rPr>
                <w:rFonts w:hint="eastAsia" w:ascii="宋体" w:hAnsi="宋体"/>
                <w:color w:val="auto"/>
                <w:sz w:val="22"/>
                <w:highlight w:val="none"/>
              </w:rPr>
            </w:pPr>
          </w:p>
        </w:tc>
        <w:tc>
          <w:tcPr>
            <w:tcW w:w="1276" w:type="dxa"/>
            <w:vAlign w:val="center"/>
          </w:tcPr>
          <w:p w14:paraId="1866D7A3">
            <w:pPr>
              <w:jc w:val="center"/>
              <w:rPr>
                <w:rFonts w:hint="eastAsia" w:ascii="宋体" w:hAnsi="宋体"/>
                <w:color w:val="auto"/>
                <w:sz w:val="22"/>
                <w:highlight w:val="none"/>
              </w:rPr>
            </w:pPr>
          </w:p>
        </w:tc>
      </w:tr>
      <w:tr w14:paraId="7F95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18A8A842">
            <w:pPr>
              <w:jc w:val="center"/>
              <w:rPr>
                <w:rFonts w:hint="eastAsia" w:ascii="宋体" w:hAnsi="宋体"/>
                <w:color w:val="auto"/>
                <w:sz w:val="22"/>
                <w:highlight w:val="none"/>
              </w:rPr>
            </w:pPr>
          </w:p>
        </w:tc>
        <w:tc>
          <w:tcPr>
            <w:tcW w:w="939" w:type="dxa"/>
            <w:vAlign w:val="center"/>
          </w:tcPr>
          <w:p w14:paraId="404C23D3">
            <w:pPr>
              <w:jc w:val="center"/>
              <w:rPr>
                <w:rFonts w:hint="eastAsia" w:ascii="宋体" w:hAnsi="宋体"/>
                <w:color w:val="auto"/>
                <w:sz w:val="22"/>
                <w:highlight w:val="none"/>
              </w:rPr>
            </w:pPr>
          </w:p>
        </w:tc>
        <w:tc>
          <w:tcPr>
            <w:tcW w:w="904" w:type="dxa"/>
            <w:vAlign w:val="center"/>
          </w:tcPr>
          <w:p w14:paraId="68FE6A40">
            <w:pPr>
              <w:jc w:val="center"/>
              <w:rPr>
                <w:rFonts w:hint="eastAsia" w:ascii="宋体" w:hAnsi="宋体"/>
                <w:color w:val="auto"/>
                <w:sz w:val="22"/>
                <w:highlight w:val="none"/>
              </w:rPr>
            </w:pPr>
          </w:p>
        </w:tc>
        <w:tc>
          <w:tcPr>
            <w:tcW w:w="1484" w:type="dxa"/>
            <w:vAlign w:val="center"/>
          </w:tcPr>
          <w:p w14:paraId="4363C2AA">
            <w:pPr>
              <w:jc w:val="center"/>
              <w:rPr>
                <w:rFonts w:hint="eastAsia" w:ascii="宋体" w:hAnsi="宋体"/>
                <w:color w:val="auto"/>
                <w:sz w:val="22"/>
                <w:highlight w:val="none"/>
              </w:rPr>
            </w:pPr>
          </w:p>
        </w:tc>
        <w:tc>
          <w:tcPr>
            <w:tcW w:w="1885" w:type="dxa"/>
            <w:vAlign w:val="center"/>
          </w:tcPr>
          <w:p w14:paraId="01E8A10E">
            <w:pPr>
              <w:jc w:val="center"/>
              <w:rPr>
                <w:rFonts w:hint="eastAsia" w:ascii="宋体" w:hAnsi="宋体"/>
                <w:color w:val="auto"/>
                <w:sz w:val="22"/>
                <w:highlight w:val="none"/>
              </w:rPr>
            </w:pPr>
          </w:p>
        </w:tc>
        <w:tc>
          <w:tcPr>
            <w:tcW w:w="883" w:type="dxa"/>
            <w:vAlign w:val="center"/>
          </w:tcPr>
          <w:p w14:paraId="43BBD45A">
            <w:pPr>
              <w:jc w:val="center"/>
              <w:rPr>
                <w:rFonts w:hint="eastAsia" w:ascii="宋体" w:hAnsi="宋体"/>
                <w:color w:val="auto"/>
                <w:sz w:val="22"/>
                <w:highlight w:val="none"/>
              </w:rPr>
            </w:pPr>
          </w:p>
        </w:tc>
        <w:tc>
          <w:tcPr>
            <w:tcW w:w="992" w:type="dxa"/>
            <w:vAlign w:val="center"/>
          </w:tcPr>
          <w:p w14:paraId="33C35324">
            <w:pPr>
              <w:jc w:val="center"/>
              <w:rPr>
                <w:rFonts w:hint="eastAsia" w:ascii="宋体" w:hAnsi="宋体"/>
                <w:color w:val="auto"/>
                <w:sz w:val="22"/>
                <w:highlight w:val="none"/>
              </w:rPr>
            </w:pPr>
          </w:p>
        </w:tc>
        <w:tc>
          <w:tcPr>
            <w:tcW w:w="1276" w:type="dxa"/>
            <w:vAlign w:val="center"/>
          </w:tcPr>
          <w:p w14:paraId="68B042C0">
            <w:pPr>
              <w:jc w:val="center"/>
              <w:rPr>
                <w:rFonts w:hint="eastAsia" w:ascii="宋体" w:hAnsi="宋体"/>
                <w:color w:val="auto"/>
                <w:sz w:val="22"/>
                <w:highlight w:val="none"/>
              </w:rPr>
            </w:pPr>
          </w:p>
        </w:tc>
      </w:tr>
      <w:tr w14:paraId="26AB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59A8E604">
            <w:pPr>
              <w:jc w:val="center"/>
              <w:rPr>
                <w:rFonts w:hint="eastAsia" w:ascii="宋体" w:hAnsi="宋体"/>
                <w:color w:val="auto"/>
                <w:sz w:val="22"/>
                <w:highlight w:val="none"/>
              </w:rPr>
            </w:pPr>
          </w:p>
        </w:tc>
        <w:tc>
          <w:tcPr>
            <w:tcW w:w="939" w:type="dxa"/>
            <w:vAlign w:val="center"/>
          </w:tcPr>
          <w:p w14:paraId="666E8231">
            <w:pPr>
              <w:jc w:val="center"/>
              <w:rPr>
                <w:rFonts w:hint="eastAsia" w:ascii="宋体" w:hAnsi="宋体"/>
                <w:color w:val="auto"/>
                <w:sz w:val="22"/>
                <w:highlight w:val="none"/>
              </w:rPr>
            </w:pPr>
          </w:p>
        </w:tc>
        <w:tc>
          <w:tcPr>
            <w:tcW w:w="904" w:type="dxa"/>
            <w:vAlign w:val="center"/>
          </w:tcPr>
          <w:p w14:paraId="7738A943">
            <w:pPr>
              <w:jc w:val="center"/>
              <w:rPr>
                <w:rFonts w:hint="eastAsia" w:ascii="宋体" w:hAnsi="宋体"/>
                <w:color w:val="auto"/>
                <w:sz w:val="22"/>
                <w:highlight w:val="none"/>
              </w:rPr>
            </w:pPr>
          </w:p>
        </w:tc>
        <w:tc>
          <w:tcPr>
            <w:tcW w:w="1484" w:type="dxa"/>
            <w:vAlign w:val="center"/>
          </w:tcPr>
          <w:p w14:paraId="2FB2E97E">
            <w:pPr>
              <w:jc w:val="center"/>
              <w:rPr>
                <w:rFonts w:hint="eastAsia" w:ascii="宋体" w:hAnsi="宋体"/>
                <w:color w:val="auto"/>
                <w:sz w:val="22"/>
                <w:highlight w:val="none"/>
              </w:rPr>
            </w:pPr>
          </w:p>
        </w:tc>
        <w:tc>
          <w:tcPr>
            <w:tcW w:w="1885" w:type="dxa"/>
            <w:vAlign w:val="center"/>
          </w:tcPr>
          <w:p w14:paraId="2B205DF0">
            <w:pPr>
              <w:jc w:val="center"/>
              <w:rPr>
                <w:rFonts w:hint="eastAsia" w:ascii="宋体" w:hAnsi="宋体"/>
                <w:color w:val="auto"/>
                <w:sz w:val="22"/>
                <w:highlight w:val="none"/>
              </w:rPr>
            </w:pPr>
          </w:p>
        </w:tc>
        <w:tc>
          <w:tcPr>
            <w:tcW w:w="883" w:type="dxa"/>
            <w:vAlign w:val="center"/>
          </w:tcPr>
          <w:p w14:paraId="13BFA26E">
            <w:pPr>
              <w:jc w:val="center"/>
              <w:rPr>
                <w:rFonts w:hint="eastAsia" w:ascii="宋体" w:hAnsi="宋体"/>
                <w:color w:val="auto"/>
                <w:sz w:val="22"/>
                <w:highlight w:val="none"/>
              </w:rPr>
            </w:pPr>
          </w:p>
        </w:tc>
        <w:tc>
          <w:tcPr>
            <w:tcW w:w="992" w:type="dxa"/>
            <w:vAlign w:val="center"/>
          </w:tcPr>
          <w:p w14:paraId="5108A81E">
            <w:pPr>
              <w:jc w:val="center"/>
              <w:rPr>
                <w:rFonts w:hint="eastAsia" w:ascii="宋体" w:hAnsi="宋体"/>
                <w:color w:val="auto"/>
                <w:sz w:val="22"/>
                <w:highlight w:val="none"/>
              </w:rPr>
            </w:pPr>
          </w:p>
        </w:tc>
        <w:tc>
          <w:tcPr>
            <w:tcW w:w="1276" w:type="dxa"/>
            <w:vAlign w:val="center"/>
          </w:tcPr>
          <w:p w14:paraId="70A42663">
            <w:pPr>
              <w:jc w:val="center"/>
              <w:rPr>
                <w:rFonts w:hint="eastAsia" w:ascii="宋体" w:hAnsi="宋体"/>
                <w:color w:val="auto"/>
                <w:sz w:val="22"/>
                <w:highlight w:val="none"/>
              </w:rPr>
            </w:pPr>
          </w:p>
        </w:tc>
      </w:tr>
      <w:tr w14:paraId="4D58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49E33C09">
            <w:pPr>
              <w:jc w:val="center"/>
              <w:rPr>
                <w:rFonts w:hint="eastAsia" w:ascii="宋体" w:hAnsi="宋体"/>
                <w:color w:val="auto"/>
                <w:sz w:val="22"/>
                <w:highlight w:val="none"/>
              </w:rPr>
            </w:pPr>
          </w:p>
        </w:tc>
        <w:tc>
          <w:tcPr>
            <w:tcW w:w="939" w:type="dxa"/>
            <w:vAlign w:val="center"/>
          </w:tcPr>
          <w:p w14:paraId="66EB54D3">
            <w:pPr>
              <w:jc w:val="center"/>
              <w:rPr>
                <w:rFonts w:hint="eastAsia" w:ascii="宋体" w:hAnsi="宋体"/>
                <w:color w:val="auto"/>
                <w:sz w:val="22"/>
                <w:highlight w:val="none"/>
              </w:rPr>
            </w:pPr>
          </w:p>
        </w:tc>
        <w:tc>
          <w:tcPr>
            <w:tcW w:w="904" w:type="dxa"/>
            <w:vAlign w:val="center"/>
          </w:tcPr>
          <w:p w14:paraId="093C59EB">
            <w:pPr>
              <w:jc w:val="center"/>
              <w:rPr>
                <w:rFonts w:hint="eastAsia" w:ascii="宋体" w:hAnsi="宋体"/>
                <w:color w:val="auto"/>
                <w:sz w:val="22"/>
                <w:highlight w:val="none"/>
              </w:rPr>
            </w:pPr>
          </w:p>
        </w:tc>
        <w:tc>
          <w:tcPr>
            <w:tcW w:w="1484" w:type="dxa"/>
            <w:vAlign w:val="center"/>
          </w:tcPr>
          <w:p w14:paraId="4A13E493">
            <w:pPr>
              <w:jc w:val="center"/>
              <w:rPr>
                <w:rFonts w:hint="eastAsia" w:ascii="宋体" w:hAnsi="宋体"/>
                <w:color w:val="auto"/>
                <w:sz w:val="22"/>
                <w:highlight w:val="none"/>
              </w:rPr>
            </w:pPr>
          </w:p>
        </w:tc>
        <w:tc>
          <w:tcPr>
            <w:tcW w:w="1885" w:type="dxa"/>
            <w:vAlign w:val="center"/>
          </w:tcPr>
          <w:p w14:paraId="3F9DB043">
            <w:pPr>
              <w:jc w:val="center"/>
              <w:rPr>
                <w:rFonts w:hint="eastAsia" w:ascii="宋体" w:hAnsi="宋体"/>
                <w:color w:val="auto"/>
                <w:sz w:val="22"/>
                <w:highlight w:val="none"/>
              </w:rPr>
            </w:pPr>
          </w:p>
        </w:tc>
        <w:tc>
          <w:tcPr>
            <w:tcW w:w="883" w:type="dxa"/>
            <w:vAlign w:val="center"/>
          </w:tcPr>
          <w:p w14:paraId="5C923FAF">
            <w:pPr>
              <w:jc w:val="center"/>
              <w:rPr>
                <w:rFonts w:hint="eastAsia" w:ascii="宋体" w:hAnsi="宋体"/>
                <w:color w:val="auto"/>
                <w:sz w:val="22"/>
                <w:highlight w:val="none"/>
              </w:rPr>
            </w:pPr>
          </w:p>
        </w:tc>
        <w:tc>
          <w:tcPr>
            <w:tcW w:w="992" w:type="dxa"/>
            <w:vAlign w:val="center"/>
          </w:tcPr>
          <w:p w14:paraId="37AA55B9">
            <w:pPr>
              <w:jc w:val="center"/>
              <w:rPr>
                <w:rFonts w:hint="eastAsia" w:ascii="宋体" w:hAnsi="宋体"/>
                <w:color w:val="auto"/>
                <w:sz w:val="22"/>
                <w:highlight w:val="none"/>
              </w:rPr>
            </w:pPr>
          </w:p>
        </w:tc>
        <w:tc>
          <w:tcPr>
            <w:tcW w:w="1276" w:type="dxa"/>
            <w:vAlign w:val="center"/>
          </w:tcPr>
          <w:p w14:paraId="10CC2CB7">
            <w:pPr>
              <w:jc w:val="center"/>
              <w:rPr>
                <w:rFonts w:hint="eastAsia" w:ascii="宋体" w:hAnsi="宋体"/>
                <w:color w:val="auto"/>
                <w:sz w:val="22"/>
                <w:highlight w:val="none"/>
              </w:rPr>
            </w:pPr>
          </w:p>
        </w:tc>
      </w:tr>
      <w:tr w14:paraId="120C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67916B1F">
            <w:pPr>
              <w:jc w:val="center"/>
              <w:rPr>
                <w:rFonts w:hint="eastAsia" w:ascii="宋体" w:hAnsi="宋体"/>
                <w:color w:val="auto"/>
                <w:sz w:val="22"/>
                <w:highlight w:val="none"/>
              </w:rPr>
            </w:pPr>
          </w:p>
        </w:tc>
        <w:tc>
          <w:tcPr>
            <w:tcW w:w="939" w:type="dxa"/>
            <w:vAlign w:val="center"/>
          </w:tcPr>
          <w:p w14:paraId="41CDBB4C">
            <w:pPr>
              <w:jc w:val="center"/>
              <w:rPr>
                <w:rFonts w:hint="eastAsia" w:ascii="宋体" w:hAnsi="宋体"/>
                <w:color w:val="auto"/>
                <w:sz w:val="22"/>
                <w:highlight w:val="none"/>
              </w:rPr>
            </w:pPr>
          </w:p>
        </w:tc>
        <w:tc>
          <w:tcPr>
            <w:tcW w:w="904" w:type="dxa"/>
            <w:vAlign w:val="center"/>
          </w:tcPr>
          <w:p w14:paraId="69EE1E75">
            <w:pPr>
              <w:jc w:val="center"/>
              <w:rPr>
                <w:rFonts w:hint="eastAsia" w:ascii="宋体" w:hAnsi="宋体"/>
                <w:color w:val="auto"/>
                <w:sz w:val="22"/>
                <w:highlight w:val="none"/>
              </w:rPr>
            </w:pPr>
          </w:p>
        </w:tc>
        <w:tc>
          <w:tcPr>
            <w:tcW w:w="1484" w:type="dxa"/>
            <w:vAlign w:val="center"/>
          </w:tcPr>
          <w:p w14:paraId="6E661707">
            <w:pPr>
              <w:jc w:val="center"/>
              <w:rPr>
                <w:rFonts w:hint="eastAsia" w:ascii="宋体" w:hAnsi="宋体"/>
                <w:color w:val="auto"/>
                <w:sz w:val="22"/>
                <w:highlight w:val="none"/>
              </w:rPr>
            </w:pPr>
          </w:p>
        </w:tc>
        <w:tc>
          <w:tcPr>
            <w:tcW w:w="1885" w:type="dxa"/>
            <w:vAlign w:val="center"/>
          </w:tcPr>
          <w:p w14:paraId="7E5EB50A">
            <w:pPr>
              <w:jc w:val="center"/>
              <w:rPr>
                <w:rFonts w:hint="eastAsia" w:ascii="宋体" w:hAnsi="宋体"/>
                <w:color w:val="auto"/>
                <w:sz w:val="22"/>
                <w:highlight w:val="none"/>
              </w:rPr>
            </w:pPr>
          </w:p>
        </w:tc>
        <w:tc>
          <w:tcPr>
            <w:tcW w:w="883" w:type="dxa"/>
            <w:vAlign w:val="center"/>
          </w:tcPr>
          <w:p w14:paraId="70C30406">
            <w:pPr>
              <w:jc w:val="center"/>
              <w:rPr>
                <w:rFonts w:hint="eastAsia" w:ascii="宋体" w:hAnsi="宋体"/>
                <w:color w:val="auto"/>
                <w:sz w:val="22"/>
                <w:highlight w:val="none"/>
              </w:rPr>
            </w:pPr>
          </w:p>
        </w:tc>
        <w:tc>
          <w:tcPr>
            <w:tcW w:w="992" w:type="dxa"/>
            <w:vAlign w:val="center"/>
          </w:tcPr>
          <w:p w14:paraId="1DAE6E0C">
            <w:pPr>
              <w:jc w:val="center"/>
              <w:rPr>
                <w:rFonts w:hint="eastAsia" w:ascii="宋体" w:hAnsi="宋体"/>
                <w:color w:val="auto"/>
                <w:sz w:val="22"/>
                <w:highlight w:val="none"/>
              </w:rPr>
            </w:pPr>
          </w:p>
        </w:tc>
        <w:tc>
          <w:tcPr>
            <w:tcW w:w="1276" w:type="dxa"/>
            <w:vAlign w:val="center"/>
          </w:tcPr>
          <w:p w14:paraId="7AC56FD0">
            <w:pPr>
              <w:jc w:val="center"/>
              <w:rPr>
                <w:rFonts w:hint="eastAsia" w:ascii="宋体" w:hAnsi="宋体"/>
                <w:color w:val="auto"/>
                <w:sz w:val="22"/>
                <w:highlight w:val="none"/>
              </w:rPr>
            </w:pPr>
          </w:p>
        </w:tc>
      </w:tr>
      <w:tr w14:paraId="720B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415EB1ED">
            <w:pPr>
              <w:jc w:val="center"/>
              <w:rPr>
                <w:rFonts w:hint="eastAsia" w:ascii="宋体" w:hAnsi="宋体"/>
                <w:color w:val="auto"/>
                <w:sz w:val="22"/>
                <w:highlight w:val="none"/>
              </w:rPr>
            </w:pPr>
          </w:p>
        </w:tc>
        <w:tc>
          <w:tcPr>
            <w:tcW w:w="939" w:type="dxa"/>
            <w:vAlign w:val="center"/>
          </w:tcPr>
          <w:p w14:paraId="0C931774">
            <w:pPr>
              <w:jc w:val="center"/>
              <w:rPr>
                <w:rFonts w:hint="eastAsia" w:ascii="宋体" w:hAnsi="宋体"/>
                <w:color w:val="auto"/>
                <w:sz w:val="22"/>
                <w:highlight w:val="none"/>
              </w:rPr>
            </w:pPr>
          </w:p>
        </w:tc>
        <w:tc>
          <w:tcPr>
            <w:tcW w:w="904" w:type="dxa"/>
            <w:vAlign w:val="center"/>
          </w:tcPr>
          <w:p w14:paraId="422BBA81">
            <w:pPr>
              <w:jc w:val="center"/>
              <w:rPr>
                <w:rFonts w:hint="eastAsia" w:ascii="宋体" w:hAnsi="宋体"/>
                <w:color w:val="auto"/>
                <w:sz w:val="22"/>
                <w:highlight w:val="none"/>
              </w:rPr>
            </w:pPr>
          </w:p>
        </w:tc>
        <w:tc>
          <w:tcPr>
            <w:tcW w:w="1484" w:type="dxa"/>
            <w:vAlign w:val="center"/>
          </w:tcPr>
          <w:p w14:paraId="0407B66A">
            <w:pPr>
              <w:jc w:val="center"/>
              <w:rPr>
                <w:rFonts w:hint="eastAsia" w:ascii="宋体" w:hAnsi="宋体"/>
                <w:color w:val="auto"/>
                <w:sz w:val="22"/>
                <w:highlight w:val="none"/>
              </w:rPr>
            </w:pPr>
          </w:p>
        </w:tc>
        <w:tc>
          <w:tcPr>
            <w:tcW w:w="1885" w:type="dxa"/>
            <w:vAlign w:val="center"/>
          </w:tcPr>
          <w:p w14:paraId="6E2879EA">
            <w:pPr>
              <w:jc w:val="center"/>
              <w:rPr>
                <w:rFonts w:hint="eastAsia" w:ascii="宋体" w:hAnsi="宋体"/>
                <w:color w:val="auto"/>
                <w:sz w:val="22"/>
                <w:highlight w:val="none"/>
              </w:rPr>
            </w:pPr>
          </w:p>
        </w:tc>
        <w:tc>
          <w:tcPr>
            <w:tcW w:w="883" w:type="dxa"/>
            <w:vAlign w:val="center"/>
          </w:tcPr>
          <w:p w14:paraId="0A06D0DC">
            <w:pPr>
              <w:jc w:val="center"/>
              <w:rPr>
                <w:rFonts w:hint="eastAsia" w:ascii="宋体" w:hAnsi="宋体"/>
                <w:color w:val="auto"/>
                <w:sz w:val="22"/>
                <w:highlight w:val="none"/>
              </w:rPr>
            </w:pPr>
          </w:p>
        </w:tc>
        <w:tc>
          <w:tcPr>
            <w:tcW w:w="992" w:type="dxa"/>
            <w:vAlign w:val="center"/>
          </w:tcPr>
          <w:p w14:paraId="615A5690">
            <w:pPr>
              <w:jc w:val="center"/>
              <w:rPr>
                <w:rFonts w:hint="eastAsia" w:ascii="宋体" w:hAnsi="宋体"/>
                <w:color w:val="auto"/>
                <w:sz w:val="22"/>
                <w:highlight w:val="none"/>
              </w:rPr>
            </w:pPr>
          </w:p>
        </w:tc>
        <w:tc>
          <w:tcPr>
            <w:tcW w:w="1276" w:type="dxa"/>
            <w:vAlign w:val="center"/>
          </w:tcPr>
          <w:p w14:paraId="2F5C52E7">
            <w:pPr>
              <w:jc w:val="center"/>
              <w:rPr>
                <w:rFonts w:hint="eastAsia" w:ascii="宋体" w:hAnsi="宋体"/>
                <w:color w:val="auto"/>
                <w:sz w:val="22"/>
                <w:highlight w:val="none"/>
              </w:rPr>
            </w:pPr>
          </w:p>
        </w:tc>
      </w:tr>
      <w:tr w14:paraId="09F0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016D8B4A">
            <w:pPr>
              <w:jc w:val="center"/>
              <w:rPr>
                <w:rFonts w:hint="eastAsia" w:ascii="宋体" w:hAnsi="宋体"/>
                <w:color w:val="auto"/>
                <w:sz w:val="22"/>
                <w:highlight w:val="none"/>
              </w:rPr>
            </w:pPr>
          </w:p>
        </w:tc>
        <w:tc>
          <w:tcPr>
            <w:tcW w:w="939" w:type="dxa"/>
            <w:vAlign w:val="center"/>
          </w:tcPr>
          <w:p w14:paraId="57615B2E">
            <w:pPr>
              <w:jc w:val="center"/>
              <w:rPr>
                <w:rFonts w:hint="eastAsia" w:ascii="宋体" w:hAnsi="宋体"/>
                <w:color w:val="auto"/>
                <w:sz w:val="22"/>
                <w:highlight w:val="none"/>
              </w:rPr>
            </w:pPr>
          </w:p>
        </w:tc>
        <w:tc>
          <w:tcPr>
            <w:tcW w:w="904" w:type="dxa"/>
            <w:vAlign w:val="center"/>
          </w:tcPr>
          <w:p w14:paraId="5DF6C088">
            <w:pPr>
              <w:jc w:val="center"/>
              <w:rPr>
                <w:rFonts w:hint="eastAsia" w:ascii="宋体" w:hAnsi="宋体"/>
                <w:color w:val="auto"/>
                <w:sz w:val="22"/>
                <w:highlight w:val="none"/>
              </w:rPr>
            </w:pPr>
          </w:p>
        </w:tc>
        <w:tc>
          <w:tcPr>
            <w:tcW w:w="1484" w:type="dxa"/>
            <w:vAlign w:val="center"/>
          </w:tcPr>
          <w:p w14:paraId="37D9AEF6">
            <w:pPr>
              <w:jc w:val="center"/>
              <w:rPr>
                <w:rFonts w:hint="eastAsia" w:ascii="宋体" w:hAnsi="宋体"/>
                <w:color w:val="auto"/>
                <w:sz w:val="22"/>
                <w:highlight w:val="none"/>
              </w:rPr>
            </w:pPr>
          </w:p>
        </w:tc>
        <w:tc>
          <w:tcPr>
            <w:tcW w:w="1885" w:type="dxa"/>
            <w:vAlign w:val="center"/>
          </w:tcPr>
          <w:p w14:paraId="36C9D6A8">
            <w:pPr>
              <w:jc w:val="center"/>
              <w:rPr>
                <w:rFonts w:hint="eastAsia" w:ascii="宋体" w:hAnsi="宋体"/>
                <w:color w:val="auto"/>
                <w:sz w:val="22"/>
                <w:highlight w:val="none"/>
              </w:rPr>
            </w:pPr>
          </w:p>
        </w:tc>
        <w:tc>
          <w:tcPr>
            <w:tcW w:w="883" w:type="dxa"/>
            <w:vAlign w:val="center"/>
          </w:tcPr>
          <w:p w14:paraId="7F5F8728">
            <w:pPr>
              <w:jc w:val="center"/>
              <w:rPr>
                <w:rFonts w:hint="eastAsia" w:ascii="宋体" w:hAnsi="宋体"/>
                <w:color w:val="auto"/>
                <w:sz w:val="22"/>
                <w:highlight w:val="none"/>
              </w:rPr>
            </w:pPr>
          </w:p>
        </w:tc>
        <w:tc>
          <w:tcPr>
            <w:tcW w:w="992" w:type="dxa"/>
            <w:vAlign w:val="center"/>
          </w:tcPr>
          <w:p w14:paraId="3CCC968F">
            <w:pPr>
              <w:jc w:val="center"/>
              <w:rPr>
                <w:rFonts w:hint="eastAsia" w:ascii="宋体" w:hAnsi="宋体"/>
                <w:color w:val="auto"/>
                <w:sz w:val="22"/>
                <w:highlight w:val="none"/>
              </w:rPr>
            </w:pPr>
          </w:p>
        </w:tc>
        <w:tc>
          <w:tcPr>
            <w:tcW w:w="1276" w:type="dxa"/>
            <w:vAlign w:val="center"/>
          </w:tcPr>
          <w:p w14:paraId="0C391991">
            <w:pPr>
              <w:jc w:val="center"/>
              <w:rPr>
                <w:rFonts w:hint="eastAsia" w:ascii="宋体" w:hAnsi="宋体"/>
                <w:color w:val="auto"/>
                <w:sz w:val="22"/>
                <w:highlight w:val="none"/>
              </w:rPr>
            </w:pPr>
          </w:p>
        </w:tc>
      </w:tr>
      <w:tr w14:paraId="6BF3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02A9556E">
            <w:pPr>
              <w:jc w:val="center"/>
              <w:rPr>
                <w:rFonts w:hint="eastAsia" w:ascii="宋体" w:hAnsi="宋体"/>
                <w:color w:val="auto"/>
                <w:sz w:val="22"/>
                <w:highlight w:val="none"/>
              </w:rPr>
            </w:pPr>
          </w:p>
        </w:tc>
        <w:tc>
          <w:tcPr>
            <w:tcW w:w="939" w:type="dxa"/>
            <w:vAlign w:val="center"/>
          </w:tcPr>
          <w:p w14:paraId="56930070">
            <w:pPr>
              <w:jc w:val="center"/>
              <w:rPr>
                <w:rFonts w:hint="eastAsia" w:ascii="宋体" w:hAnsi="宋体"/>
                <w:color w:val="auto"/>
                <w:sz w:val="22"/>
                <w:highlight w:val="none"/>
              </w:rPr>
            </w:pPr>
          </w:p>
        </w:tc>
        <w:tc>
          <w:tcPr>
            <w:tcW w:w="904" w:type="dxa"/>
            <w:vAlign w:val="center"/>
          </w:tcPr>
          <w:p w14:paraId="12E9D4F0">
            <w:pPr>
              <w:jc w:val="center"/>
              <w:rPr>
                <w:rFonts w:hint="eastAsia" w:ascii="宋体" w:hAnsi="宋体"/>
                <w:color w:val="auto"/>
                <w:sz w:val="22"/>
                <w:highlight w:val="none"/>
              </w:rPr>
            </w:pPr>
          </w:p>
        </w:tc>
        <w:tc>
          <w:tcPr>
            <w:tcW w:w="1484" w:type="dxa"/>
            <w:vAlign w:val="center"/>
          </w:tcPr>
          <w:p w14:paraId="568BF965">
            <w:pPr>
              <w:jc w:val="center"/>
              <w:rPr>
                <w:rFonts w:hint="eastAsia" w:ascii="宋体" w:hAnsi="宋体"/>
                <w:color w:val="auto"/>
                <w:sz w:val="22"/>
                <w:highlight w:val="none"/>
              </w:rPr>
            </w:pPr>
          </w:p>
        </w:tc>
        <w:tc>
          <w:tcPr>
            <w:tcW w:w="1885" w:type="dxa"/>
            <w:vAlign w:val="center"/>
          </w:tcPr>
          <w:p w14:paraId="6B2A5F19">
            <w:pPr>
              <w:jc w:val="center"/>
              <w:rPr>
                <w:rFonts w:hint="eastAsia" w:ascii="宋体" w:hAnsi="宋体"/>
                <w:color w:val="auto"/>
                <w:sz w:val="22"/>
                <w:highlight w:val="none"/>
              </w:rPr>
            </w:pPr>
          </w:p>
        </w:tc>
        <w:tc>
          <w:tcPr>
            <w:tcW w:w="883" w:type="dxa"/>
            <w:vAlign w:val="center"/>
          </w:tcPr>
          <w:p w14:paraId="40543CC0">
            <w:pPr>
              <w:jc w:val="center"/>
              <w:rPr>
                <w:rFonts w:hint="eastAsia" w:ascii="宋体" w:hAnsi="宋体"/>
                <w:color w:val="auto"/>
                <w:sz w:val="22"/>
                <w:highlight w:val="none"/>
              </w:rPr>
            </w:pPr>
          </w:p>
        </w:tc>
        <w:tc>
          <w:tcPr>
            <w:tcW w:w="992" w:type="dxa"/>
            <w:vAlign w:val="center"/>
          </w:tcPr>
          <w:p w14:paraId="4652C187">
            <w:pPr>
              <w:jc w:val="center"/>
              <w:rPr>
                <w:rFonts w:hint="eastAsia" w:ascii="宋体" w:hAnsi="宋体"/>
                <w:color w:val="auto"/>
                <w:sz w:val="22"/>
                <w:highlight w:val="none"/>
              </w:rPr>
            </w:pPr>
          </w:p>
        </w:tc>
        <w:tc>
          <w:tcPr>
            <w:tcW w:w="1276" w:type="dxa"/>
            <w:vAlign w:val="center"/>
          </w:tcPr>
          <w:p w14:paraId="16DB4C30">
            <w:pPr>
              <w:jc w:val="center"/>
              <w:rPr>
                <w:rFonts w:hint="eastAsia" w:ascii="宋体" w:hAnsi="宋体"/>
                <w:color w:val="auto"/>
                <w:sz w:val="22"/>
                <w:highlight w:val="none"/>
              </w:rPr>
            </w:pPr>
          </w:p>
        </w:tc>
      </w:tr>
      <w:tr w14:paraId="430E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7A2A85D4">
            <w:pPr>
              <w:jc w:val="center"/>
              <w:rPr>
                <w:rFonts w:hint="eastAsia" w:ascii="宋体" w:hAnsi="宋体"/>
                <w:color w:val="auto"/>
                <w:sz w:val="22"/>
                <w:highlight w:val="none"/>
              </w:rPr>
            </w:pPr>
          </w:p>
        </w:tc>
        <w:tc>
          <w:tcPr>
            <w:tcW w:w="939" w:type="dxa"/>
            <w:vAlign w:val="center"/>
          </w:tcPr>
          <w:p w14:paraId="43882C9B">
            <w:pPr>
              <w:jc w:val="center"/>
              <w:rPr>
                <w:rFonts w:hint="eastAsia" w:ascii="宋体" w:hAnsi="宋体"/>
                <w:color w:val="auto"/>
                <w:sz w:val="22"/>
                <w:highlight w:val="none"/>
              </w:rPr>
            </w:pPr>
          </w:p>
        </w:tc>
        <w:tc>
          <w:tcPr>
            <w:tcW w:w="904" w:type="dxa"/>
            <w:vAlign w:val="center"/>
          </w:tcPr>
          <w:p w14:paraId="2611C572">
            <w:pPr>
              <w:jc w:val="center"/>
              <w:rPr>
                <w:rFonts w:hint="eastAsia" w:ascii="宋体" w:hAnsi="宋体"/>
                <w:color w:val="auto"/>
                <w:sz w:val="22"/>
                <w:highlight w:val="none"/>
              </w:rPr>
            </w:pPr>
          </w:p>
        </w:tc>
        <w:tc>
          <w:tcPr>
            <w:tcW w:w="1484" w:type="dxa"/>
            <w:vAlign w:val="center"/>
          </w:tcPr>
          <w:p w14:paraId="58C16AB5">
            <w:pPr>
              <w:jc w:val="center"/>
              <w:rPr>
                <w:rFonts w:hint="eastAsia" w:ascii="宋体" w:hAnsi="宋体"/>
                <w:color w:val="auto"/>
                <w:sz w:val="22"/>
                <w:highlight w:val="none"/>
              </w:rPr>
            </w:pPr>
          </w:p>
        </w:tc>
        <w:tc>
          <w:tcPr>
            <w:tcW w:w="1885" w:type="dxa"/>
            <w:vAlign w:val="center"/>
          </w:tcPr>
          <w:p w14:paraId="149530EA">
            <w:pPr>
              <w:jc w:val="center"/>
              <w:rPr>
                <w:rFonts w:hint="eastAsia" w:ascii="宋体" w:hAnsi="宋体"/>
                <w:color w:val="auto"/>
                <w:sz w:val="22"/>
                <w:highlight w:val="none"/>
              </w:rPr>
            </w:pPr>
          </w:p>
        </w:tc>
        <w:tc>
          <w:tcPr>
            <w:tcW w:w="883" w:type="dxa"/>
            <w:vAlign w:val="center"/>
          </w:tcPr>
          <w:p w14:paraId="2F2E1B4B">
            <w:pPr>
              <w:jc w:val="center"/>
              <w:rPr>
                <w:rFonts w:hint="eastAsia" w:ascii="宋体" w:hAnsi="宋体"/>
                <w:color w:val="auto"/>
                <w:sz w:val="22"/>
                <w:highlight w:val="none"/>
              </w:rPr>
            </w:pPr>
          </w:p>
        </w:tc>
        <w:tc>
          <w:tcPr>
            <w:tcW w:w="992" w:type="dxa"/>
            <w:vAlign w:val="center"/>
          </w:tcPr>
          <w:p w14:paraId="79B47323">
            <w:pPr>
              <w:jc w:val="center"/>
              <w:rPr>
                <w:rFonts w:hint="eastAsia" w:ascii="宋体" w:hAnsi="宋体"/>
                <w:color w:val="auto"/>
                <w:sz w:val="22"/>
                <w:highlight w:val="none"/>
              </w:rPr>
            </w:pPr>
          </w:p>
        </w:tc>
        <w:tc>
          <w:tcPr>
            <w:tcW w:w="1276" w:type="dxa"/>
            <w:vAlign w:val="center"/>
          </w:tcPr>
          <w:p w14:paraId="56024789">
            <w:pPr>
              <w:jc w:val="center"/>
              <w:rPr>
                <w:rFonts w:hint="eastAsia" w:ascii="宋体" w:hAnsi="宋体"/>
                <w:color w:val="auto"/>
                <w:sz w:val="22"/>
                <w:highlight w:val="none"/>
              </w:rPr>
            </w:pPr>
          </w:p>
        </w:tc>
      </w:tr>
      <w:tr w14:paraId="5E01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2C8A9533">
            <w:pPr>
              <w:jc w:val="center"/>
              <w:rPr>
                <w:rFonts w:hint="eastAsia" w:ascii="宋体" w:hAnsi="宋体"/>
                <w:color w:val="auto"/>
                <w:sz w:val="22"/>
                <w:highlight w:val="none"/>
              </w:rPr>
            </w:pPr>
          </w:p>
        </w:tc>
        <w:tc>
          <w:tcPr>
            <w:tcW w:w="939" w:type="dxa"/>
            <w:vAlign w:val="center"/>
          </w:tcPr>
          <w:p w14:paraId="32CE5115">
            <w:pPr>
              <w:jc w:val="center"/>
              <w:rPr>
                <w:rFonts w:hint="eastAsia" w:ascii="宋体" w:hAnsi="宋体"/>
                <w:color w:val="auto"/>
                <w:sz w:val="22"/>
                <w:highlight w:val="none"/>
              </w:rPr>
            </w:pPr>
          </w:p>
        </w:tc>
        <w:tc>
          <w:tcPr>
            <w:tcW w:w="904" w:type="dxa"/>
            <w:vAlign w:val="center"/>
          </w:tcPr>
          <w:p w14:paraId="58BB7FD4">
            <w:pPr>
              <w:jc w:val="center"/>
              <w:rPr>
                <w:rFonts w:hint="eastAsia" w:ascii="宋体" w:hAnsi="宋体"/>
                <w:color w:val="auto"/>
                <w:sz w:val="22"/>
                <w:highlight w:val="none"/>
              </w:rPr>
            </w:pPr>
          </w:p>
        </w:tc>
        <w:tc>
          <w:tcPr>
            <w:tcW w:w="1484" w:type="dxa"/>
            <w:vAlign w:val="center"/>
          </w:tcPr>
          <w:p w14:paraId="557E5346">
            <w:pPr>
              <w:jc w:val="center"/>
              <w:rPr>
                <w:rFonts w:hint="eastAsia" w:ascii="宋体" w:hAnsi="宋体"/>
                <w:color w:val="auto"/>
                <w:sz w:val="22"/>
                <w:highlight w:val="none"/>
              </w:rPr>
            </w:pPr>
          </w:p>
        </w:tc>
        <w:tc>
          <w:tcPr>
            <w:tcW w:w="1885" w:type="dxa"/>
            <w:vAlign w:val="center"/>
          </w:tcPr>
          <w:p w14:paraId="4486C5AA">
            <w:pPr>
              <w:jc w:val="center"/>
              <w:rPr>
                <w:rFonts w:hint="eastAsia" w:ascii="宋体" w:hAnsi="宋体"/>
                <w:color w:val="auto"/>
                <w:sz w:val="22"/>
                <w:highlight w:val="none"/>
              </w:rPr>
            </w:pPr>
          </w:p>
        </w:tc>
        <w:tc>
          <w:tcPr>
            <w:tcW w:w="883" w:type="dxa"/>
            <w:vAlign w:val="center"/>
          </w:tcPr>
          <w:p w14:paraId="472E9F11">
            <w:pPr>
              <w:jc w:val="center"/>
              <w:rPr>
                <w:rFonts w:hint="eastAsia" w:ascii="宋体" w:hAnsi="宋体"/>
                <w:color w:val="auto"/>
                <w:sz w:val="22"/>
                <w:highlight w:val="none"/>
              </w:rPr>
            </w:pPr>
          </w:p>
        </w:tc>
        <w:tc>
          <w:tcPr>
            <w:tcW w:w="992" w:type="dxa"/>
            <w:vAlign w:val="center"/>
          </w:tcPr>
          <w:p w14:paraId="5DA4CC86">
            <w:pPr>
              <w:jc w:val="center"/>
              <w:rPr>
                <w:rFonts w:hint="eastAsia" w:ascii="宋体" w:hAnsi="宋体"/>
                <w:color w:val="auto"/>
                <w:sz w:val="22"/>
                <w:highlight w:val="none"/>
              </w:rPr>
            </w:pPr>
          </w:p>
        </w:tc>
        <w:tc>
          <w:tcPr>
            <w:tcW w:w="1276" w:type="dxa"/>
            <w:vAlign w:val="center"/>
          </w:tcPr>
          <w:p w14:paraId="44F0003A">
            <w:pPr>
              <w:jc w:val="center"/>
              <w:rPr>
                <w:rFonts w:hint="eastAsia" w:ascii="宋体" w:hAnsi="宋体"/>
                <w:color w:val="auto"/>
                <w:sz w:val="22"/>
                <w:highlight w:val="none"/>
              </w:rPr>
            </w:pPr>
          </w:p>
        </w:tc>
      </w:tr>
    </w:tbl>
    <w:p w14:paraId="284B06CB">
      <w:pPr>
        <w:ind w:firstLine="480" w:firstLineChars="200"/>
        <w:rPr>
          <w:rFonts w:hint="eastAsia" w:ascii="宋体" w:hAnsi="宋体"/>
          <w:color w:val="auto"/>
          <w:sz w:val="24"/>
          <w:highlight w:val="none"/>
        </w:rPr>
      </w:pPr>
    </w:p>
    <w:p w14:paraId="2D9D4858">
      <w:pPr>
        <w:rPr>
          <w:rFonts w:hint="eastAsia" w:ascii="宋体" w:hAnsi="宋体"/>
          <w:color w:val="auto"/>
          <w:highlight w:val="none"/>
        </w:rPr>
      </w:pPr>
      <w:r>
        <w:rPr>
          <w:rFonts w:ascii="宋体" w:hAnsi="宋体"/>
          <w:color w:val="auto"/>
          <w:sz w:val="24"/>
          <w:highlight w:val="none"/>
        </w:rPr>
        <w:br w:type="page"/>
      </w:r>
    </w:p>
    <w:p w14:paraId="5DDA9F9A">
      <w:pPr>
        <w:pStyle w:val="4"/>
        <w:rPr>
          <w:rFonts w:hint="eastAsia"/>
          <w:color w:val="auto"/>
          <w:highlight w:val="none"/>
        </w:rPr>
      </w:pPr>
      <w:bookmarkStart w:id="280" w:name="_Toc8140"/>
      <w:bookmarkStart w:id="281" w:name="_Toc23397"/>
      <w:bookmarkStart w:id="282" w:name="_Toc31779"/>
      <w:bookmarkStart w:id="283" w:name="_Toc26704"/>
      <w:r>
        <w:rPr>
          <w:rFonts w:hint="eastAsia"/>
          <w:color w:val="auto"/>
          <w:highlight w:val="none"/>
        </w:rPr>
        <w:t>八、拟投入本项目的人员简历表</w:t>
      </w:r>
      <w:bookmarkEnd w:id="280"/>
      <w:bookmarkEnd w:id="281"/>
      <w:bookmarkEnd w:id="282"/>
      <w:bookmarkEnd w:id="283"/>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08EFE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14:paraId="545B6D96">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姓名</w:t>
            </w:r>
          </w:p>
        </w:tc>
        <w:tc>
          <w:tcPr>
            <w:tcW w:w="1295" w:type="dxa"/>
            <w:vAlign w:val="center"/>
          </w:tcPr>
          <w:p w14:paraId="164CDE5A">
            <w:pPr>
              <w:snapToGrid w:val="0"/>
              <w:spacing w:line="0" w:lineRule="atLeast"/>
              <w:jc w:val="center"/>
              <w:rPr>
                <w:rFonts w:hint="eastAsia" w:ascii="宋体" w:hAnsi="宋体"/>
                <w:color w:val="auto"/>
                <w:sz w:val="24"/>
                <w:highlight w:val="none"/>
              </w:rPr>
            </w:pPr>
          </w:p>
        </w:tc>
        <w:tc>
          <w:tcPr>
            <w:tcW w:w="1044" w:type="dxa"/>
            <w:gridSpan w:val="2"/>
            <w:vAlign w:val="center"/>
          </w:tcPr>
          <w:p w14:paraId="73F67857">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14:paraId="7EDFCF6D">
            <w:pPr>
              <w:snapToGrid w:val="0"/>
              <w:spacing w:line="0" w:lineRule="atLeast"/>
              <w:jc w:val="center"/>
              <w:rPr>
                <w:rFonts w:hint="eastAsia" w:ascii="宋体" w:hAnsi="宋体"/>
                <w:color w:val="auto"/>
                <w:sz w:val="24"/>
                <w:highlight w:val="none"/>
              </w:rPr>
            </w:pPr>
          </w:p>
        </w:tc>
        <w:tc>
          <w:tcPr>
            <w:tcW w:w="1830" w:type="dxa"/>
            <w:gridSpan w:val="2"/>
            <w:vAlign w:val="center"/>
          </w:tcPr>
          <w:p w14:paraId="1F22BECF">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学历</w:t>
            </w:r>
          </w:p>
        </w:tc>
        <w:tc>
          <w:tcPr>
            <w:tcW w:w="2027" w:type="dxa"/>
          </w:tcPr>
          <w:p w14:paraId="65CC7E8C">
            <w:pPr>
              <w:snapToGrid w:val="0"/>
              <w:spacing w:line="0" w:lineRule="atLeast"/>
              <w:jc w:val="center"/>
              <w:rPr>
                <w:rFonts w:hint="eastAsia" w:ascii="宋体" w:hAnsi="宋体"/>
                <w:color w:val="auto"/>
                <w:sz w:val="24"/>
                <w:highlight w:val="none"/>
              </w:rPr>
            </w:pPr>
          </w:p>
        </w:tc>
      </w:tr>
      <w:tr w14:paraId="2DD45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14:paraId="31E26B3D">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技术职称</w:t>
            </w:r>
          </w:p>
        </w:tc>
        <w:tc>
          <w:tcPr>
            <w:tcW w:w="1295" w:type="dxa"/>
            <w:vAlign w:val="center"/>
          </w:tcPr>
          <w:p w14:paraId="6515FAFA">
            <w:pPr>
              <w:snapToGrid w:val="0"/>
              <w:spacing w:line="0" w:lineRule="atLeast"/>
              <w:jc w:val="center"/>
              <w:rPr>
                <w:rFonts w:hint="eastAsia" w:ascii="宋体" w:hAnsi="宋体"/>
                <w:color w:val="auto"/>
                <w:sz w:val="24"/>
                <w:highlight w:val="none"/>
              </w:rPr>
            </w:pPr>
          </w:p>
        </w:tc>
        <w:tc>
          <w:tcPr>
            <w:tcW w:w="1044" w:type="dxa"/>
            <w:gridSpan w:val="2"/>
            <w:vAlign w:val="center"/>
          </w:tcPr>
          <w:p w14:paraId="2A388009">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14:paraId="40F3D2CD">
            <w:pPr>
              <w:snapToGrid w:val="0"/>
              <w:spacing w:line="0" w:lineRule="atLeast"/>
              <w:jc w:val="center"/>
              <w:rPr>
                <w:rFonts w:hint="eastAsia" w:ascii="宋体" w:hAnsi="宋体"/>
                <w:color w:val="auto"/>
                <w:sz w:val="24"/>
                <w:highlight w:val="none"/>
              </w:rPr>
            </w:pPr>
          </w:p>
        </w:tc>
        <w:tc>
          <w:tcPr>
            <w:tcW w:w="1830" w:type="dxa"/>
            <w:gridSpan w:val="2"/>
            <w:vAlign w:val="center"/>
          </w:tcPr>
          <w:p w14:paraId="224B9F3D">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在本项目担任职务</w:t>
            </w:r>
          </w:p>
        </w:tc>
        <w:tc>
          <w:tcPr>
            <w:tcW w:w="2027" w:type="dxa"/>
          </w:tcPr>
          <w:p w14:paraId="2DD4E232">
            <w:pPr>
              <w:snapToGrid w:val="0"/>
              <w:spacing w:line="0" w:lineRule="atLeast"/>
              <w:jc w:val="center"/>
              <w:rPr>
                <w:rFonts w:hint="eastAsia" w:ascii="宋体" w:hAnsi="宋体"/>
                <w:color w:val="auto"/>
                <w:sz w:val="24"/>
                <w:highlight w:val="none"/>
              </w:rPr>
            </w:pPr>
          </w:p>
        </w:tc>
      </w:tr>
      <w:tr w14:paraId="2FE2F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14:paraId="3B69DA61">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14:paraId="61482393">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14:paraId="037C1DDD">
            <w:pPr>
              <w:snapToGrid w:val="0"/>
              <w:spacing w:line="0" w:lineRule="atLeast"/>
              <w:jc w:val="center"/>
              <w:rPr>
                <w:rFonts w:hint="eastAsia" w:ascii="宋体" w:hAnsi="宋体"/>
                <w:color w:val="auto"/>
                <w:sz w:val="24"/>
                <w:highlight w:val="none"/>
              </w:rPr>
            </w:pPr>
            <w:r>
              <w:rPr>
                <w:rFonts w:hint="eastAsia" w:ascii="宋体" w:hAnsi="宋体"/>
                <w:color w:val="auto"/>
                <w:position w:val="-30"/>
                <w:sz w:val="24"/>
                <w:highlight w:val="none"/>
              </w:rPr>
              <w:t>从事检测或监测工作年限</w:t>
            </w:r>
          </w:p>
        </w:tc>
        <w:tc>
          <w:tcPr>
            <w:tcW w:w="2027" w:type="dxa"/>
          </w:tcPr>
          <w:p w14:paraId="0D6FEBEB">
            <w:pPr>
              <w:snapToGrid w:val="0"/>
              <w:spacing w:line="0" w:lineRule="atLeast"/>
              <w:jc w:val="center"/>
              <w:rPr>
                <w:rFonts w:hint="eastAsia" w:ascii="宋体" w:hAnsi="宋体"/>
                <w:color w:val="auto"/>
                <w:sz w:val="24"/>
                <w:highlight w:val="none"/>
              </w:rPr>
            </w:pPr>
          </w:p>
        </w:tc>
      </w:tr>
      <w:tr w14:paraId="28927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943" w:type="dxa"/>
            <w:gridSpan w:val="4"/>
            <w:vAlign w:val="center"/>
          </w:tcPr>
          <w:p w14:paraId="53C44806">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14:paraId="63447FE4">
            <w:pPr>
              <w:snapToGrid w:val="0"/>
              <w:spacing w:line="0" w:lineRule="atLeast"/>
              <w:rPr>
                <w:rFonts w:hint="eastAsia" w:ascii="宋体" w:hAnsi="宋体"/>
                <w:color w:val="auto"/>
                <w:sz w:val="24"/>
                <w:highlight w:val="none"/>
              </w:rPr>
            </w:pPr>
          </w:p>
        </w:tc>
      </w:tr>
      <w:tr w14:paraId="265F6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tcPr>
          <w:p w14:paraId="2E493CE2">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主要业绩经历</w:t>
            </w:r>
          </w:p>
        </w:tc>
      </w:tr>
      <w:tr w14:paraId="60DF7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tcPr>
          <w:p w14:paraId="2E60B16A">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时间</w:t>
            </w:r>
          </w:p>
        </w:tc>
        <w:tc>
          <w:tcPr>
            <w:tcW w:w="3476" w:type="dxa"/>
            <w:gridSpan w:val="5"/>
          </w:tcPr>
          <w:p w14:paraId="5A454CE8">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参加过的主要工作</w:t>
            </w:r>
          </w:p>
        </w:tc>
        <w:tc>
          <w:tcPr>
            <w:tcW w:w="1607" w:type="dxa"/>
            <w:gridSpan w:val="2"/>
          </w:tcPr>
          <w:p w14:paraId="5DD3F431">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担任何职</w:t>
            </w:r>
          </w:p>
        </w:tc>
        <w:tc>
          <w:tcPr>
            <w:tcW w:w="2657" w:type="dxa"/>
            <w:gridSpan w:val="2"/>
          </w:tcPr>
          <w:p w14:paraId="24A23268">
            <w:pPr>
              <w:snapToGrid w:val="0"/>
              <w:spacing w:line="0" w:lineRule="atLeast"/>
              <w:jc w:val="center"/>
              <w:rPr>
                <w:rFonts w:hint="eastAsia" w:ascii="宋体" w:hAnsi="宋体"/>
                <w:color w:val="auto"/>
                <w:sz w:val="24"/>
                <w:highlight w:val="none"/>
              </w:rPr>
            </w:pPr>
            <w:r>
              <w:rPr>
                <w:rFonts w:hint="eastAsia" w:ascii="宋体" w:hAnsi="宋体"/>
                <w:color w:val="auto"/>
                <w:sz w:val="24"/>
                <w:highlight w:val="none"/>
              </w:rPr>
              <w:t>获得的奖励情况</w:t>
            </w:r>
          </w:p>
        </w:tc>
      </w:tr>
      <w:tr w14:paraId="30527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3A79B2B8">
            <w:pPr>
              <w:snapToGrid w:val="0"/>
              <w:spacing w:line="0" w:lineRule="atLeast"/>
              <w:rPr>
                <w:rFonts w:hint="eastAsia" w:ascii="宋体" w:hAnsi="宋体"/>
                <w:color w:val="auto"/>
                <w:sz w:val="24"/>
                <w:highlight w:val="none"/>
              </w:rPr>
            </w:pPr>
          </w:p>
        </w:tc>
        <w:tc>
          <w:tcPr>
            <w:tcW w:w="3476" w:type="dxa"/>
            <w:gridSpan w:val="5"/>
          </w:tcPr>
          <w:p w14:paraId="0237FF44">
            <w:pPr>
              <w:snapToGrid w:val="0"/>
              <w:spacing w:line="0" w:lineRule="atLeast"/>
              <w:rPr>
                <w:rFonts w:hint="eastAsia" w:ascii="宋体" w:hAnsi="宋体"/>
                <w:color w:val="auto"/>
                <w:sz w:val="24"/>
                <w:highlight w:val="none"/>
              </w:rPr>
            </w:pPr>
          </w:p>
        </w:tc>
        <w:tc>
          <w:tcPr>
            <w:tcW w:w="1607" w:type="dxa"/>
            <w:gridSpan w:val="2"/>
          </w:tcPr>
          <w:p w14:paraId="324D2740">
            <w:pPr>
              <w:snapToGrid w:val="0"/>
              <w:spacing w:line="0" w:lineRule="atLeast"/>
              <w:rPr>
                <w:rFonts w:hint="eastAsia" w:ascii="宋体" w:hAnsi="宋体"/>
                <w:color w:val="auto"/>
                <w:sz w:val="24"/>
                <w:highlight w:val="none"/>
              </w:rPr>
            </w:pPr>
          </w:p>
        </w:tc>
        <w:tc>
          <w:tcPr>
            <w:tcW w:w="2657" w:type="dxa"/>
            <w:gridSpan w:val="2"/>
          </w:tcPr>
          <w:p w14:paraId="70B7FEDE">
            <w:pPr>
              <w:snapToGrid w:val="0"/>
              <w:spacing w:line="0" w:lineRule="atLeast"/>
              <w:rPr>
                <w:rFonts w:hint="eastAsia" w:ascii="宋体" w:hAnsi="宋体"/>
                <w:color w:val="auto"/>
                <w:sz w:val="24"/>
                <w:highlight w:val="none"/>
              </w:rPr>
            </w:pPr>
          </w:p>
        </w:tc>
      </w:tr>
      <w:tr w14:paraId="50447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247ED21">
            <w:pPr>
              <w:snapToGrid w:val="0"/>
              <w:spacing w:line="0" w:lineRule="atLeast"/>
              <w:rPr>
                <w:rFonts w:hint="eastAsia" w:ascii="宋体" w:hAnsi="宋体"/>
                <w:color w:val="auto"/>
                <w:sz w:val="24"/>
                <w:highlight w:val="none"/>
              </w:rPr>
            </w:pPr>
          </w:p>
        </w:tc>
        <w:tc>
          <w:tcPr>
            <w:tcW w:w="3476" w:type="dxa"/>
            <w:gridSpan w:val="5"/>
          </w:tcPr>
          <w:p w14:paraId="1FF00AED">
            <w:pPr>
              <w:snapToGrid w:val="0"/>
              <w:spacing w:line="0" w:lineRule="atLeast"/>
              <w:rPr>
                <w:rFonts w:hint="eastAsia" w:ascii="宋体" w:hAnsi="宋体"/>
                <w:color w:val="auto"/>
                <w:sz w:val="24"/>
                <w:highlight w:val="none"/>
              </w:rPr>
            </w:pPr>
          </w:p>
        </w:tc>
        <w:tc>
          <w:tcPr>
            <w:tcW w:w="1607" w:type="dxa"/>
            <w:gridSpan w:val="2"/>
          </w:tcPr>
          <w:p w14:paraId="5BD814CB">
            <w:pPr>
              <w:snapToGrid w:val="0"/>
              <w:spacing w:line="0" w:lineRule="atLeast"/>
              <w:rPr>
                <w:rFonts w:hint="eastAsia" w:ascii="宋体" w:hAnsi="宋体"/>
                <w:color w:val="auto"/>
                <w:sz w:val="24"/>
                <w:highlight w:val="none"/>
              </w:rPr>
            </w:pPr>
          </w:p>
        </w:tc>
        <w:tc>
          <w:tcPr>
            <w:tcW w:w="2657" w:type="dxa"/>
            <w:gridSpan w:val="2"/>
          </w:tcPr>
          <w:p w14:paraId="27742206">
            <w:pPr>
              <w:snapToGrid w:val="0"/>
              <w:spacing w:line="0" w:lineRule="atLeast"/>
              <w:rPr>
                <w:rFonts w:hint="eastAsia" w:ascii="宋体" w:hAnsi="宋体"/>
                <w:color w:val="auto"/>
                <w:sz w:val="24"/>
                <w:highlight w:val="none"/>
              </w:rPr>
            </w:pPr>
          </w:p>
        </w:tc>
      </w:tr>
      <w:tr w14:paraId="241CB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B803CE3">
            <w:pPr>
              <w:snapToGrid w:val="0"/>
              <w:spacing w:line="0" w:lineRule="atLeast"/>
              <w:rPr>
                <w:rFonts w:hint="eastAsia" w:ascii="宋体" w:hAnsi="宋体"/>
                <w:color w:val="auto"/>
                <w:sz w:val="24"/>
                <w:highlight w:val="none"/>
              </w:rPr>
            </w:pPr>
          </w:p>
        </w:tc>
        <w:tc>
          <w:tcPr>
            <w:tcW w:w="3476" w:type="dxa"/>
            <w:gridSpan w:val="5"/>
          </w:tcPr>
          <w:p w14:paraId="7877BF36">
            <w:pPr>
              <w:snapToGrid w:val="0"/>
              <w:spacing w:line="0" w:lineRule="atLeast"/>
              <w:rPr>
                <w:rFonts w:hint="eastAsia" w:ascii="宋体" w:hAnsi="宋体"/>
                <w:color w:val="auto"/>
                <w:sz w:val="24"/>
                <w:highlight w:val="none"/>
              </w:rPr>
            </w:pPr>
          </w:p>
        </w:tc>
        <w:tc>
          <w:tcPr>
            <w:tcW w:w="1607" w:type="dxa"/>
            <w:gridSpan w:val="2"/>
          </w:tcPr>
          <w:p w14:paraId="0B76D46A">
            <w:pPr>
              <w:snapToGrid w:val="0"/>
              <w:spacing w:line="0" w:lineRule="atLeast"/>
              <w:rPr>
                <w:rFonts w:hint="eastAsia" w:ascii="宋体" w:hAnsi="宋体"/>
                <w:color w:val="auto"/>
                <w:sz w:val="24"/>
                <w:highlight w:val="none"/>
              </w:rPr>
            </w:pPr>
          </w:p>
        </w:tc>
        <w:tc>
          <w:tcPr>
            <w:tcW w:w="2657" w:type="dxa"/>
            <w:gridSpan w:val="2"/>
          </w:tcPr>
          <w:p w14:paraId="02F5A988">
            <w:pPr>
              <w:snapToGrid w:val="0"/>
              <w:spacing w:line="0" w:lineRule="atLeast"/>
              <w:rPr>
                <w:rFonts w:hint="eastAsia" w:ascii="宋体" w:hAnsi="宋体"/>
                <w:color w:val="auto"/>
                <w:sz w:val="24"/>
                <w:highlight w:val="none"/>
              </w:rPr>
            </w:pPr>
          </w:p>
        </w:tc>
      </w:tr>
      <w:tr w14:paraId="4470B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038E5614">
            <w:pPr>
              <w:snapToGrid w:val="0"/>
              <w:spacing w:line="0" w:lineRule="atLeast"/>
              <w:rPr>
                <w:rFonts w:hint="eastAsia" w:ascii="宋体" w:hAnsi="宋体"/>
                <w:color w:val="auto"/>
                <w:sz w:val="24"/>
                <w:highlight w:val="none"/>
              </w:rPr>
            </w:pPr>
          </w:p>
        </w:tc>
        <w:tc>
          <w:tcPr>
            <w:tcW w:w="3476" w:type="dxa"/>
            <w:gridSpan w:val="5"/>
          </w:tcPr>
          <w:p w14:paraId="0147B4CA">
            <w:pPr>
              <w:snapToGrid w:val="0"/>
              <w:spacing w:line="0" w:lineRule="atLeast"/>
              <w:rPr>
                <w:rFonts w:hint="eastAsia" w:ascii="宋体" w:hAnsi="宋体"/>
                <w:color w:val="auto"/>
                <w:sz w:val="24"/>
                <w:highlight w:val="none"/>
              </w:rPr>
            </w:pPr>
          </w:p>
        </w:tc>
        <w:tc>
          <w:tcPr>
            <w:tcW w:w="1607" w:type="dxa"/>
            <w:gridSpan w:val="2"/>
          </w:tcPr>
          <w:p w14:paraId="19210509">
            <w:pPr>
              <w:snapToGrid w:val="0"/>
              <w:spacing w:line="0" w:lineRule="atLeast"/>
              <w:rPr>
                <w:rFonts w:hint="eastAsia" w:ascii="宋体" w:hAnsi="宋体"/>
                <w:color w:val="auto"/>
                <w:sz w:val="24"/>
                <w:highlight w:val="none"/>
              </w:rPr>
            </w:pPr>
          </w:p>
        </w:tc>
        <w:tc>
          <w:tcPr>
            <w:tcW w:w="2657" w:type="dxa"/>
            <w:gridSpan w:val="2"/>
          </w:tcPr>
          <w:p w14:paraId="7AAC9574">
            <w:pPr>
              <w:snapToGrid w:val="0"/>
              <w:spacing w:line="0" w:lineRule="atLeast"/>
              <w:rPr>
                <w:rFonts w:hint="eastAsia" w:ascii="宋体" w:hAnsi="宋体"/>
                <w:color w:val="auto"/>
                <w:sz w:val="24"/>
                <w:highlight w:val="none"/>
              </w:rPr>
            </w:pPr>
          </w:p>
        </w:tc>
      </w:tr>
      <w:tr w14:paraId="2244F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28ABA24">
            <w:pPr>
              <w:snapToGrid w:val="0"/>
              <w:spacing w:line="0" w:lineRule="atLeast"/>
              <w:rPr>
                <w:rFonts w:hint="eastAsia" w:ascii="宋体" w:hAnsi="宋体"/>
                <w:color w:val="auto"/>
                <w:sz w:val="24"/>
                <w:highlight w:val="none"/>
              </w:rPr>
            </w:pPr>
          </w:p>
        </w:tc>
        <w:tc>
          <w:tcPr>
            <w:tcW w:w="3476" w:type="dxa"/>
            <w:gridSpan w:val="5"/>
          </w:tcPr>
          <w:p w14:paraId="53D4D7CF">
            <w:pPr>
              <w:snapToGrid w:val="0"/>
              <w:spacing w:line="0" w:lineRule="atLeast"/>
              <w:rPr>
                <w:rFonts w:hint="eastAsia" w:ascii="宋体" w:hAnsi="宋体"/>
                <w:color w:val="auto"/>
                <w:sz w:val="24"/>
                <w:highlight w:val="none"/>
              </w:rPr>
            </w:pPr>
          </w:p>
        </w:tc>
        <w:tc>
          <w:tcPr>
            <w:tcW w:w="1607" w:type="dxa"/>
            <w:gridSpan w:val="2"/>
          </w:tcPr>
          <w:p w14:paraId="0FBD15E0">
            <w:pPr>
              <w:snapToGrid w:val="0"/>
              <w:spacing w:line="0" w:lineRule="atLeast"/>
              <w:rPr>
                <w:rFonts w:hint="eastAsia" w:ascii="宋体" w:hAnsi="宋体"/>
                <w:color w:val="auto"/>
                <w:sz w:val="24"/>
                <w:highlight w:val="none"/>
              </w:rPr>
            </w:pPr>
          </w:p>
        </w:tc>
        <w:tc>
          <w:tcPr>
            <w:tcW w:w="2657" w:type="dxa"/>
            <w:gridSpan w:val="2"/>
          </w:tcPr>
          <w:p w14:paraId="4D47EF26">
            <w:pPr>
              <w:snapToGrid w:val="0"/>
              <w:spacing w:line="0" w:lineRule="atLeast"/>
              <w:rPr>
                <w:rFonts w:hint="eastAsia" w:ascii="宋体" w:hAnsi="宋体"/>
                <w:color w:val="auto"/>
                <w:sz w:val="24"/>
                <w:highlight w:val="none"/>
              </w:rPr>
            </w:pPr>
          </w:p>
        </w:tc>
      </w:tr>
      <w:tr w14:paraId="4FF78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52DCD9B">
            <w:pPr>
              <w:snapToGrid w:val="0"/>
              <w:spacing w:line="0" w:lineRule="atLeast"/>
              <w:rPr>
                <w:rFonts w:hint="eastAsia" w:ascii="宋体" w:hAnsi="宋体"/>
                <w:color w:val="auto"/>
                <w:sz w:val="24"/>
                <w:highlight w:val="none"/>
              </w:rPr>
            </w:pPr>
          </w:p>
        </w:tc>
        <w:tc>
          <w:tcPr>
            <w:tcW w:w="3476" w:type="dxa"/>
            <w:gridSpan w:val="5"/>
          </w:tcPr>
          <w:p w14:paraId="7777F100">
            <w:pPr>
              <w:snapToGrid w:val="0"/>
              <w:spacing w:line="0" w:lineRule="atLeast"/>
              <w:rPr>
                <w:rFonts w:hint="eastAsia" w:ascii="宋体" w:hAnsi="宋体"/>
                <w:color w:val="auto"/>
                <w:sz w:val="24"/>
                <w:highlight w:val="none"/>
              </w:rPr>
            </w:pPr>
          </w:p>
        </w:tc>
        <w:tc>
          <w:tcPr>
            <w:tcW w:w="1607" w:type="dxa"/>
            <w:gridSpan w:val="2"/>
          </w:tcPr>
          <w:p w14:paraId="7412CB0D">
            <w:pPr>
              <w:snapToGrid w:val="0"/>
              <w:spacing w:line="0" w:lineRule="atLeast"/>
              <w:rPr>
                <w:rFonts w:hint="eastAsia" w:ascii="宋体" w:hAnsi="宋体"/>
                <w:color w:val="auto"/>
                <w:sz w:val="24"/>
                <w:highlight w:val="none"/>
              </w:rPr>
            </w:pPr>
          </w:p>
        </w:tc>
        <w:tc>
          <w:tcPr>
            <w:tcW w:w="2657" w:type="dxa"/>
            <w:gridSpan w:val="2"/>
          </w:tcPr>
          <w:p w14:paraId="0CAD366C">
            <w:pPr>
              <w:snapToGrid w:val="0"/>
              <w:spacing w:line="0" w:lineRule="atLeast"/>
              <w:rPr>
                <w:rFonts w:hint="eastAsia" w:ascii="宋体" w:hAnsi="宋体"/>
                <w:color w:val="auto"/>
                <w:sz w:val="24"/>
                <w:highlight w:val="none"/>
              </w:rPr>
            </w:pPr>
          </w:p>
        </w:tc>
      </w:tr>
      <w:tr w14:paraId="4288E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5528876">
            <w:pPr>
              <w:snapToGrid w:val="0"/>
              <w:spacing w:line="0" w:lineRule="atLeast"/>
              <w:rPr>
                <w:rFonts w:hint="eastAsia" w:ascii="宋体" w:hAnsi="宋体"/>
                <w:color w:val="auto"/>
                <w:sz w:val="24"/>
                <w:highlight w:val="none"/>
              </w:rPr>
            </w:pPr>
          </w:p>
        </w:tc>
        <w:tc>
          <w:tcPr>
            <w:tcW w:w="3476" w:type="dxa"/>
            <w:gridSpan w:val="5"/>
          </w:tcPr>
          <w:p w14:paraId="4FEF0BAD">
            <w:pPr>
              <w:snapToGrid w:val="0"/>
              <w:spacing w:line="0" w:lineRule="atLeast"/>
              <w:rPr>
                <w:rFonts w:hint="eastAsia" w:ascii="宋体" w:hAnsi="宋体"/>
                <w:color w:val="auto"/>
                <w:sz w:val="24"/>
                <w:highlight w:val="none"/>
              </w:rPr>
            </w:pPr>
          </w:p>
        </w:tc>
        <w:tc>
          <w:tcPr>
            <w:tcW w:w="1607" w:type="dxa"/>
            <w:gridSpan w:val="2"/>
          </w:tcPr>
          <w:p w14:paraId="47622C04">
            <w:pPr>
              <w:snapToGrid w:val="0"/>
              <w:spacing w:line="0" w:lineRule="atLeast"/>
              <w:rPr>
                <w:rFonts w:hint="eastAsia" w:ascii="宋体" w:hAnsi="宋体"/>
                <w:color w:val="auto"/>
                <w:sz w:val="24"/>
                <w:highlight w:val="none"/>
              </w:rPr>
            </w:pPr>
          </w:p>
        </w:tc>
        <w:tc>
          <w:tcPr>
            <w:tcW w:w="2657" w:type="dxa"/>
            <w:gridSpan w:val="2"/>
          </w:tcPr>
          <w:p w14:paraId="43D5D343">
            <w:pPr>
              <w:snapToGrid w:val="0"/>
              <w:spacing w:line="0" w:lineRule="atLeast"/>
              <w:rPr>
                <w:rFonts w:hint="eastAsia" w:ascii="宋体" w:hAnsi="宋体"/>
                <w:color w:val="auto"/>
                <w:sz w:val="24"/>
                <w:highlight w:val="none"/>
              </w:rPr>
            </w:pPr>
          </w:p>
        </w:tc>
      </w:tr>
      <w:tr w14:paraId="2A909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43CC2ED">
            <w:pPr>
              <w:snapToGrid w:val="0"/>
              <w:spacing w:line="0" w:lineRule="atLeast"/>
              <w:rPr>
                <w:rFonts w:hint="eastAsia" w:ascii="宋体" w:hAnsi="宋体"/>
                <w:color w:val="auto"/>
                <w:sz w:val="24"/>
                <w:highlight w:val="none"/>
              </w:rPr>
            </w:pPr>
          </w:p>
        </w:tc>
        <w:tc>
          <w:tcPr>
            <w:tcW w:w="3476" w:type="dxa"/>
            <w:gridSpan w:val="5"/>
          </w:tcPr>
          <w:p w14:paraId="457D44B7">
            <w:pPr>
              <w:snapToGrid w:val="0"/>
              <w:spacing w:line="0" w:lineRule="atLeast"/>
              <w:rPr>
                <w:rFonts w:hint="eastAsia" w:ascii="宋体" w:hAnsi="宋体"/>
                <w:color w:val="auto"/>
                <w:sz w:val="24"/>
                <w:highlight w:val="none"/>
              </w:rPr>
            </w:pPr>
          </w:p>
        </w:tc>
        <w:tc>
          <w:tcPr>
            <w:tcW w:w="1607" w:type="dxa"/>
            <w:gridSpan w:val="2"/>
          </w:tcPr>
          <w:p w14:paraId="0F6AB270">
            <w:pPr>
              <w:snapToGrid w:val="0"/>
              <w:spacing w:line="0" w:lineRule="atLeast"/>
              <w:rPr>
                <w:rFonts w:hint="eastAsia" w:ascii="宋体" w:hAnsi="宋体"/>
                <w:color w:val="auto"/>
                <w:sz w:val="24"/>
                <w:highlight w:val="none"/>
              </w:rPr>
            </w:pPr>
          </w:p>
        </w:tc>
        <w:tc>
          <w:tcPr>
            <w:tcW w:w="2657" w:type="dxa"/>
            <w:gridSpan w:val="2"/>
          </w:tcPr>
          <w:p w14:paraId="36CD8F3B">
            <w:pPr>
              <w:snapToGrid w:val="0"/>
              <w:spacing w:line="0" w:lineRule="atLeast"/>
              <w:rPr>
                <w:rFonts w:hint="eastAsia" w:ascii="宋体" w:hAnsi="宋体"/>
                <w:color w:val="auto"/>
                <w:sz w:val="24"/>
                <w:highlight w:val="none"/>
              </w:rPr>
            </w:pPr>
          </w:p>
        </w:tc>
      </w:tr>
      <w:tr w14:paraId="3A8D0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5E19EB82">
            <w:pPr>
              <w:snapToGrid w:val="0"/>
              <w:spacing w:line="0" w:lineRule="atLeast"/>
              <w:rPr>
                <w:rFonts w:hint="eastAsia" w:ascii="宋体" w:hAnsi="宋体"/>
                <w:color w:val="auto"/>
                <w:sz w:val="24"/>
                <w:highlight w:val="none"/>
              </w:rPr>
            </w:pPr>
          </w:p>
        </w:tc>
        <w:tc>
          <w:tcPr>
            <w:tcW w:w="3476" w:type="dxa"/>
            <w:gridSpan w:val="5"/>
          </w:tcPr>
          <w:p w14:paraId="6E6BB189">
            <w:pPr>
              <w:snapToGrid w:val="0"/>
              <w:spacing w:line="0" w:lineRule="atLeast"/>
              <w:rPr>
                <w:rFonts w:hint="eastAsia" w:ascii="宋体" w:hAnsi="宋体"/>
                <w:color w:val="auto"/>
                <w:sz w:val="24"/>
                <w:highlight w:val="none"/>
              </w:rPr>
            </w:pPr>
          </w:p>
        </w:tc>
        <w:tc>
          <w:tcPr>
            <w:tcW w:w="1607" w:type="dxa"/>
            <w:gridSpan w:val="2"/>
          </w:tcPr>
          <w:p w14:paraId="5A45AB7D">
            <w:pPr>
              <w:snapToGrid w:val="0"/>
              <w:spacing w:line="0" w:lineRule="atLeast"/>
              <w:rPr>
                <w:rFonts w:hint="eastAsia" w:ascii="宋体" w:hAnsi="宋体"/>
                <w:color w:val="auto"/>
                <w:sz w:val="24"/>
                <w:highlight w:val="none"/>
              </w:rPr>
            </w:pPr>
          </w:p>
        </w:tc>
        <w:tc>
          <w:tcPr>
            <w:tcW w:w="2657" w:type="dxa"/>
            <w:gridSpan w:val="2"/>
          </w:tcPr>
          <w:p w14:paraId="2619738D">
            <w:pPr>
              <w:snapToGrid w:val="0"/>
              <w:spacing w:line="0" w:lineRule="atLeast"/>
              <w:rPr>
                <w:rFonts w:hint="eastAsia" w:ascii="宋体" w:hAnsi="宋体"/>
                <w:color w:val="auto"/>
                <w:sz w:val="24"/>
                <w:highlight w:val="none"/>
              </w:rPr>
            </w:pPr>
          </w:p>
        </w:tc>
      </w:tr>
    </w:tbl>
    <w:p w14:paraId="611529C7">
      <w:pPr>
        <w:widowControl/>
        <w:jc w:val="left"/>
        <w:rPr>
          <w:rFonts w:hint="eastAsia" w:ascii="宋体" w:hAnsi="宋体"/>
          <w:color w:val="auto"/>
          <w:sz w:val="24"/>
          <w:highlight w:val="none"/>
        </w:rPr>
      </w:pPr>
    </w:p>
    <w:p w14:paraId="5FFC3806">
      <w:pPr>
        <w:rPr>
          <w:rFonts w:hint="eastAsia" w:ascii="宋体" w:hAnsi="宋体"/>
          <w:color w:val="auto"/>
          <w:sz w:val="24"/>
          <w:highlight w:val="none"/>
        </w:rPr>
      </w:pPr>
    </w:p>
    <w:p w14:paraId="3525F63E">
      <w:pPr>
        <w:pStyle w:val="4"/>
        <w:rPr>
          <w:rFonts w:hint="eastAsia"/>
          <w:color w:val="auto"/>
          <w:highlight w:val="none"/>
        </w:rPr>
      </w:pPr>
      <w:r>
        <w:rPr>
          <w:color w:val="auto"/>
          <w:sz w:val="24"/>
          <w:highlight w:val="none"/>
        </w:rPr>
        <w:br w:type="page"/>
      </w:r>
      <w:bookmarkStart w:id="284" w:name="_Toc1022"/>
      <w:bookmarkStart w:id="285" w:name="_Toc11350"/>
      <w:bookmarkStart w:id="286" w:name="_Toc7719"/>
      <w:bookmarkStart w:id="287" w:name="_Toc27240"/>
      <w:r>
        <w:rPr>
          <w:rFonts w:hint="eastAsia" w:ascii="宋体" w:hAnsi="宋体" w:eastAsia="宋体"/>
          <w:color w:val="auto"/>
          <w:sz w:val="28"/>
          <w:highlight w:val="none"/>
        </w:rPr>
        <w:t>九</w:t>
      </w:r>
      <w:r>
        <w:rPr>
          <w:rFonts w:hint="eastAsia" w:ascii="宋体" w:hAnsi="宋体" w:eastAsia="宋体"/>
          <w:color w:val="auto"/>
          <w:highlight w:val="none"/>
        </w:rPr>
        <w:t>、拟投入本</w:t>
      </w:r>
      <w:r>
        <w:rPr>
          <w:rFonts w:hint="eastAsia"/>
          <w:color w:val="auto"/>
          <w:highlight w:val="none"/>
        </w:rPr>
        <w:t>项目的主要检测监测仪器设备一览表</w:t>
      </w:r>
      <w:bookmarkEnd w:id="284"/>
      <w:bookmarkEnd w:id="285"/>
      <w:bookmarkEnd w:id="286"/>
      <w:bookmarkEnd w:id="287"/>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70BE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14:paraId="499614E9">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793" w:type="dxa"/>
            <w:vMerge w:val="restart"/>
            <w:vAlign w:val="center"/>
          </w:tcPr>
          <w:p w14:paraId="5B3FD898">
            <w:pPr>
              <w:jc w:val="center"/>
              <w:rPr>
                <w:rFonts w:hint="eastAsia" w:ascii="宋体" w:hAnsi="宋体"/>
                <w:color w:val="auto"/>
                <w:szCs w:val="21"/>
                <w:highlight w:val="none"/>
              </w:rPr>
            </w:pPr>
            <w:r>
              <w:rPr>
                <w:rFonts w:hint="eastAsia" w:ascii="宋体" w:hAnsi="宋体"/>
                <w:color w:val="auto"/>
                <w:szCs w:val="21"/>
                <w:highlight w:val="none"/>
              </w:rPr>
              <w:t>设备名称</w:t>
            </w:r>
          </w:p>
        </w:tc>
        <w:tc>
          <w:tcPr>
            <w:tcW w:w="900" w:type="dxa"/>
            <w:vMerge w:val="restart"/>
            <w:vAlign w:val="center"/>
          </w:tcPr>
          <w:p w14:paraId="0DFED136">
            <w:pPr>
              <w:jc w:val="center"/>
              <w:rPr>
                <w:rFonts w:hint="eastAsia" w:ascii="宋体" w:hAnsi="宋体"/>
                <w:color w:val="auto"/>
                <w:szCs w:val="21"/>
                <w:highlight w:val="none"/>
              </w:rPr>
            </w:pPr>
            <w:r>
              <w:rPr>
                <w:rFonts w:hint="eastAsia" w:ascii="宋体" w:hAnsi="宋体"/>
                <w:color w:val="auto"/>
                <w:szCs w:val="21"/>
                <w:highlight w:val="none"/>
              </w:rPr>
              <w:t>本项目</w:t>
            </w:r>
          </w:p>
          <w:p w14:paraId="5E31F012">
            <w:pPr>
              <w:jc w:val="center"/>
              <w:rPr>
                <w:rFonts w:hint="eastAsia" w:ascii="宋体" w:hAnsi="宋体"/>
                <w:color w:val="auto"/>
                <w:szCs w:val="21"/>
                <w:highlight w:val="none"/>
              </w:rPr>
            </w:pPr>
            <w:r>
              <w:rPr>
                <w:rFonts w:hint="eastAsia" w:ascii="宋体" w:hAnsi="宋体"/>
                <w:color w:val="auto"/>
                <w:szCs w:val="21"/>
                <w:highlight w:val="none"/>
              </w:rPr>
              <w:t>数量基本要求</w:t>
            </w:r>
          </w:p>
        </w:tc>
        <w:tc>
          <w:tcPr>
            <w:tcW w:w="6314" w:type="dxa"/>
            <w:gridSpan w:val="5"/>
            <w:vAlign w:val="center"/>
          </w:tcPr>
          <w:p w14:paraId="1189AEBD">
            <w:pPr>
              <w:jc w:val="center"/>
              <w:rPr>
                <w:rFonts w:hint="eastAsia" w:ascii="宋体" w:hAnsi="宋体"/>
                <w:color w:val="auto"/>
                <w:szCs w:val="21"/>
                <w:highlight w:val="none"/>
              </w:rPr>
            </w:pPr>
            <w:r>
              <w:rPr>
                <w:rFonts w:hint="eastAsia" w:ascii="宋体" w:hAnsi="宋体"/>
                <w:color w:val="auto"/>
                <w:szCs w:val="21"/>
                <w:highlight w:val="none"/>
              </w:rPr>
              <w:t>投标人填写</w:t>
            </w:r>
          </w:p>
        </w:tc>
      </w:tr>
      <w:tr w14:paraId="2E95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3C8AA53A">
            <w:pPr>
              <w:jc w:val="center"/>
              <w:rPr>
                <w:rFonts w:hint="eastAsia" w:ascii="宋体" w:hAnsi="宋体"/>
                <w:color w:val="auto"/>
                <w:szCs w:val="21"/>
                <w:highlight w:val="none"/>
              </w:rPr>
            </w:pPr>
          </w:p>
        </w:tc>
        <w:tc>
          <w:tcPr>
            <w:tcW w:w="1793" w:type="dxa"/>
            <w:vMerge w:val="continue"/>
            <w:vAlign w:val="center"/>
          </w:tcPr>
          <w:p w14:paraId="7411BC2A">
            <w:pPr>
              <w:jc w:val="center"/>
              <w:rPr>
                <w:rFonts w:hint="eastAsia" w:ascii="宋体" w:hAnsi="宋体"/>
                <w:color w:val="auto"/>
                <w:szCs w:val="21"/>
                <w:highlight w:val="none"/>
              </w:rPr>
            </w:pPr>
          </w:p>
        </w:tc>
        <w:tc>
          <w:tcPr>
            <w:tcW w:w="900" w:type="dxa"/>
            <w:vMerge w:val="continue"/>
            <w:vAlign w:val="center"/>
          </w:tcPr>
          <w:p w14:paraId="66D52344">
            <w:pPr>
              <w:jc w:val="center"/>
              <w:rPr>
                <w:rFonts w:hint="eastAsia" w:ascii="宋体" w:hAnsi="宋体"/>
                <w:color w:val="auto"/>
                <w:szCs w:val="21"/>
                <w:highlight w:val="none"/>
              </w:rPr>
            </w:pPr>
          </w:p>
        </w:tc>
        <w:tc>
          <w:tcPr>
            <w:tcW w:w="992" w:type="dxa"/>
            <w:vAlign w:val="center"/>
          </w:tcPr>
          <w:p w14:paraId="795A5D9F">
            <w:pPr>
              <w:jc w:val="center"/>
              <w:rPr>
                <w:rFonts w:hint="eastAsia" w:ascii="宋体" w:hAnsi="宋体"/>
                <w:color w:val="auto"/>
                <w:szCs w:val="21"/>
                <w:highlight w:val="none"/>
              </w:rPr>
            </w:pPr>
            <w:r>
              <w:rPr>
                <w:rFonts w:hint="eastAsia" w:ascii="宋体" w:hAnsi="宋体"/>
                <w:color w:val="auto"/>
                <w:szCs w:val="21"/>
                <w:highlight w:val="none"/>
              </w:rPr>
              <w:t>数量</w:t>
            </w:r>
          </w:p>
        </w:tc>
        <w:tc>
          <w:tcPr>
            <w:tcW w:w="1785" w:type="dxa"/>
            <w:vAlign w:val="center"/>
          </w:tcPr>
          <w:p w14:paraId="3CC06056">
            <w:pPr>
              <w:jc w:val="center"/>
              <w:rPr>
                <w:rFonts w:hint="eastAsia"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14:paraId="19ED398C">
            <w:pPr>
              <w:jc w:val="center"/>
              <w:rPr>
                <w:rFonts w:hint="eastAsia"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14:paraId="53815DFD">
            <w:pPr>
              <w:jc w:val="center"/>
              <w:rPr>
                <w:rFonts w:hint="eastAsia"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14:paraId="19EC9975">
            <w:pPr>
              <w:jc w:val="center"/>
              <w:rPr>
                <w:rFonts w:hint="eastAsia" w:ascii="宋体" w:hAnsi="宋体"/>
                <w:color w:val="auto"/>
                <w:szCs w:val="21"/>
                <w:highlight w:val="none"/>
              </w:rPr>
            </w:pPr>
            <w:r>
              <w:rPr>
                <w:rFonts w:hint="eastAsia" w:ascii="宋体" w:hAnsi="宋体"/>
                <w:color w:val="auto"/>
                <w:szCs w:val="21"/>
                <w:highlight w:val="none"/>
              </w:rPr>
              <w:t>备注</w:t>
            </w:r>
          </w:p>
        </w:tc>
      </w:tr>
      <w:tr w14:paraId="53C8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7EAB82D">
            <w:pPr>
              <w:spacing w:line="240" w:lineRule="exact"/>
              <w:jc w:val="center"/>
              <w:rPr>
                <w:rFonts w:hint="eastAsia" w:ascii="宋体" w:hAnsi="宋体"/>
                <w:color w:val="auto"/>
                <w:szCs w:val="21"/>
                <w:highlight w:val="none"/>
              </w:rPr>
            </w:pPr>
            <w:r>
              <w:rPr>
                <w:rFonts w:ascii="宋体" w:hAnsi="宋体"/>
                <w:color w:val="auto"/>
                <w:szCs w:val="21"/>
                <w:highlight w:val="none"/>
              </w:rPr>
              <w:t>1</w:t>
            </w:r>
          </w:p>
        </w:tc>
        <w:tc>
          <w:tcPr>
            <w:tcW w:w="1793" w:type="dxa"/>
            <w:vAlign w:val="center"/>
          </w:tcPr>
          <w:p w14:paraId="16D540EA">
            <w:pPr>
              <w:spacing w:line="240" w:lineRule="exact"/>
              <w:jc w:val="center"/>
              <w:rPr>
                <w:rFonts w:hint="eastAsia" w:ascii="宋体" w:hAnsi="宋体"/>
                <w:color w:val="auto"/>
                <w:szCs w:val="21"/>
                <w:highlight w:val="none"/>
              </w:rPr>
            </w:pPr>
          </w:p>
        </w:tc>
        <w:tc>
          <w:tcPr>
            <w:tcW w:w="900" w:type="dxa"/>
            <w:vAlign w:val="center"/>
          </w:tcPr>
          <w:p w14:paraId="345EFDC7">
            <w:pPr>
              <w:spacing w:line="240" w:lineRule="exact"/>
              <w:jc w:val="center"/>
              <w:rPr>
                <w:rFonts w:hint="eastAsia" w:ascii="宋体" w:hAnsi="宋体"/>
                <w:color w:val="auto"/>
                <w:szCs w:val="21"/>
                <w:highlight w:val="none"/>
              </w:rPr>
            </w:pPr>
          </w:p>
        </w:tc>
        <w:tc>
          <w:tcPr>
            <w:tcW w:w="992" w:type="dxa"/>
            <w:vAlign w:val="center"/>
          </w:tcPr>
          <w:p w14:paraId="2A14170F">
            <w:pPr>
              <w:spacing w:line="240" w:lineRule="exact"/>
              <w:jc w:val="center"/>
              <w:rPr>
                <w:rFonts w:hint="eastAsia" w:ascii="宋体" w:hAnsi="宋体"/>
                <w:color w:val="auto"/>
                <w:szCs w:val="21"/>
                <w:highlight w:val="none"/>
              </w:rPr>
            </w:pPr>
          </w:p>
        </w:tc>
        <w:tc>
          <w:tcPr>
            <w:tcW w:w="1785" w:type="dxa"/>
            <w:vAlign w:val="center"/>
          </w:tcPr>
          <w:p w14:paraId="6A78760F">
            <w:pPr>
              <w:spacing w:line="240" w:lineRule="exact"/>
              <w:jc w:val="center"/>
              <w:rPr>
                <w:rFonts w:hint="eastAsia" w:ascii="宋体" w:hAnsi="宋体"/>
                <w:color w:val="auto"/>
                <w:szCs w:val="21"/>
                <w:highlight w:val="none"/>
              </w:rPr>
            </w:pPr>
          </w:p>
        </w:tc>
        <w:tc>
          <w:tcPr>
            <w:tcW w:w="1116" w:type="dxa"/>
            <w:vAlign w:val="center"/>
          </w:tcPr>
          <w:p w14:paraId="4CA3F551">
            <w:pPr>
              <w:spacing w:line="240" w:lineRule="exact"/>
              <w:jc w:val="center"/>
              <w:rPr>
                <w:rFonts w:hint="eastAsia" w:ascii="宋体" w:hAnsi="宋体"/>
                <w:color w:val="auto"/>
                <w:szCs w:val="21"/>
                <w:highlight w:val="none"/>
              </w:rPr>
            </w:pPr>
          </w:p>
        </w:tc>
        <w:tc>
          <w:tcPr>
            <w:tcW w:w="1341" w:type="dxa"/>
            <w:vAlign w:val="center"/>
          </w:tcPr>
          <w:p w14:paraId="5AABACED">
            <w:pPr>
              <w:spacing w:line="240" w:lineRule="exact"/>
              <w:jc w:val="center"/>
              <w:rPr>
                <w:rFonts w:hint="eastAsia" w:ascii="宋体" w:hAnsi="宋体"/>
                <w:color w:val="auto"/>
                <w:szCs w:val="21"/>
                <w:highlight w:val="none"/>
              </w:rPr>
            </w:pPr>
          </w:p>
        </w:tc>
        <w:tc>
          <w:tcPr>
            <w:tcW w:w="1080" w:type="dxa"/>
            <w:vAlign w:val="center"/>
          </w:tcPr>
          <w:p w14:paraId="75694527">
            <w:pPr>
              <w:spacing w:line="240" w:lineRule="exact"/>
              <w:jc w:val="center"/>
              <w:rPr>
                <w:rFonts w:hint="eastAsia" w:ascii="宋体" w:hAnsi="宋体"/>
                <w:color w:val="auto"/>
                <w:szCs w:val="21"/>
                <w:highlight w:val="none"/>
              </w:rPr>
            </w:pPr>
          </w:p>
        </w:tc>
      </w:tr>
      <w:tr w14:paraId="2BA4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284E023">
            <w:pPr>
              <w:spacing w:line="240" w:lineRule="exact"/>
              <w:jc w:val="center"/>
              <w:rPr>
                <w:rFonts w:hint="eastAsia" w:ascii="宋体" w:hAnsi="宋体"/>
                <w:color w:val="auto"/>
                <w:szCs w:val="21"/>
                <w:highlight w:val="none"/>
              </w:rPr>
            </w:pPr>
            <w:r>
              <w:rPr>
                <w:rFonts w:ascii="宋体" w:hAnsi="宋体"/>
                <w:color w:val="auto"/>
                <w:szCs w:val="21"/>
                <w:highlight w:val="none"/>
              </w:rPr>
              <w:t>2</w:t>
            </w:r>
          </w:p>
        </w:tc>
        <w:tc>
          <w:tcPr>
            <w:tcW w:w="1793" w:type="dxa"/>
            <w:vAlign w:val="center"/>
          </w:tcPr>
          <w:p w14:paraId="6A5D5375">
            <w:pPr>
              <w:spacing w:line="240" w:lineRule="exact"/>
              <w:jc w:val="center"/>
              <w:rPr>
                <w:rFonts w:hint="eastAsia" w:ascii="宋体" w:hAnsi="宋体"/>
                <w:color w:val="auto"/>
                <w:szCs w:val="21"/>
                <w:highlight w:val="none"/>
              </w:rPr>
            </w:pPr>
          </w:p>
        </w:tc>
        <w:tc>
          <w:tcPr>
            <w:tcW w:w="900" w:type="dxa"/>
            <w:vAlign w:val="center"/>
          </w:tcPr>
          <w:p w14:paraId="38017B95">
            <w:pPr>
              <w:jc w:val="center"/>
              <w:rPr>
                <w:rFonts w:hint="eastAsia" w:ascii="宋体" w:hAnsi="宋体"/>
                <w:color w:val="auto"/>
                <w:szCs w:val="21"/>
                <w:highlight w:val="none"/>
              </w:rPr>
            </w:pPr>
          </w:p>
        </w:tc>
        <w:tc>
          <w:tcPr>
            <w:tcW w:w="992" w:type="dxa"/>
            <w:vAlign w:val="center"/>
          </w:tcPr>
          <w:p w14:paraId="344BD123">
            <w:pPr>
              <w:spacing w:line="240" w:lineRule="exact"/>
              <w:jc w:val="center"/>
              <w:rPr>
                <w:rFonts w:hint="eastAsia" w:ascii="宋体" w:hAnsi="宋体"/>
                <w:color w:val="auto"/>
                <w:szCs w:val="21"/>
                <w:highlight w:val="none"/>
              </w:rPr>
            </w:pPr>
          </w:p>
        </w:tc>
        <w:tc>
          <w:tcPr>
            <w:tcW w:w="1785" w:type="dxa"/>
            <w:vAlign w:val="center"/>
          </w:tcPr>
          <w:p w14:paraId="1712DA3E">
            <w:pPr>
              <w:spacing w:line="240" w:lineRule="exact"/>
              <w:jc w:val="center"/>
              <w:rPr>
                <w:rFonts w:hint="eastAsia" w:ascii="宋体" w:hAnsi="宋体"/>
                <w:color w:val="auto"/>
                <w:szCs w:val="21"/>
                <w:highlight w:val="none"/>
              </w:rPr>
            </w:pPr>
          </w:p>
        </w:tc>
        <w:tc>
          <w:tcPr>
            <w:tcW w:w="1116" w:type="dxa"/>
            <w:vAlign w:val="center"/>
          </w:tcPr>
          <w:p w14:paraId="61674B88">
            <w:pPr>
              <w:spacing w:line="240" w:lineRule="exact"/>
              <w:jc w:val="center"/>
              <w:rPr>
                <w:rFonts w:hint="eastAsia" w:ascii="宋体" w:hAnsi="宋体"/>
                <w:color w:val="auto"/>
                <w:szCs w:val="21"/>
                <w:highlight w:val="none"/>
              </w:rPr>
            </w:pPr>
          </w:p>
        </w:tc>
        <w:tc>
          <w:tcPr>
            <w:tcW w:w="1341" w:type="dxa"/>
            <w:vAlign w:val="center"/>
          </w:tcPr>
          <w:p w14:paraId="1D1E57C5">
            <w:pPr>
              <w:spacing w:line="240" w:lineRule="exact"/>
              <w:jc w:val="center"/>
              <w:rPr>
                <w:rFonts w:hint="eastAsia" w:ascii="宋体" w:hAnsi="宋体"/>
                <w:color w:val="auto"/>
                <w:szCs w:val="21"/>
                <w:highlight w:val="none"/>
              </w:rPr>
            </w:pPr>
          </w:p>
        </w:tc>
        <w:tc>
          <w:tcPr>
            <w:tcW w:w="1080" w:type="dxa"/>
            <w:vAlign w:val="center"/>
          </w:tcPr>
          <w:p w14:paraId="5919F8C5">
            <w:pPr>
              <w:spacing w:line="240" w:lineRule="exact"/>
              <w:jc w:val="center"/>
              <w:rPr>
                <w:rFonts w:hint="eastAsia" w:ascii="宋体" w:hAnsi="宋体"/>
                <w:i/>
                <w:color w:val="auto"/>
                <w:szCs w:val="21"/>
                <w:highlight w:val="none"/>
              </w:rPr>
            </w:pPr>
          </w:p>
        </w:tc>
      </w:tr>
      <w:tr w14:paraId="3244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8AA1F16">
            <w:pPr>
              <w:spacing w:line="240" w:lineRule="exact"/>
              <w:jc w:val="center"/>
              <w:rPr>
                <w:rFonts w:hint="eastAsia" w:ascii="宋体" w:hAnsi="宋体"/>
                <w:color w:val="auto"/>
                <w:szCs w:val="21"/>
                <w:highlight w:val="none"/>
              </w:rPr>
            </w:pPr>
            <w:r>
              <w:rPr>
                <w:rFonts w:ascii="宋体" w:hAnsi="宋体"/>
                <w:color w:val="auto"/>
                <w:szCs w:val="21"/>
                <w:highlight w:val="none"/>
              </w:rPr>
              <w:t>3</w:t>
            </w:r>
          </w:p>
        </w:tc>
        <w:tc>
          <w:tcPr>
            <w:tcW w:w="1793" w:type="dxa"/>
            <w:vAlign w:val="center"/>
          </w:tcPr>
          <w:p w14:paraId="3A8B7FB3">
            <w:pPr>
              <w:spacing w:line="240" w:lineRule="exact"/>
              <w:jc w:val="center"/>
              <w:rPr>
                <w:rFonts w:hint="eastAsia" w:ascii="宋体" w:hAnsi="宋体"/>
                <w:color w:val="auto"/>
                <w:szCs w:val="21"/>
                <w:highlight w:val="none"/>
              </w:rPr>
            </w:pPr>
          </w:p>
        </w:tc>
        <w:tc>
          <w:tcPr>
            <w:tcW w:w="900" w:type="dxa"/>
            <w:vAlign w:val="center"/>
          </w:tcPr>
          <w:p w14:paraId="6BAFA8BA">
            <w:pPr>
              <w:jc w:val="center"/>
              <w:rPr>
                <w:rFonts w:hint="eastAsia" w:ascii="宋体" w:hAnsi="宋体"/>
                <w:color w:val="auto"/>
                <w:szCs w:val="21"/>
                <w:highlight w:val="none"/>
              </w:rPr>
            </w:pPr>
          </w:p>
        </w:tc>
        <w:tc>
          <w:tcPr>
            <w:tcW w:w="992" w:type="dxa"/>
            <w:vAlign w:val="center"/>
          </w:tcPr>
          <w:p w14:paraId="468F7E5C">
            <w:pPr>
              <w:spacing w:line="240" w:lineRule="exact"/>
              <w:jc w:val="center"/>
              <w:rPr>
                <w:rFonts w:hint="eastAsia" w:ascii="宋体" w:hAnsi="宋体"/>
                <w:color w:val="auto"/>
                <w:szCs w:val="21"/>
                <w:highlight w:val="none"/>
              </w:rPr>
            </w:pPr>
          </w:p>
        </w:tc>
        <w:tc>
          <w:tcPr>
            <w:tcW w:w="1785" w:type="dxa"/>
            <w:vAlign w:val="center"/>
          </w:tcPr>
          <w:p w14:paraId="7D91A1D5">
            <w:pPr>
              <w:spacing w:line="240" w:lineRule="exact"/>
              <w:jc w:val="center"/>
              <w:rPr>
                <w:rFonts w:hint="eastAsia" w:ascii="宋体" w:hAnsi="宋体"/>
                <w:color w:val="auto"/>
                <w:szCs w:val="21"/>
                <w:highlight w:val="none"/>
              </w:rPr>
            </w:pPr>
          </w:p>
        </w:tc>
        <w:tc>
          <w:tcPr>
            <w:tcW w:w="1116" w:type="dxa"/>
            <w:vAlign w:val="center"/>
          </w:tcPr>
          <w:p w14:paraId="11D90B4B">
            <w:pPr>
              <w:spacing w:line="240" w:lineRule="exact"/>
              <w:jc w:val="center"/>
              <w:rPr>
                <w:rFonts w:hint="eastAsia" w:ascii="宋体" w:hAnsi="宋体"/>
                <w:color w:val="auto"/>
                <w:szCs w:val="21"/>
                <w:highlight w:val="none"/>
              </w:rPr>
            </w:pPr>
          </w:p>
        </w:tc>
        <w:tc>
          <w:tcPr>
            <w:tcW w:w="1341" w:type="dxa"/>
            <w:vAlign w:val="center"/>
          </w:tcPr>
          <w:p w14:paraId="683D4011">
            <w:pPr>
              <w:spacing w:line="240" w:lineRule="exact"/>
              <w:jc w:val="center"/>
              <w:rPr>
                <w:rFonts w:hint="eastAsia" w:ascii="宋体" w:hAnsi="宋体"/>
                <w:color w:val="auto"/>
                <w:szCs w:val="21"/>
                <w:highlight w:val="none"/>
              </w:rPr>
            </w:pPr>
          </w:p>
        </w:tc>
        <w:tc>
          <w:tcPr>
            <w:tcW w:w="1080" w:type="dxa"/>
            <w:vAlign w:val="center"/>
          </w:tcPr>
          <w:p w14:paraId="31308476">
            <w:pPr>
              <w:spacing w:line="240" w:lineRule="exact"/>
              <w:jc w:val="center"/>
              <w:rPr>
                <w:rFonts w:hint="eastAsia" w:ascii="宋体" w:hAnsi="宋体"/>
                <w:color w:val="auto"/>
                <w:szCs w:val="21"/>
                <w:highlight w:val="none"/>
              </w:rPr>
            </w:pPr>
          </w:p>
        </w:tc>
      </w:tr>
      <w:tr w14:paraId="2113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0EC3E08">
            <w:pPr>
              <w:spacing w:line="240" w:lineRule="exact"/>
              <w:jc w:val="center"/>
              <w:rPr>
                <w:rFonts w:hint="eastAsia" w:ascii="宋体" w:hAnsi="宋体"/>
                <w:color w:val="auto"/>
                <w:szCs w:val="21"/>
                <w:highlight w:val="none"/>
              </w:rPr>
            </w:pPr>
            <w:r>
              <w:rPr>
                <w:rFonts w:ascii="宋体" w:hAnsi="宋体"/>
                <w:color w:val="auto"/>
                <w:szCs w:val="21"/>
                <w:highlight w:val="none"/>
              </w:rPr>
              <w:t>4</w:t>
            </w:r>
          </w:p>
        </w:tc>
        <w:tc>
          <w:tcPr>
            <w:tcW w:w="1793" w:type="dxa"/>
            <w:vAlign w:val="center"/>
          </w:tcPr>
          <w:p w14:paraId="3BC2D79B">
            <w:pPr>
              <w:spacing w:line="240" w:lineRule="exact"/>
              <w:jc w:val="center"/>
              <w:rPr>
                <w:rFonts w:hint="eastAsia" w:ascii="宋体" w:hAnsi="宋体"/>
                <w:color w:val="auto"/>
                <w:szCs w:val="21"/>
                <w:highlight w:val="none"/>
              </w:rPr>
            </w:pPr>
          </w:p>
        </w:tc>
        <w:tc>
          <w:tcPr>
            <w:tcW w:w="900" w:type="dxa"/>
            <w:vAlign w:val="center"/>
          </w:tcPr>
          <w:p w14:paraId="3B670518">
            <w:pPr>
              <w:jc w:val="center"/>
              <w:rPr>
                <w:rFonts w:hint="eastAsia" w:ascii="宋体" w:hAnsi="宋体"/>
                <w:color w:val="auto"/>
                <w:szCs w:val="21"/>
                <w:highlight w:val="none"/>
              </w:rPr>
            </w:pPr>
          </w:p>
        </w:tc>
        <w:tc>
          <w:tcPr>
            <w:tcW w:w="992" w:type="dxa"/>
            <w:vAlign w:val="center"/>
          </w:tcPr>
          <w:p w14:paraId="5BE1DA7E">
            <w:pPr>
              <w:spacing w:line="240" w:lineRule="exact"/>
              <w:jc w:val="center"/>
              <w:rPr>
                <w:rFonts w:hint="eastAsia" w:ascii="宋体" w:hAnsi="宋体"/>
                <w:color w:val="auto"/>
                <w:szCs w:val="21"/>
                <w:highlight w:val="none"/>
              </w:rPr>
            </w:pPr>
          </w:p>
        </w:tc>
        <w:tc>
          <w:tcPr>
            <w:tcW w:w="1785" w:type="dxa"/>
            <w:vAlign w:val="center"/>
          </w:tcPr>
          <w:p w14:paraId="43D5D78B">
            <w:pPr>
              <w:spacing w:line="240" w:lineRule="exact"/>
              <w:jc w:val="center"/>
              <w:rPr>
                <w:rFonts w:hint="eastAsia" w:ascii="宋体" w:hAnsi="宋体"/>
                <w:color w:val="auto"/>
                <w:szCs w:val="21"/>
                <w:highlight w:val="none"/>
              </w:rPr>
            </w:pPr>
          </w:p>
        </w:tc>
        <w:tc>
          <w:tcPr>
            <w:tcW w:w="1116" w:type="dxa"/>
            <w:vAlign w:val="center"/>
          </w:tcPr>
          <w:p w14:paraId="2B7B32F9">
            <w:pPr>
              <w:spacing w:line="240" w:lineRule="exact"/>
              <w:jc w:val="center"/>
              <w:rPr>
                <w:rFonts w:hint="eastAsia" w:ascii="宋体" w:hAnsi="宋体"/>
                <w:color w:val="auto"/>
                <w:szCs w:val="21"/>
                <w:highlight w:val="none"/>
              </w:rPr>
            </w:pPr>
          </w:p>
        </w:tc>
        <w:tc>
          <w:tcPr>
            <w:tcW w:w="1341" w:type="dxa"/>
            <w:vAlign w:val="center"/>
          </w:tcPr>
          <w:p w14:paraId="2C6092ED">
            <w:pPr>
              <w:spacing w:line="240" w:lineRule="exact"/>
              <w:jc w:val="center"/>
              <w:rPr>
                <w:rFonts w:hint="eastAsia" w:ascii="宋体" w:hAnsi="宋体"/>
                <w:color w:val="auto"/>
                <w:szCs w:val="21"/>
                <w:highlight w:val="none"/>
              </w:rPr>
            </w:pPr>
          </w:p>
        </w:tc>
        <w:tc>
          <w:tcPr>
            <w:tcW w:w="1080" w:type="dxa"/>
            <w:vAlign w:val="center"/>
          </w:tcPr>
          <w:p w14:paraId="67E5F23C">
            <w:pPr>
              <w:spacing w:line="240" w:lineRule="exact"/>
              <w:jc w:val="center"/>
              <w:rPr>
                <w:rFonts w:hint="eastAsia" w:ascii="宋体" w:hAnsi="宋体"/>
                <w:color w:val="auto"/>
                <w:szCs w:val="21"/>
                <w:highlight w:val="none"/>
              </w:rPr>
            </w:pPr>
          </w:p>
        </w:tc>
      </w:tr>
      <w:tr w14:paraId="3E0F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0E84175">
            <w:pPr>
              <w:spacing w:line="240" w:lineRule="exact"/>
              <w:jc w:val="center"/>
              <w:rPr>
                <w:rFonts w:hint="eastAsia" w:ascii="宋体" w:hAnsi="宋体"/>
                <w:color w:val="auto"/>
                <w:szCs w:val="21"/>
                <w:highlight w:val="none"/>
              </w:rPr>
            </w:pPr>
            <w:r>
              <w:rPr>
                <w:rFonts w:ascii="宋体" w:hAnsi="宋体"/>
                <w:color w:val="auto"/>
                <w:szCs w:val="21"/>
                <w:highlight w:val="none"/>
              </w:rPr>
              <w:t>5</w:t>
            </w:r>
          </w:p>
        </w:tc>
        <w:tc>
          <w:tcPr>
            <w:tcW w:w="1793" w:type="dxa"/>
            <w:vAlign w:val="center"/>
          </w:tcPr>
          <w:p w14:paraId="17C6AC06">
            <w:pPr>
              <w:spacing w:line="240" w:lineRule="exact"/>
              <w:jc w:val="center"/>
              <w:rPr>
                <w:rFonts w:hint="eastAsia" w:ascii="宋体" w:hAnsi="宋体"/>
                <w:color w:val="auto"/>
                <w:szCs w:val="21"/>
                <w:highlight w:val="none"/>
              </w:rPr>
            </w:pPr>
          </w:p>
        </w:tc>
        <w:tc>
          <w:tcPr>
            <w:tcW w:w="900" w:type="dxa"/>
            <w:vAlign w:val="center"/>
          </w:tcPr>
          <w:p w14:paraId="3A62D6F1">
            <w:pPr>
              <w:jc w:val="center"/>
              <w:rPr>
                <w:rFonts w:hint="eastAsia" w:ascii="宋体" w:hAnsi="宋体"/>
                <w:color w:val="auto"/>
                <w:szCs w:val="21"/>
                <w:highlight w:val="none"/>
              </w:rPr>
            </w:pPr>
          </w:p>
        </w:tc>
        <w:tc>
          <w:tcPr>
            <w:tcW w:w="992" w:type="dxa"/>
            <w:vAlign w:val="center"/>
          </w:tcPr>
          <w:p w14:paraId="005EB1CF">
            <w:pPr>
              <w:spacing w:line="240" w:lineRule="exact"/>
              <w:jc w:val="center"/>
              <w:rPr>
                <w:rFonts w:hint="eastAsia" w:ascii="宋体" w:hAnsi="宋体"/>
                <w:color w:val="auto"/>
                <w:szCs w:val="21"/>
                <w:highlight w:val="none"/>
              </w:rPr>
            </w:pPr>
          </w:p>
        </w:tc>
        <w:tc>
          <w:tcPr>
            <w:tcW w:w="1785" w:type="dxa"/>
            <w:vAlign w:val="center"/>
          </w:tcPr>
          <w:p w14:paraId="58EC94DF">
            <w:pPr>
              <w:spacing w:line="240" w:lineRule="exact"/>
              <w:jc w:val="center"/>
              <w:rPr>
                <w:rFonts w:hint="eastAsia" w:ascii="宋体" w:hAnsi="宋体"/>
                <w:color w:val="auto"/>
                <w:szCs w:val="21"/>
                <w:highlight w:val="none"/>
              </w:rPr>
            </w:pPr>
          </w:p>
        </w:tc>
        <w:tc>
          <w:tcPr>
            <w:tcW w:w="1116" w:type="dxa"/>
            <w:vAlign w:val="center"/>
          </w:tcPr>
          <w:p w14:paraId="5497EE00">
            <w:pPr>
              <w:spacing w:line="240" w:lineRule="exact"/>
              <w:jc w:val="center"/>
              <w:rPr>
                <w:rFonts w:hint="eastAsia" w:ascii="宋体" w:hAnsi="宋体"/>
                <w:color w:val="auto"/>
                <w:szCs w:val="21"/>
                <w:highlight w:val="none"/>
              </w:rPr>
            </w:pPr>
          </w:p>
        </w:tc>
        <w:tc>
          <w:tcPr>
            <w:tcW w:w="1341" w:type="dxa"/>
            <w:vAlign w:val="center"/>
          </w:tcPr>
          <w:p w14:paraId="3BAE7E44">
            <w:pPr>
              <w:spacing w:line="240" w:lineRule="exact"/>
              <w:jc w:val="center"/>
              <w:rPr>
                <w:rFonts w:hint="eastAsia" w:ascii="宋体" w:hAnsi="宋体"/>
                <w:color w:val="auto"/>
                <w:szCs w:val="21"/>
                <w:highlight w:val="none"/>
              </w:rPr>
            </w:pPr>
          </w:p>
        </w:tc>
        <w:tc>
          <w:tcPr>
            <w:tcW w:w="1080" w:type="dxa"/>
            <w:vAlign w:val="center"/>
          </w:tcPr>
          <w:p w14:paraId="4DF2F2AE">
            <w:pPr>
              <w:spacing w:line="240" w:lineRule="exact"/>
              <w:jc w:val="center"/>
              <w:rPr>
                <w:rFonts w:hint="eastAsia" w:ascii="宋体" w:hAnsi="宋体"/>
                <w:color w:val="auto"/>
                <w:szCs w:val="21"/>
                <w:highlight w:val="none"/>
              </w:rPr>
            </w:pPr>
          </w:p>
        </w:tc>
      </w:tr>
      <w:tr w14:paraId="78BE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6745792">
            <w:pPr>
              <w:spacing w:line="240" w:lineRule="exact"/>
              <w:jc w:val="center"/>
              <w:rPr>
                <w:rFonts w:hint="eastAsia" w:ascii="宋体" w:hAnsi="宋体"/>
                <w:color w:val="auto"/>
                <w:szCs w:val="21"/>
                <w:highlight w:val="none"/>
              </w:rPr>
            </w:pPr>
            <w:r>
              <w:rPr>
                <w:rFonts w:ascii="宋体" w:hAnsi="宋体"/>
                <w:color w:val="auto"/>
                <w:szCs w:val="21"/>
                <w:highlight w:val="none"/>
              </w:rPr>
              <w:t>6</w:t>
            </w:r>
          </w:p>
        </w:tc>
        <w:tc>
          <w:tcPr>
            <w:tcW w:w="1793" w:type="dxa"/>
            <w:vAlign w:val="center"/>
          </w:tcPr>
          <w:p w14:paraId="1377A0F2">
            <w:pPr>
              <w:spacing w:line="240" w:lineRule="exact"/>
              <w:jc w:val="center"/>
              <w:rPr>
                <w:rFonts w:hint="eastAsia" w:ascii="宋体" w:hAnsi="宋体"/>
                <w:color w:val="auto"/>
                <w:szCs w:val="21"/>
                <w:highlight w:val="none"/>
              </w:rPr>
            </w:pPr>
          </w:p>
        </w:tc>
        <w:tc>
          <w:tcPr>
            <w:tcW w:w="900" w:type="dxa"/>
            <w:vAlign w:val="center"/>
          </w:tcPr>
          <w:p w14:paraId="08196A73">
            <w:pPr>
              <w:jc w:val="center"/>
              <w:rPr>
                <w:rFonts w:hint="eastAsia" w:ascii="宋体" w:hAnsi="宋体"/>
                <w:color w:val="auto"/>
                <w:szCs w:val="21"/>
                <w:highlight w:val="none"/>
              </w:rPr>
            </w:pPr>
          </w:p>
        </w:tc>
        <w:tc>
          <w:tcPr>
            <w:tcW w:w="992" w:type="dxa"/>
            <w:vAlign w:val="center"/>
          </w:tcPr>
          <w:p w14:paraId="188FB9FB">
            <w:pPr>
              <w:spacing w:line="240" w:lineRule="exact"/>
              <w:jc w:val="center"/>
              <w:rPr>
                <w:rFonts w:hint="eastAsia" w:ascii="宋体" w:hAnsi="宋体"/>
                <w:color w:val="auto"/>
                <w:szCs w:val="21"/>
                <w:highlight w:val="none"/>
              </w:rPr>
            </w:pPr>
          </w:p>
        </w:tc>
        <w:tc>
          <w:tcPr>
            <w:tcW w:w="1785" w:type="dxa"/>
            <w:vAlign w:val="center"/>
          </w:tcPr>
          <w:p w14:paraId="3A72994B">
            <w:pPr>
              <w:spacing w:line="240" w:lineRule="exact"/>
              <w:jc w:val="center"/>
              <w:rPr>
                <w:rFonts w:hint="eastAsia" w:ascii="宋体" w:hAnsi="宋体"/>
                <w:color w:val="auto"/>
                <w:szCs w:val="21"/>
                <w:highlight w:val="none"/>
              </w:rPr>
            </w:pPr>
          </w:p>
        </w:tc>
        <w:tc>
          <w:tcPr>
            <w:tcW w:w="1116" w:type="dxa"/>
            <w:vAlign w:val="center"/>
          </w:tcPr>
          <w:p w14:paraId="19F50FC7">
            <w:pPr>
              <w:spacing w:line="240" w:lineRule="exact"/>
              <w:jc w:val="center"/>
              <w:rPr>
                <w:rFonts w:hint="eastAsia" w:ascii="宋体" w:hAnsi="宋体"/>
                <w:color w:val="auto"/>
                <w:szCs w:val="21"/>
                <w:highlight w:val="none"/>
              </w:rPr>
            </w:pPr>
          </w:p>
        </w:tc>
        <w:tc>
          <w:tcPr>
            <w:tcW w:w="1341" w:type="dxa"/>
            <w:vAlign w:val="center"/>
          </w:tcPr>
          <w:p w14:paraId="0CA97EDC">
            <w:pPr>
              <w:spacing w:line="240" w:lineRule="exact"/>
              <w:jc w:val="center"/>
              <w:rPr>
                <w:rFonts w:hint="eastAsia" w:ascii="宋体" w:hAnsi="宋体"/>
                <w:color w:val="auto"/>
                <w:szCs w:val="21"/>
                <w:highlight w:val="none"/>
              </w:rPr>
            </w:pPr>
          </w:p>
        </w:tc>
        <w:tc>
          <w:tcPr>
            <w:tcW w:w="1080" w:type="dxa"/>
            <w:vAlign w:val="center"/>
          </w:tcPr>
          <w:p w14:paraId="3D7F8C00">
            <w:pPr>
              <w:spacing w:line="240" w:lineRule="exact"/>
              <w:jc w:val="center"/>
              <w:rPr>
                <w:rFonts w:hint="eastAsia" w:ascii="宋体" w:hAnsi="宋体"/>
                <w:color w:val="auto"/>
                <w:szCs w:val="21"/>
                <w:highlight w:val="none"/>
              </w:rPr>
            </w:pPr>
          </w:p>
        </w:tc>
      </w:tr>
      <w:tr w14:paraId="63A5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C438105">
            <w:pPr>
              <w:spacing w:line="240" w:lineRule="exact"/>
              <w:jc w:val="center"/>
              <w:rPr>
                <w:rFonts w:hint="eastAsia" w:ascii="宋体" w:hAnsi="宋体"/>
                <w:color w:val="auto"/>
                <w:szCs w:val="21"/>
                <w:highlight w:val="none"/>
              </w:rPr>
            </w:pPr>
            <w:r>
              <w:rPr>
                <w:rFonts w:ascii="宋体" w:hAnsi="宋体"/>
                <w:color w:val="auto"/>
                <w:szCs w:val="21"/>
                <w:highlight w:val="none"/>
              </w:rPr>
              <w:t>7</w:t>
            </w:r>
          </w:p>
        </w:tc>
        <w:tc>
          <w:tcPr>
            <w:tcW w:w="1793" w:type="dxa"/>
            <w:vAlign w:val="center"/>
          </w:tcPr>
          <w:p w14:paraId="2DC984E9">
            <w:pPr>
              <w:spacing w:line="240" w:lineRule="exact"/>
              <w:jc w:val="center"/>
              <w:rPr>
                <w:rFonts w:hint="eastAsia" w:ascii="宋体" w:hAnsi="宋体"/>
                <w:color w:val="auto"/>
                <w:szCs w:val="21"/>
                <w:highlight w:val="none"/>
              </w:rPr>
            </w:pPr>
          </w:p>
        </w:tc>
        <w:tc>
          <w:tcPr>
            <w:tcW w:w="900" w:type="dxa"/>
            <w:vAlign w:val="center"/>
          </w:tcPr>
          <w:p w14:paraId="636C2597">
            <w:pPr>
              <w:jc w:val="center"/>
              <w:rPr>
                <w:rFonts w:hint="eastAsia" w:ascii="宋体" w:hAnsi="宋体"/>
                <w:color w:val="auto"/>
                <w:szCs w:val="21"/>
                <w:highlight w:val="none"/>
              </w:rPr>
            </w:pPr>
          </w:p>
        </w:tc>
        <w:tc>
          <w:tcPr>
            <w:tcW w:w="992" w:type="dxa"/>
            <w:vAlign w:val="center"/>
          </w:tcPr>
          <w:p w14:paraId="4DCB7B23">
            <w:pPr>
              <w:spacing w:line="240" w:lineRule="exact"/>
              <w:jc w:val="center"/>
              <w:rPr>
                <w:rFonts w:hint="eastAsia" w:ascii="宋体" w:hAnsi="宋体"/>
                <w:color w:val="auto"/>
                <w:szCs w:val="21"/>
                <w:highlight w:val="none"/>
              </w:rPr>
            </w:pPr>
          </w:p>
        </w:tc>
        <w:tc>
          <w:tcPr>
            <w:tcW w:w="1785" w:type="dxa"/>
            <w:vAlign w:val="center"/>
          </w:tcPr>
          <w:p w14:paraId="23B25A6C">
            <w:pPr>
              <w:spacing w:line="240" w:lineRule="exact"/>
              <w:jc w:val="center"/>
              <w:rPr>
                <w:rFonts w:hint="eastAsia" w:ascii="宋体" w:hAnsi="宋体"/>
                <w:color w:val="auto"/>
                <w:szCs w:val="21"/>
                <w:highlight w:val="none"/>
              </w:rPr>
            </w:pPr>
          </w:p>
        </w:tc>
        <w:tc>
          <w:tcPr>
            <w:tcW w:w="1116" w:type="dxa"/>
            <w:vAlign w:val="center"/>
          </w:tcPr>
          <w:p w14:paraId="4E6EA3CE">
            <w:pPr>
              <w:spacing w:line="240" w:lineRule="exact"/>
              <w:jc w:val="center"/>
              <w:rPr>
                <w:rFonts w:hint="eastAsia" w:ascii="宋体" w:hAnsi="宋体"/>
                <w:color w:val="auto"/>
                <w:szCs w:val="21"/>
                <w:highlight w:val="none"/>
              </w:rPr>
            </w:pPr>
          </w:p>
        </w:tc>
        <w:tc>
          <w:tcPr>
            <w:tcW w:w="1341" w:type="dxa"/>
            <w:vAlign w:val="center"/>
          </w:tcPr>
          <w:p w14:paraId="74B49204">
            <w:pPr>
              <w:spacing w:line="240" w:lineRule="exact"/>
              <w:jc w:val="center"/>
              <w:rPr>
                <w:rFonts w:hint="eastAsia" w:ascii="宋体" w:hAnsi="宋体"/>
                <w:color w:val="auto"/>
                <w:szCs w:val="21"/>
                <w:highlight w:val="none"/>
              </w:rPr>
            </w:pPr>
          </w:p>
        </w:tc>
        <w:tc>
          <w:tcPr>
            <w:tcW w:w="1080" w:type="dxa"/>
            <w:vAlign w:val="center"/>
          </w:tcPr>
          <w:p w14:paraId="7FE0619C">
            <w:pPr>
              <w:spacing w:line="240" w:lineRule="exact"/>
              <w:jc w:val="center"/>
              <w:rPr>
                <w:rFonts w:hint="eastAsia" w:ascii="宋体" w:hAnsi="宋体"/>
                <w:color w:val="auto"/>
                <w:szCs w:val="21"/>
                <w:highlight w:val="none"/>
              </w:rPr>
            </w:pPr>
          </w:p>
        </w:tc>
      </w:tr>
      <w:tr w14:paraId="7E96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0880ABF">
            <w:pPr>
              <w:spacing w:line="240" w:lineRule="exact"/>
              <w:jc w:val="center"/>
              <w:rPr>
                <w:rFonts w:hint="eastAsia" w:ascii="宋体" w:hAnsi="宋体"/>
                <w:color w:val="auto"/>
                <w:szCs w:val="21"/>
                <w:highlight w:val="none"/>
              </w:rPr>
            </w:pPr>
            <w:r>
              <w:rPr>
                <w:rFonts w:ascii="宋体" w:hAnsi="宋体"/>
                <w:color w:val="auto"/>
                <w:szCs w:val="21"/>
                <w:highlight w:val="none"/>
              </w:rPr>
              <w:t>8</w:t>
            </w:r>
          </w:p>
        </w:tc>
        <w:tc>
          <w:tcPr>
            <w:tcW w:w="1793" w:type="dxa"/>
            <w:vAlign w:val="center"/>
          </w:tcPr>
          <w:p w14:paraId="06996CAF">
            <w:pPr>
              <w:spacing w:line="240" w:lineRule="exact"/>
              <w:jc w:val="center"/>
              <w:rPr>
                <w:rFonts w:hint="eastAsia" w:ascii="宋体" w:hAnsi="宋体"/>
                <w:color w:val="auto"/>
                <w:szCs w:val="21"/>
                <w:highlight w:val="none"/>
              </w:rPr>
            </w:pPr>
          </w:p>
        </w:tc>
        <w:tc>
          <w:tcPr>
            <w:tcW w:w="900" w:type="dxa"/>
            <w:vAlign w:val="center"/>
          </w:tcPr>
          <w:p w14:paraId="57F3D254">
            <w:pPr>
              <w:jc w:val="center"/>
              <w:rPr>
                <w:rFonts w:hint="eastAsia" w:ascii="宋体" w:hAnsi="宋体"/>
                <w:color w:val="auto"/>
                <w:szCs w:val="21"/>
                <w:highlight w:val="none"/>
              </w:rPr>
            </w:pPr>
          </w:p>
        </w:tc>
        <w:tc>
          <w:tcPr>
            <w:tcW w:w="992" w:type="dxa"/>
            <w:vAlign w:val="center"/>
          </w:tcPr>
          <w:p w14:paraId="621A4475">
            <w:pPr>
              <w:spacing w:line="240" w:lineRule="exact"/>
              <w:jc w:val="center"/>
              <w:rPr>
                <w:rFonts w:hint="eastAsia" w:ascii="宋体" w:hAnsi="宋体"/>
                <w:color w:val="auto"/>
                <w:szCs w:val="21"/>
                <w:highlight w:val="none"/>
              </w:rPr>
            </w:pPr>
          </w:p>
        </w:tc>
        <w:tc>
          <w:tcPr>
            <w:tcW w:w="1785" w:type="dxa"/>
            <w:vAlign w:val="center"/>
          </w:tcPr>
          <w:p w14:paraId="2215448F">
            <w:pPr>
              <w:spacing w:line="240" w:lineRule="exact"/>
              <w:jc w:val="center"/>
              <w:rPr>
                <w:rFonts w:hint="eastAsia" w:ascii="宋体" w:hAnsi="宋体"/>
                <w:color w:val="auto"/>
                <w:szCs w:val="21"/>
                <w:highlight w:val="none"/>
              </w:rPr>
            </w:pPr>
          </w:p>
        </w:tc>
        <w:tc>
          <w:tcPr>
            <w:tcW w:w="1116" w:type="dxa"/>
            <w:vAlign w:val="center"/>
          </w:tcPr>
          <w:p w14:paraId="63B846A1">
            <w:pPr>
              <w:spacing w:line="240" w:lineRule="exact"/>
              <w:jc w:val="center"/>
              <w:rPr>
                <w:rFonts w:hint="eastAsia" w:ascii="宋体" w:hAnsi="宋体"/>
                <w:color w:val="auto"/>
                <w:szCs w:val="21"/>
                <w:highlight w:val="none"/>
              </w:rPr>
            </w:pPr>
          </w:p>
        </w:tc>
        <w:tc>
          <w:tcPr>
            <w:tcW w:w="1341" w:type="dxa"/>
            <w:vAlign w:val="center"/>
          </w:tcPr>
          <w:p w14:paraId="6B0FFD97">
            <w:pPr>
              <w:spacing w:line="240" w:lineRule="exact"/>
              <w:jc w:val="center"/>
              <w:rPr>
                <w:rFonts w:hint="eastAsia" w:ascii="宋体" w:hAnsi="宋体"/>
                <w:color w:val="auto"/>
                <w:szCs w:val="21"/>
                <w:highlight w:val="none"/>
              </w:rPr>
            </w:pPr>
          </w:p>
        </w:tc>
        <w:tc>
          <w:tcPr>
            <w:tcW w:w="1080" w:type="dxa"/>
            <w:vAlign w:val="center"/>
          </w:tcPr>
          <w:p w14:paraId="7D3B4871">
            <w:pPr>
              <w:spacing w:line="240" w:lineRule="exact"/>
              <w:jc w:val="center"/>
              <w:rPr>
                <w:rFonts w:hint="eastAsia" w:ascii="宋体" w:hAnsi="宋体"/>
                <w:color w:val="auto"/>
                <w:szCs w:val="21"/>
                <w:highlight w:val="none"/>
              </w:rPr>
            </w:pPr>
          </w:p>
        </w:tc>
      </w:tr>
      <w:tr w14:paraId="4C05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2B546F2F">
            <w:pPr>
              <w:spacing w:line="240" w:lineRule="exact"/>
              <w:jc w:val="center"/>
              <w:rPr>
                <w:rFonts w:hint="eastAsia" w:ascii="宋体" w:hAnsi="宋体"/>
                <w:color w:val="auto"/>
                <w:szCs w:val="21"/>
                <w:highlight w:val="none"/>
              </w:rPr>
            </w:pPr>
            <w:r>
              <w:rPr>
                <w:rFonts w:ascii="宋体" w:hAnsi="宋体"/>
                <w:color w:val="auto"/>
                <w:szCs w:val="21"/>
                <w:highlight w:val="none"/>
              </w:rPr>
              <w:t>9</w:t>
            </w:r>
          </w:p>
        </w:tc>
        <w:tc>
          <w:tcPr>
            <w:tcW w:w="1793" w:type="dxa"/>
            <w:vAlign w:val="center"/>
          </w:tcPr>
          <w:p w14:paraId="266CA598">
            <w:pPr>
              <w:spacing w:line="240" w:lineRule="exact"/>
              <w:jc w:val="center"/>
              <w:rPr>
                <w:rFonts w:hint="eastAsia" w:ascii="宋体" w:hAnsi="宋体"/>
                <w:color w:val="auto"/>
                <w:szCs w:val="21"/>
                <w:highlight w:val="none"/>
              </w:rPr>
            </w:pPr>
          </w:p>
        </w:tc>
        <w:tc>
          <w:tcPr>
            <w:tcW w:w="900" w:type="dxa"/>
            <w:vAlign w:val="center"/>
          </w:tcPr>
          <w:p w14:paraId="277532E4">
            <w:pPr>
              <w:jc w:val="center"/>
              <w:rPr>
                <w:rFonts w:hint="eastAsia" w:ascii="宋体" w:hAnsi="宋体"/>
                <w:color w:val="auto"/>
                <w:szCs w:val="21"/>
                <w:highlight w:val="none"/>
              </w:rPr>
            </w:pPr>
          </w:p>
        </w:tc>
        <w:tc>
          <w:tcPr>
            <w:tcW w:w="992" w:type="dxa"/>
            <w:vAlign w:val="center"/>
          </w:tcPr>
          <w:p w14:paraId="57CCCDE7">
            <w:pPr>
              <w:spacing w:line="240" w:lineRule="exact"/>
              <w:jc w:val="center"/>
              <w:rPr>
                <w:rFonts w:hint="eastAsia" w:ascii="宋体" w:hAnsi="宋体"/>
                <w:color w:val="auto"/>
                <w:szCs w:val="21"/>
                <w:highlight w:val="none"/>
              </w:rPr>
            </w:pPr>
          </w:p>
        </w:tc>
        <w:tc>
          <w:tcPr>
            <w:tcW w:w="1785" w:type="dxa"/>
            <w:vAlign w:val="center"/>
          </w:tcPr>
          <w:p w14:paraId="123A31B1">
            <w:pPr>
              <w:spacing w:line="240" w:lineRule="exact"/>
              <w:jc w:val="center"/>
              <w:rPr>
                <w:rFonts w:hint="eastAsia" w:ascii="宋体" w:hAnsi="宋体"/>
                <w:color w:val="auto"/>
                <w:szCs w:val="21"/>
                <w:highlight w:val="none"/>
              </w:rPr>
            </w:pPr>
          </w:p>
        </w:tc>
        <w:tc>
          <w:tcPr>
            <w:tcW w:w="1116" w:type="dxa"/>
            <w:vAlign w:val="center"/>
          </w:tcPr>
          <w:p w14:paraId="28AF9C2A">
            <w:pPr>
              <w:spacing w:line="240" w:lineRule="exact"/>
              <w:jc w:val="center"/>
              <w:rPr>
                <w:rFonts w:hint="eastAsia" w:ascii="宋体" w:hAnsi="宋体"/>
                <w:color w:val="auto"/>
                <w:szCs w:val="21"/>
                <w:highlight w:val="none"/>
              </w:rPr>
            </w:pPr>
          </w:p>
        </w:tc>
        <w:tc>
          <w:tcPr>
            <w:tcW w:w="1341" w:type="dxa"/>
            <w:vAlign w:val="center"/>
          </w:tcPr>
          <w:p w14:paraId="23D3FEAF">
            <w:pPr>
              <w:spacing w:line="240" w:lineRule="exact"/>
              <w:jc w:val="center"/>
              <w:rPr>
                <w:rFonts w:hint="eastAsia" w:ascii="宋体" w:hAnsi="宋体"/>
                <w:color w:val="auto"/>
                <w:szCs w:val="21"/>
                <w:highlight w:val="none"/>
              </w:rPr>
            </w:pPr>
          </w:p>
        </w:tc>
        <w:tc>
          <w:tcPr>
            <w:tcW w:w="1080" w:type="dxa"/>
            <w:vAlign w:val="center"/>
          </w:tcPr>
          <w:p w14:paraId="2A881669">
            <w:pPr>
              <w:spacing w:line="240" w:lineRule="exact"/>
              <w:jc w:val="center"/>
              <w:rPr>
                <w:rFonts w:hint="eastAsia" w:ascii="宋体" w:hAnsi="宋体"/>
                <w:color w:val="auto"/>
                <w:szCs w:val="21"/>
                <w:highlight w:val="none"/>
              </w:rPr>
            </w:pPr>
          </w:p>
        </w:tc>
      </w:tr>
      <w:tr w14:paraId="4281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C76D7BA">
            <w:pPr>
              <w:spacing w:line="240" w:lineRule="exact"/>
              <w:jc w:val="center"/>
              <w:rPr>
                <w:rFonts w:hint="eastAsia" w:ascii="宋体" w:hAnsi="宋体"/>
                <w:color w:val="auto"/>
                <w:szCs w:val="21"/>
                <w:highlight w:val="none"/>
              </w:rPr>
            </w:pPr>
            <w:r>
              <w:rPr>
                <w:rFonts w:ascii="宋体" w:hAnsi="宋体"/>
                <w:color w:val="auto"/>
                <w:szCs w:val="21"/>
                <w:highlight w:val="none"/>
              </w:rPr>
              <w:t>10</w:t>
            </w:r>
          </w:p>
        </w:tc>
        <w:tc>
          <w:tcPr>
            <w:tcW w:w="1793" w:type="dxa"/>
            <w:vAlign w:val="center"/>
          </w:tcPr>
          <w:p w14:paraId="14A924E6">
            <w:pPr>
              <w:spacing w:line="240" w:lineRule="exact"/>
              <w:jc w:val="center"/>
              <w:rPr>
                <w:rFonts w:hint="eastAsia" w:ascii="宋体" w:hAnsi="宋体"/>
                <w:color w:val="auto"/>
                <w:szCs w:val="21"/>
                <w:highlight w:val="none"/>
              </w:rPr>
            </w:pPr>
          </w:p>
        </w:tc>
        <w:tc>
          <w:tcPr>
            <w:tcW w:w="900" w:type="dxa"/>
            <w:vAlign w:val="center"/>
          </w:tcPr>
          <w:p w14:paraId="3F32A349">
            <w:pPr>
              <w:jc w:val="center"/>
              <w:rPr>
                <w:rFonts w:hint="eastAsia" w:ascii="宋体" w:hAnsi="宋体"/>
                <w:color w:val="auto"/>
                <w:szCs w:val="21"/>
                <w:highlight w:val="none"/>
              </w:rPr>
            </w:pPr>
          </w:p>
        </w:tc>
        <w:tc>
          <w:tcPr>
            <w:tcW w:w="992" w:type="dxa"/>
            <w:vAlign w:val="center"/>
          </w:tcPr>
          <w:p w14:paraId="33EE4F95">
            <w:pPr>
              <w:spacing w:line="240" w:lineRule="exact"/>
              <w:jc w:val="center"/>
              <w:rPr>
                <w:rFonts w:hint="eastAsia" w:ascii="宋体" w:hAnsi="宋体"/>
                <w:color w:val="auto"/>
                <w:szCs w:val="21"/>
                <w:highlight w:val="none"/>
              </w:rPr>
            </w:pPr>
          </w:p>
        </w:tc>
        <w:tc>
          <w:tcPr>
            <w:tcW w:w="1785" w:type="dxa"/>
            <w:vAlign w:val="center"/>
          </w:tcPr>
          <w:p w14:paraId="7F7940B3">
            <w:pPr>
              <w:spacing w:line="240" w:lineRule="exact"/>
              <w:jc w:val="center"/>
              <w:rPr>
                <w:rFonts w:hint="eastAsia" w:ascii="宋体" w:hAnsi="宋体"/>
                <w:color w:val="auto"/>
                <w:szCs w:val="21"/>
                <w:highlight w:val="none"/>
              </w:rPr>
            </w:pPr>
          </w:p>
        </w:tc>
        <w:tc>
          <w:tcPr>
            <w:tcW w:w="1116" w:type="dxa"/>
            <w:vAlign w:val="center"/>
          </w:tcPr>
          <w:p w14:paraId="2F3AC510">
            <w:pPr>
              <w:spacing w:line="240" w:lineRule="exact"/>
              <w:jc w:val="center"/>
              <w:rPr>
                <w:rFonts w:hint="eastAsia" w:ascii="宋体" w:hAnsi="宋体"/>
                <w:color w:val="auto"/>
                <w:szCs w:val="21"/>
                <w:highlight w:val="none"/>
              </w:rPr>
            </w:pPr>
          </w:p>
        </w:tc>
        <w:tc>
          <w:tcPr>
            <w:tcW w:w="1341" w:type="dxa"/>
            <w:vAlign w:val="center"/>
          </w:tcPr>
          <w:p w14:paraId="0A42586D">
            <w:pPr>
              <w:spacing w:line="240" w:lineRule="exact"/>
              <w:jc w:val="center"/>
              <w:rPr>
                <w:rFonts w:hint="eastAsia" w:ascii="宋体" w:hAnsi="宋体"/>
                <w:color w:val="auto"/>
                <w:szCs w:val="21"/>
                <w:highlight w:val="none"/>
              </w:rPr>
            </w:pPr>
          </w:p>
        </w:tc>
        <w:tc>
          <w:tcPr>
            <w:tcW w:w="1080" w:type="dxa"/>
            <w:vAlign w:val="center"/>
          </w:tcPr>
          <w:p w14:paraId="345B5D4F">
            <w:pPr>
              <w:spacing w:line="240" w:lineRule="exact"/>
              <w:jc w:val="center"/>
              <w:rPr>
                <w:rFonts w:hint="eastAsia" w:ascii="宋体" w:hAnsi="宋体"/>
                <w:color w:val="auto"/>
                <w:szCs w:val="21"/>
                <w:highlight w:val="none"/>
              </w:rPr>
            </w:pPr>
          </w:p>
        </w:tc>
      </w:tr>
    </w:tbl>
    <w:p w14:paraId="4C518931">
      <w:pPr>
        <w:snapToGrid w:val="0"/>
        <w:spacing w:line="360" w:lineRule="auto"/>
        <w:ind w:right="-97" w:rightChars="-46"/>
        <w:rPr>
          <w:rFonts w:hint="eastAsia" w:ascii="宋体" w:hAnsi="宋体"/>
          <w:color w:val="auto"/>
          <w:sz w:val="24"/>
          <w:highlight w:val="none"/>
        </w:rPr>
      </w:pPr>
    </w:p>
    <w:p w14:paraId="62A50AC5">
      <w:pPr>
        <w:pStyle w:val="4"/>
        <w:rPr>
          <w:rFonts w:hint="eastAsia"/>
          <w:color w:val="auto"/>
          <w:highlight w:val="none"/>
        </w:rPr>
      </w:pPr>
      <w:r>
        <w:rPr>
          <w:color w:val="auto"/>
          <w:highlight w:val="none"/>
        </w:rPr>
        <w:br w:type="page"/>
      </w:r>
      <w:bookmarkStart w:id="288" w:name="_Toc528170367"/>
      <w:bookmarkStart w:id="289" w:name="_Toc20161"/>
      <w:bookmarkStart w:id="290" w:name="_Toc532390645"/>
      <w:bookmarkStart w:id="291" w:name="_Toc533334237"/>
      <w:bookmarkStart w:id="292" w:name="_Toc9171"/>
      <w:bookmarkStart w:id="293" w:name="_Toc9537"/>
      <w:bookmarkStart w:id="294" w:name="_Toc5438"/>
      <w:bookmarkStart w:id="295" w:name="_Toc15461"/>
      <w:r>
        <w:rPr>
          <w:rFonts w:hint="eastAsia"/>
          <w:color w:val="auto"/>
          <w:highlight w:val="none"/>
        </w:rPr>
        <w:t>十、</w:t>
      </w:r>
      <w:bookmarkEnd w:id="288"/>
      <w:bookmarkEnd w:id="289"/>
      <w:bookmarkEnd w:id="290"/>
      <w:bookmarkEnd w:id="291"/>
      <w:r>
        <w:rPr>
          <w:rFonts w:hint="eastAsia"/>
          <w:color w:val="auto"/>
          <w:highlight w:val="none"/>
        </w:rPr>
        <w:t>检测监测方案</w:t>
      </w:r>
      <w:bookmarkEnd w:id="292"/>
      <w:bookmarkEnd w:id="293"/>
      <w:bookmarkEnd w:id="294"/>
      <w:bookmarkEnd w:id="295"/>
    </w:p>
    <w:p w14:paraId="7F52519C">
      <w:pPr>
        <w:rPr>
          <w:bCs/>
          <w:color w:val="auto"/>
          <w:highlight w:val="none"/>
        </w:rPr>
      </w:pPr>
      <w:bookmarkStart w:id="296" w:name="_Toc30307"/>
      <w:bookmarkStart w:id="297" w:name="_Toc1342"/>
      <w:bookmarkStart w:id="298" w:name="_Toc533334238"/>
      <w:bookmarkStart w:id="299" w:name="_Toc826"/>
      <w:r>
        <w:rPr>
          <w:rFonts w:hint="eastAsia"/>
          <w:bCs/>
          <w:color w:val="auto"/>
          <w:highlight w:val="none"/>
        </w:rPr>
        <w:t>格式自定。</w:t>
      </w:r>
    </w:p>
    <w:p w14:paraId="060EB2D6">
      <w:pPr>
        <w:pStyle w:val="4"/>
        <w:rPr>
          <w:rFonts w:hint="eastAsia"/>
          <w:color w:val="auto"/>
          <w:highlight w:val="none"/>
        </w:rPr>
      </w:pPr>
      <w:r>
        <w:rPr>
          <w:color w:val="auto"/>
          <w:highlight w:val="none"/>
        </w:rPr>
        <w:br w:type="page"/>
      </w:r>
      <w:bookmarkStart w:id="300" w:name="_Toc21419"/>
      <w:r>
        <w:rPr>
          <w:rFonts w:hint="eastAsia"/>
          <w:color w:val="auto"/>
          <w:highlight w:val="none"/>
        </w:rPr>
        <w:t>十一、其他资料</w:t>
      </w:r>
      <w:bookmarkEnd w:id="296"/>
      <w:bookmarkEnd w:id="297"/>
      <w:bookmarkEnd w:id="298"/>
      <w:bookmarkEnd w:id="299"/>
      <w:bookmarkEnd w:id="300"/>
    </w:p>
    <w:p w14:paraId="0CA3FD4E">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14:paraId="105F6561">
      <w:pPr>
        <w:snapToGrid w:val="0"/>
        <w:spacing w:line="360" w:lineRule="auto"/>
        <w:ind w:right="-97" w:rightChars="-46"/>
        <w:rPr>
          <w:rFonts w:hint="eastAsia" w:ascii="宋体" w:hAnsi="宋体"/>
          <w:color w:val="auto"/>
          <w:sz w:val="24"/>
          <w:szCs w:val="18"/>
          <w:highlight w:val="none"/>
        </w:rPr>
      </w:pPr>
    </w:p>
    <w:p w14:paraId="2EA27E3F">
      <w:pPr>
        <w:rPr>
          <w:color w:val="auto"/>
          <w:highlight w:val="none"/>
        </w:rPr>
      </w:pPr>
    </w:p>
    <w:p w14:paraId="63242258">
      <w:pPr>
        <w:rPr>
          <w:color w:val="auto"/>
          <w:highlight w:val="none"/>
        </w:rPr>
      </w:pPr>
    </w:p>
    <w:p w14:paraId="7D1F77E5">
      <w:pPr>
        <w:pStyle w:val="3"/>
        <w:rPr>
          <w:color w:val="auto"/>
          <w:highlight w:val="none"/>
        </w:rPr>
        <w:sectPr>
          <w:pgSz w:w="11906" w:h="16838"/>
          <w:pgMar w:top="1440" w:right="1080" w:bottom="1440" w:left="1080" w:header="851" w:footer="1020" w:gutter="0"/>
          <w:cols w:space="720" w:num="1"/>
          <w:docGrid w:type="lines" w:linePitch="312" w:charSpace="0"/>
        </w:sectPr>
      </w:pPr>
    </w:p>
    <w:p w14:paraId="4874356D">
      <w:pPr>
        <w:rPr>
          <w:color w:val="auto"/>
          <w:highlight w:val="none"/>
        </w:rPr>
      </w:pPr>
    </w:p>
    <w:p w14:paraId="3AD7BF4C">
      <w:pPr>
        <w:rPr>
          <w:color w:val="auto"/>
          <w:highlight w:val="none"/>
        </w:rPr>
      </w:pPr>
    </w:p>
    <w:p w14:paraId="3E73F102">
      <w:pPr>
        <w:pStyle w:val="2"/>
        <w:keepNext w:val="0"/>
        <w:keepLines w:val="0"/>
        <w:adjustRightInd w:val="0"/>
        <w:snapToGrid w:val="0"/>
        <w:spacing w:line="360" w:lineRule="auto"/>
        <w:rPr>
          <w:rFonts w:hint="eastAsia"/>
          <w:color w:val="auto"/>
          <w:highlight w:val="none"/>
        </w:rPr>
      </w:pPr>
      <w:bookmarkStart w:id="301" w:name="_Toc2184"/>
      <w:bookmarkStart w:id="302" w:name="_Toc6938"/>
      <w:bookmarkStart w:id="303" w:name="_Toc31327"/>
      <w:bookmarkStart w:id="304" w:name="_Toc32460"/>
      <w:bookmarkStart w:id="305" w:name="_Toc32455"/>
      <w:r>
        <w:rPr>
          <w:rFonts w:hint="eastAsia" w:cs="宋体"/>
          <w:color w:val="auto"/>
          <w:highlight w:val="none"/>
        </w:rPr>
        <w:t>第七章</w:t>
      </w:r>
      <w:r>
        <w:rPr>
          <w:color w:val="auto"/>
          <w:highlight w:val="none"/>
        </w:rPr>
        <w:t xml:space="preserve">  </w:t>
      </w:r>
      <w:r>
        <w:rPr>
          <w:rFonts w:hint="eastAsia" w:cs="宋体"/>
          <w:color w:val="auto"/>
          <w:highlight w:val="none"/>
        </w:rPr>
        <w:t>第三方检测监测清单及综合单价限价表</w:t>
      </w:r>
      <w:bookmarkEnd w:id="301"/>
      <w:bookmarkEnd w:id="302"/>
      <w:bookmarkEnd w:id="303"/>
      <w:bookmarkEnd w:id="304"/>
      <w:bookmarkEnd w:id="305"/>
    </w:p>
    <w:p w14:paraId="5BDB3C81">
      <w:pPr>
        <w:widowControl/>
        <w:spacing w:line="360" w:lineRule="auto"/>
        <w:jc w:val="center"/>
        <w:rPr>
          <w:color w:val="auto"/>
          <w:sz w:val="28"/>
          <w:szCs w:val="28"/>
          <w:highlight w:val="none"/>
        </w:rPr>
      </w:pPr>
      <w:r>
        <w:rPr>
          <w:rFonts w:hint="eastAsia" w:ascii="宋体" w:hAnsi="宋体" w:cs="宋体"/>
          <w:color w:val="auto"/>
          <w:kern w:val="0"/>
          <w:sz w:val="28"/>
          <w:szCs w:val="28"/>
          <w:highlight w:val="none"/>
          <w:lang w:bidi="ar"/>
        </w:rPr>
        <w:t>（另册）</w:t>
      </w:r>
    </w:p>
    <w:p w14:paraId="379648E2">
      <w:pPr>
        <w:rPr>
          <w:color w:val="auto"/>
          <w:highlight w:val="none"/>
        </w:rPr>
      </w:pPr>
    </w:p>
    <w:sectPr>
      <w:pgSz w:w="11906" w:h="16838"/>
      <w:pgMar w:top="1440" w:right="1080" w:bottom="1440" w:left="1080" w:header="851"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幼圆">
    <w:altName w:val="Segoe Print"/>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0D00">
    <w:pPr>
      <w:pStyle w:val="20"/>
      <w:framePr w:wrap="around" w:vAnchor="text" w:hAnchor="margin" w:xAlign="center" w:y="2"/>
      <w:rPr>
        <w:rStyle w:val="31"/>
      </w:rPr>
    </w:pPr>
    <w:r>
      <w:fldChar w:fldCharType="begin"/>
    </w:r>
    <w:r>
      <w:rPr>
        <w:rStyle w:val="31"/>
      </w:rPr>
      <w:instrText xml:space="preserve">PAGE  </w:instrText>
    </w:r>
    <w:r>
      <w:fldChar w:fldCharType="separate"/>
    </w:r>
    <w:r>
      <w:rPr>
        <w:rStyle w:val="31"/>
      </w:rPr>
      <w:t>42</w:t>
    </w:r>
    <w:r>
      <w:fldChar w:fldCharType="end"/>
    </w:r>
  </w:p>
  <w:p w14:paraId="13A4E9CF">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3D44E">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B786D72">
                          <w:pPr>
                            <w:pStyle w:val="2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14:paraId="4B786D72">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1A773">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201D612C">
                          <w:pPr>
                            <w:pStyle w:val="20"/>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14:paraId="201D612C">
                    <w:pPr>
                      <w:pStyle w:val="2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DC3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97ABF"/>
    <w:multiLevelType w:val="singleLevel"/>
    <w:tmpl w:val="A4597ABF"/>
    <w:lvl w:ilvl="0" w:tentative="0">
      <w:start w:val="4"/>
      <w:numFmt w:val="chineseCounting"/>
      <w:suff w:val="space"/>
      <w:lvlText w:val="第%1章"/>
      <w:lvlJc w:val="left"/>
      <w:rPr>
        <w:rFonts w:hint="eastAsia"/>
      </w:rPr>
    </w:lvl>
  </w:abstractNum>
  <w:abstractNum w:abstractNumId="1">
    <w:nsid w:val="BA554385"/>
    <w:multiLevelType w:val="singleLevel"/>
    <w:tmpl w:val="BA554385"/>
    <w:lvl w:ilvl="0" w:tentative="0">
      <w:start w:val="1"/>
      <w:numFmt w:val="decimal"/>
      <w:suff w:val="space"/>
      <w:lvlText w:val="%1."/>
      <w:lvlJc w:val="left"/>
    </w:lvl>
  </w:abstractNum>
  <w:abstractNum w:abstractNumId="2">
    <w:nsid w:val="C21A1299"/>
    <w:multiLevelType w:val="singleLevel"/>
    <w:tmpl w:val="C21A1299"/>
    <w:lvl w:ilvl="0" w:tentative="0">
      <w:start w:val="2"/>
      <w:numFmt w:val="decimal"/>
      <w:suff w:val="nothing"/>
      <w:lvlText w:val="%1、"/>
      <w:lvlJc w:val="left"/>
    </w:lvl>
  </w:abstractNum>
  <w:abstractNum w:abstractNumId="3">
    <w:nsid w:val="0000000A"/>
    <w:multiLevelType w:val="singleLevel"/>
    <w:tmpl w:val="0000000A"/>
    <w:lvl w:ilvl="0" w:tentative="0">
      <w:start w:val="5"/>
      <w:numFmt w:val="chineseCounting"/>
      <w:suff w:val="space"/>
      <w:lvlText w:val="第%1章"/>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0NmM5MWRlZTMxNzJiMmZkODNhNjNjNzRhNmM3NzkifQ=="/>
    <w:docVar w:name="KSO_WPS_MARK_KEY" w:val="b0bf2640-3d60-42aa-b136-eeee4212a3fa"/>
  </w:docVars>
  <w:rsids>
    <w:rsidRoot w:val="00FE62DA"/>
    <w:rsid w:val="000D61AF"/>
    <w:rsid w:val="0019240B"/>
    <w:rsid w:val="001C19D9"/>
    <w:rsid w:val="00593FCD"/>
    <w:rsid w:val="007D4070"/>
    <w:rsid w:val="007E737C"/>
    <w:rsid w:val="00AC1CF7"/>
    <w:rsid w:val="00B903BC"/>
    <w:rsid w:val="00C45625"/>
    <w:rsid w:val="00C50652"/>
    <w:rsid w:val="00D14A10"/>
    <w:rsid w:val="00D26BDB"/>
    <w:rsid w:val="00E91DB9"/>
    <w:rsid w:val="00F43E71"/>
    <w:rsid w:val="00FE62DA"/>
    <w:rsid w:val="01145EB1"/>
    <w:rsid w:val="014063FE"/>
    <w:rsid w:val="01A324E9"/>
    <w:rsid w:val="02073418"/>
    <w:rsid w:val="02555ED9"/>
    <w:rsid w:val="02777BFD"/>
    <w:rsid w:val="02A91D81"/>
    <w:rsid w:val="02AF6749"/>
    <w:rsid w:val="02C170CB"/>
    <w:rsid w:val="03537341"/>
    <w:rsid w:val="0360057C"/>
    <w:rsid w:val="036A59B4"/>
    <w:rsid w:val="03976B21"/>
    <w:rsid w:val="04293EB0"/>
    <w:rsid w:val="0442414A"/>
    <w:rsid w:val="04DC447E"/>
    <w:rsid w:val="04F05112"/>
    <w:rsid w:val="04F33787"/>
    <w:rsid w:val="05BE3D95"/>
    <w:rsid w:val="05C312B9"/>
    <w:rsid w:val="05D11D1B"/>
    <w:rsid w:val="05D90BCF"/>
    <w:rsid w:val="05DE61E6"/>
    <w:rsid w:val="05E47DC2"/>
    <w:rsid w:val="06043E9E"/>
    <w:rsid w:val="060C045C"/>
    <w:rsid w:val="064479A2"/>
    <w:rsid w:val="06534584"/>
    <w:rsid w:val="069C1ED5"/>
    <w:rsid w:val="06CA71D1"/>
    <w:rsid w:val="06E45A7E"/>
    <w:rsid w:val="077A1F3E"/>
    <w:rsid w:val="078E1545"/>
    <w:rsid w:val="07EF46DA"/>
    <w:rsid w:val="083A2C5B"/>
    <w:rsid w:val="08500666"/>
    <w:rsid w:val="08536A17"/>
    <w:rsid w:val="08852948"/>
    <w:rsid w:val="089A3255"/>
    <w:rsid w:val="091326B6"/>
    <w:rsid w:val="09AD65FB"/>
    <w:rsid w:val="09DF154F"/>
    <w:rsid w:val="09F14739"/>
    <w:rsid w:val="09F61D78"/>
    <w:rsid w:val="0A140428"/>
    <w:rsid w:val="0AC0235E"/>
    <w:rsid w:val="0ADD2F10"/>
    <w:rsid w:val="0B043FF8"/>
    <w:rsid w:val="0B266665"/>
    <w:rsid w:val="0B903ADE"/>
    <w:rsid w:val="0BB44ACF"/>
    <w:rsid w:val="0BF551D9"/>
    <w:rsid w:val="0BF65476"/>
    <w:rsid w:val="0C2C0D83"/>
    <w:rsid w:val="0C394176"/>
    <w:rsid w:val="0C4274CE"/>
    <w:rsid w:val="0C9870EE"/>
    <w:rsid w:val="0CC658A8"/>
    <w:rsid w:val="0CFF3AC2"/>
    <w:rsid w:val="0D024C9D"/>
    <w:rsid w:val="0D305579"/>
    <w:rsid w:val="0D3C216F"/>
    <w:rsid w:val="0DB6770F"/>
    <w:rsid w:val="0DEF07EB"/>
    <w:rsid w:val="0E2350DD"/>
    <w:rsid w:val="0E484B44"/>
    <w:rsid w:val="0E5C239D"/>
    <w:rsid w:val="0E5D6419"/>
    <w:rsid w:val="0E967BE9"/>
    <w:rsid w:val="0ED37663"/>
    <w:rsid w:val="0F136F00"/>
    <w:rsid w:val="0F570340"/>
    <w:rsid w:val="0F841BAC"/>
    <w:rsid w:val="0F9C6EF5"/>
    <w:rsid w:val="102E3706"/>
    <w:rsid w:val="10790FE5"/>
    <w:rsid w:val="108609A7"/>
    <w:rsid w:val="108C6F6A"/>
    <w:rsid w:val="10DB57FB"/>
    <w:rsid w:val="1133168B"/>
    <w:rsid w:val="117650BC"/>
    <w:rsid w:val="11823E91"/>
    <w:rsid w:val="121A67F7"/>
    <w:rsid w:val="122D0B62"/>
    <w:rsid w:val="125D0492"/>
    <w:rsid w:val="13031039"/>
    <w:rsid w:val="13184396"/>
    <w:rsid w:val="13376A27"/>
    <w:rsid w:val="139E27C3"/>
    <w:rsid w:val="13EA1B35"/>
    <w:rsid w:val="149D016E"/>
    <w:rsid w:val="15634011"/>
    <w:rsid w:val="15C622B5"/>
    <w:rsid w:val="16B9038D"/>
    <w:rsid w:val="16FC296F"/>
    <w:rsid w:val="17274D96"/>
    <w:rsid w:val="17DC0D8C"/>
    <w:rsid w:val="17E1613A"/>
    <w:rsid w:val="18D55226"/>
    <w:rsid w:val="18F002B2"/>
    <w:rsid w:val="19690B8A"/>
    <w:rsid w:val="1990114D"/>
    <w:rsid w:val="19D4440C"/>
    <w:rsid w:val="1A5D1977"/>
    <w:rsid w:val="1B0E4000"/>
    <w:rsid w:val="1B882A24"/>
    <w:rsid w:val="1BF12377"/>
    <w:rsid w:val="1C737230"/>
    <w:rsid w:val="1D0E0D07"/>
    <w:rsid w:val="1D305121"/>
    <w:rsid w:val="1DB16262"/>
    <w:rsid w:val="1DBE44DB"/>
    <w:rsid w:val="1DF60118"/>
    <w:rsid w:val="1DF63C75"/>
    <w:rsid w:val="1E42335E"/>
    <w:rsid w:val="1EC71AB5"/>
    <w:rsid w:val="1ED61CF8"/>
    <w:rsid w:val="1EDD6BE3"/>
    <w:rsid w:val="1FE30229"/>
    <w:rsid w:val="20621A95"/>
    <w:rsid w:val="20D25A1D"/>
    <w:rsid w:val="20DA02DF"/>
    <w:rsid w:val="20DF4E94"/>
    <w:rsid w:val="215F7D83"/>
    <w:rsid w:val="217008EA"/>
    <w:rsid w:val="22561186"/>
    <w:rsid w:val="2274785E"/>
    <w:rsid w:val="228D5B38"/>
    <w:rsid w:val="229F2797"/>
    <w:rsid w:val="22B55875"/>
    <w:rsid w:val="22D4654E"/>
    <w:rsid w:val="232E5C5F"/>
    <w:rsid w:val="23952182"/>
    <w:rsid w:val="23DC4613"/>
    <w:rsid w:val="2432516D"/>
    <w:rsid w:val="24637B8A"/>
    <w:rsid w:val="24743B45"/>
    <w:rsid w:val="24E0567E"/>
    <w:rsid w:val="24E231A5"/>
    <w:rsid w:val="25AE752B"/>
    <w:rsid w:val="263C373D"/>
    <w:rsid w:val="264412F3"/>
    <w:rsid w:val="26926505"/>
    <w:rsid w:val="26A97218"/>
    <w:rsid w:val="26B3091F"/>
    <w:rsid w:val="26D44D6F"/>
    <w:rsid w:val="27101C7A"/>
    <w:rsid w:val="277D5407"/>
    <w:rsid w:val="27C70430"/>
    <w:rsid w:val="280276BA"/>
    <w:rsid w:val="280C3119"/>
    <w:rsid w:val="28D9666D"/>
    <w:rsid w:val="29437F8A"/>
    <w:rsid w:val="294A756A"/>
    <w:rsid w:val="296B2169"/>
    <w:rsid w:val="29AC1FD3"/>
    <w:rsid w:val="29BB2216"/>
    <w:rsid w:val="2AC1385C"/>
    <w:rsid w:val="2B3667E5"/>
    <w:rsid w:val="2BFA623E"/>
    <w:rsid w:val="2C155C0E"/>
    <w:rsid w:val="2C4209CD"/>
    <w:rsid w:val="2D0F08AF"/>
    <w:rsid w:val="2D661B63"/>
    <w:rsid w:val="2D9E7E85"/>
    <w:rsid w:val="2DB63420"/>
    <w:rsid w:val="2DC13DEE"/>
    <w:rsid w:val="2DFF4986"/>
    <w:rsid w:val="2E025576"/>
    <w:rsid w:val="2E183793"/>
    <w:rsid w:val="2E293BF2"/>
    <w:rsid w:val="2EA60904"/>
    <w:rsid w:val="2EEA1087"/>
    <w:rsid w:val="2EED4C20"/>
    <w:rsid w:val="2F2648F3"/>
    <w:rsid w:val="2F2A534A"/>
    <w:rsid w:val="2FE12BC4"/>
    <w:rsid w:val="2FEF49C8"/>
    <w:rsid w:val="2FEF6E64"/>
    <w:rsid w:val="304C61CD"/>
    <w:rsid w:val="3059245C"/>
    <w:rsid w:val="307A0735"/>
    <w:rsid w:val="30DF2C8E"/>
    <w:rsid w:val="311C17EC"/>
    <w:rsid w:val="312863E3"/>
    <w:rsid w:val="31CE3E35"/>
    <w:rsid w:val="327D275F"/>
    <w:rsid w:val="329D709F"/>
    <w:rsid w:val="32AC51A0"/>
    <w:rsid w:val="3335650D"/>
    <w:rsid w:val="336A7EC6"/>
    <w:rsid w:val="33DC1707"/>
    <w:rsid w:val="3411267F"/>
    <w:rsid w:val="341E1D1F"/>
    <w:rsid w:val="341E587B"/>
    <w:rsid w:val="34A55F9D"/>
    <w:rsid w:val="34A97864"/>
    <w:rsid w:val="34C72DAC"/>
    <w:rsid w:val="34E645EB"/>
    <w:rsid w:val="350902DA"/>
    <w:rsid w:val="35521C81"/>
    <w:rsid w:val="363C023B"/>
    <w:rsid w:val="363F0EA1"/>
    <w:rsid w:val="3667350A"/>
    <w:rsid w:val="36A55DE0"/>
    <w:rsid w:val="37824052"/>
    <w:rsid w:val="37CD55EE"/>
    <w:rsid w:val="38206066"/>
    <w:rsid w:val="38284018"/>
    <w:rsid w:val="382877F5"/>
    <w:rsid w:val="38C3028E"/>
    <w:rsid w:val="38FE5C7B"/>
    <w:rsid w:val="3970230F"/>
    <w:rsid w:val="398B39B3"/>
    <w:rsid w:val="398E34A3"/>
    <w:rsid w:val="3A7B57D6"/>
    <w:rsid w:val="3A804602"/>
    <w:rsid w:val="3B1E77A1"/>
    <w:rsid w:val="3B5E60C5"/>
    <w:rsid w:val="3B8C756F"/>
    <w:rsid w:val="3BC55553"/>
    <w:rsid w:val="3BFE16A2"/>
    <w:rsid w:val="3C1174F6"/>
    <w:rsid w:val="3C17152E"/>
    <w:rsid w:val="3C1F4887"/>
    <w:rsid w:val="3C5A141B"/>
    <w:rsid w:val="3C914A94"/>
    <w:rsid w:val="3CAA4B85"/>
    <w:rsid w:val="3CED72C3"/>
    <w:rsid w:val="3D31473A"/>
    <w:rsid w:val="3D424389"/>
    <w:rsid w:val="3DAE5EC2"/>
    <w:rsid w:val="3DC70484"/>
    <w:rsid w:val="3E5844CD"/>
    <w:rsid w:val="3E6F38A3"/>
    <w:rsid w:val="3EA51073"/>
    <w:rsid w:val="3EC35D66"/>
    <w:rsid w:val="3EFE4C27"/>
    <w:rsid w:val="3F397087"/>
    <w:rsid w:val="3F5342F2"/>
    <w:rsid w:val="3F8F7490"/>
    <w:rsid w:val="3FA56E51"/>
    <w:rsid w:val="3FB47623"/>
    <w:rsid w:val="3FB812C0"/>
    <w:rsid w:val="3FBC5057"/>
    <w:rsid w:val="408D6263"/>
    <w:rsid w:val="40AA6712"/>
    <w:rsid w:val="40C6334F"/>
    <w:rsid w:val="416845DA"/>
    <w:rsid w:val="418C1797"/>
    <w:rsid w:val="41BB0BAE"/>
    <w:rsid w:val="41EE0F83"/>
    <w:rsid w:val="43B7341D"/>
    <w:rsid w:val="43C33D49"/>
    <w:rsid w:val="43C46763"/>
    <w:rsid w:val="444C631A"/>
    <w:rsid w:val="446B68BB"/>
    <w:rsid w:val="44727C49"/>
    <w:rsid w:val="448E478B"/>
    <w:rsid w:val="44B824CF"/>
    <w:rsid w:val="44D3620E"/>
    <w:rsid w:val="45034D45"/>
    <w:rsid w:val="45554194"/>
    <w:rsid w:val="459B6D2C"/>
    <w:rsid w:val="45B7168C"/>
    <w:rsid w:val="46182B8E"/>
    <w:rsid w:val="467557CF"/>
    <w:rsid w:val="467852BF"/>
    <w:rsid w:val="46FE236C"/>
    <w:rsid w:val="474038F5"/>
    <w:rsid w:val="474A6C5C"/>
    <w:rsid w:val="4770076C"/>
    <w:rsid w:val="478D4D9A"/>
    <w:rsid w:val="47A129BD"/>
    <w:rsid w:val="48341C04"/>
    <w:rsid w:val="4891710C"/>
    <w:rsid w:val="49310669"/>
    <w:rsid w:val="49325BF9"/>
    <w:rsid w:val="49496297"/>
    <w:rsid w:val="49BC3715"/>
    <w:rsid w:val="49CA048F"/>
    <w:rsid w:val="49FB248F"/>
    <w:rsid w:val="4A9174E4"/>
    <w:rsid w:val="4ABD14F2"/>
    <w:rsid w:val="4ABF7FCF"/>
    <w:rsid w:val="4AFA62A3"/>
    <w:rsid w:val="4B4340EE"/>
    <w:rsid w:val="4B72052F"/>
    <w:rsid w:val="4B7F62CD"/>
    <w:rsid w:val="4B8A5994"/>
    <w:rsid w:val="4B9569C6"/>
    <w:rsid w:val="4BA821A3"/>
    <w:rsid w:val="4BB943B0"/>
    <w:rsid w:val="4BE41090"/>
    <w:rsid w:val="4BE430A3"/>
    <w:rsid w:val="4C03562B"/>
    <w:rsid w:val="4C1C6CBA"/>
    <w:rsid w:val="4C2630C7"/>
    <w:rsid w:val="4C87000A"/>
    <w:rsid w:val="4CFF2296"/>
    <w:rsid w:val="4D1D0480"/>
    <w:rsid w:val="4D493511"/>
    <w:rsid w:val="4D4B1161"/>
    <w:rsid w:val="4D73058E"/>
    <w:rsid w:val="4DCA15C8"/>
    <w:rsid w:val="4E575182"/>
    <w:rsid w:val="4E577EB0"/>
    <w:rsid w:val="4ED65279"/>
    <w:rsid w:val="4EFF65A6"/>
    <w:rsid w:val="4F4C1097"/>
    <w:rsid w:val="4F7505EE"/>
    <w:rsid w:val="50C10D15"/>
    <w:rsid w:val="50F814D6"/>
    <w:rsid w:val="51583D23"/>
    <w:rsid w:val="52100AA2"/>
    <w:rsid w:val="52157E66"/>
    <w:rsid w:val="52171E30"/>
    <w:rsid w:val="52540C46"/>
    <w:rsid w:val="52833022"/>
    <w:rsid w:val="52D57ADD"/>
    <w:rsid w:val="530718B4"/>
    <w:rsid w:val="536C1D08"/>
    <w:rsid w:val="53EC1861"/>
    <w:rsid w:val="541F321E"/>
    <w:rsid w:val="54297CAD"/>
    <w:rsid w:val="546F6D80"/>
    <w:rsid w:val="54E57FC4"/>
    <w:rsid w:val="55094DBB"/>
    <w:rsid w:val="558943A7"/>
    <w:rsid w:val="559B0162"/>
    <w:rsid w:val="55C71477"/>
    <w:rsid w:val="55CC2F32"/>
    <w:rsid w:val="56051FA0"/>
    <w:rsid w:val="56095F34"/>
    <w:rsid w:val="562C577E"/>
    <w:rsid w:val="56892BD1"/>
    <w:rsid w:val="573F3A30"/>
    <w:rsid w:val="579B705F"/>
    <w:rsid w:val="57E91B79"/>
    <w:rsid w:val="58276B45"/>
    <w:rsid w:val="58290DB6"/>
    <w:rsid w:val="58B32187"/>
    <w:rsid w:val="58D77C23"/>
    <w:rsid w:val="591744C4"/>
    <w:rsid w:val="59833580"/>
    <w:rsid w:val="59AC10B0"/>
    <w:rsid w:val="59E545C2"/>
    <w:rsid w:val="59FE1A5E"/>
    <w:rsid w:val="5A2450EA"/>
    <w:rsid w:val="5A8B5169"/>
    <w:rsid w:val="5A987886"/>
    <w:rsid w:val="5AB741B0"/>
    <w:rsid w:val="5B27736A"/>
    <w:rsid w:val="5B506443"/>
    <w:rsid w:val="5B5C6B06"/>
    <w:rsid w:val="5B813AB0"/>
    <w:rsid w:val="5B8E4B8A"/>
    <w:rsid w:val="5BAD7DF7"/>
    <w:rsid w:val="5BB97DF8"/>
    <w:rsid w:val="5BD112A2"/>
    <w:rsid w:val="5C3F26AF"/>
    <w:rsid w:val="5C89392A"/>
    <w:rsid w:val="5CD749CB"/>
    <w:rsid w:val="5D6454EE"/>
    <w:rsid w:val="5DA73435"/>
    <w:rsid w:val="5DAF73C1"/>
    <w:rsid w:val="5DFE69F8"/>
    <w:rsid w:val="5E40699E"/>
    <w:rsid w:val="5EF8619C"/>
    <w:rsid w:val="5F571ABE"/>
    <w:rsid w:val="5F750196"/>
    <w:rsid w:val="5F8C4F23"/>
    <w:rsid w:val="60AA2D84"/>
    <w:rsid w:val="60D36438"/>
    <w:rsid w:val="60DD316A"/>
    <w:rsid w:val="60EE26D2"/>
    <w:rsid w:val="610569AB"/>
    <w:rsid w:val="61227EAA"/>
    <w:rsid w:val="613C6465"/>
    <w:rsid w:val="615B45BF"/>
    <w:rsid w:val="615D7134"/>
    <w:rsid w:val="618C7B2D"/>
    <w:rsid w:val="626E7228"/>
    <w:rsid w:val="62970423"/>
    <w:rsid w:val="62BD2580"/>
    <w:rsid w:val="62E01DF8"/>
    <w:rsid w:val="633A772C"/>
    <w:rsid w:val="634700C4"/>
    <w:rsid w:val="637C6328"/>
    <w:rsid w:val="64356146"/>
    <w:rsid w:val="643979E4"/>
    <w:rsid w:val="64446389"/>
    <w:rsid w:val="6464541D"/>
    <w:rsid w:val="64A70DF2"/>
    <w:rsid w:val="64F37AE0"/>
    <w:rsid w:val="65156525"/>
    <w:rsid w:val="6518651D"/>
    <w:rsid w:val="65402FF4"/>
    <w:rsid w:val="66081D64"/>
    <w:rsid w:val="663C7AF5"/>
    <w:rsid w:val="664939B5"/>
    <w:rsid w:val="668313EA"/>
    <w:rsid w:val="66AA7ACC"/>
    <w:rsid w:val="66F145A6"/>
    <w:rsid w:val="67446DCC"/>
    <w:rsid w:val="676B07FC"/>
    <w:rsid w:val="677820A7"/>
    <w:rsid w:val="67947F64"/>
    <w:rsid w:val="684921C0"/>
    <w:rsid w:val="6897117D"/>
    <w:rsid w:val="68C77CB4"/>
    <w:rsid w:val="6999454C"/>
    <w:rsid w:val="69B85878"/>
    <w:rsid w:val="69F37F94"/>
    <w:rsid w:val="6A107E44"/>
    <w:rsid w:val="6A12254A"/>
    <w:rsid w:val="6A7B2288"/>
    <w:rsid w:val="6A9B2674"/>
    <w:rsid w:val="6ABC136F"/>
    <w:rsid w:val="6C4B29D3"/>
    <w:rsid w:val="6C4C513B"/>
    <w:rsid w:val="6CD40841"/>
    <w:rsid w:val="6CD45632"/>
    <w:rsid w:val="6CFA128D"/>
    <w:rsid w:val="6D5270DA"/>
    <w:rsid w:val="6DE74955"/>
    <w:rsid w:val="6E896A06"/>
    <w:rsid w:val="6F0C2F29"/>
    <w:rsid w:val="6F255735"/>
    <w:rsid w:val="6F2F1DA8"/>
    <w:rsid w:val="6F367C34"/>
    <w:rsid w:val="6FA7622A"/>
    <w:rsid w:val="6FF43359"/>
    <w:rsid w:val="701A2DBF"/>
    <w:rsid w:val="701B08E6"/>
    <w:rsid w:val="702C3243"/>
    <w:rsid w:val="70785D38"/>
    <w:rsid w:val="70981814"/>
    <w:rsid w:val="709F1517"/>
    <w:rsid w:val="70B64A94"/>
    <w:rsid w:val="71015D2D"/>
    <w:rsid w:val="717D653A"/>
    <w:rsid w:val="717F6080"/>
    <w:rsid w:val="723759C7"/>
    <w:rsid w:val="72587BCF"/>
    <w:rsid w:val="72A2416E"/>
    <w:rsid w:val="72A66B8C"/>
    <w:rsid w:val="72BE7EE1"/>
    <w:rsid w:val="72DC25D7"/>
    <w:rsid w:val="733C129F"/>
    <w:rsid w:val="73A155A6"/>
    <w:rsid w:val="73D439C3"/>
    <w:rsid w:val="73E831D5"/>
    <w:rsid w:val="746F4124"/>
    <w:rsid w:val="75504B8E"/>
    <w:rsid w:val="758B3E18"/>
    <w:rsid w:val="763444AF"/>
    <w:rsid w:val="76391AC6"/>
    <w:rsid w:val="7682521B"/>
    <w:rsid w:val="775E6FEA"/>
    <w:rsid w:val="777A4144"/>
    <w:rsid w:val="79507852"/>
    <w:rsid w:val="795A0E6B"/>
    <w:rsid w:val="79733540"/>
    <w:rsid w:val="79FD0B98"/>
    <w:rsid w:val="7A48677B"/>
    <w:rsid w:val="7A4E3666"/>
    <w:rsid w:val="7A560E98"/>
    <w:rsid w:val="7A584103"/>
    <w:rsid w:val="7AC440FD"/>
    <w:rsid w:val="7B604371"/>
    <w:rsid w:val="7CE02C9B"/>
    <w:rsid w:val="7CEA58C8"/>
    <w:rsid w:val="7D4C540E"/>
    <w:rsid w:val="7DFC22A6"/>
    <w:rsid w:val="7E9E2E0E"/>
    <w:rsid w:val="7F6000C3"/>
    <w:rsid w:val="7F780C1C"/>
    <w:rsid w:val="7FF6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5"/>
    <w:qFormat/>
    <w:uiPriority w:val="0"/>
    <w:pPr>
      <w:keepNext/>
      <w:keepLines/>
      <w:spacing w:line="576" w:lineRule="auto"/>
      <w:jc w:val="center"/>
      <w:outlineLvl w:val="0"/>
    </w:pPr>
    <w:rPr>
      <w:rFonts w:ascii="宋体" w:hAnsi="宋体"/>
      <w:b/>
      <w:kern w:val="44"/>
      <w:sz w:val="44"/>
      <w:szCs w:val="20"/>
    </w:rPr>
  </w:style>
  <w:style w:type="paragraph" w:styleId="3">
    <w:name w:val="heading 2"/>
    <w:basedOn w:val="1"/>
    <w:next w:val="1"/>
    <w:link w:val="36"/>
    <w:qFormat/>
    <w:uiPriority w:val="0"/>
    <w:pPr>
      <w:keepNext/>
      <w:keepLines/>
      <w:spacing w:line="412" w:lineRule="auto"/>
      <w:jc w:val="center"/>
      <w:outlineLvl w:val="1"/>
    </w:pPr>
    <w:rPr>
      <w:rFonts w:ascii="Arial" w:hAnsi="Arial"/>
      <w:b/>
      <w:sz w:val="24"/>
      <w:szCs w:val="20"/>
    </w:rPr>
  </w:style>
  <w:style w:type="paragraph" w:styleId="4">
    <w:name w:val="heading 3"/>
    <w:basedOn w:val="1"/>
    <w:next w:val="1"/>
    <w:link w:val="37"/>
    <w:qFormat/>
    <w:uiPriority w:val="0"/>
    <w:pPr>
      <w:keepNext/>
      <w:keepLines/>
      <w:spacing w:line="360" w:lineRule="auto"/>
      <w:jc w:val="left"/>
      <w:outlineLvl w:val="2"/>
    </w:pPr>
    <w:rPr>
      <w:rFonts w:ascii="宋体" w:hAnsi="宋体"/>
      <w:b/>
      <w:sz w:val="28"/>
      <w:szCs w:val="28"/>
    </w:rPr>
  </w:style>
  <w:style w:type="paragraph" w:styleId="5">
    <w:name w:val="heading 4"/>
    <w:basedOn w:val="1"/>
    <w:next w:val="1"/>
    <w:link w:val="38"/>
    <w:qFormat/>
    <w:uiPriority w:val="0"/>
    <w:pPr>
      <w:keepNext/>
      <w:keepLines/>
      <w:jc w:val="center"/>
      <w:outlineLvl w:val="3"/>
    </w:pPr>
    <w:rPr>
      <w:rFonts w:ascii="Cambria" w:hAnsi="Cambria"/>
      <w:b/>
      <w:bCs/>
      <w:sz w:val="28"/>
      <w:szCs w:val="28"/>
    </w:rPr>
  </w:style>
  <w:style w:type="paragraph" w:styleId="6">
    <w:name w:val="heading 5"/>
    <w:basedOn w:val="1"/>
    <w:next w:val="1"/>
    <w:link w:val="39"/>
    <w:qFormat/>
    <w:uiPriority w:val="0"/>
    <w:pPr>
      <w:keepNext/>
      <w:keepLines/>
      <w:spacing w:line="376" w:lineRule="auto"/>
      <w:outlineLvl w:val="4"/>
    </w:pPr>
    <w:rPr>
      <w:b/>
      <w:bCs/>
      <w:sz w:val="24"/>
      <w:szCs w:val="24"/>
    </w:rPr>
  </w:style>
  <w:style w:type="paragraph" w:styleId="7">
    <w:name w:val="heading 7"/>
    <w:basedOn w:val="1"/>
    <w:next w:val="8"/>
    <w:link w:val="40"/>
    <w:qFormat/>
    <w:uiPriority w:val="0"/>
    <w:pPr>
      <w:keepNext/>
      <w:keepLines/>
      <w:spacing w:before="240" w:after="64" w:line="320" w:lineRule="auto"/>
      <w:outlineLvl w:val="6"/>
    </w:pPr>
    <w:rPr>
      <w:b/>
      <w:kern w:val="0"/>
      <w:sz w:val="24"/>
      <w:szCs w:val="20"/>
    </w:rPr>
  </w:style>
  <w:style w:type="character" w:default="1" w:styleId="30">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0"/>
    <w:pPr>
      <w:ind w:firstLine="420"/>
    </w:pPr>
    <w:rPr>
      <w:rFonts w:ascii="Calibri" w:hAnsi="Calibri"/>
    </w:rPr>
  </w:style>
  <w:style w:type="paragraph" w:styleId="9">
    <w:name w:val="Document Map"/>
    <w:basedOn w:val="1"/>
    <w:link w:val="43"/>
    <w:qFormat/>
    <w:uiPriority w:val="0"/>
    <w:rPr>
      <w:rFonts w:ascii="宋体" w:hAnsi="Calibri"/>
      <w:sz w:val="18"/>
      <w:szCs w:val="18"/>
    </w:rPr>
  </w:style>
  <w:style w:type="paragraph" w:styleId="10">
    <w:name w:val="annotation text"/>
    <w:basedOn w:val="1"/>
    <w:link w:val="44"/>
    <w:qFormat/>
    <w:uiPriority w:val="0"/>
    <w:pPr>
      <w:jc w:val="left"/>
    </w:pPr>
    <w:rPr>
      <w:rFonts w:ascii="Calibri" w:hAnsi="Calibri"/>
    </w:rPr>
  </w:style>
  <w:style w:type="paragraph" w:styleId="11">
    <w:name w:val="Body Text 3"/>
    <w:basedOn w:val="1"/>
    <w:link w:val="45"/>
    <w:qFormat/>
    <w:uiPriority w:val="0"/>
    <w:rPr>
      <w:rFonts w:ascii="宋体" w:hAnsi="Calibri"/>
      <w:sz w:val="24"/>
    </w:rPr>
  </w:style>
  <w:style w:type="paragraph" w:styleId="12">
    <w:name w:val="Body Text"/>
    <w:basedOn w:val="1"/>
    <w:link w:val="46"/>
    <w:qFormat/>
    <w:uiPriority w:val="0"/>
    <w:rPr>
      <w:szCs w:val="20"/>
    </w:rPr>
  </w:style>
  <w:style w:type="paragraph" w:styleId="13">
    <w:name w:val="Body Text Indent"/>
    <w:basedOn w:val="1"/>
    <w:next w:val="14"/>
    <w:link w:val="47"/>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4">
    <w:name w:val="envelope return"/>
    <w:basedOn w:val="1"/>
    <w:qFormat/>
    <w:uiPriority w:val="0"/>
    <w:pPr>
      <w:snapToGrid w:val="0"/>
    </w:pPr>
    <w:rPr>
      <w:rFonts w:ascii="Arial" w:hAnsi="Arial" w:cs="Arial"/>
    </w:rPr>
  </w:style>
  <w:style w:type="paragraph" w:styleId="15">
    <w:name w:val="toc 3"/>
    <w:basedOn w:val="1"/>
    <w:next w:val="1"/>
    <w:qFormat/>
    <w:uiPriority w:val="39"/>
    <w:pPr>
      <w:ind w:left="840" w:leftChars="400"/>
    </w:pPr>
    <w:rPr>
      <w:rFonts w:ascii="Calibri" w:hAnsi="Calibri"/>
    </w:rPr>
  </w:style>
  <w:style w:type="paragraph" w:styleId="16">
    <w:name w:val="Plain Text"/>
    <w:basedOn w:val="1"/>
    <w:next w:val="1"/>
    <w:link w:val="48"/>
    <w:qFormat/>
    <w:uiPriority w:val="0"/>
    <w:rPr>
      <w:rFonts w:ascii="宋体" w:hAnsi="Calibri"/>
      <w:sz w:val="22"/>
    </w:rPr>
  </w:style>
  <w:style w:type="paragraph" w:styleId="17">
    <w:name w:val="Date"/>
    <w:basedOn w:val="1"/>
    <w:next w:val="1"/>
    <w:link w:val="49"/>
    <w:qFormat/>
    <w:uiPriority w:val="0"/>
    <w:pPr>
      <w:ind w:left="100" w:leftChars="2500"/>
    </w:pPr>
    <w:rPr>
      <w:rFonts w:ascii="Calibri" w:hAnsi="Calibri"/>
    </w:rPr>
  </w:style>
  <w:style w:type="paragraph" w:styleId="18">
    <w:name w:val="Body Text Indent 2"/>
    <w:basedOn w:val="1"/>
    <w:link w:val="50"/>
    <w:qFormat/>
    <w:uiPriority w:val="0"/>
    <w:pPr>
      <w:spacing w:line="480" w:lineRule="auto"/>
      <w:ind w:left="420" w:leftChars="200"/>
    </w:pPr>
    <w:rPr>
      <w:szCs w:val="24"/>
    </w:rPr>
  </w:style>
  <w:style w:type="paragraph" w:styleId="19">
    <w:name w:val="Balloon Text"/>
    <w:basedOn w:val="1"/>
    <w:link w:val="51"/>
    <w:qFormat/>
    <w:uiPriority w:val="0"/>
    <w:rPr>
      <w:rFonts w:ascii="Calibri" w:hAnsi="Calibri"/>
      <w:sz w:val="18"/>
      <w:szCs w:val="18"/>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Calibri" w:hAnsi="Calibri"/>
    </w:rPr>
  </w:style>
  <w:style w:type="paragraph" w:styleId="23">
    <w:name w:val="toc 2"/>
    <w:basedOn w:val="1"/>
    <w:next w:val="1"/>
    <w:qFormat/>
    <w:uiPriority w:val="39"/>
    <w:pPr>
      <w:ind w:left="420" w:leftChars="200"/>
    </w:pPr>
    <w:rPr>
      <w:rFonts w:ascii="Calibri" w:hAnsi="Calibri"/>
    </w:rPr>
  </w:style>
  <w:style w:type="paragraph" w:styleId="24">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25">
    <w:name w:val="Title"/>
    <w:basedOn w:val="1"/>
    <w:next w:val="1"/>
    <w:qFormat/>
    <w:uiPriority w:val="10"/>
    <w:pPr>
      <w:spacing w:before="240" w:after="60"/>
      <w:jc w:val="center"/>
      <w:outlineLvl w:val="0"/>
    </w:pPr>
    <w:rPr>
      <w:rFonts w:ascii="Cambria" w:hAnsi="Cambria"/>
      <w:b/>
      <w:bCs/>
      <w:sz w:val="32"/>
      <w:szCs w:val="32"/>
    </w:rPr>
  </w:style>
  <w:style w:type="paragraph" w:styleId="26">
    <w:name w:val="annotation subject"/>
    <w:basedOn w:val="10"/>
    <w:next w:val="10"/>
    <w:link w:val="52"/>
    <w:qFormat/>
    <w:uiPriority w:val="0"/>
    <w:rPr>
      <w:b/>
      <w:bCs/>
    </w:rPr>
  </w:style>
  <w:style w:type="paragraph" w:styleId="27">
    <w:name w:val="Body Text First Indent"/>
    <w:basedOn w:val="12"/>
    <w:link w:val="53"/>
    <w:qFormat/>
    <w:uiPriority w:val="0"/>
    <w:pPr>
      <w:spacing w:line="312" w:lineRule="auto"/>
      <w:ind w:firstLine="420"/>
    </w:pPr>
    <w:rPr>
      <w:rFonts w:ascii="Calibri" w:hAnsi="Calibri"/>
      <w:szCs w:val="24"/>
    </w:rPr>
  </w:style>
  <w:style w:type="paragraph" w:styleId="28">
    <w:name w:val="Body Text First Indent 2"/>
    <w:basedOn w:val="1"/>
    <w:link w:val="54"/>
    <w:qFormat/>
    <w:uiPriority w:val="0"/>
    <w:pPr>
      <w:spacing w:after="120"/>
      <w:ind w:left="420" w:leftChars="200" w:firstLine="420" w:firstLineChars="200"/>
    </w:pPr>
  </w:style>
  <w:style w:type="character" w:styleId="31">
    <w:name w:val="page number"/>
    <w:qFormat/>
    <w:uiPriority w:val="0"/>
    <w:rPr>
      <w:rFonts w:ascii="Calibri" w:hAnsi="Calibri" w:eastAsia="宋体" w:cs="Times New Roman"/>
    </w:rPr>
  </w:style>
  <w:style w:type="character" w:styleId="32">
    <w:name w:val="FollowedHyperlink"/>
    <w:qFormat/>
    <w:uiPriority w:val="0"/>
    <w:rPr>
      <w:rFonts w:ascii="Times New Roman" w:hAnsi="Times New Roman" w:eastAsia="楷体_GB2312" w:cs="Times New Roman"/>
      <w:color w:val="000000"/>
      <w:u w:val="none"/>
    </w:rPr>
  </w:style>
  <w:style w:type="character" w:styleId="33">
    <w:name w:val="Hyperlink"/>
    <w:qFormat/>
    <w:uiPriority w:val="99"/>
    <w:rPr>
      <w:rFonts w:ascii="Calibri" w:hAnsi="Calibri" w:eastAsia="宋体" w:cs="Times New Roman"/>
      <w:color w:val="0000FF"/>
      <w:u w:val="single"/>
    </w:rPr>
  </w:style>
  <w:style w:type="character" w:styleId="34">
    <w:name w:val="annotation reference"/>
    <w:qFormat/>
    <w:uiPriority w:val="0"/>
    <w:rPr>
      <w:rFonts w:ascii="Calibri" w:hAnsi="Calibri" w:eastAsia="宋体" w:cs="Times New Roman"/>
      <w:sz w:val="21"/>
      <w:szCs w:val="21"/>
    </w:rPr>
  </w:style>
  <w:style w:type="character" w:customStyle="1" w:styleId="35">
    <w:name w:val="标题 1 字符"/>
    <w:basedOn w:val="30"/>
    <w:link w:val="2"/>
    <w:qFormat/>
    <w:uiPriority w:val="0"/>
    <w:rPr>
      <w:rFonts w:ascii="宋体" w:hAnsi="宋体" w:eastAsia="宋体" w:cs="Times New Roman"/>
      <w:b/>
      <w:kern w:val="44"/>
      <w:sz w:val="44"/>
      <w:szCs w:val="20"/>
    </w:rPr>
  </w:style>
  <w:style w:type="character" w:customStyle="1" w:styleId="36">
    <w:name w:val="标题 2 字符"/>
    <w:basedOn w:val="30"/>
    <w:link w:val="3"/>
    <w:qFormat/>
    <w:uiPriority w:val="0"/>
    <w:rPr>
      <w:rFonts w:ascii="Arial" w:hAnsi="Arial" w:eastAsia="宋体" w:cs="Times New Roman"/>
      <w:b/>
      <w:sz w:val="24"/>
      <w:szCs w:val="20"/>
    </w:rPr>
  </w:style>
  <w:style w:type="character" w:customStyle="1" w:styleId="37">
    <w:name w:val="标题 3 字符"/>
    <w:basedOn w:val="30"/>
    <w:link w:val="4"/>
    <w:qFormat/>
    <w:uiPriority w:val="0"/>
    <w:rPr>
      <w:rFonts w:ascii="宋体" w:hAnsi="宋体" w:eastAsia="宋体" w:cs="Times New Roman"/>
      <w:b/>
      <w:sz w:val="28"/>
      <w:szCs w:val="28"/>
    </w:rPr>
  </w:style>
  <w:style w:type="character" w:customStyle="1" w:styleId="38">
    <w:name w:val="标题 4 字符"/>
    <w:basedOn w:val="30"/>
    <w:link w:val="5"/>
    <w:qFormat/>
    <w:uiPriority w:val="0"/>
    <w:rPr>
      <w:rFonts w:ascii="Cambria" w:hAnsi="Cambria" w:eastAsia="宋体" w:cs="Times New Roman"/>
      <w:b/>
      <w:bCs/>
      <w:sz w:val="28"/>
      <w:szCs w:val="28"/>
    </w:rPr>
  </w:style>
  <w:style w:type="character" w:customStyle="1" w:styleId="39">
    <w:name w:val="标题 5 字符"/>
    <w:basedOn w:val="30"/>
    <w:link w:val="6"/>
    <w:qFormat/>
    <w:uiPriority w:val="0"/>
    <w:rPr>
      <w:rFonts w:ascii="Times New Roman" w:hAnsi="Times New Roman" w:eastAsia="宋体" w:cs="Times New Roman"/>
      <w:b/>
      <w:bCs/>
      <w:sz w:val="24"/>
      <w:szCs w:val="24"/>
    </w:rPr>
  </w:style>
  <w:style w:type="character" w:customStyle="1" w:styleId="40">
    <w:name w:val="标题 7 字符"/>
    <w:basedOn w:val="30"/>
    <w:link w:val="7"/>
    <w:qFormat/>
    <w:uiPriority w:val="0"/>
    <w:rPr>
      <w:rFonts w:ascii="Times New Roman" w:hAnsi="Times New Roman" w:eastAsia="宋体" w:cs="Times New Roman"/>
      <w:b/>
      <w:kern w:val="0"/>
      <w:sz w:val="24"/>
      <w:szCs w:val="20"/>
    </w:rPr>
  </w:style>
  <w:style w:type="character" w:customStyle="1" w:styleId="41">
    <w:name w:val="页眉 字符"/>
    <w:basedOn w:val="30"/>
    <w:link w:val="21"/>
    <w:qFormat/>
    <w:uiPriority w:val="0"/>
    <w:rPr>
      <w:rFonts w:ascii="Times New Roman" w:hAnsi="Times New Roman" w:eastAsia="宋体" w:cs="Times New Roman"/>
      <w:sz w:val="18"/>
      <w:szCs w:val="18"/>
    </w:rPr>
  </w:style>
  <w:style w:type="character" w:customStyle="1" w:styleId="42">
    <w:name w:val="页脚 字符"/>
    <w:basedOn w:val="30"/>
    <w:link w:val="20"/>
    <w:qFormat/>
    <w:uiPriority w:val="99"/>
    <w:rPr>
      <w:rFonts w:ascii="Times New Roman" w:hAnsi="Times New Roman" w:eastAsia="宋体" w:cs="Times New Roman"/>
      <w:sz w:val="18"/>
      <w:szCs w:val="18"/>
    </w:rPr>
  </w:style>
  <w:style w:type="character" w:customStyle="1" w:styleId="43">
    <w:name w:val="文档结构图 字符"/>
    <w:basedOn w:val="30"/>
    <w:link w:val="9"/>
    <w:qFormat/>
    <w:uiPriority w:val="0"/>
    <w:rPr>
      <w:rFonts w:ascii="宋体" w:hAnsi="Calibri" w:eastAsia="宋体" w:cs="Times New Roman"/>
      <w:sz w:val="18"/>
      <w:szCs w:val="18"/>
    </w:rPr>
  </w:style>
  <w:style w:type="character" w:customStyle="1" w:styleId="44">
    <w:name w:val="批注文字 字符"/>
    <w:basedOn w:val="30"/>
    <w:link w:val="10"/>
    <w:qFormat/>
    <w:uiPriority w:val="0"/>
    <w:rPr>
      <w:rFonts w:ascii="Calibri" w:hAnsi="Calibri" w:eastAsia="宋体" w:cs="Times New Roman"/>
    </w:rPr>
  </w:style>
  <w:style w:type="character" w:customStyle="1" w:styleId="45">
    <w:name w:val="正文文本 3 字符"/>
    <w:basedOn w:val="30"/>
    <w:link w:val="11"/>
    <w:qFormat/>
    <w:uiPriority w:val="0"/>
    <w:rPr>
      <w:rFonts w:ascii="宋体" w:hAnsi="Calibri" w:eastAsia="宋体" w:cs="Times New Roman"/>
      <w:sz w:val="24"/>
    </w:rPr>
  </w:style>
  <w:style w:type="character" w:customStyle="1" w:styleId="46">
    <w:name w:val="正文文本 字符"/>
    <w:basedOn w:val="30"/>
    <w:link w:val="12"/>
    <w:qFormat/>
    <w:uiPriority w:val="0"/>
    <w:rPr>
      <w:rFonts w:ascii="Times New Roman" w:hAnsi="Times New Roman" w:eastAsia="宋体" w:cs="Times New Roman"/>
      <w:szCs w:val="20"/>
    </w:rPr>
  </w:style>
  <w:style w:type="character" w:customStyle="1" w:styleId="47">
    <w:name w:val="正文文本缩进 字符"/>
    <w:basedOn w:val="30"/>
    <w:link w:val="13"/>
    <w:qFormat/>
    <w:uiPriority w:val="0"/>
    <w:rPr>
      <w:rFonts w:ascii="宋体" w:hAnsi="宋体" w:eastAsia="宋体" w:cs="Times New Roman"/>
      <w:color w:val="000000"/>
      <w:kern w:val="0"/>
      <w:sz w:val="20"/>
      <w:szCs w:val="24"/>
    </w:rPr>
  </w:style>
  <w:style w:type="character" w:customStyle="1" w:styleId="48">
    <w:name w:val="纯文本 字符"/>
    <w:basedOn w:val="30"/>
    <w:link w:val="16"/>
    <w:qFormat/>
    <w:uiPriority w:val="0"/>
    <w:rPr>
      <w:rFonts w:ascii="宋体" w:hAnsi="Calibri" w:eastAsia="宋体" w:cs="Times New Roman"/>
      <w:sz w:val="22"/>
    </w:rPr>
  </w:style>
  <w:style w:type="character" w:customStyle="1" w:styleId="49">
    <w:name w:val="日期 字符"/>
    <w:basedOn w:val="30"/>
    <w:link w:val="17"/>
    <w:qFormat/>
    <w:uiPriority w:val="0"/>
    <w:rPr>
      <w:rFonts w:ascii="Calibri" w:hAnsi="Calibri" w:eastAsia="宋体" w:cs="Times New Roman"/>
    </w:rPr>
  </w:style>
  <w:style w:type="character" w:customStyle="1" w:styleId="50">
    <w:name w:val="正文文本缩进 2 字符"/>
    <w:basedOn w:val="30"/>
    <w:link w:val="18"/>
    <w:qFormat/>
    <w:uiPriority w:val="0"/>
    <w:rPr>
      <w:rFonts w:ascii="Times New Roman" w:hAnsi="Times New Roman" w:eastAsia="宋体" w:cs="Times New Roman"/>
      <w:szCs w:val="24"/>
    </w:rPr>
  </w:style>
  <w:style w:type="character" w:customStyle="1" w:styleId="51">
    <w:name w:val="批注框文本 字符"/>
    <w:basedOn w:val="30"/>
    <w:link w:val="19"/>
    <w:qFormat/>
    <w:uiPriority w:val="0"/>
    <w:rPr>
      <w:rFonts w:ascii="Calibri" w:hAnsi="Calibri" w:eastAsia="宋体" w:cs="Times New Roman"/>
      <w:sz w:val="18"/>
      <w:szCs w:val="18"/>
    </w:rPr>
  </w:style>
  <w:style w:type="character" w:customStyle="1" w:styleId="52">
    <w:name w:val="批注主题 字符"/>
    <w:basedOn w:val="44"/>
    <w:link w:val="26"/>
    <w:qFormat/>
    <w:uiPriority w:val="0"/>
    <w:rPr>
      <w:rFonts w:ascii="Calibri" w:hAnsi="Calibri" w:eastAsia="宋体" w:cs="Times New Roman"/>
      <w:b/>
      <w:bCs/>
    </w:rPr>
  </w:style>
  <w:style w:type="character" w:customStyle="1" w:styleId="53">
    <w:name w:val="正文文本首行缩进 字符"/>
    <w:basedOn w:val="46"/>
    <w:link w:val="27"/>
    <w:qFormat/>
    <w:uiPriority w:val="0"/>
    <w:rPr>
      <w:rFonts w:ascii="Calibri" w:hAnsi="Calibri" w:eastAsia="宋体" w:cs="Times New Roman"/>
      <w:szCs w:val="24"/>
    </w:rPr>
  </w:style>
  <w:style w:type="character" w:customStyle="1" w:styleId="54">
    <w:name w:val="正文文本首行缩进 2 字符"/>
    <w:basedOn w:val="47"/>
    <w:link w:val="28"/>
    <w:qFormat/>
    <w:uiPriority w:val="0"/>
    <w:rPr>
      <w:rFonts w:ascii="Times New Roman" w:hAnsi="Times New Roman" w:eastAsia="宋体" w:cs="Times New Roman"/>
      <w:color w:val="000000"/>
      <w:kern w:val="0"/>
      <w:sz w:val="20"/>
      <w:szCs w:val="24"/>
    </w:rPr>
  </w:style>
  <w:style w:type="character" w:customStyle="1" w:styleId="55">
    <w:name w:val="datagrid-sort-icon3"/>
    <w:basedOn w:val="30"/>
    <w:qFormat/>
    <w:uiPriority w:val="0"/>
    <w:rPr>
      <w:rFonts w:ascii="Calibri" w:hAnsi="Calibri" w:eastAsia="宋体" w:cs="Times New Roman"/>
    </w:rPr>
  </w:style>
  <w:style w:type="paragraph" w:customStyle="1" w:styleId="56">
    <w:name w:val="_Style 3"/>
    <w:basedOn w:val="1"/>
    <w:qFormat/>
    <w:uiPriority w:val="0"/>
    <w:pPr>
      <w:spacing w:line="360" w:lineRule="auto"/>
      <w:jc w:val="center"/>
    </w:pPr>
    <w:rPr>
      <w:szCs w:val="20"/>
    </w:rPr>
  </w:style>
  <w:style w:type="paragraph" w:customStyle="1" w:styleId="57">
    <w:name w:val="列出段落1"/>
    <w:basedOn w:val="1"/>
    <w:qFormat/>
    <w:uiPriority w:val="0"/>
    <w:pPr>
      <w:ind w:firstLine="420" w:firstLineChars="200"/>
    </w:pPr>
    <w:rPr>
      <w:szCs w:val="24"/>
    </w:rPr>
  </w:style>
  <w:style w:type="paragraph" w:customStyle="1" w:styleId="58">
    <w:name w:val="列表段落1"/>
    <w:basedOn w:val="1"/>
    <w:qFormat/>
    <w:uiPriority w:val="0"/>
    <w:pPr>
      <w:ind w:firstLine="420" w:firstLineChars="200"/>
    </w:pPr>
    <w:rPr>
      <w:szCs w:val="24"/>
    </w:rPr>
  </w:style>
  <w:style w:type="paragraph" w:customStyle="1" w:styleId="5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修订1"/>
    <w:qFormat/>
    <w:uiPriority w:val="0"/>
    <w:rPr>
      <w:rFonts w:ascii="Times New Roman" w:hAnsi="Times New Roman" w:eastAsia="宋体" w:cs="Times New Roman"/>
      <w:kern w:val="2"/>
      <w:sz w:val="21"/>
      <w:szCs w:val="22"/>
      <w:lang w:val="en-US" w:eastAsia="zh-CN" w:bidi="ar-SA"/>
    </w:rPr>
  </w:style>
  <w:style w:type="paragraph" w:customStyle="1" w:styleId="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2">
    <w:name w:val="列出段落2"/>
    <w:basedOn w:val="1"/>
    <w:qFormat/>
    <w:uiPriority w:val="0"/>
    <w:pPr>
      <w:ind w:firstLine="420" w:firstLineChars="200"/>
    </w:pPr>
    <w:rPr>
      <w:szCs w:val="24"/>
    </w:rPr>
  </w:style>
  <w:style w:type="paragraph" w:customStyle="1" w:styleId="63">
    <w:name w:val="文一"/>
    <w:basedOn w:val="1"/>
    <w:qFormat/>
    <w:uiPriority w:val="0"/>
    <w:pPr>
      <w:topLinePunct/>
      <w:ind w:firstLine="200"/>
    </w:pPr>
    <w:rPr>
      <w:rFonts w:eastAsia="Times New Roman"/>
      <w:spacing w:val="4"/>
      <w:sz w:val="24"/>
      <w:szCs w:val="24"/>
    </w:rPr>
  </w:style>
  <w:style w:type="paragraph" w:customStyle="1" w:styleId="64">
    <w:name w:val="列表段落2"/>
    <w:basedOn w:val="1"/>
    <w:qFormat/>
    <w:uiPriority w:val="0"/>
    <w:pPr>
      <w:ind w:firstLine="420" w:firstLineChars="200"/>
    </w:pPr>
    <w:rPr>
      <w:szCs w:val="24"/>
    </w:rPr>
  </w:style>
  <w:style w:type="paragraph" w:customStyle="1" w:styleId="65">
    <w:name w:val="p0"/>
    <w:basedOn w:val="1"/>
    <w:qFormat/>
    <w:uiPriority w:val="0"/>
    <w:pPr>
      <w:widowControl/>
    </w:pPr>
    <w:rPr>
      <w:kern w:val="0"/>
      <w:szCs w:val="21"/>
    </w:rPr>
  </w:style>
  <w:style w:type="paragraph" w:customStyle="1" w:styleId="66">
    <w:name w:val="正文缩进1"/>
    <w:basedOn w:val="1"/>
    <w:qFormat/>
    <w:uiPriority w:val="0"/>
    <w:pPr>
      <w:ind w:firstLine="420" w:firstLineChars="200"/>
    </w:pPr>
  </w:style>
  <w:style w:type="paragraph" w:styleId="67">
    <w:name w:val="List Paragraph"/>
    <w:basedOn w:val="1"/>
    <w:qFormat/>
    <w:uiPriority w:val="34"/>
    <w:pPr>
      <w:ind w:firstLine="420" w:firstLineChars="200"/>
    </w:pPr>
    <w:rPr>
      <w:szCs w:val="24"/>
    </w:rPr>
  </w:style>
  <w:style w:type="character" w:customStyle="1" w:styleId="68">
    <w:name w:val="font71"/>
    <w:qFormat/>
    <w:uiPriority w:val="0"/>
    <w:rPr>
      <w:rFonts w:hint="eastAsia" w:ascii="宋体" w:hAnsi="宋体" w:eastAsia="宋体" w:cs="宋体"/>
      <w:color w:val="000000"/>
      <w:sz w:val="20"/>
      <w:szCs w:val="20"/>
      <w:u w:val="none"/>
    </w:rPr>
  </w:style>
  <w:style w:type="paragraph" w:customStyle="1" w:styleId="69">
    <w:name w:val="Table Paragraph"/>
    <w:basedOn w:val="1"/>
    <w:qFormat/>
    <w:uiPriority w:val="1"/>
  </w:style>
  <w:style w:type="character" w:customStyle="1" w:styleId="70">
    <w:name w:val="Unresolved Mention"/>
    <w:basedOn w:val="30"/>
    <w:semiHidden/>
    <w:unhideWhenUsed/>
    <w:qFormat/>
    <w:uiPriority w:val="99"/>
    <w:rPr>
      <w:color w:val="605E5C"/>
      <w:shd w:val="clear" w:color="auto" w:fill="E1DFDD"/>
    </w:rPr>
  </w:style>
  <w:style w:type="paragraph" w:customStyle="1" w:styleId="71">
    <w:name w:val="正题"/>
    <w:basedOn w:val="63"/>
    <w:next w:val="63"/>
    <w:qFormat/>
    <w:uiPriority w:val="0"/>
    <w:pPr>
      <w:ind w:firstLine="0" w:firstLineChars="0"/>
      <w:jc w:val="center"/>
    </w:pPr>
    <w:rPr>
      <w:rFonts w:eastAsia="黑体"/>
      <w:b/>
      <w:sz w:val="36"/>
      <w:szCs w:val="36"/>
    </w:rPr>
  </w:style>
  <w:style w:type="paragraph" w:customStyle="1" w:styleId="72">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11578</Words>
  <Characters>12455</Characters>
  <Lines>1561</Lines>
  <Paragraphs>1348</Paragraphs>
  <TotalTime>11</TotalTime>
  <ScaleCrop>false</ScaleCrop>
  <LinksUpToDate>false</LinksUpToDate>
  <CharactersWithSpaces>12603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2025-04-21T02:57:00Z</dcterms:created>
  <dc:creator>GHJL</dc:creator>
  <cp:lastModifiedBy>招标代理</cp:lastModifiedBy>
  <cp:lastPrinted>2023-09-04T07:17:00Z</cp:lastPrinted>
  <dcterms:modified xsi:type="dcterms:W3CDTF">2025-06-16T01:50:40Z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E13F73F714FB4833A1FF8D256FCF895E_13</vt:lpwstr>
  </property>
  <property fmtid="{D5CDD505-2E9C-101B-9397-08002B2CF9AE}" pid="4" name="KSOTemplateDocerSaveRecord">
    <vt:lpwstr>eyJoZGlkIjoiNDA5YTE4OWE0ODhhZTc0MDliNmNmNDZjODMyOWQyYzMiLCJ1c2VySWQiOiIxNzg3NjIyMyJ9</vt:lpwstr>
  </property>
</Properties>
</file>