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4C554">
      <w:pPr>
        <w:spacing w:line="400" w:lineRule="exact"/>
        <w:jc w:val="center"/>
        <w:rPr>
          <w:rFonts w:ascii="宋体" w:hAnsi="宋体" w:eastAsia="宋体"/>
          <w:highlight w:val="none"/>
        </w:rPr>
      </w:pPr>
      <w:bookmarkStart w:id="192" w:name="_GoBack"/>
    </w:p>
    <w:p w14:paraId="6C11559C">
      <w:pPr>
        <w:spacing w:line="400" w:lineRule="exact"/>
        <w:jc w:val="center"/>
        <w:rPr>
          <w:rFonts w:ascii="宋体" w:hAnsi="宋体" w:eastAsia="宋体"/>
          <w:highlight w:val="none"/>
        </w:rPr>
      </w:pPr>
    </w:p>
    <w:p w14:paraId="06DA67A3">
      <w:pPr>
        <w:spacing w:line="400" w:lineRule="exact"/>
        <w:jc w:val="center"/>
        <w:rPr>
          <w:rFonts w:ascii="宋体" w:hAnsi="宋体" w:eastAsia="宋体"/>
          <w:highlight w:val="none"/>
        </w:rPr>
      </w:pPr>
    </w:p>
    <w:p w14:paraId="03EB6CDB">
      <w:pPr>
        <w:spacing w:line="360" w:lineRule="auto"/>
        <w:jc w:val="center"/>
        <w:rPr>
          <w:rFonts w:hint="eastAsia" w:ascii="宋体" w:hAnsi="宋体" w:eastAsia="宋体"/>
          <w:b/>
          <w:sz w:val="48"/>
          <w:szCs w:val="44"/>
          <w:highlight w:val="none"/>
          <w:lang w:eastAsia="zh-CN"/>
        </w:rPr>
      </w:pPr>
      <w:r>
        <w:rPr>
          <w:rFonts w:hint="eastAsia" w:ascii="宋体" w:hAnsi="宋体" w:eastAsia="宋体"/>
          <w:b/>
          <w:sz w:val="48"/>
          <w:szCs w:val="44"/>
          <w:highlight w:val="none"/>
          <w:lang w:eastAsia="zh-CN"/>
        </w:rPr>
        <w:t>中国大酒店部分客用电梯及相关配套更新</w:t>
      </w:r>
    </w:p>
    <w:p w14:paraId="7FBC53DB">
      <w:pPr>
        <w:spacing w:line="360" w:lineRule="auto"/>
        <w:jc w:val="left"/>
        <w:rPr>
          <w:rFonts w:ascii="宋体" w:hAnsi="宋体" w:eastAsia="宋体"/>
          <w:highlight w:val="none"/>
        </w:rPr>
      </w:pPr>
    </w:p>
    <w:p w14:paraId="2E5E6410">
      <w:pPr>
        <w:spacing w:line="360" w:lineRule="auto"/>
        <w:jc w:val="left"/>
        <w:rPr>
          <w:rFonts w:ascii="宋体" w:hAnsi="宋体" w:eastAsia="宋体"/>
          <w:highlight w:val="none"/>
        </w:rPr>
      </w:pPr>
    </w:p>
    <w:p w14:paraId="797E9BF5">
      <w:pPr>
        <w:spacing w:line="360" w:lineRule="auto"/>
        <w:jc w:val="center"/>
        <w:rPr>
          <w:rFonts w:ascii="宋体" w:hAnsi="宋体" w:eastAsia="宋体"/>
          <w:b/>
          <w:sz w:val="52"/>
          <w:szCs w:val="52"/>
          <w:highlight w:val="none"/>
        </w:rPr>
      </w:pPr>
    </w:p>
    <w:p w14:paraId="3ECF1916">
      <w:pPr>
        <w:spacing w:line="360" w:lineRule="auto"/>
        <w:jc w:val="center"/>
        <w:rPr>
          <w:rFonts w:ascii="宋体" w:hAnsi="宋体" w:eastAsia="宋体"/>
          <w:b/>
          <w:sz w:val="52"/>
          <w:szCs w:val="52"/>
          <w:highlight w:val="none"/>
        </w:rPr>
      </w:pPr>
      <w:r>
        <w:rPr>
          <w:rFonts w:hint="eastAsia" w:ascii="宋体" w:hAnsi="宋体" w:eastAsia="宋体"/>
          <w:b/>
          <w:sz w:val="52"/>
          <w:szCs w:val="52"/>
          <w:highlight w:val="none"/>
        </w:rPr>
        <w:t>招标文件</w:t>
      </w:r>
    </w:p>
    <w:p w14:paraId="71435706">
      <w:pPr>
        <w:spacing w:line="360" w:lineRule="auto"/>
        <w:jc w:val="left"/>
        <w:rPr>
          <w:rFonts w:ascii="宋体" w:hAnsi="宋体" w:eastAsia="宋体"/>
          <w:highlight w:val="none"/>
        </w:rPr>
      </w:pPr>
    </w:p>
    <w:p w14:paraId="3B4E5C06">
      <w:pPr>
        <w:spacing w:line="360" w:lineRule="auto"/>
        <w:jc w:val="left"/>
        <w:rPr>
          <w:rFonts w:ascii="宋体" w:hAnsi="宋体" w:eastAsia="宋体"/>
          <w:highlight w:val="none"/>
        </w:rPr>
      </w:pPr>
    </w:p>
    <w:p w14:paraId="77B949E3">
      <w:pPr>
        <w:spacing w:line="360" w:lineRule="auto"/>
        <w:jc w:val="left"/>
        <w:rPr>
          <w:rFonts w:ascii="宋体" w:hAnsi="宋体" w:eastAsia="宋体"/>
          <w:highlight w:val="none"/>
        </w:rPr>
      </w:pPr>
    </w:p>
    <w:p w14:paraId="0A7F9631">
      <w:pPr>
        <w:spacing w:line="360" w:lineRule="auto"/>
        <w:jc w:val="left"/>
        <w:rPr>
          <w:rFonts w:ascii="宋体" w:hAnsi="宋体" w:eastAsia="宋体"/>
          <w:highlight w:val="none"/>
        </w:rPr>
      </w:pPr>
    </w:p>
    <w:p w14:paraId="2E2DCDC8">
      <w:pPr>
        <w:spacing w:line="360" w:lineRule="auto"/>
        <w:jc w:val="left"/>
        <w:rPr>
          <w:rFonts w:ascii="宋体" w:hAnsi="宋体" w:eastAsia="宋体"/>
          <w:highlight w:val="none"/>
        </w:rPr>
      </w:pPr>
    </w:p>
    <w:p w14:paraId="5B59A2E0">
      <w:pPr>
        <w:spacing w:line="360" w:lineRule="auto"/>
        <w:jc w:val="left"/>
        <w:rPr>
          <w:rFonts w:ascii="宋体" w:hAnsi="宋体" w:eastAsia="宋体"/>
          <w:highlight w:val="none"/>
        </w:rPr>
      </w:pPr>
    </w:p>
    <w:p w14:paraId="425C4827">
      <w:pPr>
        <w:spacing w:line="360" w:lineRule="auto"/>
        <w:jc w:val="left"/>
        <w:rPr>
          <w:rFonts w:ascii="宋体" w:hAnsi="宋体" w:eastAsia="宋体"/>
          <w:highlight w:val="none"/>
        </w:rPr>
      </w:pPr>
    </w:p>
    <w:p w14:paraId="3EDE5AE0">
      <w:pPr>
        <w:spacing w:line="360" w:lineRule="auto"/>
        <w:jc w:val="left"/>
        <w:rPr>
          <w:rFonts w:ascii="宋体" w:hAnsi="宋体" w:eastAsia="宋体"/>
          <w:highlight w:val="none"/>
        </w:rPr>
      </w:pPr>
    </w:p>
    <w:p w14:paraId="0381B508">
      <w:pPr>
        <w:spacing w:line="360" w:lineRule="auto"/>
        <w:jc w:val="left"/>
        <w:rPr>
          <w:rFonts w:ascii="宋体" w:hAnsi="宋体" w:eastAsia="宋体"/>
          <w:highlight w:val="none"/>
        </w:rPr>
      </w:pPr>
    </w:p>
    <w:p w14:paraId="1AC5A95F">
      <w:pPr>
        <w:spacing w:line="360" w:lineRule="auto"/>
        <w:jc w:val="left"/>
        <w:rPr>
          <w:rFonts w:ascii="宋体" w:hAnsi="宋体" w:eastAsia="宋体"/>
          <w:highlight w:val="none"/>
        </w:rPr>
      </w:pPr>
    </w:p>
    <w:p w14:paraId="08E1BA04">
      <w:pPr>
        <w:spacing w:line="360" w:lineRule="auto"/>
        <w:jc w:val="left"/>
        <w:rPr>
          <w:rFonts w:ascii="宋体" w:hAnsi="宋体" w:eastAsia="宋体"/>
          <w:highlight w:val="none"/>
        </w:rPr>
      </w:pPr>
    </w:p>
    <w:p w14:paraId="4C8694C7">
      <w:pPr>
        <w:spacing w:line="360" w:lineRule="auto"/>
        <w:jc w:val="left"/>
        <w:rPr>
          <w:rFonts w:ascii="宋体" w:hAnsi="宋体" w:eastAsia="宋体"/>
          <w:highlight w:val="none"/>
        </w:rPr>
      </w:pPr>
    </w:p>
    <w:p w14:paraId="55BDD86C">
      <w:pPr>
        <w:spacing w:line="360" w:lineRule="auto"/>
        <w:jc w:val="left"/>
        <w:rPr>
          <w:rFonts w:ascii="宋体" w:hAnsi="宋体" w:eastAsia="宋体"/>
          <w:highlight w:val="none"/>
        </w:rPr>
      </w:pPr>
    </w:p>
    <w:p w14:paraId="03EDF192">
      <w:pPr>
        <w:spacing w:line="360" w:lineRule="auto"/>
        <w:jc w:val="left"/>
        <w:rPr>
          <w:rFonts w:ascii="宋体" w:hAnsi="宋体" w:eastAsia="宋体"/>
          <w:highlight w:val="none"/>
        </w:rPr>
      </w:pPr>
    </w:p>
    <w:p w14:paraId="58DFCA39">
      <w:pPr>
        <w:spacing w:line="360" w:lineRule="auto"/>
        <w:jc w:val="left"/>
        <w:rPr>
          <w:rFonts w:ascii="宋体" w:hAnsi="宋体" w:eastAsia="宋体"/>
          <w:b/>
          <w:sz w:val="32"/>
          <w:szCs w:val="32"/>
          <w:highlight w:val="none"/>
        </w:rPr>
      </w:pPr>
      <w:r>
        <w:rPr>
          <w:rFonts w:hint="eastAsia" w:ascii="宋体" w:hAnsi="宋体" w:eastAsia="宋体"/>
          <w:b/>
          <w:sz w:val="32"/>
          <w:szCs w:val="32"/>
          <w:highlight w:val="none"/>
        </w:rPr>
        <w:t>招   标   人：中国大酒店</w:t>
      </w:r>
    </w:p>
    <w:p w14:paraId="53BAEDBB">
      <w:pPr>
        <w:spacing w:line="360" w:lineRule="auto"/>
        <w:jc w:val="left"/>
        <w:rPr>
          <w:rFonts w:hint="eastAsia" w:ascii="宋体" w:hAnsi="宋体" w:eastAsia="宋体"/>
          <w:b/>
          <w:sz w:val="32"/>
          <w:szCs w:val="32"/>
          <w:highlight w:val="none"/>
        </w:rPr>
      </w:pPr>
      <w:r>
        <w:rPr>
          <w:rFonts w:hint="eastAsia" w:ascii="宋体" w:hAnsi="宋体" w:eastAsia="宋体"/>
          <w:b/>
          <w:sz w:val="32"/>
          <w:szCs w:val="32"/>
          <w:highlight w:val="none"/>
        </w:rPr>
        <w:t>招标代理机构：众意项目管理咨询(广州)有限公司</w:t>
      </w:r>
    </w:p>
    <w:p w14:paraId="36467908">
      <w:pPr>
        <w:spacing w:line="360" w:lineRule="auto"/>
        <w:jc w:val="left"/>
        <w:rPr>
          <w:rFonts w:hint="eastAsia" w:ascii="宋体" w:hAnsi="宋体" w:eastAsia="宋体"/>
          <w:b/>
          <w:sz w:val="32"/>
          <w:szCs w:val="32"/>
          <w:highlight w:val="none"/>
        </w:rPr>
      </w:pPr>
    </w:p>
    <w:p w14:paraId="5754C39F">
      <w:pPr>
        <w:spacing w:line="360" w:lineRule="auto"/>
        <w:ind w:firstLine="3534" w:firstLineChars="1100"/>
        <w:rPr>
          <w:rFonts w:ascii="宋体" w:hAnsi="宋体" w:eastAsia="宋体"/>
          <w:b/>
          <w:sz w:val="32"/>
          <w:szCs w:val="32"/>
          <w:highlight w:val="none"/>
        </w:rPr>
        <w:sectPr>
          <w:footerReference r:id="rId3" w:type="default"/>
          <w:pgSz w:w="11906" w:h="16838"/>
          <w:pgMar w:top="1247" w:right="1274" w:bottom="1134" w:left="1418" w:header="851" w:footer="379" w:gutter="0"/>
          <w:cols w:space="720" w:num="1"/>
          <w:docGrid w:linePitch="312" w:charSpace="0"/>
        </w:sectPr>
      </w:pPr>
      <w:r>
        <w:rPr>
          <w:rFonts w:ascii="宋体" w:hAnsi="宋体" w:eastAsia="宋体"/>
          <w:b/>
          <w:sz w:val="32"/>
          <w:szCs w:val="32"/>
          <w:highlight w:val="none"/>
        </w:rPr>
        <w:t>日期:</w:t>
      </w:r>
      <w:r>
        <w:rPr>
          <w:rFonts w:hint="eastAsia" w:ascii="宋体" w:hAnsi="宋体" w:eastAsia="宋体"/>
          <w:b/>
          <w:sz w:val="32"/>
          <w:szCs w:val="32"/>
          <w:highlight w:val="none"/>
        </w:rPr>
        <w:t>2025年</w:t>
      </w:r>
      <w:r>
        <w:rPr>
          <w:rFonts w:hint="eastAsia" w:ascii="宋体" w:hAnsi="宋体" w:eastAsia="宋体"/>
          <w:b/>
          <w:sz w:val="32"/>
          <w:szCs w:val="32"/>
          <w:highlight w:val="none"/>
          <w:lang w:val="en-US" w:eastAsia="zh-CN"/>
        </w:rPr>
        <w:t xml:space="preserve">   </w:t>
      </w:r>
      <w:r>
        <w:rPr>
          <w:rFonts w:hint="eastAsia" w:ascii="宋体" w:hAnsi="宋体" w:eastAsia="宋体"/>
          <w:b/>
          <w:sz w:val="32"/>
          <w:szCs w:val="32"/>
          <w:highlight w:val="none"/>
        </w:rPr>
        <w:t>月</w:t>
      </w:r>
    </w:p>
    <w:p w14:paraId="60E357C0">
      <w:pPr>
        <w:keepNext/>
        <w:keepLines/>
        <w:widowControl/>
        <w:spacing w:line="360" w:lineRule="auto"/>
        <w:jc w:val="center"/>
        <w:rPr>
          <w:rFonts w:ascii="宋体" w:hAnsi="宋体" w:eastAsia="宋体"/>
          <w:b/>
          <w:bCs/>
          <w:kern w:val="0"/>
          <w:sz w:val="40"/>
          <w:szCs w:val="40"/>
          <w:highlight w:val="none"/>
        </w:rPr>
      </w:pPr>
      <w:r>
        <w:rPr>
          <w:rFonts w:hint="eastAsia" w:ascii="宋体" w:hAnsi="宋体" w:eastAsia="宋体"/>
          <w:b/>
          <w:bCs/>
          <w:kern w:val="0"/>
          <w:sz w:val="40"/>
          <w:szCs w:val="40"/>
          <w:highlight w:val="none"/>
          <w:lang w:val="zh-CN"/>
        </w:rPr>
        <w:t>目</w:t>
      </w:r>
      <w:r>
        <w:rPr>
          <w:rFonts w:hint="eastAsia" w:ascii="宋体" w:hAnsi="宋体" w:eastAsia="宋体"/>
          <w:b/>
          <w:bCs/>
          <w:kern w:val="0"/>
          <w:sz w:val="40"/>
          <w:szCs w:val="40"/>
          <w:highlight w:val="none"/>
        </w:rPr>
        <w:t xml:space="preserve">   </w:t>
      </w:r>
      <w:r>
        <w:rPr>
          <w:rFonts w:hint="eastAsia" w:ascii="宋体" w:hAnsi="宋体" w:eastAsia="宋体"/>
          <w:b/>
          <w:bCs/>
          <w:kern w:val="0"/>
          <w:sz w:val="40"/>
          <w:szCs w:val="40"/>
          <w:highlight w:val="none"/>
          <w:lang w:val="zh-CN"/>
        </w:rPr>
        <w:t>录</w:t>
      </w:r>
    </w:p>
    <w:p w14:paraId="15B72FD3">
      <w:pPr>
        <w:jc w:val="center"/>
        <w:rPr>
          <w:rFonts w:ascii="宋体" w:hAnsi="宋体" w:eastAsia="宋体"/>
          <w:highlight w:val="none"/>
        </w:rPr>
      </w:pPr>
    </w:p>
    <w:p w14:paraId="69A6809E">
      <w:pPr>
        <w:widowControl/>
        <w:tabs>
          <w:tab w:val="right" w:leader="dot" w:pos="9214"/>
        </w:tabs>
        <w:spacing w:after="100" w:line="276" w:lineRule="auto"/>
        <w:jc w:val="left"/>
        <w:rPr>
          <w:rFonts w:ascii="宋体" w:hAnsi="宋体" w:eastAsia="宋体"/>
          <w:kern w:val="0"/>
          <w:sz w:val="32"/>
          <w:szCs w:val="32"/>
          <w:highlight w:val="none"/>
        </w:rPr>
      </w:pPr>
      <w:r>
        <w:rPr>
          <w:rFonts w:hint="eastAsia" w:ascii="宋体" w:hAnsi="宋体" w:eastAsia="宋体"/>
          <w:kern w:val="0"/>
          <w:sz w:val="32"/>
          <w:szCs w:val="32"/>
          <w:highlight w:val="none"/>
        </w:rPr>
        <w:fldChar w:fldCharType="begin"/>
      </w:r>
      <w:r>
        <w:rPr>
          <w:rFonts w:hint="eastAsia" w:ascii="宋体" w:hAnsi="宋体" w:eastAsia="宋体"/>
          <w:kern w:val="0"/>
          <w:sz w:val="32"/>
          <w:szCs w:val="32"/>
          <w:highlight w:val="none"/>
        </w:rPr>
        <w:instrText xml:space="preserve">TOC \o "1-1" \h \u </w:instrText>
      </w:r>
      <w:r>
        <w:rPr>
          <w:rFonts w:hint="eastAsia" w:ascii="宋体" w:hAnsi="宋体" w:eastAsia="宋体"/>
          <w:kern w:val="0"/>
          <w:sz w:val="32"/>
          <w:szCs w:val="32"/>
          <w:highlight w:val="none"/>
        </w:rPr>
        <w:fldChar w:fldCharType="separate"/>
      </w:r>
      <w:r>
        <w:rPr>
          <w:highlight w:val="none"/>
        </w:rPr>
        <w:fldChar w:fldCharType="begin"/>
      </w:r>
      <w:r>
        <w:rPr>
          <w:highlight w:val="none"/>
        </w:rPr>
        <w:instrText xml:space="preserve"> HYPERLINK \l "_Toc29079" </w:instrText>
      </w:r>
      <w:r>
        <w:rPr>
          <w:highlight w:val="none"/>
        </w:rPr>
        <w:fldChar w:fldCharType="separate"/>
      </w:r>
      <w:r>
        <w:rPr>
          <w:rFonts w:hint="eastAsia" w:ascii="宋体" w:hAnsi="宋体" w:eastAsia="宋体"/>
          <w:kern w:val="44"/>
          <w:sz w:val="32"/>
          <w:szCs w:val="24"/>
          <w:highlight w:val="none"/>
        </w:rPr>
        <w:t>第一卷</w:t>
      </w:r>
      <w:r>
        <w:rPr>
          <w:rFonts w:hint="eastAsia" w:ascii="宋体" w:hAnsi="宋体" w:eastAsia="宋体"/>
          <w:kern w:val="0"/>
          <w:sz w:val="32"/>
          <w:szCs w:val="32"/>
          <w:highlight w:val="none"/>
        </w:rPr>
        <w:tab/>
      </w:r>
      <w:r>
        <w:rPr>
          <w:rFonts w:hint="eastAsia" w:ascii="宋体" w:hAnsi="宋体" w:eastAsia="宋体"/>
          <w:kern w:val="0"/>
          <w:sz w:val="32"/>
          <w:szCs w:val="32"/>
          <w:highlight w:val="none"/>
        </w:rPr>
        <w:fldChar w:fldCharType="begin"/>
      </w:r>
      <w:r>
        <w:rPr>
          <w:rFonts w:hint="eastAsia" w:ascii="宋体" w:hAnsi="宋体" w:eastAsia="宋体"/>
          <w:kern w:val="0"/>
          <w:sz w:val="32"/>
          <w:szCs w:val="32"/>
          <w:highlight w:val="none"/>
        </w:rPr>
        <w:instrText xml:space="preserve"> PAGEREF _Toc29079 </w:instrText>
      </w:r>
      <w:r>
        <w:rPr>
          <w:rFonts w:hint="eastAsia" w:ascii="宋体" w:hAnsi="宋体" w:eastAsia="宋体"/>
          <w:kern w:val="0"/>
          <w:sz w:val="32"/>
          <w:szCs w:val="32"/>
          <w:highlight w:val="none"/>
        </w:rPr>
        <w:fldChar w:fldCharType="separate"/>
      </w:r>
      <w:r>
        <w:rPr>
          <w:rFonts w:hint="eastAsia" w:ascii="宋体" w:hAnsi="宋体" w:eastAsia="宋体"/>
          <w:kern w:val="0"/>
          <w:sz w:val="32"/>
          <w:szCs w:val="32"/>
          <w:highlight w:val="none"/>
        </w:rPr>
        <w:t>3</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rPr>
        <w:fldChar w:fldCharType="end"/>
      </w:r>
    </w:p>
    <w:p w14:paraId="26190047">
      <w:pPr>
        <w:widowControl/>
        <w:tabs>
          <w:tab w:val="right" w:leader="dot" w:pos="9214"/>
        </w:tabs>
        <w:spacing w:after="100" w:line="276" w:lineRule="auto"/>
        <w:jc w:val="left"/>
        <w:rPr>
          <w:rFonts w:ascii="宋体" w:hAnsi="宋体" w:eastAsia="宋体"/>
          <w:kern w:val="0"/>
          <w:sz w:val="32"/>
          <w:szCs w:val="32"/>
          <w:highlight w:val="none"/>
        </w:rPr>
      </w:pPr>
      <w:r>
        <w:rPr>
          <w:highlight w:val="none"/>
        </w:rPr>
        <w:fldChar w:fldCharType="begin"/>
      </w:r>
      <w:r>
        <w:rPr>
          <w:highlight w:val="none"/>
        </w:rPr>
        <w:instrText xml:space="preserve"> HYPERLINK \l "_Toc4399" </w:instrText>
      </w:r>
      <w:r>
        <w:rPr>
          <w:highlight w:val="none"/>
        </w:rPr>
        <w:fldChar w:fldCharType="separate"/>
      </w:r>
      <w:r>
        <w:rPr>
          <w:rFonts w:hint="eastAsia" w:ascii="宋体" w:hAnsi="宋体" w:eastAsia="宋体"/>
          <w:kern w:val="0"/>
          <w:sz w:val="32"/>
          <w:szCs w:val="32"/>
          <w:highlight w:val="none"/>
        </w:rPr>
        <w:t>第一章招标公告</w:t>
      </w:r>
      <w:r>
        <w:rPr>
          <w:rFonts w:hint="eastAsia" w:ascii="宋体" w:hAnsi="宋体" w:eastAsia="宋体"/>
          <w:kern w:val="0"/>
          <w:sz w:val="32"/>
          <w:szCs w:val="32"/>
          <w:highlight w:val="none"/>
        </w:rPr>
        <w:tab/>
      </w:r>
      <w:r>
        <w:rPr>
          <w:rFonts w:hint="eastAsia" w:ascii="宋体" w:hAnsi="宋体" w:eastAsia="宋体"/>
          <w:kern w:val="0"/>
          <w:sz w:val="32"/>
          <w:szCs w:val="32"/>
          <w:highlight w:val="none"/>
        </w:rPr>
        <w:t>3</w:t>
      </w:r>
      <w:r>
        <w:rPr>
          <w:rFonts w:hint="eastAsia" w:ascii="宋体" w:hAnsi="宋体" w:eastAsia="宋体"/>
          <w:kern w:val="0"/>
          <w:sz w:val="32"/>
          <w:szCs w:val="32"/>
          <w:highlight w:val="none"/>
        </w:rPr>
        <w:fldChar w:fldCharType="end"/>
      </w:r>
    </w:p>
    <w:p w14:paraId="53A13BC4">
      <w:pPr>
        <w:widowControl/>
        <w:tabs>
          <w:tab w:val="right" w:leader="dot" w:pos="9214"/>
        </w:tabs>
        <w:spacing w:after="100" w:line="276" w:lineRule="auto"/>
        <w:jc w:val="left"/>
        <w:rPr>
          <w:rFonts w:ascii="宋体" w:hAnsi="宋体" w:eastAsia="宋体"/>
          <w:kern w:val="0"/>
          <w:sz w:val="32"/>
          <w:szCs w:val="32"/>
          <w:highlight w:val="none"/>
        </w:rPr>
      </w:pPr>
      <w:r>
        <w:rPr>
          <w:highlight w:val="none"/>
        </w:rPr>
        <w:fldChar w:fldCharType="begin"/>
      </w:r>
      <w:r>
        <w:rPr>
          <w:highlight w:val="none"/>
        </w:rPr>
        <w:instrText xml:space="preserve"> HYPERLINK \l "_Toc3683" </w:instrText>
      </w:r>
      <w:r>
        <w:rPr>
          <w:highlight w:val="none"/>
        </w:rPr>
        <w:fldChar w:fldCharType="separate"/>
      </w:r>
      <w:r>
        <w:rPr>
          <w:rFonts w:hint="eastAsia" w:ascii="宋体" w:hAnsi="宋体" w:eastAsia="宋体"/>
          <w:kern w:val="0"/>
          <w:sz w:val="32"/>
          <w:szCs w:val="32"/>
          <w:highlight w:val="none"/>
        </w:rPr>
        <w:t>第二章投标人须知</w:t>
      </w:r>
      <w:r>
        <w:rPr>
          <w:rFonts w:hint="eastAsia" w:ascii="宋体" w:hAnsi="宋体" w:eastAsia="宋体"/>
          <w:kern w:val="0"/>
          <w:sz w:val="32"/>
          <w:szCs w:val="32"/>
          <w:highlight w:val="none"/>
        </w:rPr>
        <w:tab/>
      </w:r>
      <w:r>
        <w:rPr>
          <w:rFonts w:hint="eastAsia" w:ascii="宋体" w:hAnsi="宋体" w:eastAsia="宋体"/>
          <w:kern w:val="0"/>
          <w:sz w:val="32"/>
          <w:szCs w:val="32"/>
          <w:highlight w:val="none"/>
        </w:rPr>
        <w:fldChar w:fldCharType="begin"/>
      </w:r>
      <w:r>
        <w:rPr>
          <w:rFonts w:hint="eastAsia" w:ascii="宋体" w:hAnsi="宋体" w:eastAsia="宋体"/>
          <w:kern w:val="0"/>
          <w:sz w:val="32"/>
          <w:szCs w:val="32"/>
          <w:highlight w:val="none"/>
        </w:rPr>
        <w:instrText xml:space="preserve"> PAGEREF _Toc3683 </w:instrText>
      </w:r>
      <w:r>
        <w:rPr>
          <w:rFonts w:hint="eastAsia" w:ascii="宋体" w:hAnsi="宋体" w:eastAsia="宋体"/>
          <w:kern w:val="0"/>
          <w:sz w:val="32"/>
          <w:szCs w:val="32"/>
          <w:highlight w:val="none"/>
        </w:rPr>
        <w:fldChar w:fldCharType="separate"/>
      </w:r>
      <w:r>
        <w:rPr>
          <w:rFonts w:hint="eastAsia" w:ascii="宋体" w:hAnsi="宋体" w:eastAsia="宋体"/>
          <w:kern w:val="0"/>
          <w:sz w:val="32"/>
          <w:szCs w:val="32"/>
          <w:highlight w:val="none"/>
        </w:rPr>
        <w:t>7</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rPr>
        <w:fldChar w:fldCharType="end"/>
      </w:r>
    </w:p>
    <w:p w14:paraId="1C3B5081">
      <w:pPr>
        <w:widowControl/>
        <w:tabs>
          <w:tab w:val="right" w:leader="dot" w:pos="9214"/>
        </w:tabs>
        <w:spacing w:after="100" w:line="276" w:lineRule="auto"/>
        <w:jc w:val="left"/>
        <w:rPr>
          <w:rFonts w:ascii="宋体" w:hAnsi="宋体" w:eastAsia="宋体"/>
          <w:kern w:val="0"/>
          <w:sz w:val="32"/>
          <w:szCs w:val="32"/>
          <w:highlight w:val="none"/>
        </w:rPr>
      </w:pPr>
      <w:r>
        <w:rPr>
          <w:highlight w:val="none"/>
        </w:rPr>
        <w:fldChar w:fldCharType="begin"/>
      </w:r>
      <w:r>
        <w:rPr>
          <w:highlight w:val="none"/>
        </w:rPr>
        <w:instrText xml:space="preserve"> HYPERLINK \l "_Toc6657" </w:instrText>
      </w:r>
      <w:r>
        <w:rPr>
          <w:highlight w:val="none"/>
        </w:rPr>
        <w:fldChar w:fldCharType="separate"/>
      </w:r>
      <w:r>
        <w:rPr>
          <w:rFonts w:hint="eastAsia" w:ascii="宋体" w:hAnsi="宋体" w:eastAsia="宋体"/>
          <w:kern w:val="0"/>
          <w:sz w:val="32"/>
          <w:szCs w:val="32"/>
          <w:highlight w:val="none"/>
        </w:rPr>
        <w:t>第三章评标办法（综合评分法）</w:t>
      </w:r>
      <w:r>
        <w:rPr>
          <w:rFonts w:hint="eastAsia" w:ascii="宋体" w:hAnsi="宋体" w:eastAsia="宋体"/>
          <w:kern w:val="0"/>
          <w:sz w:val="32"/>
          <w:szCs w:val="32"/>
          <w:highlight w:val="none"/>
        </w:rPr>
        <w:tab/>
      </w:r>
      <w:r>
        <w:rPr>
          <w:rFonts w:hint="eastAsia" w:ascii="宋体" w:hAnsi="宋体" w:eastAsia="宋体"/>
          <w:kern w:val="0"/>
          <w:sz w:val="32"/>
          <w:szCs w:val="32"/>
          <w:highlight w:val="none"/>
        </w:rPr>
        <w:fldChar w:fldCharType="begin"/>
      </w:r>
      <w:r>
        <w:rPr>
          <w:rFonts w:hint="eastAsia" w:ascii="宋体" w:hAnsi="宋体" w:eastAsia="宋体"/>
          <w:kern w:val="0"/>
          <w:sz w:val="32"/>
          <w:szCs w:val="32"/>
          <w:highlight w:val="none"/>
        </w:rPr>
        <w:instrText xml:space="preserve"> PAGEREF _Toc6657 </w:instrText>
      </w:r>
      <w:r>
        <w:rPr>
          <w:rFonts w:hint="eastAsia" w:ascii="宋体" w:hAnsi="宋体" w:eastAsia="宋体"/>
          <w:kern w:val="0"/>
          <w:sz w:val="32"/>
          <w:szCs w:val="32"/>
          <w:highlight w:val="none"/>
        </w:rPr>
        <w:fldChar w:fldCharType="separate"/>
      </w:r>
      <w:r>
        <w:rPr>
          <w:rFonts w:hint="eastAsia" w:ascii="宋体" w:hAnsi="宋体" w:eastAsia="宋体"/>
          <w:kern w:val="0"/>
          <w:sz w:val="32"/>
          <w:szCs w:val="32"/>
          <w:highlight w:val="none"/>
        </w:rPr>
        <w:t>28</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rPr>
        <w:fldChar w:fldCharType="end"/>
      </w:r>
    </w:p>
    <w:p w14:paraId="2ACB5CE8">
      <w:pPr>
        <w:widowControl/>
        <w:tabs>
          <w:tab w:val="right" w:leader="dot" w:pos="9214"/>
        </w:tabs>
        <w:spacing w:after="100" w:line="276" w:lineRule="auto"/>
        <w:jc w:val="left"/>
        <w:rPr>
          <w:rFonts w:ascii="宋体" w:hAnsi="宋体" w:eastAsia="宋体"/>
          <w:kern w:val="0"/>
          <w:sz w:val="32"/>
          <w:szCs w:val="32"/>
          <w:highlight w:val="none"/>
        </w:rPr>
      </w:pPr>
      <w:r>
        <w:rPr>
          <w:highlight w:val="none"/>
        </w:rPr>
        <w:fldChar w:fldCharType="begin"/>
      </w:r>
      <w:r>
        <w:rPr>
          <w:highlight w:val="none"/>
        </w:rPr>
        <w:instrText xml:space="preserve"> HYPERLINK \l "_Toc26595" </w:instrText>
      </w:r>
      <w:r>
        <w:rPr>
          <w:highlight w:val="none"/>
        </w:rPr>
        <w:fldChar w:fldCharType="separate"/>
      </w:r>
      <w:r>
        <w:rPr>
          <w:rFonts w:hint="eastAsia" w:ascii="宋体" w:hAnsi="宋体" w:eastAsia="宋体"/>
          <w:kern w:val="0"/>
          <w:sz w:val="32"/>
          <w:szCs w:val="32"/>
          <w:highlight w:val="none"/>
        </w:rPr>
        <w:t>第四章合同条款及格式</w:t>
      </w:r>
      <w:r>
        <w:rPr>
          <w:rFonts w:hint="eastAsia" w:ascii="宋体" w:hAnsi="宋体" w:eastAsia="宋体"/>
          <w:kern w:val="0"/>
          <w:sz w:val="32"/>
          <w:szCs w:val="32"/>
          <w:highlight w:val="none"/>
        </w:rPr>
        <w:tab/>
      </w:r>
      <w:r>
        <w:rPr>
          <w:rFonts w:hint="eastAsia" w:ascii="宋体" w:hAnsi="宋体" w:eastAsia="宋体"/>
          <w:kern w:val="0"/>
          <w:sz w:val="32"/>
          <w:szCs w:val="32"/>
          <w:highlight w:val="none"/>
        </w:rPr>
        <w:fldChar w:fldCharType="begin"/>
      </w:r>
      <w:r>
        <w:rPr>
          <w:rFonts w:hint="eastAsia" w:ascii="宋体" w:hAnsi="宋体" w:eastAsia="宋体"/>
          <w:kern w:val="0"/>
          <w:sz w:val="32"/>
          <w:szCs w:val="32"/>
          <w:highlight w:val="none"/>
        </w:rPr>
        <w:instrText xml:space="preserve"> PAGEREF _Toc26595 </w:instrText>
      </w:r>
      <w:r>
        <w:rPr>
          <w:rFonts w:hint="eastAsia" w:ascii="宋体" w:hAnsi="宋体" w:eastAsia="宋体"/>
          <w:kern w:val="0"/>
          <w:sz w:val="32"/>
          <w:szCs w:val="32"/>
          <w:highlight w:val="none"/>
        </w:rPr>
        <w:fldChar w:fldCharType="separate"/>
      </w:r>
      <w:r>
        <w:rPr>
          <w:rFonts w:hint="eastAsia" w:ascii="宋体" w:hAnsi="宋体" w:eastAsia="宋体"/>
          <w:kern w:val="0"/>
          <w:sz w:val="32"/>
          <w:szCs w:val="32"/>
          <w:highlight w:val="none"/>
        </w:rPr>
        <w:t>37</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rPr>
        <w:fldChar w:fldCharType="end"/>
      </w:r>
    </w:p>
    <w:p w14:paraId="774EBA83">
      <w:pPr>
        <w:widowControl/>
        <w:tabs>
          <w:tab w:val="right" w:leader="dot" w:pos="9214"/>
        </w:tabs>
        <w:spacing w:after="100" w:line="276" w:lineRule="auto"/>
        <w:jc w:val="left"/>
        <w:rPr>
          <w:rFonts w:hint="eastAsia" w:ascii="宋体" w:hAnsi="宋体" w:eastAsia="宋体"/>
          <w:kern w:val="0"/>
          <w:sz w:val="32"/>
          <w:szCs w:val="32"/>
          <w:highlight w:val="none"/>
          <w:lang w:val="en-US" w:eastAsia="zh-CN"/>
        </w:rPr>
      </w:pPr>
      <w:r>
        <w:rPr>
          <w:highlight w:val="none"/>
        </w:rPr>
        <w:fldChar w:fldCharType="begin"/>
      </w:r>
      <w:r>
        <w:rPr>
          <w:highlight w:val="none"/>
        </w:rPr>
        <w:instrText xml:space="preserve"> HYPERLINK \l "_Toc31929" </w:instrText>
      </w:r>
      <w:r>
        <w:rPr>
          <w:highlight w:val="none"/>
        </w:rPr>
        <w:fldChar w:fldCharType="separate"/>
      </w:r>
      <w:r>
        <w:rPr>
          <w:rFonts w:hint="eastAsia" w:ascii="宋体" w:hAnsi="宋体" w:eastAsia="宋体"/>
          <w:kern w:val="44"/>
          <w:sz w:val="32"/>
          <w:szCs w:val="24"/>
          <w:highlight w:val="none"/>
        </w:rPr>
        <w:t>第二卷</w:t>
      </w:r>
      <w:r>
        <w:rPr>
          <w:rFonts w:hint="eastAsia" w:ascii="宋体" w:hAnsi="宋体" w:eastAsia="宋体"/>
          <w:kern w:val="0"/>
          <w:sz w:val="32"/>
          <w:szCs w:val="32"/>
          <w:highlight w:val="none"/>
        </w:rPr>
        <w:tab/>
      </w:r>
      <w:r>
        <w:rPr>
          <w:rFonts w:hint="eastAsia" w:ascii="宋体" w:hAnsi="宋体" w:eastAsia="宋体"/>
          <w:kern w:val="0"/>
          <w:sz w:val="32"/>
          <w:szCs w:val="32"/>
          <w:highlight w:val="none"/>
          <w:lang w:val="en-US" w:eastAsia="zh-CN"/>
        </w:rPr>
        <w:t>4</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lang w:val="en-US" w:eastAsia="zh-CN"/>
        </w:rPr>
        <w:t>0</w:t>
      </w:r>
    </w:p>
    <w:p w14:paraId="6368F5E2">
      <w:pPr>
        <w:widowControl/>
        <w:tabs>
          <w:tab w:val="right" w:leader="dot" w:pos="9214"/>
        </w:tabs>
        <w:spacing w:after="100" w:line="276" w:lineRule="auto"/>
        <w:jc w:val="left"/>
        <w:rPr>
          <w:rFonts w:ascii="宋体" w:hAnsi="宋体" w:eastAsia="宋体"/>
          <w:kern w:val="0"/>
          <w:sz w:val="32"/>
          <w:szCs w:val="32"/>
          <w:highlight w:val="none"/>
        </w:rPr>
      </w:pPr>
      <w:r>
        <w:rPr>
          <w:highlight w:val="none"/>
        </w:rPr>
        <w:fldChar w:fldCharType="begin"/>
      </w:r>
      <w:r>
        <w:rPr>
          <w:highlight w:val="none"/>
        </w:rPr>
        <w:instrText xml:space="preserve"> HYPERLINK \l "_Toc4278" </w:instrText>
      </w:r>
      <w:r>
        <w:rPr>
          <w:highlight w:val="none"/>
        </w:rPr>
        <w:fldChar w:fldCharType="separate"/>
      </w:r>
      <w:r>
        <w:rPr>
          <w:rFonts w:hint="eastAsia" w:ascii="宋体" w:hAnsi="宋体" w:eastAsia="宋体"/>
          <w:kern w:val="0"/>
          <w:sz w:val="32"/>
          <w:szCs w:val="32"/>
          <w:highlight w:val="none"/>
        </w:rPr>
        <w:t>第五章 供货要求</w:t>
      </w:r>
      <w:r>
        <w:rPr>
          <w:rFonts w:hint="eastAsia" w:ascii="宋体" w:hAnsi="宋体" w:eastAsia="宋体"/>
          <w:kern w:val="0"/>
          <w:sz w:val="32"/>
          <w:szCs w:val="32"/>
          <w:highlight w:val="none"/>
        </w:rPr>
        <w:tab/>
      </w:r>
      <w:r>
        <w:rPr>
          <w:rFonts w:hint="eastAsia" w:ascii="宋体" w:hAnsi="宋体" w:eastAsia="宋体"/>
          <w:kern w:val="0"/>
          <w:sz w:val="32"/>
          <w:szCs w:val="32"/>
          <w:highlight w:val="none"/>
        </w:rPr>
        <w:fldChar w:fldCharType="begin"/>
      </w:r>
      <w:r>
        <w:rPr>
          <w:rFonts w:hint="eastAsia" w:ascii="宋体" w:hAnsi="宋体" w:eastAsia="宋体"/>
          <w:kern w:val="0"/>
          <w:sz w:val="32"/>
          <w:szCs w:val="32"/>
          <w:highlight w:val="none"/>
        </w:rPr>
        <w:instrText xml:space="preserve"> PAGEREF _Toc4278 </w:instrText>
      </w:r>
      <w:r>
        <w:rPr>
          <w:rFonts w:hint="eastAsia" w:ascii="宋体" w:hAnsi="宋体" w:eastAsia="宋体"/>
          <w:kern w:val="0"/>
          <w:sz w:val="32"/>
          <w:szCs w:val="32"/>
          <w:highlight w:val="none"/>
        </w:rPr>
        <w:fldChar w:fldCharType="separate"/>
      </w:r>
      <w:r>
        <w:rPr>
          <w:rFonts w:hint="eastAsia" w:ascii="宋体" w:hAnsi="宋体" w:eastAsia="宋体"/>
          <w:kern w:val="0"/>
          <w:sz w:val="32"/>
          <w:szCs w:val="32"/>
          <w:highlight w:val="none"/>
        </w:rPr>
        <w:t>50</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rPr>
        <w:fldChar w:fldCharType="end"/>
      </w:r>
    </w:p>
    <w:p w14:paraId="11FC6E4A">
      <w:pPr>
        <w:widowControl/>
        <w:tabs>
          <w:tab w:val="right" w:leader="dot" w:pos="9214"/>
        </w:tabs>
        <w:spacing w:after="100" w:line="276" w:lineRule="auto"/>
        <w:jc w:val="left"/>
        <w:rPr>
          <w:rFonts w:hint="eastAsia" w:ascii="宋体" w:hAnsi="宋体" w:eastAsia="宋体"/>
          <w:kern w:val="0"/>
          <w:sz w:val="32"/>
          <w:szCs w:val="32"/>
          <w:highlight w:val="none"/>
          <w:lang w:val="en-US" w:eastAsia="zh-CN"/>
        </w:rPr>
      </w:pPr>
      <w:r>
        <w:rPr>
          <w:highlight w:val="none"/>
        </w:rPr>
        <w:fldChar w:fldCharType="begin"/>
      </w:r>
      <w:r>
        <w:rPr>
          <w:highlight w:val="none"/>
        </w:rPr>
        <w:instrText xml:space="preserve"> HYPERLINK \l "_Toc13167" </w:instrText>
      </w:r>
      <w:r>
        <w:rPr>
          <w:highlight w:val="none"/>
        </w:rPr>
        <w:fldChar w:fldCharType="separate"/>
      </w:r>
      <w:r>
        <w:rPr>
          <w:rFonts w:hint="eastAsia" w:ascii="宋体" w:hAnsi="宋体" w:eastAsia="宋体"/>
          <w:kern w:val="0"/>
          <w:sz w:val="32"/>
          <w:szCs w:val="32"/>
          <w:highlight w:val="none"/>
        </w:rPr>
        <w:t>第三卷</w:t>
      </w:r>
      <w:r>
        <w:rPr>
          <w:rFonts w:hint="eastAsia" w:ascii="宋体" w:hAnsi="宋体" w:eastAsia="宋体"/>
          <w:kern w:val="0"/>
          <w:sz w:val="32"/>
          <w:szCs w:val="32"/>
          <w:highlight w:val="none"/>
        </w:rPr>
        <w:tab/>
      </w:r>
      <w:r>
        <w:rPr>
          <w:rFonts w:hint="eastAsia" w:ascii="宋体" w:hAnsi="宋体" w:eastAsia="宋体"/>
          <w:kern w:val="0"/>
          <w:sz w:val="32"/>
          <w:szCs w:val="32"/>
          <w:highlight w:val="none"/>
          <w:lang w:val="en-US" w:eastAsia="zh-CN"/>
        </w:rPr>
        <w:t>4</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lang w:val="en-US" w:eastAsia="zh-CN"/>
        </w:rPr>
        <w:t>2</w:t>
      </w:r>
    </w:p>
    <w:p w14:paraId="1A61CE3B">
      <w:pPr>
        <w:widowControl/>
        <w:tabs>
          <w:tab w:val="right" w:leader="dot" w:pos="9214"/>
        </w:tabs>
        <w:spacing w:after="100" w:line="276" w:lineRule="auto"/>
        <w:jc w:val="left"/>
        <w:rPr>
          <w:rFonts w:ascii="宋体" w:hAnsi="宋体" w:eastAsia="宋体"/>
          <w:kern w:val="0"/>
          <w:sz w:val="32"/>
          <w:szCs w:val="32"/>
          <w:highlight w:val="none"/>
        </w:rPr>
      </w:pPr>
      <w:r>
        <w:rPr>
          <w:highlight w:val="none"/>
        </w:rPr>
        <w:fldChar w:fldCharType="begin"/>
      </w:r>
      <w:r>
        <w:rPr>
          <w:highlight w:val="none"/>
        </w:rPr>
        <w:instrText xml:space="preserve"> HYPERLINK \l "_Toc27812" </w:instrText>
      </w:r>
      <w:r>
        <w:rPr>
          <w:highlight w:val="none"/>
        </w:rPr>
        <w:fldChar w:fldCharType="separate"/>
      </w:r>
      <w:r>
        <w:rPr>
          <w:rFonts w:hint="eastAsia" w:ascii="宋体" w:hAnsi="宋体" w:eastAsia="宋体"/>
          <w:kern w:val="0"/>
          <w:sz w:val="32"/>
          <w:szCs w:val="32"/>
          <w:highlight w:val="none"/>
        </w:rPr>
        <w:t>第六章 投标文件格式</w:t>
      </w:r>
      <w:r>
        <w:rPr>
          <w:rFonts w:hint="eastAsia" w:ascii="宋体" w:hAnsi="宋体" w:eastAsia="宋体"/>
          <w:kern w:val="0"/>
          <w:sz w:val="32"/>
          <w:szCs w:val="32"/>
          <w:highlight w:val="none"/>
        </w:rPr>
        <w:tab/>
      </w:r>
      <w:r>
        <w:rPr>
          <w:rFonts w:hint="eastAsia" w:ascii="宋体" w:hAnsi="宋体" w:eastAsia="宋体"/>
          <w:kern w:val="0"/>
          <w:sz w:val="32"/>
          <w:szCs w:val="32"/>
          <w:highlight w:val="none"/>
        </w:rPr>
        <w:fldChar w:fldCharType="begin"/>
      </w:r>
      <w:r>
        <w:rPr>
          <w:rFonts w:hint="eastAsia" w:ascii="宋体" w:hAnsi="宋体" w:eastAsia="宋体"/>
          <w:kern w:val="0"/>
          <w:sz w:val="32"/>
          <w:szCs w:val="32"/>
          <w:highlight w:val="none"/>
        </w:rPr>
        <w:instrText xml:space="preserve"> PAGEREF _Toc27812 </w:instrText>
      </w:r>
      <w:r>
        <w:rPr>
          <w:rFonts w:hint="eastAsia" w:ascii="宋体" w:hAnsi="宋体" w:eastAsia="宋体"/>
          <w:kern w:val="0"/>
          <w:sz w:val="32"/>
          <w:szCs w:val="32"/>
          <w:highlight w:val="none"/>
        </w:rPr>
        <w:fldChar w:fldCharType="separate"/>
      </w:r>
      <w:r>
        <w:rPr>
          <w:rFonts w:hint="eastAsia" w:ascii="宋体" w:hAnsi="宋体" w:eastAsia="宋体"/>
          <w:kern w:val="0"/>
          <w:sz w:val="32"/>
          <w:szCs w:val="32"/>
          <w:highlight w:val="none"/>
        </w:rPr>
        <w:t>62</w:t>
      </w:r>
      <w:r>
        <w:rPr>
          <w:rFonts w:hint="eastAsia" w:ascii="宋体" w:hAnsi="宋体" w:eastAsia="宋体"/>
          <w:kern w:val="0"/>
          <w:sz w:val="32"/>
          <w:szCs w:val="32"/>
          <w:highlight w:val="none"/>
        </w:rPr>
        <w:fldChar w:fldCharType="end"/>
      </w:r>
      <w:r>
        <w:rPr>
          <w:rFonts w:hint="eastAsia" w:ascii="宋体" w:hAnsi="宋体" w:eastAsia="宋体"/>
          <w:kern w:val="0"/>
          <w:sz w:val="32"/>
          <w:szCs w:val="32"/>
          <w:highlight w:val="none"/>
        </w:rPr>
        <w:fldChar w:fldCharType="end"/>
      </w:r>
    </w:p>
    <w:p w14:paraId="5737CDCB">
      <w:pPr>
        <w:spacing w:line="360" w:lineRule="auto"/>
        <w:jc w:val="center"/>
        <w:rPr>
          <w:rFonts w:ascii="宋体" w:hAnsi="宋体" w:eastAsia="宋体"/>
          <w:highlight w:val="none"/>
        </w:rPr>
      </w:pPr>
      <w:r>
        <w:rPr>
          <w:rFonts w:hint="eastAsia" w:ascii="宋体" w:hAnsi="宋体" w:eastAsia="宋体"/>
          <w:sz w:val="28"/>
          <w:szCs w:val="32"/>
          <w:highlight w:val="none"/>
        </w:rPr>
        <w:fldChar w:fldCharType="end"/>
      </w:r>
    </w:p>
    <w:p w14:paraId="20F5BADB">
      <w:pPr>
        <w:widowControl/>
        <w:spacing w:line="360" w:lineRule="auto"/>
        <w:jc w:val="center"/>
        <w:rPr>
          <w:rFonts w:ascii="宋体" w:hAnsi="宋体" w:eastAsia="宋体"/>
          <w:b/>
          <w:kern w:val="44"/>
          <w:sz w:val="44"/>
          <w:szCs w:val="20"/>
          <w:highlight w:val="none"/>
          <w:lang w:val="zh-CN"/>
        </w:rPr>
      </w:pPr>
      <w:r>
        <w:rPr>
          <w:rFonts w:hint="eastAsia" w:ascii="宋体" w:hAnsi="宋体" w:eastAsia="宋体"/>
          <w:b/>
          <w:sz w:val="44"/>
          <w:highlight w:val="none"/>
        </w:rPr>
        <w:br w:type="page"/>
      </w:r>
    </w:p>
    <w:p w14:paraId="6DBFBD11">
      <w:pPr>
        <w:spacing w:line="502" w:lineRule="exact"/>
        <w:ind w:right="220"/>
        <w:jc w:val="center"/>
        <w:outlineLvl w:val="0"/>
        <w:rPr>
          <w:rFonts w:ascii="宋体" w:hAnsi="宋体" w:eastAsia="宋体"/>
          <w:b/>
          <w:kern w:val="44"/>
          <w:sz w:val="44"/>
          <w:szCs w:val="20"/>
          <w:highlight w:val="none"/>
        </w:rPr>
      </w:pPr>
      <w:bookmarkStart w:id="0" w:name="_Toc29079"/>
      <w:r>
        <w:rPr>
          <w:rFonts w:hint="eastAsia" w:ascii="宋体" w:hAnsi="宋体" w:eastAsia="宋体"/>
          <w:b/>
          <w:kern w:val="44"/>
          <w:sz w:val="44"/>
          <w:szCs w:val="20"/>
          <w:highlight w:val="none"/>
        </w:rPr>
        <w:t>第一卷</w:t>
      </w:r>
      <w:bookmarkEnd w:id="0"/>
    </w:p>
    <w:p w14:paraId="7A9DF8A7">
      <w:pPr>
        <w:widowControl/>
        <w:spacing w:line="259" w:lineRule="auto"/>
        <w:ind w:right="1604"/>
        <w:jc w:val="right"/>
        <w:rPr>
          <w:rFonts w:ascii="宋体" w:hAnsi="宋体" w:eastAsia="宋体"/>
          <w:sz w:val="32"/>
          <w:szCs w:val="32"/>
          <w:highlight w:val="none"/>
        </w:rPr>
      </w:pPr>
    </w:p>
    <w:p w14:paraId="225EE8C6">
      <w:pPr>
        <w:widowControl/>
        <w:spacing w:line="259" w:lineRule="auto"/>
        <w:ind w:right="1604"/>
        <w:jc w:val="center"/>
        <w:rPr>
          <w:rFonts w:ascii="宋体" w:hAnsi="宋体" w:eastAsia="宋体"/>
          <w:b/>
          <w:bCs/>
          <w:sz w:val="44"/>
          <w:szCs w:val="44"/>
          <w:highlight w:val="none"/>
        </w:rPr>
      </w:pPr>
      <w:r>
        <w:rPr>
          <w:rFonts w:hint="eastAsia" w:ascii="宋体" w:hAnsi="宋体" w:eastAsia="宋体"/>
          <w:b/>
          <w:bCs/>
          <w:sz w:val="44"/>
          <w:szCs w:val="44"/>
          <w:highlight w:val="none"/>
        </w:rPr>
        <w:t xml:space="preserve">        第一章招标公告</w:t>
      </w:r>
    </w:p>
    <w:p w14:paraId="06478F79">
      <w:pPr>
        <w:pStyle w:val="2"/>
        <w:spacing w:before="0" w:after="0" w:line="324" w:lineRule="auto"/>
        <w:rPr>
          <w:rFonts w:ascii="宋体" w:hAnsi="宋体" w:cs="宋体"/>
          <w:sz w:val="28"/>
          <w:szCs w:val="28"/>
          <w:highlight w:val="none"/>
        </w:rPr>
      </w:pPr>
      <w:bookmarkStart w:id="1" w:name="_Toc491883077"/>
      <w:r>
        <w:rPr>
          <w:rFonts w:hint="eastAsia" w:ascii="宋体" w:hAnsi="宋体" w:cs="宋体"/>
          <w:sz w:val="28"/>
          <w:szCs w:val="28"/>
          <w:highlight w:val="none"/>
        </w:rPr>
        <w:t>1. 招标条件</w:t>
      </w:r>
      <w:bookmarkEnd w:id="1"/>
    </w:p>
    <w:p w14:paraId="19EF5742">
      <w:pPr>
        <w:spacing w:line="324" w:lineRule="auto"/>
        <w:ind w:firstLine="420" w:firstLineChars="200"/>
        <w:rPr>
          <w:rFonts w:ascii="宋体" w:hAnsi="宋体"/>
          <w:szCs w:val="21"/>
          <w:highlight w:val="none"/>
        </w:rPr>
      </w:pPr>
      <w:r>
        <w:rPr>
          <w:rFonts w:hint="eastAsia" w:ascii="宋体" w:hAnsi="宋体"/>
          <w:szCs w:val="21"/>
          <w:highlight w:val="none"/>
        </w:rPr>
        <w:t>本招标项目</w:t>
      </w:r>
      <w:r>
        <w:rPr>
          <w:rFonts w:hint="eastAsia" w:ascii="宋体" w:hAnsi="宋体"/>
          <w:szCs w:val="21"/>
          <w:highlight w:val="none"/>
          <w:lang w:eastAsia="zh-CN"/>
        </w:rPr>
        <w:t>中国大酒店部分客用电梯及相关配套更新</w:t>
      </w:r>
      <w:r>
        <w:rPr>
          <w:rFonts w:hint="eastAsia" w:ascii="宋体" w:hAnsi="宋体"/>
          <w:szCs w:val="21"/>
          <w:highlight w:val="none"/>
        </w:rPr>
        <w:t>，招标人为中国大酒店，招标项目资金来自</w:t>
      </w:r>
      <w:r>
        <w:rPr>
          <w:rFonts w:hint="eastAsia" w:ascii="宋体" w:hAnsi="宋体"/>
          <w:szCs w:val="21"/>
          <w:highlight w:val="none"/>
          <w:u w:val="single"/>
        </w:rPr>
        <w:t>自筹资金</w:t>
      </w:r>
      <w:r>
        <w:rPr>
          <w:rFonts w:hint="eastAsia" w:ascii="宋体" w:hAnsi="宋体"/>
          <w:szCs w:val="21"/>
          <w:highlight w:val="none"/>
        </w:rPr>
        <w:t>，出资比例为</w:t>
      </w:r>
      <w:r>
        <w:rPr>
          <w:rFonts w:hint="eastAsia" w:ascii="宋体" w:hAnsi="宋体"/>
          <w:szCs w:val="21"/>
          <w:highlight w:val="none"/>
          <w:u w:val="single"/>
        </w:rPr>
        <w:t>100%</w:t>
      </w:r>
      <w:r>
        <w:rPr>
          <w:rFonts w:hint="eastAsia" w:ascii="宋体" w:hAnsi="宋体"/>
          <w:szCs w:val="21"/>
          <w:highlight w:val="none"/>
        </w:rPr>
        <w:t>。该项目已具备招标条件，现对</w:t>
      </w:r>
      <w:r>
        <w:rPr>
          <w:rFonts w:hint="eastAsia" w:ascii="宋体" w:hAnsi="宋体"/>
          <w:szCs w:val="21"/>
          <w:highlight w:val="none"/>
          <w:lang w:eastAsia="zh-CN"/>
        </w:rPr>
        <w:t>中国大酒店部分客用电梯及相关配套更新</w:t>
      </w:r>
      <w:r>
        <w:rPr>
          <w:rFonts w:hint="eastAsia" w:ascii="宋体" w:hAnsi="宋体"/>
          <w:szCs w:val="21"/>
          <w:highlight w:val="none"/>
        </w:rPr>
        <w:t>进行公开招标。</w:t>
      </w:r>
    </w:p>
    <w:p w14:paraId="313C0C7C">
      <w:pPr>
        <w:pStyle w:val="2"/>
        <w:spacing w:before="0" w:after="0" w:line="324" w:lineRule="auto"/>
        <w:rPr>
          <w:rFonts w:ascii="宋体" w:hAnsi="宋体" w:cs="宋体"/>
          <w:sz w:val="28"/>
          <w:szCs w:val="28"/>
          <w:highlight w:val="none"/>
        </w:rPr>
      </w:pPr>
      <w:bookmarkStart w:id="2" w:name="_Toc491883078"/>
      <w:r>
        <w:rPr>
          <w:rFonts w:hint="eastAsia" w:ascii="宋体" w:hAnsi="宋体" w:cs="宋体"/>
          <w:sz w:val="28"/>
          <w:szCs w:val="28"/>
          <w:highlight w:val="none"/>
        </w:rPr>
        <w:t>2. 项目概况与招标范围</w:t>
      </w:r>
      <w:bookmarkEnd w:id="2"/>
    </w:p>
    <w:p w14:paraId="4D679115">
      <w:pPr>
        <w:spacing w:line="324" w:lineRule="auto"/>
        <w:ind w:firstLine="420" w:firstLineChars="200"/>
        <w:rPr>
          <w:rFonts w:hint="eastAsia" w:ascii="宋体" w:hAnsi="宋体" w:eastAsia="等线"/>
          <w:szCs w:val="21"/>
          <w:highlight w:val="none"/>
          <w:u w:val="single"/>
          <w:lang w:eastAsia="zh-CN"/>
        </w:rPr>
      </w:pPr>
      <w:r>
        <w:rPr>
          <w:rFonts w:hint="eastAsia" w:ascii="宋体" w:hAnsi="宋体"/>
          <w:szCs w:val="21"/>
          <w:highlight w:val="none"/>
        </w:rPr>
        <w:t>2.1招标项目名称：</w:t>
      </w:r>
      <w:r>
        <w:rPr>
          <w:rFonts w:hint="eastAsia" w:ascii="宋体" w:hAnsi="宋体"/>
          <w:szCs w:val="21"/>
          <w:highlight w:val="none"/>
          <w:lang w:eastAsia="zh-CN"/>
        </w:rPr>
        <w:t>中国大酒店部分客用电梯及相关配套更新</w:t>
      </w:r>
    </w:p>
    <w:p w14:paraId="7BDBD054">
      <w:pPr>
        <w:spacing w:line="324" w:lineRule="auto"/>
        <w:ind w:firstLine="420" w:firstLineChars="200"/>
        <w:rPr>
          <w:rFonts w:ascii="宋体" w:hAnsi="宋体"/>
          <w:szCs w:val="21"/>
          <w:highlight w:val="none"/>
        </w:rPr>
      </w:pPr>
      <w:r>
        <w:rPr>
          <w:rFonts w:hint="eastAsia" w:ascii="宋体" w:hAnsi="宋体"/>
          <w:szCs w:val="21"/>
          <w:highlight w:val="none"/>
        </w:rPr>
        <w:t xml:space="preserve">    项目代码：</w:t>
      </w:r>
      <w:r>
        <w:rPr>
          <w:rFonts w:hint="eastAsia" w:ascii="宋体" w:hAnsi="宋体"/>
          <w:szCs w:val="21"/>
          <w:highlight w:val="none"/>
          <w:u w:val="single"/>
        </w:rPr>
        <w:t xml:space="preserve"> </w:t>
      </w:r>
      <w:r>
        <w:rPr>
          <w:rFonts w:ascii="宋体" w:hAnsi="宋体"/>
          <w:szCs w:val="21"/>
          <w:highlight w:val="none"/>
          <w:u w:val="single"/>
        </w:rPr>
        <w:t>2504-440104-04-05-650862</w:t>
      </w:r>
      <w:r>
        <w:rPr>
          <w:rFonts w:hint="eastAsia" w:ascii="宋体" w:hAnsi="宋体"/>
          <w:szCs w:val="21"/>
          <w:highlight w:val="none"/>
          <w:u w:val="single"/>
        </w:rPr>
        <w:t xml:space="preserve"> </w:t>
      </w:r>
    </w:p>
    <w:p w14:paraId="6DC12970">
      <w:pPr>
        <w:spacing w:line="324" w:lineRule="auto"/>
        <w:ind w:firstLine="420" w:firstLineChars="200"/>
        <w:rPr>
          <w:rFonts w:ascii="宋体" w:hAnsi="宋体"/>
          <w:szCs w:val="21"/>
          <w:highlight w:val="none"/>
        </w:rPr>
      </w:pPr>
      <w:r>
        <w:rPr>
          <w:rFonts w:hint="eastAsia" w:ascii="宋体" w:hAnsi="宋体"/>
          <w:szCs w:val="21"/>
          <w:highlight w:val="none"/>
        </w:rPr>
        <w:t>2.2项目概况：酒店的3、4、7、8号电梯是客人使用的载客电梯，使用至今已40年，现拟计划对上述电梯进行采购及升级改造服务。</w:t>
      </w:r>
    </w:p>
    <w:p w14:paraId="3A297B35">
      <w:pPr>
        <w:spacing w:line="324" w:lineRule="auto"/>
        <w:ind w:firstLine="420" w:firstLineChars="200"/>
        <w:rPr>
          <w:rFonts w:ascii="宋体" w:hAnsi="宋体"/>
          <w:szCs w:val="21"/>
          <w:highlight w:val="none"/>
        </w:rPr>
      </w:pPr>
      <w:r>
        <w:rPr>
          <w:rFonts w:hint="eastAsia" w:ascii="宋体" w:hAnsi="宋体"/>
          <w:szCs w:val="21"/>
          <w:highlight w:val="none"/>
        </w:rPr>
        <w:t>2.3项目地点：广州市流花路122号中国大酒店A座3#、4#电梯、H座7#、8#电梯。</w:t>
      </w:r>
    </w:p>
    <w:p w14:paraId="5424C9AF">
      <w:pPr>
        <w:spacing w:line="324" w:lineRule="auto"/>
        <w:ind w:firstLine="420" w:firstLineChars="200"/>
        <w:rPr>
          <w:rFonts w:ascii="宋体" w:hAnsi="宋体"/>
          <w:szCs w:val="21"/>
          <w:highlight w:val="none"/>
        </w:rPr>
      </w:pPr>
      <w:r>
        <w:rPr>
          <w:rFonts w:hint="eastAsia" w:ascii="宋体" w:hAnsi="宋体"/>
          <w:szCs w:val="21"/>
          <w:highlight w:val="none"/>
        </w:rPr>
        <w:t>2.4招标采购设备名称、数量及技术规格：</w:t>
      </w:r>
      <w:r>
        <w:rPr>
          <w:rFonts w:hint="eastAsia" w:ascii="宋体" w:hAnsi="宋体"/>
          <w:szCs w:val="21"/>
          <w:highlight w:val="none"/>
          <w:u w:val="single"/>
        </w:rPr>
        <w:t>具体详见招标文件的《供货要求》。</w:t>
      </w:r>
    </w:p>
    <w:p w14:paraId="6C0DF08C">
      <w:pPr>
        <w:spacing w:line="324" w:lineRule="auto"/>
        <w:ind w:firstLine="420" w:firstLineChars="200"/>
        <w:rPr>
          <w:rFonts w:ascii="宋体" w:hAnsi="宋体"/>
          <w:szCs w:val="21"/>
          <w:highlight w:val="none"/>
        </w:rPr>
      </w:pPr>
      <w:r>
        <w:rPr>
          <w:rFonts w:hint="eastAsia" w:ascii="宋体" w:hAnsi="宋体"/>
          <w:szCs w:val="21"/>
          <w:highlight w:val="none"/>
        </w:rPr>
        <w:t>2.5招标范围：</w:t>
      </w:r>
    </w:p>
    <w:p w14:paraId="0CBEA742">
      <w:pPr>
        <w:spacing w:line="324" w:lineRule="auto"/>
        <w:ind w:firstLine="420" w:firstLineChars="200"/>
        <w:rPr>
          <w:rFonts w:ascii="宋体" w:hAnsi="宋体"/>
          <w:szCs w:val="21"/>
          <w:highlight w:val="none"/>
        </w:rPr>
      </w:pPr>
      <w:r>
        <w:rPr>
          <w:rFonts w:hint="eastAsia" w:ascii="宋体" w:hAnsi="宋体"/>
          <w:szCs w:val="21"/>
          <w:highlight w:val="none"/>
        </w:rPr>
        <w:t>2.5.1标段划分：</w:t>
      </w:r>
      <w:r>
        <w:rPr>
          <w:rFonts w:hint="eastAsia" w:ascii="宋体" w:hAnsi="宋体"/>
          <w:szCs w:val="21"/>
          <w:highlight w:val="none"/>
          <w:u w:val="single"/>
        </w:rPr>
        <w:t>本项目划分1个标段。</w:t>
      </w:r>
    </w:p>
    <w:p w14:paraId="15FD86CB">
      <w:pPr>
        <w:spacing w:line="324" w:lineRule="auto"/>
        <w:ind w:firstLine="420" w:firstLineChars="200"/>
        <w:rPr>
          <w:rFonts w:ascii="宋体" w:hAnsi="宋体"/>
          <w:szCs w:val="21"/>
          <w:highlight w:val="none"/>
          <w:u w:val="single"/>
        </w:rPr>
      </w:pPr>
      <w:r>
        <w:rPr>
          <w:rFonts w:hint="eastAsia" w:ascii="宋体" w:hAnsi="宋体"/>
          <w:szCs w:val="21"/>
          <w:highlight w:val="none"/>
        </w:rPr>
        <w:t>2.5.2招标内容：电梯设备及材料的供应、施工、运输、卸货、安装，调试、电梯监控系统、包报装、包报拆装、包检测(验收所需要的所有检测)，包验收。按照有机电安装及电梯生产安装标准、规范、规定，满足国家和地方相关投标的安装、检验的标准、规范和规定。要求安装施工应严格按照施工安装规范施工。</w:t>
      </w:r>
      <w:r>
        <w:rPr>
          <w:rFonts w:hint="eastAsia" w:ascii="宋体" w:hAnsi="宋体"/>
          <w:szCs w:val="21"/>
          <w:highlight w:val="none"/>
          <w:u w:val="single"/>
        </w:rPr>
        <w:t>具体详见招标文件的《供货要求》。</w:t>
      </w:r>
    </w:p>
    <w:p w14:paraId="0CDD21B8">
      <w:pPr>
        <w:spacing w:line="324" w:lineRule="auto"/>
        <w:ind w:firstLine="420" w:firstLineChars="200"/>
        <w:rPr>
          <w:rFonts w:ascii="宋体" w:hAnsi="宋体"/>
          <w:szCs w:val="21"/>
          <w:highlight w:val="none"/>
        </w:rPr>
      </w:pPr>
      <w:r>
        <w:rPr>
          <w:rFonts w:hint="eastAsia" w:ascii="宋体" w:hAnsi="宋体"/>
          <w:szCs w:val="21"/>
          <w:highlight w:val="none"/>
        </w:rPr>
        <w:t>2.5.4交货期：计划2025年</w:t>
      </w:r>
      <w:r>
        <w:rPr>
          <w:rFonts w:hint="eastAsia" w:ascii="宋体" w:hAnsi="宋体"/>
          <w:szCs w:val="21"/>
          <w:highlight w:val="none"/>
          <w:lang w:val="en-US" w:eastAsia="zh-CN"/>
        </w:rPr>
        <w:t>6</w:t>
      </w:r>
      <w:r>
        <w:rPr>
          <w:rFonts w:hint="eastAsia" w:ascii="宋体" w:hAnsi="宋体"/>
          <w:szCs w:val="21"/>
          <w:highlight w:val="none"/>
        </w:rPr>
        <w:t>月份施工，按照130天/工期 ，四台电梯同时施工(包含电梯设计、生产、运输、安装，土建结构改造，技监局检验合格投入使用时间)。具体详见招标文件的《供货要求》。</w:t>
      </w:r>
    </w:p>
    <w:p w14:paraId="4DF6FBCC">
      <w:pPr>
        <w:pStyle w:val="30"/>
        <w:ind w:left="199" w:leftChars="95" w:firstLine="199" w:firstLineChars="95"/>
        <w:rPr>
          <w:rFonts w:ascii="宋体" w:hAnsi="宋体"/>
          <w:highlight w:val="none"/>
        </w:rPr>
      </w:pPr>
      <w:r>
        <w:rPr>
          <w:rFonts w:ascii="宋体" w:hAnsi="宋体"/>
          <w:highlight w:val="none"/>
        </w:rPr>
        <w:t>2.5.5</w:t>
      </w:r>
      <w:r>
        <w:rPr>
          <w:rFonts w:hint="eastAsia" w:ascii="宋体" w:hAnsi="宋体" w:eastAsia="等线" w:cs="宋体"/>
          <w:szCs w:val="21"/>
          <w:highlight w:val="none"/>
        </w:rPr>
        <w:t>验收要求：中标人必须按照招标人的工程量清单及方案进行施工，工程要求的质量等级为合格并符合国家质量验收标准，满足当地相关部门验收的要求，向甲方提供完整电梯资料及验收报告；招标人收到电梯验收报告后5天内组织相关人员进行验收，检查出的缺陷中标人要及时整改，并承担自身原因造成的整改费用；电梯客户验收通过；实际验收日期为中标人对缺陷整改后达到招标人要求，双方签字确认日期为验收日期，包含在工期内。</w:t>
      </w:r>
    </w:p>
    <w:p w14:paraId="7871180A">
      <w:pPr>
        <w:spacing w:line="324" w:lineRule="auto"/>
        <w:ind w:firstLine="420" w:firstLineChars="200"/>
        <w:rPr>
          <w:rFonts w:ascii="宋体" w:hAnsi="宋体"/>
          <w:szCs w:val="21"/>
          <w:highlight w:val="none"/>
          <w:u w:val="single"/>
        </w:rPr>
      </w:pPr>
      <w:r>
        <w:rPr>
          <w:rFonts w:hint="eastAsia" w:ascii="宋体" w:hAnsi="宋体"/>
          <w:szCs w:val="21"/>
          <w:highlight w:val="none"/>
        </w:rPr>
        <w:t>2.5.</w:t>
      </w:r>
      <w:r>
        <w:rPr>
          <w:rFonts w:ascii="宋体" w:hAnsi="宋体"/>
          <w:szCs w:val="21"/>
          <w:highlight w:val="none"/>
        </w:rPr>
        <w:t>6</w:t>
      </w:r>
      <w:r>
        <w:rPr>
          <w:rFonts w:hint="eastAsia" w:ascii="宋体" w:hAnsi="宋体"/>
          <w:szCs w:val="21"/>
          <w:highlight w:val="none"/>
        </w:rPr>
        <w:t xml:space="preserve">交货地点：广州市流花路122号中国大酒店A座。 </w:t>
      </w:r>
    </w:p>
    <w:p w14:paraId="47C8EAA3">
      <w:pPr>
        <w:spacing w:line="324" w:lineRule="auto"/>
        <w:ind w:firstLine="420" w:firstLineChars="200"/>
        <w:rPr>
          <w:rFonts w:ascii="宋体" w:hAnsi="宋体" w:eastAsia="宋体"/>
          <w:szCs w:val="21"/>
          <w:highlight w:val="none"/>
        </w:rPr>
      </w:pPr>
      <w:r>
        <w:rPr>
          <w:rFonts w:hint="eastAsia" w:ascii="宋体" w:hAnsi="宋体"/>
          <w:szCs w:val="21"/>
          <w:highlight w:val="none"/>
        </w:rPr>
        <w:t>2.5.</w:t>
      </w:r>
      <w:r>
        <w:rPr>
          <w:rFonts w:ascii="宋体" w:hAnsi="宋体"/>
          <w:szCs w:val="21"/>
          <w:highlight w:val="none"/>
        </w:rPr>
        <w:t>7</w:t>
      </w:r>
      <w:r>
        <w:rPr>
          <w:rFonts w:hint="eastAsia" w:ascii="宋体" w:hAnsi="宋体"/>
          <w:szCs w:val="21"/>
          <w:highlight w:val="none"/>
        </w:rPr>
        <w:t>最高投标限价：3,713,618.86元。</w:t>
      </w:r>
      <w:r>
        <w:rPr>
          <w:rFonts w:hint="eastAsia" w:ascii="宋体" w:hAnsi="宋体"/>
          <w:szCs w:val="21"/>
          <w:highlight w:val="none"/>
          <w:u w:val="single"/>
        </w:rPr>
        <w:t>具体详见《最高投标限价公布函》</w:t>
      </w:r>
    </w:p>
    <w:p w14:paraId="5A6CA4E1">
      <w:pPr>
        <w:pStyle w:val="2"/>
        <w:spacing w:before="0" w:after="0" w:line="324" w:lineRule="auto"/>
        <w:rPr>
          <w:rFonts w:ascii="宋体" w:hAnsi="宋体" w:cs="宋体"/>
          <w:sz w:val="28"/>
          <w:szCs w:val="28"/>
          <w:highlight w:val="none"/>
        </w:rPr>
      </w:pPr>
      <w:bookmarkStart w:id="3" w:name="_Toc491883079"/>
      <w:r>
        <w:rPr>
          <w:rFonts w:hint="eastAsia" w:ascii="宋体" w:hAnsi="宋体" w:cs="宋体"/>
          <w:sz w:val="28"/>
          <w:szCs w:val="28"/>
          <w:highlight w:val="none"/>
        </w:rPr>
        <w:t>3. 投标人资格要求</w:t>
      </w:r>
      <w:bookmarkEnd w:id="3"/>
    </w:p>
    <w:p w14:paraId="2CE721B1">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3.1本次招标要求投标人具备相应的资质，并具有与本招标项目相应的供货能力，具体要求如下：</w:t>
      </w:r>
    </w:p>
    <w:p w14:paraId="6770CF31">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3.1.1资质要求：</w:t>
      </w:r>
    </w:p>
    <w:p w14:paraId="2A090E97">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①投标人须是法人或者其他组织，同时持有工商行政管理部门核发的营业执照，按国家法律经营；法定代表人为同一个人的两个及两个以上法人，母公司、全资子公司及其控股公司，都不得</w:t>
      </w:r>
      <w:r>
        <w:rPr>
          <w:rFonts w:ascii="宋体" w:hAnsi="宋体"/>
          <w:szCs w:val="21"/>
          <w:highlight w:val="none"/>
          <w:u w:val="single"/>
        </w:rPr>
        <w:t>在同一</w:t>
      </w:r>
      <w:r>
        <w:rPr>
          <w:rFonts w:hint="eastAsia" w:ascii="宋体" w:hAnsi="宋体"/>
          <w:szCs w:val="21"/>
          <w:highlight w:val="none"/>
          <w:u w:val="single"/>
        </w:rPr>
        <w:t>货物</w:t>
      </w:r>
      <w:r>
        <w:rPr>
          <w:rFonts w:ascii="宋体" w:hAnsi="宋体"/>
          <w:szCs w:val="21"/>
          <w:highlight w:val="none"/>
          <w:u w:val="single"/>
        </w:rPr>
        <w:t>招标中</w:t>
      </w:r>
      <w:r>
        <w:rPr>
          <w:rFonts w:hint="eastAsia" w:ascii="宋体" w:hAnsi="宋体"/>
          <w:szCs w:val="21"/>
          <w:highlight w:val="none"/>
          <w:u w:val="single"/>
        </w:rPr>
        <w:t>同时投标。</w:t>
      </w:r>
    </w:p>
    <w:p w14:paraId="36CF57B2">
      <w:pPr>
        <w:spacing w:line="324" w:lineRule="auto"/>
        <w:ind w:firstLine="420" w:firstLineChars="200"/>
        <w:rPr>
          <w:rFonts w:hint="eastAsia" w:ascii="宋体" w:hAnsi="宋体"/>
          <w:szCs w:val="21"/>
          <w:highlight w:val="none"/>
          <w:u w:val="single"/>
        </w:rPr>
      </w:pPr>
      <w:r>
        <w:rPr>
          <w:rFonts w:hint="eastAsia" w:ascii="宋体" w:hAnsi="宋体"/>
          <w:szCs w:val="21"/>
          <w:highlight w:val="none"/>
          <w:u w:val="single"/>
        </w:rPr>
        <w:t>②投标人必须是拟投标设备的制造商（或制造商集团公司或制造商集团下属的子公司）或者其唯一授权代理商（代理商须提供由制造商针对本项目开具的唯一授权代理书，格式详见招标文件第六章投标文件格式）；同一个投标人所投设备均应为同一品牌；同一品牌的电梯只接受一名投标人参加投标（同一品牌电梯的制造商集团公司与制造商集团下属的子公司同时参加投标的，只接受制造商集团公司投标；同一品牌电梯的制造商集团下属的不同子公司同时参加投标的，以在广州交易集团有限公司（广州公共资源交易中心）数字交易平台上投标登记时间靠前的确定为正式投标人；制造商与代理商同时参与投标申请的，只接受制造商的投标申请）。</w:t>
      </w:r>
    </w:p>
    <w:p w14:paraId="3255265D">
      <w:pPr>
        <w:spacing w:line="324" w:lineRule="auto"/>
        <w:ind w:firstLine="420" w:firstLineChars="200"/>
        <w:rPr>
          <w:rFonts w:hint="eastAsia" w:ascii="宋体" w:hAnsi="宋体" w:eastAsia="等线"/>
          <w:szCs w:val="21"/>
          <w:highlight w:val="none"/>
          <w:u w:val="single"/>
          <w:lang w:val="en-US" w:eastAsia="zh-CN"/>
        </w:rPr>
      </w:pPr>
      <w:r>
        <w:rPr>
          <w:rFonts w:hint="eastAsia" w:ascii="宋体" w:hAnsi="宋体"/>
          <w:szCs w:val="21"/>
          <w:highlight w:val="none"/>
          <w:u w:val="single"/>
          <w:lang w:val="en-US" w:eastAsia="zh-CN"/>
        </w:rPr>
        <w:t>③需提供完全满足本项目电梯（含曳引式客梯）规格有效的《特种设备型式试验证书（电梯）》。</w:t>
      </w:r>
    </w:p>
    <w:p w14:paraId="12BE3FD6">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3.1.2投标人需满足以下要求之一：</w:t>
      </w:r>
    </w:p>
    <w:p w14:paraId="2716A3CA">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①所投货物的制造商必须取得有效的《中华人民共和国特种设备制造许可证》（曳引式客梯B级或以上）；并取得有效的《中华人民共和国特种设备安装改造维修许可证》（电梯B级或以上）；</w:t>
      </w:r>
    </w:p>
    <w:p w14:paraId="64050A0E">
      <w:pPr>
        <w:spacing w:line="324" w:lineRule="auto"/>
        <w:ind w:firstLine="420" w:firstLineChars="200"/>
        <w:rPr>
          <w:rFonts w:hint="eastAsia" w:ascii="宋体" w:hAnsi="宋体" w:eastAsia="等线"/>
          <w:szCs w:val="21"/>
          <w:highlight w:val="none"/>
          <w:u w:val="single"/>
          <w:lang w:val="en-US" w:eastAsia="zh-CN"/>
        </w:rPr>
      </w:pPr>
      <w:r>
        <w:rPr>
          <w:rFonts w:hint="eastAsia" w:ascii="宋体" w:hAnsi="宋体"/>
          <w:szCs w:val="21"/>
          <w:highlight w:val="none"/>
          <w:u w:val="single"/>
        </w:rPr>
        <w:t>②所投货物的制造商必须取得有效的《中华人民共和国特种设备生产许可证》许可项目包含电梯制造（含安装、修理、改造），许可子项目包含：曳引驱动乘客电梯(含消防员电梯)B</w:t>
      </w:r>
      <w:r>
        <w:rPr>
          <w:rFonts w:ascii="微软雅黑" w:hAnsi="微软雅黑" w:eastAsia="微软雅黑" w:cs="微软雅黑"/>
          <w:color w:val="333333"/>
          <w:szCs w:val="21"/>
          <w:highlight w:val="none"/>
          <w:u w:val="single"/>
          <w:shd w:val="clear" w:color="auto" w:fill="FFFFFF"/>
        </w:rPr>
        <w:t>或以上</w:t>
      </w:r>
      <w:r>
        <w:rPr>
          <w:rFonts w:hint="eastAsia" w:ascii="宋体" w:hAnsi="宋体"/>
          <w:szCs w:val="21"/>
          <w:highlight w:val="none"/>
          <w:u w:val="single"/>
        </w:rPr>
        <w:t>。</w:t>
      </w:r>
    </w:p>
    <w:p w14:paraId="3224B6B8">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3.2关于联合体投标：本项目不接受联合体投标。</w:t>
      </w:r>
    </w:p>
    <w:p w14:paraId="320F16F3">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3.3投标人已按照规定格式和内容签署盖章《投标人声明》（详见招标文件第六章投标文件格式）。</w:t>
      </w:r>
    </w:p>
    <w:p w14:paraId="7B5D7A39">
      <w:pPr>
        <w:spacing w:line="324" w:lineRule="auto"/>
        <w:ind w:firstLine="420" w:firstLineChars="200"/>
        <w:rPr>
          <w:rFonts w:ascii="宋体" w:hAnsi="宋体"/>
          <w:szCs w:val="21"/>
          <w:highlight w:val="none"/>
          <w:u w:val="single"/>
        </w:rPr>
      </w:pPr>
      <w:r>
        <w:rPr>
          <w:rFonts w:hint="eastAsia" w:ascii="宋体" w:hAnsi="宋体"/>
          <w:szCs w:val="21"/>
          <w:highlight w:val="none"/>
          <w:u w:val="single"/>
        </w:rPr>
        <w:t>3.4未被列入拖欠农民工工资失信联合惩戒对象名单（投标人无需提供资料，按投标截止时间交易系统比对的结果进行评审）。</w:t>
      </w:r>
    </w:p>
    <w:p w14:paraId="42B1BFCA">
      <w:pPr>
        <w:pStyle w:val="2"/>
        <w:rPr>
          <w:rFonts w:ascii="宋体" w:hAnsi="宋体" w:cs="宋体"/>
          <w:sz w:val="28"/>
          <w:szCs w:val="28"/>
          <w:highlight w:val="none"/>
        </w:rPr>
      </w:pPr>
      <w:bookmarkStart w:id="4" w:name="_Toc491883080"/>
      <w:r>
        <w:rPr>
          <w:rFonts w:hint="eastAsia" w:ascii="宋体" w:hAnsi="宋体" w:cs="宋体"/>
          <w:sz w:val="28"/>
          <w:szCs w:val="28"/>
          <w:highlight w:val="none"/>
        </w:rPr>
        <w:t>4. 招标文件的获取</w:t>
      </w:r>
      <w:bookmarkEnd w:id="4"/>
      <w:r>
        <w:rPr>
          <w:rFonts w:hint="eastAsia" w:ascii="宋体" w:hAnsi="宋体" w:cs="宋体"/>
          <w:sz w:val="28"/>
          <w:szCs w:val="28"/>
          <w:highlight w:val="none"/>
        </w:rPr>
        <w:t>及招标公告发布</w:t>
      </w:r>
    </w:p>
    <w:p w14:paraId="6B6732ED">
      <w:pPr>
        <w:widowControl/>
        <w:shd w:val="clear" w:color="auto" w:fill="FFFFFF"/>
        <w:snapToGrid w:val="0"/>
        <w:spacing w:line="324" w:lineRule="auto"/>
        <w:ind w:firstLine="420" w:firstLineChars="200"/>
        <w:jc w:val="left"/>
        <w:rPr>
          <w:rFonts w:ascii="宋体" w:hAnsi="宋体"/>
          <w:kern w:val="0"/>
          <w:szCs w:val="21"/>
          <w:highlight w:val="none"/>
        </w:rPr>
      </w:pPr>
      <w:r>
        <w:rPr>
          <w:rFonts w:hint="eastAsia" w:ascii="宋体" w:hAnsi="宋体"/>
          <w:kern w:val="0"/>
          <w:szCs w:val="21"/>
          <w:highlight w:val="none"/>
        </w:rPr>
        <w:t>4.1凡有意参加投标者，请2025年   月   日   时   分至2025年   月   日   时 分(北京时间，下同)，登录广州交易集团有限公司（广州公共资源交易中心）交易平台网站（</w:t>
      </w:r>
      <w:r>
        <w:rPr>
          <w:rFonts w:hint="eastAsia" w:ascii="宋体" w:hAnsi="宋体"/>
          <w:szCs w:val="21"/>
          <w:highlight w:val="none"/>
        </w:rPr>
        <w:t>http://www.gzggzy.cn/</w:t>
      </w:r>
      <w:r>
        <w:rPr>
          <w:rFonts w:hint="eastAsia" w:ascii="宋体" w:hAnsi="宋体"/>
          <w:kern w:val="0"/>
          <w:szCs w:val="21"/>
          <w:highlight w:val="none"/>
        </w:rPr>
        <w:t>）下载招标文件。</w:t>
      </w:r>
    </w:p>
    <w:p w14:paraId="06A34EB1">
      <w:pPr>
        <w:widowControl/>
        <w:shd w:val="clear" w:color="auto" w:fill="FFFFFF"/>
        <w:snapToGrid w:val="0"/>
        <w:spacing w:line="324" w:lineRule="auto"/>
        <w:ind w:firstLine="420" w:firstLineChars="200"/>
        <w:jc w:val="left"/>
        <w:rPr>
          <w:rFonts w:hint="eastAsia" w:ascii="宋体" w:hAnsi="宋体"/>
          <w:kern w:val="0"/>
          <w:szCs w:val="21"/>
          <w:highlight w:val="none"/>
        </w:rPr>
      </w:pPr>
      <w:r>
        <w:rPr>
          <w:rFonts w:hint="eastAsia" w:ascii="宋体" w:hAnsi="宋体"/>
          <w:kern w:val="0"/>
          <w:szCs w:val="21"/>
          <w:highlight w:val="none"/>
        </w:rPr>
        <w:t>4.2本项目采用资格后审方式</w:t>
      </w:r>
      <w:r>
        <w:rPr>
          <w:rFonts w:hint="eastAsia" w:ascii="宋体" w:hAnsi="宋体"/>
          <w:kern w:val="0"/>
          <w:szCs w:val="21"/>
          <w:highlight w:val="none"/>
          <w:lang w:eastAsia="zh-CN"/>
        </w:rPr>
        <w:t>，由评标委员会负责资格审查，投标人不足3名或通过形式评审、资格评审、响应性评审的投标人不足3名时为招标失败。招标人分析招标失败原因，修正招标方案，重新组织招标。</w:t>
      </w:r>
    </w:p>
    <w:p w14:paraId="54B7F4A5">
      <w:pPr>
        <w:widowControl/>
        <w:shd w:val="clear" w:color="auto" w:fill="FFFFFF"/>
        <w:snapToGrid w:val="0"/>
        <w:spacing w:line="324" w:lineRule="auto"/>
        <w:ind w:firstLine="420" w:firstLineChars="200"/>
        <w:jc w:val="left"/>
        <w:rPr>
          <w:rFonts w:ascii="宋体" w:hAnsi="宋体"/>
          <w:kern w:val="0"/>
          <w:szCs w:val="21"/>
          <w:highlight w:val="none"/>
        </w:rPr>
      </w:pPr>
      <w:r>
        <w:rPr>
          <w:rFonts w:hint="eastAsia" w:ascii="宋体" w:hAnsi="宋体"/>
          <w:kern w:val="0"/>
          <w:szCs w:val="21"/>
          <w:highlight w:val="none"/>
        </w:rPr>
        <w:t>4.3招标公告发布时间</w:t>
      </w:r>
    </w:p>
    <w:p w14:paraId="06A508A8">
      <w:pPr>
        <w:widowControl/>
        <w:shd w:val="clear" w:color="auto" w:fill="FFFFFF"/>
        <w:snapToGrid w:val="0"/>
        <w:spacing w:line="324" w:lineRule="auto"/>
        <w:ind w:firstLine="420" w:firstLineChars="200"/>
        <w:jc w:val="left"/>
        <w:rPr>
          <w:rFonts w:ascii="宋体" w:hAnsi="宋体"/>
          <w:kern w:val="0"/>
          <w:szCs w:val="21"/>
          <w:highlight w:val="none"/>
        </w:rPr>
      </w:pPr>
      <w:r>
        <w:rPr>
          <w:rFonts w:hint="eastAsia" w:ascii="宋体" w:hAnsi="宋体"/>
          <w:kern w:val="0"/>
          <w:szCs w:val="21"/>
          <w:highlight w:val="none"/>
        </w:rPr>
        <w:t>发布招标公告时间（含本日）为：2025年  月  日    时   分至2025年  月  日  时    分；</w:t>
      </w:r>
    </w:p>
    <w:p w14:paraId="36BCBCB8">
      <w:pPr>
        <w:widowControl/>
        <w:shd w:val="clear" w:color="auto" w:fill="FFFFFF"/>
        <w:snapToGrid w:val="0"/>
        <w:spacing w:line="324" w:lineRule="auto"/>
        <w:ind w:firstLine="420" w:firstLineChars="200"/>
        <w:jc w:val="left"/>
        <w:rPr>
          <w:rFonts w:ascii="宋体" w:hAnsi="宋体"/>
          <w:kern w:val="0"/>
          <w:szCs w:val="21"/>
          <w:highlight w:val="none"/>
        </w:rPr>
      </w:pPr>
      <w:r>
        <w:rPr>
          <w:rFonts w:hint="eastAsia" w:ascii="宋体" w:hAnsi="宋体"/>
          <w:kern w:val="0"/>
          <w:szCs w:val="21"/>
          <w:highlight w:val="none"/>
        </w:rPr>
        <w:t>注：（1）发布招标公告的时间为招标公告发出之日起至递交投标文件截止时间止。</w:t>
      </w:r>
    </w:p>
    <w:p w14:paraId="678B4BD4">
      <w:pPr>
        <w:widowControl/>
        <w:shd w:val="clear" w:color="auto" w:fill="FFFFFF"/>
        <w:snapToGrid w:val="0"/>
        <w:spacing w:line="324" w:lineRule="auto"/>
        <w:ind w:firstLine="420" w:firstLineChars="200"/>
        <w:jc w:val="left"/>
        <w:rPr>
          <w:rFonts w:ascii="宋体" w:hAnsi="宋体"/>
          <w:kern w:val="0"/>
          <w:szCs w:val="21"/>
          <w:highlight w:val="none"/>
        </w:rPr>
      </w:pPr>
      <w:r>
        <w:rPr>
          <w:rFonts w:hint="eastAsia" w:ascii="宋体" w:hAnsi="宋体"/>
          <w:kern w:val="0"/>
          <w:szCs w:val="21"/>
          <w:highlight w:val="none"/>
        </w:rPr>
        <w:t>（2）本公告发布之日起发布招标文件，并从招标公告发布之日起开始计算备标时间。</w:t>
      </w:r>
    </w:p>
    <w:p w14:paraId="41BA5FC1">
      <w:pPr>
        <w:pStyle w:val="2"/>
        <w:spacing w:before="0" w:after="0" w:line="324" w:lineRule="auto"/>
        <w:rPr>
          <w:rFonts w:ascii="宋体" w:hAnsi="宋体" w:cs="宋体"/>
          <w:sz w:val="28"/>
          <w:szCs w:val="28"/>
          <w:highlight w:val="none"/>
        </w:rPr>
      </w:pPr>
      <w:bookmarkStart w:id="5" w:name="_Toc491883081"/>
      <w:r>
        <w:rPr>
          <w:rFonts w:hint="eastAsia" w:ascii="宋体" w:hAnsi="宋体" w:cs="宋体"/>
          <w:sz w:val="28"/>
          <w:szCs w:val="28"/>
          <w:highlight w:val="none"/>
        </w:rPr>
        <w:t>5. 投标文件的递交</w:t>
      </w:r>
      <w:bookmarkEnd w:id="5"/>
    </w:p>
    <w:p w14:paraId="3058258C">
      <w:pPr>
        <w:spacing w:line="324" w:lineRule="auto"/>
        <w:ind w:firstLine="420" w:firstLineChars="200"/>
        <w:rPr>
          <w:rFonts w:ascii="宋体" w:hAnsi="宋体"/>
          <w:szCs w:val="21"/>
          <w:highlight w:val="none"/>
        </w:rPr>
      </w:pPr>
      <w:r>
        <w:rPr>
          <w:rFonts w:hint="eastAsia" w:ascii="宋体" w:hAnsi="宋体"/>
          <w:szCs w:val="21"/>
          <w:highlight w:val="none"/>
        </w:rPr>
        <w:t>5.1（B）</w:t>
      </w:r>
    </w:p>
    <w:p w14:paraId="4C1E498F">
      <w:pPr>
        <w:spacing w:line="324" w:lineRule="auto"/>
        <w:ind w:firstLine="420" w:firstLineChars="200"/>
        <w:rPr>
          <w:rFonts w:ascii="宋体" w:hAnsi="宋体"/>
          <w:szCs w:val="21"/>
          <w:highlight w:val="none"/>
        </w:rPr>
      </w:pPr>
      <w:r>
        <w:rPr>
          <w:rFonts w:hint="eastAsia" w:ascii="宋体" w:hAnsi="宋体"/>
          <w:szCs w:val="21"/>
          <w:highlight w:val="none"/>
        </w:rPr>
        <w:t>5.1.1投标文件递交的截止时间（投标截止时间，下同）请登录广州交易集团有限公司（广州公共资源交易中心）网站首页，点击“建设工程”专栏中的“项目查询（日程安排、答疑纪要）”，输入项目编号或项目名称即可查询，并请密切留意招标答疑中的相关信息，投标人应在截止时间前通过广州交易集团有限公司（广州公共资源交易中心）数字交易平台（http://www.gzggzy.cn/）递交电子投标文件。</w:t>
      </w:r>
    </w:p>
    <w:p w14:paraId="42834ACC">
      <w:pPr>
        <w:spacing w:line="324" w:lineRule="auto"/>
        <w:ind w:firstLine="420" w:firstLineChars="200"/>
        <w:rPr>
          <w:rFonts w:ascii="宋体" w:hAnsi="宋体"/>
          <w:szCs w:val="21"/>
          <w:highlight w:val="none"/>
        </w:rPr>
      </w:pPr>
      <w:r>
        <w:rPr>
          <w:rFonts w:hint="eastAsia" w:ascii="宋体" w:hAnsi="宋体"/>
          <w:szCs w:val="21"/>
          <w:highlight w:val="none"/>
        </w:rPr>
        <w:t>投标人完成电子投标上传后，电子招标投标交易平台即时向投标人发出递交回执通知。递交时间以递交回执通知载明的传输时间为准。</w:t>
      </w:r>
    </w:p>
    <w:p w14:paraId="1A1D4B65">
      <w:pPr>
        <w:spacing w:line="324" w:lineRule="auto"/>
        <w:ind w:firstLine="420" w:firstLineChars="200"/>
        <w:rPr>
          <w:rFonts w:ascii="宋体" w:hAnsi="宋体"/>
          <w:szCs w:val="21"/>
          <w:highlight w:val="none"/>
        </w:rPr>
      </w:pPr>
      <w:r>
        <w:rPr>
          <w:rFonts w:hint="eastAsia" w:ascii="宋体" w:hAnsi="宋体"/>
          <w:szCs w:val="21"/>
          <w:highlight w:val="none"/>
        </w:rPr>
        <w:t>5.1.2投标文件光盘（备用）递交时间、地点：请登录广州交易集团有限公司（广州公共资源交易中心）网站首页，点击“建设工程”专栏中的“项目查询（日程安排、答疑纪要）”，输入项目编号或项目名称即可查询，并请密切留意招标答疑中的相关信息。（电子光盘需按规定封装。投标人将数据刻录到光盘之后，投标前自行检查文件是否可以读取）。</w:t>
      </w:r>
    </w:p>
    <w:p w14:paraId="4311746B">
      <w:pPr>
        <w:spacing w:line="324" w:lineRule="auto"/>
        <w:ind w:firstLine="420" w:firstLineChars="200"/>
        <w:rPr>
          <w:rFonts w:ascii="宋体" w:hAnsi="宋体"/>
          <w:szCs w:val="21"/>
          <w:highlight w:val="none"/>
        </w:rPr>
      </w:pPr>
      <w:r>
        <w:rPr>
          <w:rFonts w:hint="eastAsia" w:ascii="宋体" w:hAnsi="宋体"/>
          <w:szCs w:val="21"/>
          <w:highlight w:val="none"/>
        </w:rPr>
        <w:t>5.1.3投标文件解密时间为：请登录广州交易集团有限公司（广州公共资源交易中心）网站首页，点击“建设工程”专栏中的“项目查询（日程安排、答疑纪要）”，输入项目编号或项目名称即可查询，并请密切留意招标答疑中的相关信息，投标人应在截止时间后通过广州交易集团有限公司（广州公共资源交易中心）数字交易平台（网址：http://www.gzggzy.cn/）对电子投标文件进行投标文件解密。</w:t>
      </w:r>
    </w:p>
    <w:p w14:paraId="3B3776F4">
      <w:pPr>
        <w:spacing w:line="324" w:lineRule="auto"/>
        <w:ind w:firstLine="420" w:firstLineChars="200"/>
        <w:rPr>
          <w:rFonts w:ascii="宋体" w:hAnsi="宋体"/>
          <w:szCs w:val="21"/>
          <w:highlight w:val="none"/>
        </w:rPr>
      </w:pPr>
      <w:r>
        <w:rPr>
          <w:rFonts w:hint="eastAsia" w:ascii="宋体" w:hAnsi="宋体"/>
          <w:szCs w:val="21"/>
          <w:highlight w:val="none"/>
        </w:rPr>
        <w:t>5.1.4　递交投标文件截止时间与开标时间是否有变化，请密切留意补充公告及招标答疑中的相关信息。</w:t>
      </w:r>
    </w:p>
    <w:p w14:paraId="5495F2E3">
      <w:pPr>
        <w:spacing w:line="324" w:lineRule="auto"/>
        <w:ind w:firstLine="420" w:firstLineChars="200"/>
        <w:rPr>
          <w:rFonts w:ascii="宋体" w:hAnsi="宋体"/>
          <w:szCs w:val="21"/>
          <w:highlight w:val="none"/>
        </w:rPr>
      </w:pPr>
      <w:r>
        <w:rPr>
          <w:rFonts w:hint="eastAsia" w:ascii="宋体" w:hAnsi="宋体"/>
          <w:szCs w:val="21"/>
          <w:highlight w:val="none"/>
        </w:rPr>
        <w:t>5.1.5　投标人通过</w:t>
      </w:r>
      <w:r>
        <w:rPr>
          <w:rFonts w:hint="eastAsia" w:ascii="宋体" w:hAnsi="宋体"/>
          <w:szCs w:val="21"/>
          <w:highlight w:val="none"/>
          <w:u w:val="single"/>
        </w:rPr>
        <w:t>广州交易集团有限公司（广州公共资源交易中心）数字</w:t>
      </w:r>
      <w:r>
        <w:rPr>
          <w:rFonts w:hint="eastAsia" w:ascii="宋体" w:hAnsi="宋体"/>
          <w:szCs w:val="21"/>
          <w:highlight w:val="none"/>
        </w:rPr>
        <w:t>交易平台递交电子投标文件。投标人应在递交投标文件截止时间前，登录</w:t>
      </w:r>
      <w:r>
        <w:rPr>
          <w:rFonts w:hint="eastAsia" w:ascii="宋体" w:hAnsi="宋体"/>
          <w:szCs w:val="21"/>
          <w:highlight w:val="none"/>
          <w:u w:val="single"/>
        </w:rPr>
        <w:t>广州交易集团有限公司（广州公共资源交易中心）</w:t>
      </w:r>
      <w:r>
        <w:rPr>
          <w:rFonts w:hint="eastAsia" w:ascii="宋体" w:hAnsi="宋体"/>
          <w:szCs w:val="21"/>
          <w:highlight w:val="none"/>
        </w:rPr>
        <w:t>数字交易平台网站办理网上投标登记手续。按照</w:t>
      </w:r>
      <w:r>
        <w:rPr>
          <w:rFonts w:hint="eastAsia" w:ascii="宋体" w:hAnsi="宋体"/>
          <w:szCs w:val="21"/>
          <w:highlight w:val="none"/>
          <w:u w:val="single"/>
        </w:rPr>
        <w:t>广州交易集团有限公司（广州公共资源交易中心）</w:t>
      </w:r>
      <w:r>
        <w:rPr>
          <w:rFonts w:hint="eastAsia" w:ascii="宋体" w:hAnsi="宋体"/>
          <w:szCs w:val="21"/>
          <w:highlight w:val="none"/>
        </w:rPr>
        <w:t>交易平台关于全流程电子化项目的相关指南进行操作。详见：</w:t>
      </w:r>
      <w:r>
        <w:rPr>
          <w:rFonts w:hint="eastAsia" w:ascii="宋体" w:hAnsi="宋体"/>
          <w:szCs w:val="21"/>
          <w:highlight w:val="none"/>
          <w:u w:val="single"/>
        </w:rPr>
        <w:t>广州交易集团有限公司（广州公共资源交易中心）网站</w:t>
      </w:r>
      <w:r>
        <w:rPr>
          <w:rFonts w:hint="eastAsia" w:ascii="宋体" w:hAnsi="宋体"/>
          <w:szCs w:val="21"/>
          <w:highlight w:val="none"/>
        </w:rPr>
        <w:t>。 投标人需在广州交易集团有限公司（广州公共资源交易中心）办理企业信息登记。</w:t>
      </w:r>
    </w:p>
    <w:p w14:paraId="128BAA76">
      <w:pPr>
        <w:spacing w:line="324" w:lineRule="auto"/>
        <w:ind w:firstLine="420" w:firstLineChars="200"/>
        <w:rPr>
          <w:rFonts w:ascii="宋体" w:hAnsi="宋体"/>
          <w:szCs w:val="21"/>
          <w:highlight w:val="none"/>
        </w:rPr>
      </w:pPr>
      <w:r>
        <w:rPr>
          <w:rFonts w:hint="eastAsia" w:ascii="宋体" w:hAnsi="宋体"/>
          <w:szCs w:val="21"/>
          <w:highlight w:val="none"/>
        </w:rPr>
        <w:t>5.2 （B）逾期送达的投标文件，电子招标投标交易平台将予以拒收。</w:t>
      </w:r>
    </w:p>
    <w:p w14:paraId="56921869">
      <w:pPr>
        <w:pStyle w:val="2"/>
        <w:spacing w:before="0" w:after="0" w:line="324" w:lineRule="auto"/>
        <w:rPr>
          <w:rFonts w:ascii="宋体" w:hAnsi="宋体" w:cs="宋体"/>
          <w:sz w:val="28"/>
          <w:szCs w:val="28"/>
          <w:highlight w:val="none"/>
        </w:rPr>
      </w:pPr>
      <w:bookmarkStart w:id="6" w:name="_Toc491883082"/>
      <w:r>
        <w:rPr>
          <w:rFonts w:hint="eastAsia" w:ascii="宋体" w:hAnsi="宋体" w:cs="宋体"/>
          <w:sz w:val="28"/>
          <w:szCs w:val="28"/>
          <w:highlight w:val="none"/>
        </w:rPr>
        <w:t>6. 发布公告的媒介</w:t>
      </w:r>
      <w:bookmarkEnd w:id="6"/>
    </w:p>
    <w:p w14:paraId="2C2A650F">
      <w:pPr>
        <w:spacing w:line="324" w:lineRule="auto"/>
        <w:ind w:firstLine="420" w:firstLineChars="200"/>
        <w:rPr>
          <w:rFonts w:ascii="宋体" w:hAnsi="宋体"/>
          <w:szCs w:val="21"/>
          <w:highlight w:val="none"/>
        </w:rPr>
      </w:pPr>
      <w:r>
        <w:rPr>
          <w:rFonts w:hint="eastAsia" w:ascii="宋体" w:hAnsi="宋体"/>
          <w:szCs w:val="21"/>
          <w:highlight w:val="none"/>
        </w:rPr>
        <w:t>本次招标公告同时在广州交易集团有限公司（广州公共资源交易中心）网（http://www.gzggzy.cn）、广东省招标投标监管网（</w:t>
      </w:r>
      <w:r>
        <w:rPr>
          <w:highlight w:val="none"/>
        </w:rPr>
        <w:fldChar w:fldCharType="begin"/>
      </w:r>
      <w:r>
        <w:rPr>
          <w:highlight w:val="none"/>
        </w:rPr>
        <w:instrText xml:space="preserve"> HYPERLINK "http://zbtb.gd.gov.cn" </w:instrText>
      </w:r>
      <w:r>
        <w:rPr>
          <w:highlight w:val="none"/>
        </w:rPr>
        <w:fldChar w:fldCharType="separate"/>
      </w:r>
      <w:r>
        <w:rPr>
          <w:rStyle w:val="38"/>
          <w:rFonts w:hint="eastAsia" w:ascii="宋体" w:hAnsi="宋体"/>
          <w:color w:val="auto"/>
          <w:szCs w:val="21"/>
          <w:highlight w:val="none"/>
          <w:u w:val="none"/>
        </w:rPr>
        <w:t>http://zbtb.gd.gov.cn</w:t>
      </w:r>
      <w:r>
        <w:rPr>
          <w:rStyle w:val="38"/>
          <w:rFonts w:hint="eastAsia" w:ascii="宋体" w:hAnsi="宋体"/>
          <w:color w:val="auto"/>
          <w:szCs w:val="21"/>
          <w:highlight w:val="none"/>
          <w:u w:val="none"/>
        </w:rPr>
        <w:fldChar w:fldCharType="end"/>
      </w:r>
      <w:r>
        <w:rPr>
          <w:rFonts w:hint="eastAsia" w:ascii="宋体" w:hAnsi="宋体"/>
          <w:szCs w:val="21"/>
          <w:highlight w:val="none"/>
        </w:rPr>
        <w:t>）、中国招标投标公共服务平台（http://www.cebpubservice.com、广州国企阳光采购信息发布平台（https://ygcg.gzggzy.cn/p92/index.html）发布，本公告的修改、补充，在广州交易集团有限公司（广州公共资源交易中心）网发布。</w:t>
      </w:r>
    </w:p>
    <w:p w14:paraId="1504FAEE">
      <w:pPr>
        <w:pStyle w:val="2"/>
        <w:spacing w:before="0" w:after="0" w:line="324" w:lineRule="auto"/>
        <w:rPr>
          <w:rFonts w:ascii="宋体" w:hAnsi="宋体" w:eastAsia="宋体" w:cs="宋体"/>
          <w:sz w:val="28"/>
          <w:szCs w:val="28"/>
          <w:highlight w:val="none"/>
        </w:rPr>
      </w:pPr>
      <w:bookmarkStart w:id="7" w:name="_Toc491883083"/>
      <w:r>
        <w:rPr>
          <w:rFonts w:hint="eastAsia" w:ascii="宋体" w:hAnsi="宋体" w:eastAsia="宋体" w:cs="宋体"/>
          <w:sz w:val="28"/>
          <w:szCs w:val="28"/>
          <w:highlight w:val="none"/>
        </w:rPr>
        <w:t>7. 联系方式</w:t>
      </w:r>
      <w:bookmarkEnd w:id="7"/>
    </w:p>
    <w:p w14:paraId="0CDA7411">
      <w:pPr>
        <w:snapToGrid w:val="0"/>
        <w:spacing w:line="324" w:lineRule="auto"/>
        <w:rPr>
          <w:rFonts w:ascii="宋体" w:hAnsi="宋体"/>
          <w:szCs w:val="21"/>
          <w:highlight w:val="none"/>
        </w:rPr>
      </w:pPr>
      <w:bookmarkStart w:id="8" w:name="_Toc352691455"/>
      <w:bookmarkEnd w:id="8"/>
      <w:bookmarkStart w:id="9" w:name="_Toc384308185"/>
      <w:bookmarkEnd w:id="9"/>
      <w:bookmarkStart w:id="10" w:name="_Toc361508562"/>
      <w:bookmarkEnd w:id="10"/>
      <w:bookmarkStart w:id="11" w:name="_Toc152042289"/>
      <w:bookmarkEnd w:id="11"/>
      <w:bookmarkStart w:id="12" w:name="_Toc247513934"/>
      <w:bookmarkEnd w:id="12"/>
      <w:bookmarkStart w:id="13" w:name="_Toc144974481"/>
      <w:bookmarkEnd w:id="13"/>
      <w:bookmarkStart w:id="14" w:name="_Toc369531495"/>
      <w:bookmarkEnd w:id="14"/>
      <w:bookmarkStart w:id="15" w:name="_Toc10785"/>
      <w:bookmarkEnd w:id="15"/>
      <w:bookmarkStart w:id="16" w:name="_Toc247527535"/>
      <w:bookmarkEnd w:id="16"/>
      <w:bookmarkStart w:id="17" w:name="_Toc300834927"/>
      <w:bookmarkEnd w:id="17"/>
      <w:bookmarkStart w:id="18" w:name="_Toc361508560"/>
      <w:bookmarkEnd w:id="18"/>
      <w:bookmarkStart w:id="19" w:name="_Toc144974480"/>
      <w:bookmarkEnd w:id="19"/>
      <w:bookmarkStart w:id="20" w:name="_Toc352691453"/>
      <w:bookmarkEnd w:id="20"/>
      <w:bookmarkStart w:id="21" w:name="_Toc361508563"/>
      <w:bookmarkEnd w:id="21"/>
      <w:bookmarkStart w:id="22" w:name="_Toc17972"/>
      <w:bookmarkEnd w:id="22"/>
      <w:bookmarkStart w:id="23" w:name="_Toc247527536"/>
      <w:bookmarkEnd w:id="23"/>
      <w:bookmarkStart w:id="24" w:name="_Toc152045512"/>
      <w:bookmarkEnd w:id="24"/>
      <w:bookmarkStart w:id="25" w:name="_Toc300834930"/>
      <w:bookmarkEnd w:id="25"/>
      <w:bookmarkStart w:id="26" w:name="_Toc30817"/>
      <w:bookmarkEnd w:id="26"/>
      <w:bookmarkStart w:id="27" w:name="_Toc152045513"/>
      <w:bookmarkEnd w:id="27"/>
      <w:bookmarkStart w:id="28" w:name="_Toc369531497"/>
      <w:bookmarkEnd w:id="28"/>
      <w:bookmarkStart w:id="29" w:name="_Toc352691456"/>
      <w:bookmarkEnd w:id="29"/>
      <w:bookmarkStart w:id="30" w:name="_Toc152042288"/>
      <w:bookmarkEnd w:id="30"/>
      <w:bookmarkStart w:id="31" w:name="_Toc300834929"/>
      <w:bookmarkEnd w:id="31"/>
      <w:bookmarkStart w:id="32" w:name="_Toc384308187"/>
      <w:bookmarkEnd w:id="32"/>
      <w:bookmarkStart w:id="33" w:name="_Toc384308188"/>
      <w:bookmarkEnd w:id="33"/>
      <w:bookmarkStart w:id="34" w:name="_Toc369531498"/>
      <w:bookmarkEnd w:id="34"/>
      <w:bookmarkStart w:id="35" w:name="_Toc247513935"/>
      <w:bookmarkEnd w:id="35"/>
      <w:r>
        <w:rPr>
          <w:rFonts w:hint="eastAsia" w:ascii="宋体" w:hAnsi="宋体"/>
          <w:szCs w:val="21"/>
          <w:highlight w:val="none"/>
        </w:rPr>
        <w:t>招 标 人：中国大酒店</w:t>
      </w:r>
    </w:p>
    <w:p w14:paraId="7E85D9A8">
      <w:pPr>
        <w:snapToGrid w:val="0"/>
        <w:spacing w:line="324" w:lineRule="auto"/>
        <w:rPr>
          <w:rFonts w:ascii="宋体" w:hAnsi="宋体"/>
          <w:szCs w:val="21"/>
          <w:highlight w:val="none"/>
        </w:rPr>
      </w:pPr>
      <w:r>
        <w:rPr>
          <w:rFonts w:hint="eastAsia" w:ascii="宋体" w:hAnsi="宋体"/>
          <w:szCs w:val="21"/>
          <w:highlight w:val="none"/>
        </w:rPr>
        <w:t>地    址：广东省广州市越秀区流花路122号</w:t>
      </w:r>
    </w:p>
    <w:p w14:paraId="72C3A26F">
      <w:pPr>
        <w:snapToGrid w:val="0"/>
        <w:spacing w:line="324" w:lineRule="auto"/>
        <w:rPr>
          <w:rFonts w:ascii="宋体" w:hAnsi="宋体"/>
          <w:szCs w:val="21"/>
          <w:highlight w:val="none"/>
        </w:rPr>
      </w:pPr>
      <w:r>
        <w:rPr>
          <w:rFonts w:hint="eastAsia" w:ascii="宋体" w:hAnsi="宋体"/>
          <w:szCs w:val="21"/>
          <w:highlight w:val="none"/>
        </w:rPr>
        <w:t>联 系 人：杨工</w:t>
      </w:r>
    </w:p>
    <w:p w14:paraId="670FAC5F">
      <w:pPr>
        <w:snapToGrid w:val="0"/>
        <w:spacing w:line="324" w:lineRule="auto"/>
        <w:rPr>
          <w:rFonts w:ascii="宋体" w:hAnsi="宋体"/>
          <w:szCs w:val="21"/>
          <w:highlight w:val="none"/>
        </w:rPr>
      </w:pPr>
      <w:r>
        <w:rPr>
          <w:rFonts w:hint="eastAsia" w:ascii="宋体" w:hAnsi="宋体"/>
          <w:szCs w:val="21"/>
          <w:highlight w:val="none"/>
        </w:rPr>
        <w:t>电    话：</w:t>
      </w:r>
      <w:r>
        <w:rPr>
          <w:rFonts w:ascii="宋体" w:hAnsi="宋体"/>
          <w:szCs w:val="21"/>
          <w:highlight w:val="none"/>
        </w:rPr>
        <w:t>020</w:t>
      </w:r>
      <w:r>
        <w:rPr>
          <w:rFonts w:hint="eastAsia" w:ascii="宋体" w:hAnsi="宋体"/>
          <w:szCs w:val="21"/>
          <w:highlight w:val="none"/>
        </w:rPr>
        <w:t>-</w:t>
      </w:r>
      <w:r>
        <w:rPr>
          <w:rFonts w:ascii="宋体" w:hAnsi="宋体"/>
          <w:szCs w:val="21"/>
          <w:highlight w:val="none"/>
        </w:rPr>
        <w:t>86666888</w:t>
      </w:r>
      <w:r>
        <w:rPr>
          <w:rFonts w:hint="eastAsia" w:ascii="宋体" w:hAnsi="宋体"/>
          <w:szCs w:val="21"/>
          <w:highlight w:val="none"/>
        </w:rPr>
        <w:t>转3</w:t>
      </w:r>
      <w:r>
        <w:rPr>
          <w:rFonts w:ascii="宋体" w:hAnsi="宋体"/>
          <w:szCs w:val="21"/>
          <w:highlight w:val="none"/>
        </w:rPr>
        <w:t>313</w:t>
      </w:r>
    </w:p>
    <w:p w14:paraId="0126271A">
      <w:pPr>
        <w:topLinePunct/>
        <w:snapToGrid w:val="0"/>
        <w:spacing w:line="324" w:lineRule="auto"/>
        <w:ind w:firstLine="420" w:firstLineChars="200"/>
        <w:rPr>
          <w:rFonts w:ascii="宋体" w:hAnsi="宋体"/>
          <w:szCs w:val="21"/>
          <w:highlight w:val="none"/>
        </w:rPr>
      </w:pPr>
    </w:p>
    <w:p w14:paraId="1A4696CB">
      <w:pPr>
        <w:snapToGrid w:val="0"/>
        <w:spacing w:line="324" w:lineRule="auto"/>
        <w:rPr>
          <w:rFonts w:ascii="宋体" w:hAnsi="宋体"/>
          <w:szCs w:val="21"/>
          <w:highlight w:val="none"/>
        </w:rPr>
      </w:pPr>
      <w:r>
        <w:rPr>
          <w:rFonts w:hint="eastAsia" w:ascii="宋体" w:hAnsi="宋体"/>
          <w:szCs w:val="21"/>
          <w:highlight w:val="none"/>
        </w:rPr>
        <w:t>招标代理机构：众意项目管理咨询(广州)有限公司</w:t>
      </w:r>
    </w:p>
    <w:p w14:paraId="68A8AE74">
      <w:pPr>
        <w:snapToGrid w:val="0"/>
        <w:spacing w:line="324" w:lineRule="auto"/>
        <w:rPr>
          <w:rFonts w:ascii="宋体" w:hAnsi="宋体"/>
          <w:szCs w:val="21"/>
          <w:highlight w:val="none"/>
        </w:rPr>
      </w:pPr>
      <w:r>
        <w:rPr>
          <w:rFonts w:hint="eastAsia" w:ascii="宋体" w:hAnsi="宋体"/>
          <w:szCs w:val="21"/>
          <w:highlight w:val="none"/>
        </w:rPr>
        <w:t>地    址：广州市越秀区南堤二马路34号二楼B06-1房</w:t>
      </w:r>
    </w:p>
    <w:p w14:paraId="7994246B">
      <w:pPr>
        <w:snapToGrid w:val="0"/>
        <w:spacing w:line="324" w:lineRule="auto"/>
        <w:rPr>
          <w:rFonts w:ascii="宋体" w:hAnsi="宋体"/>
          <w:szCs w:val="21"/>
          <w:highlight w:val="none"/>
        </w:rPr>
      </w:pPr>
      <w:r>
        <w:rPr>
          <w:rFonts w:hint="eastAsia" w:ascii="宋体" w:hAnsi="宋体"/>
          <w:szCs w:val="21"/>
          <w:highlight w:val="none"/>
        </w:rPr>
        <w:t xml:space="preserve">联系人：蔡工 </w:t>
      </w:r>
    </w:p>
    <w:p w14:paraId="462F6F49">
      <w:pPr>
        <w:snapToGrid w:val="0"/>
        <w:spacing w:line="324" w:lineRule="auto"/>
        <w:rPr>
          <w:rFonts w:ascii="宋体" w:hAnsi="宋体"/>
          <w:szCs w:val="21"/>
          <w:highlight w:val="none"/>
        </w:rPr>
      </w:pPr>
      <w:r>
        <w:rPr>
          <w:rFonts w:hint="eastAsia" w:ascii="宋体" w:hAnsi="宋体"/>
          <w:szCs w:val="21"/>
          <w:highlight w:val="none"/>
        </w:rPr>
        <w:t>联系电话：020-83700485</w:t>
      </w:r>
    </w:p>
    <w:p w14:paraId="4278BCE4">
      <w:pPr>
        <w:topLinePunct/>
        <w:snapToGrid w:val="0"/>
        <w:spacing w:line="324" w:lineRule="auto"/>
        <w:rPr>
          <w:rFonts w:ascii="宋体" w:hAnsi="宋体"/>
          <w:szCs w:val="21"/>
          <w:highlight w:val="none"/>
        </w:rPr>
      </w:pPr>
    </w:p>
    <w:p w14:paraId="209DBD4A">
      <w:pPr>
        <w:snapToGrid w:val="0"/>
        <w:spacing w:line="324" w:lineRule="auto"/>
        <w:rPr>
          <w:rFonts w:ascii="宋体" w:hAnsi="宋体"/>
          <w:szCs w:val="21"/>
          <w:highlight w:val="none"/>
        </w:rPr>
      </w:pPr>
      <w:r>
        <w:rPr>
          <w:rFonts w:hint="eastAsia" w:ascii="宋体" w:hAnsi="宋体"/>
          <w:szCs w:val="21"/>
          <w:highlight w:val="none"/>
        </w:rPr>
        <w:t>潜在投标人或利害关系人对本招标公告及招标文件有异议的，应当在投标截止时间10日前向招标人书面提出。</w:t>
      </w:r>
    </w:p>
    <w:p w14:paraId="04A31034">
      <w:pPr>
        <w:snapToGrid w:val="0"/>
        <w:spacing w:line="324" w:lineRule="auto"/>
        <w:rPr>
          <w:rFonts w:ascii="宋体" w:hAnsi="宋体"/>
          <w:szCs w:val="21"/>
          <w:highlight w:val="none"/>
        </w:rPr>
      </w:pPr>
      <w:r>
        <w:rPr>
          <w:rFonts w:hint="eastAsia" w:ascii="宋体" w:hAnsi="宋体"/>
          <w:szCs w:val="21"/>
          <w:highlight w:val="none"/>
        </w:rPr>
        <w:t>异议受理部门：中国大酒店</w:t>
      </w:r>
    </w:p>
    <w:p w14:paraId="644FF0CE">
      <w:pPr>
        <w:snapToGrid w:val="0"/>
        <w:spacing w:line="324" w:lineRule="auto"/>
        <w:rPr>
          <w:rFonts w:ascii="宋体" w:hAnsi="宋体"/>
          <w:szCs w:val="21"/>
          <w:highlight w:val="none"/>
        </w:rPr>
      </w:pPr>
      <w:r>
        <w:rPr>
          <w:rFonts w:hint="eastAsia" w:ascii="宋体" w:hAnsi="宋体"/>
          <w:szCs w:val="21"/>
          <w:highlight w:val="none"/>
        </w:rPr>
        <w:t>地址：中国大酒店三楼纪检监督室</w:t>
      </w:r>
    </w:p>
    <w:p w14:paraId="7DCBFD7D">
      <w:pPr>
        <w:snapToGrid w:val="0"/>
        <w:spacing w:line="324" w:lineRule="auto"/>
        <w:rPr>
          <w:rFonts w:ascii="宋体" w:hAnsi="宋体"/>
          <w:szCs w:val="21"/>
          <w:highlight w:val="none"/>
        </w:rPr>
      </w:pPr>
      <w:r>
        <w:rPr>
          <w:rFonts w:hint="eastAsia" w:ascii="宋体" w:hAnsi="宋体"/>
          <w:szCs w:val="21"/>
          <w:highlight w:val="none"/>
        </w:rPr>
        <w:t>电话：020-86666888-3878或3379</w:t>
      </w:r>
    </w:p>
    <w:p w14:paraId="52E235D5">
      <w:pPr>
        <w:snapToGrid w:val="0"/>
        <w:spacing w:line="324" w:lineRule="auto"/>
        <w:rPr>
          <w:rFonts w:ascii="宋体" w:hAnsi="宋体"/>
          <w:szCs w:val="21"/>
          <w:highlight w:val="none"/>
        </w:rPr>
      </w:pPr>
      <w:r>
        <w:rPr>
          <w:rFonts w:hint="eastAsia" w:ascii="宋体" w:hAnsi="宋体"/>
          <w:szCs w:val="21"/>
          <w:highlight w:val="none"/>
        </w:rPr>
        <w:t>注：潜在投标人或利害关系人可以通过线下或线上的形式提出异议。线上提出异议的，应通过广州交易集团有限公司（广州公共资源交易中心）交易平台提交，招标人也应通过交易平台答复线上提出的异议。具体按照交易平台相关指南进行操作。作出答复前，应当暂停招标投标活动。</w:t>
      </w:r>
    </w:p>
    <w:p w14:paraId="23861211">
      <w:pPr>
        <w:snapToGrid w:val="0"/>
        <w:spacing w:line="324" w:lineRule="auto"/>
        <w:rPr>
          <w:rFonts w:ascii="宋体" w:hAnsi="宋体"/>
          <w:szCs w:val="21"/>
          <w:highlight w:val="none"/>
        </w:rPr>
      </w:pPr>
    </w:p>
    <w:p w14:paraId="506756AE">
      <w:pPr>
        <w:snapToGrid w:val="0"/>
        <w:spacing w:line="324" w:lineRule="auto"/>
        <w:rPr>
          <w:rFonts w:hint="eastAsia" w:ascii="宋体" w:hAnsi="宋体"/>
          <w:szCs w:val="21"/>
          <w:highlight w:val="none"/>
        </w:rPr>
      </w:pPr>
      <w:r>
        <w:rPr>
          <w:rFonts w:hint="eastAsia" w:ascii="宋体" w:hAnsi="宋体"/>
          <w:szCs w:val="21"/>
          <w:highlight w:val="none"/>
        </w:rPr>
        <w:t>招标监督机构：广州市越秀区建设工程招投标管理中心</w:t>
      </w:r>
    </w:p>
    <w:p w14:paraId="43D89A1E">
      <w:pPr>
        <w:snapToGrid w:val="0"/>
        <w:spacing w:line="324" w:lineRule="auto"/>
        <w:rPr>
          <w:rFonts w:hint="default" w:ascii="宋体" w:hAnsi="宋体" w:eastAsia="等线"/>
          <w:szCs w:val="21"/>
          <w:highlight w:val="none"/>
          <w:lang w:val="en-US" w:eastAsia="zh-CN"/>
        </w:rPr>
      </w:pPr>
      <w:r>
        <w:rPr>
          <w:rFonts w:hint="eastAsia" w:ascii="宋体" w:hAnsi="宋体"/>
          <w:szCs w:val="21"/>
          <w:highlight w:val="none"/>
          <w:lang w:val="en-US" w:eastAsia="zh-CN"/>
        </w:rPr>
        <w:t>联系地址：广州市越秀区东华东路 353 号锦桦荟 336 室</w:t>
      </w:r>
    </w:p>
    <w:p w14:paraId="679DA554">
      <w:pPr>
        <w:snapToGrid w:val="0"/>
        <w:spacing w:line="324" w:lineRule="auto"/>
        <w:rPr>
          <w:rFonts w:hint="default" w:ascii="宋体" w:hAnsi="宋体" w:eastAsia="等线"/>
          <w:szCs w:val="21"/>
          <w:highlight w:val="none"/>
          <w:lang w:val="en-US" w:eastAsia="zh-CN"/>
        </w:rPr>
      </w:pPr>
      <w:r>
        <w:rPr>
          <w:rFonts w:hint="eastAsia" w:ascii="宋体" w:hAnsi="宋体"/>
          <w:szCs w:val="21"/>
          <w:highlight w:val="none"/>
          <w:lang w:val="en-US" w:eastAsia="zh-CN"/>
        </w:rPr>
        <w:t>联系电话：020-37668900</w:t>
      </w:r>
    </w:p>
    <w:p w14:paraId="4047BAFD">
      <w:pPr>
        <w:snapToGrid w:val="0"/>
        <w:spacing w:line="324" w:lineRule="auto"/>
        <w:jc w:val="right"/>
        <w:rPr>
          <w:rFonts w:ascii="宋体" w:hAnsi="宋体"/>
          <w:szCs w:val="21"/>
          <w:highlight w:val="none"/>
        </w:rPr>
      </w:pPr>
    </w:p>
    <w:p w14:paraId="71FFE8DD">
      <w:pPr>
        <w:snapToGrid w:val="0"/>
        <w:spacing w:line="324" w:lineRule="auto"/>
        <w:jc w:val="right"/>
        <w:rPr>
          <w:rFonts w:ascii="宋体" w:hAnsi="宋体"/>
          <w:szCs w:val="21"/>
          <w:highlight w:val="none"/>
        </w:rPr>
      </w:pPr>
      <w:r>
        <w:rPr>
          <w:rFonts w:hint="eastAsia" w:ascii="宋体" w:hAnsi="宋体"/>
          <w:szCs w:val="21"/>
          <w:highlight w:val="none"/>
        </w:rPr>
        <w:t>中国大酒店</w:t>
      </w:r>
    </w:p>
    <w:p w14:paraId="1CE93623">
      <w:pPr>
        <w:snapToGrid w:val="0"/>
        <w:spacing w:line="324" w:lineRule="auto"/>
        <w:jc w:val="right"/>
        <w:rPr>
          <w:rFonts w:ascii="宋体" w:hAnsi="宋体"/>
          <w:szCs w:val="21"/>
          <w:highlight w:val="none"/>
        </w:rPr>
      </w:pPr>
      <w:r>
        <w:rPr>
          <w:rFonts w:hint="eastAsia" w:ascii="宋体" w:hAnsi="宋体"/>
          <w:szCs w:val="21"/>
          <w:highlight w:val="none"/>
        </w:rPr>
        <w:t>众意项目管理咨询(广州)有限公司</w:t>
      </w:r>
    </w:p>
    <w:p w14:paraId="087161A2">
      <w:pPr>
        <w:snapToGrid w:val="0"/>
        <w:spacing w:line="324" w:lineRule="auto"/>
        <w:jc w:val="right"/>
        <w:rPr>
          <w:rFonts w:ascii="宋体" w:hAnsi="宋体"/>
          <w:highlight w:val="none"/>
        </w:rPr>
      </w:pPr>
      <w:r>
        <w:rPr>
          <w:rFonts w:hint="eastAsia" w:ascii="宋体" w:hAnsi="宋体"/>
          <w:szCs w:val="21"/>
          <w:highlight w:val="none"/>
        </w:rPr>
        <w:t xml:space="preserve">2025年    月    日  </w:t>
      </w:r>
    </w:p>
    <w:p w14:paraId="6DD55204">
      <w:pPr>
        <w:widowControl/>
        <w:spacing w:line="259" w:lineRule="auto"/>
        <w:ind w:right="1604"/>
        <w:jc w:val="center"/>
        <w:rPr>
          <w:rFonts w:ascii="宋体" w:hAnsi="宋体" w:eastAsia="宋体"/>
          <w:sz w:val="22"/>
          <w:highlight w:val="none"/>
        </w:rPr>
      </w:pPr>
      <w:r>
        <w:rPr>
          <w:rFonts w:hint="eastAsia" w:ascii="宋体" w:hAnsi="宋体" w:eastAsia="宋体"/>
          <w:b/>
          <w:sz w:val="44"/>
          <w:highlight w:val="none"/>
        </w:rPr>
        <w:br w:type="page"/>
      </w:r>
    </w:p>
    <w:p w14:paraId="165DCC27">
      <w:pPr>
        <w:spacing w:line="502" w:lineRule="exact"/>
        <w:ind w:right="220"/>
        <w:jc w:val="center"/>
        <w:outlineLvl w:val="0"/>
        <w:rPr>
          <w:rFonts w:ascii="宋体" w:hAnsi="宋体" w:eastAsia="宋体"/>
          <w:b/>
          <w:sz w:val="44"/>
          <w:highlight w:val="none"/>
        </w:rPr>
      </w:pPr>
      <w:bookmarkStart w:id="36" w:name="_Toc3683"/>
      <w:r>
        <w:rPr>
          <w:rFonts w:hint="eastAsia" w:ascii="宋体" w:hAnsi="宋体" w:eastAsia="宋体"/>
          <w:b/>
          <w:sz w:val="44"/>
          <w:highlight w:val="none"/>
        </w:rPr>
        <w:t>第二章投标人须知</w:t>
      </w:r>
      <w:bookmarkEnd w:id="36"/>
    </w:p>
    <w:p w14:paraId="0D9E73E9">
      <w:pPr>
        <w:spacing w:line="201" w:lineRule="exact"/>
        <w:rPr>
          <w:rFonts w:ascii="宋体" w:hAnsi="宋体" w:eastAsia="宋体"/>
          <w:highlight w:val="none"/>
        </w:rPr>
      </w:pPr>
    </w:p>
    <w:p w14:paraId="39F918E4">
      <w:pPr>
        <w:jc w:val="center"/>
        <w:rPr>
          <w:rFonts w:ascii="宋体" w:hAnsi="宋体" w:eastAsia="宋体"/>
          <w:b/>
          <w:sz w:val="32"/>
          <w:highlight w:val="none"/>
        </w:rPr>
      </w:pPr>
      <w:r>
        <w:rPr>
          <w:rFonts w:hint="eastAsia" w:ascii="宋体" w:hAnsi="宋体" w:eastAsia="宋体"/>
          <w:b/>
          <w:sz w:val="32"/>
          <w:highlight w:val="none"/>
        </w:rPr>
        <w:t>投标人须知前附表</w:t>
      </w:r>
    </w:p>
    <w:tbl>
      <w:tblPr>
        <w:tblStyle w:val="31"/>
        <w:tblW w:w="4998" w:type="pct"/>
        <w:tblInd w:w="0" w:type="dxa"/>
        <w:tblLayout w:type="autofit"/>
        <w:tblCellMar>
          <w:top w:w="0" w:type="dxa"/>
          <w:left w:w="108" w:type="dxa"/>
          <w:bottom w:w="0" w:type="dxa"/>
          <w:right w:w="108" w:type="dxa"/>
        </w:tblCellMar>
      </w:tblPr>
      <w:tblGrid>
        <w:gridCol w:w="1166"/>
        <w:gridCol w:w="2042"/>
        <w:gridCol w:w="5930"/>
      </w:tblGrid>
      <w:tr w14:paraId="53FE82D1">
        <w:tblPrEx>
          <w:tblCellMar>
            <w:top w:w="0" w:type="dxa"/>
            <w:left w:w="108" w:type="dxa"/>
            <w:bottom w:w="0" w:type="dxa"/>
            <w:right w:w="108" w:type="dxa"/>
          </w:tblCellMar>
        </w:tblPrEx>
        <w:trPr>
          <w:trHeight w:val="106" w:hRule="atLeast"/>
          <w:tblHeader/>
        </w:trPr>
        <w:tc>
          <w:tcPr>
            <w:tcW w:w="638" w:type="pct"/>
            <w:tcBorders>
              <w:top w:val="single" w:color="auto" w:sz="4" w:space="0"/>
              <w:left w:val="single" w:color="auto" w:sz="4" w:space="0"/>
              <w:bottom w:val="single" w:color="auto" w:sz="4" w:space="0"/>
              <w:right w:val="single" w:color="auto" w:sz="4" w:space="0"/>
            </w:tcBorders>
            <w:vAlign w:val="center"/>
          </w:tcPr>
          <w:p w14:paraId="5629568D">
            <w:pPr>
              <w:jc w:val="center"/>
              <w:rPr>
                <w:rFonts w:ascii="宋体" w:hAnsi="宋体" w:eastAsia="宋体"/>
                <w:b/>
                <w:szCs w:val="21"/>
                <w:highlight w:val="none"/>
              </w:rPr>
            </w:pPr>
            <w:r>
              <w:rPr>
                <w:rFonts w:hint="eastAsia" w:ascii="宋体" w:hAnsi="宋体" w:eastAsia="宋体"/>
                <w:b/>
                <w:szCs w:val="21"/>
                <w:highlight w:val="none"/>
              </w:rPr>
              <w:t>条款号</w:t>
            </w:r>
          </w:p>
        </w:tc>
        <w:tc>
          <w:tcPr>
            <w:tcW w:w="1117" w:type="pct"/>
            <w:tcBorders>
              <w:top w:val="single" w:color="auto" w:sz="4" w:space="0"/>
              <w:left w:val="single" w:color="auto" w:sz="4" w:space="0"/>
              <w:bottom w:val="single" w:color="auto" w:sz="4" w:space="0"/>
              <w:right w:val="single" w:color="auto" w:sz="4" w:space="0"/>
            </w:tcBorders>
            <w:vAlign w:val="center"/>
          </w:tcPr>
          <w:p w14:paraId="3F57BC13">
            <w:pPr>
              <w:jc w:val="center"/>
              <w:rPr>
                <w:rFonts w:ascii="宋体" w:hAnsi="宋体" w:eastAsia="宋体"/>
                <w:b/>
                <w:szCs w:val="21"/>
                <w:highlight w:val="none"/>
              </w:rPr>
            </w:pPr>
            <w:r>
              <w:rPr>
                <w:rFonts w:hint="eastAsia" w:ascii="宋体" w:hAnsi="宋体" w:eastAsia="宋体"/>
                <w:b/>
                <w:szCs w:val="21"/>
                <w:highlight w:val="none"/>
              </w:rPr>
              <w:t>条款名称</w:t>
            </w:r>
          </w:p>
        </w:tc>
        <w:tc>
          <w:tcPr>
            <w:tcW w:w="3243" w:type="pct"/>
            <w:tcBorders>
              <w:top w:val="single" w:color="auto" w:sz="4" w:space="0"/>
              <w:left w:val="single" w:color="auto" w:sz="4" w:space="0"/>
              <w:bottom w:val="single" w:color="auto" w:sz="4" w:space="0"/>
              <w:right w:val="single" w:color="auto" w:sz="4" w:space="0"/>
            </w:tcBorders>
            <w:vAlign w:val="center"/>
          </w:tcPr>
          <w:p w14:paraId="2665061C">
            <w:pPr>
              <w:jc w:val="center"/>
              <w:rPr>
                <w:rFonts w:ascii="宋体" w:hAnsi="宋体" w:eastAsia="宋体"/>
                <w:b/>
                <w:szCs w:val="21"/>
                <w:highlight w:val="none"/>
              </w:rPr>
            </w:pPr>
            <w:r>
              <w:rPr>
                <w:rFonts w:hint="eastAsia" w:ascii="宋体" w:hAnsi="宋体" w:eastAsia="宋体"/>
                <w:b/>
                <w:szCs w:val="21"/>
                <w:highlight w:val="none"/>
              </w:rPr>
              <w:t>编列内容</w:t>
            </w:r>
          </w:p>
        </w:tc>
      </w:tr>
      <w:tr w14:paraId="4FEF12CA">
        <w:tblPrEx>
          <w:tblCellMar>
            <w:top w:w="0" w:type="dxa"/>
            <w:left w:w="108" w:type="dxa"/>
            <w:bottom w:w="0" w:type="dxa"/>
            <w:right w:w="108" w:type="dxa"/>
          </w:tblCellMar>
        </w:tblPrEx>
        <w:trPr>
          <w:trHeight w:val="427" w:hRule="atLeast"/>
        </w:trPr>
        <w:tc>
          <w:tcPr>
            <w:tcW w:w="638" w:type="pct"/>
            <w:tcBorders>
              <w:top w:val="single" w:color="auto" w:sz="4" w:space="0"/>
              <w:left w:val="single" w:color="auto" w:sz="4" w:space="0"/>
              <w:bottom w:val="single" w:color="auto" w:sz="4" w:space="0"/>
              <w:right w:val="single" w:color="auto" w:sz="4" w:space="0"/>
            </w:tcBorders>
            <w:vAlign w:val="center"/>
          </w:tcPr>
          <w:p w14:paraId="053AB26A">
            <w:pPr>
              <w:jc w:val="center"/>
              <w:rPr>
                <w:rFonts w:ascii="宋体" w:hAnsi="宋体" w:eastAsia="宋体"/>
                <w:szCs w:val="21"/>
                <w:highlight w:val="none"/>
              </w:rPr>
            </w:pPr>
            <w:r>
              <w:rPr>
                <w:rFonts w:hint="eastAsia" w:ascii="宋体" w:hAnsi="宋体" w:eastAsia="宋体"/>
                <w:szCs w:val="21"/>
                <w:highlight w:val="none"/>
              </w:rPr>
              <w:t>1.1.2</w:t>
            </w:r>
          </w:p>
        </w:tc>
        <w:tc>
          <w:tcPr>
            <w:tcW w:w="1117" w:type="pct"/>
            <w:tcBorders>
              <w:top w:val="single" w:color="auto" w:sz="4" w:space="0"/>
              <w:left w:val="single" w:color="auto" w:sz="4" w:space="0"/>
              <w:bottom w:val="single" w:color="auto" w:sz="4" w:space="0"/>
              <w:right w:val="single" w:color="auto" w:sz="4" w:space="0"/>
            </w:tcBorders>
            <w:vAlign w:val="center"/>
          </w:tcPr>
          <w:p w14:paraId="0CDE22BE">
            <w:pPr>
              <w:jc w:val="center"/>
              <w:rPr>
                <w:rFonts w:ascii="宋体" w:hAnsi="宋体" w:eastAsia="宋体"/>
                <w:szCs w:val="21"/>
                <w:highlight w:val="none"/>
              </w:rPr>
            </w:pPr>
            <w:r>
              <w:rPr>
                <w:rFonts w:hint="eastAsia" w:ascii="宋体" w:hAnsi="宋体" w:eastAsia="宋体"/>
                <w:szCs w:val="21"/>
                <w:highlight w:val="none"/>
              </w:rPr>
              <w:t>招标人</w:t>
            </w:r>
          </w:p>
        </w:tc>
        <w:tc>
          <w:tcPr>
            <w:tcW w:w="3243" w:type="pct"/>
            <w:tcBorders>
              <w:top w:val="single" w:color="auto" w:sz="4" w:space="0"/>
              <w:left w:val="single" w:color="auto" w:sz="4" w:space="0"/>
              <w:bottom w:val="single" w:color="auto" w:sz="4" w:space="0"/>
              <w:right w:val="single" w:color="auto" w:sz="4" w:space="0"/>
            </w:tcBorders>
            <w:vAlign w:val="center"/>
          </w:tcPr>
          <w:p w14:paraId="7BE8B644">
            <w:pPr>
              <w:jc w:val="left"/>
              <w:rPr>
                <w:rFonts w:ascii="宋体" w:hAnsi="宋体"/>
                <w:szCs w:val="21"/>
                <w:highlight w:val="none"/>
              </w:rPr>
            </w:pPr>
            <w:r>
              <w:rPr>
                <w:rFonts w:hint="eastAsia" w:ascii="宋体" w:hAnsi="宋体"/>
                <w:szCs w:val="21"/>
                <w:highlight w:val="none"/>
              </w:rPr>
              <w:t>招 标 人：中国大酒店</w:t>
            </w:r>
          </w:p>
          <w:p w14:paraId="7AB63289">
            <w:pPr>
              <w:jc w:val="left"/>
              <w:rPr>
                <w:rFonts w:ascii="宋体" w:hAnsi="宋体"/>
                <w:szCs w:val="21"/>
                <w:highlight w:val="none"/>
              </w:rPr>
            </w:pPr>
            <w:r>
              <w:rPr>
                <w:rFonts w:hint="eastAsia" w:ascii="宋体" w:hAnsi="宋体"/>
                <w:szCs w:val="21"/>
                <w:highlight w:val="none"/>
              </w:rPr>
              <w:t>地    址：广东省广州市越秀区流花路122号</w:t>
            </w:r>
          </w:p>
          <w:p w14:paraId="31DC83B8">
            <w:pPr>
              <w:jc w:val="left"/>
              <w:rPr>
                <w:rFonts w:ascii="宋体" w:hAnsi="宋体"/>
                <w:szCs w:val="21"/>
                <w:highlight w:val="none"/>
              </w:rPr>
            </w:pPr>
            <w:r>
              <w:rPr>
                <w:rFonts w:hint="eastAsia" w:ascii="宋体" w:hAnsi="宋体"/>
                <w:szCs w:val="21"/>
                <w:highlight w:val="none"/>
              </w:rPr>
              <w:t>联 系 人：杨工</w:t>
            </w:r>
          </w:p>
          <w:p w14:paraId="5536AD3D">
            <w:pPr>
              <w:jc w:val="left"/>
              <w:rPr>
                <w:rFonts w:ascii="宋体" w:hAnsi="宋体" w:eastAsia="宋体"/>
                <w:szCs w:val="21"/>
                <w:highlight w:val="none"/>
              </w:rPr>
            </w:pPr>
            <w:r>
              <w:rPr>
                <w:rFonts w:hint="eastAsia" w:ascii="宋体" w:hAnsi="宋体"/>
                <w:szCs w:val="21"/>
                <w:highlight w:val="none"/>
              </w:rPr>
              <w:t>电    话：18126866631</w:t>
            </w:r>
          </w:p>
        </w:tc>
      </w:tr>
      <w:tr w14:paraId="155203A5">
        <w:tblPrEx>
          <w:tblCellMar>
            <w:top w:w="0" w:type="dxa"/>
            <w:left w:w="108" w:type="dxa"/>
            <w:bottom w:w="0" w:type="dxa"/>
            <w:right w:w="108" w:type="dxa"/>
          </w:tblCellMar>
        </w:tblPrEx>
        <w:trPr>
          <w:trHeight w:val="427" w:hRule="atLeast"/>
        </w:trPr>
        <w:tc>
          <w:tcPr>
            <w:tcW w:w="638" w:type="pct"/>
            <w:tcBorders>
              <w:top w:val="single" w:color="auto" w:sz="4" w:space="0"/>
              <w:left w:val="single" w:color="auto" w:sz="4" w:space="0"/>
              <w:bottom w:val="single" w:color="auto" w:sz="4" w:space="0"/>
              <w:right w:val="single" w:color="auto" w:sz="4" w:space="0"/>
            </w:tcBorders>
            <w:vAlign w:val="center"/>
          </w:tcPr>
          <w:p w14:paraId="3D2455B5">
            <w:pPr>
              <w:jc w:val="center"/>
              <w:rPr>
                <w:rFonts w:ascii="宋体" w:hAnsi="宋体" w:eastAsia="宋体"/>
                <w:szCs w:val="21"/>
                <w:highlight w:val="none"/>
              </w:rPr>
            </w:pPr>
            <w:r>
              <w:rPr>
                <w:rFonts w:hint="eastAsia" w:ascii="宋体" w:hAnsi="宋体" w:eastAsia="宋体"/>
                <w:szCs w:val="21"/>
                <w:highlight w:val="none"/>
              </w:rPr>
              <w:t>1.1.3</w:t>
            </w:r>
          </w:p>
        </w:tc>
        <w:tc>
          <w:tcPr>
            <w:tcW w:w="1117" w:type="pct"/>
            <w:tcBorders>
              <w:top w:val="single" w:color="auto" w:sz="4" w:space="0"/>
              <w:left w:val="single" w:color="auto" w:sz="4" w:space="0"/>
              <w:bottom w:val="single" w:color="auto" w:sz="4" w:space="0"/>
              <w:right w:val="single" w:color="auto" w:sz="4" w:space="0"/>
            </w:tcBorders>
            <w:vAlign w:val="center"/>
          </w:tcPr>
          <w:p w14:paraId="7F34C0FB">
            <w:pPr>
              <w:jc w:val="center"/>
              <w:rPr>
                <w:rFonts w:ascii="宋体" w:hAnsi="宋体" w:eastAsia="宋体"/>
                <w:szCs w:val="21"/>
                <w:highlight w:val="none"/>
              </w:rPr>
            </w:pPr>
            <w:r>
              <w:rPr>
                <w:rFonts w:hint="eastAsia" w:ascii="宋体" w:hAnsi="宋体" w:eastAsia="宋体"/>
                <w:szCs w:val="21"/>
                <w:highlight w:val="none"/>
              </w:rPr>
              <w:t>招标代理机构</w:t>
            </w:r>
          </w:p>
        </w:tc>
        <w:tc>
          <w:tcPr>
            <w:tcW w:w="3243" w:type="pct"/>
            <w:tcBorders>
              <w:top w:val="single" w:color="auto" w:sz="4" w:space="0"/>
              <w:left w:val="single" w:color="auto" w:sz="4" w:space="0"/>
              <w:bottom w:val="single" w:color="auto" w:sz="4" w:space="0"/>
              <w:right w:val="single" w:color="auto" w:sz="4" w:space="0"/>
            </w:tcBorders>
            <w:vAlign w:val="center"/>
          </w:tcPr>
          <w:p w14:paraId="5252150C">
            <w:pPr>
              <w:jc w:val="left"/>
              <w:rPr>
                <w:rFonts w:ascii="宋体" w:hAnsi="宋体"/>
                <w:szCs w:val="21"/>
                <w:highlight w:val="none"/>
              </w:rPr>
            </w:pPr>
            <w:r>
              <w:rPr>
                <w:rFonts w:hint="eastAsia" w:ascii="宋体" w:hAnsi="宋体"/>
                <w:szCs w:val="21"/>
                <w:highlight w:val="none"/>
              </w:rPr>
              <w:t>招标代理机构：众意项目管理咨询(广州)有限公司</w:t>
            </w:r>
          </w:p>
          <w:p w14:paraId="02727C4D">
            <w:pPr>
              <w:jc w:val="left"/>
              <w:rPr>
                <w:rFonts w:ascii="宋体" w:hAnsi="宋体"/>
                <w:szCs w:val="21"/>
                <w:highlight w:val="none"/>
              </w:rPr>
            </w:pPr>
            <w:r>
              <w:rPr>
                <w:rFonts w:hint="eastAsia" w:ascii="宋体" w:hAnsi="宋体"/>
                <w:szCs w:val="21"/>
                <w:highlight w:val="none"/>
              </w:rPr>
              <w:t>地    址：广州市越秀区南堤二马路34号二楼B06-1房</w:t>
            </w:r>
          </w:p>
          <w:p w14:paraId="74D8EE74">
            <w:pPr>
              <w:jc w:val="left"/>
              <w:rPr>
                <w:rFonts w:ascii="宋体" w:hAnsi="宋体"/>
                <w:szCs w:val="21"/>
                <w:highlight w:val="none"/>
              </w:rPr>
            </w:pPr>
            <w:r>
              <w:rPr>
                <w:rFonts w:hint="eastAsia" w:ascii="宋体" w:hAnsi="宋体"/>
                <w:szCs w:val="21"/>
                <w:highlight w:val="none"/>
              </w:rPr>
              <w:t>联 系 人：蔡工</w:t>
            </w:r>
          </w:p>
          <w:p w14:paraId="593812FB">
            <w:pPr>
              <w:jc w:val="left"/>
              <w:rPr>
                <w:rFonts w:ascii="宋体" w:hAnsi="宋体"/>
                <w:szCs w:val="21"/>
                <w:highlight w:val="none"/>
              </w:rPr>
            </w:pPr>
            <w:r>
              <w:rPr>
                <w:rFonts w:hint="eastAsia" w:ascii="宋体" w:hAnsi="宋体"/>
                <w:szCs w:val="21"/>
                <w:highlight w:val="none"/>
              </w:rPr>
              <w:t>电    话：020-83700485</w:t>
            </w:r>
          </w:p>
        </w:tc>
      </w:tr>
      <w:tr w14:paraId="298E72C0">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257C77C4">
            <w:pPr>
              <w:jc w:val="center"/>
              <w:rPr>
                <w:rFonts w:ascii="宋体" w:hAnsi="宋体" w:eastAsia="宋体"/>
                <w:szCs w:val="21"/>
                <w:highlight w:val="none"/>
              </w:rPr>
            </w:pPr>
            <w:r>
              <w:rPr>
                <w:rFonts w:hint="eastAsia" w:ascii="宋体" w:hAnsi="宋体" w:eastAsia="宋体"/>
                <w:szCs w:val="21"/>
                <w:highlight w:val="none"/>
              </w:rPr>
              <w:t>1.1.4</w:t>
            </w:r>
          </w:p>
        </w:tc>
        <w:tc>
          <w:tcPr>
            <w:tcW w:w="1117" w:type="pct"/>
            <w:tcBorders>
              <w:top w:val="single" w:color="auto" w:sz="4" w:space="0"/>
              <w:left w:val="single" w:color="auto" w:sz="4" w:space="0"/>
              <w:bottom w:val="single" w:color="auto" w:sz="4" w:space="0"/>
              <w:right w:val="single" w:color="auto" w:sz="4" w:space="0"/>
            </w:tcBorders>
            <w:vAlign w:val="center"/>
          </w:tcPr>
          <w:p w14:paraId="1BDC3FF2">
            <w:pPr>
              <w:jc w:val="center"/>
              <w:rPr>
                <w:rFonts w:ascii="宋体" w:hAnsi="宋体" w:eastAsia="宋体"/>
                <w:szCs w:val="21"/>
                <w:highlight w:val="none"/>
              </w:rPr>
            </w:pPr>
            <w:r>
              <w:rPr>
                <w:rFonts w:hint="eastAsia" w:ascii="宋体" w:hAnsi="宋体" w:eastAsia="宋体"/>
                <w:szCs w:val="21"/>
                <w:highlight w:val="none"/>
              </w:rPr>
              <w:t>招标项目名称</w:t>
            </w:r>
          </w:p>
        </w:tc>
        <w:tc>
          <w:tcPr>
            <w:tcW w:w="3243" w:type="pct"/>
            <w:tcBorders>
              <w:top w:val="single" w:color="auto" w:sz="4" w:space="0"/>
              <w:left w:val="single" w:color="auto" w:sz="4" w:space="0"/>
              <w:bottom w:val="single" w:color="auto" w:sz="4" w:space="0"/>
              <w:right w:val="single" w:color="auto" w:sz="4" w:space="0"/>
            </w:tcBorders>
            <w:vAlign w:val="center"/>
          </w:tcPr>
          <w:p w14:paraId="74715926">
            <w:pPr>
              <w:jc w:val="left"/>
              <w:rPr>
                <w:rFonts w:ascii="宋体" w:hAnsi="宋体" w:eastAsia="宋体"/>
                <w:szCs w:val="21"/>
                <w:highlight w:val="none"/>
              </w:rPr>
            </w:pPr>
            <w:r>
              <w:rPr>
                <w:rFonts w:hint="eastAsia" w:ascii="宋体" w:hAnsi="宋体" w:eastAsia="宋体"/>
                <w:szCs w:val="21"/>
                <w:highlight w:val="none"/>
              </w:rPr>
              <w:t>详见招标公告。</w:t>
            </w:r>
          </w:p>
        </w:tc>
      </w:tr>
      <w:tr w14:paraId="52027435">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6F36167A">
            <w:pPr>
              <w:jc w:val="center"/>
              <w:rPr>
                <w:rFonts w:ascii="宋体" w:hAnsi="宋体" w:eastAsia="宋体"/>
                <w:szCs w:val="21"/>
                <w:highlight w:val="none"/>
              </w:rPr>
            </w:pPr>
            <w:r>
              <w:rPr>
                <w:rFonts w:hint="eastAsia" w:ascii="宋体" w:hAnsi="宋体" w:eastAsia="宋体"/>
                <w:szCs w:val="21"/>
                <w:highlight w:val="none"/>
              </w:rPr>
              <w:t>1.1.5</w:t>
            </w:r>
          </w:p>
        </w:tc>
        <w:tc>
          <w:tcPr>
            <w:tcW w:w="1117" w:type="pct"/>
            <w:tcBorders>
              <w:top w:val="single" w:color="auto" w:sz="4" w:space="0"/>
              <w:left w:val="single" w:color="auto" w:sz="4" w:space="0"/>
              <w:bottom w:val="single" w:color="auto" w:sz="4" w:space="0"/>
              <w:right w:val="single" w:color="auto" w:sz="4" w:space="0"/>
            </w:tcBorders>
            <w:vAlign w:val="center"/>
          </w:tcPr>
          <w:p w14:paraId="185B114C">
            <w:pPr>
              <w:jc w:val="center"/>
              <w:rPr>
                <w:rFonts w:ascii="宋体" w:hAnsi="宋体" w:eastAsia="宋体"/>
                <w:szCs w:val="21"/>
                <w:highlight w:val="none"/>
              </w:rPr>
            </w:pPr>
            <w:r>
              <w:rPr>
                <w:rFonts w:hint="eastAsia" w:ascii="宋体" w:hAnsi="宋体" w:eastAsia="宋体"/>
                <w:szCs w:val="21"/>
                <w:highlight w:val="none"/>
              </w:rPr>
              <w:t>工程项目名称</w:t>
            </w:r>
          </w:p>
        </w:tc>
        <w:tc>
          <w:tcPr>
            <w:tcW w:w="3243" w:type="pct"/>
            <w:tcBorders>
              <w:top w:val="single" w:color="auto" w:sz="4" w:space="0"/>
              <w:left w:val="single" w:color="auto" w:sz="4" w:space="0"/>
              <w:bottom w:val="single" w:color="auto" w:sz="4" w:space="0"/>
              <w:right w:val="single" w:color="auto" w:sz="4" w:space="0"/>
            </w:tcBorders>
            <w:vAlign w:val="center"/>
          </w:tcPr>
          <w:p w14:paraId="476499C4">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中国大酒店部分客用电梯及相关配套更新</w:t>
            </w:r>
          </w:p>
        </w:tc>
      </w:tr>
      <w:tr w14:paraId="7BACC594">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2548AA44">
            <w:pPr>
              <w:jc w:val="center"/>
              <w:rPr>
                <w:rFonts w:ascii="宋体" w:hAnsi="宋体" w:eastAsia="宋体"/>
                <w:szCs w:val="21"/>
                <w:highlight w:val="none"/>
              </w:rPr>
            </w:pPr>
            <w:r>
              <w:rPr>
                <w:rFonts w:hint="eastAsia" w:ascii="宋体" w:hAnsi="宋体" w:eastAsia="宋体"/>
                <w:szCs w:val="21"/>
                <w:highlight w:val="none"/>
              </w:rPr>
              <w:t>1.2.1</w:t>
            </w:r>
          </w:p>
        </w:tc>
        <w:tc>
          <w:tcPr>
            <w:tcW w:w="1117" w:type="pct"/>
            <w:tcBorders>
              <w:top w:val="single" w:color="auto" w:sz="4" w:space="0"/>
              <w:left w:val="single" w:color="auto" w:sz="4" w:space="0"/>
              <w:bottom w:val="single" w:color="auto" w:sz="4" w:space="0"/>
              <w:right w:val="single" w:color="auto" w:sz="4" w:space="0"/>
            </w:tcBorders>
            <w:vAlign w:val="center"/>
          </w:tcPr>
          <w:p w14:paraId="215F0133">
            <w:pPr>
              <w:jc w:val="center"/>
              <w:rPr>
                <w:rFonts w:ascii="宋体" w:hAnsi="宋体" w:eastAsia="宋体"/>
                <w:szCs w:val="21"/>
                <w:highlight w:val="none"/>
              </w:rPr>
            </w:pPr>
            <w:r>
              <w:rPr>
                <w:rFonts w:hint="eastAsia" w:ascii="宋体" w:hAnsi="宋体" w:eastAsia="宋体"/>
                <w:szCs w:val="21"/>
                <w:highlight w:val="none"/>
              </w:rPr>
              <w:t>资金来源及比例</w:t>
            </w:r>
          </w:p>
        </w:tc>
        <w:tc>
          <w:tcPr>
            <w:tcW w:w="3243" w:type="pct"/>
            <w:tcBorders>
              <w:top w:val="single" w:color="auto" w:sz="4" w:space="0"/>
              <w:left w:val="single" w:color="auto" w:sz="4" w:space="0"/>
              <w:bottom w:val="single" w:color="auto" w:sz="4" w:space="0"/>
              <w:right w:val="single" w:color="auto" w:sz="4" w:space="0"/>
            </w:tcBorders>
            <w:vAlign w:val="center"/>
          </w:tcPr>
          <w:p w14:paraId="5E018AE0">
            <w:pPr>
              <w:jc w:val="left"/>
              <w:rPr>
                <w:rFonts w:ascii="宋体" w:hAnsi="宋体" w:eastAsia="宋体"/>
                <w:szCs w:val="21"/>
                <w:highlight w:val="none"/>
              </w:rPr>
            </w:pPr>
            <w:r>
              <w:rPr>
                <w:rFonts w:hint="eastAsia" w:ascii="宋体" w:hAnsi="宋体" w:eastAsia="宋体"/>
                <w:szCs w:val="21"/>
                <w:highlight w:val="none"/>
              </w:rPr>
              <w:t>企业自筹资金；100%。</w:t>
            </w:r>
          </w:p>
        </w:tc>
      </w:tr>
      <w:tr w14:paraId="6EDABF6F">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6B74ECED">
            <w:pPr>
              <w:jc w:val="center"/>
              <w:rPr>
                <w:rFonts w:ascii="宋体" w:hAnsi="宋体" w:eastAsia="宋体"/>
                <w:szCs w:val="21"/>
                <w:highlight w:val="none"/>
              </w:rPr>
            </w:pPr>
            <w:r>
              <w:rPr>
                <w:rFonts w:hint="eastAsia" w:ascii="宋体" w:hAnsi="宋体" w:eastAsia="宋体"/>
                <w:szCs w:val="21"/>
                <w:highlight w:val="none"/>
              </w:rPr>
              <w:t>1.2.2</w:t>
            </w:r>
          </w:p>
        </w:tc>
        <w:tc>
          <w:tcPr>
            <w:tcW w:w="1117" w:type="pct"/>
            <w:tcBorders>
              <w:top w:val="single" w:color="auto" w:sz="4" w:space="0"/>
              <w:left w:val="single" w:color="auto" w:sz="4" w:space="0"/>
              <w:bottom w:val="single" w:color="auto" w:sz="4" w:space="0"/>
              <w:right w:val="single" w:color="auto" w:sz="4" w:space="0"/>
            </w:tcBorders>
            <w:vAlign w:val="center"/>
          </w:tcPr>
          <w:p w14:paraId="67AA127D">
            <w:pPr>
              <w:jc w:val="center"/>
              <w:rPr>
                <w:rFonts w:ascii="宋体" w:hAnsi="宋体" w:eastAsia="宋体"/>
                <w:szCs w:val="21"/>
                <w:highlight w:val="none"/>
              </w:rPr>
            </w:pPr>
            <w:r>
              <w:rPr>
                <w:rFonts w:hint="eastAsia" w:ascii="宋体" w:hAnsi="宋体" w:eastAsia="宋体"/>
                <w:szCs w:val="21"/>
                <w:highlight w:val="none"/>
              </w:rPr>
              <w:t>资金落实情况</w:t>
            </w:r>
          </w:p>
        </w:tc>
        <w:tc>
          <w:tcPr>
            <w:tcW w:w="3243" w:type="pct"/>
            <w:tcBorders>
              <w:top w:val="single" w:color="auto" w:sz="4" w:space="0"/>
              <w:left w:val="single" w:color="auto" w:sz="4" w:space="0"/>
              <w:bottom w:val="single" w:color="auto" w:sz="4" w:space="0"/>
              <w:right w:val="single" w:color="auto" w:sz="4" w:space="0"/>
            </w:tcBorders>
            <w:vAlign w:val="center"/>
          </w:tcPr>
          <w:p w14:paraId="0461E3BE">
            <w:pPr>
              <w:jc w:val="left"/>
              <w:rPr>
                <w:rFonts w:ascii="宋体" w:hAnsi="宋体" w:eastAsia="宋体"/>
                <w:szCs w:val="21"/>
                <w:highlight w:val="none"/>
              </w:rPr>
            </w:pPr>
            <w:r>
              <w:rPr>
                <w:rFonts w:hint="eastAsia" w:ascii="宋体" w:hAnsi="宋体" w:eastAsia="宋体"/>
                <w:szCs w:val="21"/>
                <w:highlight w:val="none"/>
              </w:rPr>
              <w:t>已落实。</w:t>
            </w:r>
          </w:p>
        </w:tc>
      </w:tr>
      <w:tr w14:paraId="7D33D1B8">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6E625C63">
            <w:pPr>
              <w:jc w:val="center"/>
              <w:rPr>
                <w:rFonts w:ascii="宋体" w:hAnsi="宋体" w:eastAsia="宋体"/>
                <w:szCs w:val="21"/>
                <w:highlight w:val="none"/>
              </w:rPr>
            </w:pPr>
            <w:r>
              <w:rPr>
                <w:rFonts w:hint="eastAsia" w:ascii="宋体" w:hAnsi="宋体" w:eastAsia="宋体"/>
                <w:szCs w:val="21"/>
                <w:highlight w:val="none"/>
              </w:rPr>
              <w:t>1.3.1</w:t>
            </w:r>
          </w:p>
        </w:tc>
        <w:tc>
          <w:tcPr>
            <w:tcW w:w="1117" w:type="pct"/>
            <w:tcBorders>
              <w:top w:val="single" w:color="auto" w:sz="4" w:space="0"/>
              <w:left w:val="single" w:color="auto" w:sz="4" w:space="0"/>
              <w:bottom w:val="single" w:color="auto" w:sz="4" w:space="0"/>
              <w:right w:val="single" w:color="auto" w:sz="4" w:space="0"/>
            </w:tcBorders>
            <w:vAlign w:val="center"/>
          </w:tcPr>
          <w:p w14:paraId="4FB57142">
            <w:pPr>
              <w:jc w:val="center"/>
              <w:rPr>
                <w:rFonts w:ascii="宋体" w:hAnsi="宋体" w:eastAsia="宋体"/>
                <w:szCs w:val="21"/>
                <w:highlight w:val="none"/>
              </w:rPr>
            </w:pPr>
            <w:r>
              <w:rPr>
                <w:rFonts w:hint="eastAsia" w:ascii="宋体" w:hAnsi="宋体" w:eastAsia="宋体"/>
                <w:szCs w:val="21"/>
                <w:highlight w:val="none"/>
              </w:rPr>
              <w:t>招标范围</w:t>
            </w:r>
          </w:p>
        </w:tc>
        <w:tc>
          <w:tcPr>
            <w:tcW w:w="3243" w:type="pct"/>
            <w:tcBorders>
              <w:top w:val="single" w:color="auto" w:sz="4" w:space="0"/>
              <w:left w:val="single" w:color="auto" w:sz="4" w:space="0"/>
              <w:bottom w:val="single" w:color="auto" w:sz="4" w:space="0"/>
              <w:right w:val="single" w:color="auto" w:sz="4" w:space="0"/>
            </w:tcBorders>
            <w:vAlign w:val="center"/>
          </w:tcPr>
          <w:p w14:paraId="28E02A30">
            <w:pPr>
              <w:jc w:val="left"/>
              <w:rPr>
                <w:rFonts w:ascii="宋体" w:hAnsi="宋体" w:eastAsia="宋体"/>
                <w:szCs w:val="21"/>
                <w:highlight w:val="none"/>
              </w:rPr>
            </w:pPr>
            <w:r>
              <w:rPr>
                <w:rFonts w:hint="eastAsia" w:ascii="宋体" w:hAnsi="宋体" w:eastAsia="宋体"/>
                <w:szCs w:val="21"/>
                <w:highlight w:val="none"/>
              </w:rPr>
              <w:t>详见公告</w:t>
            </w:r>
          </w:p>
        </w:tc>
      </w:tr>
      <w:tr w14:paraId="32AD1B7F">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4D79978A">
            <w:pPr>
              <w:jc w:val="center"/>
              <w:rPr>
                <w:rFonts w:ascii="宋体" w:hAnsi="宋体" w:eastAsia="宋体"/>
                <w:szCs w:val="21"/>
                <w:highlight w:val="none"/>
              </w:rPr>
            </w:pPr>
            <w:r>
              <w:rPr>
                <w:rFonts w:hint="eastAsia" w:ascii="宋体" w:hAnsi="宋体" w:eastAsia="宋体"/>
                <w:szCs w:val="21"/>
                <w:highlight w:val="none"/>
              </w:rPr>
              <w:t>1.3.2</w:t>
            </w:r>
          </w:p>
        </w:tc>
        <w:tc>
          <w:tcPr>
            <w:tcW w:w="1117" w:type="pct"/>
            <w:tcBorders>
              <w:top w:val="single" w:color="auto" w:sz="4" w:space="0"/>
              <w:left w:val="single" w:color="auto" w:sz="4" w:space="0"/>
              <w:bottom w:val="single" w:color="auto" w:sz="4" w:space="0"/>
              <w:right w:val="single" w:color="auto" w:sz="4" w:space="0"/>
            </w:tcBorders>
            <w:vAlign w:val="center"/>
          </w:tcPr>
          <w:p w14:paraId="278ED3F8">
            <w:pPr>
              <w:jc w:val="center"/>
              <w:rPr>
                <w:rFonts w:ascii="宋体" w:hAnsi="宋体" w:eastAsia="宋体"/>
                <w:szCs w:val="21"/>
                <w:highlight w:val="none"/>
              </w:rPr>
            </w:pPr>
            <w:r>
              <w:rPr>
                <w:rFonts w:hint="eastAsia" w:ascii="宋体" w:hAnsi="宋体" w:eastAsia="宋体"/>
                <w:szCs w:val="21"/>
                <w:highlight w:val="none"/>
              </w:rPr>
              <w:t>交货期</w:t>
            </w:r>
          </w:p>
        </w:tc>
        <w:tc>
          <w:tcPr>
            <w:tcW w:w="3243" w:type="pct"/>
            <w:tcBorders>
              <w:top w:val="single" w:color="auto" w:sz="4" w:space="0"/>
              <w:left w:val="single" w:color="auto" w:sz="4" w:space="0"/>
              <w:bottom w:val="single" w:color="auto" w:sz="4" w:space="0"/>
              <w:right w:val="single" w:color="auto" w:sz="4" w:space="0"/>
            </w:tcBorders>
            <w:vAlign w:val="center"/>
          </w:tcPr>
          <w:p w14:paraId="0A0A25AE">
            <w:pPr>
              <w:jc w:val="left"/>
              <w:rPr>
                <w:rFonts w:ascii="宋体" w:hAnsi="宋体" w:eastAsia="宋体"/>
                <w:szCs w:val="21"/>
                <w:highlight w:val="none"/>
              </w:rPr>
            </w:pPr>
            <w:r>
              <w:rPr>
                <w:rFonts w:hint="eastAsia" w:ascii="宋体" w:hAnsi="宋体" w:eastAsia="宋体"/>
                <w:szCs w:val="21"/>
                <w:highlight w:val="none"/>
              </w:rPr>
              <w:t>计划2025年</w:t>
            </w:r>
            <w:r>
              <w:rPr>
                <w:rFonts w:hint="eastAsia" w:ascii="宋体" w:hAnsi="宋体" w:eastAsia="宋体"/>
                <w:szCs w:val="21"/>
                <w:highlight w:val="none"/>
                <w:lang w:val="en-US" w:eastAsia="zh-CN"/>
              </w:rPr>
              <w:t>6</w:t>
            </w:r>
            <w:r>
              <w:rPr>
                <w:rFonts w:hint="eastAsia" w:ascii="宋体" w:hAnsi="宋体" w:eastAsia="宋体"/>
                <w:szCs w:val="21"/>
                <w:highlight w:val="none"/>
              </w:rPr>
              <w:t>月份施工，按照130天/工期 ，四台电梯同时施工(包含电梯设计、生产、运输、安装，土建结构改造，技监局检验合格投入使用时间)。具体详见招标文件的《供货要求》。</w:t>
            </w:r>
          </w:p>
        </w:tc>
      </w:tr>
      <w:tr w14:paraId="15EAEAE4">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0804150F">
            <w:pPr>
              <w:jc w:val="center"/>
              <w:rPr>
                <w:rFonts w:ascii="宋体" w:hAnsi="宋体" w:eastAsia="宋体"/>
                <w:szCs w:val="21"/>
                <w:highlight w:val="none"/>
              </w:rPr>
            </w:pPr>
            <w:r>
              <w:rPr>
                <w:rFonts w:hint="eastAsia" w:ascii="宋体" w:hAnsi="宋体" w:eastAsia="宋体"/>
                <w:szCs w:val="21"/>
                <w:highlight w:val="none"/>
              </w:rPr>
              <w:t>1.3.3</w:t>
            </w:r>
          </w:p>
        </w:tc>
        <w:tc>
          <w:tcPr>
            <w:tcW w:w="1117" w:type="pct"/>
            <w:tcBorders>
              <w:top w:val="single" w:color="auto" w:sz="4" w:space="0"/>
              <w:left w:val="single" w:color="auto" w:sz="4" w:space="0"/>
              <w:bottom w:val="single" w:color="auto" w:sz="4" w:space="0"/>
              <w:right w:val="single" w:color="auto" w:sz="4" w:space="0"/>
            </w:tcBorders>
            <w:vAlign w:val="center"/>
          </w:tcPr>
          <w:p w14:paraId="6E8730D4">
            <w:pPr>
              <w:jc w:val="center"/>
              <w:rPr>
                <w:rFonts w:ascii="宋体" w:hAnsi="宋体" w:eastAsia="宋体"/>
                <w:szCs w:val="21"/>
                <w:highlight w:val="none"/>
              </w:rPr>
            </w:pPr>
            <w:r>
              <w:rPr>
                <w:rFonts w:hint="eastAsia" w:ascii="宋体" w:hAnsi="宋体" w:eastAsia="宋体"/>
                <w:szCs w:val="21"/>
                <w:highlight w:val="none"/>
              </w:rPr>
              <w:t>交货地点</w:t>
            </w:r>
          </w:p>
        </w:tc>
        <w:tc>
          <w:tcPr>
            <w:tcW w:w="3243" w:type="pct"/>
            <w:tcBorders>
              <w:top w:val="single" w:color="auto" w:sz="4" w:space="0"/>
              <w:left w:val="single" w:color="auto" w:sz="4" w:space="0"/>
              <w:bottom w:val="single" w:color="auto" w:sz="4" w:space="0"/>
              <w:right w:val="single" w:color="auto" w:sz="4" w:space="0"/>
            </w:tcBorders>
            <w:vAlign w:val="center"/>
          </w:tcPr>
          <w:p w14:paraId="117D1F8A">
            <w:pPr>
              <w:jc w:val="left"/>
              <w:rPr>
                <w:rFonts w:ascii="宋体" w:hAnsi="宋体" w:eastAsia="宋体"/>
                <w:szCs w:val="21"/>
                <w:highlight w:val="none"/>
              </w:rPr>
            </w:pPr>
            <w:r>
              <w:rPr>
                <w:rFonts w:hint="eastAsia" w:ascii="宋体" w:hAnsi="宋体" w:eastAsia="宋体"/>
                <w:szCs w:val="21"/>
                <w:highlight w:val="none"/>
              </w:rPr>
              <w:t>详见招标公告。</w:t>
            </w:r>
          </w:p>
        </w:tc>
      </w:tr>
      <w:tr w14:paraId="21FE0356">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2F5CD5FF">
            <w:pPr>
              <w:jc w:val="center"/>
              <w:rPr>
                <w:rFonts w:ascii="宋体" w:hAnsi="宋体" w:eastAsia="宋体"/>
                <w:szCs w:val="21"/>
                <w:highlight w:val="none"/>
              </w:rPr>
            </w:pPr>
            <w:r>
              <w:rPr>
                <w:rFonts w:hint="eastAsia" w:ascii="宋体" w:hAnsi="宋体" w:eastAsia="宋体"/>
                <w:szCs w:val="21"/>
                <w:highlight w:val="none"/>
              </w:rPr>
              <w:t>1.3.4</w:t>
            </w:r>
          </w:p>
        </w:tc>
        <w:tc>
          <w:tcPr>
            <w:tcW w:w="1117" w:type="pct"/>
            <w:tcBorders>
              <w:top w:val="single" w:color="auto" w:sz="4" w:space="0"/>
              <w:left w:val="single" w:color="auto" w:sz="4" w:space="0"/>
              <w:bottom w:val="single" w:color="auto" w:sz="4" w:space="0"/>
              <w:right w:val="single" w:color="auto" w:sz="4" w:space="0"/>
            </w:tcBorders>
            <w:vAlign w:val="center"/>
          </w:tcPr>
          <w:p w14:paraId="29C1D1F4">
            <w:pPr>
              <w:jc w:val="center"/>
              <w:rPr>
                <w:rFonts w:ascii="宋体" w:hAnsi="宋体" w:eastAsia="宋体"/>
                <w:szCs w:val="21"/>
                <w:highlight w:val="none"/>
              </w:rPr>
            </w:pPr>
            <w:r>
              <w:rPr>
                <w:rFonts w:hint="eastAsia" w:ascii="宋体" w:hAnsi="宋体" w:eastAsia="宋体"/>
                <w:szCs w:val="21"/>
                <w:highlight w:val="none"/>
              </w:rPr>
              <w:t>技术性能指标</w:t>
            </w:r>
          </w:p>
        </w:tc>
        <w:tc>
          <w:tcPr>
            <w:tcW w:w="3243" w:type="pct"/>
            <w:tcBorders>
              <w:top w:val="single" w:color="auto" w:sz="4" w:space="0"/>
              <w:left w:val="single" w:color="auto" w:sz="4" w:space="0"/>
              <w:bottom w:val="single" w:color="auto" w:sz="4" w:space="0"/>
              <w:right w:val="single" w:color="auto" w:sz="4" w:space="0"/>
            </w:tcBorders>
            <w:vAlign w:val="center"/>
          </w:tcPr>
          <w:p w14:paraId="1889612E">
            <w:pPr>
              <w:jc w:val="left"/>
              <w:rPr>
                <w:rFonts w:ascii="宋体" w:hAnsi="宋体" w:eastAsia="宋体"/>
                <w:szCs w:val="21"/>
                <w:highlight w:val="none"/>
              </w:rPr>
            </w:pPr>
            <w:r>
              <w:rPr>
                <w:rFonts w:hint="eastAsia" w:ascii="宋体" w:hAnsi="宋体" w:eastAsia="宋体"/>
                <w:szCs w:val="21"/>
                <w:highlight w:val="none"/>
              </w:rPr>
              <w:t>详见第五章“供货要求”。</w:t>
            </w:r>
          </w:p>
        </w:tc>
      </w:tr>
      <w:tr w14:paraId="29E09C7F">
        <w:tblPrEx>
          <w:tblCellMar>
            <w:top w:w="0" w:type="dxa"/>
            <w:left w:w="108" w:type="dxa"/>
            <w:bottom w:w="0" w:type="dxa"/>
            <w:right w:w="108" w:type="dxa"/>
          </w:tblCellMar>
        </w:tblPrEx>
        <w:trPr>
          <w:trHeight w:val="925" w:hRule="atLeast"/>
        </w:trPr>
        <w:tc>
          <w:tcPr>
            <w:tcW w:w="638" w:type="pct"/>
            <w:tcBorders>
              <w:top w:val="single" w:color="auto" w:sz="4" w:space="0"/>
              <w:left w:val="single" w:color="auto" w:sz="4" w:space="0"/>
              <w:bottom w:val="single" w:color="auto" w:sz="4" w:space="0"/>
              <w:right w:val="single" w:color="auto" w:sz="4" w:space="0"/>
            </w:tcBorders>
            <w:vAlign w:val="center"/>
          </w:tcPr>
          <w:p w14:paraId="298AF992">
            <w:pPr>
              <w:jc w:val="center"/>
              <w:rPr>
                <w:rFonts w:ascii="宋体" w:hAnsi="宋体" w:eastAsia="宋体"/>
                <w:szCs w:val="21"/>
                <w:highlight w:val="none"/>
              </w:rPr>
            </w:pPr>
            <w:r>
              <w:rPr>
                <w:rFonts w:hint="eastAsia" w:ascii="宋体" w:hAnsi="宋体" w:eastAsia="宋体"/>
                <w:szCs w:val="21"/>
                <w:highlight w:val="none"/>
              </w:rPr>
              <w:t>1.4.1</w:t>
            </w:r>
          </w:p>
        </w:tc>
        <w:tc>
          <w:tcPr>
            <w:tcW w:w="1117" w:type="pct"/>
            <w:tcBorders>
              <w:top w:val="single" w:color="auto" w:sz="4" w:space="0"/>
              <w:left w:val="single" w:color="auto" w:sz="4" w:space="0"/>
              <w:bottom w:val="single" w:color="auto" w:sz="4" w:space="0"/>
              <w:right w:val="single" w:color="auto" w:sz="4" w:space="0"/>
            </w:tcBorders>
            <w:vAlign w:val="center"/>
          </w:tcPr>
          <w:p w14:paraId="3231518D">
            <w:pPr>
              <w:jc w:val="center"/>
              <w:rPr>
                <w:rFonts w:ascii="宋体" w:hAnsi="宋体" w:eastAsia="宋体"/>
                <w:szCs w:val="21"/>
                <w:highlight w:val="none"/>
              </w:rPr>
            </w:pPr>
            <w:r>
              <w:rPr>
                <w:rFonts w:hint="eastAsia" w:ascii="宋体" w:hAnsi="宋体" w:eastAsia="宋体"/>
                <w:szCs w:val="21"/>
                <w:highlight w:val="none"/>
              </w:rPr>
              <w:t>投标人资质条件、能力、信誉</w:t>
            </w:r>
          </w:p>
        </w:tc>
        <w:tc>
          <w:tcPr>
            <w:tcW w:w="3243" w:type="pct"/>
            <w:tcBorders>
              <w:top w:val="single" w:color="auto" w:sz="4" w:space="0"/>
              <w:left w:val="single" w:color="auto" w:sz="4" w:space="0"/>
              <w:bottom w:val="single" w:color="auto" w:sz="4" w:space="0"/>
              <w:right w:val="single" w:color="auto" w:sz="4" w:space="0"/>
            </w:tcBorders>
            <w:vAlign w:val="center"/>
          </w:tcPr>
          <w:p w14:paraId="63FDC0A6">
            <w:pPr>
              <w:snapToGrid w:val="0"/>
              <w:ind w:right="141" w:rightChars="67"/>
              <w:rPr>
                <w:rFonts w:ascii="宋体" w:hAnsi="宋体" w:eastAsia="宋体"/>
                <w:szCs w:val="21"/>
                <w:highlight w:val="none"/>
              </w:rPr>
            </w:pPr>
            <w:r>
              <w:rPr>
                <w:rFonts w:hint="eastAsia" w:ascii="宋体" w:hAnsi="宋体" w:eastAsia="宋体"/>
                <w:szCs w:val="21"/>
                <w:highlight w:val="none"/>
              </w:rPr>
              <w:t>（1）资质要求：详见招标公告“3.投标人资格要求”</w:t>
            </w:r>
          </w:p>
          <w:p w14:paraId="7E6CC050">
            <w:pPr>
              <w:snapToGrid w:val="0"/>
              <w:ind w:right="141" w:rightChars="67"/>
              <w:rPr>
                <w:rFonts w:ascii="宋体" w:hAnsi="宋体" w:eastAsia="宋体"/>
                <w:szCs w:val="21"/>
                <w:highlight w:val="none"/>
              </w:rPr>
            </w:pPr>
            <w:r>
              <w:rPr>
                <w:rFonts w:hint="eastAsia" w:ascii="宋体" w:hAnsi="宋体" w:eastAsia="宋体"/>
                <w:szCs w:val="21"/>
                <w:highlight w:val="none"/>
              </w:rPr>
              <w:t>（2）财务要求：详见招标公告“3.投标人资格要求”</w:t>
            </w:r>
          </w:p>
          <w:p w14:paraId="6B6E6AE4">
            <w:pPr>
              <w:snapToGrid w:val="0"/>
              <w:ind w:right="141" w:rightChars="67"/>
              <w:rPr>
                <w:rFonts w:ascii="宋体" w:hAnsi="宋体" w:eastAsia="宋体"/>
                <w:szCs w:val="21"/>
                <w:highlight w:val="none"/>
              </w:rPr>
            </w:pPr>
            <w:r>
              <w:rPr>
                <w:rFonts w:hint="eastAsia" w:ascii="宋体" w:hAnsi="宋体" w:eastAsia="宋体"/>
                <w:szCs w:val="21"/>
                <w:highlight w:val="none"/>
              </w:rPr>
              <w:t>（3）投标设备业绩：详见招标公告“3.投标人资格要求”</w:t>
            </w:r>
          </w:p>
          <w:p w14:paraId="6E7DA35F">
            <w:pPr>
              <w:snapToGrid w:val="0"/>
              <w:ind w:right="141" w:rightChars="67"/>
              <w:rPr>
                <w:rFonts w:ascii="宋体" w:hAnsi="宋体" w:eastAsia="宋体"/>
                <w:szCs w:val="21"/>
                <w:highlight w:val="none"/>
              </w:rPr>
            </w:pPr>
            <w:r>
              <w:rPr>
                <w:rFonts w:hint="eastAsia" w:ascii="宋体" w:hAnsi="宋体" w:eastAsia="宋体"/>
                <w:szCs w:val="21"/>
                <w:highlight w:val="none"/>
              </w:rPr>
              <w:t>（4）信誉要求：详见招标公告“3.投标人资格要求”</w:t>
            </w:r>
          </w:p>
          <w:p w14:paraId="6CD4DF58">
            <w:pPr>
              <w:jc w:val="left"/>
              <w:rPr>
                <w:rFonts w:ascii="宋体" w:hAnsi="宋体" w:eastAsia="宋体"/>
                <w:szCs w:val="21"/>
                <w:highlight w:val="none"/>
                <w:u w:val="single"/>
              </w:rPr>
            </w:pPr>
            <w:r>
              <w:rPr>
                <w:rFonts w:hint="eastAsia" w:ascii="宋体" w:hAnsi="宋体" w:eastAsia="宋体"/>
                <w:szCs w:val="21"/>
                <w:highlight w:val="none"/>
              </w:rPr>
              <w:t>（5）其他要求：详见招标公告“3.投标人资格要求”</w:t>
            </w:r>
          </w:p>
        </w:tc>
      </w:tr>
      <w:tr w14:paraId="7E791817">
        <w:tblPrEx>
          <w:tblCellMar>
            <w:top w:w="0" w:type="dxa"/>
            <w:left w:w="108" w:type="dxa"/>
            <w:bottom w:w="0" w:type="dxa"/>
            <w:right w:w="108" w:type="dxa"/>
          </w:tblCellMar>
        </w:tblPrEx>
        <w:trPr>
          <w:trHeight w:val="211" w:hRule="atLeast"/>
        </w:trPr>
        <w:tc>
          <w:tcPr>
            <w:tcW w:w="638" w:type="pct"/>
            <w:tcBorders>
              <w:top w:val="single" w:color="auto" w:sz="4" w:space="0"/>
              <w:left w:val="single" w:color="auto" w:sz="4" w:space="0"/>
              <w:bottom w:val="single" w:color="auto" w:sz="4" w:space="0"/>
              <w:right w:val="single" w:color="auto" w:sz="4" w:space="0"/>
            </w:tcBorders>
            <w:vAlign w:val="center"/>
          </w:tcPr>
          <w:p w14:paraId="03140D0A">
            <w:pPr>
              <w:jc w:val="center"/>
              <w:rPr>
                <w:rFonts w:ascii="宋体" w:hAnsi="宋体" w:eastAsia="宋体"/>
                <w:szCs w:val="21"/>
                <w:highlight w:val="none"/>
              </w:rPr>
            </w:pPr>
            <w:r>
              <w:rPr>
                <w:rFonts w:hint="eastAsia" w:ascii="宋体" w:hAnsi="宋体" w:eastAsia="宋体"/>
                <w:szCs w:val="21"/>
                <w:highlight w:val="none"/>
              </w:rPr>
              <w:t>1.4.2</w:t>
            </w:r>
          </w:p>
        </w:tc>
        <w:tc>
          <w:tcPr>
            <w:tcW w:w="1117" w:type="pct"/>
            <w:tcBorders>
              <w:top w:val="single" w:color="auto" w:sz="4" w:space="0"/>
              <w:left w:val="single" w:color="auto" w:sz="4" w:space="0"/>
              <w:bottom w:val="single" w:color="auto" w:sz="4" w:space="0"/>
              <w:right w:val="single" w:color="auto" w:sz="4" w:space="0"/>
            </w:tcBorders>
            <w:vAlign w:val="center"/>
          </w:tcPr>
          <w:p w14:paraId="036A08A2">
            <w:pPr>
              <w:jc w:val="center"/>
              <w:rPr>
                <w:rFonts w:ascii="宋体" w:hAnsi="宋体" w:eastAsia="宋体"/>
                <w:szCs w:val="21"/>
                <w:highlight w:val="none"/>
              </w:rPr>
            </w:pPr>
            <w:r>
              <w:rPr>
                <w:rFonts w:hint="eastAsia" w:ascii="宋体" w:hAnsi="宋体" w:eastAsia="宋体"/>
                <w:szCs w:val="21"/>
                <w:highlight w:val="none"/>
              </w:rPr>
              <w:t>是否接受联合体投标</w:t>
            </w:r>
          </w:p>
        </w:tc>
        <w:tc>
          <w:tcPr>
            <w:tcW w:w="3243" w:type="pct"/>
            <w:tcBorders>
              <w:top w:val="single" w:color="auto" w:sz="4" w:space="0"/>
              <w:left w:val="single" w:color="auto" w:sz="4" w:space="0"/>
              <w:bottom w:val="single" w:color="auto" w:sz="4" w:space="0"/>
              <w:right w:val="single" w:color="auto" w:sz="4" w:space="0"/>
            </w:tcBorders>
            <w:vAlign w:val="center"/>
          </w:tcPr>
          <w:p w14:paraId="6CED373D">
            <w:pPr>
              <w:topLinePunct/>
              <w:jc w:val="left"/>
              <w:rPr>
                <w:rFonts w:ascii="宋体" w:hAnsi="宋体" w:eastAsia="宋体"/>
                <w:szCs w:val="21"/>
                <w:highlight w:val="none"/>
              </w:rPr>
            </w:pPr>
            <w:r>
              <w:rPr>
                <w:rFonts w:hint="eastAsia" w:ascii="宋体" w:hAnsi="宋体" w:eastAsia="宋体"/>
                <w:szCs w:val="21"/>
                <w:highlight w:val="none"/>
              </w:rPr>
              <w:t>■不接受</w:t>
            </w:r>
          </w:p>
          <w:p w14:paraId="4BB981B6">
            <w:pPr>
              <w:jc w:val="left"/>
              <w:rPr>
                <w:rFonts w:ascii="宋体" w:hAnsi="宋体" w:eastAsia="宋体"/>
                <w:szCs w:val="21"/>
                <w:highlight w:val="none"/>
              </w:rPr>
            </w:pPr>
            <w:r>
              <w:rPr>
                <w:rFonts w:hint="eastAsia" w:ascii="宋体" w:hAnsi="宋体" w:eastAsia="宋体"/>
                <w:szCs w:val="21"/>
                <w:highlight w:val="none"/>
              </w:rPr>
              <w:t>□接受，应满足下列要求：</w:t>
            </w:r>
          </w:p>
        </w:tc>
      </w:tr>
      <w:tr w14:paraId="5C12CA20">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433352B6">
            <w:pPr>
              <w:jc w:val="center"/>
              <w:rPr>
                <w:rFonts w:ascii="宋体" w:hAnsi="宋体" w:eastAsia="宋体"/>
                <w:szCs w:val="21"/>
                <w:highlight w:val="none"/>
              </w:rPr>
            </w:pPr>
            <w:r>
              <w:rPr>
                <w:rFonts w:hint="eastAsia" w:ascii="宋体" w:hAnsi="宋体" w:eastAsia="宋体"/>
                <w:szCs w:val="21"/>
                <w:highlight w:val="none"/>
              </w:rPr>
              <w:t>1.4.3</w:t>
            </w:r>
          </w:p>
        </w:tc>
        <w:tc>
          <w:tcPr>
            <w:tcW w:w="1117" w:type="pct"/>
            <w:tcBorders>
              <w:top w:val="single" w:color="auto" w:sz="4" w:space="0"/>
              <w:left w:val="single" w:color="auto" w:sz="4" w:space="0"/>
              <w:bottom w:val="single" w:color="auto" w:sz="4" w:space="0"/>
              <w:right w:val="single" w:color="auto" w:sz="4" w:space="0"/>
            </w:tcBorders>
            <w:vAlign w:val="center"/>
          </w:tcPr>
          <w:p w14:paraId="6274EFB1">
            <w:pPr>
              <w:jc w:val="center"/>
              <w:rPr>
                <w:rFonts w:ascii="宋体" w:hAnsi="宋体" w:eastAsia="宋体"/>
                <w:szCs w:val="21"/>
                <w:highlight w:val="none"/>
              </w:rPr>
            </w:pPr>
            <w:r>
              <w:rPr>
                <w:rFonts w:hint="eastAsia" w:ascii="宋体" w:hAnsi="宋体" w:eastAsia="宋体"/>
                <w:szCs w:val="21"/>
                <w:highlight w:val="none"/>
              </w:rPr>
              <w:t>投标人不得存在的其他情形</w:t>
            </w:r>
          </w:p>
        </w:tc>
        <w:tc>
          <w:tcPr>
            <w:tcW w:w="3243" w:type="pct"/>
            <w:tcBorders>
              <w:top w:val="single" w:color="auto" w:sz="4" w:space="0"/>
              <w:left w:val="single" w:color="auto" w:sz="4" w:space="0"/>
              <w:bottom w:val="single" w:color="auto" w:sz="4" w:space="0"/>
              <w:right w:val="single" w:color="auto" w:sz="4" w:space="0"/>
            </w:tcBorders>
            <w:vAlign w:val="center"/>
          </w:tcPr>
          <w:p w14:paraId="75C44855">
            <w:pPr>
              <w:topLinePunct/>
              <w:jc w:val="left"/>
              <w:rPr>
                <w:rFonts w:ascii="宋体" w:hAnsi="宋体" w:eastAsia="宋体"/>
                <w:szCs w:val="21"/>
                <w:highlight w:val="none"/>
              </w:rPr>
            </w:pPr>
            <w:r>
              <w:rPr>
                <w:rFonts w:hint="eastAsia" w:ascii="宋体" w:hAnsi="宋体" w:eastAsia="宋体"/>
                <w:szCs w:val="21"/>
                <w:highlight w:val="none"/>
              </w:rPr>
              <w:t>/。</w:t>
            </w:r>
          </w:p>
        </w:tc>
      </w:tr>
      <w:tr w14:paraId="0FE12B96">
        <w:tblPrEx>
          <w:tblCellMar>
            <w:top w:w="0" w:type="dxa"/>
            <w:left w:w="108" w:type="dxa"/>
            <w:bottom w:w="0" w:type="dxa"/>
            <w:right w:w="108" w:type="dxa"/>
          </w:tblCellMar>
        </w:tblPrEx>
        <w:trPr>
          <w:trHeight w:val="234" w:hRule="atLeast"/>
        </w:trPr>
        <w:tc>
          <w:tcPr>
            <w:tcW w:w="638" w:type="pct"/>
            <w:tcBorders>
              <w:top w:val="single" w:color="auto" w:sz="4" w:space="0"/>
              <w:left w:val="single" w:color="auto" w:sz="4" w:space="0"/>
              <w:bottom w:val="single" w:color="auto" w:sz="4" w:space="0"/>
              <w:right w:val="single" w:color="auto" w:sz="4" w:space="0"/>
            </w:tcBorders>
            <w:vAlign w:val="center"/>
          </w:tcPr>
          <w:p w14:paraId="1D42FD90">
            <w:pPr>
              <w:jc w:val="center"/>
              <w:rPr>
                <w:rFonts w:ascii="宋体" w:hAnsi="宋体" w:eastAsia="宋体"/>
                <w:szCs w:val="21"/>
                <w:highlight w:val="none"/>
              </w:rPr>
            </w:pPr>
            <w:r>
              <w:rPr>
                <w:rFonts w:hint="eastAsia" w:ascii="宋体" w:hAnsi="宋体" w:eastAsia="宋体"/>
                <w:szCs w:val="21"/>
                <w:highlight w:val="none"/>
              </w:rPr>
              <w:t>1.9.1</w:t>
            </w:r>
          </w:p>
        </w:tc>
        <w:tc>
          <w:tcPr>
            <w:tcW w:w="1117" w:type="pct"/>
            <w:tcBorders>
              <w:top w:val="single" w:color="auto" w:sz="4" w:space="0"/>
              <w:left w:val="single" w:color="auto" w:sz="4" w:space="0"/>
              <w:bottom w:val="single" w:color="auto" w:sz="4" w:space="0"/>
              <w:right w:val="single" w:color="auto" w:sz="4" w:space="0"/>
            </w:tcBorders>
            <w:vAlign w:val="center"/>
          </w:tcPr>
          <w:p w14:paraId="1133CE11">
            <w:pPr>
              <w:jc w:val="center"/>
              <w:rPr>
                <w:rFonts w:ascii="宋体" w:hAnsi="宋体" w:eastAsia="宋体"/>
                <w:szCs w:val="21"/>
                <w:highlight w:val="none"/>
              </w:rPr>
            </w:pPr>
            <w:r>
              <w:rPr>
                <w:rFonts w:hint="eastAsia" w:ascii="宋体" w:hAnsi="宋体" w:eastAsia="宋体"/>
                <w:szCs w:val="21"/>
                <w:highlight w:val="none"/>
              </w:rPr>
              <w:t>投标预备会</w:t>
            </w:r>
          </w:p>
        </w:tc>
        <w:tc>
          <w:tcPr>
            <w:tcW w:w="3243" w:type="pct"/>
            <w:tcBorders>
              <w:top w:val="single" w:color="auto" w:sz="4" w:space="0"/>
              <w:left w:val="single" w:color="auto" w:sz="4" w:space="0"/>
              <w:bottom w:val="single" w:color="auto" w:sz="4" w:space="0"/>
              <w:right w:val="single" w:color="auto" w:sz="4" w:space="0"/>
            </w:tcBorders>
            <w:vAlign w:val="center"/>
          </w:tcPr>
          <w:p w14:paraId="2770A329">
            <w:pPr>
              <w:topLinePunct/>
              <w:jc w:val="left"/>
              <w:rPr>
                <w:rFonts w:ascii="宋体" w:hAnsi="宋体" w:eastAsia="宋体"/>
                <w:kern w:val="0"/>
                <w:szCs w:val="21"/>
                <w:highlight w:val="none"/>
              </w:rPr>
            </w:pPr>
            <w:r>
              <w:rPr>
                <w:rFonts w:hint="eastAsia" w:ascii="宋体" w:hAnsi="宋体" w:eastAsia="宋体"/>
                <w:kern w:val="0"/>
                <w:szCs w:val="21"/>
                <w:highlight w:val="none"/>
              </w:rPr>
              <w:t>■不召开</w:t>
            </w:r>
          </w:p>
          <w:p w14:paraId="7DC9991D">
            <w:pPr>
              <w:jc w:val="left"/>
              <w:rPr>
                <w:rFonts w:ascii="宋体" w:hAnsi="宋体" w:eastAsia="宋体"/>
                <w:szCs w:val="21"/>
                <w:highlight w:val="none"/>
              </w:rPr>
            </w:pPr>
            <w:r>
              <w:rPr>
                <w:rFonts w:hint="eastAsia" w:ascii="宋体" w:hAnsi="宋体" w:eastAsia="宋体"/>
                <w:szCs w:val="21"/>
                <w:highlight w:val="none"/>
              </w:rPr>
              <w:t>□召开，召开时间：</w:t>
            </w:r>
          </w:p>
          <w:p w14:paraId="517A7A98">
            <w:pPr>
              <w:topLinePunct/>
              <w:ind w:firstLine="840" w:firstLineChars="400"/>
              <w:jc w:val="left"/>
              <w:rPr>
                <w:rFonts w:ascii="宋体" w:hAnsi="宋体" w:eastAsia="宋体"/>
                <w:kern w:val="0"/>
                <w:szCs w:val="21"/>
                <w:highlight w:val="none"/>
              </w:rPr>
            </w:pPr>
            <w:r>
              <w:rPr>
                <w:rFonts w:hint="eastAsia" w:ascii="宋体" w:hAnsi="宋体" w:eastAsia="宋体"/>
                <w:kern w:val="0"/>
                <w:szCs w:val="21"/>
                <w:highlight w:val="none"/>
              </w:rPr>
              <w:t>召开地点：</w:t>
            </w:r>
          </w:p>
        </w:tc>
      </w:tr>
      <w:tr w14:paraId="172D2B33">
        <w:tblPrEx>
          <w:tblCellMar>
            <w:top w:w="0" w:type="dxa"/>
            <w:left w:w="108" w:type="dxa"/>
            <w:bottom w:w="0" w:type="dxa"/>
            <w:right w:w="108" w:type="dxa"/>
          </w:tblCellMar>
        </w:tblPrEx>
        <w:trPr>
          <w:trHeight w:val="106" w:hRule="atLeast"/>
        </w:trPr>
        <w:tc>
          <w:tcPr>
            <w:tcW w:w="638" w:type="pct"/>
            <w:vMerge w:val="restart"/>
            <w:tcBorders>
              <w:top w:val="single" w:color="auto" w:sz="4" w:space="0"/>
              <w:left w:val="single" w:color="auto" w:sz="4" w:space="0"/>
              <w:right w:val="single" w:color="auto" w:sz="4" w:space="0"/>
            </w:tcBorders>
            <w:vAlign w:val="center"/>
          </w:tcPr>
          <w:p w14:paraId="49127135">
            <w:pPr>
              <w:jc w:val="center"/>
              <w:rPr>
                <w:rFonts w:ascii="宋体" w:hAnsi="宋体" w:eastAsia="宋体"/>
                <w:szCs w:val="21"/>
                <w:highlight w:val="none"/>
              </w:rPr>
            </w:pPr>
            <w:r>
              <w:rPr>
                <w:rFonts w:hint="eastAsia" w:ascii="宋体" w:hAnsi="宋体" w:eastAsia="宋体"/>
                <w:szCs w:val="21"/>
                <w:highlight w:val="none"/>
              </w:rPr>
              <w:t>1.9.2</w:t>
            </w:r>
          </w:p>
        </w:tc>
        <w:tc>
          <w:tcPr>
            <w:tcW w:w="1117" w:type="pct"/>
            <w:vMerge w:val="restart"/>
            <w:tcBorders>
              <w:top w:val="single" w:color="auto" w:sz="4" w:space="0"/>
              <w:left w:val="single" w:color="auto" w:sz="4" w:space="0"/>
              <w:right w:val="single" w:color="auto" w:sz="4" w:space="0"/>
            </w:tcBorders>
            <w:vAlign w:val="center"/>
          </w:tcPr>
          <w:p w14:paraId="3052F75F">
            <w:pPr>
              <w:jc w:val="center"/>
              <w:rPr>
                <w:rFonts w:ascii="宋体" w:hAnsi="宋体" w:eastAsia="宋体"/>
                <w:szCs w:val="21"/>
                <w:highlight w:val="none"/>
              </w:rPr>
            </w:pPr>
            <w:r>
              <w:rPr>
                <w:rFonts w:hint="eastAsia" w:ascii="宋体" w:hAnsi="宋体" w:eastAsia="宋体"/>
                <w:szCs w:val="21"/>
                <w:highlight w:val="none"/>
              </w:rPr>
              <w:t>投标人在投标预备会前提出问题</w:t>
            </w:r>
          </w:p>
        </w:tc>
        <w:tc>
          <w:tcPr>
            <w:tcW w:w="3243" w:type="pct"/>
            <w:tcBorders>
              <w:top w:val="single" w:color="auto" w:sz="4" w:space="0"/>
              <w:left w:val="single" w:color="auto" w:sz="4" w:space="0"/>
              <w:bottom w:val="single" w:color="auto" w:sz="4" w:space="0"/>
              <w:right w:val="single" w:color="auto" w:sz="4" w:space="0"/>
            </w:tcBorders>
            <w:vAlign w:val="center"/>
          </w:tcPr>
          <w:p w14:paraId="566BCF9B">
            <w:pPr>
              <w:jc w:val="left"/>
              <w:rPr>
                <w:rFonts w:ascii="宋体" w:hAnsi="宋体" w:eastAsia="宋体"/>
                <w:szCs w:val="21"/>
                <w:highlight w:val="none"/>
              </w:rPr>
            </w:pPr>
            <w:r>
              <w:rPr>
                <w:rFonts w:hint="eastAsia" w:ascii="宋体" w:hAnsi="宋体" w:eastAsia="宋体"/>
                <w:szCs w:val="21"/>
                <w:highlight w:val="none"/>
              </w:rPr>
              <w:t>时间：/。</w:t>
            </w:r>
          </w:p>
        </w:tc>
      </w:tr>
      <w:tr w14:paraId="608AC159">
        <w:tblPrEx>
          <w:tblCellMar>
            <w:top w:w="0" w:type="dxa"/>
            <w:left w:w="108" w:type="dxa"/>
            <w:bottom w:w="0" w:type="dxa"/>
            <w:right w:w="108" w:type="dxa"/>
          </w:tblCellMar>
        </w:tblPrEx>
        <w:trPr>
          <w:trHeight w:val="35" w:hRule="atLeast"/>
        </w:trPr>
        <w:tc>
          <w:tcPr>
            <w:tcW w:w="638" w:type="pct"/>
            <w:vMerge w:val="continue"/>
            <w:tcBorders>
              <w:left w:val="single" w:color="auto" w:sz="4" w:space="0"/>
              <w:bottom w:val="single" w:color="auto" w:sz="4" w:space="0"/>
              <w:right w:val="single" w:color="auto" w:sz="4" w:space="0"/>
            </w:tcBorders>
            <w:vAlign w:val="center"/>
          </w:tcPr>
          <w:p w14:paraId="53EC8452">
            <w:pPr>
              <w:jc w:val="center"/>
              <w:rPr>
                <w:rFonts w:ascii="宋体" w:hAnsi="宋体" w:eastAsia="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14:paraId="07B5E4EB">
            <w:pPr>
              <w:jc w:val="center"/>
              <w:rPr>
                <w:rFonts w:ascii="宋体" w:hAnsi="宋体" w:eastAsia="宋体"/>
                <w:szCs w:val="21"/>
                <w:highlight w:val="none"/>
              </w:rPr>
            </w:pPr>
          </w:p>
        </w:tc>
        <w:tc>
          <w:tcPr>
            <w:tcW w:w="3243" w:type="pct"/>
            <w:tcBorders>
              <w:top w:val="single" w:color="auto" w:sz="4" w:space="0"/>
              <w:left w:val="single" w:color="auto" w:sz="4" w:space="0"/>
              <w:bottom w:val="single" w:color="auto" w:sz="4" w:space="0"/>
              <w:right w:val="single" w:color="auto" w:sz="4" w:space="0"/>
            </w:tcBorders>
            <w:vAlign w:val="center"/>
          </w:tcPr>
          <w:p w14:paraId="3616E495">
            <w:pPr>
              <w:jc w:val="left"/>
              <w:rPr>
                <w:rFonts w:ascii="宋体" w:hAnsi="宋体" w:eastAsia="宋体"/>
                <w:szCs w:val="21"/>
                <w:highlight w:val="none"/>
              </w:rPr>
            </w:pPr>
            <w:r>
              <w:rPr>
                <w:rFonts w:hint="eastAsia" w:ascii="宋体" w:hAnsi="宋体" w:eastAsia="宋体"/>
                <w:szCs w:val="21"/>
                <w:highlight w:val="none"/>
              </w:rPr>
              <w:t>形式：/。</w:t>
            </w:r>
          </w:p>
        </w:tc>
      </w:tr>
      <w:tr w14:paraId="0342EA04">
        <w:tblPrEx>
          <w:tblCellMar>
            <w:top w:w="0" w:type="dxa"/>
            <w:left w:w="108" w:type="dxa"/>
            <w:bottom w:w="0" w:type="dxa"/>
            <w:right w:w="108" w:type="dxa"/>
          </w:tblCellMar>
        </w:tblPrEx>
        <w:trPr>
          <w:trHeight w:val="106" w:hRule="atLeast"/>
        </w:trPr>
        <w:tc>
          <w:tcPr>
            <w:tcW w:w="638" w:type="pct"/>
            <w:tcBorders>
              <w:left w:val="single" w:color="auto" w:sz="4" w:space="0"/>
              <w:bottom w:val="single" w:color="auto" w:sz="4" w:space="0"/>
              <w:right w:val="single" w:color="auto" w:sz="4" w:space="0"/>
            </w:tcBorders>
            <w:vAlign w:val="center"/>
          </w:tcPr>
          <w:p w14:paraId="664B6D79">
            <w:pPr>
              <w:jc w:val="center"/>
              <w:rPr>
                <w:rFonts w:ascii="宋体" w:hAnsi="宋体" w:eastAsia="宋体"/>
                <w:szCs w:val="21"/>
                <w:highlight w:val="none"/>
              </w:rPr>
            </w:pPr>
            <w:r>
              <w:rPr>
                <w:rFonts w:hint="eastAsia" w:ascii="宋体" w:hAnsi="宋体" w:eastAsia="宋体"/>
                <w:szCs w:val="21"/>
                <w:highlight w:val="none"/>
              </w:rPr>
              <w:t>1.9.3</w:t>
            </w:r>
          </w:p>
        </w:tc>
        <w:tc>
          <w:tcPr>
            <w:tcW w:w="1117" w:type="pct"/>
            <w:tcBorders>
              <w:left w:val="single" w:color="auto" w:sz="4" w:space="0"/>
              <w:bottom w:val="single" w:color="auto" w:sz="4" w:space="0"/>
              <w:right w:val="single" w:color="auto" w:sz="4" w:space="0"/>
            </w:tcBorders>
            <w:vAlign w:val="center"/>
          </w:tcPr>
          <w:p w14:paraId="58713C90">
            <w:pPr>
              <w:jc w:val="center"/>
              <w:rPr>
                <w:rFonts w:ascii="宋体" w:hAnsi="宋体" w:eastAsia="宋体"/>
                <w:szCs w:val="21"/>
                <w:highlight w:val="none"/>
              </w:rPr>
            </w:pPr>
            <w:r>
              <w:rPr>
                <w:rFonts w:hint="eastAsia" w:ascii="宋体" w:hAnsi="宋体" w:eastAsia="宋体"/>
                <w:szCs w:val="21"/>
                <w:highlight w:val="none"/>
              </w:rPr>
              <w:t>招标文件澄清发出的形式</w:t>
            </w:r>
          </w:p>
        </w:tc>
        <w:tc>
          <w:tcPr>
            <w:tcW w:w="3243" w:type="pct"/>
            <w:tcBorders>
              <w:top w:val="single" w:color="auto" w:sz="4" w:space="0"/>
              <w:left w:val="single" w:color="auto" w:sz="4" w:space="0"/>
              <w:bottom w:val="single" w:color="auto" w:sz="4" w:space="0"/>
              <w:right w:val="single" w:color="auto" w:sz="4" w:space="0"/>
            </w:tcBorders>
            <w:vAlign w:val="center"/>
          </w:tcPr>
          <w:p w14:paraId="29BE3DE3">
            <w:pPr>
              <w:jc w:val="left"/>
              <w:rPr>
                <w:rFonts w:ascii="宋体" w:hAnsi="宋体" w:eastAsia="宋体"/>
                <w:szCs w:val="21"/>
                <w:highlight w:val="none"/>
              </w:rPr>
            </w:pPr>
            <w:r>
              <w:rPr>
                <w:rFonts w:hint="eastAsia" w:ascii="宋体" w:hAnsi="宋体" w:eastAsia="宋体"/>
                <w:szCs w:val="21"/>
                <w:highlight w:val="none"/>
                <w:u w:val="single"/>
              </w:rPr>
              <w:t>/</w:t>
            </w:r>
          </w:p>
        </w:tc>
      </w:tr>
      <w:tr w14:paraId="5A3EA517">
        <w:tblPrEx>
          <w:tblCellMar>
            <w:top w:w="0" w:type="dxa"/>
            <w:left w:w="108" w:type="dxa"/>
            <w:bottom w:w="0" w:type="dxa"/>
            <w:right w:w="108" w:type="dxa"/>
          </w:tblCellMar>
        </w:tblPrEx>
        <w:trPr>
          <w:trHeight w:val="427" w:hRule="atLeast"/>
        </w:trPr>
        <w:tc>
          <w:tcPr>
            <w:tcW w:w="638" w:type="pct"/>
            <w:tcBorders>
              <w:left w:val="single" w:color="auto" w:sz="4" w:space="0"/>
              <w:bottom w:val="single" w:color="auto" w:sz="4" w:space="0"/>
              <w:right w:val="single" w:color="auto" w:sz="4" w:space="0"/>
            </w:tcBorders>
            <w:vAlign w:val="center"/>
          </w:tcPr>
          <w:p w14:paraId="1135A92D">
            <w:pPr>
              <w:jc w:val="center"/>
              <w:rPr>
                <w:rFonts w:ascii="宋体" w:hAnsi="宋体" w:eastAsia="宋体"/>
                <w:szCs w:val="21"/>
                <w:highlight w:val="none"/>
              </w:rPr>
            </w:pPr>
            <w:r>
              <w:rPr>
                <w:rFonts w:hint="eastAsia" w:ascii="宋体" w:hAnsi="宋体" w:eastAsia="宋体"/>
                <w:szCs w:val="21"/>
                <w:highlight w:val="none"/>
              </w:rPr>
              <w:t>1.10.1</w:t>
            </w:r>
          </w:p>
        </w:tc>
        <w:tc>
          <w:tcPr>
            <w:tcW w:w="1117" w:type="pct"/>
            <w:tcBorders>
              <w:left w:val="single" w:color="auto" w:sz="4" w:space="0"/>
              <w:bottom w:val="single" w:color="auto" w:sz="4" w:space="0"/>
              <w:right w:val="single" w:color="auto" w:sz="4" w:space="0"/>
            </w:tcBorders>
            <w:vAlign w:val="center"/>
          </w:tcPr>
          <w:p w14:paraId="786B5E75">
            <w:pPr>
              <w:jc w:val="center"/>
              <w:rPr>
                <w:rFonts w:ascii="宋体" w:hAnsi="宋体" w:eastAsia="宋体"/>
                <w:szCs w:val="21"/>
                <w:highlight w:val="none"/>
              </w:rPr>
            </w:pPr>
            <w:r>
              <w:rPr>
                <w:rFonts w:hint="eastAsia" w:ascii="宋体" w:hAnsi="宋体" w:eastAsia="宋体"/>
                <w:szCs w:val="21"/>
                <w:highlight w:val="none"/>
              </w:rPr>
              <w:t>分包</w:t>
            </w:r>
          </w:p>
        </w:tc>
        <w:tc>
          <w:tcPr>
            <w:tcW w:w="3243" w:type="pct"/>
            <w:tcBorders>
              <w:top w:val="single" w:color="auto" w:sz="4" w:space="0"/>
              <w:left w:val="single" w:color="auto" w:sz="4" w:space="0"/>
              <w:bottom w:val="single" w:color="auto" w:sz="4" w:space="0"/>
              <w:right w:val="single" w:color="auto" w:sz="4" w:space="0"/>
            </w:tcBorders>
            <w:vAlign w:val="center"/>
          </w:tcPr>
          <w:p w14:paraId="0599E166">
            <w:pPr>
              <w:jc w:val="left"/>
              <w:rPr>
                <w:rFonts w:ascii="宋体" w:hAnsi="宋体" w:eastAsia="宋体"/>
                <w:szCs w:val="21"/>
                <w:highlight w:val="none"/>
              </w:rPr>
            </w:pPr>
            <w:r>
              <w:rPr>
                <w:rFonts w:hint="eastAsia" w:ascii="宋体" w:hAnsi="宋体" w:eastAsia="宋体"/>
                <w:kern w:val="0"/>
                <w:szCs w:val="21"/>
                <w:highlight w:val="none"/>
              </w:rPr>
              <w:t>■</w:t>
            </w:r>
            <w:r>
              <w:rPr>
                <w:rFonts w:hint="eastAsia" w:ascii="宋体" w:hAnsi="宋体" w:eastAsia="宋体"/>
                <w:szCs w:val="21"/>
                <w:highlight w:val="none"/>
              </w:rPr>
              <w:t>不允许</w:t>
            </w:r>
          </w:p>
          <w:p w14:paraId="43FBF6DF">
            <w:pPr>
              <w:jc w:val="left"/>
              <w:rPr>
                <w:rFonts w:ascii="宋体" w:hAnsi="宋体" w:eastAsia="宋体"/>
                <w:szCs w:val="21"/>
                <w:highlight w:val="none"/>
              </w:rPr>
            </w:pPr>
            <w:r>
              <w:rPr>
                <w:rFonts w:hint="eastAsia" w:ascii="宋体" w:hAnsi="宋体" w:eastAsia="宋体"/>
                <w:szCs w:val="21"/>
                <w:highlight w:val="none"/>
              </w:rPr>
              <w:t>□允许，分包内容要求：</w:t>
            </w:r>
          </w:p>
          <w:p w14:paraId="6962DC40">
            <w:pPr>
              <w:jc w:val="left"/>
              <w:rPr>
                <w:rFonts w:ascii="宋体" w:hAnsi="宋体" w:eastAsia="宋体"/>
                <w:szCs w:val="21"/>
                <w:highlight w:val="none"/>
              </w:rPr>
            </w:pPr>
            <w:r>
              <w:rPr>
                <w:rFonts w:hint="eastAsia" w:ascii="宋体" w:hAnsi="宋体" w:eastAsia="宋体"/>
                <w:szCs w:val="21"/>
                <w:highlight w:val="none"/>
              </w:rPr>
              <w:t>分包金额要求：</w:t>
            </w:r>
          </w:p>
          <w:p w14:paraId="2CD8BA50">
            <w:pPr>
              <w:jc w:val="left"/>
              <w:rPr>
                <w:rFonts w:ascii="宋体" w:hAnsi="宋体" w:eastAsia="宋体"/>
                <w:szCs w:val="21"/>
                <w:highlight w:val="none"/>
              </w:rPr>
            </w:pPr>
            <w:r>
              <w:rPr>
                <w:rFonts w:hint="eastAsia" w:ascii="宋体" w:hAnsi="宋体" w:eastAsia="宋体"/>
                <w:szCs w:val="21"/>
                <w:highlight w:val="none"/>
              </w:rPr>
              <w:t>对分包人的资质要求：</w:t>
            </w:r>
          </w:p>
        </w:tc>
      </w:tr>
      <w:tr w14:paraId="76EDC87D">
        <w:tblPrEx>
          <w:tblCellMar>
            <w:top w:w="0" w:type="dxa"/>
            <w:left w:w="108" w:type="dxa"/>
            <w:bottom w:w="0" w:type="dxa"/>
            <w:right w:w="108" w:type="dxa"/>
          </w:tblCellMar>
        </w:tblPrEx>
        <w:trPr>
          <w:trHeight w:val="106" w:hRule="atLeast"/>
        </w:trPr>
        <w:tc>
          <w:tcPr>
            <w:tcW w:w="638" w:type="pct"/>
            <w:tcBorders>
              <w:left w:val="single" w:color="auto" w:sz="4" w:space="0"/>
              <w:bottom w:val="single" w:color="auto" w:sz="4" w:space="0"/>
              <w:right w:val="single" w:color="auto" w:sz="4" w:space="0"/>
            </w:tcBorders>
            <w:vAlign w:val="center"/>
          </w:tcPr>
          <w:p w14:paraId="5B194EA2">
            <w:pPr>
              <w:jc w:val="center"/>
              <w:rPr>
                <w:rFonts w:ascii="宋体" w:hAnsi="宋体" w:eastAsia="宋体"/>
                <w:szCs w:val="21"/>
                <w:highlight w:val="none"/>
              </w:rPr>
            </w:pPr>
            <w:r>
              <w:rPr>
                <w:rFonts w:hint="eastAsia" w:ascii="宋体" w:hAnsi="宋体" w:eastAsia="宋体"/>
                <w:szCs w:val="21"/>
                <w:highlight w:val="none"/>
              </w:rPr>
              <w:t>1.11.1</w:t>
            </w:r>
          </w:p>
        </w:tc>
        <w:tc>
          <w:tcPr>
            <w:tcW w:w="1117" w:type="pct"/>
            <w:tcBorders>
              <w:left w:val="single" w:color="auto" w:sz="4" w:space="0"/>
              <w:bottom w:val="single" w:color="auto" w:sz="4" w:space="0"/>
              <w:right w:val="single" w:color="auto" w:sz="4" w:space="0"/>
            </w:tcBorders>
            <w:vAlign w:val="center"/>
          </w:tcPr>
          <w:p w14:paraId="4835B291">
            <w:pPr>
              <w:jc w:val="center"/>
              <w:rPr>
                <w:rFonts w:ascii="宋体" w:hAnsi="宋体" w:eastAsia="宋体"/>
                <w:szCs w:val="21"/>
                <w:highlight w:val="none"/>
              </w:rPr>
            </w:pPr>
            <w:r>
              <w:rPr>
                <w:rFonts w:hint="eastAsia" w:ascii="宋体" w:hAnsi="宋体" w:eastAsia="宋体"/>
                <w:szCs w:val="21"/>
                <w:highlight w:val="none"/>
              </w:rPr>
              <w:t>实质性要求和条件</w:t>
            </w:r>
          </w:p>
        </w:tc>
        <w:tc>
          <w:tcPr>
            <w:tcW w:w="3243" w:type="pct"/>
            <w:tcBorders>
              <w:top w:val="single" w:color="auto" w:sz="4" w:space="0"/>
              <w:left w:val="single" w:color="auto" w:sz="4" w:space="0"/>
              <w:bottom w:val="single" w:color="auto" w:sz="4" w:space="0"/>
              <w:right w:val="single" w:color="auto" w:sz="4" w:space="0"/>
            </w:tcBorders>
            <w:vAlign w:val="center"/>
          </w:tcPr>
          <w:p w14:paraId="6A7F2CAC">
            <w:pPr>
              <w:jc w:val="left"/>
              <w:rPr>
                <w:rFonts w:ascii="宋体" w:hAnsi="宋体" w:eastAsia="宋体"/>
                <w:szCs w:val="21"/>
                <w:highlight w:val="none"/>
              </w:rPr>
            </w:pPr>
            <w:r>
              <w:rPr>
                <w:rFonts w:hint="eastAsia" w:ascii="宋体" w:hAnsi="宋体" w:eastAsia="宋体"/>
                <w:szCs w:val="21"/>
                <w:highlight w:val="none"/>
                <w:u w:val="single"/>
              </w:rPr>
              <w:t>“技术需求书”中带“★”号的条款均为实质</w:t>
            </w:r>
            <w:r>
              <w:rPr>
                <w:rFonts w:hint="eastAsia" w:ascii="宋体" w:hAnsi="宋体" w:eastAsia="宋体"/>
                <w:spacing w:val="-2"/>
                <w:szCs w:val="21"/>
                <w:highlight w:val="none"/>
                <w:u w:val="single"/>
              </w:rPr>
              <w:t>性</w:t>
            </w:r>
            <w:r>
              <w:rPr>
                <w:rFonts w:hint="eastAsia" w:ascii="宋体" w:hAnsi="宋体" w:eastAsia="宋体"/>
                <w:szCs w:val="21"/>
                <w:highlight w:val="none"/>
                <w:u w:val="single"/>
              </w:rPr>
              <w:t>要</w:t>
            </w:r>
            <w:r>
              <w:rPr>
                <w:rFonts w:hint="eastAsia" w:ascii="宋体" w:hAnsi="宋体" w:eastAsia="宋体"/>
                <w:spacing w:val="-2"/>
                <w:szCs w:val="21"/>
                <w:highlight w:val="none"/>
                <w:u w:val="single"/>
              </w:rPr>
              <w:t>求</w:t>
            </w:r>
            <w:r>
              <w:rPr>
                <w:rFonts w:hint="eastAsia" w:ascii="宋体" w:hAnsi="宋体" w:eastAsia="宋体"/>
                <w:szCs w:val="21"/>
                <w:highlight w:val="none"/>
                <w:u w:val="single"/>
              </w:rPr>
              <w:t>和</w:t>
            </w:r>
            <w:r>
              <w:rPr>
                <w:rFonts w:hint="eastAsia" w:ascii="宋体" w:hAnsi="宋体" w:eastAsia="宋体"/>
                <w:spacing w:val="-2"/>
                <w:szCs w:val="21"/>
                <w:highlight w:val="none"/>
                <w:u w:val="single"/>
              </w:rPr>
              <w:t>条</w:t>
            </w:r>
            <w:r>
              <w:rPr>
                <w:rFonts w:hint="eastAsia" w:ascii="宋体" w:hAnsi="宋体" w:eastAsia="宋体"/>
                <w:szCs w:val="21"/>
                <w:highlight w:val="none"/>
                <w:u w:val="single"/>
              </w:rPr>
              <w:t>件。</w:t>
            </w:r>
          </w:p>
        </w:tc>
      </w:tr>
      <w:tr w14:paraId="6A9C16BF">
        <w:tblPrEx>
          <w:tblCellMar>
            <w:top w:w="0" w:type="dxa"/>
            <w:left w:w="108" w:type="dxa"/>
            <w:bottom w:w="0" w:type="dxa"/>
            <w:right w:w="108" w:type="dxa"/>
          </w:tblCellMar>
        </w:tblPrEx>
        <w:trPr>
          <w:trHeight w:val="124" w:hRule="atLeast"/>
        </w:trPr>
        <w:tc>
          <w:tcPr>
            <w:tcW w:w="638" w:type="pct"/>
            <w:tcBorders>
              <w:top w:val="single" w:color="auto" w:sz="4" w:space="0"/>
              <w:left w:val="single" w:color="auto" w:sz="4" w:space="0"/>
              <w:bottom w:val="single" w:color="auto" w:sz="4" w:space="0"/>
              <w:right w:val="single" w:color="auto" w:sz="4" w:space="0"/>
            </w:tcBorders>
            <w:vAlign w:val="center"/>
          </w:tcPr>
          <w:p w14:paraId="63BF0675">
            <w:pPr>
              <w:jc w:val="center"/>
              <w:rPr>
                <w:rFonts w:ascii="宋体" w:hAnsi="宋体" w:eastAsia="宋体"/>
                <w:szCs w:val="21"/>
                <w:highlight w:val="none"/>
              </w:rPr>
            </w:pPr>
            <w:r>
              <w:rPr>
                <w:rFonts w:hint="eastAsia" w:ascii="宋体" w:hAnsi="宋体" w:eastAsia="宋体"/>
                <w:szCs w:val="21"/>
                <w:highlight w:val="none"/>
              </w:rPr>
              <w:t>1.11.3</w:t>
            </w:r>
          </w:p>
        </w:tc>
        <w:tc>
          <w:tcPr>
            <w:tcW w:w="1117" w:type="pct"/>
            <w:tcBorders>
              <w:top w:val="single" w:color="auto" w:sz="4" w:space="0"/>
              <w:left w:val="single" w:color="auto" w:sz="4" w:space="0"/>
              <w:bottom w:val="single" w:color="auto" w:sz="4" w:space="0"/>
              <w:right w:val="single" w:color="auto" w:sz="4" w:space="0"/>
            </w:tcBorders>
            <w:vAlign w:val="center"/>
          </w:tcPr>
          <w:p w14:paraId="6264082D">
            <w:pPr>
              <w:jc w:val="center"/>
              <w:rPr>
                <w:rFonts w:ascii="宋体" w:hAnsi="宋体" w:eastAsia="宋体"/>
                <w:szCs w:val="21"/>
                <w:highlight w:val="none"/>
              </w:rPr>
            </w:pPr>
            <w:r>
              <w:rPr>
                <w:rFonts w:hint="eastAsia" w:ascii="宋体" w:hAnsi="宋体" w:eastAsia="宋体"/>
                <w:szCs w:val="21"/>
                <w:highlight w:val="none"/>
              </w:rPr>
              <w:t>其他可以被接受的技术支持资料</w:t>
            </w:r>
          </w:p>
        </w:tc>
        <w:tc>
          <w:tcPr>
            <w:tcW w:w="3243" w:type="pct"/>
            <w:tcBorders>
              <w:top w:val="single" w:color="auto" w:sz="4" w:space="0"/>
              <w:left w:val="single" w:color="auto" w:sz="4" w:space="0"/>
              <w:bottom w:val="single" w:color="auto" w:sz="4" w:space="0"/>
              <w:right w:val="single" w:color="auto" w:sz="4" w:space="0"/>
            </w:tcBorders>
            <w:vAlign w:val="center"/>
          </w:tcPr>
          <w:p w14:paraId="476F2553">
            <w:pPr>
              <w:topLinePunct/>
              <w:jc w:val="left"/>
              <w:rPr>
                <w:rFonts w:ascii="宋体" w:hAnsi="宋体" w:eastAsia="宋体"/>
                <w:kern w:val="0"/>
                <w:szCs w:val="21"/>
                <w:highlight w:val="none"/>
              </w:rPr>
            </w:pPr>
            <w:r>
              <w:rPr>
                <w:rFonts w:hint="eastAsia" w:ascii="宋体" w:hAnsi="宋体" w:eastAsia="宋体"/>
                <w:kern w:val="0"/>
                <w:szCs w:val="21"/>
                <w:highlight w:val="none"/>
              </w:rPr>
              <w:t>/。</w:t>
            </w:r>
          </w:p>
        </w:tc>
      </w:tr>
      <w:tr w14:paraId="3984BFD1">
        <w:tblPrEx>
          <w:tblCellMar>
            <w:top w:w="0" w:type="dxa"/>
            <w:left w:w="108" w:type="dxa"/>
            <w:bottom w:w="0" w:type="dxa"/>
            <w:right w:w="108" w:type="dxa"/>
          </w:tblCellMar>
        </w:tblPrEx>
        <w:trPr>
          <w:trHeight w:val="361" w:hRule="atLeast"/>
        </w:trPr>
        <w:tc>
          <w:tcPr>
            <w:tcW w:w="638" w:type="pct"/>
            <w:tcBorders>
              <w:top w:val="single" w:color="auto" w:sz="4" w:space="0"/>
              <w:left w:val="single" w:color="auto" w:sz="4" w:space="0"/>
              <w:bottom w:val="single" w:color="auto" w:sz="4" w:space="0"/>
              <w:right w:val="single" w:color="auto" w:sz="4" w:space="0"/>
            </w:tcBorders>
            <w:vAlign w:val="center"/>
          </w:tcPr>
          <w:p w14:paraId="6743811E">
            <w:pPr>
              <w:jc w:val="center"/>
              <w:rPr>
                <w:rFonts w:ascii="宋体" w:hAnsi="宋体" w:eastAsia="宋体"/>
                <w:szCs w:val="21"/>
                <w:highlight w:val="none"/>
              </w:rPr>
            </w:pPr>
            <w:r>
              <w:rPr>
                <w:rFonts w:hint="eastAsia" w:ascii="宋体" w:hAnsi="宋体" w:eastAsia="宋体"/>
                <w:szCs w:val="21"/>
                <w:highlight w:val="none"/>
              </w:rPr>
              <w:t>1.11.4</w:t>
            </w:r>
          </w:p>
        </w:tc>
        <w:tc>
          <w:tcPr>
            <w:tcW w:w="1117" w:type="pct"/>
            <w:tcBorders>
              <w:top w:val="single" w:color="auto" w:sz="4" w:space="0"/>
              <w:left w:val="single" w:color="auto" w:sz="4" w:space="0"/>
              <w:bottom w:val="single" w:color="auto" w:sz="4" w:space="0"/>
              <w:right w:val="single" w:color="auto" w:sz="4" w:space="0"/>
            </w:tcBorders>
            <w:vAlign w:val="center"/>
          </w:tcPr>
          <w:p w14:paraId="78724107">
            <w:pPr>
              <w:jc w:val="center"/>
              <w:rPr>
                <w:rFonts w:ascii="宋体" w:hAnsi="宋体" w:eastAsia="宋体"/>
                <w:szCs w:val="21"/>
                <w:highlight w:val="none"/>
              </w:rPr>
            </w:pPr>
            <w:r>
              <w:rPr>
                <w:rFonts w:hint="eastAsia" w:ascii="宋体" w:hAnsi="宋体" w:eastAsia="宋体"/>
                <w:szCs w:val="21"/>
                <w:highlight w:val="none"/>
              </w:rPr>
              <w:t>偏差</w:t>
            </w:r>
          </w:p>
        </w:tc>
        <w:tc>
          <w:tcPr>
            <w:tcW w:w="3243" w:type="pct"/>
            <w:tcBorders>
              <w:top w:val="single" w:color="auto" w:sz="4" w:space="0"/>
              <w:left w:val="single" w:color="auto" w:sz="4" w:space="0"/>
              <w:bottom w:val="single" w:color="auto" w:sz="4" w:space="0"/>
              <w:right w:val="single" w:color="auto" w:sz="4" w:space="0"/>
            </w:tcBorders>
          </w:tcPr>
          <w:p w14:paraId="48B00728">
            <w:pPr>
              <w:jc w:val="left"/>
              <w:rPr>
                <w:rFonts w:ascii="宋体" w:hAnsi="宋体" w:eastAsia="宋体"/>
                <w:szCs w:val="21"/>
                <w:highlight w:val="none"/>
              </w:rPr>
            </w:pPr>
            <w:r>
              <w:rPr>
                <w:rFonts w:hint="eastAsia" w:ascii="宋体" w:hAnsi="宋体" w:eastAsia="宋体"/>
                <w:szCs w:val="21"/>
                <w:highlight w:val="none"/>
              </w:rPr>
              <w:t>□不允许</w:t>
            </w:r>
          </w:p>
          <w:p w14:paraId="0AEC416D">
            <w:pPr>
              <w:topLinePunct/>
              <w:jc w:val="left"/>
              <w:rPr>
                <w:rFonts w:ascii="宋体" w:hAnsi="宋体" w:eastAsia="宋体"/>
                <w:kern w:val="0"/>
                <w:szCs w:val="21"/>
                <w:highlight w:val="none"/>
              </w:rPr>
            </w:pPr>
            <w:r>
              <w:rPr>
                <w:rFonts w:hint="eastAsia" w:ascii="宋体" w:hAnsi="宋体" w:eastAsia="宋体"/>
                <w:kern w:val="0"/>
                <w:szCs w:val="21"/>
                <w:highlight w:val="none"/>
              </w:rPr>
              <w:t>■允许，偏差范围：符合招标文件等有关资料</w:t>
            </w:r>
          </w:p>
          <w:p w14:paraId="5E9B8049">
            <w:pPr>
              <w:topLinePunct/>
              <w:ind w:firstLine="840" w:firstLineChars="400"/>
              <w:jc w:val="left"/>
              <w:rPr>
                <w:rFonts w:ascii="宋体" w:hAnsi="宋体" w:eastAsia="宋体"/>
                <w:kern w:val="0"/>
                <w:szCs w:val="21"/>
                <w:highlight w:val="none"/>
              </w:rPr>
            </w:pPr>
            <w:r>
              <w:rPr>
                <w:rFonts w:hint="eastAsia" w:ascii="宋体" w:hAnsi="宋体" w:eastAsia="宋体"/>
                <w:kern w:val="0"/>
                <w:szCs w:val="21"/>
                <w:highlight w:val="none"/>
              </w:rPr>
              <w:t>最高项数：符合招标文件等有关资料</w:t>
            </w:r>
          </w:p>
        </w:tc>
      </w:tr>
      <w:tr w14:paraId="0E89DAD4">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12FB5101">
            <w:pPr>
              <w:jc w:val="center"/>
              <w:rPr>
                <w:rFonts w:ascii="宋体" w:hAnsi="宋体" w:eastAsia="宋体"/>
                <w:szCs w:val="21"/>
                <w:highlight w:val="none"/>
              </w:rPr>
            </w:pPr>
            <w:r>
              <w:rPr>
                <w:rFonts w:hint="eastAsia" w:ascii="宋体" w:hAnsi="宋体" w:eastAsia="宋体"/>
                <w:szCs w:val="21"/>
                <w:highlight w:val="none"/>
              </w:rPr>
              <w:t>2.1</w:t>
            </w:r>
          </w:p>
        </w:tc>
        <w:tc>
          <w:tcPr>
            <w:tcW w:w="1117" w:type="pct"/>
            <w:tcBorders>
              <w:top w:val="single" w:color="auto" w:sz="4" w:space="0"/>
              <w:left w:val="single" w:color="auto" w:sz="4" w:space="0"/>
              <w:bottom w:val="single" w:color="auto" w:sz="4" w:space="0"/>
              <w:right w:val="single" w:color="auto" w:sz="4" w:space="0"/>
            </w:tcBorders>
            <w:vAlign w:val="center"/>
          </w:tcPr>
          <w:p w14:paraId="2E250F34">
            <w:pPr>
              <w:jc w:val="center"/>
              <w:rPr>
                <w:rFonts w:ascii="宋体" w:hAnsi="宋体" w:eastAsia="宋体"/>
                <w:szCs w:val="21"/>
                <w:highlight w:val="none"/>
              </w:rPr>
            </w:pPr>
            <w:r>
              <w:rPr>
                <w:rFonts w:hint="eastAsia" w:ascii="宋体" w:hAnsi="宋体" w:eastAsia="宋体"/>
                <w:szCs w:val="21"/>
                <w:highlight w:val="none"/>
              </w:rPr>
              <w:t>构成招标文件的其他资料</w:t>
            </w:r>
          </w:p>
        </w:tc>
        <w:tc>
          <w:tcPr>
            <w:tcW w:w="3243" w:type="pct"/>
            <w:tcBorders>
              <w:top w:val="single" w:color="auto" w:sz="4" w:space="0"/>
              <w:left w:val="single" w:color="auto" w:sz="4" w:space="0"/>
              <w:bottom w:val="single" w:color="auto" w:sz="4" w:space="0"/>
              <w:right w:val="single" w:color="auto" w:sz="4" w:space="0"/>
            </w:tcBorders>
            <w:vAlign w:val="center"/>
          </w:tcPr>
          <w:p w14:paraId="6082CB17">
            <w:pPr>
              <w:jc w:val="left"/>
              <w:rPr>
                <w:rFonts w:ascii="宋体" w:hAnsi="宋体" w:eastAsia="宋体"/>
                <w:szCs w:val="21"/>
                <w:highlight w:val="none"/>
              </w:rPr>
            </w:pPr>
            <w:r>
              <w:rPr>
                <w:rFonts w:hint="eastAsia" w:ascii="宋体" w:hAnsi="宋体" w:eastAsia="宋体"/>
                <w:szCs w:val="21"/>
                <w:highlight w:val="none"/>
              </w:rPr>
              <w:t>招标文件的澄清、修改、补充通知等内容</w:t>
            </w:r>
          </w:p>
        </w:tc>
      </w:tr>
      <w:tr w14:paraId="4EDDDEF4">
        <w:tblPrEx>
          <w:tblCellMar>
            <w:top w:w="0" w:type="dxa"/>
            <w:left w:w="108" w:type="dxa"/>
            <w:bottom w:w="0" w:type="dxa"/>
            <w:right w:w="108" w:type="dxa"/>
          </w:tblCellMar>
        </w:tblPrEx>
        <w:trPr>
          <w:trHeight w:val="106" w:hRule="atLeast"/>
        </w:trPr>
        <w:tc>
          <w:tcPr>
            <w:tcW w:w="638" w:type="pct"/>
            <w:vMerge w:val="restart"/>
            <w:tcBorders>
              <w:top w:val="single" w:color="auto" w:sz="4" w:space="0"/>
              <w:left w:val="single" w:color="auto" w:sz="4" w:space="0"/>
              <w:right w:val="single" w:color="auto" w:sz="4" w:space="0"/>
            </w:tcBorders>
            <w:vAlign w:val="center"/>
          </w:tcPr>
          <w:p w14:paraId="3A712809">
            <w:pPr>
              <w:jc w:val="center"/>
              <w:rPr>
                <w:rFonts w:ascii="宋体" w:hAnsi="宋体" w:eastAsia="宋体"/>
                <w:szCs w:val="21"/>
                <w:highlight w:val="none"/>
              </w:rPr>
            </w:pPr>
            <w:r>
              <w:rPr>
                <w:rFonts w:hint="eastAsia" w:ascii="宋体" w:hAnsi="宋体" w:eastAsia="宋体"/>
                <w:szCs w:val="21"/>
                <w:highlight w:val="none"/>
              </w:rPr>
              <w:t>2.2.1</w:t>
            </w:r>
          </w:p>
        </w:tc>
        <w:tc>
          <w:tcPr>
            <w:tcW w:w="1117" w:type="pct"/>
            <w:vMerge w:val="restart"/>
            <w:tcBorders>
              <w:top w:val="single" w:color="auto" w:sz="4" w:space="0"/>
              <w:left w:val="single" w:color="auto" w:sz="4" w:space="0"/>
              <w:right w:val="single" w:color="auto" w:sz="4" w:space="0"/>
            </w:tcBorders>
            <w:vAlign w:val="center"/>
          </w:tcPr>
          <w:p w14:paraId="7EAD0834">
            <w:pPr>
              <w:jc w:val="center"/>
              <w:rPr>
                <w:rFonts w:ascii="宋体" w:hAnsi="宋体" w:eastAsia="宋体"/>
                <w:szCs w:val="21"/>
                <w:highlight w:val="none"/>
              </w:rPr>
            </w:pPr>
            <w:r>
              <w:rPr>
                <w:rFonts w:hint="eastAsia" w:ascii="宋体" w:hAnsi="宋体" w:eastAsia="宋体"/>
                <w:szCs w:val="21"/>
                <w:highlight w:val="none"/>
              </w:rPr>
              <w:t>投标人要求澄清招标文件</w:t>
            </w:r>
          </w:p>
        </w:tc>
        <w:tc>
          <w:tcPr>
            <w:tcW w:w="3243" w:type="pct"/>
            <w:tcBorders>
              <w:top w:val="single" w:color="auto" w:sz="4" w:space="0"/>
              <w:left w:val="single" w:color="auto" w:sz="4" w:space="0"/>
              <w:bottom w:val="single" w:color="auto" w:sz="4" w:space="0"/>
              <w:right w:val="single" w:color="auto" w:sz="4" w:space="0"/>
            </w:tcBorders>
            <w:vAlign w:val="center"/>
          </w:tcPr>
          <w:p w14:paraId="1E9973DC">
            <w:pPr>
              <w:jc w:val="left"/>
              <w:rPr>
                <w:rFonts w:ascii="宋体" w:hAnsi="宋体" w:eastAsia="宋体"/>
                <w:szCs w:val="21"/>
                <w:highlight w:val="none"/>
              </w:rPr>
            </w:pPr>
            <w:r>
              <w:rPr>
                <w:rFonts w:hint="eastAsia" w:ascii="宋体" w:hAnsi="宋体" w:eastAsia="宋体"/>
                <w:szCs w:val="21"/>
                <w:highlight w:val="none"/>
              </w:rPr>
              <w:t>时间：在提交投标文件截止时间18天前提出。</w:t>
            </w:r>
          </w:p>
        </w:tc>
      </w:tr>
      <w:tr w14:paraId="2B264A8E">
        <w:tblPrEx>
          <w:tblCellMar>
            <w:top w:w="0" w:type="dxa"/>
            <w:left w:w="108" w:type="dxa"/>
            <w:bottom w:w="0" w:type="dxa"/>
            <w:right w:w="108" w:type="dxa"/>
          </w:tblCellMar>
        </w:tblPrEx>
        <w:trPr>
          <w:trHeight w:val="35" w:hRule="atLeast"/>
        </w:trPr>
        <w:tc>
          <w:tcPr>
            <w:tcW w:w="638" w:type="pct"/>
            <w:vMerge w:val="continue"/>
            <w:tcBorders>
              <w:left w:val="single" w:color="auto" w:sz="4" w:space="0"/>
              <w:bottom w:val="single" w:color="auto" w:sz="4" w:space="0"/>
              <w:right w:val="single" w:color="auto" w:sz="4" w:space="0"/>
            </w:tcBorders>
            <w:vAlign w:val="center"/>
          </w:tcPr>
          <w:p w14:paraId="05E95EAA">
            <w:pPr>
              <w:jc w:val="center"/>
              <w:rPr>
                <w:rFonts w:ascii="宋体" w:hAnsi="宋体" w:eastAsia="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14:paraId="620DD119">
            <w:pPr>
              <w:jc w:val="center"/>
              <w:rPr>
                <w:rFonts w:ascii="宋体" w:hAnsi="宋体" w:eastAsia="宋体"/>
                <w:szCs w:val="21"/>
                <w:highlight w:val="none"/>
              </w:rPr>
            </w:pPr>
          </w:p>
        </w:tc>
        <w:tc>
          <w:tcPr>
            <w:tcW w:w="3243" w:type="pct"/>
            <w:tcBorders>
              <w:top w:val="single" w:color="auto" w:sz="4" w:space="0"/>
              <w:left w:val="single" w:color="auto" w:sz="4" w:space="0"/>
              <w:bottom w:val="single" w:color="auto" w:sz="4" w:space="0"/>
              <w:right w:val="single" w:color="auto" w:sz="4" w:space="0"/>
            </w:tcBorders>
            <w:vAlign w:val="center"/>
          </w:tcPr>
          <w:p w14:paraId="59C40F9B">
            <w:pPr>
              <w:jc w:val="left"/>
              <w:rPr>
                <w:rFonts w:ascii="宋体" w:hAnsi="宋体" w:eastAsia="宋体"/>
                <w:szCs w:val="21"/>
                <w:highlight w:val="none"/>
              </w:rPr>
            </w:pPr>
            <w:r>
              <w:rPr>
                <w:rFonts w:hint="eastAsia" w:ascii="宋体" w:hAnsi="宋体" w:eastAsia="宋体"/>
                <w:szCs w:val="21"/>
                <w:highlight w:val="none"/>
              </w:rPr>
              <w:t>形式：1、投标人的疑问通过广州交易集团有限公司（广州公共资源交易中心）数字交易平台提交。具体要求：操作详见广州交易集团有限公司（广州公共资源交易中心）网站发布的《房屋建筑和市政基础设施工程全流程电子化项目专章》。提交问题时一律不得署名。</w:t>
            </w:r>
          </w:p>
          <w:p w14:paraId="7C6291D8">
            <w:pPr>
              <w:jc w:val="left"/>
              <w:rPr>
                <w:rFonts w:ascii="宋体" w:hAnsi="宋体" w:eastAsia="宋体"/>
                <w:szCs w:val="21"/>
                <w:highlight w:val="none"/>
              </w:rPr>
            </w:pPr>
            <w:r>
              <w:rPr>
                <w:rFonts w:hint="eastAsia" w:ascii="宋体" w:hAnsi="宋体" w:eastAsia="宋体"/>
                <w:szCs w:val="21"/>
                <w:highlight w:val="none"/>
              </w:rPr>
              <w:t>2、招标答疑采用网上答疑方式进行。投标人若对招标文件（包括最高投标限价）有疑问的，可在规定的时间内通过广州交易集团有限公司（广州公共资源交易中心）网站进入提问区域将问题提交给招标人或招标代理人，提交问题时一律不得署名。</w:t>
            </w:r>
          </w:p>
          <w:p w14:paraId="19776DC1">
            <w:pPr>
              <w:jc w:val="left"/>
              <w:rPr>
                <w:rFonts w:ascii="宋体" w:hAnsi="宋体" w:eastAsia="宋体"/>
                <w:szCs w:val="21"/>
                <w:highlight w:val="none"/>
              </w:rPr>
            </w:pPr>
            <w:r>
              <w:rPr>
                <w:rFonts w:hint="eastAsia" w:ascii="宋体" w:hAnsi="宋体" w:eastAsia="宋体"/>
                <w:szCs w:val="21"/>
                <w:highlight w:val="none"/>
              </w:rPr>
              <w:t>网上答疑的操作指南为：登陆广州交易集团有限公司（广州公共资源交易中心）网站 （http://www.gzggzy.cn）→进入“我是投标人”→进入“新建设工程交易平台”→进入“我的投标”→通过项目编号或项目名称找到所需的项目→在上述的答疑时间内点击“答疑提问”→“新建问题”→无记名或匿名提出问题。</w:t>
            </w:r>
          </w:p>
          <w:p w14:paraId="526E2DA3">
            <w:pPr>
              <w:jc w:val="left"/>
              <w:rPr>
                <w:rFonts w:ascii="宋体" w:hAnsi="宋体" w:eastAsia="宋体"/>
                <w:szCs w:val="21"/>
                <w:highlight w:val="none"/>
              </w:rPr>
            </w:pPr>
            <w:r>
              <w:rPr>
                <w:rFonts w:hint="eastAsia" w:ascii="宋体" w:hAnsi="宋体" w:eastAsia="宋体"/>
                <w:szCs w:val="21"/>
                <w:highlight w:val="none"/>
              </w:rPr>
              <w:t>3、投标人应在投标截止时间18日前停止提问。招标人应在投标截止时间15日前解答投标人对招标文件提出的疑问，形成答疑文件，在广州交易集团有限公司（广州公共资源交易中心）网站项目答疑专区发布。</w:t>
            </w:r>
          </w:p>
          <w:p w14:paraId="092C1DC5">
            <w:pPr>
              <w:jc w:val="left"/>
              <w:rPr>
                <w:rFonts w:ascii="宋体" w:hAnsi="宋体" w:eastAsia="宋体"/>
                <w:szCs w:val="21"/>
                <w:highlight w:val="none"/>
              </w:rPr>
            </w:pPr>
            <w:r>
              <w:rPr>
                <w:rFonts w:hint="eastAsia" w:ascii="宋体" w:hAnsi="宋体" w:eastAsia="宋体"/>
                <w:szCs w:val="21"/>
                <w:highlight w:val="none"/>
              </w:rPr>
              <w:t>4、招标答疑文件一经在广州交易集团有限公司（广州公共资源交易中心）网站发布，视作已发放给所有投标人。</w:t>
            </w:r>
          </w:p>
          <w:p w14:paraId="7492C4E3">
            <w:pPr>
              <w:jc w:val="left"/>
              <w:rPr>
                <w:rFonts w:ascii="宋体" w:hAnsi="宋体" w:eastAsia="宋体"/>
                <w:b/>
                <w:szCs w:val="21"/>
                <w:highlight w:val="none"/>
                <w:u w:val="single"/>
              </w:rPr>
            </w:pPr>
            <w:r>
              <w:rPr>
                <w:rFonts w:hint="eastAsia" w:ascii="宋体" w:hAnsi="宋体" w:eastAsia="宋体"/>
                <w:szCs w:val="21"/>
                <w:highlight w:val="none"/>
              </w:rPr>
              <w:t>5、招标答疑文件为招标文件的一部分。投标人可在广州公资源交易中心网站浏览、下载招标答疑文件。</w:t>
            </w:r>
          </w:p>
        </w:tc>
      </w:tr>
      <w:tr w14:paraId="7C47B98B">
        <w:tblPrEx>
          <w:tblCellMar>
            <w:top w:w="0" w:type="dxa"/>
            <w:left w:w="108" w:type="dxa"/>
            <w:bottom w:w="0" w:type="dxa"/>
            <w:right w:w="108" w:type="dxa"/>
          </w:tblCellMar>
        </w:tblPrEx>
        <w:trPr>
          <w:trHeight w:val="106" w:hRule="atLeast"/>
        </w:trPr>
        <w:tc>
          <w:tcPr>
            <w:tcW w:w="638" w:type="pct"/>
            <w:tcBorders>
              <w:left w:val="single" w:color="auto" w:sz="4" w:space="0"/>
              <w:bottom w:val="single" w:color="auto" w:sz="4" w:space="0"/>
              <w:right w:val="single" w:color="auto" w:sz="4" w:space="0"/>
            </w:tcBorders>
            <w:vAlign w:val="center"/>
          </w:tcPr>
          <w:p w14:paraId="701D9F43">
            <w:pPr>
              <w:jc w:val="center"/>
              <w:rPr>
                <w:rFonts w:ascii="宋体" w:hAnsi="宋体" w:eastAsia="宋体"/>
                <w:szCs w:val="21"/>
                <w:highlight w:val="none"/>
              </w:rPr>
            </w:pPr>
            <w:r>
              <w:rPr>
                <w:rFonts w:hint="eastAsia" w:ascii="宋体" w:hAnsi="宋体" w:eastAsia="宋体"/>
                <w:szCs w:val="21"/>
                <w:highlight w:val="none"/>
              </w:rPr>
              <w:t>2.2.2</w:t>
            </w:r>
          </w:p>
        </w:tc>
        <w:tc>
          <w:tcPr>
            <w:tcW w:w="1117" w:type="pct"/>
            <w:tcBorders>
              <w:left w:val="single" w:color="auto" w:sz="4" w:space="0"/>
              <w:bottom w:val="single" w:color="auto" w:sz="4" w:space="0"/>
              <w:right w:val="single" w:color="auto" w:sz="4" w:space="0"/>
            </w:tcBorders>
            <w:vAlign w:val="center"/>
          </w:tcPr>
          <w:p w14:paraId="447FA3ED">
            <w:pPr>
              <w:jc w:val="center"/>
              <w:rPr>
                <w:rFonts w:ascii="宋体" w:hAnsi="宋体" w:eastAsia="宋体"/>
                <w:szCs w:val="21"/>
                <w:highlight w:val="none"/>
              </w:rPr>
            </w:pPr>
            <w:r>
              <w:rPr>
                <w:rFonts w:hint="eastAsia" w:ascii="宋体" w:hAnsi="宋体" w:eastAsia="宋体"/>
                <w:szCs w:val="21"/>
                <w:highlight w:val="none"/>
              </w:rPr>
              <w:t>招标文件澄清发出的形式</w:t>
            </w:r>
          </w:p>
        </w:tc>
        <w:tc>
          <w:tcPr>
            <w:tcW w:w="3243" w:type="pct"/>
            <w:tcBorders>
              <w:top w:val="single" w:color="auto" w:sz="4" w:space="0"/>
              <w:left w:val="single" w:color="auto" w:sz="4" w:space="0"/>
              <w:bottom w:val="single" w:color="auto" w:sz="4" w:space="0"/>
              <w:right w:val="single" w:color="auto" w:sz="4" w:space="0"/>
            </w:tcBorders>
            <w:vAlign w:val="center"/>
          </w:tcPr>
          <w:p w14:paraId="6F70211F">
            <w:pPr>
              <w:jc w:val="left"/>
              <w:rPr>
                <w:rFonts w:ascii="宋体" w:hAnsi="宋体" w:eastAsia="宋体"/>
                <w:szCs w:val="21"/>
                <w:highlight w:val="none"/>
              </w:rPr>
            </w:pPr>
            <w:r>
              <w:rPr>
                <w:rFonts w:hint="eastAsia" w:ascii="宋体" w:hAnsi="宋体" w:eastAsia="宋体"/>
                <w:szCs w:val="21"/>
                <w:highlight w:val="none"/>
              </w:rPr>
              <w:t>发出时间：投标截止时间15日前</w:t>
            </w:r>
          </w:p>
          <w:p w14:paraId="6AD19419">
            <w:pPr>
              <w:jc w:val="left"/>
              <w:rPr>
                <w:rFonts w:ascii="宋体" w:hAnsi="宋体" w:eastAsia="宋体"/>
                <w:szCs w:val="21"/>
                <w:highlight w:val="none"/>
              </w:rPr>
            </w:pPr>
            <w:r>
              <w:rPr>
                <w:rFonts w:hint="eastAsia" w:ascii="宋体" w:hAnsi="宋体" w:eastAsia="宋体"/>
                <w:szCs w:val="21"/>
                <w:highlight w:val="none"/>
              </w:rPr>
              <w:t>发出形式：在广州交易集团有限公司（广州公共资源交易中心）网站通过项目答疑专区网上公开发布。</w:t>
            </w:r>
          </w:p>
        </w:tc>
      </w:tr>
      <w:tr w14:paraId="05967CAF">
        <w:tblPrEx>
          <w:tblCellMar>
            <w:top w:w="0" w:type="dxa"/>
            <w:left w:w="108" w:type="dxa"/>
            <w:bottom w:w="0" w:type="dxa"/>
            <w:right w:w="108" w:type="dxa"/>
          </w:tblCellMar>
        </w:tblPrEx>
        <w:trPr>
          <w:trHeight w:val="106" w:hRule="atLeast"/>
        </w:trPr>
        <w:tc>
          <w:tcPr>
            <w:tcW w:w="638" w:type="pct"/>
            <w:vMerge w:val="restart"/>
            <w:tcBorders>
              <w:top w:val="single" w:color="auto" w:sz="4" w:space="0"/>
              <w:left w:val="single" w:color="auto" w:sz="4" w:space="0"/>
              <w:right w:val="single" w:color="auto" w:sz="4" w:space="0"/>
            </w:tcBorders>
            <w:vAlign w:val="center"/>
          </w:tcPr>
          <w:p w14:paraId="6767DD6A">
            <w:pPr>
              <w:jc w:val="center"/>
              <w:rPr>
                <w:rFonts w:ascii="宋体" w:hAnsi="宋体" w:eastAsia="宋体"/>
                <w:szCs w:val="21"/>
                <w:highlight w:val="none"/>
              </w:rPr>
            </w:pPr>
            <w:r>
              <w:rPr>
                <w:rFonts w:hint="eastAsia" w:ascii="宋体" w:hAnsi="宋体" w:eastAsia="宋体"/>
                <w:szCs w:val="21"/>
                <w:highlight w:val="none"/>
              </w:rPr>
              <w:t>2.2.3</w:t>
            </w:r>
          </w:p>
        </w:tc>
        <w:tc>
          <w:tcPr>
            <w:tcW w:w="1117" w:type="pct"/>
            <w:vMerge w:val="restart"/>
            <w:tcBorders>
              <w:top w:val="single" w:color="auto" w:sz="4" w:space="0"/>
              <w:left w:val="single" w:color="auto" w:sz="4" w:space="0"/>
              <w:right w:val="single" w:color="auto" w:sz="4" w:space="0"/>
            </w:tcBorders>
            <w:vAlign w:val="center"/>
          </w:tcPr>
          <w:p w14:paraId="724F2F99">
            <w:pPr>
              <w:jc w:val="center"/>
              <w:rPr>
                <w:rFonts w:ascii="宋体" w:hAnsi="宋体" w:eastAsia="宋体"/>
                <w:szCs w:val="21"/>
                <w:highlight w:val="none"/>
              </w:rPr>
            </w:pPr>
            <w:r>
              <w:rPr>
                <w:rFonts w:hint="eastAsia" w:ascii="宋体" w:hAnsi="宋体" w:eastAsia="宋体"/>
                <w:szCs w:val="21"/>
                <w:highlight w:val="none"/>
              </w:rPr>
              <w:t>投标人确认收到招标文件澄清</w:t>
            </w:r>
          </w:p>
        </w:tc>
        <w:tc>
          <w:tcPr>
            <w:tcW w:w="3243" w:type="pct"/>
            <w:tcBorders>
              <w:top w:val="single" w:color="auto" w:sz="4" w:space="0"/>
              <w:left w:val="single" w:color="auto" w:sz="4" w:space="0"/>
              <w:bottom w:val="single" w:color="auto" w:sz="4" w:space="0"/>
              <w:right w:val="single" w:color="auto" w:sz="4" w:space="0"/>
            </w:tcBorders>
            <w:vAlign w:val="center"/>
          </w:tcPr>
          <w:p w14:paraId="2EB58731">
            <w:pPr>
              <w:jc w:val="left"/>
              <w:rPr>
                <w:rFonts w:ascii="宋体" w:hAnsi="宋体" w:eastAsia="宋体"/>
                <w:szCs w:val="21"/>
                <w:highlight w:val="none"/>
              </w:rPr>
            </w:pPr>
            <w:r>
              <w:rPr>
                <w:rFonts w:hint="eastAsia" w:ascii="宋体" w:hAnsi="宋体" w:eastAsia="宋体"/>
                <w:szCs w:val="21"/>
                <w:highlight w:val="none"/>
              </w:rPr>
              <w:t>时间：从招标文件澄清及答疑文件发布之日起即视为投标人已确认收到。</w:t>
            </w:r>
          </w:p>
        </w:tc>
      </w:tr>
      <w:tr w14:paraId="365855C4">
        <w:tblPrEx>
          <w:tblCellMar>
            <w:top w:w="0" w:type="dxa"/>
            <w:left w:w="108" w:type="dxa"/>
            <w:bottom w:w="0" w:type="dxa"/>
            <w:right w:w="108" w:type="dxa"/>
          </w:tblCellMar>
        </w:tblPrEx>
        <w:trPr>
          <w:trHeight w:val="35" w:hRule="atLeast"/>
        </w:trPr>
        <w:tc>
          <w:tcPr>
            <w:tcW w:w="638" w:type="pct"/>
            <w:vMerge w:val="continue"/>
            <w:tcBorders>
              <w:left w:val="single" w:color="auto" w:sz="4" w:space="0"/>
              <w:bottom w:val="single" w:color="auto" w:sz="4" w:space="0"/>
              <w:right w:val="single" w:color="auto" w:sz="4" w:space="0"/>
            </w:tcBorders>
            <w:vAlign w:val="center"/>
          </w:tcPr>
          <w:p w14:paraId="050B43EE">
            <w:pPr>
              <w:jc w:val="center"/>
              <w:rPr>
                <w:rFonts w:ascii="宋体" w:hAnsi="宋体" w:eastAsia="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14:paraId="1E2080CD">
            <w:pPr>
              <w:jc w:val="center"/>
              <w:rPr>
                <w:rFonts w:ascii="宋体" w:hAnsi="宋体" w:eastAsia="宋体"/>
                <w:szCs w:val="21"/>
                <w:highlight w:val="none"/>
              </w:rPr>
            </w:pPr>
          </w:p>
        </w:tc>
        <w:tc>
          <w:tcPr>
            <w:tcW w:w="3243" w:type="pct"/>
            <w:tcBorders>
              <w:top w:val="single" w:color="auto" w:sz="4" w:space="0"/>
              <w:left w:val="single" w:color="auto" w:sz="4" w:space="0"/>
              <w:bottom w:val="single" w:color="auto" w:sz="4" w:space="0"/>
              <w:right w:val="single" w:color="auto" w:sz="4" w:space="0"/>
            </w:tcBorders>
            <w:vAlign w:val="center"/>
          </w:tcPr>
          <w:p w14:paraId="734A1F47">
            <w:pPr>
              <w:jc w:val="left"/>
              <w:rPr>
                <w:rFonts w:ascii="宋体" w:hAnsi="宋体" w:eastAsia="宋体"/>
                <w:szCs w:val="21"/>
                <w:highlight w:val="none"/>
              </w:rPr>
            </w:pPr>
            <w:r>
              <w:rPr>
                <w:rFonts w:hint="eastAsia" w:ascii="宋体" w:hAnsi="宋体" w:eastAsia="宋体"/>
                <w:szCs w:val="21"/>
                <w:highlight w:val="none"/>
              </w:rPr>
              <w:t>形式：招标文件澄清（招标答疑纪要）一经在广州交易集团有限公司（广州公共资源交易中心）网站发布，视作已发放给所有投标人。</w:t>
            </w:r>
          </w:p>
        </w:tc>
      </w:tr>
      <w:tr w14:paraId="6CF0BAC9">
        <w:tblPrEx>
          <w:tblCellMar>
            <w:top w:w="0" w:type="dxa"/>
            <w:left w:w="108" w:type="dxa"/>
            <w:bottom w:w="0" w:type="dxa"/>
            <w:right w:w="108" w:type="dxa"/>
          </w:tblCellMar>
        </w:tblPrEx>
        <w:trPr>
          <w:trHeight w:val="106" w:hRule="atLeast"/>
        </w:trPr>
        <w:tc>
          <w:tcPr>
            <w:tcW w:w="638" w:type="pct"/>
            <w:tcBorders>
              <w:left w:val="single" w:color="auto" w:sz="4" w:space="0"/>
              <w:bottom w:val="single" w:color="auto" w:sz="4" w:space="0"/>
              <w:right w:val="single" w:color="auto" w:sz="4" w:space="0"/>
            </w:tcBorders>
            <w:vAlign w:val="center"/>
          </w:tcPr>
          <w:p w14:paraId="65680F2A">
            <w:pPr>
              <w:jc w:val="center"/>
              <w:rPr>
                <w:rFonts w:ascii="宋体" w:hAnsi="宋体" w:eastAsia="宋体"/>
                <w:szCs w:val="21"/>
                <w:highlight w:val="none"/>
              </w:rPr>
            </w:pPr>
            <w:r>
              <w:rPr>
                <w:rFonts w:hint="eastAsia" w:ascii="宋体" w:hAnsi="宋体" w:eastAsia="宋体"/>
                <w:szCs w:val="21"/>
                <w:highlight w:val="none"/>
              </w:rPr>
              <w:t>2.3.1</w:t>
            </w:r>
          </w:p>
        </w:tc>
        <w:tc>
          <w:tcPr>
            <w:tcW w:w="1117" w:type="pct"/>
            <w:tcBorders>
              <w:left w:val="single" w:color="auto" w:sz="4" w:space="0"/>
              <w:bottom w:val="single" w:color="auto" w:sz="4" w:space="0"/>
              <w:right w:val="single" w:color="auto" w:sz="4" w:space="0"/>
            </w:tcBorders>
            <w:vAlign w:val="center"/>
          </w:tcPr>
          <w:p w14:paraId="34D6F986">
            <w:pPr>
              <w:jc w:val="center"/>
              <w:rPr>
                <w:rFonts w:ascii="宋体" w:hAnsi="宋体" w:eastAsia="宋体"/>
                <w:szCs w:val="21"/>
                <w:highlight w:val="none"/>
              </w:rPr>
            </w:pPr>
            <w:r>
              <w:rPr>
                <w:rFonts w:hint="eastAsia" w:ascii="宋体" w:hAnsi="宋体" w:eastAsia="宋体"/>
                <w:szCs w:val="21"/>
                <w:highlight w:val="none"/>
              </w:rPr>
              <w:t>招标文件修改发出的形式</w:t>
            </w:r>
          </w:p>
        </w:tc>
        <w:tc>
          <w:tcPr>
            <w:tcW w:w="3243" w:type="pct"/>
            <w:tcBorders>
              <w:top w:val="single" w:color="auto" w:sz="4" w:space="0"/>
              <w:left w:val="single" w:color="auto" w:sz="4" w:space="0"/>
              <w:bottom w:val="single" w:color="auto" w:sz="4" w:space="0"/>
              <w:right w:val="single" w:color="auto" w:sz="4" w:space="0"/>
            </w:tcBorders>
            <w:vAlign w:val="center"/>
          </w:tcPr>
          <w:p w14:paraId="5F026007">
            <w:pPr>
              <w:jc w:val="left"/>
              <w:rPr>
                <w:rFonts w:ascii="宋体" w:hAnsi="宋体" w:eastAsia="宋体"/>
                <w:szCs w:val="21"/>
                <w:highlight w:val="none"/>
              </w:rPr>
            </w:pPr>
            <w:r>
              <w:rPr>
                <w:rFonts w:hint="eastAsia" w:ascii="宋体" w:hAnsi="宋体" w:eastAsia="宋体"/>
                <w:szCs w:val="21"/>
                <w:highlight w:val="none"/>
              </w:rPr>
              <w:t>以补充公告或项目答疑澄清的方式在广州交易集团有限公司（广州公共资源交易中心）</w:t>
            </w:r>
            <w:r>
              <w:rPr>
                <w:rFonts w:hint="eastAsia" w:ascii="宋体" w:hAnsi="宋体" w:eastAsia="宋体"/>
                <w:szCs w:val="21"/>
                <w:highlight w:val="none"/>
                <w:lang w:val="en-US" w:eastAsia="zh-CN"/>
              </w:rPr>
              <w:t>等</w:t>
            </w:r>
            <w:r>
              <w:rPr>
                <w:rFonts w:hint="eastAsia" w:ascii="宋体" w:hAnsi="宋体" w:eastAsia="宋体"/>
                <w:szCs w:val="21"/>
                <w:highlight w:val="none"/>
              </w:rPr>
              <w:t>网站发布发布</w:t>
            </w:r>
          </w:p>
        </w:tc>
      </w:tr>
      <w:tr w14:paraId="310A3024">
        <w:tblPrEx>
          <w:tblCellMar>
            <w:top w:w="0" w:type="dxa"/>
            <w:left w:w="108" w:type="dxa"/>
            <w:bottom w:w="0" w:type="dxa"/>
            <w:right w:w="108" w:type="dxa"/>
          </w:tblCellMar>
        </w:tblPrEx>
        <w:trPr>
          <w:trHeight w:val="106" w:hRule="atLeast"/>
        </w:trPr>
        <w:tc>
          <w:tcPr>
            <w:tcW w:w="638" w:type="pct"/>
            <w:vMerge w:val="restart"/>
            <w:tcBorders>
              <w:top w:val="single" w:color="auto" w:sz="4" w:space="0"/>
              <w:left w:val="single" w:color="auto" w:sz="4" w:space="0"/>
              <w:right w:val="single" w:color="auto" w:sz="4" w:space="0"/>
            </w:tcBorders>
            <w:vAlign w:val="center"/>
          </w:tcPr>
          <w:p w14:paraId="1ECBAFE6">
            <w:pPr>
              <w:jc w:val="center"/>
              <w:rPr>
                <w:rFonts w:ascii="宋体" w:hAnsi="宋体" w:eastAsia="宋体"/>
                <w:szCs w:val="21"/>
                <w:highlight w:val="none"/>
              </w:rPr>
            </w:pPr>
            <w:r>
              <w:rPr>
                <w:rFonts w:hint="eastAsia" w:ascii="宋体" w:hAnsi="宋体" w:eastAsia="宋体"/>
                <w:szCs w:val="21"/>
                <w:highlight w:val="none"/>
              </w:rPr>
              <w:t>2.3.2</w:t>
            </w:r>
          </w:p>
        </w:tc>
        <w:tc>
          <w:tcPr>
            <w:tcW w:w="1117" w:type="pct"/>
            <w:vMerge w:val="restart"/>
            <w:tcBorders>
              <w:top w:val="single" w:color="auto" w:sz="4" w:space="0"/>
              <w:left w:val="single" w:color="auto" w:sz="4" w:space="0"/>
              <w:right w:val="single" w:color="auto" w:sz="4" w:space="0"/>
            </w:tcBorders>
            <w:vAlign w:val="center"/>
          </w:tcPr>
          <w:p w14:paraId="4BCF25BE">
            <w:pPr>
              <w:jc w:val="center"/>
              <w:rPr>
                <w:rFonts w:ascii="宋体" w:hAnsi="宋体" w:eastAsia="宋体"/>
                <w:szCs w:val="21"/>
                <w:highlight w:val="none"/>
              </w:rPr>
            </w:pPr>
            <w:r>
              <w:rPr>
                <w:rFonts w:hint="eastAsia" w:ascii="宋体" w:hAnsi="宋体" w:eastAsia="宋体"/>
                <w:szCs w:val="21"/>
                <w:highlight w:val="none"/>
              </w:rPr>
              <w:t>投标人确认收到招标文件修改</w:t>
            </w:r>
          </w:p>
        </w:tc>
        <w:tc>
          <w:tcPr>
            <w:tcW w:w="3243" w:type="pct"/>
            <w:tcBorders>
              <w:top w:val="single" w:color="auto" w:sz="4" w:space="0"/>
              <w:left w:val="single" w:color="auto" w:sz="4" w:space="0"/>
              <w:bottom w:val="single" w:color="auto" w:sz="4" w:space="0"/>
              <w:right w:val="single" w:color="auto" w:sz="4" w:space="0"/>
            </w:tcBorders>
            <w:vAlign w:val="center"/>
          </w:tcPr>
          <w:p w14:paraId="7B3DB334">
            <w:pPr>
              <w:rPr>
                <w:rFonts w:ascii="宋体" w:hAnsi="宋体" w:eastAsia="宋体"/>
                <w:szCs w:val="21"/>
                <w:highlight w:val="none"/>
              </w:rPr>
            </w:pPr>
            <w:r>
              <w:rPr>
                <w:rFonts w:hint="eastAsia" w:ascii="宋体" w:hAnsi="宋体" w:eastAsia="宋体"/>
                <w:szCs w:val="21"/>
                <w:highlight w:val="none"/>
              </w:rPr>
              <w:t>时间：从招标文件修改文件发布之日起即视为投标人已确认收到。</w:t>
            </w:r>
          </w:p>
        </w:tc>
      </w:tr>
      <w:tr w14:paraId="68554756">
        <w:tblPrEx>
          <w:tblCellMar>
            <w:top w:w="0" w:type="dxa"/>
            <w:left w:w="108" w:type="dxa"/>
            <w:bottom w:w="0" w:type="dxa"/>
            <w:right w:w="108" w:type="dxa"/>
          </w:tblCellMar>
        </w:tblPrEx>
        <w:trPr>
          <w:trHeight w:val="35" w:hRule="atLeast"/>
        </w:trPr>
        <w:tc>
          <w:tcPr>
            <w:tcW w:w="638" w:type="pct"/>
            <w:vMerge w:val="continue"/>
            <w:tcBorders>
              <w:left w:val="single" w:color="auto" w:sz="4" w:space="0"/>
              <w:bottom w:val="single" w:color="auto" w:sz="4" w:space="0"/>
              <w:right w:val="single" w:color="auto" w:sz="4" w:space="0"/>
            </w:tcBorders>
            <w:vAlign w:val="center"/>
          </w:tcPr>
          <w:p w14:paraId="042C9066">
            <w:pPr>
              <w:jc w:val="center"/>
              <w:rPr>
                <w:rFonts w:ascii="宋体" w:hAnsi="宋体" w:eastAsia="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14:paraId="188D1F9C">
            <w:pPr>
              <w:jc w:val="center"/>
              <w:rPr>
                <w:rFonts w:ascii="宋体" w:hAnsi="宋体" w:eastAsia="宋体"/>
                <w:szCs w:val="21"/>
                <w:highlight w:val="none"/>
              </w:rPr>
            </w:pPr>
          </w:p>
        </w:tc>
        <w:tc>
          <w:tcPr>
            <w:tcW w:w="3243" w:type="pct"/>
            <w:tcBorders>
              <w:top w:val="single" w:color="auto" w:sz="4" w:space="0"/>
              <w:left w:val="single" w:color="auto" w:sz="4" w:space="0"/>
              <w:bottom w:val="single" w:color="auto" w:sz="4" w:space="0"/>
              <w:right w:val="single" w:color="auto" w:sz="4" w:space="0"/>
            </w:tcBorders>
            <w:vAlign w:val="center"/>
          </w:tcPr>
          <w:p w14:paraId="690C2794">
            <w:pPr>
              <w:rPr>
                <w:rFonts w:ascii="宋体" w:hAnsi="宋体" w:eastAsia="宋体"/>
                <w:szCs w:val="21"/>
                <w:highlight w:val="none"/>
              </w:rPr>
            </w:pPr>
            <w:r>
              <w:rPr>
                <w:rFonts w:hint="eastAsia" w:ascii="宋体" w:hAnsi="宋体" w:eastAsia="宋体"/>
                <w:szCs w:val="21"/>
                <w:highlight w:val="none"/>
              </w:rPr>
              <w:t>形式：招标文件修改一经在广州交易集团有限公司（广州公共资源交易中心）网站发布，视作已发放给所有投标人，无需确认。潜在投标人应自行关注广州交易集团有限公司（广州公共资源交易中心）的网站公告，招标人不再一一通知。投标人因自身贻误行为导致投标失败的，责任自负。</w:t>
            </w:r>
          </w:p>
        </w:tc>
      </w:tr>
      <w:tr w14:paraId="31ABD0B3">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56A96F29">
            <w:pPr>
              <w:jc w:val="center"/>
              <w:rPr>
                <w:rFonts w:ascii="宋体" w:hAnsi="宋体" w:eastAsia="宋体"/>
                <w:szCs w:val="21"/>
                <w:highlight w:val="none"/>
              </w:rPr>
            </w:pPr>
            <w:r>
              <w:rPr>
                <w:rFonts w:hint="eastAsia" w:ascii="宋体" w:hAnsi="宋体" w:eastAsia="宋体"/>
                <w:szCs w:val="21"/>
                <w:highlight w:val="none"/>
              </w:rPr>
              <w:t>3.1.1</w:t>
            </w:r>
          </w:p>
        </w:tc>
        <w:tc>
          <w:tcPr>
            <w:tcW w:w="1117" w:type="pct"/>
            <w:tcBorders>
              <w:top w:val="single" w:color="auto" w:sz="4" w:space="0"/>
              <w:left w:val="single" w:color="auto" w:sz="4" w:space="0"/>
              <w:bottom w:val="single" w:color="auto" w:sz="4" w:space="0"/>
              <w:right w:val="single" w:color="auto" w:sz="4" w:space="0"/>
            </w:tcBorders>
            <w:vAlign w:val="center"/>
          </w:tcPr>
          <w:p w14:paraId="76CA29E4">
            <w:pPr>
              <w:jc w:val="center"/>
              <w:rPr>
                <w:rFonts w:ascii="宋体" w:hAnsi="宋体" w:eastAsia="宋体"/>
                <w:szCs w:val="21"/>
                <w:highlight w:val="none"/>
              </w:rPr>
            </w:pPr>
            <w:r>
              <w:rPr>
                <w:rFonts w:hint="eastAsia" w:ascii="宋体" w:hAnsi="宋体" w:eastAsia="宋体"/>
                <w:szCs w:val="21"/>
                <w:highlight w:val="none"/>
              </w:rPr>
              <w:t>构成投标文件的其他资料</w:t>
            </w:r>
          </w:p>
        </w:tc>
        <w:tc>
          <w:tcPr>
            <w:tcW w:w="3243" w:type="pct"/>
            <w:tcBorders>
              <w:top w:val="single" w:color="auto" w:sz="4" w:space="0"/>
              <w:left w:val="single" w:color="auto" w:sz="4" w:space="0"/>
              <w:bottom w:val="single" w:color="auto" w:sz="4" w:space="0"/>
              <w:right w:val="single" w:color="auto" w:sz="4" w:space="0"/>
            </w:tcBorders>
            <w:vAlign w:val="center"/>
          </w:tcPr>
          <w:p w14:paraId="26E30424">
            <w:pPr>
              <w:snapToGrid w:val="0"/>
              <w:rPr>
                <w:rFonts w:ascii="宋体" w:hAnsi="宋体" w:eastAsia="宋体"/>
                <w:szCs w:val="21"/>
                <w:highlight w:val="none"/>
              </w:rPr>
            </w:pPr>
            <w:r>
              <w:rPr>
                <w:rFonts w:hint="eastAsia" w:ascii="宋体" w:hAnsi="宋体" w:eastAsia="宋体"/>
                <w:szCs w:val="21"/>
                <w:highlight w:val="none"/>
              </w:rPr>
              <w:t>满足本项目评审要求的其他资料。</w:t>
            </w:r>
          </w:p>
        </w:tc>
      </w:tr>
      <w:tr w14:paraId="7C1FE05B">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05E58ADB">
            <w:pPr>
              <w:jc w:val="center"/>
              <w:rPr>
                <w:rFonts w:ascii="宋体" w:hAnsi="宋体" w:eastAsia="宋体"/>
                <w:szCs w:val="21"/>
                <w:highlight w:val="none"/>
              </w:rPr>
            </w:pPr>
            <w:r>
              <w:rPr>
                <w:rFonts w:hint="eastAsia" w:ascii="宋体" w:hAnsi="宋体" w:eastAsia="宋体"/>
                <w:szCs w:val="21"/>
                <w:highlight w:val="none"/>
              </w:rPr>
              <w:t>3.2.1</w:t>
            </w:r>
          </w:p>
        </w:tc>
        <w:tc>
          <w:tcPr>
            <w:tcW w:w="1117" w:type="pct"/>
            <w:tcBorders>
              <w:top w:val="single" w:color="auto" w:sz="4" w:space="0"/>
              <w:left w:val="single" w:color="auto" w:sz="4" w:space="0"/>
              <w:bottom w:val="single" w:color="auto" w:sz="4" w:space="0"/>
              <w:right w:val="single" w:color="auto" w:sz="4" w:space="0"/>
            </w:tcBorders>
            <w:vAlign w:val="center"/>
          </w:tcPr>
          <w:p w14:paraId="4FBC7CA5">
            <w:pPr>
              <w:jc w:val="center"/>
              <w:rPr>
                <w:rFonts w:ascii="宋体" w:hAnsi="宋体" w:eastAsia="宋体"/>
                <w:szCs w:val="21"/>
                <w:highlight w:val="none"/>
              </w:rPr>
            </w:pPr>
            <w:r>
              <w:rPr>
                <w:rFonts w:hint="eastAsia" w:ascii="宋体" w:hAnsi="宋体" w:eastAsia="宋体"/>
                <w:szCs w:val="21"/>
                <w:highlight w:val="none"/>
              </w:rPr>
              <w:t>增值税税金的计算方法</w:t>
            </w:r>
          </w:p>
        </w:tc>
        <w:tc>
          <w:tcPr>
            <w:tcW w:w="3243" w:type="pct"/>
            <w:tcBorders>
              <w:top w:val="single" w:color="auto" w:sz="4" w:space="0"/>
              <w:left w:val="single" w:color="auto" w:sz="4" w:space="0"/>
              <w:bottom w:val="single" w:color="auto" w:sz="4" w:space="0"/>
              <w:right w:val="single" w:color="auto" w:sz="4" w:space="0"/>
            </w:tcBorders>
            <w:vAlign w:val="center"/>
          </w:tcPr>
          <w:p w14:paraId="47352AAB">
            <w:pPr>
              <w:snapToGrid w:val="0"/>
              <w:rPr>
                <w:rFonts w:ascii="宋体" w:hAnsi="宋体" w:eastAsia="宋体"/>
                <w:szCs w:val="21"/>
                <w:highlight w:val="none"/>
              </w:rPr>
            </w:pPr>
            <w:r>
              <w:rPr>
                <w:rFonts w:hint="eastAsia" w:ascii="宋体" w:hAnsi="宋体" w:eastAsia="宋体"/>
                <w:szCs w:val="21"/>
                <w:highlight w:val="none"/>
              </w:rPr>
              <w:t>/。</w:t>
            </w:r>
          </w:p>
        </w:tc>
      </w:tr>
      <w:tr w14:paraId="3A46173D">
        <w:tblPrEx>
          <w:tblCellMar>
            <w:top w:w="0" w:type="dxa"/>
            <w:left w:w="108" w:type="dxa"/>
            <w:bottom w:w="0" w:type="dxa"/>
            <w:right w:w="108" w:type="dxa"/>
          </w:tblCellMar>
        </w:tblPrEx>
        <w:trPr>
          <w:trHeight w:val="211" w:hRule="atLeast"/>
        </w:trPr>
        <w:tc>
          <w:tcPr>
            <w:tcW w:w="638" w:type="pct"/>
            <w:tcBorders>
              <w:top w:val="single" w:color="auto" w:sz="4" w:space="0"/>
              <w:left w:val="single" w:color="auto" w:sz="4" w:space="0"/>
              <w:bottom w:val="single" w:color="auto" w:sz="4" w:space="0"/>
              <w:right w:val="single" w:color="auto" w:sz="4" w:space="0"/>
            </w:tcBorders>
            <w:vAlign w:val="center"/>
          </w:tcPr>
          <w:p w14:paraId="1FF4053A">
            <w:pPr>
              <w:jc w:val="center"/>
              <w:rPr>
                <w:rFonts w:ascii="宋体" w:hAnsi="宋体" w:eastAsia="宋体"/>
                <w:szCs w:val="21"/>
                <w:highlight w:val="none"/>
              </w:rPr>
            </w:pPr>
            <w:r>
              <w:rPr>
                <w:rFonts w:hint="eastAsia" w:ascii="宋体" w:hAnsi="宋体" w:eastAsia="宋体"/>
                <w:szCs w:val="21"/>
                <w:highlight w:val="none"/>
              </w:rPr>
              <w:t>3.2.4</w:t>
            </w:r>
          </w:p>
        </w:tc>
        <w:tc>
          <w:tcPr>
            <w:tcW w:w="1117" w:type="pct"/>
            <w:tcBorders>
              <w:top w:val="single" w:color="auto" w:sz="4" w:space="0"/>
              <w:left w:val="single" w:color="auto" w:sz="4" w:space="0"/>
              <w:bottom w:val="single" w:color="auto" w:sz="4" w:space="0"/>
              <w:right w:val="single" w:color="auto" w:sz="4" w:space="0"/>
            </w:tcBorders>
            <w:vAlign w:val="center"/>
          </w:tcPr>
          <w:p w14:paraId="378F944D">
            <w:pPr>
              <w:jc w:val="center"/>
              <w:rPr>
                <w:rFonts w:ascii="宋体" w:hAnsi="宋体" w:eastAsia="宋体"/>
                <w:szCs w:val="21"/>
                <w:highlight w:val="none"/>
              </w:rPr>
            </w:pPr>
            <w:r>
              <w:rPr>
                <w:rFonts w:hint="eastAsia" w:ascii="宋体" w:hAnsi="宋体" w:eastAsia="宋体"/>
                <w:szCs w:val="21"/>
                <w:highlight w:val="none"/>
              </w:rPr>
              <w:t>最高投标限价</w:t>
            </w:r>
          </w:p>
        </w:tc>
        <w:tc>
          <w:tcPr>
            <w:tcW w:w="3243" w:type="pct"/>
            <w:tcBorders>
              <w:top w:val="single" w:color="auto" w:sz="4" w:space="0"/>
              <w:left w:val="single" w:color="auto" w:sz="4" w:space="0"/>
              <w:bottom w:val="single" w:color="auto" w:sz="4" w:space="0"/>
              <w:right w:val="single" w:color="auto" w:sz="4" w:space="0"/>
            </w:tcBorders>
            <w:vAlign w:val="center"/>
          </w:tcPr>
          <w:p w14:paraId="630CA3AD">
            <w:pPr>
              <w:jc w:val="left"/>
              <w:rPr>
                <w:rFonts w:ascii="宋体" w:hAnsi="宋体" w:eastAsia="宋体"/>
                <w:szCs w:val="21"/>
                <w:highlight w:val="none"/>
              </w:rPr>
            </w:pPr>
            <w:r>
              <w:rPr>
                <w:rFonts w:hint="eastAsia" w:ascii="宋体" w:hAnsi="宋体" w:eastAsia="宋体"/>
                <w:szCs w:val="21"/>
                <w:highlight w:val="none"/>
              </w:rPr>
              <w:t>□无</w:t>
            </w:r>
          </w:p>
          <w:p w14:paraId="33B776FA">
            <w:pPr>
              <w:jc w:val="left"/>
              <w:rPr>
                <w:rFonts w:ascii="宋体" w:hAnsi="宋体" w:eastAsia="宋体"/>
                <w:b/>
                <w:szCs w:val="21"/>
                <w:highlight w:val="none"/>
              </w:rPr>
            </w:pPr>
            <w:r>
              <w:rPr>
                <w:rFonts w:hint="eastAsia" w:ascii="宋体" w:hAnsi="宋体" w:eastAsia="宋体"/>
                <w:szCs w:val="21"/>
                <w:highlight w:val="none"/>
              </w:rPr>
              <w:t>■有，最高投标限价：</w:t>
            </w:r>
            <w:r>
              <w:rPr>
                <w:rFonts w:hint="eastAsia" w:ascii="宋体" w:hAnsi="宋体"/>
                <w:szCs w:val="21"/>
                <w:highlight w:val="none"/>
              </w:rPr>
              <w:t>3,713,618.86</w:t>
            </w:r>
            <w:r>
              <w:rPr>
                <w:rFonts w:hint="eastAsia" w:ascii="宋体" w:hAnsi="宋体" w:eastAsia="宋体"/>
                <w:szCs w:val="21"/>
                <w:highlight w:val="none"/>
              </w:rPr>
              <w:t>元（即招标控制价）具体详见《最高投标限价公布函》</w:t>
            </w:r>
          </w:p>
          <w:p w14:paraId="5646ED14">
            <w:pPr>
              <w:jc w:val="left"/>
              <w:rPr>
                <w:rFonts w:ascii="宋体" w:hAnsi="宋体" w:eastAsia="宋体"/>
                <w:szCs w:val="21"/>
                <w:highlight w:val="none"/>
              </w:rPr>
            </w:pPr>
            <w:r>
              <w:rPr>
                <w:rFonts w:hint="eastAsia" w:ascii="宋体" w:hAnsi="宋体" w:eastAsia="宋体"/>
                <w:b/>
                <w:szCs w:val="21"/>
                <w:highlight w:val="none"/>
              </w:rPr>
              <w:t>投标人报价不得高于最高投标限价，否则做无效投标处理。</w:t>
            </w:r>
          </w:p>
        </w:tc>
      </w:tr>
      <w:tr w14:paraId="572651F9">
        <w:tblPrEx>
          <w:tblCellMar>
            <w:top w:w="0" w:type="dxa"/>
            <w:left w:w="108" w:type="dxa"/>
            <w:bottom w:w="0" w:type="dxa"/>
            <w:right w:w="108" w:type="dxa"/>
          </w:tblCellMar>
        </w:tblPrEx>
        <w:trPr>
          <w:trHeight w:val="106" w:hRule="atLeast"/>
        </w:trPr>
        <w:tc>
          <w:tcPr>
            <w:tcW w:w="638" w:type="pct"/>
            <w:tcBorders>
              <w:top w:val="single" w:color="auto" w:sz="4" w:space="0"/>
              <w:left w:val="single" w:color="auto" w:sz="4" w:space="0"/>
              <w:bottom w:val="single" w:color="auto" w:sz="4" w:space="0"/>
              <w:right w:val="single" w:color="auto" w:sz="4" w:space="0"/>
            </w:tcBorders>
            <w:vAlign w:val="center"/>
          </w:tcPr>
          <w:p w14:paraId="0412F981">
            <w:pPr>
              <w:jc w:val="center"/>
              <w:rPr>
                <w:rFonts w:ascii="宋体" w:hAnsi="宋体" w:eastAsia="宋体"/>
                <w:szCs w:val="21"/>
                <w:highlight w:val="none"/>
              </w:rPr>
            </w:pPr>
            <w:r>
              <w:rPr>
                <w:rFonts w:hint="eastAsia" w:ascii="宋体" w:hAnsi="宋体" w:eastAsia="宋体"/>
                <w:szCs w:val="21"/>
                <w:highlight w:val="none"/>
              </w:rPr>
              <w:t>3.2.5</w:t>
            </w:r>
          </w:p>
        </w:tc>
        <w:tc>
          <w:tcPr>
            <w:tcW w:w="1117" w:type="pct"/>
            <w:tcBorders>
              <w:top w:val="single" w:color="auto" w:sz="4" w:space="0"/>
              <w:left w:val="single" w:color="auto" w:sz="4" w:space="0"/>
              <w:bottom w:val="single" w:color="auto" w:sz="4" w:space="0"/>
              <w:right w:val="single" w:color="auto" w:sz="4" w:space="0"/>
            </w:tcBorders>
            <w:vAlign w:val="center"/>
          </w:tcPr>
          <w:p w14:paraId="3849299B">
            <w:pPr>
              <w:jc w:val="center"/>
              <w:rPr>
                <w:rFonts w:ascii="宋体" w:hAnsi="宋体" w:eastAsia="宋体"/>
                <w:szCs w:val="21"/>
                <w:highlight w:val="none"/>
              </w:rPr>
            </w:pPr>
            <w:r>
              <w:rPr>
                <w:rFonts w:hint="eastAsia" w:ascii="宋体" w:hAnsi="宋体" w:eastAsia="宋体"/>
                <w:szCs w:val="21"/>
                <w:highlight w:val="none"/>
              </w:rPr>
              <w:t>投标报价的其他要求</w:t>
            </w:r>
          </w:p>
        </w:tc>
        <w:tc>
          <w:tcPr>
            <w:tcW w:w="3243" w:type="pct"/>
            <w:tcBorders>
              <w:top w:val="single" w:color="auto" w:sz="4" w:space="0"/>
              <w:left w:val="single" w:color="auto" w:sz="4" w:space="0"/>
              <w:bottom w:val="single" w:color="auto" w:sz="4" w:space="0"/>
              <w:right w:val="single" w:color="auto" w:sz="4" w:space="0"/>
            </w:tcBorders>
            <w:vAlign w:val="center"/>
          </w:tcPr>
          <w:p w14:paraId="35206C89">
            <w:pPr>
              <w:jc w:val="left"/>
              <w:rPr>
                <w:rFonts w:ascii="宋体" w:hAnsi="宋体" w:eastAsia="宋体"/>
                <w:b/>
                <w:szCs w:val="21"/>
                <w:highlight w:val="none"/>
              </w:rPr>
            </w:pPr>
            <w:r>
              <w:rPr>
                <w:rFonts w:hint="eastAsia" w:ascii="宋体" w:hAnsi="宋体" w:eastAsia="宋体"/>
                <w:szCs w:val="21"/>
                <w:highlight w:val="none"/>
              </w:rPr>
              <w:t>1、各投标单位在招标控制价内根据企业自身实力进行含税报价</w:t>
            </w:r>
            <w:r>
              <w:rPr>
                <w:rFonts w:hint="eastAsia" w:ascii="宋体" w:hAnsi="宋体" w:eastAsia="宋体"/>
                <w:b/>
                <w:szCs w:val="21"/>
                <w:highlight w:val="none"/>
              </w:rPr>
              <w:t>（以元为单位，保留两位小数，第三位小数四舍五入）。</w:t>
            </w:r>
          </w:p>
          <w:p w14:paraId="0DBE87A9">
            <w:pPr>
              <w:jc w:val="left"/>
              <w:rPr>
                <w:rFonts w:ascii="宋体" w:hAnsi="宋体" w:eastAsia="宋体"/>
                <w:b/>
                <w:szCs w:val="21"/>
                <w:highlight w:val="none"/>
              </w:rPr>
            </w:pPr>
            <w:r>
              <w:rPr>
                <w:rFonts w:hint="eastAsia" w:ascii="宋体" w:hAnsi="宋体" w:eastAsia="宋体"/>
                <w:b/>
                <w:szCs w:val="21"/>
                <w:highlight w:val="none"/>
              </w:rPr>
              <w:t>2、投标人在投标截止时间前修改投标函中的投标总价的，应同时修改第六章“投标文件格式”中投标报价表的相应报价。</w:t>
            </w:r>
          </w:p>
          <w:p w14:paraId="225E3D1E">
            <w:pPr>
              <w:jc w:val="left"/>
              <w:rPr>
                <w:rFonts w:ascii="宋体" w:hAnsi="宋体" w:eastAsia="宋体"/>
                <w:szCs w:val="21"/>
                <w:highlight w:val="none"/>
              </w:rPr>
            </w:pPr>
            <w:r>
              <w:rPr>
                <w:rFonts w:hint="eastAsia" w:ascii="宋体" w:hAnsi="宋体" w:eastAsia="宋体"/>
                <w:szCs w:val="21"/>
                <w:highlight w:val="none"/>
              </w:rPr>
              <w:t>3、投标人的报价，应是其按第五章“技术需求”完成设备采购及服务工作的所有费用，包括一切有关设备及材料的成本、运输费、保险费、调试费、税费及其它所有费用。</w:t>
            </w:r>
          </w:p>
          <w:p w14:paraId="0A78C056">
            <w:pPr>
              <w:jc w:val="left"/>
              <w:rPr>
                <w:rFonts w:ascii="宋体" w:hAnsi="宋体" w:eastAsia="宋体"/>
                <w:szCs w:val="21"/>
                <w:highlight w:val="none"/>
              </w:rPr>
            </w:pPr>
            <w:r>
              <w:rPr>
                <w:rFonts w:hint="eastAsia" w:ascii="宋体" w:hAnsi="宋体" w:eastAsia="宋体"/>
                <w:b/>
                <w:szCs w:val="21"/>
                <w:highlight w:val="none"/>
                <w:u w:val="single"/>
              </w:rPr>
              <w:t>4、投标报价超过最高投标限价的投标文件将被否决其投标。</w:t>
            </w:r>
          </w:p>
        </w:tc>
      </w:tr>
      <w:tr w14:paraId="49B62901">
        <w:tblPrEx>
          <w:tblCellMar>
            <w:top w:w="0" w:type="dxa"/>
            <w:left w:w="108" w:type="dxa"/>
            <w:bottom w:w="0" w:type="dxa"/>
            <w:right w:w="108" w:type="dxa"/>
          </w:tblCellMar>
        </w:tblPrEx>
        <w:trPr>
          <w:trHeight w:val="110" w:hRule="atLeast"/>
        </w:trPr>
        <w:tc>
          <w:tcPr>
            <w:tcW w:w="638" w:type="pct"/>
            <w:tcBorders>
              <w:top w:val="single" w:color="auto" w:sz="4" w:space="0"/>
              <w:left w:val="single" w:color="auto" w:sz="4" w:space="0"/>
              <w:bottom w:val="single" w:color="auto" w:sz="4" w:space="0"/>
              <w:right w:val="single" w:color="auto" w:sz="4" w:space="0"/>
            </w:tcBorders>
            <w:vAlign w:val="center"/>
          </w:tcPr>
          <w:p w14:paraId="2369C8E8">
            <w:pPr>
              <w:jc w:val="center"/>
              <w:rPr>
                <w:rFonts w:ascii="宋体" w:hAnsi="宋体" w:eastAsia="宋体"/>
                <w:szCs w:val="21"/>
                <w:highlight w:val="none"/>
              </w:rPr>
            </w:pPr>
            <w:r>
              <w:rPr>
                <w:rFonts w:hint="eastAsia" w:ascii="宋体" w:hAnsi="宋体" w:eastAsia="宋体"/>
                <w:szCs w:val="21"/>
                <w:highlight w:val="none"/>
              </w:rPr>
              <w:t>3.3.1</w:t>
            </w:r>
          </w:p>
        </w:tc>
        <w:tc>
          <w:tcPr>
            <w:tcW w:w="1117" w:type="pct"/>
            <w:tcBorders>
              <w:top w:val="single" w:color="auto" w:sz="4" w:space="0"/>
              <w:left w:val="single" w:color="auto" w:sz="4" w:space="0"/>
              <w:bottom w:val="single" w:color="auto" w:sz="4" w:space="0"/>
              <w:right w:val="single" w:color="auto" w:sz="4" w:space="0"/>
            </w:tcBorders>
            <w:vAlign w:val="center"/>
          </w:tcPr>
          <w:p w14:paraId="6EBDCA5E">
            <w:pPr>
              <w:jc w:val="center"/>
              <w:rPr>
                <w:rFonts w:ascii="宋体" w:hAnsi="宋体" w:eastAsia="宋体"/>
                <w:szCs w:val="21"/>
                <w:highlight w:val="none"/>
              </w:rPr>
            </w:pPr>
            <w:r>
              <w:rPr>
                <w:rFonts w:hint="eastAsia" w:ascii="宋体" w:hAnsi="宋体" w:eastAsia="宋体"/>
                <w:szCs w:val="21"/>
                <w:highlight w:val="none"/>
              </w:rPr>
              <w:t>投标有效期</w:t>
            </w:r>
          </w:p>
        </w:tc>
        <w:tc>
          <w:tcPr>
            <w:tcW w:w="3243" w:type="pct"/>
            <w:tcBorders>
              <w:top w:val="single" w:color="auto" w:sz="4" w:space="0"/>
              <w:left w:val="single" w:color="auto" w:sz="4" w:space="0"/>
              <w:bottom w:val="single" w:color="auto" w:sz="4" w:space="0"/>
              <w:right w:val="single" w:color="auto" w:sz="4" w:space="0"/>
            </w:tcBorders>
            <w:vAlign w:val="center"/>
          </w:tcPr>
          <w:p w14:paraId="4D2BCF7E">
            <w:pPr>
              <w:jc w:val="left"/>
              <w:rPr>
                <w:rFonts w:ascii="宋体" w:hAnsi="宋体" w:eastAsia="宋体"/>
                <w:b/>
                <w:szCs w:val="21"/>
                <w:highlight w:val="none"/>
                <w:u w:val="single"/>
              </w:rPr>
            </w:pPr>
            <w:r>
              <w:rPr>
                <w:rFonts w:hint="eastAsia" w:ascii="宋体" w:hAnsi="宋体" w:eastAsia="宋体"/>
                <w:szCs w:val="21"/>
                <w:highlight w:val="none"/>
              </w:rPr>
              <w:t>90日历天（从投标截止之日算起）</w:t>
            </w:r>
          </w:p>
        </w:tc>
      </w:tr>
      <w:tr w14:paraId="0AD50BEF">
        <w:tblPrEx>
          <w:tblCellMar>
            <w:top w:w="0" w:type="dxa"/>
            <w:left w:w="108" w:type="dxa"/>
            <w:bottom w:w="0" w:type="dxa"/>
            <w:right w:w="108" w:type="dxa"/>
          </w:tblCellMar>
        </w:tblPrEx>
        <w:trPr>
          <w:trHeight w:val="221" w:hRule="atLeast"/>
        </w:trPr>
        <w:tc>
          <w:tcPr>
            <w:tcW w:w="638" w:type="pct"/>
            <w:tcBorders>
              <w:top w:val="single" w:color="auto" w:sz="4" w:space="0"/>
              <w:left w:val="single" w:color="auto" w:sz="4" w:space="0"/>
              <w:bottom w:val="single" w:color="auto" w:sz="4" w:space="0"/>
              <w:right w:val="single" w:color="auto" w:sz="4" w:space="0"/>
            </w:tcBorders>
            <w:vAlign w:val="center"/>
          </w:tcPr>
          <w:p w14:paraId="0993B53E">
            <w:pPr>
              <w:jc w:val="center"/>
              <w:rPr>
                <w:rFonts w:ascii="宋体" w:hAnsi="宋体" w:eastAsia="宋体"/>
                <w:szCs w:val="21"/>
                <w:highlight w:val="none"/>
              </w:rPr>
            </w:pPr>
            <w:r>
              <w:rPr>
                <w:rFonts w:hint="eastAsia" w:ascii="宋体" w:hAnsi="宋体" w:eastAsia="宋体"/>
                <w:szCs w:val="21"/>
                <w:highlight w:val="none"/>
              </w:rPr>
              <w:t>3.4.1</w:t>
            </w:r>
          </w:p>
        </w:tc>
        <w:tc>
          <w:tcPr>
            <w:tcW w:w="1117" w:type="pct"/>
            <w:tcBorders>
              <w:top w:val="single" w:color="auto" w:sz="4" w:space="0"/>
              <w:left w:val="single" w:color="auto" w:sz="4" w:space="0"/>
              <w:bottom w:val="single" w:color="auto" w:sz="4" w:space="0"/>
              <w:right w:val="single" w:color="auto" w:sz="4" w:space="0"/>
            </w:tcBorders>
            <w:vAlign w:val="center"/>
          </w:tcPr>
          <w:p w14:paraId="451B3C4F">
            <w:pPr>
              <w:jc w:val="center"/>
              <w:rPr>
                <w:rFonts w:ascii="宋体" w:hAnsi="宋体" w:eastAsia="宋体"/>
                <w:szCs w:val="21"/>
                <w:highlight w:val="none"/>
              </w:rPr>
            </w:pPr>
            <w:r>
              <w:rPr>
                <w:rFonts w:hint="eastAsia" w:ascii="宋体" w:hAnsi="宋体" w:eastAsia="宋体"/>
                <w:szCs w:val="21"/>
                <w:highlight w:val="none"/>
              </w:rPr>
              <w:t>投标保证金</w:t>
            </w:r>
          </w:p>
        </w:tc>
        <w:tc>
          <w:tcPr>
            <w:tcW w:w="3243" w:type="pct"/>
            <w:tcBorders>
              <w:top w:val="single" w:color="auto" w:sz="4" w:space="0"/>
              <w:left w:val="single" w:color="auto" w:sz="4" w:space="0"/>
              <w:bottom w:val="single" w:color="auto" w:sz="4" w:space="0"/>
              <w:right w:val="single" w:color="auto" w:sz="4" w:space="0"/>
            </w:tcBorders>
            <w:vAlign w:val="center"/>
          </w:tcPr>
          <w:p w14:paraId="3C514D91">
            <w:pPr>
              <w:rPr>
                <w:rFonts w:ascii="宋体" w:hAnsi="宋体" w:eastAsia="宋体"/>
                <w:szCs w:val="21"/>
                <w:highlight w:val="none"/>
              </w:rPr>
            </w:pPr>
            <w:r>
              <w:rPr>
                <w:rFonts w:hint="eastAsia" w:ascii="宋体" w:hAnsi="宋体" w:eastAsia="宋体"/>
                <w:szCs w:val="21"/>
                <w:highlight w:val="none"/>
              </w:rPr>
              <w:t>要求，投标保证金的金额：人民币6万元。</w:t>
            </w:r>
          </w:p>
          <w:p w14:paraId="607EAC0C">
            <w:pPr>
              <w:rPr>
                <w:rFonts w:ascii="宋体" w:hAnsi="宋体" w:eastAsia="宋体"/>
                <w:szCs w:val="21"/>
                <w:highlight w:val="none"/>
              </w:rPr>
            </w:pPr>
            <w:r>
              <w:rPr>
                <w:rFonts w:hint="eastAsia" w:ascii="宋体" w:hAnsi="宋体" w:eastAsia="宋体"/>
                <w:szCs w:val="21"/>
                <w:highlight w:val="none"/>
              </w:rPr>
              <w:t>（1）投标保证金有效期：大于或等于投标有效期。</w:t>
            </w:r>
          </w:p>
          <w:p w14:paraId="581BB272">
            <w:pPr>
              <w:rPr>
                <w:rFonts w:ascii="宋体" w:hAnsi="宋体" w:eastAsia="宋体"/>
                <w:szCs w:val="21"/>
                <w:highlight w:val="none"/>
              </w:rPr>
            </w:pPr>
            <w:r>
              <w:rPr>
                <w:rFonts w:hint="eastAsia" w:ascii="宋体" w:hAnsi="宋体" w:eastAsia="宋体"/>
                <w:szCs w:val="21"/>
                <w:highlight w:val="none"/>
              </w:rPr>
              <w:t>（2）缴纳方式：投标保证金可采用现金、支票、银行保函、保证保险、专业工程担保公司担保等方式，须在递交投标文件截止时间前完成缴纳,若为联合体投标的，可由联合体主办方缴纳。</w:t>
            </w:r>
          </w:p>
          <w:p w14:paraId="63D64CC2">
            <w:pPr>
              <w:rPr>
                <w:rFonts w:ascii="宋体" w:hAnsi="宋体" w:eastAsia="宋体"/>
                <w:szCs w:val="21"/>
                <w:highlight w:val="none"/>
              </w:rPr>
            </w:pPr>
            <w:r>
              <w:rPr>
                <w:rFonts w:hint="eastAsia" w:ascii="宋体" w:hAnsi="宋体" w:eastAsia="宋体"/>
                <w:szCs w:val="21"/>
                <w:highlight w:val="none"/>
              </w:rPr>
              <w:t>（3）如采用现金或者支票形式提交的，投标保证金从投标人基本账户转出，由广州交易集团有限公司代收。具体操作要求详见广州公共资源交易中心有关指引，递交事宜请自行咨询交易中心；请各投标人在投标文件递交截止时间前按上述金额递交至广州交易集团有限公司，到账情况以开标时广州公共资源交易中心数据库查询的信息为准。投标人需在交易系统中将汇入投标保证金与投标项目进行绑定。</w:t>
            </w:r>
          </w:p>
          <w:p w14:paraId="3CE3921A">
            <w:pPr>
              <w:rPr>
                <w:rFonts w:ascii="宋体" w:hAnsi="宋体" w:eastAsia="宋体"/>
                <w:szCs w:val="21"/>
                <w:highlight w:val="none"/>
              </w:rPr>
            </w:pPr>
            <w:r>
              <w:rPr>
                <w:rFonts w:hint="eastAsia" w:ascii="宋体" w:hAnsi="宋体" w:eastAsia="宋体"/>
                <w:szCs w:val="21"/>
                <w:highlight w:val="none"/>
              </w:rPr>
              <w:t>收款单位：广州交易集团有限公司，开户银行：中国建设银行广州天润路支行，银行账号：44001583404059333333。</w:t>
            </w:r>
          </w:p>
          <w:p w14:paraId="5F5C9CC3">
            <w:pPr>
              <w:rPr>
                <w:rFonts w:ascii="宋体" w:hAnsi="宋体" w:eastAsia="宋体"/>
                <w:szCs w:val="21"/>
                <w:highlight w:val="none"/>
              </w:rPr>
            </w:pPr>
            <w:r>
              <w:rPr>
                <w:rFonts w:hint="eastAsia" w:ascii="宋体" w:hAnsi="宋体" w:eastAsia="宋体"/>
                <w:szCs w:val="21"/>
                <w:highlight w:val="none"/>
              </w:rPr>
              <w:t>（4）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彩色扫描件并加盖投标人电子印章。</w:t>
            </w:r>
          </w:p>
          <w:p w14:paraId="3D45D3F0">
            <w:pPr>
              <w:rPr>
                <w:rFonts w:ascii="宋体" w:hAnsi="宋体" w:eastAsia="宋体"/>
                <w:szCs w:val="21"/>
                <w:highlight w:val="none"/>
              </w:rPr>
            </w:pPr>
            <w:r>
              <w:rPr>
                <w:rFonts w:hint="eastAsia" w:ascii="宋体" w:hAnsi="宋体" w:eastAsia="宋体"/>
                <w:szCs w:val="21"/>
                <w:highlight w:val="none"/>
              </w:rPr>
              <w:t>（5）采用电子形式的保函、担保或保证保险提交投标保证金的，具体操作详见广州公共资源交易中心电子保函操作指引（http://ggzy.gz.gov.cn/fwznxtbzczsc/699986.jhtml）。为防止名单泄密，本项目推荐使用标信通递交基于区块链的保密电子保函。</w:t>
            </w:r>
          </w:p>
          <w:p w14:paraId="26441FCC">
            <w:pPr>
              <w:topLinePunct/>
              <w:jc w:val="left"/>
              <w:rPr>
                <w:rFonts w:ascii="宋体" w:hAnsi="宋体" w:eastAsia="宋体"/>
                <w:kern w:val="0"/>
                <w:szCs w:val="21"/>
                <w:highlight w:val="none"/>
              </w:rPr>
            </w:pPr>
            <w:r>
              <w:rPr>
                <w:rFonts w:hint="eastAsia" w:ascii="宋体" w:hAnsi="宋体" w:eastAsia="宋体"/>
                <w:szCs w:val="21"/>
                <w:highlight w:val="none"/>
              </w:rPr>
              <w:t>（6）对于未能按要求交纳投标保证金的投标人，招标人将视为不响应招标文件而予以拒绝，责任由投标人自负。</w:t>
            </w:r>
          </w:p>
        </w:tc>
      </w:tr>
      <w:tr w14:paraId="11E071EC">
        <w:tblPrEx>
          <w:tblCellMar>
            <w:top w:w="0" w:type="dxa"/>
            <w:left w:w="108" w:type="dxa"/>
            <w:bottom w:w="0" w:type="dxa"/>
            <w:right w:w="108" w:type="dxa"/>
          </w:tblCellMar>
        </w:tblPrEx>
        <w:trPr>
          <w:trHeight w:val="1228" w:hRule="atLeast"/>
        </w:trPr>
        <w:tc>
          <w:tcPr>
            <w:tcW w:w="638" w:type="pct"/>
            <w:tcBorders>
              <w:top w:val="single" w:color="auto" w:sz="4" w:space="0"/>
              <w:left w:val="single" w:color="auto" w:sz="4" w:space="0"/>
              <w:bottom w:val="single" w:color="auto" w:sz="4" w:space="0"/>
              <w:right w:val="single" w:color="auto" w:sz="4" w:space="0"/>
            </w:tcBorders>
            <w:vAlign w:val="center"/>
          </w:tcPr>
          <w:p w14:paraId="1DAF0578">
            <w:pPr>
              <w:jc w:val="center"/>
              <w:rPr>
                <w:rFonts w:ascii="宋体" w:hAnsi="宋体" w:eastAsia="宋体"/>
                <w:szCs w:val="21"/>
                <w:highlight w:val="none"/>
              </w:rPr>
            </w:pPr>
            <w:r>
              <w:rPr>
                <w:rFonts w:hint="eastAsia" w:ascii="宋体" w:hAnsi="宋体" w:eastAsia="宋体"/>
                <w:szCs w:val="21"/>
                <w:highlight w:val="none"/>
              </w:rPr>
              <w:t>3.5</w:t>
            </w:r>
          </w:p>
        </w:tc>
        <w:tc>
          <w:tcPr>
            <w:tcW w:w="1117" w:type="pct"/>
            <w:tcBorders>
              <w:top w:val="single" w:color="auto" w:sz="4" w:space="0"/>
              <w:left w:val="single" w:color="auto" w:sz="4" w:space="0"/>
              <w:bottom w:val="single" w:color="auto" w:sz="4" w:space="0"/>
              <w:right w:val="single" w:color="auto" w:sz="4" w:space="0"/>
            </w:tcBorders>
            <w:vAlign w:val="center"/>
          </w:tcPr>
          <w:p w14:paraId="6687B1A0">
            <w:pPr>
              <w:jc w:val="center"/>
              <w:rPr>
                <w:rFonts w:ascii="宋体" w:hAnsi="宋体" w:eastAsia="宋体"/>
                <w:szCs w:val="21"/>
                <w:highlight w:val="none"/>
              </w:rPr>
            </w:pPr>
            <w:r>
              <w:rPr>
                <w:rFonts w:hint="eastAsia" w:ascii="宋体" w:hAnsi="宋体" w:eastAsia="宋体"/>
                <w:szCs w:val="21"/>
                <w:highlight w:val="none"/>
              </w:rPr>
              <w:t>资格审查资料的特殊要求</w:t>
            </w:r>
          </w:p>
        </w:tc>
        <w:tc>
          <w:tcPr>
            <w:tcW w:w="3243" w:type="pct"/>
            <w:tcBorders>
              <w:top w:val="single" w:color="auto" w:sz="4" w:space="0"/>
              <w:left w:val="single" w:color="auto" w:sz="4" w:space="0"/>
              <w:bottom w:val="single" w:color="auto" w:sz="4" w:space="0"/>
              <w:right w:val="single" w:color="auto" w:sz="4" w:space="0"/>
            </w:tcBorders>
            <w:vAlign w:val="center"/>
          </w:tcPr>
          <w:p w14:paraId="22A895D9">
            <w:pPr>
              <w:snapToGrid w:val="0"/>
              <w:ind w:right="141" w:rightChars="67"/>
              <w:rPr>
                <w:rFonts w:ascii="宋体" w:hAnsi="宋体" w:eastAsia="宋体"/>
                <w:szCs w:val="21"/>
                <w:highlight w:val="none"/>
              </w:rPr>
            </w:pPr>
            <w:r>
              <w:rPr>
                <w:rFonts w:hint="eastAsia" w:ascii="宋体" w:hAnsi="宋体" w:eastAsia="宋体"/>
                <w:szCs w:val="21"/>
                <w:highlight w:val="none"/>
              </w:rPr>
              <w:t>■无</w:t>
            </w:r>
          </w:p>
          <w:p w14:paraId="39628BD3">
            <w:pPr>
              <w:topLinePunct/>
              <w:jc w:val="left"/>
              <w:rPr>
                <w:rFonts w:ascii="宋体" w:hAnsi="宋体" w:eastAsia="宋体"/>
                <w:kern w:val="0"/>
                <w:szCs w:val="21"/>
                <w:highlight w:val="none"/>
              </w:rPr>
            </w:pPr>
            <w:r>
              <w:rPr>
                <w:rFonts w:hint="eastAsia" w:ascii="宋体" w:hAnsi="宋体" w:eastAsia="宋体"/>
                <w:spacing w:val="-1"/>
                <w:szCs w:val="21"/>
                <w:highlight w:val="none"/>
                <w:lang w:eastAsia="zh-CN"/>
              </w:rPr>
              <w:t>□</w:t>
            </w:r>
            <w:r>
              <w:rPr>
                <w:rFonts w:hint="eastAsia" w:ascii="宋体" w:hAnsi="宋体" w:eastAsia="宋体"/>
                <w:szCs w:val="21"/>
                <w:highlight w:val="none"/>
              </w:rPr>
              <w:t>有</w:t>
            </w:r>
          </w:p>
        </w:tc>
      </w:tr>
      <w:tr w14:paraId="0F57EE55">
        <w:tblPrEx>
          <w:tblCellMar>
            <w:top w:w="0" w:type="dxa"/>
            <w:left w:w="108" w:type="dxa"/>
            <w:bottom w:w="0" w:type="dxa"/>
            <w:right w:w="108" w:type="dxa"/>
          </w:tblCellMar>
        </w:tblPrEx>
        <w:trPr>
          <w:trHeight w:val="221" w:hRule="atLeast"/>
        </w:trPr>
        <w:tc>
          <w:tcPr>
            <w:tcW w:w="638" w:type="pct"/>
            <w:tcBorders>
              <w:top w:val="single" w:color="auto" w:sz="4" w:space="0"/>
              <w:left w:val="single" w:color="auto" w:sz="4" w:space="0"/>
              <w:bottom w:val="single" w:color="auto" w:sz="4" w:space="0"/>
              <w:right w:val="single" w:color="auto" w:sz="4" w:space="0"/>
            </w:tcBorders>
            <w:vAlign w:val="center"/>
          </w:tcPr>
          <w:p w14:paraId="5172E0E8">
            <w:pPr>
              <w:jc w:val="center"/>
              <w:rPr>
                <w:rFonts w:ascii="宋体" w:hAnsi="宋体" w:eastAsia="宋体"/>
                <w:szCs w:val="21"/>
                <w:highlight w:val="none"/>
              </w:rPr>
            </w:pPr>
            <w:r>
              <w:rPr>
                <w:rFonts w:hint="eastAsia" w:ascii="宋体" w:hAnsi="宋体" w:eastAsia="宋体"/>
                <w:szCs w:val="21"/>
                <w:highlight w:val="none"/>
              </w:rPr>
              <w:t>3.5.2</w:t>
            </w:r>
          </w:p>
        </w:tc>
        <w:tc>
          <w:tcPr>
            <w:tcW w:w="1117" w:type="pct"/>
            <w:tcBorders>
              <w:top w:val="single" w:color="auto" w:sz="4" w:space="0"/>
              <w:left w:val="single" w:color="auto" w:sz="4" w:space="0"/>
              <w:bottom w:val="single" w:color="auto" w:sz="4" w:space="0"/>
              <w:right w:val="single" w:color="auto" w:sz="4" w:space="0"/>
            </w:tcBorders>
            <w:vAlign w:val="center"/>
          </w:tcPr>
          <w:p w14:paraId="49A338CE">
            <w:pPr>
              <w:jc w:val="center"/>
              <w:rPr>
                <w:rFonts w:ascii="宋体" w:hAnsi="宋体" w:eastAsia="宋体"/>
                <w:szCs w:val="21"/>
                <w:highlight w:val="none"/>
              </w:rPr>
            </w:pPr>
            <w:r>
              <w:rPr>
                <w:rFonts w:hint="eastAsia" w:ascii="宋体" w:hAnsi="宋体" w:eastAsia="宋体"/>
                <w:szCs w:val="21"/>
                <w:highlight w:val="none"/>
              </w:rPr>
              <w:t>近年财务状况的年份要求</w:t>
            </w:r>
          </w:p>
        </w:tc>
        <w:tc>
          <w:tcPr>
            <w:tcW w:w="3243" w:type="pct"/>
            <w:tcBorders>
              <w:top w:val="single" w:color="auto" w:sz="4" w:space="0"/>
              <w:left w:val="single" w:color="auto" w:sz="4" w:space="0"/>
              <w:bottom w:val="single" w:color="auto" w:sz="4" w:space="0"/>
              <w:right w:val="single" w:color="auto" w:sz="4" w:space="0"/>
            </w:tcBorders>
            <w:vAlign w:val="center"/>
          </w:tcPr>
          <w:p w14:paraId="09643A55">
            <w:pPr>
              <w:jc w:val="left"/>
              <w:rPr>
                <w:rFonts w:ascii="宋体" w:hAnsi="宋体" w:eastAsia="宋体"/>
                <w:szCs w:val="21"/>
                <w:highlight w:val="none"/>
              </w:rPr>
            </w:pPr>
            <w:r>
              <w:rPr>
                <w:rFonts w:hint="eastAsia" w:ascii="宋体" w:hAnsi="宋体" w:eastAsia="宋体"/>
                <w:spacing w:val="-2"/>
                <w:szCs w:val="21"/>
                <w:highlight w:val="none"/>
              </w:rPr>
              <w:t>本项目不适用</w:t>
            </w:r>
          </w:p>
        </w:tc>
      </w:tr>
      <w:tr w14:paraId="126AEEF8">
        <w:tblPrEx>
          <w:tblCellMar>
            <w:top w:w="0" w:type="dxa"/>
            <w:left w:w="108" w:type="dxa"/>
            <w:bottom w:w="0" w:type="dxa"/>
            <w:right w:w="108" w:type="dxa"/>
          </w:tblCellMar>
        </w:tblPrEx>
        <w:trPr>
          <w:trHeight w:val="221" w:hRule="atLeast"/>
        </w:trPr>
        <w:tc>
          <w:tcPr>
            <w:tcW w:w="638" w:type="pct"/>
            <w:tcBorders>
              <w:top w:val="single" w:color="auto" w:sz="4" w:space="0"/>
              <w:left w:val="single" w:color="auto" w:sz="4" w:space="0"/>
              <w:bottom w:val="single" w:color="auto" w:sz="4" w:space="0"/>
              <w:right w:val="single" w:color="auto" w:sz="4" w:space="0"/>
            </w:tcBorders>
            <w:vAlign w:val="center"/>
          </w:tcPr>
          <w:p w14:paraId="388CC632">
            <w:pPr>
              <w:jc w:val="center"/>
              <w:rPr>
                <w:rFonts w:ascii="宋体" w:hAnsi="宋体" w:eastAsia="宋体"/>
                <w:szCs w:val="21"/>
                <w:highlight w:val="none"/>
              </w:rPr>
            </w:pPr>
            <w:r>
              <w:rPr>
                <w:rFonts w:hint="eastAsia" w:ascii="宋体" w:hAnsi="宋体" w:eastAsia="宋体"/>
                <w:szCs w:val="21"/>
                <w:highlight w:val="none"/>
              </w:rPr>
              <w:t>3.5.3</w:t>
            </w:r>
          </w:p>
        </w:tc>
        <w:tc>
          <w:tcPr>
            <w:tcW w:w="1117" w:type="pct"/>
            <w:tcBorders>
              <w:top w:val="single" w:color="auto" w:sz="4" w:space="0"/>
              <w:left w:val="single" w:color="auto" w:sz="4" w:space="0"/>
              <w:bottom w:val="single" w:color="auto" w:sz="4" w:space="0"/>
              <w:right w:val="single" w:color="auto" w:sz="4" w:space="0"/>
            </w:tcBorders>
            <w:vAlign w:val="center"/>
          </w:tcPr>
          <w:p w14:paraId="255E3A22">
            <w:pPr>
              <w:jc w:val="center"/>
              <w:rPr>
                <w:rFonts w:ascii="宋体" w:hAnsi="宋体" w:eastAsia="宋体"/>
                <w:szCs w:val="21"/>
                <w:highlight w:val="none"/>
              </w:rPr>
            </w:pPr>
            <w:r>
              <w:rPr>
                <w:rFonts w:hint="eastAsia" w:ascii="宋体" w:hAnsi="宋体" w:eastAsia="宋体"/>
                <w:szCs w:val="21"/>
                <w:highlight w:val="none"/>
              </w:rPr>
              <w:t>近年完成的类似项目情况的时间要求</w:t>
            </w:r>
          </w:p>
        </w:tc>
        <w:tc>
          <w:tcPr>
            <w:tcW w:w="3243" w:type="pct"/>
            <w:tcBorders>
              <w:top w:val="single" w:color="auto" w:sz="4" w:space="0"/>
              <w:left w:val="single" w:color="auto" w:sz="4" w:space="0"/>
              <w:bottom w:val="single" w:color="auto" w:sz="4" w:space="0"/>
              <w:right w:val="single" w:color="auto" w:sz="4" w:space="0"/>
            </w:tcBorders>
            <w:vAlign w:val="center"/>
          </w:tcPr>
          <w:p w14:paraId="215F78EE">
            <w:pPr>
              <w:jc w:val="left"/>
              <w:rPr>
                <w:rFonts w:ascii="宋体" w:hAnsi="宋体" w:eastAsia="宋体"/>
                <w:szCs w:val="21"/>
                <w:highlight w:val="none"/>
              </w:rPr>
            </w:pPr>
            <w:r>
              <w:rPr>
                <w:rFonts w:hint="eastAsia" w:ascii="宋体" w:hAnsi="宋体" w:eastAsia="宋体"/>
                <w:spacing w:val="-2"/>
                <w:szCs w:val="21"/>
                <w:highlight w:val="none"/>
              </w:rPr>
              <w:t>/</w:t>
            </w:r>
          </w:p>
        </w:tc>
      </w:tr>
      <w:tr w14:paraId="7C01DA5F">
        <w:tblPrEx>
          <w:tblCellMar>
            <w:top w:w="0" w:type="dxa"/>
            <w:left w:w="108" w:type="dxa"/>
            <w:bottom w:w="0" w:type="dxa"/>
            <w:right w:w="108" w:type="dxa"/>
          </w:tblCellMar>
        </w:tblPrEx>
        <w:trPr>
          <w:trHeight w:val="221" w:hRule="atLeast"/>
        </w:trPr>
        <w:tc>
          <w:tcPr>
            <w:tcW w:w="638" w:type="pct"/>
            <w:tcBorders>
              <w:top w:val="single" w:color="auto" w:sz="4" w:space="0"/>
              <w:left w:val="single" w:color="auto" w:sz="4" w:space="0"/>
              <w:bottom w:val="single" w:color="auto" w:sz="4" w:space="0"/>
              <w:right w:val="single" w:color="auto" w:sz="4" w:space="0"/>
            </w:tcBorders>
            <w:vAlign w:val="center"/>
          </w:tcPr>
          <w:p w14:paraId="1602297C">
            <w:pPr>
              <w:jc w:val="center"/>
              <w:rPr>
                <w:rFonts w:ascii="宋体" w:hAnsi="宋体" w:eastAsia="宋体"/>
                <w:szCs w:val="21"/>
                <w:highlight w:val="none"/>
              </w:rPr>
            </w:pPr>
            <w:r>
              <w:rPr>
                <w:rFonts w:hint="eastAsia" w:ascii="宋体" w:hAnsi="宋体" w:eastAsia="宋体"/>
                <w:szCs w:val="21"/>
                <w:highlight w:val="none"/>
              </w:rPr>
              <w:t>3.5.5</w:t>
            </w:r>
          </w:p>
        </w:tc>
        <w:tc>
          <w:tcPr>
            <w:tcW w:w="1117" w:type="pct"/>
            <w:tcBorders>
              <w:top w:val="single" w:color="auto" w:sz="4" w:space="0"/>
              <w:left w:val="single" w:color="auto" w:sz="4" w:space="0"/>
              <w:bottom w:val="single" w:color="auto" w:sz="4" w:space="0"/>
              <w:right w:val="single" w:color="auto" w:sz="4" w:space="0"/>
            </w:tcBorders>
            <w:vAlign w:val="center"/>
          </w:tcPr>
          <w:p w14:paraId="1DE67EC6">
            <w:pPr>
              <w:jc w:val="center"/>
              <w:rPr>
                <w:rFonts w:ascii="宋体" w:hAnsi="宋体" w:eastAsia="宋体"/>
                <w:szCs w:val="21"/>
                <w:highlight w:val="none"/>
              </w:rPr>
            </w:pPr>
            <w:r>
              <w:rPr>
                <w:rFonts w:hint="eastAsia" w:ascii="宋体" w:hAnsi="宋体" w:eastAsia="宋体"/>
                <w:szCs w:val="21"/>
                <w:highlight w:val="none"/>
              </w:rPr>
              <w:t>近年发生的诉讼及仲裁情况的时间要求</w:t>
            </w:r>
          </w:p>
        </w:tc>
        <w:tc>
          <w:tcPr>
            <w:tcW w:w="3243" w:type="pct"/>
            <w:tcBorders>
              <w:top w:val="single" w:color="auto" w:sz="4" w:space="0"/>
              <w:left w:val="single" w:color="auto" w:sz="4" w:space="0"/>
              <w:bottom w:val="single" w:color="auto" w:sz="4" w:space="0"/>
              <w:right w:val="single" w:color="auto" w:sz="4" w:space="0"/>
            </w:tcBorders>
            <w:vAlign w:val="center"/>
          </w:tcPr>
          <w:p w14:paraId="5AAC95CF">
            <w:pPr>
              <w:ind w:firstLine="105" w:firstLineChars="50"/>
              <w:jc w:val="left"/>
              <w:rPr>
                <w:rFonts w:ascii="宋体" w:hAnsi="宋体" w:eastAsia="宋体"/>
                <w:szCs w:val="21"/>
                <w:highlight w:val="none"/>
              </w:rPr>
            </w:pPr>
            <w:r>
              <w:rPr>
                <w:rFonts w:hint="eastAsia" w:ascii="宋体" w:hAnsi="宋体" w:eastAsia="宋体"/>
                <w:szCs w:val="21"/>
                <w:highlight w:val="none"/>
              </w:rPr>
              <w:t>本项目不适用</w:t>
            </w:r>
          </w:p>
        </w:tc>
      </w:tr>
      <w:tr w14:paraId="58903541">
        <w:tblPrEx>
          <w:tblCellMar>
            <w:top w:w="0" w:type="dxa"/>
            <w:left w:w="108" w:type="dxa"/>
            <w:bottom w:w="0" w:type="dxa"/>
            <w:right w:w="108" w:type="dxa"/>
          </w:tblCellMar>
        </w:tblPrEx>
        <w:trPr>
          <w:trHeight w:val="221" w:hRule="atLeast"/>
        </w:trPr>
        <w:tc>
          <w:tcPr>
            <w:tcW w:w="638" w:type="pct"/>
            <w:tcBorders>
              <w:top w:val="single" w:color="auto" w:sz="4" w:space="0"/>
              <w:left w:val="single" w:color="auto" w:sz="4" w:space="0"/>
              <w:bottom w:val="single" w:color="auto" w:sz="4" w:space="0"/>
              <w:right w:val="single" w:color="auto" w:sz="4" w:space="0"/>
            </w:tcBorders>
            <w:vAlign w:val="center"/>
          </w:tcPr>
          <w:p w14:paraId="4555B55E">
            <w:pPr>
              <w:jc w:val="center"/>
              <w:rPr>
                <w:rFonts w:ascii="宋体" w:hAnsi="宋体" w:eastAsia="宋体"/>
                <w:szCs w:val="21"/>
                <w:highlight w:val="none"/>
              </w:rPr>
            </w:pPr>
            <w:r>
              <w:rPr>
                <w:rFonts w:hint="eastAsia" w:ascii="宋体" w:hAnsi="宋体" w:eastAsia="宋体"/>
                <w:szCs w:val="21"/>
                <w:highlight w:val="none"/>
              </w:rPr>
              <w:t>3.6.1</w:t>
            </w:r>
          </w:p>
        </w:tc>
        <w:tc>
          <w:tcPr>
            <w:tcW w:w="1117" w:type="pct"/>
            <w:tcBorders>
              <w:top w:val="single" w:color="auto" w:sz="4" w:space="0"/>
              <w:left w:val="single" w:color="auto" w:sz="4" w:space="0"/>
              <w:bottom w:val="single" w:color="auto" w:sz="4" w:space="0"/>
              <w:right w:val="single" w:color="auto" w:sz="4" w:space="0"/>
            </w:tcBorders>
            <w:vAlign w:val="center"/>
          </w:tcPr>
          <w:p w14:paraId="26135DAB">
            <w:pPr>
              <w:jc w:val="center"/>
              <w:rPr>
                <w:rFonts w:ascii="宋体" w:hAnsi="宋体" w:eastAsia="宋体"/>
                <w:szCs w:val="21"/>
                <w:highlight w:val="none"/>
              </w:rPr>
            </w:pPr>
            <w:r>
              <w:rPr>
                <w:rFonts w:hint="eastAsia" w:ascii="宋体" w:hAnsi="宋体" w:eastAsia="宋体"/>
                <w:szCs w:val="21"/>
                <w:highlight w:val="none"/>
              </w:rPr>
              <w:t>是否允许递交备选投标方案</w:t>
            </w:r>
          </w:p>
        </w:tc>
        <w:tc>
          <w:tcPr>
            <w:tcW w:w="3243" w:type="pct"/>
            <w:tcBorders>
              <w:top w:val="single" w:color="auto" w:sz="4" w:space="0"/>
              <w:left w:val="single" w:color="auto" w:sz="4" w:space="0"/>
              <w:bottom w:val="single" w:color="auto" w:sz="4" w:space="0"/>
              <w:right w:val="single" w:color="auto" w:sz="4" w:space="0"/>
            </w:tcBorders>
            <w:vAlign w:val="center"/>
          </w:tcPr>
          <w:p w14:paraId="3DE10CFF">
            <w:pPr>
              <w:topLinePunct/>
              <w:jc w:val="left"/>
              <w:rPr>
                <w:rFonts w:ascii="宋体" w:hAnsi="宋体" w:eastAsia="宋体"/>
                <w:kern w:val="0"/>
                <w:szCs w:val="21"/>
                <w:highlight w:val="none"/>
              </w:rPr>
            </w:pPr>
            <w:r>
              <w:rPr>
                <w:rFonts w:hint="eastAsia" w:ascii="宋体" w:hAnsi="宋体" w:eastAsia="宋体"/>
                <w:kern w:val="0"/>
                <w:szCs w:val="21"/>
                <w:highlight w:val="none"/>
              </w:rPr>
              <w:t>■不允许</w:t>
            </w:r>
          </w:p>
          <w:p w14:paraId="15AF6A75">
            <w:pPr>
              <w:jc w:val="left"/>
              <w:rPr>
                <w:rFonts w:ascii="宋体" w:hAnsi="宋体" w:eastAsia="宋体"/>
                <w:szCs w:val="21"/>
                <w:highlight w:val="none"/>
              </w:rPr>
            </w:pPr>
            <w:r>
              <w:rPr>
                <w:rFonts w:hint="eastAsia" w:ascii="宋体" w:hAnsi="宋体" w:eastAsia="宋体"/>
                <w:szCs w:val="21"/>
                <w:highlight w:val="none"/>
              </w:rPr>
              <w:t>□允许</w:t>
            </w:r>
          </w:p>
        </w:tc>
      </w:tr>
      <w:tr w14:paraId="1F29E438">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14E4ED36">
            <w:pPr>
              <w:jc w:val="center"/>
              <w:rPr>
                <w:rFonts w:ascii="宋体" w:hAnsi="宋体" w:eastAsia="宋体"/>
                <w:szCs w:val="21"/>
                <w:highlight w:val="none"/>
              </w:rPr>
            </w:pPr>
            <w:r>
              <w:rPr>
                <w:rFonts w:hint="eastAsia" w:ascii="宋体" w:hAnsi="宋体" w:eastAsia="宋体"/>
                <w:szCs w:val="21"/>
                <w:highlight w:val="none"/>
              </w:rPr>
              <w:t>3.7.3A（2）</w:t>
            </w:r>
          </w:p>
        </w:tc>
        <w:tc>
          <w:tcPr>
            <w:tcW w:w="1117" w:type="pct"/>
            <w:tcBorders>
              <w:top w:val="single" w:color="auto" w:sz="4" w:space="0"/>
              <w:left w:val="single" w:color="auto" w:sz="4" w:space="0"/>
              <w:bottom w:val="single" w:color="auto" w:sz="4" w:space="0"/>
              <w:right w:val="single" w:color="auto" w:sz="4" w:space="0"/>
            </w:tcBorders>
            <w:vAlign w:val="center"/>
          </w:tcPr>
          <w:p w14:paraId="132E1259">
            <w:pPr>
              <w:jc w:val="center"/>
              <w:rPr>
                <w:rFonts w:ascii="宋体" w:hAnsi="宋体" w:eastAsia="宋体"/>
                <w:szCs w:val="21"/>
                <w:highlight w:val="none"/>
              </w:rPr>
            </w:pPr>
            <w:r>
              <w:rPr>
                <w:rFonts w:hint="eastAsia" w:ascii="宋体" w:hAnsi="宋体" w:eastAsia="宋体"/>
                <w:szCs w:val="21"/>
                <w:highlight w:val="none"/>
              </w:rPr>
              <w:t>投标文件副本份数及其他要求</w:t>
            </w:r>
          </w:p>
        </w:tc>
        <w:tc>
          <w:tcPr>
            <w:tcW w:w="3243" w:type="pct"/>
            <w:tcBorders>
              <w:top w:val="single" w:color="auto" w:sz="4" w:space="0"/>
              <w:left w:val="single" w:color="auto" w:sz="4" w:space="0"/>
              <w:bottom w:val="single" w:color="auto" w:sz="4" w:space="0"/>
              <w:right w:val="single" w:color="auto" w:sz="4" w:space="0"/>
            </w:tcBorders>
            <w:vAlign w:val="center"/>
          </w:tcPr>
          <w:p w14:paraId="31384F4E">
            <w:pPr>
              <w:jc w:val="left"/>
              <w:rPr>
                <w:rFonts w:ascii="宋体" w:hAnsi="宋体" w:eastAsia="宋体"/>
                <w:szCs w:val="21"/>
                <w:highlight w:val="none"/>
              </w:rPr>
            </w:pPr>
            <w:r>
              <w:rPr>
                <w:rFonts w:hint="eastAsia" w:ascii="宋体" w:hAnsi="宋体" w:eastAsia="宋体"/>
                <w:szCs w:val="21"/>
                <w:highlight w:val="none"/>
              </w:rPr>
              <w:t>/。</w:t>
            </w:r>
          </w:p>
        </w:tc>
      </w:tr>
      <w:tr w14:paraId="1F6A3916">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6F4E518F">
            <w:pPr>
              <w:jc w:val="center"/>
              <w:rPr>
                <w:rFonts w:ascii="宋体" w:hAnsi="宋体" w:eastAsia="宋体"/>
                <w:szCs w:val="21"/>
                <w:highlight w:val="none"/>
              </w:rPr>
            </w:pPr>
            <w:r>
              <w:rPr>
                <w:rFonts w:hint="eastAsia" w:ascii="宋体" w:hAnsi="宋体" w:eastAsia="宋体"/>
                <w:szCs w:val="21"/>
                <w:highlight w:val="none"/>
              </w:rPr>
              <w:t>3.7.3A（3）</w:t>
            </w:r>
          </w:p>
        </w:tc>
        <w:tc>
          <w:tcPr>
            <w:tcW w:w="1117" w:type="pct"/>
            <w:tcBorders>
              <w:top w:val="single" w:color="auto" w:sz="4" w:space="0"/>
              <w:left w:val="single" w:color="auto" w:sz="4" w:space="0"/>
              <w:bottom w:val="single" w:color="auto" w:sz="4" w:space="0"/>
              <w:right w:val="single" w:color="auto" w:sz="4" w:space="0"/>
            </w:tcBorders>
            <w:vAlign w:val="center"/>
          </w:tcPr>
          <w:p w14:paraId="7BED5022">
            <w:pPr>
              <w:jc w:val="center"/>
              <w:rPr>
                <w:rFonts w:ascii="宋体" w:hAnsi="宋体" w:eastAsia="宋体"/>
                <w:szCs w:val="21"/>
                <w:highlight w:val="none"/>
              </w:rPr>
            </w:pPr>
            <w:r>
              <w:rPr>
                <w:rFonts w:hint="eastAsia" w:ascii="宋体" w:hAnsi="宋体" w:eastAsia="宋体"/>
                <w:szCs w:val="21"/>
                <w:highlight w:val="none"/>
              </w:rPr>
              <w:t>投标文件是否需分册装订</w:t>
            </w:r>
          </w:p>
        </w:tc>
        <w:tc>
          <w:tcPr>
            <w:tcW w:w="3243" w:type="pct"/>
            <w:tcBorders>
              <w:top w:val="single" w:color="auto" w:sz="4" w:space="0"/>
              <w:left w:val="single" w:color="auto" w:sz="4" w:space="0"/>
              <w:bottom w:val="single" w:color="auto" w:sz="4" w:space="0"/>
              <w:right w:val="single" w:color="auto" w:sz="4" w:space="0"/>
            </w:tcBorders>
            <w:vAlign w:val="center"/>
          </w:tcPr>
          <w:p w14:paraId="00011757">
            <w:pPr>
              <w:jc w:val="left"/>
              <w:rPr>
                <w:rFonts w:ascii="宋体" w:hAnsi="宋体" w:eastAsia="宋体"/>
                <w:szCs w:val="21"/>
                <w:highlight w:val="none"/>
              </w:rPr>
            </w:pPr>
            <w:r>
              <w:rPr>
                <w:rFonts w:hint="eastAsia" w:ascii="宋体" w:hAnsi="宋体" w:eastAsia="宋体"/>
                <w:kern w:val="0"/>
                <w:szCs w:val="21"/>
                <w:highlight w:val="none"/>
              </w:rPr>
              <w:t>/。</w:t>
            </w:r>
          </w:p>
        </w:tc>
      </w:tr>
      <w:tr w14:paraId="5E90696B">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7F7D98C2">
            <w:pPr>
              <w:jc w:val="center"/>
              <w:rPr>
                <w:rFonts w:ascii="宋体" w:hAnsi="宋体" w:eastAsia="宋体"/>
                <w:szCs w:val="21"/>
                <w:highlight w:val="none"/>
              </w:rPr>
            </w:pPr>
            <w:r>
              <w:rPr>
                <w:rFonts w:hint="eastAsia" w:ascii="宋体" w:hAnsi="宋体" w:eastAsia="宋体"/>
                <w:szCs w:val="21"/>
                <w:highlight w:val="none"/>
              </w:rPr>
              <w:t>3.7.3（B）</w:t>
            </w:r>
          </w:p>
        </w:tc>
        <w:tc>
          <w:tcPr>
            <w:tcW w:w="1117" w:type="pct"/>
            <w:tcBorders>
              <w:top w:val="single" w:color="auto" w:sz="4" w:space="0"/>
              <w:left w:val="single" w:color="auto" w:sz="4" w:space="0"/>
              <w:bottom w:val="single" w:color="auto" w:sz="4" w:space="0"/>
              <w:right w:val="single" w:color="auto" w:sz="4" w:space="0"/>
            </w:tcBorders>
            <w:vAlign w:val="center"/>
          </w:tcPr>
          <w:p w14:paraId="1DC70CD0">
            <w:pPr>
              <w:jc w:val="center"/>
              <w:rPr>
                <w:rFonts w:ascii="宋体" w:hAnsi="宋体" w:eastAsia="宋体"/>
                <w:szCs w:val="21"/>
                <w:highlight w:val="none"/>
              </w:rPr>
            </w:pPr>
            <w:r>
              <w:rPr>
                <w:rFonts w:hint="eastAsia" w:ascii="宋体" w:hAnsi="宋体" w:eastAsia="宋体"/>
                <w:szCs w:val="21"/>
                <w:highlight w:val="none"/>
              </w:rPr>
              <w:t>投标文件所附证书证件要求</w:t>
            </w:r>
          </w:p>
        </w:tc>
        <w:tc>
          <w:tcPr>
            <w:tcW w:w="3243" w:type="pct"/>
            <w:tcBorders>
              <w:top w:val="single" w:color="auto" w:sz="4" w:space="0"/>
              <w:left w:val="single" w:color="auto" w:sz="4" w:space="0"/>
              <w:bottom w:val="single" w:color="auto" w:sz="4" w:space="0"/>
              <w:right w:val="single" w:color="auto" w:sz="4" w:space="0"/>
            </w:tcBorders>
            <w:vAlign w:val="center"/>
          </w:tcPr>
          <w:p w14:paraId="3EF5E5D7">
            <w:pPr>
              <w:topLinePunct/>
              <w:jc w:val="left"/>
              <w:rPr>
                <w:rFonts w:ascii="宋体" w:hAnsi="宋体" w:eastAsia="宋体"/>
                <w:kern w:val="0"/>
                <w:szCs w:val="21"/>
                <w:highlight w:val="none"/>
              </w:rPr>
            </w:pPr>
            <w:r>
              <w:rPr>
                <w:rFonts w:hint="eastAsia" w:ascii="Calibri" w:hAnsi="宋体" w:eastAsia="宋体" w:cs="Times New Roman"/>
                <w:color w:val="000000"/>
                <w:szCs w:val="21"/>
                <w:highlight w:val="none"/>
              </w:rPr>
              <w:t>投标文件全部采用电子文档，投标文件所附证书证件需为原件清晰扫描件，并采用单位数字证书，按照招标文件要求在相应位置加盖电子印章。相关操作详见广州交易集团有限公司（广州公共资源交易中心）网站最新发布的《房屋建筑和市政基础设施工程全流程电子化项目专章》。</w:t>
            </w:r>
          </w:p>
        </w:tc>
      </w:tr>
      <w:tr w14:paraId="09FC95A9">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7F69897B">
            <w:pPr>
              <w:jc w:val="center"/>
              <w:rPr>
                <w:rFonts w:ascii="宋体" w:hAnsi="宋体" w:eastAsia="宋体"/>
                <w:szCs w:val="21"/>
                <w:highlight w:val="none"/>
              </w:rPr>
            </w:pPr>
            <w:r>
              <w:rPr>
                <w:rFonts w:hint="eastAsia" w:ascii="宋体" w:hAnsi="宋体" w:eastAsia="宋体"/>
                <w:szCs w:val="21"/>
                <w:highlight w:val="none"/>
              </w:rPr>
              <w:t>3.7.3（B）</w:t>
            </w:r>
          </w:p>
        </w:tc>
        <w:tc>
          <w:tcPr>
            <w:tcW w:w="1117" w:type="pct"/>
            <w:tcBorders>
              <w:top w:val="single" w:color="auto" w:sz="4" w:space="0"/>
              <w:left w:val="single" w:color="auto" w:sz="4" w:space="0"/>
              <w:bottom w:val="single" w:color="auto" w:sz="4" w:space="0"/>
              <w:right w:val="single" w:color="auto" w:sz="4" w:space="0"/>
            </w:tcBorders>
            <w:vAlign w:val="center"/>
          </w:tcPr>
          <w:p w14:paraId="34EB8DC6">
            <w:pPr>
              <w:jc w:val="center"/>
              <w:rPr>
                <w:rFonts w:ascii="宋体" w:hAnsi="宋体" w:eastAsia="宋体"/>
                <w:szCs w:val="21"/>
                <w:highlight w:val="none"/>
              </w:rPr>
            </w:pPr>
            <w:r>
              <w:rPr>
                <w:rFonts w:hint="eastAsia" w:ascii="宋体" w:hAnsi="宋体" w:eastAsia="宋体"/>
                <w:szCs w:val="21"/>
                <w:highlight w:val="none"/>
              </w:rPr>
              <w:t>投标文件签字或盖章要求</w:t>
            </w:r>
          </w:p>
        </w:tc>
        <w:tc>
          <w:tcPr>
            <w:tcW w:w="3243" w:type="pct"/>
            <w:tcBorders>
              <w:top w:val="single" w:color="auto" w:sz="4" w:space="0"/>
              <w:left w:val="single" w:color="auto" w:sz="4" w:space="0"/>
              <w:bottom w:val="single" w:color="auto" w:sz="4" w:space="0"/>
              <w:right w:val="single" w:color="auto" w:sz="4" w:space="0"/>
            </w:tcBorders>
            <w:vAlign w:val="center"/>
          </w:tcPr>
          <w:p w14:paraId="2E89BD08">
            <w:pPr>
              <w:topLinePunct/>
              <w:jc w:val="left"/>
              <w:rPr>
                <w:rFonts w:ascii="宋体" w:hAnsi="宋体" w:eastAsia="宋体"/>
                <w:kern w:val="0"/>
                <w:szCs w:val="21"/>
                <w:highlight w:val="none"/>
              </w:rPr>
            </w:pPr>
            <w:r>
              <w:rPr>
                <w:rFonts w:hint="eastAsia" w:ascii="宋体" w:hAnsi="宋体" w:eastAsia="宋体"/>
                <w:kern w:val="0"/>
                <w:szCs w:val="21"/>
                <w:highlight w:val="none"/>
              </w:rPr>
              <w:t>投标（资信）文件中需法定代表人、代理人签字或盖章的，应加盖个人电子印章或在线下完成后扫描上传。投标人应采用单位数字证书，投标文件按招标文件要求在相应位置加盖电子印章。</w:t>
            </w:r>
          </w:p>
          <w:p w14:paraId="3633E912">
            <w:pPr>
              <w:topLinePunct/>
              <w:jc w:val="left"/>
              <w:rPr>
                <w:rFonts w:ascii="宋体" w:hAnsi="宋体" w:eastAsia="宋体"/>
                <w:kern w:val="0"/>
                <w:szCs w:val="21"/>
                <w:highlight w:val="none"/>
              </w:rPr>
            </w:pPr>
            <w:r>
              <w:rPr>
                <w:rFonts w:hint="eastAsia" w:ascii="宋体" w:hAnsi="宋体" w:eastAsia="宋体"/>
                <w:kern w:val="0"/>
                <w:szCs w:val="21"/>
                <w:highlight w:val="none"/>
              </w:rPr>
              <w:t>相关操作详见广州交易集团有限公司（广州公共资源交易中心）网站最新发布的《房屋建筑和市政基础设施工程全流程电子化项目专章》。</w:t>
            </w:r>
          </w:p>
          <w:p w14:paraId="149D8502">
            <w:pPr>
              <w:topLinePunct/>
              <w:jc w:val="left"/>
              <w:rPr>
                <w:rFonts w:ascii="宋体" w:hAnsi="宋体" w:eastAsia="宋体"/>
                <w:kern w:val="0"/>
                <w:szCs w:val="21"/>
                <w:highlight w:val="none"/>
              </w:rPr>
            </w:pPr>
            <w:r>
              <w:rPr>
                <w:rFonts w:hint="eastAsia" w:ascii="宋体" w:hAnsi="宋体" w:eastAsia="宋体"/>
                <w:kern w:val="0"/>
                <w:szCs w:val="21"/>
                <w:highlight w:val="none"/>
              </w:rPr>
              <w:t>注释：投标文件电子文档需要投标人单位盖章的材料，投标人加盖电子印章即可，不得将投标人未对电子文档加盖实物印章作为否决投标的情形。</w:t>
            </w:r>
          </w:p>
        </w:tc>
      </w:tr>
      <w:tr w14:paraId="1902DF3B">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665BFE73">
            <w:pPr>
              <w:jc w:val="center"/>
              <w:rPr>
                <w:rFonts w:ascii="宋体" w:hAnsi="宋体" w:eastAsia="宋体"/>
                <w:szCs w:val="21"/>
                <w:highlight w:val="none"/>
              </w:rPr>
            </w:pPr>
            <w:r>
              <w:rPr>
                <w:rFonts w:hint="eastAsia" w:ascii="宋体" w:hAnsi="宋体" w:eastAsia="宋体"/>
                <w:szCs w:val="21"/>
                <w:highlight w:val="none"/>
              </w:rPr>
              <w:t>4.1.1（B）</w:t>
            </w:r>
          </w:p>
        </w:tc>
        <w:tc>
          <w:tcPr>
            <w:tcW w:w="1117" w:type="pct"/>
            <w:tcBorders>
              <w:top w:val="single" w:color="auto" w:sz="4" w:space="0"/>
              <w:left w:val="single" w:color="auto" w:sz="4" w:space="0"/>
              <w:bottom w:val="single" w:color="auto" w:sz="4" w:space="0"/>
              <w:right w:val="single" w:color="auto" w:sz="4" w:space="0"/>
            </w:tcBorders>
            <w:vAlign w:val="center"/>
          </w:tcPr>
          <w:p w14:paraId="13EF654C">
            <w:pPr>
              <w:jc w:val="center"/>
              <w:rPr>
                <w:rFonts w:ascii="宋体" w:hAnsi="宋体" w:eastAsia="宋体"/>
                <w:szCs w:val="21"/>
                <w:highlight w:val="none"/>
              </w:rPr>
            </w:pPr>
            <w:r>
              <w:rPr>
                <w:rFonts w:hint="eastAsia" w:ascii="宋体" w:hAnsi="宋体" w:eastAsia="宋体"/>
                <w:szCs w:val="21"/>
                <w:highlight w:val="none"/>
              </w:rPr>
              <w:t>投标文件加密要求</w:t>
            </w:r>
          </w:p>
        </w:tc>
        <w:tc>
          <w:tcPr>
            <w:tcW w:w="3243" w:type="pct"/>
            <w:tcBorders>
              <w:top w:val="single" w:color="auto" w:sz="4" w:space="0"/>
              <w:left w:val="single" w:color="auto" w:sz="4" w:space="0"/>
              <w:bottom w:val="single" w:color="auto" w:sz="4" w:space="0"/>
              <w:right w:val="single" w:color="auto" w:sz="4" w:space="0"/>
            </w:tcBorders>
            <w:vAlign w:val="center"/>
          </w:tcPr>
          <w:p w14:paraId="4DC0EC88">
            <w:pPr>
              <w:jc w:val="left"/>
              <w:rPr>
                <w:rFonts w:ascii="宋体" w:hAnsi="宋体" w:eastAsia="宋体"/>
                <w:szCs w:val="21"/>
                <w:highlight w:val="none"/>
              </w:rPr>
            </w:pPr>
            <w:r>
              <w:rPr>
                <w:rFonts w:hint="eastAsia" w:ascii="宋体" w:hAnsi="宋体" w:eastAsia="宋体"/>
                <w:szCs w:val="21"/>
                <w:highlight w:val="none"/>
              </w:rPr>
              <w:t>1.网上递交的电子投标文件须进行加密。具体操作详见《房屋建筑和市政基础设施工程全流程电子化项目专章》。</w:t>
            </w:r>
          </w:p>
          <w:p w14:paraId="5B83FE18">
            <w:pPr>
              <w:topLinePunct/>
              <w:jc w:val="left"/>
              <w:rPr>
                <w:rFonts w:ascii="宋体" w:hAnsi="宋体" w:eastAsia="宋体"/>
                <w:kern w:val="0"/>
                <w:szCs w:val="21"/>
                <w:highlight w:val="none"/>
              </w:rPr>
            </w:pPr>
            <w:r>
              <w:rPr>
                <w:rFonts w:hint="eastAsia" w:ascii="宋体" w:hAnsi="宋体" w:eastAsia="宋体"/>
                <w:szCs w:val="21"/>
                <w:highlight w:val="none"/>
              </w:rPr>
              <w:t>2.未按要求加密的投标文件，交易平台将予以拒收。</w:t>
            </w:r>
          </w:p>
        </w:tc>
      </w:tr>
      <w:tr w14:paraId="4B240028">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2D8253D5">
            <w:pPr>
              <w:jc w:val="center"/>
              <w:rPr>
                <w:rFonts w:ascii="宋体" w:hAnsi="宋体" w:eastAsia="宋体"/>
                <w:b/>
                <w:szCs w:val="21"/>
                <w:highlight w:val="none"/>
              </w:rPr>
            </w:pPr>
            <w:r>
              <w:rPr>
                <w:rFonts w:hint="eastAsia" w:ascii="宋体" w:hAnsi="宋体" w:eastAsia="宋体"/>
                <w:b/>
                <w:szCs w:val="21"/>
                <w:highlight w:val="none"/>
              </w:rPr>
              <w:t>4.1.2</w:t>
            </w:r>
          </w:p>
        </w:tc>
        <w:tc>
          <w:tcPr>
            <w:tcW w:w="1117" w:type="pct"/>
            <w:tcBorders>
              <w:top w:val="single" w:color="auto" w:sz="4" w:space="0"/>
              <w:left w:val="single" w:color="auto" w:sz="4" w:space="0"/>
              <w:bottom w:val="single" w:color="auto" w:sz="4" w:space="0"/>
              <w:right w:val="single" w:color="auto" w:sz="4" w:space="0"/>
            </w:tcBorders>
            <w:vAlign w:val="center"/>
          </w:tcPr>
          <w:p w14:paraId="7AB9FDCD">
            <w:pPr>
              <w:jc w:val="center"/>
              <w:rPr>
                <w:rFonts w:ascii="宋体" w:hAnsi="宋体" w:eastAsia="宋体"/>
                <w:b/>
                <w:szCs w:val="21"/>
                <w:highlight w:val="none"/>
              </w:rPr>
            </w:pPr>
            <w:r>
              <w:rPr>
                <w:rFonts w:hint="eastAsia" w:ascii="宋体" w:hAnsi="宋体" w:eastAsia="宋体"/>
                <w:b/>
                <w:szCs w:val="21"/>
                <w:highlight w:val="none"/>
              </w:rPr>
              <w:t>备用光盘</w:t>
            </w:r>
            <w:r>
              <w:rPr>
                <w:rFonts w:hint="eastAsia" w:ascii="宋体" w:hAnsi="宋体" w:eastAsia="宋体"/>
                <w:b/>
                <w:szCs w:val="21"/>
                <w:highlight w:val="none"/>
                <w:u w:val="single"/>
              </w:rPr>
              <w:t>或U盘</w:t>
            </w:r>
            <w:r>
              <w:rPr>
                <w:rFonts w:hint="eastAsia" w:ascii="宋体" w:hAnsi="宋体" w:eastAsia="宋体"/>
                <w:b/>
                <w:szCs w:val="21"/>
                <w:highlight w:val="none"/>
              </w:rPr>
              <w:t>封套上应载明的信息</w:t>
            </w:r>
          </w:p>
        </w:tc>
        <w:tc>
          <w:tcPr>
            <w:tcW w:w="3243" w:type="pct"/>
            <w:tcBorders>
              <w:top w:val="single" w:color="auto" w:sz="4" w:space="0"/>
              <w:left w:val="single" w:color="auto" w:sz="4" w:space="0"/>
              <w:bottom w:val="single" w:color="auto" w:sz="4" w:space="0"/>
              <w:right w:val="single" w:color="auto" w:sz="4" w:space="0"/>
            </w:tcBorders>
            <w:vAlign w:val="center"/>
          </w:tcPr>
          <w:p w14:paraId="1DF5A9ED">
            <w:pPr>
              <w:topLinePunct/>
              <w:jc w:val="left"/>
              <w:rPr>
                <w:rFonts w:ascii="宋体" w:hAnsi="宋体" w:eastAsia="宋体"/>
                <w:b/>
                <w:kern w:val="0"/>
                <w:szCs w:val="21"/>
                <w:highlight w:val="none"/>
                <w:u w:val="single"/>
              </w:rPr>
            </w:pPr>
            <w:r>
              <w:rPr>
                <w:rFonts w:hint="eastAsia" w:ascii="宋体" w:hAnsi="宋体" w:eastAsia="宋体"/>
                <w:b/>
                <w:kern w:val="0"/>
                <w:szCs w:val="21"/>
                <w:highlight w:val="none"/>
                <w:u w:val="single"/>
              </w:rPr>
              <w:t>如有提交投标文件光盘或U盘备用，封套上应注明如下信息：</w:t>
            </w:r>
          </w:p>
          <w:p w14:paraId="3E0E518D">
            <w:pPr>
              <w:topLinePunct/>
              <w:jc w:val="left"/>
              <w:rPr>
                <w:rFonts w:ascii="宋体" w:hAnsi="宋体" w:eastAsia="宋体"/>
                <w:b/>
                <w:kern w:val="0"/>
                <w:szCs w:val="21"/>
                <w:highlight w:val="none"/>
                <w:u w:val="single"/>
              </w:rPr>
            </w:pPr>
            <w:r>
              <w:rPr>
                <w:rFonts w:hint="eastAsia" w:ascii="宋体" w:hAnsi="宋体" w:eastAsia="宋体"/>
                <w:b/>
                <w:kern w:val="0"/>
                <w:szCs w:val="21"/>
                <w:highlight w:val="none"/>
                <w:u w:val="single"/>
              </w:rPr>
              <w:t>招标人名称：中国大酒店</w:t>
            </w:r>
          </w:p>
          <w:p w14:paraId="47BFDA91">
            <w:pPr>
              <w:topLinePunct/>
              <w:jc w:val="left"/>
              <w:rPr>
                <w:rFonts w:ascii="宋体" w:hAnsi="宋体" w:eastAsia="宋体"/>
                <w:b/>
                <w:kern w:val="0"/>
                <w:szCs w:val="21"/>
                <w:highlight w:val="none"/>
                <w:u w:val="single"/>
              </w:rPr>
            </w:pPr>
            <w:r>
              <w:rPr>
                <w:rFonts w:hint="eastAsia" w:ascii="宋体" w:hAnsi="宋体" w:eastAsia="宋体"/>
                <w:b/>
                <w:kern w:val="0"/>
                <w:szCs w:val="21"/>
                <w:highlight w:val="none"/>
                <w:u w:val="single"/>
              </w:rPr>
              <w:t>招标人地址：广东省广州市越秀区流花路122号</w:t>
            </w:r>
          </w:p>
          <w:p w14:paraId="66318391">
            <w:pPr>
              <w:topLinePunct/>
              <w:jc w:val="left"/>
              <w:rPr>
                <w:rFonts w:ascii="宋体" w:hAnsi="宋体" w:eastAsia="宋体"/>
                <w:b/>
                <w:kern w:val="0"/>
                <w:szCs w:val="21"/>
                <w:highlight w:val="none"/>
                <w:u w:val="single"/>
              </w:rPr>
            </w:pPr>
            <w:r>
              <w:rPr>
                <w:rFonts w:hint="eastAsia" w:ascii="宋体" w:hAnsi="宋体" w:eastAsia="宋体"/>
                <w:b/>
                <w:szCs w:val="21"/>
                <w:highlight w:val="none"/>
                <w:u w:val="single"/>
                <w:lang w:eastAsia="zh-CN"/>
              </w:rPr>
              <w:t>中国大酒店部分客用电梯及相关配套更新</w:t>
            </w:r>
            <w:r>
              <w:rPr>
                <w:rFonts w:hint="eastAsia" w:ascii="宋体" w:hAnsi="宋体" w:eastAsia="宋体"/>
                <w:b/>
                <w:kern w:val="0"/>
                <w:szCs w:val="21"/>
                <w:highlight w:val="none"/>
                <w:u w:val="single"/>
              </w:rPr>
              <w:t>投标文件</w:t>
            </w:r>
          </w:p>
          <w:p w14:paraId="51233E73">
            <w:pPr>
              <w:topLinePunct/>
              <w:jc w:val="left"/>
              <w:rPr>
                <w:rFonts w:ascii="宋体" w:hAnsi="宋体" w:eastAsia="宋体"/>
                <w:b/>
                <w:kern w:val="0"/>
                <w:szCs w:val="21"/>
                <w:highlight w:val="none"/>
                <w:u w:val="single"/>
              </w:rPr>
            </w:pPr>
            <w:r>
              <w:rPr>
                <w:rFonts w:hint="eastAsia" w:ascii="宋体" w:hAnsi="宋体" w:eastAsia="宋体"/>
                <w:b/>
                <w:kern w:val="0"/>
                <w:szCs w:val="21"/>
                <w:highlight w:val="none"/>
                <w:u w:val="single"/>
              </w:rPr>
              <w:t>招标项目编号：      。</w:t>
            </w:r>
          </w:p>
          <w:p w14:paraId="2D24FEE9">
            <w:pPr>
              <w:topLinePunct/>
              <w:jc w:val="left"/>
              <w:rPr>
                <w:rFonts w:ascii="宋体" w:hAnsi="宋体" w:eastAsia="宋体"/>
                <w:kern w:val="0"/>
                <w:szCs w:val="21"/>
                <w:highlight w:val="none"/>
              </w:rPr>
            </w:pPr>
            <w:r>
              <w:rPr>
                <w:rFonts w:hint="eastAsia" w:ascii="宋体" w:hAnsi="宋体" w:eastAsia="宋体"/>
                <w:b/>
                <w:kern w:val="0"/>
                <w:szCs w:val="21"/>
                <w:highlight w:val="none"/>
                <w:u w:val="single"/>
              </w:rPr>
              <w:t>在2025年    月    日    时前不得开启</w:t>
            </w:r>
          </w:p>
        </w:tc>
      </w:tr>
      <w:tr w14:paraId="1CCCE484">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7EE31872">
            <w:pPr>
              <w:jc w:val="center"/>
              <w:rPr>
                <w:rFonts w:ascii="宋体" w:hAnsi="宋体" w:eastAsia="宋体"/>
                <w:szCs w:val="21"/>
                <w:highlight w:val="none"/>
              </w:rPr>
            </w:pPr>
            <w:r>
              <w:rPr>
                <w:rFonts w:hint="eastAsia" w:ascii="宋体" w:hAnsi="宋体" w:eastAsia="宋体"/>
                <w:szCs w:val="21"/>
                <w:highlight w:val="none"/>
              </w:rPr>
              <w:t>4.2.1</w:t>
            </w:r>
          </w:p>
        </w:tc>
        <w:tc>
          <w:tcPr>
            <w:tcW w:w="1117" w:type="pct"/>
            <w:tcBorders>
              <w:top w:val="single" w:color="auto" w:sz="4" w:space="0"/>
              <w:left w:val="single" w:color="auto" w:sz="4" w:space="0"/>
              <w:bottom w:val="single" w:color="auto" w:sz="4" w:space="0"/>
              <w:right w:val="single" w:color="auto" w:sz="4" w:space="0"/>
            </w:tcBorders>
            <w:vAlign w:val="center"/>
          </w:tcPr>
          <w:p w14:paraId="6437F2D9">
            <w:pPr>
              <w:jc w:val="center"/>
              <w:rPr>
                <w:rFonts w:ascii="宋体" w:hAnsi="宋体" w:eastAsia="宋体"/>
                <w:szCs w:val="21"/>
                <w:highlight w:val="none"/>
              </w:rPr>
            </w:pPr>
            <w:r>
              <w:rPr>
                <w:rFonts w:hint="eastAsia" w:ascii="宋体" w:hAnsi="宋体" w:eastAsia="宋体"/>
                <w:szCs w:val="21"/>
                <w:highlight w:val="none"/>
              </w:rPr>
              <w:t>投标截止时间</w:t>
            </w:r>
          </w:p>
        </w:tc>
        <w:tc>
          <w:tcPr>
            <w:tcW w:w="3243" w:type="pct"/>
            <w:tcBorders>
              <w:top w:val="single" w:color="auto" w:sz="4" w:space="0"/>
              <w:left w:val="single" w:color="auto" w:sz="4" w:space="0"/>
              <w:bottom w:val="single" w:color="auto" w:sz="4" w:space="0"/>
              <w:right w:val="single" w:color="auto" w:sz="4" w:space="0"/>
            </w:tcBorders>
            <w:vAlign w:val="center"/>
          </w:tcPr>
          <w:p w14:paraId="6447618F">
            <w:pPr>
              <w:jc w:val="left"/>
              <w:rPr>
                <w:rFonts w:ascii="宋体" w:hAnsi="宋体" w:eastAsia="宋体"/>
                <w:szCs w:val="21"/>
                <w:highlight w:val="none"/>
                <w:u w:val="single"/>
              </w:rPr>
            </w:pPr>
            <w:r>
              <w:rPr>
                <w:rFonts w:hint="eastAsia" w:ascii="宋体" w:hAnsi="宋体" w:eastAsia="宋体"/>
                <w:szCs w:val="21"/>
                <w:highlight w:val="none"/>
                <w:u w:val="single"/>
              </w:rPr>
              <w:t>投标截止时间：2025年   月    日   时   分（北京时间）</w:t>
            </w:r>
          </w:p>
        </w:tc>
      </w:tr>
      <w:tr w14:paraId="436A45B6">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2C6E57FB">
            <w:pPr>
              <w:jc w:val="center"/>
              <w:rPr>
                <w:rFonts w:ascii="宋体" w:hAnsi="宋体" w:eastAsia="宋体"/>
                <w:szCs w:val="21"/>
                <w:highlight w:val="none"/>
              </w:rPr>
            </w:pPr>
            <w:r>
              <w:rPr>
                <w:rFonts w:hint="eastAsia" w:ascii="宋体" w:hAnsi="宋体" w:eastAsia="宋体"/>
                <w:szCs w:val="21"/>
                <w:highlight w:val="none"/>
              </w:rPr>
              <w:t>4.2.2（A）</w:t>
            </w:r>
          </w:p>
        </w:tc>
        <w:tc>
          <w:tcPr>
            <w:tcW w:w="1117" w:type="pct"/>
            <w:tcBorders>
              <w:top w:val="single" w:color="auto" w:sz="4" w:space="0"/>
              <w:left w:val="single" w:color="auto" w:sz="4" w:space="0"/>
              <w:bottom w:val="single" w:color="auto" w:sz="4" w:space="0"/>
              <w:right w:val="single" w:color="auto" w:sz="4" w:space="0"/>
            </w:tcBorders>
            <w:vAlign w:val="center"/>
          </w:tcPr>
          <w:p w14:paraId="70A4D7A9">
            <w:pPr>
              <w:jc w:val="center"/>
              <w:rPr>
                <w:rFonts w:ascii="宋体" w:hAnsi="宋体" w:eastAsia="宋体"/>
                <w:szCs w:val="21"/>
                <w:highlight w:val="none"/>
              </w:rPr>
            </w:pPr>
            <w:r>
              <w:rPr>
                <w:rFonts w:hint="eastAsia" w:ascii="宋体" w:hAnsi="宋体" w:eastAsia="宋体"/>
                <w:szCs w:val="21"/>
                <w:highlight w:val="none"/>
              </w:rPr>
              <w:t>递交投标文件地点</w:t>
            </w:r>
          </w:p>
        </w:tc>
        <w:tc>
          <w:tcPr>
            <w:tcW w:w="3243" w:type="pct"/>
            <w:tcBorders>
              <w:top w:val="single" w:color="auto" w:sz="4" w:space="0"/>
              <w:left w:val="single" w:color="auto" w:sz="4" w:space="0"/>
              <w:bottom w:val="single" w:color="auto" w:sz="4" w:space="0"/>
              <w:right w:val="single" w:color="auto" w:sz="4" w:space="0"/>
            </w:tcBorders>
            <w:vAlign w:val="center"/>
          </w:tcPr>
          <w:p w14:paraId="5E615B92">
            <w:pPr>
              <w:jc w:val="left"/>
              <w:rPr>
                <w:rFonts w:ascii="宋体" w:hAnsi="宋体" w:eastAsia="宋体"/>
                <w:szCs w:val="21"/>
                <w:highlight w:val="none"/>
              </w:rPr>
            </w:pPr>
            <w:r>
              <w:rPr>
                <w:rFonts w:hint="eastAsia" w:ascii="宋体" w:hAnsi="宋体" w:eastAsia="宋体"/>
                <w:szCs w:val="21"/>
                <w:highlight w:val="none"/>
              </w:rPr>
              <w:t>/。</w:t>
            </w:r>
          </w:p>
        </w:tc>
      </w:tr>
      <w:tr w14:paraId="2AC0AB49">
        <w:tblPrEx>
          <w:tblCellMar>
            <w:top w:w="0" w:type="dxa"/>
            <w:left w:w="108" w:type="dxa"/>
            <w:bottom w:w="0" w:type="dxa"/>
            <w:right w:w="108" w:type="dxa"/>
          </w:tblCellMar>
        </w:tblPrEx>
        <w:trPr>
          <w:trHeight w:val="35" w:hRule="atLeast"/>
        </w:trPr>
        <w:tc>
          <w:tcPr>
            <w:tcW w:w="638" w:type="pct"/>
            <w:tcBorders>
              <w:top w:val="single" w:color="auto" w:sz="4" w:space="0"/>
              <w:left w:val="single" w:color="auto" w:sz="4" w:space="0"/>
              <w:bottom w:val="single" w:color="auto" w:sz="4" w:space="0"/>
              <w:right w:val="single" w:color="auto" w:sz="4" w:space="0"/>
            </w:tcBorders>
            <w:vAlign w:val="center"/>
          </w:tcPr>
          <w:p w14:paraId="7F21FF6D">
            <w:pPr>
              <w:jc w:val="center"/>
              <w:rPr>
                <w:rFonts w:ascii="宋体" w:hAnsi="宋体" w:eastAsia="宋体"/>
                <w:szCs w:val="21"/>
                <w:highlight w:val="none"/>
              </w:rPr>
            </w:pPr>
            <w:r>
              <w:rPr>
                <w:rFonts w:hint="eastAsia" w:ascii="宋体" w:hAnsi="宋体" w:eastAsia="宋体"/>
                <w:szCs w:val="21"/>
                <w:highlight w:val="none"/>
              </w:rPr>
              <w:t>4.2.3</w:t>
            </w:r>
          </w:p>
        </w:tc>
        <w:tc>
          <w:tcPr>
            <w:tcW w:w="1117" w:type="pct"/>
            <w:tcBorders>
              <w:top w:val="single" w:color="auto" w:sz="4" w:space="0"/>
              <w:left w:val="single" w:color="auto" w:sz="4" w:space="0"/>
              <w:bottom w:val="single" w:color="auto" w:sz="4" w:space="0"/>
              <w:right w:val="single" w:color="auto" w:sz="4" w:space="0"/>
            </w:tcBorders>
            <w:vAlign w:val="center"/>
          </w:tcPr>
          <w:p w14:paraId="64A76EC6">
            <w:pPr>
              <w:jc w:val="center"/>
              <w:rPr>
                <w:rFonts w:ascii="宋体" w:hAnsi="宋体" w:eastAsia="宋体"/>
                <w:szCs w:val="21"/>
                <w:highlight w:val="none"/>
              </w:rPr>
            </w:pPr>
            <w:r>
              <w:rPr>
                <w:rFonts w:hint="eastAsia" w:ascii="宋体" w:hAnsi="宋体" w:eastAsia="宋体"/>
                <w:szCs w:val="21"/>
                <w:highlight w:val="none"/>
              </w:rPr>
              <w:t>投标文件是否退还</w:t>
            </w:r>
          </w:p>
        </w:tc>
        <w:tc>
          <w:tcPr>
            <w:tcW w:w="3243" w:type="pct"/>
            <w:tcBorders>
              <w:top w:val="single" w:color="auto" w:sz="4" w:space="0"/>
              <w:left w:val="single" w:color="auto" w:sz="4" w:space="0"/>
              <w:bottom w:val="single" w:color="auto" w:sz="4" w:space="0"/>
              <w:right w:val="single" w:color="auto" w:sz="4" w:space="0"/>
            </w:tcBorders>
            <w:vAlign w:val="center"/>
          </w:tcPr>
          <w:p w14:paraId="390BD22D">
            <w:pPr>
              <w:topLinePunct/>
              <w:jc w:val="left"/>
              <w:rPr>
                <w:rFonts w:ascii="宋体" w:hAnsi="宋体" w:eastAsia="宋体"/>
                <w:kern w:val="0"/>
                <w:szCs w:val="21"/>
                <w:highlight w:val="none"/>
              </w:rPr>
            </w:pPr>
            <w:r>
              <w:rPr>
                <w:rFonts w:hint="eastAsia" w:ascii="宋体" w:hAnsi="宋体" w:eastAsia="宋体"/>
                <w:kern w:val="0"/>
                <w:szCs w:val="21"/>
                <w:highlight w:val="none"/>
              </w:rPr>
              <w:t>■否</w:t>
            </w:r>
          </w:p>
          <w:p w14:paraId="00354E6E">
            <w:pPr>
              <w:topLinePunct/>
              <w:jc w:val="left"/>
              <w:rPr>
                <w:rFonts w:ascii="宋体" w:hAnsi="宋体" w:eastAsia="宋体"/>
                <w:kern w:val="0"/>
                <w:szCs w:val="21"/>
                <w:highlight w:val="none"/>
              </w:rPr>
            </w:pPr>
            <w:r>
              <w:rPr>
                <w:rFonts w:hint="eastAsia" w:ascii="宋体" w:hAnsi="宋体" w:eastAsia="宋体"/>
                <w:kern w:val="0"/>
                <w:szCs w:val="21"/>
                <w:highlight w:val="none"/>
              </w:rPr>
              <w:t>□是，退还时间：</w:t>
            </w:r>
          </w:p>
        </w:tc>
      </w:tr>
      <w:tr w14:paraId="5D126AD1">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nil"/>
              <w:right w:val="single" w:color="auto" w:sz="4" w:space="0"/>
            </w:tcBorders>
            <w:vAlign w:val="center"/>
          </w:tcPr>
          <w:p w14:paraId="6610FFEE">
            <w:pPr>
              <w:jc w:val="center"/>
              <w:rPr>
                <w:rFonts w:ascii="宋体" w:hAnsi="宋体" w:eastAsia="宋体"/>
                <w:szCs w:val="21"/>
                <w:highlight w:val="none"/>
              </w:rPr>
            </w:pPr>
            <w:r>
              <w:rPr>
                <w:rFonts w:hint="eastAsia" w:ascii="宋体" w:hAnsi="宋体" w:eastAsia="宋体"/>
                <w:szCs w:val="21"/>
                <w:highlight w:val="none"/>
              </w:rPr>
              <w:t>5.1（A）</w:t>
            </w:r>
          </w:p>
        </w:tc>
        <w:tc>
          <w:tcPr>
            <w:tcW w:w="1117" w:type="pct"/>
            <w:tcBorders>
              <w:top w:val="single" w:color="auto" w:sz="4" w:space="0"/>
              <w:left w:val="single" w:color="auto" w:sz="4" w:space="0"/>
              <w:bottom w:val="nil"/>
              <w:right w:val="single" w:color="auto" w:sz="4" w:space="0"/>
            </w:tcBorders>
            <w:vAlign w:val="center"/>
          </w:tcPr>
          <w:p w14:paraId="7F383142">
            <w:pPr>
              <w:jc w:val="center"/>
              <w:rPr>
                <w:rFonts w:ascii="宋体" w:hAnsi="宋体" w:eastAsia="宋体"/>
                <w:szCs w:val="21"/>
                <w:highlight w:val="none"/>
              </w:rPr>
            </w:pPr>
            <w:r>
              <w:rPr>
                <w:rFonts w:hint="eastAsia" w:ascii="宋体" w:hAnsi="宋体" w:eastAsia="宋体"/>
                <w:szCs w:val="21"/>
                <w:highlight w:val="none"/>
              </w:rPr>
              <w:t>开标时间和地点</w:t>
            </w:r>
          </w:p>
        </w:tc>
        <w:tc>
          <w:tcPr>
            <w:tcW w:w="3243" w:type="pct"/>
            <w:tcBorders>
              <w:top w:val="single" w:color="auto" w:sz="4" w:space="0"/>
              <w:left w:val="single" w:color="auto" w:sz="4" w:space="0"/>
              <w:bottom w:val="nil"/>
              <w:right w:val="single" w:color="auto" w:sz="4" w:space="0"/>
            </w:tcBorders>
            <w:vAlign w:val="center"/>
          </w:tcPr>
          <w:p w14:paraId="09FE5145">
            <w:pPr>
              <w:jc w:val="left"/>
              <w:rPr>
                <w:rFonts w:ascii="宋体" w:hAnsi="宋体" w:eastAsia="宋体"/>
                <w:szCs w:val="21"/>
                <w:highlight w:val="none"/>
              </w:rPr>
            </w:pPr>
            <w:r>
              <w:rPr>
                <w:rFonts w:hint="eastAsia" w:ascii="宋体" w:hAnsi="宋体" w:eastAsia="宋体"/>
                <w:szCs w:val="21"/>
                <w:highlight w:val="none"/>
              </w:rPr>
              <w:t>/。</w:t>
            </w:r>
          </w:p>
        </w:tc>
      </w:tr>
      <w:tr w14:paraId="52B712A9">
        <w:tblPrEx>
          <w:tblCellMar>
            <w:top w:w="0" w:type="dxa"/>
            <w:left w:w="108" w:type="dxa"/>
            <w:bottom w:w="0" w:type="dxa"/>
            <w:right w:w="108" w:type="dxa"/>
          </w:tblCellMar>
        </w:tblPrEx>
        <w:trPr>
          <w:trHeight w:val="133" w:hRule="atLeast"/>
        </w:trPr>
        <w:tc>
          <w:tcPr>
            <w:tcW w:w="638" w:type="pct"/>
            <w:tcBorders>
              <w:top w:val="single" w:color="auto" w:sz="4" w:space="0"/>
              <w:left w:val="single" w:color="auto" w:sz="4" w:space="0"/>
              <w:bottom w:val="nil"/>
              <w:right w:val="single" w:color="auto" w:sz="4" w:space="0"/>
            </w:tcBorders>
            <w:vAlign w:val="center"/>
          </w:tcPr>
          <w:p w14:paraId="11FF6D7E">
            <w:pPr>
              <w:jc w:val="center"/>
              <w:rPr>
                <w:rFonts w:ascii="宋体" w:hAnsi="宋体" w:eastAsia="宋体"/>
                <w:szCs w:val="21"/>
                <w:highlight w:val="none"/>
              </w:rPr>
            </w:pPr>
            <w:r>
              <w:rPr>
                <w:rFonts w:hint="eastAsia" w:ascii="宋体" w:hAnsi="宋体" w:eastAsia="宋体"/>
                <w:szCs w:val="21"/>
                <w:highlight w:val="none"/>
              </w:rPr>
              <w:t>5.1（B）（新增）</w:t>
            </w:r>
          </w:p>
        </w:tc>
        <w:tc>
          <w:tcPr>
            <w:tcW w:w="1117" w:type="pct"/>
            <w:tcBorders>
              <w:top w:val="single" w:color="auto" w:sz="4" w:space="0"/>
              <w:left w:val="single" w:color="auto" w:sz="4" w:space="0"/>
              <w:bottom w:val="nil"/>
              <w:right w:val="single" w:color="auto" w:sz="4" w:space="0"/>
            </w:tcBorders>
            <w:vAlign w:val="center"/>
          </w:tcPr>
          <w:p w14:paraId="208C3075">
            <w:pPr>
              <w:jc w:val="center"/>
              <w:rPr>
                <w:rFonts w:ascii="宋体" w:hAnsi="宋体" w:eastAsia="宋体"/>
                <w:szCs w:val="21"/>
                <w:highlight w:val="none"/>
              </w:rPr>
            </w:pPr>
            <w:r>
              <w:rPr>
                <w:rFonts w:hint="eastAsia" w:ascii="宋体" w:hAnsi="宋体" w:eastAsia="宋体"/>
                <w:szCs w:val="21"/>
                <w:highlight w:val="none"/>
              </w:rPr>
              <w:t>开标时间和地点</w:t>
            </w:r>
          </w:p>
        </w:tc>
        <w:tc>
          <w:tcPr>
            <w:tcW w:w="3243" w:type="pct"/>
            <w:tcBorders>
              <w:top w:val="single" w:color="auto" w:sz="4" w:space="0"/>
              <w:left w:val="single" w:color="auto" w:sz="4" w:space="0"/>
              <w:bottom w:val="nil"/>
              <w:right w:val="single" w:color="auto" w:sz="4" w:space="0"/>
            </w:tcBorders>
            <w:vAlign w:val="center"/>
          </w:tcPr>
          <w:p w14:paraId="621526D1">
            <w:pPr>
              <w:jc w:val="left"/>
              <w:rPr>
                <w:rFonts w:ascii="宋体" w:hAnsi="宋体" w:eastAsia="宋体"/>
                <w:szCs w:val="21"/>
                <w:highlight w:val="none"/>
              </w:rPr>
            </w:pPr>
            <w:r>
              <w:rPr>
                <w:rFonts w:hint="eastAsia" w:ascii="宋体" w:hAnsi="宋体" w:eastAsia="宋体"/>
                <w:szCs w:val="21"/>
                <w:highlight w:val="none"/>
              </w:rPr>
              <w:t>开标时间：同投标截止时间</w:t>
            </w:r>
          </w:p>
          <w:p w14:paraId="1D541C51">
            <w:pPr>
              <w:jc w:val="left"/>
              <w:rPr>
                <w:rFonts w:ascii="宋体" w:hAnsi="宋体" w:eastAsia="宋体"/>
                <w:szCs w:val="21"/>
                <w:highlight w:val="none"/>
                <w:u w:val="single"/>
              </w:rPr>
            </w:pPr>
            <w:r>
              <w:rPr>
                <w:rFonts w:hint="eastAsia" w:ascii="宋体" w:hAnsi="宋体" w:eastAsia="宋体"/>
                <w:szCs w:val="21"/>
                <w:highlight w:val="none"/>
              </w:rPr>
              <w:t>开标地点：具体时间和地点可以到广州交易集团有限公司（广州公共资源交易中心）交易平台“建设工程→项目查询（日程安排、答疑纪要）”输入本“项目编号”或“项目名称”进行查询。</w:t>
            </w:r>
          </w:p>
        </w:tc>
      </w:tr>
      <w:tr w14:paraId="213DDE3D">
        <w:tblPrEx>
          <w:tblCellMar>
            <w:top w:w="0" w:type="dxa"/>
            <w:left w:w="108" w:type="dxa"/>
            <w:bottom w:w="0" w:type="dxa"/>
            <w:right w:w="108" w:type="dxa"/>
          </w:tblCellMar>
        </w:tblPrEx>
        <w:trPr>
          <w:trHeight w:val="93" w:hRule="atLeast"/>
        </w:trPr>
        <w:tc>
          <w:tcPr>
            <w:tcW w:w="638" w:type="pct"/>
            <w:tcBorders>
              <w:top w:val="single" w:color="auto" w:sz="4" w:space="0"/>
              <w:left w:val="single" w:color="auto" w:sz="4" w:space="0"/>
              <w:bottom w:val="nil"/>
              <w:right w:val="single" w:color="auto" w:sz="4" w:space="0"/>
            </w:tcBorders>
            <w:vAlign w:val="center"/>
          </w:tcPr>
          <w:p w14:paraId="1EAE0A44">
            <w:pPr>
              <w:jc w:val="center"/>
              <w:rPr>
                <w:rFonts w:ascii="宋体" w:hAnsi="宋体" w:eastAsia="宋体"/>
                <w:szCs w:val="21"/>
                <w:highlight w:val="none"/>
              </w:rPr>
            </w:pPr>
            <w:r>
              <w:rPr>
                <w:rFonts w:hint="eastAsia" w:ascii="宋体" w:hAnsi="宋体" w:eastAsia="宋体"/>
                <w:szCs w:val="21"/>
                <w:highlight w:val="none"/>
              </w:rPr>
              <w:t>5.2（4）（A）</w:t>
            </w:r>
          </w:p>
        </w:tc>
        <w:tc>
          <w:tcPr>
            <w:tcW w:w="1117" w:type="pct"/>
            <w:tcBorders>
              <w:top w:val="single" w:color="auto" w:sz="4" w:space="0"/>
              <w:left w:val="single" w:color="auto" w:sz="4" w:space="0"/>
              <w:bottom w:val="nil"/>
              <w:right w:val="single" w:color="auto" w:sz="4" w:space="0"/>
            </w:tcBorders>
            <w:vAlign w:val="center"/>
          </w:tcPr>
          <w:p w14:paraId="6982DDFA">
            <w:pPr>
              <w:jc w:val="center"/>
              <w:rPr>
                <w:rFonts w:ascii="宋体" w:hAnsi="宋体" w:eastAsia="宋体"/>
                <w:szCs w:val="21"/>
                <w:highlight w:val="none"/>
              </w:rPr>
            </w:pPr>
            <w:r>
              <w:rPr>
                <w:rFonts w:hint="eastAsia" w:ascii="宋体" w:hAnsi="宋体" w:eastAsia="宋体"/>
                <w:szCs w:val="21"/>
                <w:highlight w:val="none"/>
              </w:rPr>
              <w:t>开标程序</w:t>
            </w:r>
          </w:p>
        </w:tc>
        <w:tc>
          <w:tcPr>
            <w:tcW w:w="3243" w:type="pct"/>
            <w:tcBorders>
              <w:top w:val="single" w:color="auto" w:sz="4" w:space="0"/>
              <w:left w:val="single" w:color="auto" w:sz="4" w:space="0"/>
              <w:bottom w:val="nil"/>
              <w:right w:val="single" w:color="auto" w:sz="4" w:space="0"/>
            </w:tcBorders>
            <w:vAlign w:val="center"/>
          </w:tcPr>
          <w:p w14:paraId="5125DAC7">
            <w:pPr>
              <w:jc w:val="left"/>
              <w:rPr>
                <w:rFonts w:ascii="宋体" w:hAnsi="宋体" w:eastAsia="宋体"/>
                <w:szCs w:val="21"/>
                <w:highlight w:val="none"/>
              </w:rPr>
            </w:pPr>
            <w:r>
              <w:rPr>
                <w:rFonts w:hint="eastAsia" w:ascii="宋体" w:hAnsi="宋体" w:eastAsia="宋体"/>
                <w:szCs w:val="21"/>
                <w:highlight w:val="none"/>
              </w:rPr>
              <w:t>/</w:t>
            </w:r>
          </w:p>
        </w:tc>
      </w:tr>
      <w:tr w14:paraId="2849991D">
        <w:tblPrEx>
          <w:tblCellMar>
            <w:top w:w="0" w:type="dxa"/>
            <w:left w:w="108" w:type="dxa"/>
            <w:bottom w:w="0" w:type="dxa"/>
            <w:right w:w="108" w:type="dxa"/>
          </w:tblCellMar>
        </w:tblPrEx>
        <w:trPr>
          <w:trHeight w:val="93" w:hRule="atLeast"/>
        </w:trPr>
        <w:tc>
          <w:tcPr>
            <w:tcW w:w="638" w:type="pct"/>
            <w:tcBorders>
              <w:top w:val="single" w:color="auto" w:sz="4" w:space="0"/>
              <w:left w:val="single" w:color="auto" w:sz="4" w:space="0"/>
              <w:bottom w:val="nil"/>
              <w:right w:val="single" w:color="auto" w:sz="4" w:space="0"/>
            </w:tcBorders>
            <w:vAlign w:val="center"/>
          </w:tcPr>
          <w:p w14:paraId="3D8372EC">
            <w:pPr>
              <w:jc w:val="center"/>
              <w:rPr>
                <w:rFonts w:ascii="宋体" w:hAnsi="宋体" w:eastAsia="宋体"/>
                <w:szCs w:val="21"/>
                <w:highlight w:val="none"/>
              </w:rPr>
            </w:pPr>
            <w:r>
              <w:rPr>
                <w:rFonts w:hint="eastAsia" w:ascii="宋体" w:hAnsi="宋体" w:eastAsia="宋体"/>
                <w:szCs w:val="21"/>
                <w:highlight w:val="none"/>
              </w:rPr>
              <w:t>5.2（B）(新增)</w:t>
            </w:r>
          </w:p>
        </w:tc>
        <w:tc>
          <w:tcPr>
            <w:tcW w:w="1117" w:type="pct"/>
            <w:tcBorders>
              <w:top w:val="single" w:color="auto" w:sz="4" w:space="0"/>
              <w:left w:val="single" w:color="auto" w:sz="4" w:space="0"/>
              <w:bottom w:val="nil"/>
              <w:right w:val="single" w:color="auto" w:sz="4" w:space="0"/>
            </w:tcBorders>
            <w:vAlign w:val="center"/>
          </w:tcPr>
          <w:p w14:paraId="0DBBC38B">
            <w:pPr>
              <w:jc w:val="center"/>
              <w:rPr>
                <w:rFonts w:ascii="宋体" w:hAnsi="宋体" w:eastAsia="宋体"/>
                <w:szCs w:val="21"/>
                <w:highlight w:val="none"/>
              </w:rPr>
            </w:pPr>
            <w:r>
              <w:rPr>
                <w:rFonts w:hint="eastAsia" w:ascii="宋体" w:hAnsi="宋体" w:eastAsia="宋体"/>
                <w:szCs w:val="21"/>
                <w:highlight w:val="none"/>
              </w:rPr>
              <w:t>开标程序</w:t>
            </w:r>
          </w:p>
        </w:tc>
        <w:tc>
          <w:tcPr>
            <w:tcW w:w="3243" w:type="pct"/>
            <w:tcBorders>
              <w:top w:val="single" w:color="auto" w:sz="4" w:space="0"/>
              <w:left w:val="single" w:color="auto" w:sz="4" w:space="0"/>
              <w:bottom w:val="nil"/>
              <w:right w:val="single" w:color="auto" w:sz="4" w:space="0"/>
            </w:tcBorders>
            <w:vAlign w:val="center"/>
          </w:tcPr>
          <w:p w14:paraId="753F6E8B">
            <w:pPr>
              <w:jc w:val="left"/>
              <w:rPr>
                <w:rFonts w:ascii="宋体" w:hAnsi="宋体" w:eastAsia="宋体"/>
                <w:szCs w:val="21"/>
                <w:highlight w:val="none"/>
              </w:rPr>
            </w:pPr>
            <w:r>
              <w:rPr>
                <w:rFonts w:hint="eastAsia" w:ascii="宋体" w:hAnsi="宋体" w:eastAsia="宋体"/>
                <w:szCs w:val="21"/>
                <w:highlight w:val="none"/>
              </w:rPr>
              <w:t>1、在投标截止时间后1小时内，投标人通过递交投标文件的交易平台对已递交的电子投标文件进行解密。投标人完成解密后，再由招标人进行解密。解密完成后，公布招标项目名称、投标人名称等相关信息。未在规定时间内解密的投标文件不参与开标、评标。</w:t>
            </w:r>
          </w:p>
          <w:p w14:paraId="1EF21945">
            <w:pPr>
              <w:jc w:val="left"/>
              <w:rPr>
                <w:rFonts w:ascii="宋体" w:hAnsi="宋体" w:eastAsia="宋体"/>
                <w:szCs w:val="21"/>
                <w:highlight w:val="none"/>
              </w:rPr>
            </w:pPr>
            <w:r>
              <w:rPr>
                <w:rFonts w:hint="eastAsia" w:ascii="宋体" w:hAnsi="宋体" w:eastAsia="宋体"/>
                <w:szCs w:val="21"/>
                <w:highlight w:val="none"/>
              </w:rPr>
              <w:t>2、截标后，开标开始时间因故推迟的，相关评标信息仍以原定的开标开始时间的信息为准。</w:t>
            </w:r>
          </w:p>
          <w:p w14:paraId="0E2BE69C">
            <w:pPr>
              <w:jc w:val="left"/>
              <w:rPr>
                <w:rFonts w:ascii="宋体" w:hAnsi="宋体" w:eastAsia="宋体"/>
                <w:szCs w:val="21"/>
                <w:highlight w:val="none"/>
              </w:rPr>
            </w:pPr>
            <w:r>
              <w:rPr>
                <w:rFonts w:hint="eastAsia" w:ascii="宋体" w:hAnsi="宋体" w:eastAsia="宋体"/>
                <w:szCs w:val="21"/>
                <w:highlight w:val="none"/>
              </w:rPr>
              <w:t>3、备用光盘的读取按10.6的规定执行。</w:t>
            </w:r>
          </w:p>
          <w:p w14:paraId="69FEDE90">
            <w:pPr>
              <w:jc w:val="left"/>
              <w:rPr>
                <w:rFonts w:ascii="宋体" w:hAnsi="宋体" w:eastAsia="宋体"/>
                <w:szCs w:val="21"/>
                <w:highlight w:val="none"/>
              </w:rPr>
            </w:pPr>
            <w:r>
              <w:rPr>
                <w:rFonts w:hint="eastAsia" w:ascii="宋体" w:hAnsi="宋体" w:eastAsia="宋体"/>
                <w:szCs w:val="21"/>
                <w:highlight w:val="none"/>
              </w:rPr>
              <w:t>4、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658A5229">
            <w:pPr>
              <w:jc w:val="left"/>
              <w:rPr>
                <w:rFonts w:ascii="宋体" w:hAnsi="宋体" w:eastAsia="宋体"/>
                <w:szCs w:val="21"/>
                <w:highlight w:val="none"/>
              </w:rPr>
            </w:pPr>
            <w:r>
              <w:rPr>
                <w:rFonts w:hint="eastAsia" w:ascii="宋体" w:hAnsi="宋体" w:eastAsia="宋体"/>
                <w:szCs w:val="21"/>
                <w:highlight w:val="none"/>
              </w:rPr>
              <w:t>5、开标方式采用电子开标和现场开标两种模式，投标人可选择在开标室参与开标或准时在线参加开标，也可不参加开标。参加在线开标的投标人登录交易平台实时查看开标、唱标情况。交易平台生成开标记录并向社会公众公布。投标人选择参加在线开标，具体按照交易平台相关指南进行操作。详见：《建设工程全流程电子化项目操作指南（适用于投标人）》。</w:t>
            </w:r>
          </w:p>
          <w:p w14:paraId="2644B686">
            <w:pPr>
              <w:jc w:val="left"/>
              <w:rPr>
                <w:rFonts w:ascii="宋体" w:hAnsi="宋体" w:eastAsia="宋体"/>
                <w:szCs w:val="21"/>
                <w:highlight w:val="none"/>
              </w:rPr>
            </w:pPr>
            <w:r>
              <w:rPr>
                <w:rFonts w:hint="eastAsia" w:ascii="宋体" w:hAnsi="宋体" w:eastAsia="宋体"/>
                <w:szCs w:val="21"/>
                <w:highlight w:val="none"/>
              </w:rPr>
              <w:t>6、参加现场开标的投标人对开标结果有异议的，应当在开标现场提出，招标人应当当场作出答复，并制作记录。</w:t>
            </w:r>
          </w:p>
          <w:p w14:paraId="557050C4">
            <w:pPr>
              <w:jc w:val="left"/>
              <w:rPr>
                <w:rFonts w:ascii="宋体" w:hAnsi="宋体" w:eastAsia="宋体"/>
                <w:szCs w:val="21"/>
                <w:highlight w:val="none"/>
              </w:rPr>
            </w:pPr>
            <w:r>
              <w:rPr>
                <w:rFonts w:hint="eastAsia" w:ascii="宋体" w:hAnsi="宋体" w:eastAsia="宋体"/>
                <w:szCs w:val="21"/>
                <w:highlight w:val="none"/>
              </w:rPr>
              <w:t>7、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4105DABF">
            <w:pPr>
              <w:jc w:val="left"/>
              <w:rPr>
                <w:rFonts w:ascii="宋体" w:hAnsi="宋体" w:eastAsia="宋体"/>
                <w:szCs w:val="21"/>
                <w:highlight w:val="none"/>
              </w:rPr>
            </w:pPr>
            <w:r>
              <w:rPr>
                <w:rFonts w:hint="eastAsia" w:ascii="宋体" w:hAnsi="宋体" w:eastAsia="宋体"/>
                <w:szCs w:val="21"/>
                <w:highlight w:val="none"/>
              </w:rPr>
              <w:t>8、投标人未参加开标或在规定的时间内未提出异议的，视为对开标无异议。</w:t>
            </w:r>
          </w:p>
          <w:p w14:paraId="10FEE938">
            <w:pPr>
              <w:jc w:val="left"/>
              <w:rPr>
                <w:rFonts w:ascii="宋体" w:hAnsi="宋体" w:eastAsia="宋体"/>
                <w:szCs w:val="21"/>
                <w:highlight w:val="none"/>
              </w:rPr>
            </w:pPr>
            <w:r>
              <w:rPr>
                <w:rFonts w:hint="eastAsia" w:ascii="宋体" w:hAnsi="宋体" w:eastAsia="宋体"/>
                <w:szCs w:val="21"/>
                <w:highlight w:val="none"/>
              </w:rPr>
              <w:t>9、开标时，</w:t>
            </w:r>
            <w:r>
              <w:rPr>
                <w:rFonts w:hint="eastAsia" w:ascii="宋体" w:hAnsi="宋体" w:eastAsia="宋体"/>
                <w:color w:val="FF0000"/>
                <w:szCs w:val="21"/>
                <w:highlight w:val="none"/>
                <w:lang w:val="en-US" w:eastAsia="zh-CN"/>
              </w:rPr>
              <w:t>本项目</w:t>
            </w:r>
            <w:r>
              <w:rPr>
                <w:rFonts w:hint="eastAsia" w:ascii="宋体" w:hAnsi="宋体" w:eastAsia="宋体"/>
                <w:szCs w:val="21"/>
                <w:highlight w:val="none"/>
              </w:rPr>
              <w:t>两个（含两个）以上的投标人加密打包投标文件电脑机器特征码一致的，不参与下一程序，并由评标委员会否决其投标。</w:t>
            </w:r>
          </w:p>
        </w:tc>
      </w:tr>
      <w:tr w14:paraId="427438CB">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6C8560C3">
            <w:pPr>
              <w:jc w:val="center"/>
              <w:rPr>
                <w:rFonts w:ascii="宋体" w:hAnsi="宋体" w:eastAsia="宋体"/>
                <w:szCs w:val="21"/>
                <w:highlight w:val="none"/>
              </w:rPr>
            </w:pPr>
            <w:r>
              <w:rPr>
                <w:rFonts w:hint="eastAsia" w:ascii="宋体" w:hAnsi="宋体" w:eastAsia="宋体"/>
                <w:szCs w:val="21"/>
                <w:highlight w:val="none"/>
              </w:rPr>
              <w:t>6.1.1</w:t>
            </w:r>
          </w:p>
        </w:tc>
        <w:tc>
          <w:tcPr>
            <w:tcW w:w="1117" w:type="pct"/>
            <w:tcBorders>
              <w:top w:val="single" w:color="auto" w:sz="4" w:space="0"/>
              <w:left w:val="single" w:color="auto" w:sz="4" w:space="0"/>
              <w:bottom w:val="single" w:color="auto" w:sz="4" w:space="0"/>
              <w:right w:val="single" w:color="auto" w:sz="4" w:space="0"/>
            </w:tcBorders>
            <w:vAlign w:val="center"/>
          </w:tcPr>
          <w:p w14:paraId="4AACAB7A">
            <w:pPr>
              <w:jc w:val="center"/>
              <w:rPr>
                <w:rFonts w:ascii="宋体" w:hAnsi="宋体" w:eastAsia="宋体"/>
                <w:szCs w:val="21"/>
                <w:highlight w:val="none"/>
              </w:rPr>
            </w:pPr>
            <w:r>
              <w:rPr>
                <w:rFonts w:hint="eastAsia" w:ascii="宋体" w:hAnsi="宋体" w:eastAsia="宋体"/>
                <w:szCs w:val="21"/>
                <w:highlight w:val="none"/>
              </w:rPr>
              <w:t>评标委员会的组建</w:t>
            </w:r>
          </w:p>
        </w:tc>
        <w:tc>
          <w:tcPr>
            <w:tcW w:w="3243" w:type="pct"/>
            <w:tcBorders>
              <w:top w:val="single" w:color="auto" w:sz="4" w:space="0"/>
              <w:left w:val="single" w:color="auto" w:sz="4" w:space="0"/>
              <w:bottom w:val="single" w:color="auto" w:sz="4" w:space="0"/>
              <w:right w:val="single" w:color="auto" w:sz="4" w:space="0"/>
            </w:tcBorders>
            <w:vAlign w:val="center"/>
          </w:tcPr>
          <w:p w14:paraId="0B770695">
            <w:pPr>
              <w:jc w:val="left"/>
              <w:rPr>
                <w:rFonts w:ascii="宋体" w:hAnsi="宋体" w:eastAsia="宋体"/>
                <w:szCs w:val="21"/>
                <w:highlight w:val="none"/>
              </w:rPr>
            </w:pPr>
            <w:r>
              <w:rPr>
                <w:rFonts w:hint="eastAsia" w:ascii="宋体" w:hAnsi="宋体" w:eastAsia="宋体"/>
                <w:szCs w:val="21"/>
                <w:highlight w:val="none"/>
                <w:u w:val="single"/>
              </w:rPr>
              <w:t>评标委员会由招标人依法组建</w:t>
            </w:r>
            <w:r>
              <w:rPr>
                <w:rFonts w:hint="eastAsia" w:ascii="宋体" w:hAnsi="宋体" w:eastAsia="宋体"/>
                <w:szCs w:val="21"/>
                <w:highlight w:val="none"/>
              </w:rPr>
              <w:t>。</w:t>
            </w:r>
          </w:p>
        </w:tc>
      </w:tr>
      <w:tr w14:paraId="7E3FB869">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65313870">
            <w:pPr>
              <w:jc w:val="center"/>
              <w:rPr>
                <w:rFonts w:ascii="宋体" w:hAnsi="宋体" w:eastAsia="宋体"/>
                <w:szCs w:val="21"/>
                <w:highlight w:val="none"/>
              </w:rPr>
            </w:pPr>
            <w:r>
              <w:rPr>
                <w:rFonts w:hint="eastAsia" w:ascii="宋体" w:hAnsi="宋体" w:eastAsia="宋体"/>
                <w:szCs w:val="21"/>
                <w:highlight w:val="none"/>
              </w:rPr>
              <w:t>6.3.2</w:t>
            </w:r>
          </w:p>
        </w:tc>
        <w:tc>
          <w:tcPr>
            <w:tcW w:w="1117" w:type="pct"/>
            <w:tcBorders>
              <w:top w:val="single" w:color="auto" w:sz="4" w:space="0"/>
              <w:left w:val="single" w:color="auto" w:sz="4" w:space="0"/>
              <w:bottom w:val="single" w:color="auto" w:sz="4" w:space="0"/>
              <w:right w:val="single" w:color="auto" w:sz="4" w:space="0"/>
            </w:tcBorders>
            <w:vAlign w:val="center"/>
          </w:tcPr>
          <w:p w14:paraId="5C151A6E">
            <w:pPr>
              <w:jc w:val="center"/>
              <w:rPr>
                <w:rFonts w:ascii="宋体" w:hAnsi="宋体" w:eastAsia="宋体"/>
                <w:szCs w:val="21"/>
                <w:highlight w:val="none"/>
              </w:rPr>
            </w:pPr>
            <w:r>
              <w:rPr>
                <w:rFonts w:hint="eastAsia" w:ascii="宋体" w:hAnsi="宋体" w:eastAsia="宋体"/>
                <w:szCs w:val="21"/>
                <w:highlight w:val="none"/>
              </w:rPr>
              <w:t>评标委员会推荐中标候选人的人数</w:t>
            </w:r>
          </w:p>
        </w:tc>
        <w:tc>
          <w:tcPr>
            <w:tcW w:w="3243" w:type="pct"/>
            <w:tcBorders>
              <w:top w:val="single" w:color="auto" w:sz="4" w:space="0"/>
              <w:left w:val="single" w:color="auto" w:sz="4" w:space="0"/>
              <w:bottom w:val="single" w:color="auto" w:sz="4" w:space="0"/>
              <w:right w:val="single" w:color="auto" w:sz="4" w:space="0"/>
            </w:tcBorders>
            <w:vAlign w:val="center"/>
          </w:tcPr>
          <w:p w14:paraId="02C4D8A5">
            <w:pPr>
              <w:rPr>
                <w:rFonts w:ascii="宋体" w:hAnsi="宋体" w:eastAsia="宋体"/>
                <w:szCs w:val="21"/>
                <w:highlight w:val="none"/>
              </w:rPr>
            </w:pPr>
            <w:r>
              <w:rPr>
                <w:rFonts w:hint="eastAsia" w:ascii="宋体" w:hAnsi="宋体" w:eastAsia="宋体"/>
                <w:szCs w:val="21"/>
                <w:highlight w:val="none"/>
              </w:rPr>
              <w:t>推荐中标候选人3人</w:t>
            </w:r>
          </w:p>
        </w:tc>
      </w:tr>
      <w:tr w14:paraId="25CD88CA">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55436BA7">
            <w:pPr>
              <w:jc w:val="center"/>
              <w:rPr>
                <w:rFonts w:ascii="宋体" w:hAnsi="宋体" w:eastAsia="宋体"/>
                <w:szCs w:val="21"/>
                <w:highlight w:val="none"/>
              </w:rPr>
            </w:pPr>
            <w:r>
              <w:rPr>
                <w:rFonts w:hint="eastAsia" w:ascii="宋体" w:hAnsi="宋体" w:eastAsia="宋体"/>
                <w:szCs w:val="21"/>
                <w:highlight w:val="none"/>
              </w:rPr>
              <w:t>7.1</w:t>
            </w:r>
          </w:p>
        </w:tc>
        <w:tc>
          <w:tcPr>
            <w:tcW w:w="1117" w:type="pct"/>
            <w:tcBorders>
              <w:top w:val="single" w:color="auto" w:sz="4" w:space="0"/>
              <w:left w:val="single" w:color="auto" w:sz="4" w:space="0"/>
              <w:bottom w:val="single" w:color="auto" w:sz="4" w:space="0"/>
              <w:right w:val="single" w:color="auto" w:sz="4" w:space="0"/>
            </w:tcBorders>
            <w:vAlign w:val="center"/>
          </w:tcPr>
          <w:p w14:paraId="6B726D5C">
            <w:pPr>
              <w:jc w:val="center"/>
              <w:rPr>
                <w:rFonts w:ascii="宋体" w:hAnsi="宋体" w:eastAsia="宋体"/>
                <w:szCs w:val="21"/>
                <w:highlight w:val="none"/>
              </w:rPr>
            </w:pPr>
            <w:r>
              <w:rPr>
                <w:rFonts w:hint="eastAsia" w:ascii="宋体" w:hAnsi="宋体" w:eastAsia="宋体"/>
                <w:szCs w:val="21"/>
                <w:highlight w:val="none"/>
              </w:rPr>
              <w:t>中标候选人公示媒介及期限</w:t>
            </w:r>
          </w:p>
        </w:tc>
        <w:tc>
          <w:tcPr>
            <w:tcW w:w="3243" w:type="pct"/>
            <w:tcBorders>
              <w:top w:val="single" w:color="auto" w:sz="4" w:space="0"/>
              <w:left w:val="single" w:color="auto" w:sz="4" w:space="0"/>
              <w:bottom w:val="single" w:color="auto" w:sz="4" w:space="0"/>
              <w:right w:val="single" w:color="auto" w:sz="4" w:space="0"/>
            </w:tcBorders>
            <w:vAlign w:val="center"/>
          </w:tcPr>
          <w:p w14:paraId="5C58D4AE">
            <w:pPr>
              <w:rPr>
                <w:rFonts w:ascii="宋体" w:hAnsi="宋体" w:eastAsia="宋体"/>
                <w:szCs w:val="21"/>
                <w:highlight w:val="none"/>
              </w:rPr>
            </w:pPr>
            <w:r>
              <w:rPr>
                <w:rFonts w:hint="eastAsia" w:ascii="宋体" w:hAnsi="宋体" w:eastAsia="宋体"/>
                <w:szCs w:val="21"/>
                <w:highlight w:val="none"/>
              </w:rPr>
              <w:t>公示媒介：广州交易集团有限公司（广州公共资源交易中心）、广东省招标投标监管网、中国招标投标公共服务平台、广州国企阳光采购信息发布平台</w:t>
            </w:r>
          </w:p>
          <w:p w14:paraId="76D9194A">
            <w:pPr>
              <w:rPr>
                <w:rFonts w:ascii="宋体" w:hAnsi="宋体" w:eastAsia="宋体"/>
                <w:szCs w:val="21"/>
                <w:highlight w:val="none"/>
              </w:rPr>
            </w:pPr>
            <w:r>
              <w:rPr>
                <w:rFonts w:hint="eastAsia" w:ascii="宋体" w:hAnsi="宋体" w:eastAsia="宋体"/>
                <w:szCs w:val="21"/>
                <w:highlight w:val="none"/>
              </w:rPr>
              <w:t>公示期限：3日（最后一天为工作日）</w:t>
            </w:r>
          </w:p>
          <w:p w14:paraId="3EBBB401">
            <w:pPr>
              <w:rPr>
                <w:rFonts w:ascii="宋体" w:hAnsi="宋体" w:eastAsia="宋体"/>
                <w:szCs w:val="21"/>
                <w:highlight w:val="none"/>
              </w:rPr>
            </w:pPr>
            <w:r>
              <w:rPr>
                <w:rFonts w:hint="eastAsia" w:ascii="宋体" w:hAnsi="宋体" w:eastAsia="宋体"/>
                <w:szCs w:val="21"/>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14:paraId="649DD10F">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7186BE26">
            <w:pPr>
              <w:jc w:val="center"/>
              <w:rPr>
                <w:rFonts w:ascii="宋体" w:hAnsi="宋体" w:eastAsia="宋体"/>
                <w:szCs w:val="21"/>
                <w:highlight w:val="none"/>
              </w:rPr>
            </w:pPr>
            <w:r>
              <w:rPr>
                <w:rFonts w:hint="eastAsia" w:ascii="宋体" w:hAnsi="宋体" w:eastAsia="宋体"/>
                <w:szCs w:val="21"/>
                <w:highlight w:val="none"/>
              </w:rPr>
              <w:t>7.4</w:t>
            </w:r>
          </w:p>
        </w:tc>
        <w:tc>
          <w:tcPr>
            <w:tcW w:w="1117" w:type="pct"/>
            <w:tcBorders>
              <w:top w:val="single" w:color="auto" w:sz="4" w:space="0"/>
              <w:left w:val="single" w:color="auto" w:sz="4" w:space="0"/>
              <w:bottom w:val="single" w:color="auto" w:sz="4" w:space="0"/>
              <w:right w:val="single" w:color="auto" w:sz="4" w:space="0"/>
            </w:tcBorders>
            <w:vAlign w:val="center"/>
          </w:tcPr>
          <w:p w14:paraId="186DEB2F">
            <w:pPr>
              <w:jc w:val="center"/>
              <w:rPr>
                <w:rFonts w:ascii="宋体" w:hAnsi="宋体" w:eastAsia="宋体"/>
                <w:szCs w:val="21"/>
                <w:highlight w:val="none"/>
              </w:rPr>
            </w:pPr>
            <w:r>
              <w:rPr>
                <w:rFonts w:hint="eastAsia" w:ascii="宋体" w:hAnsi="宋体" w:eastAsia="宋体"/>
                <w:szCs w:val="21"/>
                <w:highlight w:val="none"/>
              </w:rPr>
              <w:t>是否授权评标委员会确定中标人</w:t>
            </w:r>
          </w:p>
        </w:tc>
        <w:tc>
          <w:tcPr>
            <w:tcW w:w="3243" w:type="pct"/>
            <w:tcBorders>
              <w:top w:val="single" w:color="auto" w:sz="4" w:space="0"/>
              <w:left w:val="single" w:color="auto" w:sz="4" w:space="0"/>
              <w:bottom w:val="single" w:color="auto" w:sz="4" w:space="0"/>
              <w:right w:val="single" w:color="auto" w:sz="4" w:space="0"/>
            </w:tcBorders>
            <w:vAlign w:val="center"/>
          </w:tcPr>
          <w:p w14:paraId="3B504F51">
            <w:pPr>
              <w:jc w:val="left"/>
              <w:rPr>
                <w:rFonts w:ascii="宋体" w:hAnsi="宋体" w:eastAsia="宋体"/>
                <w:szCs w:val="21"/>
                <w:highlight w:val="none"/>
              </w:rPr>
            </w:pPr>
            <w:r>
              <w:rPr>
                <w:rFonts w:hint="eastAsia" w:ascii="宋体" w:hAnsi="宋体" w:eastAsia="宋体"/>
                <w:szCs w:val="21"/>
                <w:highlight w:val="none"/>
              </w:rPr>
              <w:t>□是</w:t>
            </w:r>
          </w:p>
          <w:p w14:paraId="7B639C61">
            <w:pPr>
              <w:jc w:val="left"/>
              <w:rPr>
                <w:rFonts w:ascii="宋体" w:hAnsi="宋体" w:eastAsia="宋体"/>
                <w:szCs w:val="21"/>
                <w:highlight w:val="none"/>
              </w:rPr>
            </w:pPr>
            <w:r>
              <w:rPr>
                <w:rFonts w:hint="eastAsia" w:ascii="宋体" w:hAnsi="宋体" w:eastAsia="宋体"/>
                <w:szCs w:val="21"/>
                <w:highlight w:val="none"/>
              </w:rPr>
              <w:t>■否</w:t>
            </w:r>
          </w:p>
        </w:tc>
      </w:tr>
      <w:tr w14:paraId="025B748E">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796555B7">
            <w:pPr>
              <w:jc w:val="center"/>
              <w:rPr>
                <w:rFonts w:ascii="宋体" w:hAnsi="宋体" w:eastAsia="宋体"/>
                <w:szCs w:val="21"/>
                <w:highlight w:val="none"/>
              </w:rPr>
            </w:pPr>
            <w:r>
              <w:rPr>
                <w:rFonts w:hint="eastAsia" w:ascii="宋体" w:hAnsi="宋体" w:eastAsia="宋体"/>
                <w:szCs w:val="21"/>
                <w:highlight w:val="none"/>
              </w:rPr>
              <w:t>7.6.1</w:t>
            </w:r>
          </w:p>
        </w:tc>
        <w:tc>
          <w:tcPr>
            <w:tcW w:w="1117" w:type="pct"/>
            <w:tcBorders>
              <w:top w:val="single" w:color="auto" w:sz="4" w:space="0"/>
              <w:left w:val="single" w:color="auto" w:sz="4" w:space="0"/>
              <w:bottom w:val="single" w:color="auto" w:sz="4" w:space="0"/>
              <w:right w:val="single" w:color="auto" w:sz="4" w:space="0"/>
            </w:tcBorders>
            <w:vAlign w:val="center"/>
          </w:tcPr>
          <w:p w14:paraId="78208464">
            <w:pPr>
              <w:jc w:val="center"/>
              <w:rPr>
                <w:rFonts w:ascii="宋体" w:hAnsi="宋体" w:eastAsia="宋体"/>
                <w:szCs w:val="21"/>
                <w:highlight w:val="none"/>
              </w:rPr>
            </w:pPr>
            <w:r>
              <w:rPr>
                <w:rFonts w:hint="eastAsia" w:ascii="宋体" w:hAnsi="宋体" w:eastAsia="宋体"/>
                <w:szCs w:val="21"/>
                <w:highlight w:val="none"/>
              </w:rPr>
              <w:t>履约保证金</w:t>
            </w:r>
          </w:p>
        </w:tc>
        <w:tc>
          <w:tcPr>
            <w:tcW w:w="3243" w:type="pct"/>
            <w:tcBorders>
              <w:top w:val="single" w:color="auto" w:sz="4" w:space="0"/>
              <w:left w:val="single" w:color="auto" w:sz="4" w:space="0"/>
              <w:bottom w:val="single" w:color="auto" w:sz="4" w:space="0"/>
              <w:right w:val="single" w:color="auto" w:sz="4" w:space="0"/>
            </w:tcBorders>
            <w:vAlign w:val="center"/>
          </w:tcPr>
          <w:p w14:paraId="44590A8B">
            <w:pPr>
              <w:topLinePunct/>
              <w:rPr>
                <w:rFonts w:ascii="宋体" w:hAnsi="宋体" w:eastAsia="宋体"/>
                <w:kern w:val="0"/>
                <w:szCs w:val="21"/>
                <w:highlight w:val="none"/>
              </w:rPr>
            </w:pPr>
            <w:r>
              <w:rPr>
                <w:rFonts w:hint="eastAsia" w:ascii="宋体" w:hAnsi="宋体" w:eastAsia="宋体"/>
                <w:kern w:val="0"/>
                <w:szCs w:val="21"/>
                <w:highlight w:val="none"/>
              </w:rPr>
              <w:t>是否要求中标人提交履约保证金：</w:t>
            </w:r>
          </w:p>
          <w:p w14:paraId="56379CCC">
            <w:pPr>
              <w:topLinePunct/>
              <w:rPr>
                <w:rFonts w:ascii="宋体" w:hAnsi="宋体" w:eastAsia="宋体"/>
                <w:kern w:val="0"/>
                <w:szCs w:val="21"/>
                <w:highlight w:val="none"/>
                <w:u w:val="single"/>
              </w:rPr>
            </w:pPr>
            <w:r>
              <w:rPr>
                <w:rFonts w:hint="eastAsia" w:ascii="宋体" w:hAnsi="宋体" w:eastAsia="宋体"/>
                <w:szCs w:val="21"/>
                <w:highlight w:val="none"/>
              </w:rPr>
              <w:t>■</w:t>
            </w:r>
            <w:r>
              <w:rPr>
                <w:rFonts w:hint="eastAsia" w:ascii="宋体" w:hAnsi="宋体" w:eastAsia="宋体"/>
                <w:kern w:val="0"/>
                <w:szCs w:val="21"/>
                <w:highlight w:val="none"/>
              </w:rPr>
              <w:t>要求，履约保证金的形式：</w:t>
            </w:r>
            <w:r>
              <w:rPr>
                <w:rFonts w:hint="eastAsia" w:ascii="宋体" w:hAnsi="宋体" w:eastAsia="宋体"/>
                <w:kern w:val="0"/>
                <w:szCs w:val="21"/>
                <w:highlight w:val="none"/>
                <w:u w:val="single"/>
              </w:rPr>
              <w:t>现金、支票或银行保函、保证保险、专业工程担保公司担保等方式。</w:t>
            </w:r>
          </w:p>
          <w:p w14:paraId="66468A3F">
            <w:pPr>
              <w:topLinePunct/>
              <w:rPr>
                <w:rFonts w:ascii="宋体" w:hAnsi="宋体" w:eastAsia="宋体"/>
                <w:kern w:val="0"/>
                <w:szCs w:val="21"/>
                <w:highlight w:val="none"/>
              </w:rPr>
            </w:pPr>
            <w:r>
              <w:rPr>
                <w:rFonts w:hint="eastAsia" w:ascii="宋体" w:hAnsi="宋体" w:eastAsia="宋体"/>
                <w:kern w:val="0"/>
                <w:szCs w:val="21"/>
                <w:highlight w:val="none"/>
              </w:rPr>
              <w:t>履约保证金的金额：</w:t>
            </w:r>
            <w:r>
              <w:rPr>
                <w:rFonts w:hint="eastAsia" w:ascii="宋体" w:hAnsi="宋体" w:eastAsia="宋体"/>
                <w:kern w:val="0"/>
                <w:szCs w:val="21"/>
                <w:highlight w:val="none"/>
                <w:u w:val="single"/>
              </w:rPr>
              <w:t>中标价款的</w:t>
            </w:r>
            <w:r>
              <w:rPr>
                <w:rFonts w:ascii="宋体" w:hAnsi="宋体" w:eastAsia="宋体"/>
                <w:kern w:val="0"/>
                <w:szCs w:val="21"/>
                <w:highlight w:val="none"/>
                <w:u w:val="single"/>
              </w:rPr>
              <w:t>10%</w:t>
            </w:r>
            <w:r>
              <w:rPr>
                <w:rFonts w:hint="eastAsia" w:ascii="宋体" w:hAnsi="宋体" w:eastAsia="宋体"/>
                <w:kern w:val="0"/>
                <w:szCs w:val="21"/>
                <w:highlight w:val="none"/>
              </w:rPr>
              <w:t>。</w:t>
            </w:r>
          </w:p>
          <w:p w14:paraId="3885F280">
            <w:pPr>
              <w:topLinePunct/>
              <w:jc w:val="left"/>
              <w:rPr>
                <w:rFonts w:ascii="宋体" w:hAnsi="宋体" w:eastAsia="宋体"/>
                <w:kern w:val="0"/>
                <w:szCs w:val="21"/>
                <w:highlight w:val="none"/>
              </w:rPr>
            </w:pPr>
            <w:r>
              <w:rPr>
                <w:rFonts w:hint="eastAsia" w:ascii="宋体" w:hAnsi="宋体" w:eastAsia="宋体"/>
                <w:szCs w:val="21"/>
                <w:highlight w:val="none"/>
              </w:rPr>
              <w:t>□不要求</w:t>
            </w:r>
          </w:p>
        </w:tc>
      </w:tr>
      <w:tr w14:paraId="504A49BD">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4FFD1F1C">
            <w:pPr>
              <w:jc w:val="center"/>
              <w:rPr>
                <w:rFonts w:ascii="宋体" w:hAnsi="宋体" w:eastAsia="宋体"/>
                <w:szCs w:val="21"/>
                <w:highlight w:val="none"/>
              </w:rPr>
            </w:pPr>
            <w:r>
              <w:rPr>
                <w:rFonts w:hint="eastAsia" w:ascii="宋体" w:hAnsi="宋体" w:eastAsia="宋体"/>
                <w:szCs w:val="21"/>
                <w:highlight w:val="none"/>
              </w:rPr>
              <w:t>9</w:t>
            </w:r>
          </w:p>
        </w:tc>
        <w:tc>
          <w:tcPr>
            <w:tcW w:w="1117" w:type="pct"/>
            <w:tcBorders>
              <w:top w:val="single" w:color="auto" w:sz="4" w:space="0"/>
              <w:left w:val="single" w:color="auto" w:sz="4" w:space="0"/>
              <w:bottom w:val="single" w:color="auto" w:sz="4" w:space="0"/>
              <w:right w:val="single" w:color="auto" w:sz="4" w:space="0"/>
            </w:tcBorders>
            <w:vAlign w:val="center"/>
          </w:tcPr>
          <w:p w14:paraId="3CB544ED">
            <w:pPr>
              <w:jc w:val="center"/>
              <w:rPr>
                <w:rFonts w:ascii="宋体" w:hAnsi="宋体" w:eastAsia="宋体"/>
                <w:szCs w:val="21"/>
                <w:highlight w:val="none"/>
              </w:rPr>
            </w:pPr>
            <w:r>
              <w:rPr>
                <w:rFonts w:hint="eastAsia" w:ascii="宋体" w:hAnsi="宋体" w:eastAsia="宋体"/>
                <w:szCs w:val="21"/>
                <w:highlight w:val="none"/>
              </w:rPr>
              <w:t>是否采用电子招标投标</w:t>
            </w:r>
          </w:p>
        </w:tc>
        <w:tc>
          <w:tcPr>
            <w:tcW w:w="3243" w:type="pct"/>
            <w:tcBorders>
              <w:top w:val="single" w:color="auto" w:sz="4" w:space="0"/>
              <w:left w:val="single" w:color="auto" w:sz="4" w:space="0"/>
              <w:bottom w:val="single" w:color="auto" w:sz="4" w:space="0"/>
              <w:right w:val="single" w:color="auto" w:sz="4" w:space="0"/>
            </w:tcBorders>
            <w:vAlign w:val="center"/>
          </w:tcPr>
          <w:p w14:paraId="765461BE">
            <w:pPr>
              <w:jc w:val="left"/>
              <w:rPr>
                <w:rFonts w:ascii="宋体" w:hAnsi="宋体" w:eastAsia="宋体"/>
                <w:szCs w:val="21"/>
                <w:highlight w:val="none"/>
              </w:rPr>
            </w:pPr>
            <w:r>
              <w:rPr>
                <w:rFonts w:hint="eastAsia" w:ascii="宋体" w:hAnsi="宋体" w:eastAsia="宋体"/>
                <w:szCs w:val="21"/>
                <w:highlight w:val="none"/>
              </w:rPr>
              <w:t>□否</w:t>
            </w:r>
          </w:p>
          <w:p w14:paraId="48CDADAE">
            <w:pPr>
              <w:jc w:val="left"/>
              <w:rPr>
                <w:rFonts w:ascii="宋体" w:hAnsi="宋体" w:eastAsia="宋体"/>
                <w:szCs w:val="21"/>
                <w:highlight w:val="none"/>
              </w:rPr>
            </w:pPr>
            <w:r>
              <w:rPr>
                <w:rFonts w:hint="eastAsia" w:ascii="宋体" w:hAnsi="宋体" w:eastAsia="宋体"/>
                <w:szCs w:val="21"/>
                <w:highlight w:val="none"/>
              </w:rPr>
              <w:t>■是，具体要求：</w:t>
            </w:r>
          </w:p>
          <w:p w14:paraId="69357D10">
            <w:pPr>
              <w:jc w:val="left"/>
              <w:rPr>
                <w:rFonts w:ascii="宋体" w:hAnsi="宋体" w:eastAsia="宋体"/>
                <w:szCs w:val="21"/>
                <w:highlight w:val="none"/>
              </w:rPr>
            </w:pPr>
            <w:r>
              <w:rPr>
                <w:rFonts w:hint="eastAsia" w:ascii="宋体" w:hAnsi="宋体" w:eastAsia="宋体"/>
                <w:szCs w:val="21"/>
                <w:highlight w:val="none"/>
              </w:rPr>
              <w:t>具体操作详见广州交易集团有限公司（广州公共资源交易中心）网站最新发布的《房屋建筑和市政基础设施工程全流程电子化项目专章》。</w:t>
            </w:r>
          </w:p>
        </w:tc>
      </w:tr>
      <w:tr w14:paraId="304AE83D">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664E316D">
            <w:pPr>
              <w:jc w:val="center"/>
              <w:rPr>
                <w:rFonts w:ascii="宋体" w:hAnsi="宋体" w:eastAsia="宋体"/>
                <w:szCs w:val="21"/>
                <w:highlight w:val="none"/>
              </w:rPr>
            </w:pPr>
            <w:r>
              <w:rPr>
                <w:rFonts w:hint="eastAsia" w:ascii="宋体" w:hAnsi="宋体" w:eastAsia="宋体"/>
                <w:szCs w:val="21"/>
                <w:highlight w:val="none"/>
              </w:rPr>
              <w:t>10</w:t>
            </w:r>
          </w:p>
        </w:tc>
        <w:tc>
          <w:tcPr>
            <w:tcW w:w="1117" w:type="pct"/>
            <w:tcBorders>
              <w:top w:val="single" w:color="auto" w:sz="4" w:space="0"/>
              <w:left w:val="single" w:color="auto" w:sz="4" w:space="0"/>
              <w:bottom w:val="single" w:color="auto" w:sz="4" w:space="0"/>
              <w:right w:val="single" w:color="auto" w:sz="4" w:space="0"/>
            </w:tcBorders>
            <w:vAlign w:val="center"/>
          </w:tcPr>
          <w:p w14:paraId="6E1A89D5">
            <w:pPr>
              <w:jc w:val="center"/>
              <w:rPr>
                <w:rFonts w:ascii="宋体" w:hAnsi="宋体" w:eastAsia="宋体"/>
                <w:szCs w:val="21"/>
                <w:highlight w:val="none"/>
              </w:rPr>
            </w:pPr>
            <w:r>
              <w:rPr>
                <w:rFonts w:hint="eastAsia" w:ascii="宋体" w:hAnsi="宋体" w:eastAsia="宋体"/>
                <w:szCs w:val="21"/>
                <w:highlight w:val="none"/>
              </w:rPr>
              <w:t>需要补充的其他内容</w:t>
            </w:r>
          </w:p>
        </w:tc>
        <w:tc>
          <w:tcPr>
            <w:tcW w:w="3243" w:type="pct"/>
            <w:tcBorders>
              <w:top w:val="single" w:color="auto" w:sz="4" w:space="0"/>
              <w:left w:val="single" w:color="auto" w:sz="4" w:space="0"/>
              <w:bottom w:val="single" w:color="auto" w:sz="4" w:space="0"/>
              <w:right w:val="single" w:color="auto" w:sz="4" w:space="0"/>
            </w:tcBorders>
            <w:vAlign w:val="center"/>
          </w:tcPr>
          <w:p w14:paraId="664CF8C0">
            <w:pPr>
              <w:jc w:val="left"/>
              <w:rPr>
                <w:rFonts w:ascii="宋体" w:hAnsi="宋体" w:eastAsia="宋体"/>
                <w:szCs w:val="21"/>
                <w:highlight w:val="none"/>
              </w:rPr>
            </w:pPr>
            <w:r>
              <w:rPr>
                <w:rFonts w:hint="eastAsia" w:ascii="宋体" w:hAnsi="宋体" w:eastAsia="宋体"/>
                <w:szCs w:val="21"/>
                <w:highlight w:val="none"/>
              </w:rPr>
              <w:t>中标人代缴广州交易集团有限公司（广州公共资源交易中心）交易服务费，由广州交易集团有限公司（广州公共资源交易中心）向中标人开具增值税发票。</w:t>
            </w:r>
          </w:p>
        </w:tc>
      </w:tr>
      <w:tr w14:paraId="6FFA3EE5">
        <w:tblPrEx>
          <w:tblCellMar>
            <w:top w:w="0" w:type="dxa"/>
            <w:left w:w="108" w:type="dxa"/>
            <w:bottom w:w="0" w:type="dxa"/>
            <w:right w:w="108" w:type="dxa"/>
          </w:tblCellMar>
        </w:tblPrEx>
        <w:trPr>
          <w:trHeight w:val="783" w:hRule="atLeast"/>
        </w:trPr>
        <w:tc>
          <w:tcPr>
            <w:tcW w:w="638" w:type="pct"/>
            <w:tcBorders>
              <w:top w:val="single" w:color="auto" w:sz="4" w:space="0"/>
              <w:left w:val="single" w:color="auto" w:sz="4" w:space="0"/>
              <w:bottom w:val="single" w:color="auto" w:sz="4" w:space="0"/>
              <w:right w:val="single" w:color="auto" w:sz="4" w:space="0"/>
            </w:tcBorders>
            <w:vAlign w:val="center"/>
          </w:tcPr>
          <w:p w14:paraId="12106678">
            <w:pPr>
              <w:jc w:val="center"/>
              <w:rPr>
                <w:rFonts w:ascii="宋体" w:hAnsi="宋体" w:eastAsia="宋体"/>
                <w:szCs w:val="21"/>
                <w:highlight w:val="none"/>
              </w:rPr>
            </w:pPr>
            <w:r>
              <w:rPr>
                <w:rFonts w:hint="eastAsia" w:ascii="宋体" w:hAnsi="宋体" w:eastAsia="宋体"/>
                <w:szCs w:val="21"/>
                <w:highlight w:val="none"/>
              </w:rPr>
              <w:t>10.1</w:t>
            </w:r>
          </w:p>
        </w:tc>
        <w:tc>
          <w:tcPr>
            <w:tcW w:w="1117" w:type="pct"/>
            <w:tcBorders>
              <w:top w:val="single" w:color="auto" w:sz="4" w:space="0"/>
              <w:left w:val="single" w:color="auto" w:sz="4" w:space="0"/>
              <w:bottom w:val="single" w:color="auto" w:sz="4" w:space="0"/>
              <w:right w:val="single" w:color="auto" w:sz="4" w:space="0"/>
            </w:tcBorders>
            <w:vAlign w:val="center"/>
          </w:tcPr>
          <w:p w14:paraId="15ECAC8B">
            <w:pPr>
              <w:jc w:val="left"/>
              <w:rPr>
                <w:rFonts w:ascii="宋体" w:hAnsi="宋体" w:eastAsia="宋体"/>
                <w:szCs w:val="21"/>
                <w:highlight w:val="none"/>
              </w:rPr>
            </w:pPr>
            <w:r>
              <w:rPr>
                <w:rFonts w:hint="eastAsia" w:ascii="宋体" w:hAnsi="宋体" w:eastAsia="宋体"/>
                <w:szCs w:val="21"/>
                <w:highlight w:val="none"/>
              </w:rPr>
              <w:t>特别提示</w:t>
            </w:r>
          </w:p>
        </w:tc>
        <w:tc>
          <w:tcPr>
            <w:tcW w:w="3243" w:type="pct"/>
            <w:tcBorders>
              <w:top w:val="single" w:color="auto" w:sz="4" w:space="0"/>
              <w:left w:val="single" w:color="auto" w:sz="4" w:space="0"/>
              <w:bottom w:val="single" w:color="auto" w:sz="4" w:space="0"/>
              <w:right w:val="single" w:color="auto" w:sz="4" w:space="0"/>
            </w:tcBorders>
            <w:vAlign w:val="center"/>
          </w:tcPr>
          <w:p w14:paraId="03E554CF">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特别提示：投标人在本项目招标人的工程项目中存在下列行为的，将被拒绝一定时期内参与招标人后续工程投标。（注：拒绝投标时限由招标人视严重程度确定，最低三个月起，自招标人发出通知之日起计）：</w:t>
            </w:r>
          </w:p>
          <w:p w14:paraId="2F17C54A">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1.将中标工程转包或者违法分包的;</w:t>
            </w:r>
          </w:p>
          <w:p w14:paraId="1761E56B">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2.在中标工程中不执行质量、安全生产相关规定的，造成质量或安全事故的；</w:t>
            </w:r>
          </w:p>
          <w:p w14:paraId="36AF52A0">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3.出让投标资格的；</w:t>
            </w:r>
          </w:p>
          <w:p w14:paraId="6D747F3A">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4.存在围标或串标情形的;</w:t>
            </w:r>
          </w:p>
          <w:p w14:paraId="22B8E918">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5.在投标文件中提供虚假材料的；</w:t>
            </w:r>
          </w:p>
          <w:p w14:paraId="7898C7B8">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6. 存在少放、不放业绩、奖项等客观评审资料，减少自身竞争力情形的；</w:t>
            </w:r>
          </w:p>
          <w:p w14:paraId="4FAEC38B">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7.存在行贿情形的;</w:t>
            </w:r>
          </w:p>
          <w:p w14:paraId="2CD71646">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8.拖欠农民工工资的；</w:t>
            </w:r>
          </w:p>
          <w:p w14:paraId="0D2D3434">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9.未按照国家、省、市有关建筑施工实名制管理和工人工资支付分账管理的规定执行，被行政监管部门处罚的；</w:t>
            </w:r>
          </w:p>
          <w:p w14:paraId="407FDC3B">
            <w:pPr>
              <w:jc w:val="left"/>
              <w:rPr>
                <w:rFonts w:hint="eastAsia" w:ascii="宋体" w:hAnsi="宋体" w:eastAsia="宋体"/>
                <w:szCs w:val="21"/>
                <w:highlight w:val="none"/>
                <w:lang w:eastAsia="zh-CN"/>
              </w:rPr>
            </w:pPr>
            <w:r>
              <w:rPr>
                <w:rFonts w:hint="eastAsia" w:ascii="宋体" w:hAnsi="宋体" w:eastAsia="宋体"/>
                <w:szCs w:val="21"/>
                <w:highlight w:val="none"/>
                <w:lang w:eastAsia="zh-CN"/>
              </w:rPr>
              <w:t>10.中标人在项目实施过程中选取的专业分包单位或劳务企业或劳务班组长与投标时不一致的（如有）。</w:t>
            </w:r>
          </w:p>
        </w:tc>
      </w:tr>
      <w:tr w14:paraId="62CC66A3">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12F64E2B">
            <w:pPr>
              <w:jc w:val="left"/>
              <w:rPr>
                <w:rFonts w:ascii="宋体" w:hAnsi="宋体" w:eastAsia="宋体"/>
                <w:szCs w:val="21"/>
                <w:highlight w:val="none"/>
              </w:rPr>
            </w:pPr>
            <w:r>
              <w:rPr>
                <w:rFonts w:hint="eastAsia" w:ascii="宋体" w:hAnsi="宋体" w:eastAsia="宋体"/>
                <w:szCs w:val="21"/>
                <w:highlight w:val="none"/>
              </w:rPr>
              <w:t>10.2</w:t>
            </w:r>
          </w:p>
        </w:tc>
        <w:tc>
          <w:tcPr>
            <w:tcW w:w="1117" w:type="pct"/>
            <w:tcBorders>
              <w:top w:val="single" w:color="auto" w:sz="4" w:space="0"/>
              <w:left w:val="single" w:color="auto" w:sz="4" w:space="0"/>
              <w:bottom w:val="single" w:color="auto" w:sz="4" w:space="0"/>
              <w:right w:val="single" w:color="auto" w:sz="4" w:space="0"/>
            </w:tcBorders>
            <w:vAlign w:val="center"/>
          </w:tcPr>
          <w:p w14:paraId="2185062F">
            <w:pPr>
              <w:jc w:val="left"/>
              <w:rPr>
                <w:rFonts w:ascii="宋体" w:hAnsi="宋体" w:eastAsia="宋体"/>
                <w:szCs w:val="21"/>
                <w:highlight w:val="none"/>
              </w:rPr>
            </w:pPr>
            <w:r>
              <w:rPr>
                <w:rFonts w:hint="eastAsia" w:ascii="宋体" w:hAnsi="宋体" w:eastAsia="宋体"/>
                <w:szCs w:val="21"/>
                <w:highlight w:val="none"/>
              </w:rPr>
              <w:t>招标失败的情形</w:t>
            </w:r>
          </w:p>
        </w:tc>
        <w:tc>
          <w:tcPr>
            <w:tcW w:w="3243" w:type="pct"/>
            <w:tcBorders>
              <w:top w:val="single" w:color="auto" w:sz="4" w:space="0"/>
              <w:left w:val="single" w:color="auto" w:sz="4" w:space="0"/>
              <w:bottom w:val="single" w:color="auto" w:sz="4" w:space="0"/>
              <w:right w:val="single" w:color="auto" w:sz="4" w:space="0"/>
            </w:tcBorders>
            <w:vAlign w:val="center"/>
          </w:tcPr>
          <w:p w14:paraId="30384EDE">
            <w:pPr>
              <w:jc w:val="left"/>
              <w:rPr>
                <w:rFonts w:ascii="宋体" w:hAnsi="宋体" w:eastAsia="宋体"/>
                <w:szCs w:val="21"/>
                <w:highlight w:val="none"/>
              </w:rPr>
            </w:pPr>
            <w:r>
              <w:rPr>
                <w:rFonts w:hint="eastAsia" w:ascii="宋体" w:hAnsi="宋体" w:eastAsia="宋体"/>
                <w:szCs w:val="21"/>
                <w:highlight w:val="none"/>
              </w:rPr>
              <w:t>本项目采用资格后审方式，满足资格审查合格条件或通过初步评审的投标申请人不足3名时为招标失败。招标人分析招标失败原因，修正招标方案，重新组织招标。</w:t>
            </w:r>
          </w:p>
        </w:tc>
      </w:tr>
      <w:tr w14:paraId="6581F7A8">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08D9FF48">
            <w:pPr>
              <w:jc w:val="left"/>
              <w:rPr>
                <w:rFonts w:ascii="宋体" w:hAnsi="宋体" w:eastAsia="宋体"/>
                <w:szCs w:val="21"/>
                <w:highlight w:val="none"/>
              </w:rPr>
            </w:pPr>
            <w:r>
              <w:rPr>
                <w:rFonts w:hint="eastAsia" w:ascii="宋体" w:hAnsi="宋体" w:eastAsia="宋体"/>
                <w:szCs w:val="21"/>
                <w:highlight w:val="none"/>
              </w:rPr>
              <w:t>10.3</w:t>
            </w:r>
          </w:p>
        </w:tc>
        <w:tc>
          <w:tcPr>
            <w:tcW w:w="1117" w:type="pct"/>
            <w:tcBorders>
              <w:top w:val="single" w:color="auto" w:sz="4" w:space="0"/>
              <w:left w:val="single" w:color="auto" w:sz="4" w:space="0"/>
              <w:bottom w:val="single" w:color="auto" w:sz="4" w:space="0"/>
              <w:right w:val="single" w:color="auto" w:sz="4" w:space="0"/>
            </w:tcBorders>
            <w:vAlign w:val="center"/>
          </w:tcPr>
          <w:p w14:paraId="449A7C60">
            <w:pPr>
              <w:jc w:val="left"/>
              <w:rPr>
                <w:rFonts w:ascii="宋体" w:hAnsi="宋体" w:eastAsia="宋体"/>
                <w:szCs w:val="21"/>
                <w:highlight w:val="none"/>
              </w:rPr>
            </w:pPr>
            <w:r>
              <w:rPr>
                <w:rFonts w:hint="eastAsia" w:ascii="宋体" w:hAnsi="宋体" w:eastAsia="宋体"/>
                <w:szCs w:val="21"/>
                <w:highlight w:val="none"/>
              </w:rPr>
              <w:t>投标文件修改</w:t>
            </w:r>
          </w:p>
        </w:tc>
        <w:tc>
          <w:tcPr>
            <w:tcW w:w="3243" w:type="pct"/>
            <w:tcBorders>
              <w:top w:val="single" w:color="auto" w:sz="4" w:space="0"/>
              <w:left w:val="single" w:color="auto" w:sz="4" w:space="0"/>
              <w:bottom w:val="single" w:color="auto" w:sz="4" w:space="0"/>
              <w:right w:val="single" w:color="auto" w:sz="4" w:space="0"/>
            </w:tcBorders>
            <w:vAlign w:val="center"/>
          </w:tcPr>
          <w:p w14:paraId="401B2BF3">
            <w:pPr>
              <w:jc w:val="left"/>
              <w:rPr>
                <w:rFonts w:ascii="宋体" w:hAnsi="宋体" w:eastAsia="宋体"/>
                <w:szCs w:val="21"/>
                <w:highlight w:val="none"/>
              </w:rPr>
            </w:pPr>
            <w:r>
              <w:rPr>
                <w:rFonts w:hint="eastAsia" w:ascii="宋体" w:hAnsi="宋体" w:eastAsia="宋体"/>
                <w:szCs w:val="21"/>
                <w:highlight w:val="none"/>
              </w:rPr>
              <w:t>修改的内容为投标文件的组成部分。修改的投标文件应按照本章第3条、第4条的规定进行编制和递交。</w:t>
            </w:r>
          </w:p>
        </w:tc>
      </w:tr>
      <w:tr w14:paraId="7F49A93D">
        <w:tblPrEx>
          <w:tblCellMar>
            <w:top w:w="0" w:type="dxa"/>
            <w:left w:w="108" w:type="dxa"/>
            <w:bottom w:w="0" w:type="dxa"/>
            <w:right w:w="108" w:type="dxa"/>
          </w:tblCellMar>
        </w:tblPrEx>
        <w:trPr>
          <w:trHeight w:val="214" w:hRule="atLeast"/>
        </w:trPr>
        <w:tc>
          <w:tcPr>
            <w:tcW w:w="638" w:type="pct"/>
            <w:tcBorders>
              <w:top w:val="single" w:color="auto" w:sz="4" w:space="0"/>
              <w:left w:val="single" w:color="auto" w:sz="4" w:space="0"/>
              <w:bottom w:val="single" w:color="auto" w:sz="4" w:space="0"/>
              <w:right w:val="single" w:color="auto" w:sz="4" w:space="0"/>
            </w:tcBorders>
            <w:vAlign w:val="center"/>
          </w:tcPr>
          <w:p w14:paraId="1B0E39AC">
            <w:pPr>
              <w:jc w:val="left"/>
              <w:rPr>
                <w:rFonts w:ascii="宋体" w:hAnsi="宋体" w:eastAsia="宋体"/>
                <w:szCs w:val="21"/>
                <w:highlight w:val="none"/>
              </w:rPr>
            </w:pPr>
            <w:r>
              <w:rPr>
                <w:rFonts w:hint="eastAsia" w:ascii="宋体" w:hAnsi="宋体" w:eastAsia="宋体"/>
                <w:szCs w:val="21"/>
                <w:highlight w:val="none"/>
              </w:rPr>
              <w:t>10.4</w:t>
            </w:r>
          </w:p>
        </w:tc>
        <w:tc>
          <w:tcPr>
            <w:tcW w:w="1117" w:type="pct"/>
            <w:tcBorders>
              <w:top w:val="single" w:color="auto" w:sz="4" w:space="0"/>
              <w:left w:val="single" w:color="auto" w:sz="4" w:space="0"/>
              <w:bottom w:val="single" w:color="auto" w:sz="4" w:space="0"/>
              <w:right w:val="single" w:color="auto" w:sz="4" w:space="0"/>
            </w:tcBorders>
            <w:vAlign w:val="center"/>
          </w:tcPr>
          <w:p w14:paraId="19693978">
            <w:pPr>
              <w:jc w:val="center"/>
              <w:rPr>
                <w:rFonts w:ascii="宋体" w:hAnsi="宋体" w:eastAsia="宋体"/>
                <w:szCs w:val="21"/>
                <w:highlight w:val="none"/>
              </w:rPr>
            </w:pPr>
            <w:r>
              <w:rPr>
                <w:rFonts w:hint="eastAsia" w:ascii="宋体" w:hAnsi="宋体" w:eastAsia="宋体"/>
                <w:szCs w:val="21"/>
                <w:highlight w:val="none"/>
              </w:rPr>
              <w:t>重要说明</w:t>
            </w:r>
          </w:p>
        </w:tc>
        <w:tc>
          <w:tcPr>
            <w:tcW w:w="3243" w:type="pct"/>
            <w:tcBorders>
              <w:top w:val="single" w:color="auto" w:sz="4" w:space="0"/>
              <w:left w:val="single" w:color="auto" w:sz="4" w:space="0"/>
              <w:bottom w:val="single" w:color="auto" w:sz="4" w:space="0"/>
              <w:right w:val="single" w:color="auto" w:sz="4" w:space="0"/>
            </w:tcBorders>
            <w:vAlign w:val="center"/>
          </w:tcPr>
          <w:p w14:paraId="3BCC2D86">
            <w:pPr>
              <w:jc w:val="left"/>
              <w:rPr>
                <w:rFonts w:ascii="宋体" w:hAnsi="宋体" w:eastAsia="宋体"/>
                <w:szCs w:val="21"/>
                <w:highlight w:val="none"/>
              </w:rPr>
            </w:pPr>
            <w:r>
              <w:rPr>
                <w:rFonts w:hint="eastAsia" w:ascii="宋体" w:hAnsi="宋体" w:eastAsia="宋体"/>
                <w:szCs w:val="21"/>
                <w:highlight w:val="none"/>
              </w:rPr>
              <w:t>1.招标公告、招标文件、答疑纪要等招标资料全部发布在广州交易集团有限公司（广州公共资源交易中心）网站，由投标人自行下载查阅。</w:t>
            </w:r>
          </w:p>
          <w:p w14:paraId="216C3429">
            <w:pPr>
              <w:jc w:val="left"/>
              <w:rPr>
                <w:rFonts w:ascii="宋体" w:hAnsi="宋体" w:eastAsia="宋体"/>
                <w:szCs w:val="21"/>
                <w:highlight w:val="none"/>
              </w:rPr>
            </w:pPr>
            <w:r>
              <w:rPr>
                <w:rFonts w:hint="eastAsia" w:ascii="宋体" w:hAnsi="宋体" w:eastAsia="宋体"/>
                <w:szCs w:val="21"/>
                <w:highlight w:val="none"/>
              </w:rPr>
              <w:t>2.投标截止时间、开标时间和地点：发布在广州交易集团有限公司（广州公共资源交易中心）网站（具体详见网站“日程安排”栏目）。</w:t>
            </w:r>
          </w:p>
          <w:p w14:paraId="467912C4">
            <w:pPr>
              <w:jc w:val="left"/>
              <w:rPr>
                <w:rFonts w:ascii="宋体" w:hAnsi="宋体" w:eastAsia="宋体"/>
                <w:szCs w:val="21"/>
                <w:highlight w:val="none"/>
              </w:rPr>
            </w:pPr>
            <w:r>
              <w:rPr>
                <w:rFonts w:hint="eastAsia" w:ascii="宋体" w:hAnsi="宋体" w:eastAsia="宋体"/>
                <w:szCs w:val="21"/>
                <w:highlight w:val="none"/>
              </w:rPr>
              <w:t>3. 中标单位在获取中标通知书后的3个工作日内，须向招标人提供与递交电子投标文件内容一致的纸质文件一正一副，加盖公章。</w:t>
            </w:r>
          </w:p>
        </w:tc>
      </w:tr>
    </w:tbl>
    <w:p w14:paraId="61ACB5B7">
      <w:pPr>
        <w:keepNext/>
        <w:keepLines/>
        <w:spacing w:line="360" w:lineRule="auto"/>
        <w:jc w:val="left"/>
        <w:rPr>
          <w:rFonts w:ascii="宋体" w:hAnsi="宋体" w:eastAsia="宋体"/>
          <w:szCs w:val="21"/>
          <w:highlight w:val="none"/>
        </w:rPr>
      </w:pPr>
      <w:r>
        <w:rPr>
          <w:rFonts w:hint="eastAsia" w:ascii="宋体" w:hAnsi="宋体" w:eastAsia="宋体"/>
          <w:szCs w:val="21"/>
          <w:highlight w:val="none"/>
        </w:rPr>
        <w:br w:type="page"/>
      </w:r>
      <w:bookmarkStart w:id="37" w:name="_Toc14735135"/>
      <w:bookmarkStart w:id="38" w:name="_Toc532367872"/>
      <w:bookmarkStart w:id="39" w:name="_Toc7454651"/>
      <w:bookmarkStart w:id="40" w:name="_Toc7454652"/>
      <w:bookmarkStart w:id="41" w:name="_Toc526001312"/>
    </w:p>
    <w:p w14:paraId="242C8D02">
      <w:pPr>
        <w:keepNext/>
        <w:keepLines/>
        <w:spacing w:line="360" w:lineRule="auto"/>
        <w:jc w:val="center"/>
        <w:outlineLvl w:val="1"/>
        <w:rPr>
          <w:rFonts w:ascii="宋体" w:hAnsi="宋体" w:eastAsia="宋体"/>
          <w:b/>
          <w:bCs/>
          <w:kern w:val="44"/>
          <w:sz w:val="32"/>
          <w:szCs w:val="32"/>
          <w:highlight w:val="none"/>
        </w:rPr>
      </w:pPr>
      <w:r>
        <w:rPr>
          <w:rFonts w:hint="eastAsia" w:ascii="宋体" w:hAnsi="宋体" w:eastAsia="宋体"/>
          <w:b/>
          <w:bCs/>
          <w:kern w:val="44"/>
          <w:sz w:val="32"/>
          <w:szCs w:val="32"/>
          <w:highlight w:val="none"/>
        </w:rPr>
        <w:t>二、 投标人须知</w:t>
      </w:r>
      <w:bookmarkEnd w:id="37"/>
      <w:bookmarkEnd w:id="38"/>
    </w:p>
    <w:p w14:paraId="2887E06F">
      <w:pPr>
        <w:keepNext/>
        <w:keepLines/>
        <w:spacing w:before="240" w:after="240" w:line="360" w:lineRule="auto"/>
        <w:jc w:val="left"/>
        <w:outlineLvl w:val="2"/>
        <w:rPr>
          <w:rFonts w:ascii="宋体" w:hAnsi="宋体" w:eastAsia="宋体"/>
          <w:b/>
          <w:bCs/>
          <w:sz w:val="30"/>
          <w:szCs w:val="30"/>
          <w:highlight w:val="none"/>
        </w:rPr>
      </w:pPr>
      <w:bookmarkStart w:id="42" w:name="_Toc532367873"/>
      <w:bookmarkStart w:id="43" w:name="_Toc21041"/>
      <w:bookmarkStart w:id="44" w:name="_Toc7950"/>
      <w:bookmarkStart w:id="45" w:name="_Toc8300"/>
      <w:bookmarkStart w:id="46" w:name="_Toc6964"/>
      <w:bookmarkStart w:id="47" w:name="_Toc32719"/>
      <w:bookmarkStart w:id="48" w:name="_Toc31905"/>
      <w:bookmarkStart w:id="49" w:name="_Toc29394"/>
      <w:bookmarkStart w:id="50" w:name="_Toc377719900"/>
      <w:bookmarkStart w:id="51" w:name="_Toc13865"/>
      <w:r>
        <w:rPr>
          <w:rFonts w:hint="eastAsia" w:ascii="宋体" w:hAnsi="宋体" w:eastAsia="宋体"/>
          <w:b/>
          <w:bCs/>
          <w:sz w:val="30"/>
          <w:szCs w:val="30"/>
          <w:highlight w:val="none"/>
        </w:rPr>
        <w:t>1. 总则</w:t>
      </w:r>
      <w:bookmarkEnd w:id="42"/>
      <w:bookmarkEnd w:id="43"/>
      <w:bookmarkEnd w:id="44"/>
      <w:bookmarkEnd w:id="45"/>
      <w:bookmarkEnd w:id="46"/>
      <w:bookmarkEnd w:id="47"/>
      <w:bookmarkEnd w:id="48"/>
      <w:bookmarkEnd w:id="49"/>
      <w:bookmarkEnd w:id="50"/>
      <w:bookmarkEnd w:id="51"/>
    </w:p>
    <w:p w14:paraId="64E03526">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1.1  招标项目概况</w:t>
      </w:r>
    </w:p>
    <w:p w14:paraId="2D48CF7A">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1.1.1根据《中华人民共和国招标投标法》、《中华人民共和国招标投标法实施条例》等有关法律、法规和规章的规定，本招标项目已具备招标条件，现对设备采购进行招标。</w:t>
      </w:r>
    </w:p>
    <w:p w14:paraId="109ADC9D">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1.1.2招标人：见投标人须知前附表。</w:t>
      </w:r>
    </w:p>
    <w:p w14:paraId="27D9836F">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1.1.3招标代理机构：见投标人须知前附表。</w:t>
      </w:r>
    </w:p>
    <w:p w14:paraId="4EC96A3A">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1.1.4招标项目名称：见投标人须知前附表。</w:t>
      </w:r>
    </w:p>
    <w:p w14:paraId="5B6456B3">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1.1.5工程项目名称：即招标项目所属的工程建设项目，见投标人须知前附表。</w:t>
      </w:r>
    </w:p>
    <w:p w14:paraId="43A1FC1A">
      <w:pPr>
        <w:kinsoku w:val="0"/>
        <w:overflowPunct w:val="0"/>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1.2 招标项目的资金来源和落实情况</w:t>
      </w:r>
    </w:p>
    <w:p w14:paraId="0A4890BE">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1.2.1资金来源及比例：见投标人须知前附表。</w:t>
      </w:r>
    </w:p>
    <w:p w14:paraId="527E605F">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1.2.2资金落实情况：见投标人须知前附表。</w:t>
      </w:r>
    </w:p>
    <w:p w14:paraId="0CB5B3EC">
      <w:pPr>
        <w:kinsoku w:val="0"/>
        <w:overflowPunct w:val="0"/>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1.3 招标内容、交货期、交货地点和技术性能指标</w:t>
      </w:r>
    </w:p>
    <w:p w14:paraId="0F21DCF5">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1.3.1招标范围：见投标人须知前附表。</w:t>
      </w:r>
    </w:p>
    <w:p w14:paraId="1AB15380">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1.3.2交货期：见投标人须知前附表。</w:t>
      </w:r>
    </w:p>
    <w:p w14:paraId="6BCDF131">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1.3.3交货地点：见投标人须知前附表。</w:t>
      </w:r>
    </w:p>
    <w:p w14:paraId="6C0DC01C">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1.3.4技术性能指标：见投标人须知前附表。</w:t>
      </w:r>
    </w:p>
    <w:p w14:paraId="3E4FB2CD">
      <w:pPr>
        <w:kinsoku w:val="0"/>
        <w:overflowPunct w:val="0"/>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1.4 投标人资格要求</w:t>
      </w:r>
    </w:p>
    <w:p w14:paraId="31493E48">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1.4.1投标人应具备承担本招标项目资质条件、能力和信誉：</w:t>
      </w:r>
    </w:p>
    <w:p w14:paraId="7AB15F0F">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（1）资质要求：见投标人须知前附表；</w:t>
      </w:r>
    </w:p>
    <w:p w14:paraId="4F65F101">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（2）财务要求：见投标人须知前附表；</w:t>
      </w:r>
    </w:p>
    <w:p w14:paraId="411EF712">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（3）业绩要求：见投标人须知前附表；</w:t>
      </w:r>
    </w:p>
    <w:p w14:paraId="35B4C8A7">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（4）信誉要求：见投标人须知前附表；</w:t>
      </w:r>
    </w:p>
    <w:p w14:paraId="69788B7B">
      <w:pPr>
        <w:kinsoku w:val="0"/>
        <w:overflowPunct w:val="0"/>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（5）其他要求：见投标人须知前附表；</w:t>
      </w:r>
    </w:p>
    <w:p w14:paraId="7E57DAD3">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需要提交的相关证明材料见本章第3.5款的规定。</w:t>
      </w:r>
    </w:p>
    <w:p w14:paraId="44D7C0E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1.4.2投标人须知前附表规定接受联合体投标的，联合体除应符合本章第1.4.1项和投标人须知前附表的要求外，还应遵守以下规定：</w:t>
      </w:r>
    </w:p>
    <w:p w14:paraId="4DCD44FA">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（1）联合体各方应按招标文件提供的格式签订联合体协议书，明确联合体牵头人和各方权利义务，并承诺就中标项目向招标人承担连带责任；</w:t>
      </w:r>
    </w:p>
    <w:p w14:paraId="3C2832C5">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（2）由同一专业的单位组成的联合体，按照资质等级较低的单位确定资质等级；</w:t>
      </w:r>
    </w:p>
    <w:p w14:paraId="73F53F9C">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（3）联合体各方不得再以自己名义单独或参加其他联合体在本招标项目中投标，否则各相关投标均无效。</w:t>
      </w:r>
    </w:p>
    <w:p w14:paraId="3553A98E">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1.4.3投标人不得存在下列情形之一：</w:t>
      </w:r>
    </w:p>
    <w:p w14:paraId="2DAB60B8">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（1）与招标人存在利害关系且可能影响招标公正性；</w:t>
      </w:r>
    </w:p>
    <w:p w14:paraId="1CD50997">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（2）与本招标项目其他投标人代理同一个制造商同一品牌同一型号的设备投标；</w:t>
      </w:r>
    </w:p>
    <w:p w14:paraId="14832865">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（3）为本招标项目提供过设计、编制技术规范和其他文件的咨询服务；</w:t>
      </w:r>
    </w:p>
    <w:p w14:paraId="7879218D">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（4）为本工程项目的相关监理人，或者与本工程项目的相关监理人存在隶属关系或者其他利害关系；</w:t>
      </w:r>
    </w:p>
    <w:p w14:paraId="14BD22F7">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（5）为本招标项目的代建人；</w:t>
      </w:r>
    </w:p>
    <w:p w14:paraId="7C5F4829">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（6）为本招标项目的招标代理机构；</w:t>
      </w:r>
    </w:p>
    <w:p w14:paraId="21D1B4E0">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（7）与本招标项目的监理人或代建人或招标代理机构同为一个法定代表人；</w:t>
      </w:r>
    </w:p>
    <w:p w14:paraId="00CBF0B9">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（8）与本招标项目的监理人或代建人或招标代理机构存在控股或参股关系；</w:t>
      </w:r>
    </w:p>
    <w:p w14:paraId="0E8D44F2">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（9）被依法暂停或者取消投标资格；</w:t>
      </w:r>
      <w:r>
        <w:rPr>
          <w:rFonts w:hint="eastAsia" w:ascii="宋体" w:hAnsi="宋体" w:eastAsia="宋体"/>
          <w:sz w:val="24"/>
          <w:szCs w:val="24"/>
          <w:highlight w:val="none"/>
          <w:u w:val="single"/>
        </w:rPr>
        <w:t>（本项事实应当以根据《中华人民共和国行政处罚法》依法作出并已经生效的行政处罚决定为认定依据。行政处罚决定中已经明确的暂停或取消投标资格的区域范围不包含本标段建设地点的，不受该项规定限制）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4E583D1D">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（10）被责令停产停业、暂扣或者吊销许可证、暂扣或者吊销执照</w:t>
      </w:r>
      <w:r>
        <w:rPr>
          <w:rFonts w:hint="eastAsia" w:ascii="宋体" w:hAnsi="宋体" w:eastAsia="宋体"/>
          <w:sz w:val="24"/>
          <w:szCs w:val="24"/>
          <w:highlight w:val="none"/>
          <w:u w:val="single"/>
        </w:rPr>
        <w:t>（本项事实应当以根据《中华人民共和国行政处罚法》依法作出并已经生效的行政处罚决定为认定依据。）</w:t>
      </w:r>
      <w:r>
        <w:rPr>
          <w:rFonts w:hint="eastAsia" w:ascii="宋体" w:hAnsi="宋体" w:eastAsia="宋体"/>
          <w:sz w:val="24"/>
          <w:szCs w:val="24"/>
          <w:highlight w:val="none"/>
        </w:rPr>
        <w:t>；</w:t>
      </w:r>
    </w:p>
    <w:p w14:paraId="641930CB">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（11）进入清算程序，或被宣告破产，或其他丧失履约能力的情形；</w:t>
      </w:r>
    </w:p>
    <w:p w14:paraId="1B07687F">
      <w:pPr>
        <w:spacing w:line="360" w:lineRule="auto"/>
        <w:ind w:firstLine="480" w:firstLineChars="200"/>
        <w:jc w:val="left"/>
        <w:rPr>
          <w:rFonts w:ascii="宋体" w:hAnsi="宋体" w:eastAsia="宋体"/>
          <w:sz w:val="24"/>
          <w:szCs w:val="24"/>
          <w:highlight w:val="none"/>
          <w:u w:val="single"/>
        </w:rPr>
      </w:pPr>
      <w:r>
        <w:rPr>
          <w:rFonts w:hint="eastAsia" w:ascii="宋体" w:hAnsi="宋体" w:eastAsia="宋体"/>
          <w:sz w:val="24"/>
          <w:szCs w:val="24"/>
          <w:highlight w:val="none"/>
        </w:rPr>
        <w:t>（12）</w:t>
      </w:r>
      <w:r>
        <w:rPr>
          <w:rFonts w:hint="eastAsia" w:ascii="宋体" w:hAnsi="宋体" w:eastAsia="宋体"/>
          <w:sz w:val="24"/>
          <w:szCs w:val="24"/>
          <w:highlight w:val="none"/>
          <w:u w:val="single"/>
        </w:rPr>
        <w:t>在最近三年内发生重大产品质量问题；（“重大产品质量问题”应当以相关行业主管部门的行政处罚决定或者司法机关出具的有关法律文书为准。“最近三年”是指从投标截止时间之日起逆推三年，以相关行业主管部门、司法机关出具的生效文件的落款时间起计算）</w:t>
      </w:r>
    </w:p>
    <w:p w14:paraId="37F915CB">
      <w:pPr>
        <w:spacing w:line="360" w:lineRule="auto"/>
        <w:ind w:firstLine="480" w:firstLineChars="200"/>
        <w:jc w:val="left"/>
        <w:rPr>
          <w:rFonts w:ascii="宋体" w:hAnsi="宋体" w:eastAsia="宋体"/>
          <w:b/>
          <w:bCs/>
          <w:sz w:val="24"/>
          <w:szCs w:val="24"/>
          <w:highlight w:val="none"/>
        </w:rPr>
      </w:pPr>
      <w:r>
        <w:rPr>
          <w:rFonts w:hint="eastAsia" w:ascii="宋体" w:hAnsi="宋体" w:eastAsia="宋体"/>
          <w:sz w:val="24"/>
          <w:szCs w:val="24"/>
          <w:highlight w:val="none"/>
        </w:rPr>
        <w:t>（13）法律法规或投标人须知前附表规定的其他情形。</w:t>
      </w:r>
    </w:p>
    <w:p w14:paraId="0E671A76">
      <w:pPr>
        <w:kinsoku w:val="0"/>
        <w:overflowPunct w:val="0"/>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1.5 费用承担</w:t>
      </w:r>
    </w:p>
    <w:p w14:paraId="1C80FC04">
      <w:pPr>
        <w:spacing w:line="360" w:lineRule="auto"/>
        <w:ind w:firstLine="476" w:firstLineChars="200"/>
        <w:jc w:val="left"/>
        <w:rPr>
          <w:rFonts w:ascii="宋体" w:hAnsi="宋体" w:eastAsia="宋体"/>
          <w:spacing w:val="-1"/>
          <w:sz w:val="24"/>
          <w:szCs w:val="24"/>
          <w:highlight w:val="none"/>
        </w:rPr>
      </w:pPr>
      <w:r>
        <w:rPr>
          <w:rFonts w:hint="eastAsia" w:ascii="宋体" w:hAnsi="宋体" w:eastAsia="宋体"/>
          <w:spacing w:val="-1"/>
          <w:sz w:val="24"/>
          <w:szCs w:val="24"/>
          <w:highlight w:val="none"/>
        </w:rPr>
        <w:t>投标人准备和参加投标活动发生的费用自理。</w:t>
      </w:r>
    </w:p>
    <w:p w14:paraId="6A406A89">
      <w:pPr>
        <w:kinsoku w:val="0"/>
        <w:overflowPunct w:val="0"/>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1.6 保密</w:t>
      </w:r>
    </w:p>
    <w:p w14:paraId="29DAB664">
      <w:pPr>
        <w:kinsoku w:val="0"/>
        <w:overflowPunct w:val="0"/>
        <w:spacing w:after="120"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参与招标投标活动的各方应对招标文件和投标文件中的商业和技术等秘密保密，否则应承担相应的法律责任。</w:t>
      </w:r>
    </w:p>
    <w:p w14:paraId="638DF21A">
      <w:pPr>
        <w:kinsoku w:val="0"/>
        <w:overflowPunct w:val="0"/>
        <w:spacing w:before="120" w:after="120" w:line="360" w:lineRule="auto"/>
        <w:outlineLvl w:val="2"/>
        <w:rPr>
          <w:rFonts w:ascii="宋体" w:hAnsi="宋体" w:eastAsia="宋体"/>
          <w:b/>
          <w:bCs/>
          <w:sz w:val="24"/>
          <w:szCs w:val="24"/>
          <w:highlight w:val="none"/>
        </w:rPr>
      </w:pPr>
      <w:bookmarkStart w:id="52" w:name="bookmark27"/>
      <w:bookmarkEnd w:id="52"/>
      <w:r>
        <w:rPr>
          <w:rFonts w:hint="eastAsia" w:ascii="宋体" w:hAnsi="宋体" w:eastAsia="宋体"/>
          <w:b/>
          <w:bCs/>
          <w:sz w:val="24"/>
          <w:szCs w:val="24"/>
          <w:highlight w:val="none"/>
        </w:rPr>
        <w:t>1.7 语言文字</w:t>
      </w:r>
    </w:p>
    <w:p w14:paraId="3BEEAD81">
      <w:pPr>
        <w:kinsoku w:val="0"/>
        <w:overflowPunct w:val="0"/>
        <w:spacing w:after="120"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招标投标文件使用的语言文字为中文。专用术语使用外文的，应附有中文注释。</w:t>
      </w:r>
    </w:p>
    <w:p w14:paraId="2672C084">
      <w:pPr>
        <w:kinsoku w:val="0"/>
        <w:overflowPunct w:val="0"/>
        <w:spacing w:before="120" w:after="120" w:line="360" w:lineRule="auto"/>
        <w:outlineLvl w:val="2"/>
        <w:rPr>
          <w:rFonts w:ascii="宋体" w:hAnsi="宋体" w:eastAsia="宋体"/>
          <w:b/>
          <w:bCs/>
          <w:sz w:val="24"/>
          <w:szCs w:val="24"/>
          <w:highlight w:val="none"/>
        </w:rPr>
      </w:pPr>
      <w:bookmarkStart w:id="53" w:name="bookmark28"/>
      <w:bookmarkEnd w:id="53"/>
      <w:r>
        <w:rPr>
          <w:rFonts w:hint="eastAsia" w:ascii="宋体" w:hAnsi="宋体" w:eastAsia="宋体"/>
          <w:b/>
          <w:bCs/>
          <w:sz w:val="24"/>
          <w:szCs w:val="24"/>
          <w:highlight w:val="none"/>
        </w:rPr>
        <w:t>1.8 计量单位</w:t>
      </w:r>
    </w:p>
    <w:p w14:paraId="1D995B97">
      <w:pPr>
        <w:kinsoku w:val="0"/>
        <w:overflowPunct w:val="0"/>
        <w:spacing w:after="120" w:line="360" w:lineRule="auto"/>
        <w:ind w:firstLine="476" w:firstLineChars="200"/>
        <w:rPr>
          <w:rFonts w:ascii="宋体" w:hAnsi="宋体" w:eastAsia="宋体"/>
          <w:kern w:val="0"/>
          <w:sz w:val="24"/>
          <w:szCs w:val="24"/>
          <w:highlight w:val="none"/>
        </w:rPr>
      </w:pPr>
      <w:r>
        <w:rPr>
          <w:rFonts w:hint="eastAsia" w:ascii="宋体" w:hAnsi="宋体" w:eastAsia="宋体"/>
          <w:spacing w:val="-1"/>
          <w:kern w:val="0"/>
          <w:sz w:val="24"/>
          <w:szCs w:val="24"/>
          <w:highlight w:val="none"/>
        </w:rPr>
        <w:t>所有计量均采用中华人民共和国法定计量单位。</w:t>
      </w:r>
    </w:p>
    <w:p w14:paraId="666B1E6A">
      <w:pPr>
        <w:kinsoku w:val="0"/>
        <w:overflowPunct w:val="0"/>
        <w:spacing w:before="120" w:after="120" w:line="360" w:lineRule="auto"/>
        <w:outlineLvl w:val="2"/>
        <w:rPr>
          <w:rFonts w:ascii="宋体" w:hAnsi="宋体" w:eastAsia="宋体"/>
          <w:b/>
          <w:bCs/>
          <w:sz w:val="24"/>
          <w:szCs w:val="24"/>
          <w:highlight w:val="none"/>
        </w:rPr>
      </w:pPr>
      <w:bookmarkStart w:id="54" w:name="bookmark29"/>
      <w:bookmarkEnd w:id="54"/>
      <w:r>
        <w:rPr>
          <w:rFonts w:hint="eastAsia" w:ascii="宋体" w:hAnsi="宋体" w:eastAsia="宋体"/>
          <w:b/>
          <w:bCs/>
          <w:sz w:val="24"/>
          <w:szCs w:val="24"/>
          <w:highlight w:val="none"/>
        </w:rPr>
        <w:t>1.9 投标预备会</w:t>
      </w:r>
    </w:p>
    <w:p w14:paraId="6257089A">
      <w:pPr>
        <w:kinsoku w:val="0"/>
        <w:overflowPunct w:val="0"/>
        <w:spacing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1.9.1投标人须知前附表规定召开投标预备会的，招标人按投标人须知前附表规定的时间和地点召开投标预备会，澄清投标人提出的问题。</w:t>
      </w:r>
    </w:p>
    <w:p w14:paraId="54161C7A">
      <w:pPr>
        <w:kinsoku w:val="0"/>
        <w:overflowPunct w:val="0"/>
        <w:spacing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1.9.2投标人应按投标人须知前附表规定的时间和形式将提出的问题送达招标人，以便招标人在会议期间澄清。</w:t>
      </w:r>
    </w:p>
    <w:p w14:paraId="3C2FDDCC">
      <w:pPr>
        <w:kinsoku w:val="0"/>
        <w:overflowPunct w:val="0"/>
        <w:spacing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1.9.3投标预备会后，招标人将对投标人所提问题的澄清，以投标人须知前附表规定的形式通知所有购买招标文件的投标人。该澄清内容为招标文件的组成部分。</w:t>
      </w:r>
    </w:p>
    <w:p w14:paraId="0993D1B4">
      <w:pPr>
        <w:kinsoku w:val="0"/>
        <w:overflowPunct w:val="0"/>
        <w:spacing w:before="120" w:after="120" w:line="360" w:lineRule="auto"/>
        <w:outlineLvl w:val="2"/>
        <w:rPr>
          <w:rFonts w:ascii="宋体" w:hAnsi="宋体" w:eastAsia="宋体"/>
          <w:b/>
          <w:bCs/>
          <w:sz w:val="24"/>
          <w:szCs w:val="24"/>
          <w:highlight w:val="none"/>
        </w:rPr>
      </w:pPr>
      <w:bookmarkStart w:id="55" w:name="bookmark30"/>
      <w:bookmarkEnd w:id="55"/>
      <w:r>
        <w:rPr>
          <w:rFonts w:hint="eastAsia" w:ascii="宋体" w:hAnsi="宋体" w:eastAsia="宋体"/>
          <w:b/>
          <w:bCs/>
          <w:sz w:val="24"/>
          <w:szCs w:val="24"/>
          <w:highlight w:val="none"/>
        </w:rPr>
        <w:t>1.10 分包</w:t>
      </w:r>
    </w:p>
    <w:p w14:paraId="62591B11">
      <w:pPr>
        <w:kinsoku w:val="0"/>
        <w:overflowPunct w:val="0"/>
        <w:spacing w:after="120" w:line="360" w:lineRule="auto"/>
        <w:ind w:firstLine="480" w:firstLineChars="200"/>
        <w:rPr>
          <w:rFonts w:ascii="宋体" w:hAnsi="宋体" w:eastAsia="宋体"/>
          <w:kern w:val="0"/>
          <w:sz w:val="24"/>
          <w:szCs w:val="24"/>
          <w:highlight w:val="none"/>
        </w:rPr>
      </w:pPr>
      <w:bookmarkStart w:id="56" w:name="bookmark31"/>
      <w:bookmarkEnd w:id="56"/>
      <w:r>
        <w:rPr>
          <w:rFonts w:hint="eastAsia" w:ascii="宋体" w:hAnsi="宋体" w:eastAsia="宋体"/>
          <w:kern w:val="0"/>
          <w:sz w:val="24"/>
          <w:szCs w:val="24"/>
          <w:highlight w:val="none"/>
        </w:rPr>
        <w:t>1.10.1投标人拟在中标后将中标项目的非主体设备进行分包的，应符合投标人须知前附表规定的分包内容、分包金额和资质要求等限制性条件，除投标人须知前附表规定的非主体设备外，其他工作不得分包。</w:t>
      </w:r>
    </w:p>
    <w:p w14:paraId="2EA9504A">
      <w:pPr>
        <w:kinsoku w:val="0"/>
        <w:overflowPunct w:val="0"/>
        <w:spacing w:after="120"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1.10.2中标人不得向他人转让中标项目，接受分包的人不得再次分包。中标人应当就分包项目向招标人负责，接受分包的人就分包项目承担连带责任。</w:t>
      </w:r>
    </w:p>
    <w:p w14:paraId="2BC5EA5B">
      <w:pPr>
        <w:kinsoku w:val="0"/>
        <w:overflowPunct w:val="0"/>
        <w:spacing w:before="120" w:after="120" w:line="360" w:lineRule="auto"/>
        <w:outlineLvl w:val="2"/>
        <w:rPr>
          <w:rFonts w:ascii="宋体" w:hAnsi="宋体" w:eastAsia="宋体"/>
          <w:b/>
          <w:bCs/>
          <w:sz w:val="24"/>
          <w:szCs w:val="24"/>
          <w:highlight w:val="none"/>
        </w:rPr>
      </w:pPr>
      <w:bookmarkStart w:id="57" w:name="bookmark32"/>
      <w:bookmarkEnd w:id="57"/>
      <w:r>
        <w:rPr>
          <w:rFonts w:hint="eastAsia" w:ascii="宋体" w:hAnsi="宋体" w:eastAsia="宋体"/>
          <w:b/>
          <w:bCs/>
          <w:sz w:val="24"/>
          <w:szCs w:val="24"/>
          <w:highlight w:val="none"/>
        </w:rPr>
        <w:t>1.11 响应和偏差</w:t>
      </w:r>
    </w:p>
    <w:p w14:paraId="0A67FDFF">
      <w:pPr>
        <w:kinsoku w:val="0"/>
        <w:overflowPunct w:val="0"/>
        <w:spacing w:line="360" w:lineRule="auto"/>
        <w:ind w:firstLine="480" w:firstLineChars="200"/>
        <w:rPr>
          <w:rFonts w:ascii="宋体" w:hAnsi="宋体" w:eastAsia="宋体"/>
          <w:kern w:val="0"/>
          <w:sz w:val="24"/>
          <w:szCs w:val="24"/>
          <w:highlight w:val="none"/>
        </w:rPr>
      </w:pPr>
      <w:bookmarkStart w:id="58" w:name="_Toc8160"/>
      <w:bookmarkStart w:id="59" w:name="_Toc3119"/>
      <w:bookmarkStart w:id="60" w:name="_Toc22910"/>
      <w:bookmarkStart w:id="61" w:name="_Toc532367874"/>
      <w:bookmarkStart w:id="62" w:name="_Toc4330"/>
      <w:bookmarkStart w:id="63" w:name="_Toc377719901"/>
      <w:bookmarkStart w:id="64" w:name="_Toc31365"/>
      <w:bookmarkStart w:id="65" w:name="_Toc8885"/>
      <w:r>
        <w:rPr>
          <w:rFonts w:hint="eastAsia" w:ascii="宋体" w:hAnsi="宋体" w:eastAsia="宋体"/>
          <w:kern w:val="0"/>
          <w:sz w:val="24"/>
          <w:szCs w:val="24"/>
          <w:highlight w:val="none"/>
        </w:rPr>
        <w:t>1.11.1投标文件应当对招标文件的实质性要求和条件作出满足性或更有利于招标人的响应，否则，投标人的投标将被否决。实质性要求和条件见投标人须知前附表。</w:t>
      </w:r>
    </w:p>
    <w:p w14:paraId="46F9CD9C">
      <w:pPr>
        <w:kinsoku w:val="0"/>
        <w:overflowPunct w:val="0"/>
        <w:spacing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1.11.2投标人应根据招标文件的要求提供投标设备技术性能指标的详细描述、技术支持资料及技术服务和质保期服务计划等内容以对招标文件作出响应。</w:t>
      </w:r>
    </w:p>
    <w:p w14:paraId="02B25147">
      <w:pPr>
        <w:kinsoku w:val="0"/>
        <w:overflowPunct w:val="0"/>
        <w:spacing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1.11.3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00DB95ED">
      <w:pPr>
        <w:kinsoku w:val="0"/>
        <w:overflowPunct w:val="0"/>
        <w:spacing w:line="360" w:lineRule="auto"/>
        <w:ind w:firstLine="480" w:firstLineChars="200"/>
        <w:rPr>
          <w:rFonts w:ascii="宋体" w:hAnsi="宋体" w:eastAsia="宋体"/>
          <w:kern w:val="0"/>
          <w:sz w:val="24"/>
          <w:szCs w:val="24"/>
          <w:highlight w:val="none"/>
        </w:rPr>
      </w:pPr>
      <w:r>
        <w:rPr>
          <w:rFonts w:hint="eastAsia" w:ascii="宋体" w:hAnsi="宋体" w:eastAsia="宋体"/>
          <w:kern w:val="0"/>
          <w:sz w:val="24"/>
          <w:szCs w:val="24"/>
          <w:highlight w:val="none"/>
        </w:rPr>
        <w:t>1.11.4投标人须知前附表规定了可以偏差的范围和最高偏差项数的，偏差应当符合投标人须知前附表规定的偏差范围和最高项数，超出偏差范围和最高偏差项数的投标将被否决。</w:t>
      </w:r>
    </w:p>
    <w:p w14:paraId="04CB48B4">
      <w:pPr>
        <w:kinsoku w:val="0"/>
        <w:overflowPunct w:val="0"/>
        <w:spacing w:line="360" w:lineRule="auto"/>
        <w:ind w:firstLine="480" w:firstLineChars="200"/>
        <w:rPr>
          <w:rFonts w:ascii="宋体" w:hAnsi="宋体" w:eastAsia="宋体"/>
          <w:b/>
          <w:bCs/>
          <w:kern w:val="0"/>
          <w:sz w:val="24"/>
          <w:szCs w:val="24"/>
          <w:highlight w:val="none"/>
        </w:rPr>
      </w:pPr>
      <w:r>
        <w:rPr>
          <w:rFonts w:hint="eastAsia" w:ascii="宋体" w:hAnsi="宋体" w:eastAsia="宋体"/>
          <w:kern w:val="0"/>
          <w:sz w:val="24"/>
          <w:szCs w:val="24"/>
          <w:highlight w:val="none"/>
        </w:rPr>
        <w:t>1.11.5投标文件对招标文件的全部偏差，均应在投标文件的商务和技术偏差表中列明，除列明的内容外，视为投标人响应招标文件的全部要求。</w:t>
      </w:r>
    </w:p>
    <w:p w14:paraId="52C0198A">
      <w:pPr>
        <w:keepNext/>
        <w:keepLines/>
        <w:spacing w:before="240" w:after="240" w:line="360" w:lineRule="auto"/>
        <w:outlineLvl w:val="2"/>
        <w:rPr>
          <w:rFonts w:ascii="宋体" w:hAnsi="宋体" w:eastAsia="宋体"/>
          <w:b/>
          <w:bCs/>
          <w:sz w:val="30"/>
          <w:szCs w:val="30"/>
          <w:highlight w:val="none"/>
        </w:rPr>
      </w:pPr>
      <w:bookmarkStart w:id="66" w:name="_Toc31503"/>
      <w:bookmarkStart w:id="67" w:name="_Toc24924"/>
      <w:r>
        <w:rPr>
          <w:rFonts w:hint="eastAsia" w:ascii="宋体" w:hAnsi="宋体" w:eastAsia="宋体"/>
          <w:b/>
          <w:bCs/>
          <w:sz w:val="30"/>
          <w:szCs w:val="30"/>
          <w:highlight w:val="none"/>
        </w:rPr>
        <w:t>2. 招标文件</w:t>
      </w:r>
      <w:bookmarkEnd w:id="58"/>
      <w:bookmarkEnd w:id="59"/>
      <w:bookmarkEnd w:id="60"/>
      <w:bookmarkEnd w:id="61"/>
      <w:bookmarkEnd w:id="62"/>
      <w:bookmarkEnd w:id="63"/>
      <w:bookmarkEnd w:id="64"/>
      <w:bookmarkEnd w:id="65"/>
      <w:bookmarkEnd w:id="66"/>
      <w:bookmarkEnd w:id="67"/>
    </w:p>
    <w:p w14:paraId="2B378DCA">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2.1  招标文件的组成</w:t>
      </w:r>
    </w:p>
    <w:p w14:paraId="0E2F32DB">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本招标文件包括：</w:t>
      </w:r>
    </w:p>
    <w:p w14:paraId="6B38DC10">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（1）招标公告（或投标邀请书）；</w:t>
      </w:r>
    </w:p>
    <w:p w14:paraId="23FB3DD5">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（2）投标人须知；</w:t>
      </w:r>
    </w:p>
    <w:p w14:paraId="37356575">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（3）评标办法；</w:t>
      </w:r>
    </w:p>
    <w:p w14:paraId="73CC2B83">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（4）合同条款及格式；</w:t>
      </w:r>
    </w:p>
    <w:p w14:paraId="01DD2238">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（5）供货要求；</w:t>
      </w:r>
    </w:p>
    <w:p w14:paraId="1DA2A669">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（6）投标文件格式；</w:t>
      </w:r>
    </w:p>
    <w:p w14:paraId="5928445C">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（7）投标人须知前附表规定的其他资料。</w:t>
      </w:r>
    </w:p>
    <w:p w14:paraId="68C35B64">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根据本章第1.9款、第2.2款和第2.3款对招标文件所作的澄清、修改，构成招标文件的组成部分。</w:t>
      </w:r>
    </w:p>
    <w:p w14:paraId="30DC8FFB">
      <w:pPr>
        <w:keepNext/>
        <w:keepLines/>
        <w:spacing w:before="120" w:after="120" w:line="360" w:lineRule="auto"/>
        <w:outlineLvl w:val="2"/>
        <w:rPr>
          <w:rFonts w:ascii="宋体" w:hAnsi="宋体" w:eastAsia="宋体"/>
          <w:b/>
          <w:bCs/>
          <w:sz w:val="24"/>
          <w:szCs w:val="24"/>
          <w:highlight w:val="none"/>
        </w:rPr>
      </w:pPr>
      <w:bookmarkStart w:id="68" w:name="_Toc377719902"/>
      <w:r>
        <w:rPr>
          <w:rFonts w:hint="eastAsia" w:ascii="宋体" w:hAnsi="宋体" w:eastAsia="宋体"/>
          <w:b/>
          <w:bCs/>
          <w:sz w:val="24"/>
          <w:szCs w:val="24"/>
          <w:highlight w:val="none"/>
        </w:rPr>
        <w:t>2.2.招标文件的澄清</w:t>
      </w:r>
    </w:p>
    <w:p w14:paraId="7EF16F47">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338DD2F8">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2.2.2招标文件的澄清以投标人须知前附表规定的形式发给所有</w:t>
      </w:r>
      <w:r>
        <w:rPr>
          <w:rFonts w:hint="eastAsia" w:ascii="宋体" w:hAnsi="宋体" w:eastAsia="宋体"/>
          <w:sz w:val="24"/>
          <w:szCs w:val="24"/>
          <w:highlight w:val="none"/>
          <w:u w:val="single"/>
        </w:rPr>
        <w:t>潜在投标人</w:t>
      </w:r>
      <w:r>
        <w:rPr>
          <w:rFonts w:hint="eastAsia" w:ascii="宋体" w:hAnsi="宋体" w:eastAsia="宋体"/>
          <w:sz w:val="24"/>
          <w:szCs w:val="24"/>
          <w:highlight w:val="none"/>
        </w:rPr>
        <w:t>，但不指明澄清问题的来源。澄清发出的时间距本章第4.2.1项规定的投标截止时间不足15日的，并且澄清内容可能影响投标文件编制的，将相应延长投标截止时间。</w:t>
      </w:r>
    </w:p>
    <w:p w14:paraId="6CB88CC9">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2.2.3投标人在收到澄清后，应按投标人须知前附表规定的时间和形式通知招标人，确认已收到该澄清。</w:t>
      </w:r>
    </w:p>
    <w:p w14:paraId="5351B396">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2.2.4除非招标人认为确有必要答复，否则，招标人有权拒绝回复投标人在本章第2.2.1项规定的时间后的任何澄清要求。</w:t>
      </w:r>
    </w:p>
    <w:p w14:paraId="5ED3C9A6">
      <w:pPr>
        <w:kinsoku w:val="0"/>
        <w:overflowPunct w:val="0"/>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2.3 招标文件的修改</w:t>
      </w:r>
    </w:p>
    <w:p w14:paraId="5237BA20">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2.3.1招标人以投标人须知前附表规定的形式修改招标文件，并通知所有已购买招标文件的投标人。修改招标文件的时间距本章第4.2.1项规定的投标截止时间不足15日的，并且修改内容可能影响投标文件编制的，将相应延长投标截止时间。</w:t>
      </w:r>
    </w:p>
    <w:p w14:paraId="6937EB6F">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2.3.2投标人收到修改内容后，应按投标人须知前附表规定的时间和形式通知招标人，确认已收到该修改。</w:t>
      </w:r>
    </w:p>
    <w:p w14:paraId="1658D363">
      <w:pPr>
        <w:kinsoku w:val="0"/>
        <w:overflowPunct w:val="0"/>
        <w:spacing w:before="120" w:after="120" w:line="360" w:lineRule="auto"/>
        <w:outlineLvl w:val="2"/>
        <w:rPr>
          <w:rFonts w:ascii="宋体" w:hAnsi="宋体" w:eastAsia="宋体"/>
          <w:b/>
          <w:bCs/>
          <w:sz w:val="24"/>
          <w:szCs w:val="24"/>
          <w:highlight w:val="none"/>
        </w:rPr>
      </w:pPr>
      <w:bookmarkStart w:id="69" w:name="bookmark37"/>
      <w:bookmarkEnd w:id="69"/>
      <w:r>
        <w:rPr>
          <w:rFonts w:hint="eastAsia" w:ascii="宋体" w:hAnsi="宋体" w:eastAsia="宋体"/>
          <w:b/>
          <w:bCs/>
          <w:sz w:val="24"/>
          <w:szCs w:val="24"/>
          <w:highlight w:val="none"/>
        </w:rPr>
        <w:t>2.4 招标文件的异议</w:t>
      </w:r>
    </w:p>
    <w:p w14:paraId="77344CD9">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投标人或者其他利害关系人对招标文件有异议的，应当在投标截止时间10日前以书面形式提出。招标人将在收到异议之日起3日内作出答复；作出答复前，将暂停招标投标活动。</w:t>
      </w:r>
    </w:p>
    <w:p w14:paraId="2D0DC08E">
      <w:pPr>
        <w:keepNext/>
        <w:keepLines/>
        <w:spacing w:before="240" w:after="240" w:line="360" w:lineRule="auto"/>
        <w:jc w:val="left"/>
        <w:outlineLvl w:val="2"/>
        <w:rPr>
          <w:rFonts w:ascii="宋体" w:hAnsi="宋体" w:eastAsia="宋体"/>
          <w:b/>
          <w:bCs/>
          <w:sz w:val="30"/>
          <w:szCs w:val="30"/>
          <w:highlight w:val="none"/>
        </w:rPr>
      </w:pPr>
      <w:bookmarkStart w:id="70" w:name="_Toc532367875"/>
      <w:bookmarkStart w:id="71" w:name="_Toc23329"/>
      <w:bookmarkStart w:id="72" w:name="_Toc14848"/>
      <w:bookmarkStart w:id="73" w:name="_Toc6920"/>
      <w:bookmarkStart w:id="74" w:name="_Toc30380"/>
      <w:bookmarkStart w:id="75" w:name="_Toc25907"/>
      <w:bookmarkStart w:id="76" w:name="_Toc3526"/>
      <w:bookmarkStart w:id="77" w:name="_Toc15723"/>
      <w:bookmarkStart w:id="78" w:name="_Toc1157"/>
      <w:r>
        <w:rPr>
          <w:rFonts w:hint="eastAsia" w:ascii="宋体" w:hAnsi="宋体" w:eastAsia="宋体"/>
          <w:b/>
          <w:bCs/>
          <w:sz w:val="30"/>
          <w:szCs w:val="30"/>
          <w:highlight w:val="none"/>
        </w:rPr>
        <w:t>3. 投标文件</w:t>
      </w:r>
      <w:bookmarkEnd w:id="68"/>
      <w:bookmarkEnd w:id="70"/>
      <w:bookmarkEnd w:id="71"/>
      <w:bookmarkEnd w:id="72"/>
      <w:bookmarkEnd w:id="73"/>
      <w:bookmarkEnd w:id="74"/>
      <w:bookmarkEnd w:id="75"/>
      <w:bookmarkEnd w:id="76"/>
      <w:bookmarkEnd w:id="77"/>
      <w:bookmarkEnd w:id="78"/>
    </w:p>
    <w:p w14:paraId="6B48DBCA">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3.1 组成投标文件的文件</w:t>
      </w:r>
    </w:p>
    <w:p w14:paraId="5A0BB4BB">
      <w:pPr>
        <w:spacing w:line="360" w:lineRule="auto"/>
        <w:ind w:firstLine="480" w:firstLineChars="200"/>
        <w:rPr>
          <w:rFonts w:ascii="宋体" w:hAnsi="宋体" w:eastAsia="宋体"/>
          <w:sz w:val="24"/>
          <w:szCs w:val="24"/>
          <w:highlight w:val="none"/>
          <w:u w:val="single"/>
        </w:rPr>
      </w:pPr>
      <w:r>
        <w:rPr>
          <w:rFonts w:hint="eastAsia" w:ascii="宋体" w:hAnsi="宋体" w:eastAsia="宋体"/>
          <w:sz w:val="24"/>
          <w:szCs w:val="24"/>
          <w:highlight w:val="none"/>
        </w:rPr>
        <w:t>3.1.1投标文件应包括下列内容：</w:t>
      </w:r>
      <w:r>
        <w:rPr>
          <w:rFonts w:hint="eastAsia" w:ascii="宋体" w:hAnsi="宋体" w:eastAsia="宋体"/>
          <w:sz w:val="24"/>
          <w:szCs w:val="24"/>
          <w:highlight w:val="none"/>
          <w:u w:val="single"/>
        </w:rPr>
        <w:t>（详见第六章）</w:t>
      </w:r>
    </w:p>
    <w:p w14:paraId="586A9C8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（1）投标函；</w:t>
      </w:r>
    </w:p>
    <w:p w14:paraId="63C23A3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（2）法定代表人（单位负责人）身份证明或授权委托书；</w:t>
      </w:r>
    </w:p>
    <w:p w14:paraId="3DC2A44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（3）联合体协议书；</w:t>
      </w:r>
    </w:p>
    <w:p w14:paraId="26CE8E1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（4）投标保证金；</w:t>
      </w:r>
    </w:p>
    <w:p w14:paraId="70AE828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（5）商务和技术偏差表；</w:t>
      </w:r>
    </w:p>
    <w:p w14:paraId="5BC517E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（6）分项报价表；</w:t>
      </w:r>
    </w:p>
    <w:p w14:paraId="3F2A00F6">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（7）资格审查资料；</w:t>
      </w:r>
    </w:p>
    <w:p w14:paraId="6DACE06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（8）投标设备技术性能指标的详细描述；</w:t>
      </w:r>
    </w:p>
    <w:p w14:paraId="53548C60">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（9）技术支持资料；</w:t>
      </w:r>
    </w:p>
    <w:p w14:paraId="371E6D5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（10）技术服务和质保期服务计划；</w:t>
      </w:r>
    </w:p>
    <w:p w14:paraId="1774E59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（11）投标人须知前附表规定的其他资料。</w:t>
      </w:r>
    </w:p>
    <w:p w14:paraId="12C23C9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投标人在评标过程中作出的符合法律法规和招标文件规定的澄清确认，构成投标文件的组成部分。</w:t>
      </w:r>
    </w:p>
    <w:p w14:paraId="51F3D030">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3.1.2投标人须知前附表规定不接受联合体投标的，或投标人没有组成联合体的，投标文件不包括本章第3.1.1（3）目所指的联合体协议书。</w:t>
      </w:r>
    </w:p>
    <w:p w14:paraId="35458CC6">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3.1.3投标人须知前附表未要求提交投标保证金的，投标文件不包括本章第3.1.1（4）目所指的投标保证金。</w:t>
      </w:r>
    </w:p>
    <w:p w14:paraId="1DE30363">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3.2  投标价格</w:t>
      </w:r>
    </w:p>
    <w:p w14:paraId="315D5F1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3.2.1投标报价应包括国家规定的增值税税金，除投标人须知前附表另有规定外，增值税税金按一般计税方法计算。投标人应按第六章“投标文件格式”的要求在投标函中进行报价并填写分项报价表。</w:t>
      </w:r>
    </w:p>
    <w:p w14:paraId="60C40CC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3.2.2投标人应充分了解该项目的总体情况以及影响投标报价的其他要素。</w:t>
      </w:r>
    </w:p>
    <w:p w14:paraId="6188ECF7">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3.2.3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4.3款的有关要求。</w:t>
      </w:r>
    </w:p>
    <w:p w14:paraId="73AFE0D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3.2.4招标人设有最高投标限价的，投标人的投标报价不得超过最高投标限价，最高投标限价在投标人须知前附表中载明。</w:t>
      </w:r>
    </w:p>
    <w:p w14:paraId="249C189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3.2.5投标报价的其他要求见投标人须知前附表。</w:t>
      </w:r>
    </w:p>
    <w:p w14:paraId="16A1D286">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3.3  投标有效期</w:t>
      </w:r>
    </w:p>
    <w:p w14:paraId="439D496B">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3.3.1除投标人须知前附表另有规定外，投标有效期为90日历天。</w:t>
      </w:r>
    </w:p>
    <w:p w14:paraId="74C678F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3.3.2在投标有效期内，投标人撤销投标文件的，应承担招标文件和法律规定的责任。</w:t>
      </w:r>
    </w:p>
    <w:p w14:paraId="25C5E3D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68EE7B68">
      <w:pPr>
        <w:spacing w:line="360" w:lineRule="auto"/>
        <w:rPr>
          <w:rFonts w:ascii="宋体" w:hAnsi="宋体" w:eastAsia="宋体"/>
          <w:sz w:val="24"/>
          <w:szCs w:val="24"/>
          <w:highlight w:val="none"/>
        </w:rPr>
      </w:pPr>
      <w:r>
        <w:rPr>
          <w:rFonts w:hint="eastAsia" w:ascii="宋体" w:hAnsi="宋体" w:eastAsia="宋体"/>
          <w:b/>
          <w:bCs/>
          <w:sz w:val="24"/>
          <w:szCs w:val="24"/>
          <w:highlight w:val="none"/>
        </w:rPr>
        <w:t xml:space="preserve">3.4 投标保证金 </w:t>
      </w:r>
    </w:p>
    <w:p w14:paraId="240A32F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3.4.1 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w:t>
      </w:r>
    </w:p>
    <w:p w14:paraId="0ABECFF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3.4.2 投标人不按本章第 3.4.1 项要求提交投标保证金的，评标委员会将否决其投标。 </w:t>
      </w:r>
    </w:p>
    <w:p w14:paraId="47BFA356">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3.4.3</w:t>
      </w:r>
      <w:r>
        <w:rPr>
          <w:rFonts w:hint="eastAsia" w:ascii="宋体" w:hAnsi="宋体" w:eastAsia="宋体"/>
          <w:sz w:val="24"/>
          <w:szCs w:val="24"/>
          <w:highlight w:val="none"/>
          <w:u w:val="single"/>
        </w:rPr>
        <w:t>投标保证金应依据法律法规的相关规定退还。</w:t>
      </w:r>
      <w:r>
        <w:rPr>
          <w:rFonts w:hint="eastAsia" w:ascii="宋体" w:hAnsi="宋体" w:eastAsia="宋体"/>
          <w:sz w:val="24"/>
          <w:szCs w:val="24"/>
          <w:highlight w:val="none"/>
        </w:rPr>
        <w:t xml:space="preserve">。 </w:t>
      </w:r>
    </w:p>
    <w:p w14:paraId="7AD9F9B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3.4.4 有下列情形之一的，投标保证金将不予退还： </w:t>
      </w:r>
    </w:p>
    <w:p w14:paraId="53AD889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（1）投标人在投标有效期内撤销投标文件； </w:t>
      </w:r>
    </w:p>
    <w:p w14:paraId="15CE80F0">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（2）中标人在收到中标通知书后，无正当理由不与招标人订立合同，在签订合同时向招标人提出附加条件，或者不按照招标文件要求提交履约保证金； </w:t>
      </w:r>
    </w:p>
    <w:p w14:paraId="70DA7AC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（3）发生投标人须知前附表规定的其他可以不予退还投标保证金的情形。</w:t>
      </w:r>
    </w:p>
    <w:p w14:paraId="40E399EC">
      <w:pPr>
        <w:kinsoku w:val="0"/>
        <w:overflowPunct w:val="0"/>
        <w:spacing w:line="360" w:lineRule="auto"/>
        <w:jc w:val="left"/>
        <w:rPr>
          <w:rFonts w:ascii="宋体" w:hAnsi="宋体" w:eastAsia="宋体"/>
          <w:b/>
          <w:bCs/>
          <w:sz w:val="24"/>
          <w:szCs w:val="24"/>
          <w:highlight w:val="none"/>
        </w:rPr>
      </w:pPr>
      <w:bookmarkStart w:id="79" w:name="_Toc511383850"/>
      <w:r>
        <w:rPr>
          <w:rFonts w:hint="eastAsia" w:ascii="宋体" w:hAnsi="宋体" w:eastAsia="宋体"/>
          <w:b/>
          <w:bCs/>
          <w:sz w:val="24"/>
          <w:szCs w:val="24"/>
          <w:highlight w:val="none"/>
        </w:rPr>
        <w:t>3.5 资格审查资料</w:t>
      </w:r>
      <w:bookmarkEnd w:id="79"/>
      <w:r>
        <w:rPr>
          <w:rFonts w:hint="eastAsia" w:ascii="宋体" w:hAnsi="宋体" w:eastAsia="宋体"/>
          <w:b/>
          <w:bCs/>
          <w:sz w:val="24"/>
          <w:szCs w:val="24"/>
          <w:highlight w:val="none"/>
        </w:rPr>
        <w:t>（适用于已进行资格预审的）</w:t>
      </w:r>
    </w:p>
    <w:p w14:paraId="06C823B7">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14:paraId="6B4668DA">
      <w:pPr>
        <w:kinsoku w:val="0"/>
        <w:overflowPunct w:val="0"/>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3.5 资格审查资料（适用于未进行资格预审的）</w:t>
      </w:r>
    </w:p>
    <w:p w14:paraId="2DA87A5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除投标人须知前附表另有规定外，投标人应按下列规定提供资格审查资料，以证明其满足本章第1.4款规定的资质、财务、业绩、信誉等要求。</w:t>
      </w:r>
    </w:p>
    <w:p w14:paraId="46A23E6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3.5.1“投标人基本情况表”应附投标人及其制造商（适用于代理经销商投标的情形）资格或者资质证书副本和投标材料检验或认证等材料的复印件以及：</w:t>
      </w:r>
    </w:p>
    <w:p w14:paraId="3CA5530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（1）投标人为企业的，应提交营业执照和组织机构代码证的复印件（按照“三证合一”或“五证合一”登记制度进行登记的，可仅提供营业执照复印件）；</w:t>
      </w:r>
    </w:p>
    <w:p w14:paraId="2A7EC5B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（2）投标人为依法允许经营的事业单位的，应提交事业单位法人证书和组织机构代码证的复印件。</w:t>
      </w:r>
    </w:p>
    <w:p w14:paraId="4F6E3178">
      <w:pPr>
        <w:kinsoku w:val="0"/>
        <w:overflowPunct w:val="0"/>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3.6 备选投标方案</w:t>
      </w:r>
    </w:p>
    <w:p w14:paraId="6A918B17">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3.6.1除投标人须知前附表规定允许外，投标人不得递交备选投标方案，否则其投标将被否决。</w:t>
      </w:r>
    </w:p>
    <w:p w14:paraId="6AC73F1B">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4BA54AF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3.6.3投标人提供两个或两个以上投标报价，或者在投标文件中提供一个报价，但同时提供两个或两个以上服务方案的，视为提供备选方案。</w:t>
      </w:r>
    </w:p>
    <w:p w14:paraId="58257543">
      <w:pPr>
        <w:kinsoku w:val="0"/>
        <w:overflowPunct w:val="0"/>
        <w:spacing w:line="360" w:lineRule="auto"/>
        <w:jc w:val="left"/>
        <w:rPr>
          <w:rFonts w:ascii="宋体" w:hAnsi="宋体" w:eastAsia="宋体"/>
          <w:b/>
          <w:bCs/>
          <w:sz w:val="24"/>
          <w:szCs w:val="24"/>
          <w:highlight w:val="none"/>
        </w:rPr>
      </w:pPr>
      <w:bookmarkStart w:id="80" w:name="bookmark46"/>
      <w:bookmarkEnd w:id="80"/>
      <w:r>
        <w:rPr>
          <w:rFonts w:hint="eastAsia" w:ascii="宋体" w:hAnsi="宋体" w:eastAsia="宋体"/>
          <w:b/>
          <w:bCs/>
          <w:sz w:val="24"/>
          <w:szCs w:val="24"/>
          <w:highlight w:val="none"/>
        </w:rPr>
        <w:t>3.7 投标文件的编制</w:t>
      </w:r>
    </w:p>
    <w:p w14:paraId="1109547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3.7.1投标文件应按第六章“投标文件格式”进行编写，如有必要，可以增加附页，作为投标文件的组成部分。</w:t>
      </w:r>
    </w:p>
    <w:p w14:paraId="521AF58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3.7.2投标文件应当对招标文件有关供货期、投标有效期、供货要求、招标范围等实质性内容作出响应。投标文件在满足招标文件实质性要求的基础上，可以提出比招标文件要求更有利于招标人的承诺。</w:t>
      </w:r>
    </w:p>
    <w:p w14:paraId="39855B7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3.7.3（A）（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符合第六章“投标文件格式”的要求。投标文件应尽量避免涂改、行间插字或删除。如果出现上述情况，改动之处应由投标人的法定代表人（单位负责人）或其授权的代理人签字或盖单位章。 </w:t>
      </w:r>
    </w:p>
    <w:p w14:paraId="092CDA52">
      <w:pPr>
        <w:spacing w:line="360" w:lineRule="auto"/>
        <w:ind w:firstLine="480" w:firstLineChars="200"/>
        <w:rPr>
          <w:rFonts w:ascii="宋体" w:hAnsi="宋体" w:eastAsia="宋体"/>
          <w:sz w:val="24"/>
          <w:szCs w:val="24"/>
          <w:highlight w:val="none"/>
        </w:rPr>
      </w:pPr>
      <w:r>
        <w:rPr>
          <w:rFonts w:hint="eastAsia" w:ascii="宋体" w:hAnsi="宋体" w:eastAsia="宋体"/>
          <w:sz w:val="24"/>
          <w:highlight w:val="none"/>
        </w:rPr>
        <w:t>（</w:t>
      </w:r>
      <w:r>
        <w:rPr>
          <w:rFonts w:hint="eastAsia" w:ascii="宋体" w:hAnsi="宋体" w:eastAsia="宋体"/>
          <w:sz w:val="24"/>
          <w:szCs w:val="24"/>
          <w:highlight w:val="none"/>
        </w:rPr>
        <w:t>2</w:t>
      </w:r>
      <w:r>
        <w:rPr>
          <w:rFonts w:hint="eastAsia" w:ascii="宋体" w:hAnsi="宋体" w:eastAsia="宋体"/>
          <w:sz w:val="24"/>
          <w:highlight w:val="none"/>
        </w:rPr>
        <w:t>）</w:t>
      </w:r>
      <w:r>
        <w:rPr>
          <w:rFonts w:hint="eastAsia" w:ascii="宋体" w:hAnsi="宋体" w:eastAsia="宋体"/>
          <w:sz w:val="24"/>
          <w:szCs w:val="24"/>
          <w:highlight w:val="none"/>
        </w:rPr>
        <w:t xml:space="preserve">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 </w:t>
      </w:r>
    </w:p>
    <w:p w14:paraId="3BEF158F">
      <w:pPr>
        <w:spacing w:line="360" w:lineRule="auto"/>
        <w:ind w:firstLine="480" w:firstLineChars="200"/>
        <w:rPr>
          <w:rFonts w:ascii="宋体" w:hAnsi="宋体" w:eastAsia="宋体"/>
          <w:sz w:val="24"/>
          <w:szCs w:val="24"/>
          <w:highlight w:val="none"/>
        </w:rPr>
      </w:pPr>
      <w:r>
        <w:rPr>
          <w:rFonts w:hint="eastAsia" w:ascii="宋体" w:hAnsi="宋体" w:eastAsia="宋体"/>
          <w:sz w:val="24"/>
          <w:highlight w:val="none"/>
        </w:rPr>
        <w:t>（</w:t>
      </w:r>
      <w:r>
        <w:rPr>
          <w:rFonts w:hint="eastAsia" w:ascii="宋体" w:hAnsi="宋体" w:eastAsia="宋体"/>
          <w:sz w:val="24"/>
          <w:szCs w:val="24"/>
          <w:highlight w:val="none"/>
        </w:rPr>
        <w:t>3</w:t>
      </w:r>
      <w:r>
        <w:rPr>
          <w:rFonts w:hint="eastAsia" w:ascii="宋体" w:hAnsi="宋体" w:eastAsia="宋体"/>
          <w:sz w:val="24"/>
          <w:highlight w:val="none"/>
        </w:rPr>
        <w:t>）</w:t>
      </w:r>
      <w:r>
        <w:rPr>
          <w:rFonts w:hint="eastAsia" w:ascii="宋体" w:hAnsi="宋体" w:eastAsia="宋体"/>
          <w:sz w:val="24"/>
          <w:szCs w:val="24"/>
          <w:highlight w:val="none"/>
        </w:rPr>
        <w:t>投标文件的正本与副本应分别装订，并编制目录，投标文件需分册装订的，具体分册装订要求见投标人须知前附表规定。</w:t>
      </w:r>
    </w:p>
    <w:p w14:paraId="3C9FF98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3.7.3（B）投标文件全部采用电子文档，除投标人须知前附表另有规定外，投标文件所附证书证件均为原件扫描件，并采用单位和个人数字证书，按招标文件要求在相应位置加盖电子印章。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14:paraId="3B4058A2">
      <w:pPr>
        <w:keepNext/>
        <w:keepLines/>
        <w:spacing w:before="240" w:after="240" w:line="360" w:lineRule="auto"/>
        <w:jc w:val="left"/>
        <w:outlineLvl w:val="2"/>
        <w:rPr>
          <w:rFonts w:ascii="宋体" w:hAnsi="宋体" w:eastAsia="宋体"/>
          <w:b/>
          <w:bCs/>
          <w:sz w:val="30"/>
          <w:szCs w:val="30"/>
          <w:highlight w:val="none"/>
        </w:rPr>
      </w:pPr>
      <w:bookmarkStart w:id="81" w:name="_Toc23220"/>
      <w:bookmarkStart w:id="82" w:name="_Toc532367876"/>
      <w:bookmarkStart w:id="83" w:name="_Toc25065"/>
      <w:bookmarkStart w:id="84" w:name="_Toc31557"/>
      <w:bookmarkStart w:id="85" w:name="_Toc9342"/>
      <w:bookmarkStart w:id="86" w:name="_Toc23284"/>
      <w:bookmarkStart w:id="87" w:name="_Toc377719903"/>
      <w:bookmarkStart w:id="88" w:name="_Toc3554"/>
      <w:bookmarkStart w:id="89" w:name="_Toc29593"/>
      <w:bookmarkStart w:id="90" w:name="_Toc24378"/>
      <w:r>
        <w:rPr>
          <w:rFonts w:hint="eastAsia" w:ascii="宋体" w:hAnsi="宋体" w:eastAsia="宋体"/>
          <w:b/>
          <w:bCs/>
          <w:sz w:val="30"/>
          <w:szCs w:val="30"/>
          <w:highlight w:val="none"/>
        </w:rPr>
        <w:t>4. 投标</w:t>
      </w:r>
      <w:bookmarkEnd w:id="81"/>
      <w:bookmarkEnd w:id="82"/>
      <w:bookmarkEnd w:id="83"/>
      <w:bookmarkEnd w:id="84"/>
      <w:bookmarkEnd w:id="85"/>
      <w:bookmarkEnd w:id="86"/>
      <w:bookmarkEnd w:id="87"/>
      <w:bookmarkEnd w:id="88"/>
      <w:bookmarkEnd w:id="89"/>
      <w:bookmarkEnd w:id="90"/>
    </w:p>
    <w:p w14:paraId="7B4F44AF">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4.1 投标文件的密封和标记</w:t>
      </w:r>
    </w:p>
    <w:p w14:paraId="4616114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4.1.1 （A）投标文件应密封包装，并在封套的封口处加盖投标人单位章或由投标人的法定代表人（单位负责人）或其授权的代理人签字。 </w:t>
      </w:r>
    </w:p>
    <w:p w14:paraId="7B53EE1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4.1.1（B）投标人应当按照招标文件和电子招标投标交易平台的要求加密投标文件，具体要求见投标人须知前附表。</w:t>
      </w:r>
    </w:p>
    <w:p w14:paraId="76E2A3F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4.1.2投标文件封套上应写明的内容见投标人须知前附表。</w:t>
      </w:r>
    </w:p>
    <w:p w14:paraId="7DC452F7">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4.1.3未按本章第4.1.1项要求密封的投标文件，招标人将予以拒收。</w:t>
      </w:r>
    </w:p>
    <w:p w14:paraId="6B223277">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4.2 投标文件的递交</w:t>
      </w:r>
    </w:p>
    <w:p w14:paraId="2A8E2A43">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4.2.1投标人应在投标人须知前附表规定的投标截止时间前递交投标文件。</w:t>
      </w:r>
    </w:p>
    <w:p w14:paraId="030E796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4.2.2投标人通过下载招标文件的电子招标投标交易平台递交电子投标文件。</w:t>
      </w:r>
    </w:p>
    <w:p w14:paraId="1101D63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4.2.3除投标人须知前附表另有规定外，投标人所递交的投标文件不予退还。</w:t>
      </w:r>
    </w:p>
    <w:p w14:paraId="572D89A0">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4.2.4 （A）招标人收到投标文件后，向投标人出具签收凭证。 </w:t>
      </w:r>
    </w:p>
    <w:p w14:paraId="61ABB22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4.2.4（B）投标人完成电子投标文件上传后，电子招标投标交易平台即时向投标人发出递交回执通知。递交时间以递交回执通知载明的传输完成时间为准。</w:t>
      </w:r>
    </w:p>
    <w:p w14:paraId="24FCC930">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4.2.5 （A）逾期送达的投标文件，招标人将予以拒收。 </w:t>
      </w:r>
    </w:p>
    <w:p w14:paraId="5394E48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4.2.5（B）逾期送达的投标文件，电子招标投标交易平台将予以拒收。</w:t>
      </w:r>
    </w:p>
    <w:p w14:paraId="10CC74D4">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4.3  投标文件的修改与撤回</w:t>
      </w:r>
    </w:p>
    <w:p w14:paraId="042623E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4.3.1在本章第4.2.1项规定的投标截止时间前，投标人可以修改或撤回已递交的投标文件，但应以书面形式通知招标人。</w:t>
      </w:r>
    </w:p>
    <w:p w14:paraId="36DA887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4.3.2 （A）投标人修改或撤回已递交投标文件的书面通知应按照本章第 3.7.3（A）项的要求签字或盖章。招标人收到书面通知后，向投标人出具签收凭证。</w:t>
      </w:r>
    </w:p>
    <w:p w14:paraId="62629F9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4.3.2（B）投标人修改或撤回已递交投标文件的通知，应按照本章第3.7.3（B）项的要求加盖电子印章。电子招标投标交易平台收到通知后，即时向投标人发出确认回执通知。</w:t>
      </w:r>
    </w:p>
    <w:p w14:paraId="365C29B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4.3.3投标人撤回投标文件的，招标人自收到投标人书面撤回通知之日起5日内退还已收取的投标保证金。</w:t>
      </w:r>
    </w:p>
    <w:p w14:paraId="786D4E9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4.3.4修改的内容为投标文件的组成部分。修改的投标文件应按照本章第3条、第4条的规定进行编制、密封、标记和递交，并标明“修改”字样。</w:t>
      </w:r>
    </w:p>
    <w:p w14:paraId="0E2E1DA7">
      <w:pPr>
        <w:keepNext/>
        <w:keepLines/>
        <w:spacing w:before="240" w:after="240" w:line="360" w:lineRule="auto"/>
        <w:outlineLvl w:val="2"/>
        <w:rPr>
          <w:rFonts w:ascii="宋体" w:hAnsi="宋体" w:eastAsia="宋体"/>
          <w:b/>
          <w:bCs/>
          <w:sz w:val="30"/>
          <w:szCs w:val="30"/>
          <w:highlight w:val="none"/>
        </w:rPr>
      </w:pPr>
      <w:bookmarkStart w:id="91" w:name="_Toc19088"/>
      <w:bookmarkStart w:id="92" w:name="_Toc17418"/>
      <w:bookmarkStart w:id="93" w:name="_Toc5302"/>
      <w:bookmarkStart w:id="94" w:name="_Toc31567"/>
      <w:bookmarkStart w:id="95" w:name="_Toc377719904"/>
      <w:bookmarkStart w:id="96" w:name="_Toc11066"/>
      <w:bookmarkStart w:id="97" w:name="_Toc1684"/>
      <w:bookmarkStart w:id="98" w:name="_Toc532367877"/>
      <w:bookmarkStart w:id="99" w:name="_Toc111"/>
      <w:bookmarkStart w:id="100" w:name="_Toc10549"/>
      <w:r>
        <w:rPr>
          <w:rFonts w:hint="eastAsia" w:ascii="宋体" w:hAnsi="宋体" w:eastAsia="宋体"/>
          <w:b/>
          <w:bCs/>
          <w:sz w:val="30"/>
          <w:szCs w:val="30"/>
          <w:highlight w:val="none"/>
        </w:rPr>
        <w:t>5. 开标</w:t>
      </w:r>
      <w:bookmarkEnd w:id="91"/>
      <w:bookmarkEnd w:id="92"/>
      <w:bookmarkEnd w:id="93"/>
      <w:bookmarkEnd w:id="94"/>
      <w:bookmarkEnd w:id="95"/>
      <w:bookmarkEnd w:id="96"/>
      <w:bookmarkEnd w:id="97"/>
      <w:bookmarkEnd w:id="98"/>
      <w:bookmarkEnd w:id="99"/>
      <w:bookmarkEnd w:id="100"/>
    </w:p>
    <w:p w14:paraId="77B0B019">
      <w:pPr>
        <w:keepNext/>
        <w:keepLines/>
        <w:spacing w:before="240" w:after="240" w:line="360" w:lineRule="auto"/>
        <w:outlineLvl w:val="2"/>
        <w:rPr>
          <w:rFonts w:ascii="宋体" w:hAnsi="宋体" w:eastAsia="宋体"/>
          <w:sz w:val="24"/>
          <w:szCs w:val="24"/>
          <w:highlight w:val="none"/>
        </w:rPr>
      </w:pPr>
      <w:r>
        <w:rPr>
          <w:rFonts w:ascii="宋体" w:hAnsi="宋体" w:eastAsia="宋体"/>
          <w:sz w:val="24"/>
          <w:szCs w:val="24"/>
          <w:highlight w:val="none"/>
        </w:rPr>
        <w:t xml:space="preserve">5.1 开标时间和地点（A） </w:t>
      </w:r>
    </w:p>
    <w:p w14:paraId="4E46005F">
      <w:pPr>
        <w:keepNext/>
        <w:keepLines/>
        <w:spacing w:before="240" w:after="240" w:line="360" w:lineRule="auto"/>
        <w:ind w:firstLine="480" w:firstLineChars="200"/>
        <w:outlineLvl w:val="2"/>
        <w:rPr>
          <w:rFonts w:ascii="宋体" w:hAnsi="宋体" w:eastAsia="宋体"/>
          <w:b/>
          <w:bCs/>
          <w:sz w:val="30"/>
          <w:szCs w:val="30"/>
          <w:highlight w:val="none"/>
        </w:rPr>
      </w:pPr>
      <w:r>
        <w:rPr>
          <w:rFonts w:ascii="宋体" w:hAnsi="宋体" w:eastAsia="宋体"/>
          <w:sz w:val="24"/>
          <w:szCs w:val="24"/>
          <w:highlight w:val="none"/>
        </w:rPr>
        <w:t>招标人在本章第 4.2.1 项规定的投标截止时间（开标时间）和投标人须知前附表规定的地点公开开标，并邀请所有投标人的法定代表人（单位负责人）或其委托代理人准时参加。</w:t>
      </w:r>
    </w:p>
    <w:p w14:paraId="78B11896">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5.1 开标时间和地点（B）</w:t>
      </w:r>
    </w:p>
    <w:p w14:paraId="701A6EE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招标人在本章第4.2.1项规定的投标截止时间（开标时间）,通过电子招标投标交易平台公开开标，所有投标人的法定代表人或其委托代理人应当准时参加。</w:t>
      </w:r>
    </w:p>
    <w:p w14:paraId="2F175A50">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5.2 开标程序</w:t>
      </w:r>
    </w:p>
    <w:p w14:paraId="230C4F70">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主持人按下列程序进行开标：</w:t>
      </w:r>
    </w:p>
    <w:p w14:paraId="7D31BB9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（1）宣布开标纪律；</w:t>
      </w:r>
    </w:p>
    <w:p w14:paraId="01F6DC7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（2）公布在投标截止时间前递交投标文件的投标人名称；</w:t>
      </w:r>
    </w:p>
    <w:p w14:paraId="475A72B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（3）宣布开标人、唱标人、记录人、监标人等有关人员姓名；</w:t>
      </w:r>
    </w:p>
    <w:p w14:paraId="0D1EBF5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（4）（A）检查投标文件的密封情况，按照投标人须知前附表规定的开标顺序当众开标，公布招标项目名称、投标人名称、投标保证金的递交情况、投标报价、交货期、交货地点及其他内容，并记录在案；</w:t>
      </w:r>
    </w:p>
    <w:p w14:paraId="1304A1E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（4）（B）投标人通过电子招标投标交易平台对已递交的电子投标文件进行解密，公布招标项目名称、投标人名称、投标报价、交货期、交货地点及其他内容，并记录在案；</w:t>
      </w:r>
    </w:p>
    <w:p w14:paraId="6FE57EA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（5）（A）投标人代表、招标人代表、监标人、记录人等有关人员在开标记录上签字确认；</w:t>
      </w:r>
    </w:p>
    <w:p w14:paraId="0124149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（5）（B）投标人代表、招标人代表、监标人、记录人等有关人员使用本人的电子印章在开标记录上签字确认；</w:t>
      </w:r>
    </w:p>
    <w:p w14:paraId="65A922B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（6）开标结束。</w:t>
      </w:r>
    </w:p>
    <w:p w14:paraId="3C82E8F1">
      <w:pPr>
        <w:keepNext/>
        <w:keepLines/>
        <w:spacing w:before="120" w:after="120" w:line="360" w:lineRule="auto"/>
        <w:outlineLvl w:val="2"/>
        <w:rPr>
          <w:rFonts w:ascii="宋体" w:hAnsi="宋体" w:eastAsia="宋体"/>
          <w:b/>
          <w:bCs/>
          <w:sz w:val="24"/>
          <w:szCs w:val="24"/>
          <w:highlight w:val="none"/>
        </w:rPr>
      </w:pPr>
      <w:r>
        <w:rPr>
          <w:rFonts w:hint="eastAsia" w:ascii="宋体" w:hAnsi="宋体" w:eastAsia="宋体"/>
          <w:b/>
          <w:bCs/>
          <w:sz w:val="24"/>
          <w:szCs w:val="24"/>
          <w:highlight w:val="none"/>
        </w:rPr>
        <w:t>5.3 开标异议</w:t>
      </w:r>
    </w:p>
    <w:p w14:paraId="7D3385A1">
      <w:pPr>
        <w:spacing w:line="360" w:lineRule="auto"/>
        <w:ind w:firstLine="480" w:firstLineChars="200"/>
        <w:rPr>
          <w:rFonts w:ascii="宋体" w:hAnsi="宋体" w:eastAsia="宋体"/>
          <w:sz w:val="24"/>
          <w:szCs w:val="24"/>
          <w:highlight w:val="none"/>
          <w:u w:val="single"/>
        </w:rPr>
      </w:pPr>
      <w:r>
        <w:rPr>
          <w:rFonts w:hint="eastAsia" w:ascii="宋体" w:hAnsi="宋体" w:eastAsia="宋体"/>
          <w:sz w:val="24"/>
          <w:szCs w:val="24"/>
          <w:highlight w:val="none"/>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7027ECC2">
      <w:pPr>
        <w:keepNext/>
        <w:keepLines/>
        <w:spacing w:before="240" w:after="240" w:line="360" w:lineRule="auto"/>
        <w:jc w:val="left"/>
        <w:outlineLvl w:val="2"/>
        <w:rPr>
          <w:rFonts w:ascii="宋体" w:hAnsi="宋体" w:eastAsia="宋体"/>
          <w:b/>
          <w:bCs/>
          <w:sz w:val="30"/>
          <w:szCs w:val="30"/>
          <w:highlight w:val="none"/>
        </w:rPr>
      </w:pPr>
      <w:bookmarkStart w:id="101" w:name="_Toc11500"/>
      <w:bookmarkStart w:id="102" w:name="_Toc24608"/>
      <w:bookmarkStart w:id="103" w:name="_Toc532367878"/>
      <w:r>
        <w:rPr>
          <w:rFonts w:hint="eastAsia" w:ascii="宋体" w:hAnsi="宋体" w:eastAsia="宋体"/>
          <w:b/>
          <w:bCs/>
          <w:sz w:val="30"/>
          <w:szCs w:val="30"/>
          <w:highlight w:val="none"/>
        </w:rPr>
        <w:t>6. 评标</w:t>
      </w:r>
      <w:bookmarkEnd w:id="101"/>
      <w:bookmarkEnd w:id="102"/>
      <w:bookmarkEnd w:id="103"/>
    </w:p>
    <w:p w14:paraId="3532BC49">
      <w:pPr>
        <w:spacing w:line="360" w:lineRule="auto"/>
        <w:ind w:firstLine="487" w:firstLineChars="202"/>
        <w:jc w:val="left"/>
        <w:rPr>
          <w:rFonts w:ascii="宋体" w:hAnsi="宋体" w:eastAsia="宋体"/>
          <w:b/>
          <w:bCs/>
          <w:sz w:val="24"/>
          <w:szCs w:val="24"/>
          <w:highlight w:val="none"/>
        </w:rPr>
      </w:pPr>
      <w:r>
        <w:rPr>
          <w:rFonts w:hint="eastAsia" w:ascii="宋体" w:hAnsi="宋体" w:eastAsia="宋体"/>
          <w:b/>
          <w:bCs/>
          <w:sz w:val="24"/>
          <w:szCs w:val="24"/>
          <w:highlight w:val="none"/>
        </w:rPr>
        <w:t>6.1 评标委员会</w:t>
      </w:r>
    </w:p>
    <w:p w14:paraId="17A2EAF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7AC30C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6.1.2 评标委员会成员有下列情形之一的，应当回避：</w:t>
      </w:r>
    </w:p>
    <w:p w14:paraId="1FA4CF4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（1）投标人或投标人主要负责人的近亲属；</w:t>
      </w:r>
    </w:p>
    <w:p w14:paraId="0A30B51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（2）项目主管部门或者行政监督部门的人员；</w:t>
      </w:r>
    </w:p>
    <w:p w14:paraId="4F9740A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（3）与投标人有经济利益关系，可能影响对投标公正评审的；</w:t>
      </w:r>
    </w:p>
    <w:p w14:paraId="726C147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（4）曾因在招标、评标以及其他与招标投标有关活动中从事违法行为而受过行政处罚或刑事处罚的；</w:t>
      </w:r>
    </w:p>
    <w:p w14:paraId="5CC1A7FB">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（5）与投标人有其他利害关系。</w:t>
      </w:r>
    </w:p>
    <w:p w14:paraId="1568F02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14:paraId="3F88253E">
      <w:pPr>
        <w:spacing w:line="360" w:lineRule="auto"/>
        <w:ind w:firstLine="487" w:firstLineChars="202"/>
        <w:jc w:val="left"/>
        <w:rPr>
          <w:rFonts w:ascii="宋体" w:hAnsi="宋体" w:eastAsia="宋体"/>
          <w:b/>
          <w:bCs/>
          <w:sz w:val="24"/>
          <w:szCs w:val="24"/>
          <w:highlight w:val="none"/>
        </w:rPr>
      </w:pPr>
      <w:r>
        <w:rPr>
          <w:rFonts w:hint="eastAsia" w:ascii="宋体" w:hAnsi="宋体" w:eastAsia="宋体"/>
          <w:b/>
          <w:bCs/>
          <w:sz w:val="24"/>
          <w:szCs w:val="24"/>
          <w:highlight w:val="none"/>
        </w:rPr>
        <w:t>6.2 评标原则</w:t>
      </w:r>
    </w:p>
    <w:p w14:paraId="0B34184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评标活动遵循公平、公正、科学和择优的原则。</w:t>
      </w:r>
    </w:p>
    <w:p w14:paraId="73A92790">
      <w:pPr>
        <w:spacing w:line="360" w:lineRule="auto"/>
        <w:ind w:firstLine="487" w:firstLineChars="202"/>
        <w:jc w:val="left"/>
        <w:rPr>
          <w:rFonts w:ascii="宋体" w:hAnsi="宋体" w:eastAsia="宋体"/>
          <w:b/>
          <w:bCs/>
          <w:sz w:val="24"/>
          <w:szCs w:val="24"/>
          <w:highlight w:val="none"/>
        </w:rPr>
      </w:pPr>
      <w:r>
        <w:rPr>
          <w:rFonts w:hint="eastAsia" w:ascii="宋体" w:hAnsi="宋体" w:eastAsia="宋体"/>
          <w:b/>
          <w:bCs/>
          <w:sz w:val="24"/>
          <w:szCs w:val="24"/>
          <w:highlight w:val="none"/>
        </w:rPr>
        <w:t>6.3 评标</w:t>
      </w:r>
    </w:p>
    <w:p w14:paraId="0D0C423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6.3.1 评标委员会按照第三章“评标办法”规定的方法、评审因素、标准和程序对投标文件进行评审。第三章“评标办法”没有规定的方法、评审因素和标准，不作为评标依据。</w:t>
      </w:r>
    </w:p>
    <w:p w14:paraId="7EB30068">
      <w:pPr>
        <w:spacing w:line="360" w:lineRule="auto"/>
        <w:ind w:firstLine="480" w:firstLineChars="200"/>
        <w:rPr>
          <w:rFonts w:hint="eastAsia" w:ascii="宋体" w:hAnsi="宋体" w:eastAsia="宋体"/>
          <w:sz w:val="24"/>
          <w:szCs w:val="24"/>
          <w:highlight w:val="none"/>
        </w:rPr>
      </w:pPr>
      <w:r>
        <w:rPr>
          <w:rFonts w:hint="eastAsia" w:ascii="宋体" w:hAnsi="宋体" w:eastAsia="宋体"/>
          <w:sz w:val="24"/>
          <w:szCs w:val="24"/>
          <w:highlight w:val="none"/>
        </w:rPr>
        <w:t>6.3.2 评标完成后，评标委员会应当向招标人提交书面评标报告和中标候选人名单。评标委员会推荐中标候选人的人数见投标人须知前附表。</w:t>
      </w:r>
    </w:p>
    <w:p w14:paraId="1DAC96D8">
      <w:pPr>
        <w:pStyle w:val="2"/>
        <w:ind w:firstLine="480" w:firstLineChars="200"/>
        <w:rPr>
          <w:rFonts w:hint="eastAsia" w:ascii="宋体" w:hAnsi="宋体" w:eastAsia="宋体" w:cs="宋体"/>
          <w:b w:val="0"/>
          <w:bCs w:val="0"/>
          <w:kern w:val="2"/>
          <w:sz w:val="24"/>
          <w:szCs w:val="24"/>
          <w:highlight w:val="none"/>
          <w:lang w:val="en-US" w:eastAsia="zh-CN"/>
        </w:rPr>
      </w:pPr>
      <w:r>
        <w:rPr>
          <w:rFonts w:hint="eastAsia" w:ascii="宋体" w:hAnsi="宋体" w:eastAsia="宋体" w:cs="宋体"/>
          <w:b w:val="0"/>
          <w:bCs w:val="0"/>
          <w:kern w:val="2"/>
          <w:sz w:val="24"/>
          <w:szCs w:val="24"/>
          <w:highlight w:val="none"/>
          <w:lang w:val="en-US" w:eastAsia="zh-CN"/>
        </w:rPr>
        <w:t>6.3.3评标委员会在开始评标前，应了解评标专家的职责及守则，认真阅读附件1《评标委员会成员声明》的内容并签名，签字后方可进行评标。</w:t>
      </w:r>
    </w:p>
    <w:p w14:paraId="748722BA">
      <w:pPr>
        <w:keepNext/>
        <w:keepLines/>
        <w:spacing w:before="240" w:after="240" w:line="360" w:lineRule="auto"/>
        <w:outlineLvl w:val="2"/>
        <w:rPr>
          <w:rFonts w:ascii="宋体" w:hAnsi="宋体" w:eastAsia="宋体"/>
          <w:b/>
          <w:bCs/>
          <w:sz w:val="30"/>
          <w:szCs w:val="30"/>
          <w:highlight w:val="none"/>
        </w:rPr>
      </w:pPr>
      <w:bookmarkStart w:id="104" w:name="_Toc27928"/>
      <w:bookmarkStart w:id="105" w:name="_Toc15742"/>
      <w:bookmarkStart w:id="106" w:name="_Toc24971"/>
      <w:bookmarkStart w:id="107" w:name="_Toc31080"/>
      <w:bookmarkStart w:id="108" w:name="_Toc17606"/>
      <w:bookmarkStart w:id="109" w:name="_Toc23147"/>
      <w:bookmarkStart w:id="110" w:name="_Toc377719905"/>
      <w:bookmarkStart w:id="111" w:name="_Toc532367879"/>
      <w:bookmarkStart w:id="112" w:name="_Toc22463"/>
      <w:bookmarkStart w:id="113" w:name="_Toc21343"/>
      <w:r>
        <w:rPr>
          <w:rFonts w:hint="eastAsia" w:ascii="宋体" w:hAnsi="宋体" w:eastAsia="宋体"/>
          <w:b/>
          <w:bCs/>
          <w:sz w:val="30"/>
          <w:szCs w:val="30"/>
          <w:highlight w:val="none"/>
        </w:rPr>
        <w:t>7. 合同</w:t>
      </w:r>
      <w:bookmarkEnd w:id="104"/>
      <w:bookmarkEnd w:id="105"/>
      <w:bookmarkEnd w:id="106"/>
      <w:bookmarkEnd w:id="107"/>
      <w:bookmarkEnd w:id="108"/>
      <w:bookmarkEnd w:id="109"/>
      <w:bookmarkEnd w:id="110"/>
      <w:r>
        <w:rPr>
          <w:rFonts w:hint="eastAsia" w:ascii="宋体" w:hAnsi="宋体" w:eastAsia="宋体"/>
          <w:b/>
          <w:bCs/>
          <w:sz w:val="30"/>
          <w:szCs w:val="30"/>
          <w:highlight w:val="none"/>
        </w:rPr>
        <w:t>授予</w:t>
      </w:r>
      <w:bookmarkEnd w:id="111"/>
      <w:bookmarkEnd w:id="112"/>
      <w:bookmarkEnd w:id="113"/>
    </w:p>
    <w:p w14:paraId="02302375">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7.1 中标候选人公示</w:t>
      </w:r>
    </w:p>
    <w:p w14:paraId="4825F4E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招标人在收到评标报告之日起3日内，按照投标人须知前附表规定的公示媒介和期限公示中标候选人，公示期不得少于3天。</w:t>
      </w:r>
    </w:p>
    <w:p w14:paraId="50B580AA">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7.2 评标结果异议</w:t>
      </w:r>
    </w:p>
    <w:p w14:paraId="537BA66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投标人或者其他利害关系人对评标结果有异议的，应当在中标候选人公示期间提出。招标人将在收到异议之日起3日内作出答复；作出答复前，将暂停招标投标活动。</w:t>
      </w:r>
    </w:p>
    <w:p w14:paraId="261DA740">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7.3 中标候选人履约能力审查</w:t>
      </w:r>
    </w:p>
    <w:p w14:paraId="4D1CA58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5E6146D8">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7.4 定标</w:t>
      </w:r>
    </w:p>
    <w:p w14:paraId="0E03F2F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按照投标人须知前附表的规定，招标人或招标人授权的评标委员会依法确定中标人。</w:t>
      </w:r>
    </w:p>
    <w:p w14:paraId="6ACBE36F">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7.5 中标通知</w:t>
      </w:r>
    </w:p>
    <w:p w14:paraId="2DAFBA5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在本章第 3.3 款规定的投标有效期内，招标人以书面形式向中标人发出中标通知书，同时将中标结果通知未中标的投标人。</w:t>
      </w:r>
    </w:p>
    <w:p w14:paraId="1C5F46A2">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7.6 履约保证金</w:t>
      </w:r>
    </w:p>
    <w:p w14:paraId="627EF60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7.6.1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107BCB27">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7.6.2 中标人不能按本章第7.6.1项要求提交履约保证金的，视为放弃中标，其投标保证金不予退还，给招标人造成的损失超过投标保证金数额的，中标人还应当对超过部分予以赔偿。</w:t>
      </w:r>
    </w:p>
    <w:p w14:paraId="352AFBED">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7.7 签订合同</w:t>
      </w:r>
    </w:p>
    <w:p w14:paraId="57FA0C3B">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7.7.1 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73550E5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7.7.2 发出中标通知书后，招标人无正当理由拒签合同，或者在签订合同时向中标人提出附加条件的，招标人向中标人退还投标保证金；给中标人造成损失的，还应当赔偿损失。</w:t>
      </w:r>
    </w:p>
    <w:p w14:paraId="13ADCBC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7.7.3 联合体中标的，联合体各方应当共同与招标人签订合同，就中标项目向招标人承担连带责任。</w:t>
      </w:r>
    </w:p>
    <w:p w14:paraId="37803C37">
      <w:pPr>
        <w:keepNext/>
        <w:keepLines/>
        <w:spacing w:before="240" w:after="240" w:line="360" w:lineRule="auto"/>
        <w:jc w:val="left"/>
        <w:outlineLvl w:val="2"/>
        <w:rPr>
          <w:rFonts w:ascii="宋体" w:hAnsi="宋体" w:eastAsia="宋体"/>
          <w:b/>
          <w:bCs/>
          <w:sz w:val="30"/>
          <w:szCs w:val="30"/>
          <w:highlight w:val="none"/>
        </w:rPr>
      </w:pPr>
      <w:bookmarkStart w:id="114" w:name="_Toc25746"/>
      <w:bookmarkStart w:id="115" w:name="_Toc15378"/>
      <w:bookmarkStart w:id="116" w:name="_Toc532367880"/>
      <w:r>
        <w:rPr>
          <w:rFonts w:hint="eastAsia" w:ascii="宋体" w:hAnsi="宋体" w:eastAsia="宋体"/>
          <w:b/>
          <w:bCs/>
          <w:sz w:val="30"/>
          <w:szCs w:val="30"/>
          <w:highlight w:val="none"/>
        </w:rPr>
        <w:t>8.纪律和监督</w:t>
      </w:r>
      <w:bookmarkEnd w:id="114"/>
      <w:bookmarkEnd w:id="115"/>
      <w:bookmarkEnd w:id="116"/>
    </w:p>
    <w:p w14:paraId="07E67E4E">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8.1 对招标人的纪律要求</w:t>
      </w:r>
    </w:p>
    <w:p w14:paraId="3C09B68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招标人不得泄露招标投标活动中应当保密的情况和资料，不得与投标人串通损害国家利益、社会公共利益或者他人合法权益。</w:t>
      </w:r>
    </w:p>
    <w:p w14:paraId="62861C2A">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8.2 对投标人的纪律要求</w:t>
      </w:r>
    </w:p>
    <w:p w14:paraId="19C4038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53BF9F71">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8.3 对评标委员会成员的纪律要求</w:t>
      </w:r>
    </w:p>
    <w:p w14:paraId="3004587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258C3492">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8.4 对与评标活动有关的工作人员的纪律要求</w:t>
      </w:r>
    </w:p>
    <w:p w14:paraId="306E098B">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416336D2">
      <w:pPr>
        <w:spacing w:line="360" w:lineRule="auto"/>
        <w:jc w:val="left"/>
        <w:rPr>
          <w:rFonts w:ascii="宋体" w:hAnsi="宋体" w:eastAsia="宋体"/>
          <w:b/>
          <w:bCs/>
          <w:sz w:val="24"/>
          <w:szCs w:val="24"/>
          <w:highlight w:val="none"/>
        </w:rPr>
      </w:pPr>
      <w:r>
        <w:rPr>
          <w:rFonts w:hint="eastAsia" w:ascii="宋体" w:hAnsi="宋体" w:eastAsia="宋体"/>
          <w:b/>
          <w:bCs/>
          <w:sz w:val="24"/>
          <w:szCs w:val="24"/>
          <w:highlight w:val="none"/>
        </w:rPr>
        <w:t>8.5 投诉</w:t>
      </w:r>
    </w:p>
    <w:p w14:paraId="5F224FD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8.5.1 投标人或者其他利害关系人认为招标投标活动不符合法律、行政法规规定的，可以自知道或者应当知道之日起 10 日内向有关行政监督部门投诉。投诉应当有明确的请求和必要的证明材料。</w:t>
      </w:r>
    </w:p>
    <w:p w14:paraId="63ABCEA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8.5.2 投标人或者其他利害关系人对招标文件、开标和评标结果提出投诉的，应当按照投标人须知第 2.4 款、第 5.3 款和第 7.2 款的规定先向招标人提出异议。异议答复期间不计算在第 8.5.1项规定的期限内。</w:t>
      </w:r>
    </w:p>
    <w:p w14:paraId="55C4D1F1">
      <w:pPr>
        <w:keepNext/>
        <w:keepLines/>
        <w:jc w:val="left"/>
        <w:outlineLvl w:val="2"/>
        <w:rPr>
          <w:rFonts w:ascii="宋体" w:hAnsi="宋体" w:eastAsia="宋体"/>
          <w:b/>
          <w:bCs/>
          <w:sz w:val="30"/>
          <w:szCs w:val="30"/>
          <w:highlight w:val="none"/>
        </w:rPr>
      </w:pPr>
      <w:r>
        <w:rPr>
          <w:rFonts w:hint="eastAsia" w:ascii="宋体" w:hAnsi="宋体" w:eastAsia="宋体"/>
          <w:b/>
          <w:bCs/>
          <w:sz w:val="30"/>
          <w:szCs w:val="30"/>
          <w:highlight w:val="none"/>
        </w:rPr>
        <w:t>9. 是否采用电子招标投标</w:t>
      </w:r>
    </w:p>
    <w:p w14:paraId="72278056">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本招标项目采用电子招标投标方式，见投标人须知前附表。</w:t>
      </w:r>
    </w:p>
    <w:p w14:paraId="3C3D2646">
      <w:pPr>
        <w:keepNext/>
        <w:keepLines/>
        <w:jc w:val="left"/>
        <w:outlineLvl w:val="2"/>
        <w:rPr>
          <w:rFonts w:ascii="宋体" w:hAnsi="宋体" w:eastAsia="宋体"/>
          <w:b/>
          <w:bCs/>
          <w:sz w:val="30"/>
          <w:szCs w:val="30"/>
          <w:highlight w:val="none"/>
        </w:rPr>
      </w:pPr>
      <w:r>
        <w:rPr>
          <w:rFonts w:hint="eastAsia" w:ascii="宋体" w:hAnsi="宋体" w:eastAsia="宋体"/>
          <w:b/>
          <w:bCs/>
          <w:sz w:val="30"/>
          <w:szCs w:val="30"/>
          <w:highlight w:val="none"/>
        </w:rPr>
        <w:t>10. 需要补充的其他内容</w:t>
      </w:r>
    </w:p>
    <w:p w14:paraId="5C3EC2BD">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需要补充的其他内容：见投标人须知前附表。</w:t>
      </w:r>
      <w:bookmarkEnd w:id="39"/>
      <w:bookmarkEnd w:id="40"/>
      <w:bookmarkEnd w:id="41"/>
    </w:p>
    <w:p w14:paraId="4F44A0ED">
      <w:pPr>
        <w:spacing w:line="360" w:lineRule="auto"/>
        <w:jc w:val="center"/>
        <w:rPr>
          <w:rFonts w:ascii="宋体" w:hAnsi="宋体" w:eastAsia="宋体"/>
          <w:szCs w:val="21"/>
          <w:highlight w:val="none"/>
        </w:rPr>
      </w:pPr>
      <w:r>
        <w:rPr>
          <w:rFonts w:hint="eastAsia" w:ascii="宋体" w:hAnsi="宋体" w:eastAsia="宋体"/>
          <w:sz w:val="32"/>
          <w:szCs w:val="32"/>
          <w:highlight w:val="none"/>
        </w:rPr>
        <w:br w:type="page"/>
      </w:r>
    </w:p>
    <w:p w14:paraId="7DCEF6C8">
      <w:pPr>
        <w:spacing w:line="502" w:lineRule="exact"/>
        <w:ind w:left="1580"/>
        <w:outlineLvl w:val="0"/>
        <w:rPr>
          <w:rFonts w:ascii="宋体" w:hAnsi="宋体" w:eastAsia="宋体"/>
          <w:b/>
          <w:sz w:val="44"/>
          <w:highlight w:val="none"/>
        </w:rPr>
      </w:pPr>
      <w:bookmarkStart w:id="117" w:name="_Toc6657"/>
      <w:r>
        <w:rPr>
          <w:rFonts w:hint="eastAsia" w:ascii="宋体" w:hAnsi="宋体" w:eastAsia="宋体"/>
          <w:b/>
          <w:sz w:val="44"/>
          <w:highlight w:val="none"/>
        </w:rPr>
        <w:t>第三章评标办法（综合评分法）</w:t>
      </w:r>
      <w:bookmarkEnd w:id="117"/>
    </w:p>
    <w:p w14:paraId="3889F9AD">
      <w:pPr>
        <w:spacing w:line="360" w:lineRule="auto"/>
        <w:rPr>
          <w:rFonts w:ascii="宋体" w:hAnsi="宋体" w:eastAsia="宋体"/>
          <w:szCs w:val="21"/>
          <w:highlight w:val="none"/>
        </w:rPr>
      </w:pPr>
    </w:p>
    <w:p w14:paraId="4ECB52EE">
      <w:pPr>
        <w:spacing w:line="366" w:lineRule="exact"/>
        <w:ind w:left="360"/>
        <w:jc w:val="center"/>
        <w:rPr>
          <w:rFonts w:ascii="宋体" w:hAnsi="宋体" w:eastAsia="宋体"/>
          <w:b/>
          <w:sz w:val="32"/>
          <w:highlight w:val="none"/>
        </w:rPr>
      </w:pPr>
      <w:r>
        <w:rPr>
          <w:rFonts w:hint="eastAsia" w:ascii="宋体" w:hAnsi="宋体" w:eastAsia="宋体"/>
          <w:b/>
          <w:sz w:val="32"/>
          <w:highlight w:val="none"/>
        </w:rPr>
        <w:t>评标办法前附表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124"/>
        <w:gridCol w:w="1795"/>
        <w:gridCol w:w="5335"/>
      </w:tblGrid>
      <w:tr w14:paraId="1B46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gridSpan w:val="2"/>
            <w:vAlign w:val="center"/>
          </w:tcPr>
          <w:p w14:paraId="03554CD5">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条款号</w:t>
            </w:r>
          </w:p>
        </w:tc>
        <w:tc>
          <w:tcPr>
            <w:tcW w:w="982" w:type="pct"/>
            <w:vAlign w:val="center"/>
          </w:tcPr>
          <w:p w14:paraId="174EC4E3">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评审因素</w:t>
            </w:r>
          </w:p>
        </w:tc>
        <w:tc>
          <w:tcPr>
            <w:tcW w:w="2919" w:type="pct"/>
            <w:vAlign w:val="center"/>
          </w:tcPr>
          <w:p w14:paraId="6EE39E19">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评审标准</w:t>
            </w:r>
          </w:p>
        </w:tc>
      </w:tr>
      <w:tr w14:paraId="3CE1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9C0090A">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w:t>
            </w:r>
          </w:p>
        </w:tc>
        <w:tc>
          <w:tcPr>
            <w:tcW w:w="615" w:type="pct"/>
            <w:vAlign w:val="center"/>
          </w:tcPr>
          <w:p w14:paraId="78AA781B">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评标方法</w:t>
            </w:r>
          </w:p>
        </w:tc>
        <w:tc>
          <w:tcPr>
            <w:tcW w:w="982" w:type="pct"/>
            <w:vAlign w:val="center"/>
          </w:tcPr>
          <w:p w14:paraId="26178145">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中标候选人排序方法</w:t>
            </w:r>
          </w:p>
        </w:tc>
        <w:tc>
          <w:tcPr>
            <w:tcW w:w="2919" w:type="pct"/>
          </w:tcPr>
          <w:p w14:paraId="0FF39051">
            <w:pPr>
              <w:jc w:val="lef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kern w:val="0"/>
                <w:szCs w:val="21"/>
                <w:highlight w:val="none"/>
              </w:rPr>
              <w:t>本次评标采用综合评分法。评标委员会对满足招标文件实质性要求的投标文件，按照本章第 2.2 款规定的评分标准进行打分，并按得分由高到低顺序推荐中标候选人，但投标报价低于其成本的除外。</w:t>
            </w:r>
            <w:r>
              <w:rPr>
                <w:rFonts w:hint="eastAsia" w:asciiTheme="majorEastAsia" w:hAnsiTheme="majorEastAsia" w:eastAsiaTheme="majorEastAsia" w:cstheme="majorEastAsia"/>
                <w:kern w:val="0"/>
                <w:szCs w:val="21"/>
                <w:highlight w:val="none"/>
                <w:u w:val="single"/>
              </w:rPr>
              <w:t>综合评分相等时，以投标报价低的优先；投标报价也相等的，以技术得分高的优先；如果技术得分也相等，以商务得分高的优先；如仍存在相同情况，则对具有相同情况的投标人，按中标候选人数量规定，由评标委员会采用记名投票的方式，确定中标候选人的排序。</w:t>
            </w:r>
          </w:p>
        </w:tc>
      </w:tr>
      <w:tr w14:paraId="4B85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36B40D4E">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2.1.1</w:t>
            </w:r>
          </w:p>
        </w:tc>
        <w:tc>
          <w:tcPr>
            <w:tcW w:w="615" w:type="pct"/>
            <w:vMerge w:val="restart"/>
            <w:vAlign w:val="center"/>
          </w:tcPr>
          <w:p w14:paraId="142A92D3">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形式评审标准</w:t>
            </w:r>
          </w:p>
        </w:tc>
        <w:tc>
          <w:tcPr>
            <w:tcW w:w="982" w:type="pct"/>
            <w:vAlign w:val="center"/>
          </w:tcPr>
          <w:p w14:paraId="73997646">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投标人名称</w:t>
            </w:r>
          </w:p>
        </w:tc>
        <w:tc>
          <w:tcPr>
            <w:tcW w:w="2919" w:type="pct"/>
            <w:vAlign w:val="center"/>
          </w:tcPr>
          <w:p w14:paraId="660960AA">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与营业执照一致</w:t>
            </w:r>
          </w:p>
        </w:tc>
      </w:tr>
      <w:tr w14:paraId="6B6F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5CF05703">
            <w:pPr>
              <w:rPr>
                <w:rFonts w:asciiTheme="majorEastAsia" w:hAnsiTheme="majorEastAsia" w:eastAsiaTheme="majorEastAsia" w:cstheme="majorEastAsia"/>
                <w:szCs w:val="21"/>
                <w:highlight w:val="none"/>
              </w:rPr>
            </w:pPr>
          </w:p>
        </w:tc>
        <w:tc>
          <w:tcPr>
            <w:tcW w:w="615" w:type="pct"/>
            <w:vMerge w:val="continue"/>
            <w:vAlign w:val="center"/>
          </w:tcPr>
          <w:p w14:paraId="7986B489">
            <w:pPr>
              <w:rPr>
                <w:rFonts w:asciiTheme="majorEastAsia" w:hAnsiTheme="majorEastAsia" w:eastAsiaTheme="majorEastAsia" w:cstheme="majorEastAsia"/>
                <w:szCs w:val="21"/>
                <w:highlight w:val="none"/>
              </w:rPr>
            </w:pPr>
          </w:p>
        </w:tc>
        <w:tc>
          <w:tcPr>
            <w:tcW w:w="982" w:type="pct"/>
            <w:vAlign w:val="center"/>
          </w:tcPr>
          <w:p w14:paraId="2E2D6A35">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投标函签字盖章</w:t>
            </w:r>
          </w:p>
        </w:tc>
        <w:tc>
          <w:tcPr>
            <w:tcW w:w="2919" w:type="pct"/>
            <w:vAlign w:val="center"/>
          </w:tcPr>
          <w:p w14:paraId="1823B99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有法定代表人（单位负责人）或其委托代理人签字</w:t>
            </w:r>
            <w:r>
              <w:rPr>
                <w:rFonts w:hint="eastAsia" w:asciiTheme="majorEastAsia" w:hAnsiTheme="majorEastAsia" w:eastAsiaTheme="majorEastAsia" w:cstheme="majorEastAsia"/>
                <w:szCs w:val="21"/>
                <w:highlight w:val="none"/>
                <w:u w:val="single"/>
              </w:rPr>
              <w:t>（或盖章或签章）并</w:t>
            </w:r>
            <w:r>
              <w:rPr>
                <w:rFonts w:hint="eastAsia" w:asciiTheme="majorEastAsia" w:hAnsiTheme="majorEastAsia" w:eastAsiaTheme="majorEastAsia" w:cstheme="majorEastAsia"/>
                <w:szCs w:val="21"/>
                <w:highlight w:val="none"/>
              </w:rPr>
              <w:t>加盖单位章。由法定代表人（单位负责人）签字</w:t>
            </w:r>
            <w:r>
              <w:rPr>
                <w:rFonts w:hint="eastAsia" w:asciiTheme="majorEastAsia" w:hAnsiTheme="majorEastAsia" w:eastAsiaTheme="majorEastAsia" w:cstheme="majorEastAsia"/>
                <w:szCs w:val="21"/>
                <w:highlight w:val="none"/>
                <w:u w:val="single"/>
              </w:rPr>
              <w:t>（或盖章或签章）</w:t>
            </w:r>
            <w:r>
              <w:rPr>
                <w:rFonts w:hint="eastAsia" w:asciiTheme="majorEastAsia" w:hAnsiTheme="majorEastAsia" w:eastAsiaTheme="majorEastAsia" w:cstheme="majorEastAsia"/>
                <w:szCs w:val="21"/>
                <w:highlight w:val="none"/>
              </w:rPr>
              <w:t>的，应附法定代表人（单位负责人）身份证明，由代理人签字</w:t>
            </w:r>
            <w:r>
              <w:rPr>
                <w:rFonts w:hint="eastAsia" w:asciiTheme="majorEastAsia" w:hAnsiTheme="majorEastAsia" w:eastAsiaTheme="majorEastAsia" w:cstheme="majorEastAsia"/>
                <w:szCs w:val="21"/>
                <w:highlight w:val="none"/>
                <w:u w:val="single"/>
              </w:rPr>
              <w:t>（或盖章或签章）</w:t>
            </w:r>
            <w:r>
              <w:rPr>
                <w:rFonts w:hint="eastAsia" w:asciiTheme="majorEastAsia" w:hAnsiTheme="majorEastAsia" w:eastAsiaTheme="majorEastAsia" w:cstheme="majorEastAsia"/>
                <w:szCs w:val="21"/>
                <w:highlight w:val="none"/>
              </w:rPr>
              <w:t>的，应附授权委托书，身份证明</w:t>
            </w:r>
            <w:r>
              <w:rPr>
                <w:rFonts w:hint="eastAsia" w:asciiTheme="majorEastAsia" w:hAnsiTheme="majorEastAsia" w:eastAsiaTheme="majorEastAsia" w:cstheme="majorEastAsia"/>
                <w:szCs w:val="21"/>
                <w:highlight w:val="none"/>
                <w:lang w:val="en-US" w:eastAsia="zh-CN"/>
              </w:rPr>
              <w:t>和社保材料，</w:t>
            </w:r>
            <w:r>
              <w:rPr>
                <w:rFonts w:hint="eastAsia" w:asciiTheme="majorEastAsia" w:hAnsiTheme="majorEastAsia" w:eastAsiaTheme="majorEastAsia" w:cstheme="majorEastAsia"/>
                <w:szCs w:val="21"/>
                <w:highlight w:val="none"/>
              </w:rPr>
              <w:t>符合第六章“投标文件格式”的规定。</w:t>
            </w:r>
          </w:p>
        </w:tc>
      </w:tr>
      <w:tr w14:paraId="7B85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45C3D848">
            <w:pPr>
              <w:rPr>
                <w:rFonts w:asciiTheme="majorEastAsia" w:hAnsiTheme="majorEastAsia" w:eastAsiaTheme="majorEastAsia" w:cstheme="majorEastAsia"/>
                <w:szCs w:val="21"/>
                <w:highlight w:val="none"/>
              </w:rPr>
            </w:pPr>
          </w:p>
        </w:tc>
        <w:tc>
          <w:tcPr>
            <w:tcW w:w="615" w:type="pct"/>
            <w:vMerge w:val="continue"/>
            <w:vAlign w:val="center"/>
          </w:tcPr>
          <w:p w14:paraId="16FB26BC">
            <w:pPr>
              <w:rPr>
                <w:rFonts w:asciiTheme="majorEastAsia" w:hAnsiTheme="majorEastAsia" w:eastAsiaTheme="majorEastAsia" w:cstheme="majorEastAsia"/>
                <w:szCs w:val="21"/>
                <w:highlight w:val="none"/>
              </w:rPr>
            </w:pPr>
          </w:p>
        </w:tc>
        <w:tc>
          <w:tcPr>
            <w:tcW w:w="982" w:type="pct"/>
            <w:vAlign w:val="center"/>
          </w:tcPr>
          <w:p w14:paraId="543D5D47">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投标文件格式</w:t>
            </w:r>
          </w:p>
        </w:tc>
        <w:tc>
          <w:tcPr>
            <w:tcW w:w="2919" w:type="pct"/>
            <w:vAlign w:val="center"/>
          </w:tcPr>
          <w:p w14:paraId="0F97A628">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u w:val="single"/>
              </w:rPr>
              <w:t>《投标函》</w:t>
            </w:r>
            <w:r>
              <w:rPr>
                <w:rFonts w:hint="eastAsia" w:asciiTheme="majorEastAsia" w:hAnsiTheme="majorEastAsia" w:eastAsiaTheme="majorEastAsia" w:cstheme="majorEastAsia"/>
                <w:szCs w:val="21"/>
                <w:highlight w:val="none"/>
              </w:rPr>
              <w:t>符合第六章“投标文件格式”的规定</w:t>
            </w:r>
          </w:p>
        </w:tc>
      </w:tr>
      <w:tr w14:paraId="0B0B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53AB1BD0">
            <w:pPr>
              <w:rPr>
                <w:rFonts w:asciiTheme="majorEastAsia" w:hAnsiTheme="majorEastAsia" w:eastAsiaTheme="majorEastAsia" w:cstheme="majorEastAsia"/>
                <w:szCs w:val="21"/>
                <w:highlight w:val="none"/>
              </w:rPr>
            </w:pPr>
          </w:p>
        </w:tc>
        <w:tc>
          <w:tcPr>
            <w:tcW w:w="615" w:type="pct"/>
            <w:vMerge w:val="continue"/>
            <w:vAlign w:val="center"/>
          </w:tcPr>
          <w:p w14:paraId="5733AF46">
            <w:pPr>
              <w:rPr>
                <w:rFonts w:asciiTheme="majorEastAsia" w:hAnsiTheme="majorEastAsia" w:eastAsiaTheme="majorEastAsia" w:cstheme="majorEastAsia"/>
                <w:szCs w:val="21"/>
                <w:highlight w:val="none"/>
              </w:rPr>
            </w:pPr>
          </w:p>
        </w:tc>
        <w:tc>
          <w:tcPr>
            <w:tcW w:w="982" w:type="pct"/>
            <w:vAlign w:val="center"/>
          </w:tcPr>
          <w:p w14:paraId="4620E743">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联合体投标人</w:t>
            </w:r>
          </w:p>
        </w:tc>
        <w:tc>
          <w:tcPr>
            <w:tcW w:w="2919" w:type="pct"/>
            <w:vAlign w:val="center"/>
          </w:tcPr>
          <w:p w14:paraId="3AE03F1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w:t>
            </w:r>
          </w:p>
        </w:tc>
      </w:tr>
      <w:tr w14:paraId="5620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643AC05C">
            <w:pPr>
              <w:rPr>
                <w:rFonts w:asciiTheme="majorEastAsia" w:hAnsiTheme="majorEastAsia" w:eastAsiaTheme="majorEastAsia" w:cstheme="majorEastAsia"/>
                <w:szCs w:val="21"/>
                <w:highlight w:val="none"/>
              </w:rPr>
            </w:pPr>
          </w:p>
        </w:tc>
        <w:tc>
          <w:tcPr>
            <w:tcW w:w="615" w:type="pct"/>
            <w:vMerge w:val="continue"/>
            <w:vAlign w:val="center"/>
          </w:tcPr>
          <w:p w14:paraId="5A2792CC">
            <w:pPr>
              <w:rPr>
                <w:rFonts w:asciiTheme="majorEastAsia" w:hAnsiTheme="majorEastAsia" w:eastAsiaTheme="majorEastAsia" w:cstheme="majorEastAsia"/>
                <w:szCs w:val="21"/>
                <w:highlight w:val="none"/>
              </w:rPr>
            </w:pPr>
          </w:p>
        </w:tc>
        <w:tc>
          <w:tcPr>
            <w:tcW w:w="982" w:type="pct"/>
            <w:vAlign w:val="center"/>
          </w:tcPr>
          <w:p w14:paraId="0F1DB982">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备选投标方案</w:t>
            </w:r>
          </w:p>
        </w:tc>
        <w:tc>
          <w:tcPr>
            <w:tcW w:w="2919" w:type="pct"/>
            <w:vAlign w:val="center"/>
          </w:tcPr>
          <w:p w14:paraId="1B22FD3B">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不得提交备选投标方案</w:t>
            </w:r>
          </w:p>
        </w:tc>
      </w:tr>
      <w:tr w14:paraId="4677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19E7C9A4">
            <w:pPr>
              <w:rPr>
                <w:rFonts w:asciiTheme="majorEastAsia" w:hAnsiTheme="majorEastAsia" w:eastAsiaTheme="majorEastAsia" w:cstheme="majorEastAsia"/>
                <w:szCs w:val="21"/>
                <w:highlight w:val="none"/>
              </w:rPr>
            </w:pPr>
          </w:p>
        </w:tc>
        <w:tc>
          <w:tcPr>
            <w:tcW w:w="615" w:type="pct"/>
            <w:vMerge w:val="continue"/>
            <w:vAlign w:val="center"/>
          </w:tcPr>
          <w:p w14:paraId="7352FA39">
            <w:pPr>
              <w:rPr>
                <w:rFonts w:asciiTheme="majorEastAsia" w:hAnsiTheme="majorEastAsia" w:eastAsiaTheme="majorEastAsia" w:cstheme="majorEastAsia"/>
                <w:szCs w:val="21"/>
                <w:highlight w:val="none"/>
              </w:rPr>
            </w:pPr>
          </w:p>
        </w:tc>
        <w:tc>
          <w:tcPr>
            <w:tcW w:w="982" w:type="pct"/>
            <w:vAlign w:val="center"/>
          </w:tcPr>
          <w:p w14:paraId="7572C19D">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投标人机器码</w:t>
            </w:r>
          </w:p>
        </w:tc>
        <w:tc>
          <w:tcPr>
            <w:tcW w:w="2919" w:type="pct"/>
            <w:vAlign w:val="center"/>
          </w:tcPr>
          <w:p w14:paraId="7C039E9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投标人与本项目其他投标人加密打包投标文件电脑机器特征码一致的(以广州交易集团有限公司（广州公共资源交易中心）评标系统的检索信息为准),其投标将被否决。</w:t>
            </w:r>
          </w:p>
        </w:tc>
      </w:tr>
      <w:tr w14:paraId="7F24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360A5986">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2.1.2</w:t>
            </w:r>
          </w:p>
        </w:tc>
        <w:tc>
          <w:tcPr>
            <w:tcW w:w="615" w:type="pct"/>
            <w:vMerge w:val="restart"/>
            <w:vAlign w:val="center"/>
          </w:tcPr>
          <w:p w14:paraId="64B87DDD">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资格评审标准</w:t>
            </w:r>
          </w:p>
        </w:tc>
        <w:tc>
          <w:tcPr>
            <w:tcW w:w="982" w:type="pct"/>
            <w:vAlign w:val="center"/>
          </w:tcPr>
          <w:p w14:paraId="2B173E6B">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营业执照</w:t>
            </w:r>
            <w:r>
              <w:rPr>
                <w:rFonts w:hint="eastAsia" w:asciiTheme="majorEastAsia" w:hAnsiTheme="majorEastAsia" w:eastAsiaTheme="majorEastAsia" w:cstheme="majorEastAsia"/>
                <w:color w:val="000000"/>
                <w:szCs w:val="21"/>
                <w:highlight w:val="none"/>
              </w:rPr>
              <w:t>和组织机构代码证</w:t>
            </w:r>
          </w:p>
        </w:tc>
        <w:tc>
          <w:tcPr>
            <w:tcW w:w="2919" w:type="pct"/>
            <w:vAlign w:val="center"/>
          </w:tcPr>
          <w:p w14:paraId="72FBB21A">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符合第二章“投标人须知”第3.5.1项规定，</w:t>
            </w:r>
            <w:r>
              <w:rPr>
                <w:rFonts w:hint="eastAsia" w:asciiTheme="majorEastAsia" w:hAnsiTheme="majorEastAsia" w:eastAsiaTheme="majorEastAsia" w:cstheme="majorEastAsia"/>
                <w:szCs w:val="21"/>
                <w:highlight w:val="none"/>
                <w:u w:val="single"/>
              </w:rPr>
              <w:t>具备有效的营业执照和组织机构代码证（按照“三证合一”或“五证合一”登记制度进行登记的投标人，可仅提供营业执照）。</w:t>
            </w:r>
          </w:p>
        </w:tc>
      </w:tr>
      <w:tr w14:paraId="1658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214E70AB">
            <w:pPr>
              <w:jc w:val="center"/>
              <w:rPr>
                <w:rFonts w:asciiTheme="majorEastAsia" w:hAnsiTheme="majorEastAsia" w:eastAsiaTheme="majorEastAsia" w:cstheme="majorEastAsia"/>
                <w:szCs w:val="21"/>
                <w:highlight w:val="none"/>
              </w:rPr>
            </w:pPr>
          </w:p>
        </w:tc>
        <w:tc>
          <w:tcPr>
            <w:tcW w:w="615" w:type="pct"/>
            <w:vMerge w:val="continue"/>
            <w:vAlign w:val="center"/>
          </w:tcPr>
          <w:p w14:paraId="3E3812E2">
            <w:pPr>
              <w:jc w:val="center"/>
              <w:rPr>
                <w:rFonts w:asciiTheme="majorEastAsia" w:hAnsiTheme="majorEastAsia" w:eastAsiaTheme="majorEastAsia" w:cstheme="majorEastAsia"/>
                <w:szCs w:val="21"/>
                <w:highlight w:val="none"/>
              </w:rPr>
            </w:pPr>
          </w:p>
        </w:tc>
        <w:tc>
          <w:tcPr>
            <w:tcW w:w="982" w:type="pct"/>
            <w:vAlign w:val="center"/>
          </w:tcPr>
          <w:p w14:paraId="03C60201">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资质要求</w:t>
            </w:r>
          </w:p>
        </w:tc>
        <w:tc>
          <w:tcPr>
            <w:tcW w:w="2919" w:type="pct"/>
            <w:vAlign w:val="center"/>
          </w:tcPr>
          <w:p w14:paraId="66F6D4D0">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符合第二章“投标人须知”第1.4.1项规定</w:t>
            </w:r>
          </w:p>
        </w:tc>
      </w:tr>
      <w:tr w14:paraId="3B7E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3E643BB3">
            <w:pPr>
              <w:jc w:val="center"/>
              <w:rPr>
                <w:rFonts w:asciiTheme="majorEastAsia" w:hAnsiTheme="majorEastAsia" w:eastAsiaTheme="majorEastAsia" w:cstheme="majorEastAsia"/>
                <w:szCs w:val="21"/>
                <w:highlight w:val="none"/>
              </w:rPr>
            </w:pPr>
          </w:p>
        </w:tc>
        <w:tc>
          <w:tcPr>
            <w:tcW w:w="615" w:type="pct"/>
            <w:vMerge w:val="continue"/>
            <w:vAlign w:val="center"/>
          </w:tcPr>
          <w:p w14:paraId="75ECE42F">
            <w:pPr>
              <w:jc w:val="center"/>
              <w:rPr>
                <w:rFonts w:asciiTheme="majorEastAsia" w:hAnsiTheme="majorEastAsia" w:eastAsiaTheme="majorEastAsia" w:cstheme="majorEastAsia"/>
                <w:szCs w:val="21"/>
                <w:highlight w:val="none"/>
              </w:rPr>
            </w:pPr>
          </w:p>
        </w:tc>
        <w:tc>
          <w:tcPr>
            <w:tcW w:w="982" w:type="pct"/>
            <w:vAlign w:val="center"/>
          </w:tcPr>
          <w:p w14:paraId="5D538984">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财务要求</w:t>
            </w:r>
          </w:p>
        </w:tc>
        <w:tc>
          <w:tcPr>
            <w:tcW w:w="2919" w:type="pct"/>
            <w:vAlign w:val="center"/>
          </w:tcPr>
          <w:p w14:paraId="46446B6B">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w:t>
            </w:r>
          </w:p>
        </w:tc>
      </w:tr>
      <w:tr w14:paraId="6C43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74F5C348">
            <w:pPr>
              <w:jc w:val="center"/>
              <w:rPr>
                <w:rFonts w:asciiTheme="majorEastAsia" w:hAnsiTheme="majorEastAsia" w:eastAsiaTheme="majorEastAsia" w:cstheme="majorEastAsia"/>
                <w:szCs w:val="21"/>
                <w:highlight w:val="none"/>
              </w:rPr>
            </w:pPr>
          </w:p>
        </w:tc>
        <w:tc>
          <w:tcPr>
            <w:tcW w:w="615" w:type="pct"/>
            <w:vMerge w:val="continue"/>
            <w:vAlign w:val="center"/>
          </w:tcPr>
          <w:p w14:paraId="1DCCABD8">
            <w:pPr>
              <w:jc w:val="center"/>
              <w:rPr>
                <w:rFonts w:asciiTheme="majorEastAsia" w:hAnsiTheme="majorEastAsia" w:eastAsiaTheme="majorEastAsia" w:cstheme="majorEastAsia"/>
                <w:szCs w:val="21"/>
                <w:highlight w:val="none"/>
              </w:rPr>
            </w:pPr>
          </w:p>
        </w:tc>
        <w:tc>
          <w:tcPr>
            <w:tcW w:w="982" w:type="pct"/>
            <w:vAlign w:val="center"/>
          </w:tcPr>
          <w:p w14:paraId="17704ACE">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业绩要求</w:t>
            </w:r>
          </w:p>
        </w:tc>
        <w:tc>
          <w:tcPr>
            <w:tcW w:w="2919" w:type="pct"/>
            <w:vAlign w:val="center"/>
          </w:tcPr>
          <w:p w14:paraId="526A45B0">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w:t>
            </w:r>
          </w:p>
        </w:tc>
      </w:tr>
      <w:tr w14:paraId="115F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0F9A2CA0">
            <w:pPr>
              <w:jc w:val="center"/>
              <w:rPr>
                <w:rFonts w:asciiTheme="majorEastAsia" w:hAnsiTheme="majorEastAsia" w:eastAsiaTheme="majorEastAsia" w:cstheme="majorEastAsia"/>
                <w:szCs w:val="21"/>
                <w:highlight w:val="none"/>
              </w:rPr>
            </w:pPr>
          </w:p>
        </w:tc>
        <w:tc>
          <w:tcPr>
            <w:tcW w:w="615" w:type="pct"/>
            <w:vMerge w:val="continue"/>
            <w:vAlign w:val="center"/>
          </w:tcPr>
          <w:p w14:paraId="0C534A4A">
            <w:pPr>
              <w:jc w:val="center"/>
              <w:rPr>
                <w:rFonts w:asciiTheme="majorEastAsia" w:hAnsiTheme="majorEastAsia" w:eastAsiaTheme="majorEastAsia" w:cstheme="majorEastAsia"/>
                <w:szCs w:val="21"/>
                <w:highlight w:val="none"/>
              </w:rPr>
            </w:pPr>
          </w:p>
        </w:tc>
        <w:tc>
          <w:tcPr>
            <w:tcW w:w="982" w:type="pct"/>
            <w:vAlign w:val="center"/>
          </w:tcPr>
          <w:p w14:paraId="143A185C">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信誉要求</w:t>
            </w:r>
          </w:p>
        </w:tc>
        <w:tc>
          <w:tcPr>
            <w:tcW w:w="2919" w:type="pct"/>
            <w:vAlign w:val="center"/>
          </w:tcPr>
          <w:p w14:paraId="3A350480">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w:t>
            </w:r>
          </w:p>
        </w:tc>
      </w:tr>
      <w:tr w14:paraId="145B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6DE65721">
            <w:pPr>
              <w:jc w:val="center"/>
              <w:rPr>
                <w:rFonts w:asciiTheme="majorEastAsia" w:hAnsiTheme="majorEastAsia" w:eastAsiaTheme="majorEastAsia" w:cstheme="majorEastAsia"/>
                <w:szCs w:val="21"/>
                <w:highlight w:val="none"/>
              </w:rPr>
            </w:pPr>
          </w:p>
        </w:tc>
        <w:tc>
          <w:tcPr>
            <w:tcW w:w="615" w:type="pct"/>
            <w:vMerge w:val="continue"/>
            <w:vAlign w:val="center"/>
          </w:tcPr>
          <w:p w14:paraId="3909B5DF">
            <w:pPr>
              <w:jc w:val="center"/>
              <w:rPr>
                <w:rFonts w:asciiTheme="majorEastAsia" w:hAnsiTheme="majorEastAsia" w:eastAsiaTheme="majorEastAsia" w:cstheme="majorEastAsia"/>
                <w:szCs w:val="21"/>
                <w:highlight w:val="none"/>
              </w:rPr>
            </w:pPr>
          </w:p>
        </w:tc>
        <w:tc>
          <w:tcPr>
            <w:tcW w:w="982" w:type="pct"/>
            <w:vAlign w:val="center"/>
          </w:tcPr>
          <w:p w14:paraId="021BC80A">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其他要求</w:t>
            </w:r>
          </w:p>
        </w:tc>
        <w:tc>
          <w:tcPr>
            <w:tcW w:w="2919" w:type="pct"/>
            <w:vAlign w:val="center"/>
          </w:tcPr>
          <w:p w14:paraId="3E5B889B">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符合第二章“投标人须知”第1.4.1项规定</w:t>
            </w:r>
          </w:p>
        </w:tc>
      </w:tr>
      <w:tr w14:paraId="331B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5378EAE0">
            <w:pPr>
              <w:jc w:val="center"/>
              <w:rPr>
                <w:rFonts w:asciiTheme="majorEastAsia" w:hAnsiTheme="majorEastAsia" w:eastAsiaTheme="majorEastAsia" w:cstheme="majorEastAsia"/>
                <w:szCs w:val="21"/>
                <w:highlight w:val="none"/>
              </w:rPr>
            </w:pPr>
          </w:p>
        </w:tc>
        <w:tc>
          <w:tcPr>
            <w:tcW w:w="615" w:type="pct"/>
            <w:vMerge w:val="continue"/>
            <w:vAlign w:val="center"/>
          </w:tcPr>
          <w:p w14:paraId="5C547967">
            <w:pPr>
              <w:jc w:val="center"/>
              <w:rPr>
                <w:rFonts w:asciiTheme="majorEastAsia" w:hAnsiTheme="majorEastAsia" w:eastAsiaTheme="majorEastAsia" w:cstheme="majorEastAsia"/>
                <w:szCs w:val="21"/>
                <w:highlight w:val="none"/>
              </w:rPr>
            </w:pPr>
          </w:p>
        </w:tc>
        <w:tc>
          <w:tcPr>
            <w:tcW w:w="982" w:type="pct"/>
            <w:vAlign w:val="center"/>
          </w:tcPr>
          <w:p w14:paraId="44AC18E8">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联合体投标人</w:t>
            </w:r>
          </w:p>
        </w:tc>
        <w:tc>
          <w:tcPr>
            <w:tcW w:w="2919" w:type="pct"/>
            <w:vAlign w:val="center"/>
          </w:tcPr>
          <w:p w14:paraId="4B8932E6">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u w:val="single"/>
              </w:rPr>
              <w:t>本次招标不接受联合体投标。</w:t>
            </w:r>
          </w:p>
        </w:tc>
      </w:tr>
      <w:tr w14:paraId="104F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632C110E">
            <w:pPr>
              <w:jc w:val="center"/>
              <w:rPr>
                <w:rFonts w:asciiTheme="majorEastAsia" w:hAnsiTheme="majorEastAsia" w:eastAsiaTheme="majorEastAsia" w:cstheme="majorEastAsia"/>
                <w:szCs w:val="21"/>
                <w:highlight w:val="none"/>
              </w:rPr>
            </w:pPr>
          </w:p>
        </w:tc>
        <w:tc>
          <w:tcPr>
            <w:tcW w:w="615" w:type="pct"/>
            <w:vMerge w:val="continue"/>
            <w:vAlign w:val="center"/>
          </w:tcPr>
          <w:p w14:paraId="196FDDA1">
            <w:pPr>
              <w:jc w:val="center"/>
              <w:rPr>
                <w:rFonts w:asciiTheme="majorEastAsia" w:hAnsiTheme="majorEastAsia" w:eastAsiaTheme="majorEastAsia" w:cstheme="majorEastAsia"/>
                <w:szCs w:val="21"/>
                <w:highlight w:val="none"/>
              </w:rPr>
            </w:pPr>
          </w:p>
        </w:tc>
        <w:tc>
          <w:tcPr>
            <w:tcW w:w="982" w:type="pct"/>
            <w:vAlign w:val="center"/>
          </w:tcPr>
          <w:p w14:paraId="2569D396">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未被列入拖欠农民工工资失信联合惩戒对象名单</w:t>
            </w:r>
          </w:p>
        </w:tc>
        <w:tc>
          <w:tcPr>
            <w:tcW w:w="2919" w:type="pct"/>
            <w:vAlign w:val="center"/>
          </w:tcPr>
          <w:p w14:paraId="6E9A2779">
            <w:pPr>
              <w:snapToGrid w:val="0"/>
              <w:rPr>
                <w:rFonts w:asciiTheme="majorEastAsia" w:hAnsiTheme="majorEastAsia" w:eastAsiaTheme="majorEastAsia" w:cstheme="majorEastAsia"/>
                <w:szCs w:val="21"/>
                <w:highlight w:val="none"/>
                <w:u w:val="single"/>
              </w:rPr>
            </w:pPr>
            <w:r>
              <w:rPr>
                <w:rFonts w:hint="eastAsia" w:asciiTheme="majorEastAsia" w:hAnsiTheme="majorEastAsia" w:eastAsiaTheme="majorEastAsia" w:cstheme="majorEastAsia"/>
                <w:szCs w:val="21"/>
                <w:highlight w:val="none"/>
                <w:u w:val="single"/>
              </w:rPr>
              <w:t>投标人无需提供资料，按投标截止时间交易系统比对的结果进行评审</w:t>
            </w:r>
          </w:p>
        </w:tc>
      </w:tr>
      <w:tr w14:paraId="270D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68A67433">
            <w:pPr>
              <w:jc w:val="center"/>
              <w:rPr>
                <w:rFonts w:asciiTheme="majorEastAsia" w:hAnsiTheme="majorEastAsia" w:eastAsiaTheme="majorEastAsia" w:cstheme="majorEastAsia"/>
                <w:szCs w:val="21"/>
                <w:highlight w:val="none"/>
              </w:rPr>
            </w:pPr>
          </w:p>
        </w:tc>
        <w:tc>
          <w:tcPr>
            <w:tcW w:w="615" w:type="pct"/>
            <w:vMerge w:val="continue"/>
            <w:vAlign w:val="center"/>
          </w:tcPr>
          <w:p w14:paraId="1637556E">
            <w:pPr>
              <w:jc w:val="center"/>
              <w:rPr>
                <w:rFonts w:asciiTheme="majorEastAsia" w:hAnsiTheme="majorEastAsia" w:eastAsiaTheme="majorEastAsia" w:cstheme="majorEastAsia"/>
                <w:szCs w:val="21"/>
                <w:highlight w:val="none"/>
              </w:rPr>
            </w:pPr>
          </w:p>
        </w:tc>
        <w:tc>
          <w:tcPr>
            <w:tcW w:w="982" w:type="pct"/>
            <w:vAlign w:val="center"/>
          </w:tcPr>
          <w:p w14:paraId="6E69AF23">
            <w:pPr>
              <w:snapToGrid w:val="0"/>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不存在禁止投标的情形</w:t>
            </w:r>
          </w:p>
        </w:tc>
        <w:tc>
          <w:tcPr>
            <w:tcW w:w="2919" w:type="pct"/>
            <w:vAlign w:val="center"/>
          </w:tcPr>
          <w:p w14:paraId="5F76FB83">
            <w:pPr>
              <w:snapToGrid w:val="0"/>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不存在第二章“投标人须知”第1.4.3项规定的任何一种情形</w:t>
            </w:r>
            <w:r>
              <w:rPr>
                <w:rFonts w:hint="eastAsia" w:asciiTheme="majorEastAsia" w:hAnsiTheme="majorEastAsia" w:eastAsiaTheme="majorEastAsia" w:cstheme="majorEastAsia"/>
                <w:szCs w:val="21"/>
                <w:highlight w:val="none"/>
                <w:u w:val="single"/>
              </w:rPr>
              <w:t>（以投标函中的声明为评审依据）。</w:t>
            </w:r>
          </w:p>
        </w:tc>
      </w:tr>
      <w:tr w14:paraId="0A41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7A1B5EDD">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2.1.3</w:t>
            </w:r>
          </w:p>
        </w:tc>
        <w:tc>
          <w:tcPr>
            <w:tcW w:w="615" w:type="pct"/>
            <w:vMerge w:val="restart"/>
            <w:vAlign w:val="center"/>
          </w:tcPr>
          <w:p w14:paraId="669349DD">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响应性评审标准</w:t>
            </w:r>
          </w:p>
        </w:tc>
        <w:tc>
          <w:tcPr>
            <w:tcW w:w="982" w:type="pct"/>
            <w:vAlign w:val="center"/>
          </w:tcPr>
          <w:p w14:paraId="0DE96017">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投标报价</w:t>
            </w:r>
          </w:p>
        </w:tc>
        <w:tc>
          <w:tcPr>
            <w:tcW w:w="2919" w:type="pct"/>
            <w:vAlign w:val="center"/>
          </w:tcPr>
          <w:p w14:paraId="3FC46F7D">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符合第二章“投标人须知”第3.2款规定</w:t>
            </w:r>
          </w:p>
        </w:tc>
      </w:tr>
      <w:tr w14:paraId="4B9F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7349899A">
            <w:pPr>
              <w:jc w:val="center"/>
              <w:rPr>
                <w:rFonts w:asciiTheme="majorEastAsia" w:hAnsiTheme="majorEastAsia" w:eastAsiaTheme="majorEastAsia" w:cstheme="majorEastAsia"/>
                <w:szCs w:val="21"/>
                <w:highlight w:val="none"/>
              </w:rPr>
            </w:pPr>
          </w:p>
        </w:tc>
        <w:tc>
          <w:tcPr>
            <w:tcW w:w="615" w:type="pct"/>
            <w:vMerge w:val="continue"/>
            <w:vAlign w:val="center"/>
          </w:tcPr>
          <w:p w14:paraId="636BD2B2">
            <w:pPr>
              <w:jc w:val="center"/>
              <w:rPr>
                <w:rFonts w:asciiTheme="majorEastAsia" w:hAnsiTheme="majorEastAsia" w:eastAsiaTheme="majorEastAsia" w:cstheme="majorEastAsia"/>
                <w:szCs w:val="21"/>
                <w:highlight w:val="none"/>
              </w:rPr>
            </w:pPr>
          </w:p>
        </w:tc>
        <w:tc>
          <w:tcPr>
            <w:tcW w:w="982" w:type="pct"/>
            <w:vAlign w:val="center"/>
          </w:tcPr>
          <w:p w14:paraId="2B27E164">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投标内容</w:t>
            </w:r>
          </w:p>
        </w:tc>
        <w:tc>
          <w:tcPr>
            <w:tcW w:w="2919" w:type="pct"/>
            <w:vAlign w:val="center"/>
          </w:tcPr>
          <w:p w14:paraId="64D30AB3">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符合第二章“投标人须知”第1.3.1项规定</w:t>
            </w:r>
          </w:p>
        </w:tc>
      </w:tr>
      <w:tr w14:paraId="25F8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799EBAEA">
            <w:pPr>
              <w:jc w:val="center"/>
              <w:rPr>
                <w:rFonts w:asciiTheme="majorEastAsia" w:hAnsiTheme="majorEastAsia" w:eastAsiaTheme="majorEastAsia" w:cstheme="majorEastAsia"/>
                <w:szCs w:val="21"/>
                <w:highlight w:val="none"/>
              </w:rPr>
            </w:pPr>
          </w:p>
        </w:tc>
        <w:tc>
          <w:tcPr>
            <w:tcW w:w="615" w:type="pct"/>
            <w:vMerge w:val="continue"/>
            <w:vAlign w:val="center"/>
          </w:tcPr>
          <w:p w14:paraId="4887964E">
            <w:pPr>
              <w:jc w:val="center"/>
              <w:rPr>
                <w:rFonts w:asciiTheme="majorEastAsia" w:hAnsiTheme="majorEastAsia" w:eastAsiaTheme="majorEastAsia" w:cstheme="majorEastAsia"/>
                <w:szCs w:val="21"/>
                <w:highlight w:val="none"/>
              </w:rPr>
            </w:pPr>
          </w:p>
        </w:tc>
        <w:tc>
          <w:tcPr>
            <w:tcW w:w="982" w:type="pct"/>
            <w:vAlign w:val="center"/>
          </w:tcPr>
          <w:p w14:paraId="77C5F866">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交货期</w:t>
            </w:r>
          </w:p>
        </w:tc>
        <w:tc>
          <w:tcPr>
            <w:tcW w:w="2919" w:type="pct"/>
            <w:vAlign w:val="center"/>
          </w:tcPr>
          <w:p w14:paraId="23F9CB9C">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符合第二章“投标人须知”第1.3.2项规定</w:t>
            </w:r>
          </w:p>
        </w:tc>
      </w:tr>
      <w:tr w14:paraId="466A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11FED03D">
            <w:pPr>
              <w:jc w:val="center"/>
              <w:rPr>
                <w:rFonts w:asciiTheme="majorEastAsia" w:hAnsiTheme="majorEastAsia" w:eastAsiaTheme="majorEastAsia" w:cstheme="majorEastAsia"/>
                <w:szCs w:val="21"/>
                <w:highlight w:val="none"/>
              </w:rPr>
            </w:pPr>
          </w:p>
        </w:tc>
        <w:tc>
          <w:tcPr>
            <w:tcW w:w="615" w:type="pct"/>
            <w:vMerge w:val="continue"/>
            <w:vAlign w:val="center"/>
          </w:tcPr>
          <w:p w14:paraId="4D2952E2">
            <w:pPr>
              <w:jc w:val="center"/>
              <w:rPr>
                <w:rFonts w:asciiTheme="majorEastAsia" w:hAnsiTheme="majorEastAsia" w:eastAsiaTheme="majorEastAsia" w:cstheme="majorEastAsia"/>
                <w:szCs w:val="21"/>
                <w:highlight w:val="none"/>
              </w:rPr>
            </w:pPr>
          </w:p>
        </w:tc>
        <w:tc>
          <w:tcPr>
            <w:tcW w:w="982" w:type="pct"/>
            <w:vAlign w:val="center"/>
          </w:tcPr>
          <w:p w14:paraId="5A42C963">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交货地点</w:t>
            </w:r>
          </w:p>
        </w:tc>
        <w:tc>
          <w:tcPr>
            <w:tcW w:w="2919" w:type="pct"/>
            <w:vAlign w:val="center"/>
          </w:tcPr>
          <w:p w14:paraId="3BF1DA48">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符合第二章“投标人须知”第1.3.3项规定</w:t>
            </w:r>
          </w:p>
        </w:tc>
      </w:tr>
      <w:tr w14:paraId="28AF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7DCC0A7B">
            <w:pPr>
              <w:rPr>
                <w:rFonts w:asciiTheme="majorEastAsia" w:hAnsiTheme="majorEastAsia" w:eastAsiaTheme="majorEastAsia" w:cstheme="majorEastAsia"/>
                <w:szCs w:val="21"/>
                <w:highlight w:val="none"/>
              </w:rPr>
            </w:pPr>
          </w:p>
        </w:tc>
        <w:tc>
          <w:tcPr>
            <w:tcW w:w="615" w:type="pct"/>
            <w:vMerge w:val="continue"/>
            <w:vAlign w:val="center"/>
          </w:tcPr>
          <w:p w14:paraId="6A5A4F11">
            <w:pPr>
              <w:rPr>
                <w:rFonts w:asciiTheme="majorEastAsia" w:hAnsiTheme="majorEastAsia" w:eastAsiaTheme="majorEastAsia" w:cstheme="majorEastAsia"/>
                <w:szCs w:val="21"/>
                <w:highlight w:val="none"/>
              </w:rPr>
            </w:pPr>
          </w:p>
        </w:tc>
        <w:tc>
          <w:tcPr>
            <w:tcW w:w="982" w:type="pct"/>
          </w:tcPr>
          <w:p w14:paraId="7561C15B">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投标有效期</w:t>
            </w:r>
          </w:p>
        </w:tc>
        <w:tc>
          <w:tcPr>
            <w:tcW w:w="2919" w:type="pct"/>
            <w:vAlign w:val="center"/>
          </w:tcPr>
          <w:p w14:paraId="31804B7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符合第二章“投标人须知”第3.3.1项规定</w:t>
            </w:r>
          </w:p>
        </w:tc>
      </w:tr>
      <w:tr w14:paraId="2475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510148E9">
            <w:pPr>
              <w:rPr>
                <w:rFonts w:asciiTheme="majorEastAsia" w:hAnsiTheme="majorEastAsia" w:eastAsiaTheme="majorEastAsia" w:cstheme="majorEastAsia"/>
                <w:szCs w:val="21"/>
                <w:highlight w:val="none"/>
              </w:rPr>
            </w:pPr>
          </w:p>
        </w:tc>
        <w:tc>
          <w:tcPr>
            <w:tcW w:w="615" w:type="pct"/>
            <w:vMerge w:val="continue"/>
            <w:vAlign w:val="center"/>
          </w:tcPr>
          <w:p w14:paraId="56F87D7C">
            <w:pPr>
              <w:rPr>
                <w:rFonts w:asciiTheme="majorEastAsia" w:hAnsiTheme="majorEastAsia" w:eastAsiaTheme="majorEastAsia" w:cstheme="majorEastAsia"/>
                <w:szCs w:val="21"/>
                <w:highlight w:val="none"/>
              </w:rPr>
            </w:pPr>
          </w:p>
        </w:tc>
        <w:tc>
          <w:tcPr>
            <w:tcW w:w="982" w:type="pct"/>
          </w:tcPr>
          <w:p w14:paraId="660EDAD7">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投标保证金</w:t>
            </w:r>
          </w:p>
        </w:tc>
        <w:tc>
          <w:tcPr>
            <w:tcW w:w="2919" w:type="pct"/>
            <w:vAlign w:val="center"/>
          </w:tcPr>
          <w:p w14:paraId="112D675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符合第二章“投标人须知”第3.4.1项规定。</w:t>
            </w:r>
          </w:p>
        </w:tc>
      </w:tr>
      <w:tr w14:paraId="2945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3D9BECA2">
            <w:pPr>
              <w:rPr>
                <w:rFonts w:asciiTheme="majorEastAsia" w:hAnsiTheme="majorEastAsia" w:eastAsiaTheme="majorEastAsia" w:cstheme="majorEastAsia"/>
                <w:szCs w:val="21"/>
                <w:highlight w:val="none"/>
              </w:rPr>
            </w:pPr>
          </w:p>
        </w:tc>
        <w:tc>
          <w:tcPr>
            <w:tcW w:w="615" w:type="pct"/>
            <w:vMerge w:val="continue"/>
            <w:vAlign w:val="center"/>
          </w:tcPr>
          <w:p w14:paraId="5F7698A8">
            <w:pPr>
              <w:rPr>
                <w:rFonts w:asciiTheme="majorEastAsia" w:hAnsiTheme="majorEastAsia" w:eastAsiaTheme="majorEastAsia" w:cstheme="majorEastAsia"/>
                <w:szCs w:val="21"/>
                <w:highlight w:val="none"/>
              </w:rPr>
            </w:pPr>
          </w:p>
        </w:tc>
        <w:tc>
          <w:tcPr>
            <w:tcW w:w="982" w:type="pct"/>
          </w:tcPr>
          <w:p w14:paraId="5F498EF7">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技术性能指标</w:t>
            </w:r>
          </w:p>
        </w:tc>
        <w:tc>
          <w:tcPr>
            <w:tcW w:w="2919" w:type="pct"/>
            <w:vAlign w:val="center"/>
          </w:tcPr>
          <w:p w14:paraId="51FB814B">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招标文件第六章《商务和技术偏差表》中所列的偏差满足招标人需求。</w:t>
            </w:r>
          </w:p>
        </w:tc>
      </w:tr>
      <w:tr w14:paraId="7995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15C1DB18">
            <w:pPr>
              <w:rPr>
                <w:rFonts w:asciiTheme="majorEastAsia" w:hAnsiTheme="majorEastAsia" w:eastAsiaTheme="majorEastAsia" w:cstheme="majorEastAsia"/>
                <w:szCs w:val="21"/>
                <w:highlight w:val="none"/>
              </w:rPr>
            </w:pPr>
          </w:p>
        </w:tc>
        <w:tc>
          <w:tcPr>
            <w:tcW w:w="615" w:type="pct"/>
            <w:vMerge w:val="continue"/>
            <w:vAlign w:val="center"/>
          </w:tcPr>
          <w:p w14:paraId="677697B8">
            <w:pPr>
              <w:rPr>
                <w:rFonts w:asciiTheme="majorEastAsia" w:hAnsiTheme="majorEastAsia" w:eastAsiaTheme="majorEastAsia" w:cstheme="majorEastAsia"/>
                <w:szCs w:val="21"/>
                <w:highlight w:val="none"/>
              </w:rPr>
            </w:pPr>
          </w:p>
        </w:tc>
        <w:tc>
          <w:tcPr>
            <w:tcW w:w="982" w:type="pct"/>
          </w:tcPr>
          <w:p w14:paraId="7A64299F">
            <w:pPr>
              <w:jc w:val="center"/>
              <w:rPr>
                <w:rFonts w:hint="eastAsia"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串通投标情形</w:t>
            </w:r>
          </w:p>
        </w:tc>
        <w:tc>
          <w:tcPr>
            <w:tcW w:w="2919" w:type="pct"/>
            <w:vAlign w:val="center"/>
          </w:tcPr>
          <w:p w14:paraId="5B0BA101">
            <w:pPr>
              <w:rPr>
                <w:rFonts w:hint="eastAsia"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不存在串通投标情形（串通投标情形以《中华人民共和国招标投标法实施条例》</w:t>
            </w:r>
            <w:r>
              <w:rPr>
                <w:rFonts w:hint="eastAsia" w:asciiTheme="majorEastAsia" w:hAnsiTheme="majorEastAsia" w:eastAsiaTheme="majorEastAsia" w:cstheme="majorEastAsia"/>
                <w:szCs w:val="21"/>
                <w:highlight w:val="none"/>
                <w:lang w:eastAsia="zh-CN"/>
              </w:rPr>
              <w:t>、《广东省实施中华人民共和国招标投标法办法》</w:t>
            </w:r>
            <w:r>
              <w:rPr>
                <w:rFonts w:hint="eastAsia" w:asciiTheme="majorEastAsia" w:hAnsiTheme="majorEastAsia" w:eastAsiaTheme="majorEastAsia" w:cstheme="majorEastAsia"/>
                <w:szCs w:val="21"/>
                <w:highlight w:val="none"/>
              </w:rPr>
              <w:t>的规定为准）。</w:t>
            </w:r>
          </w:p>
        </w:tc>
      </w:tr>
      <w:tr w14:paraId="7AE8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gridSpan w:val="2"/>
            <w:vAlign w:val="center"/>
          </w:tcPr>
          <w:p w14:paraId="576D82DD">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条款号</w:t>
            </w:r>
          </w:p>
        </w:tc>
        <w:tc>
          <w:tcPr>
            <w:tcW w:w="982" w:type="pct"/>
            <w:vAlign w:val="center"/>
          </w:tcPr>
          <w:p w14:paraId="022FCDC8">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条款内容</w:t>
            </w:r>
          </w:p>
        </w:tc>
        <w:tc>
          <w:tcPr>
            <w:tcW w:w="2919" w:type="pct"/>
            <w:vAlign w:val="center"/>
          </w:tcPr>
          <w:p w14:paraId="752A2C5E">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编列内容</w:t>
            </w:r>
          </w:p>
        </w:tc>
      </w:tr>
      <w:tr w14:paraId="67CC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gridSpan w:val="2"/>
            <w:vAlign w:val="center"/>
          </w:tcPr>
          <w:p w14:paraId="5A1A4DF2">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2.2.1</w:t>
            </w:r>
          </w:p>
        </w:tc>
        <w:tc>
          <w:tcPr>
            <w:tcW w:w="982" w:type="pct"/>
            <w:vAlign w:val="center"/>
          </w:tcPr>
          <w:p w14:paraId="2B1E049A">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分值构成</w:t>
            </w:r>
          </w:p>
          <w:p w14:paraId="2D55611B">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(总分100分)</w:t>
            </w:r>
          </w:p>
        </w:tc>
        <w:tc>
          <w:tcPr>
            <w:tcW w:w="2919" w:type="pct"/>
            <w:vAlign w:val="center"/>
          </w:tcPr>
          <w:p w14:paraId="102E1C32">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A商务部分：</w:t>
            </w:r>
            <w:r>
              <w:rPr>
                <w:rFonts w:hint="eastAsia" w:asciiTheme="majorEastAsia" w:hAnsiTheme="majorEastAsia" w:eastAsiaTheme="majorEastAsia" w:cstheme="majorEastAsia"/>
                <w:szCs w:val="21"/>
                <w:highlight w:val="none"/>
                <w:u w:val="single"/>
              </w:rPr>
              <w:t>6</w:t>
            </w:r>
            <w:r>
              <w:rPr>
                <w:rFonts w:hint="eastAsia" w:asciiTheme="majorEastAsia" w:hAnsiTheme="majorEastAsia" w:eastAsiaTheme="majorEastAsia" w:cstheme="majorEastAsia"/>
                <w:szCs w:val="21"/>
                <w:highlight w:val="none"/>
              </w:rPr>
              <w:t>分</w:t>
            </w:r>
          </w:p>
          <w:p w14:paraId="7B47CF85">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B技术部分：</w:t>
            </w:r>
            <w:r>
              <w:rPr>
                <w:rFonts w:hint="eastAsia" w:asciiTheme="majorEastAsia" w:hAnsiTheme="majorEastAsia" w:eastAsiaTheme="majorEastAsia" w:cstheme="majorEastAsia"/>
                <w:szCs w:val="21"/>
                <w:highlight w:val="none"/>
                <w:u w:val="single"/>
              </w:rPr>
              <w:t>44</w:t>
            </w:r>
            <w:r>
              <w:rPr>
                <w:rFonts w:hint="eastAsia" w:asciiTheme="majorEastAsia" w:hAnsiTheme="majorEastAsia" w:eastAsiaTheme="majorEastAsia" w:cstheme="majorEastAsia"/>
                <w:szCs w:val="21"/>
                <w:highlight w:val="none"/>
              </w:rPr>
              <w:t>分</w:t>
            </w:r>
          </w:p>
          <w:p w14:paraId="2617BE72">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C投标报价：</w:t>
            </w:r>
            <w:r>
              <w:rPr>
                <w:rFonts w:hint="eastAsia" w:asciiTheme="majorEastAsia" w:hAnsiTheme="majorEastAsia" w:eastAsiaTheme="majorEastAsia" w:cstheme="majorEastAsia"/>
                <w:szCs w:val="21"/>
                <w:highlight w:val="none"/>
                <w:u w:val="single"/>
              </w:rPr>
              <w:t>50</w:t>
            </w:r>
            <w:r>
              <w:rPr>
                <w:rFonts w:hint="eastAsia" w:asciiTheme="majorEastAsia" w:hAnsiTheme="majorEastAsia" w:eastAsiaTheme="majorEastAsia" w:cstheme="majorEastAsia"/>
                <w:szCs w:val="21"/>
                <w:highlight w:val="none"/>
              </w:rPr>
              <w:t>分</w:t>
            </w:r>
          </w:p>
        </w:tc>
      </w:tr>
      <w:tr w14:paraId="11EB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gridSpan w:val="2"/>
            <w:vAlign w:val="center"/>
          </w:tcPr>
          <w:p w14:paraId="400645AA">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2.2.2</w:t>
            </w:r>
          </w:p>
        </w:tc>
        <w:tc>
          <w:tcPr>
            <w:tcW w:w="982" w:type="pct"/>
            <w:vAlign w:val="center"/>
          </w:tcPr>
          <w:p w14:paraId="66160F59">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评标基准价计算方法</w:t>
            </w:r>
          </w:p>
        </w:tc>
        <w:tc>
          <w:tcPr>
            <w:tcW w:w="2919" w:type="pct"/>
            <w:vAlign w:val="center"/>
          </w:tcPr>
          <w:p w14:paraId="7C9EAAEE">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当投标价格在参与评标基准价计算范围[最高投标限价×90%，最高投标限价]内且通过形式评审、资格评审、响应性评审的有效投标人大于等于5名时，所有入围的有效投标价中去掉一个最高价和一个最低价，取余下有效投标价格的算术平均值作为评标基准价。</w:t>
            </w:r>
          </w:p>
          <w:p w14:paraId="5EA52BBB">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2.当投标价格在参与评标基准价计算范围[最高投标限价×90%，最高投标限价]内且通过形式评审、资格评审、响应性评审的有效投标人小于5名时，取所有入围的有效投标价的算术平均值作为评标基准价。</w:t>
            </w:r>
          </w:p>
          <w:p w14:paraId="37BEC6F0">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3.若没有投标价格在参与评标基准价计算范围[最高投标限价×90%，最高投标限价]内且通过形式评审、资格评审、响应性评审的有效投标人时，以最高投标限价×90%为评标基准价。</w:t>
            </w:r>
          </w:p>
        </w:tc>
      </w:tr>
      <w:tr w14:paraId="1748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gridSpan w:val="2"/>
            <w:vAlign w:val="center"/>
          </w:tcPr>
          <w:p w14:paraId="546FADE6">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2.2.3</w:t>
            </w:r>
          </w:p>
        </w:tc>
        <w:tc>
          <w:tcPr>
            <w:tcW w:w="982" w:type="pct"/>
            <w:vAlign w:val="center"/>
          </w:tcPr>
          <w:p w14:paraId="121F8E2D">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投标报价的偏差率计算公式</w:t>
            </w:r>
          </w:p>
        </w:tc>
        <w:tc>
          <w:tcPr>
            <w:tcW w:w="2919" w:type="pct"/>
            <w:vAlign w:val="center"/>
          </w:tcPr>
          <w:p w14:paraId="54BFF082">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 xml:space="preserve">偏差率= ∣评审价格 — 评标基准价∣ / 评标基准价*100% </w:t>
            </w:r>
          </w:p>
          <w:p w14:paraId="6712580B">
            <w:pPr>
              <w:spacing w:line="400" w:lineRule="exact"/>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（偏差率四舍五入保留2位小数）</w:t>
            </w:r>
          </w:p>
        </w:tc>
      </w:tr>
      <w:tr w14:paraId="270C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pct"/>
            <w:gridSpan w:val="2"/>
            <w:vAlign w:val="center"/>
          </w:tcPr>
          <w:p w14:paraId="6F840962">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条款号</w:t>
            </w:r>
          </w:p>
        </w:tc>
        <w:tc>
          <w:tcPr>
            <w:tcW w:w="982" w:type="pct"/>
            <w:vAlign w:val="center"/>
          </w:tcPr>
          <w:p w14:paraId="66EC9635">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评分因素</w:t>
            </w:r>
          </w:p>
        </w:tc>
        <w:tc>
          <w:tcPr>
            <w:tcW w:w="2919" w:type="pct"/>
            <w:vAlign w:val="center"/>
          </w:tcPr>
          <w:p w14:paraId="0270C8B8">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
                <w:szCs w:val="21"/>
                <w:highlight w:val="none"/>
              </w:rPr>
              <w:t>评分标准</w:t>
            </w:r>
          </w:p>
        </w:tc>
      </w:tr>
      <w:tr w14:paraId="5822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28F803F3">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2.2.4（1）</w:t>
            </w:r>
          </w:p>
        </w:tc>
        <w:tc>
          <w:tcPr>
            <w:tcW w:w="615" w:type="pct"/>
            <w:vMerge w:val="restart"/>
            <w:vAlign w:val="center"/>
          </w:tcPr>
          <w:p w14:paraId="4712C64A">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商务评分标准</w:t>
            </w:r>
          </w:p>
          <w:p w14:paraId="6876BDEF">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（6分）</w:t>
            </w:r>
          </w:p>
        </w:tc>
        <w:tc>
          <w:tcPr>
            <w:tcW w:w="982" w:type="pct"/>
            <w:vAlign w:val="center"/>
          </w:tcPr>
          <w:p w14:paraId="121B5813">
            <w:pPr>
              <w:ind w:left="-63" w:leftChars="-30" w:right="-88" w:rightChars="-42"/>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同类项目经验</w:t>
            </w:r>
          </w:p>
          <w:p w14:paraId="08B027B7">
            <w:pPr>
              <w:ind w:left="-63" w:leftChars="-30" w:right="-88" w:rightChars="-42"/>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（3分）</w:t>
            </w:r>
          </w:p>
        </w:tc>
        <w:tc>
          <w:tcPr>
            <w:tcW w:w="2919" w:type="pct"/>
            <w:vAlign w:val="center"/>
          </w:tcPr>
          <w:p w14:paraId="53258A26">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投标人近3年（2022年1月1日至投标截止时间止完成的）的同类项目业绩，每提供一项得0.5分，本项最高得3分。</w:t>
            </w:r>
          </w:p>
        </w:tc>
      </w:tr>
      <w:tr w14:paraId="75CF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tcPr>
          <w:p w14:paraId="560E29E6">
            <w:pPr>
              <w:rPr>
                <w:rFonts w:asciiTheme="majorEastAsia" w:hAnsiTheme="majorEastAsia" w:eastAsiaTheme="majorEastAsia" w:cstheme="majorEastAsia"/>
                <w:szCs w:val="21"/>
                <w:highlight w:val="none"/>
              </w:rPr>
            </w:pPr>
          </w:p>
        </w:tc>
        <w:tc>
          <w:tcPr>
            <w:tcW w:w="615" w:type="pct"/>
            <w:vMerge w:val="continue"/>
          </w:tcPr>
          <w:p w14:paraId="0A7618B7">
            <w:pPr>
              <w:rPr>
                <w:rFonts w:asciiTheme="majorEastAsia" w:hAnsiTheme="majorEastAsia" w:eastAsiaTheme="majorEastAsia" w:cstheme="majorEastAsia"/>
                <w:szCs w:val="21"/>
                <w:highlight w:val="none"/>
              </w:rPr>
            </w:pPr>
          </w:p>
        </w:tc>
        <w:tc>
          <w:tcPr>
            <w:tcW w:w="982" w:type="pct"/>
            <w:vAlign w:val="center"/>
          </w:tcPr>
          <w:p w14:paraId="6A67F02F">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管理体系认证证书（3分）</w:t>
            </w:r>
          </w:p>
        </w:tc>
        <w:tc>
          <w:tcPr>
            <w:tcW w:w="2919" w:type="pct"/>
            <w:vAlign w:val="center"/>
          </w:tcPr>
          <w:p w14:paraId="3F4E1B5A">
            <w:pPr>
              <w:spacing w:line="400" w:lineRule="exact"/>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制造商具有有效期内的质量管理体系认证、环境管理体系认证和职业健康安全管理体系认证的情况，具有其中任一项得1分，最高得3分，没有或不提供得0分。</w:t>
            </w:r>
          </w:p>
        </w:tc>
      </w:tr>
      <w:tr w14:paraId="5211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restart"/>
            <w:vAlign w:val="center"/>
          </w:tcPr>
          <w:p w14:paraId="3D219739">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2.2.4（2）</w:t>
            </w:r>
          </w:p>
        </w:tc>
        <w:tc>
          <w:tcPr>
            <w:tcW w:w="615" w:type="pct"/>
            <w:vMerge w:val="restart"/>
            <w:vAlign w:val="center"/>
          </w:tcPr>
          <w:p w14:paraId="227EBD93">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技术评分标准</w:t>
            </w:r>
          </w:p>
          <w:p w14:paraId="4E4816DB">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（44分）</w:t>
            </w:r>
          </w:p>
        </w:tc>
        <w:tc>
          <w:tcPr>
            <w:tcW w:w="982" w:type="pct"/>
            <w:vAlign w:val="center"/>
          </w:tcPr>
          <w:p w14:paraId="15A15DB6">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Cs/>
                <w:szCs w:val="21"/>
                <w:highlight w:val="none"/>
              </w:rPr>
              <w:t>原厂原品牌（3分）</w:t>
            </w:r>
          </w:p>
        </w:tc>
        <w:tc>
          <w:tcPr>
            <w:tcW w:w="2919" w:type="pct"/>
            <w:vAlign w:val="center"/>
          </w:tcPr>
          <w:p w14:paraId="19C0DBA5">
            <w:pPr>
              <w:rPr>
                <w:rFonts w:hint="eastAsia" w:asciiTheme="majorEastAsia" w:hAnsiTheme="majorEastAsia" w:eastAsiaTheme="majorEastAsia" w:cstheme="majorEastAsia"/>
                <w:szCs w:val="21"/>
                <w:highlight w:val="none"/>
                <w:lang w:val="en-US" w:eastAsia="zh-CN"/>
              </w:rPr>
            </w:pPr>
            <w:r>
              <w:rPr>
                <w:rFonts w:hint="eastAsia" w:asciiTheme="majorEastAsia" w:hAnsiTheme="majorEastAsia" w:eastAsiaTheme="majorEastAsia" w:cstheme="majorEastAsia"/>
                <w:szCs w:val="21"/>
                <w:highlight w:val="none"/>
                <w:lang w:val="en-US" w:eastAsia="zh-CN"/>
              </w:rPr>
              <w:t>投标产品六大核心部件（曳引机、控制柜、门机、限速器、安全钳、缓冲器）符合原厂原品牌，需提供相关说明书等证明材料。</w:t>
            </w:r>
          </w:p>
          <w:p w14:paraId="22C19606">
            <w:pPr>
              <w:rPr>
                <w:rFonts w:hint="eastAsia" w:asciiTheme="majorEastAsia" w:hAnsiTheme="majorEastAsia" w:eastAsiaTheme="majorEastAsia" w:cstheme="majorEastAsia"/>
                <w:szCs w:val="21"/>
                <w:highlight w:val="none"/>
                <w:lang w:val="en-US" w:eastAsia="zh-CN"/>
              </w:rPr>
            </w:pPr>
            <w:r>
              <w:rPr>
                <w:rFonts w:hint="eastAsia" w:asciiTheme="majorEastAsia" w:hAnsiTheme="majorEastAsia" w:eastAsiaTheme="majorEastAsia" w:cstheme="majorEastAsia"/>
                <w:szCs w:val="21"/>
                <w:highlight w:val="none"/>
                <w:lang w:val="en-US" w:eastAsia="zh-CN"/>
              </w:rPr>
              <w:t>1.投标产品六大核心部件（曳引机、控制柜、门机、限速器、安全钳、缓冲器）有6项或以上符合原厂原品牌，得3分；</w:t>
            </w:r>
          </w:p>
          <w:p w14:paraId="5E40B8CC">
            <w:pPr>
              <w:rPr>
                <w:rFonts w:hint="eastAsia" w:asciiTheme="majorEastAsia" w:hAnsiTheme="majorEastAsia" w:eastAsiaTheme="majorEastAsia" w:cstheme="majorEastAsia"/>
                <w:szCs w:val="21"/>
                <w:highlight w:val="none"/>
                <w:lang w:val="en-US" w:eastAsia="zh-CN"/>
              </w:rPr>
            </w:pPr>
            <w:r>
              <w:rPr>
                <w:rFonts w:hint="eastAsia" w:asciiTheme="majorEastAsia" w:hAnsiTheme="majorEastAsia" w:eastAsiaTheme="majorEastAsia" w:cstheme="majorEastAsia"/>
                <w:szCs w:val="21"/>
                <w:highlight w:val="none"/>
                <w:lang w:val="en-US" w:eastAsia="zh-CN"/>
              </w:rPr>
              <w:t>2.投标产品六大核心部件（曳引机、控制柜、门机、限速器、安全钳、缓冲器）有[4-5]项符合原厂原品牌，得2分；</w:t>
            </w:r>
          </w:p>
          <w:p w14:paraId="0DD5F5C6">
            <w:pPr>
              <w:rPr>
                <w:rFonts w:hint="eastAsia" w:asciiTheme="majorEastAsia" w:hAnsiTheme="majorEastAsia" w:eastAsiaTheme="majorEastAsia" w:cstheme="majorEastAsia"/>
                <w:szCs w:val="21"/>
                <w:highlight w:val="none"/>
                <w:lang w:val="en-US" w:eastAsia="zh-CN"/>
              </w:rPr>
            </w:pPr>
            <w:r>
              <w:rPr>
                <w:rFonts w:hint="eastAsia" w:asciiTheme="majorEastAsia" w:hAnsiTheme="majorEastAsia" w:eastAsiaTheme="majorEastAsia" w:cstheme="majorEastAsia"/>
                <w:szCs w:val="21"/>
                <w:highlight w:val="none"/>
                <w:lang w:val="en-US" w:eastAsia="zh-CN"/>
              </w:rPr>
              <w:t>3.投标产品六大核心部件（曳引机、控制柜、门机、限速器、安全钳、缓冲器）有[2-3]项符合原厂原品牌，得1分；</w:t>
            </w:r>
          </w:p>
          <w:p w14:paraId="0F2C25AB">
            <w:pPr>
              <w:rPr>
                <w:rFonts w:hint="eastAsia" w:asciiTheme="majorEastAsia" w:hAnsiTheme="majorEastAsia" w:eastAsiaTheme="majorEastAsia" w:cstheme="majorEastAsia"/>
                <w:szCs w:val="21"/>
                <w:highlight w:val="none"/>
                <w:lang w:val="en-US" w:eastAsia="zh-CN"/>
              </w:rPr>
            </w:pPr>
            <w:r>
              <w:rPr>
                <w:rFonts w:hint="eastAsia" w:asciiTheme="majorEastAsia" w:hAnsiTheme="majorEastAsia" w:eastAsiaTheme="majorEastAsia" w:cstheme="majorEastAsia"/>
                <w:szCs w:val="21"/>
                <w:highlight w:val="none"/>
                <w:lang w:val="en-US" w:eastAsia="zh-CN"/>
              </w:rPr>
              <w:t>4. 其他情况不得分。</w:t>
            </w:r>
          </w:p>
          <w:p w14:paraId="4CA2D3CF">
            <w:pPr>
              <w:rPr>
                <w:rFonts w:hint="eastAsia" w:asciiTheme="majorEastAsia" w:hAnsiTheme="majorEastAsia" w:eastAsiaTheme="majorEastAsia" w:cstheme="majorEastAsia"/>
                <w:szCs w:val="21"/>
                <w:highlight w:val="none"/>
                <w:lang w:val="en-US" w:eastAsia="zh-CN"/>
              </w:rPr>
            </w:pPr>
            <w:r>
              <w:rPr>
                <w:rFonts w:hint="eastAsia" w:asciiTheme="majorEastAsia" w:hAnsiTheme="majorEastAsia" w:eastAsiaTheme="majorEastAsia" w:cstheme="majorEastAsia"/>
                <w:szCs w:val="21"/>
                <w:highlight w:val="none"/>
                <w:lang w:val="en-US" w:eastAsia="zh-CN"/>
              </w:rPr>
              <w:t>注：1.提供型式试验报告（或证书）或特种设备第三方鉴定机构出具的试验（检验）报告为准。</w:t>
            </w:r>
          </w:p>
          <w:p w14:paraId="315B9FE3">
            <w:pPr>
              <w:rPr>
                <w:rFonts w:hint="default"/>
                <w:highlight w:val="none"/>
                <w:lang w:val="en-US" w:eastAsia="zh-CN"/>
              </w:rPr>
            </w:pPr>
            <w:r>
              <w:rPr>
                <w:rFonts w:hint="eastAsia" w:asciiTheme="majorEastAsia" w:hAnsiTheme="majorEastAsia" w:eastAsiaTheme="majorEastAsia" w:cstheme="majorEastAsia"/>
                <w:szCs w:val="21"/>
                <w:highlight w:val="none"/>
                <w:lang w:val="en-US" w:eastAsia="zh-CN"/>
              </w:rPr>
              <w:t>2.原厂是指：电梯制造商型式试验报告（或证书）或特种设备第三方鉴定机构出具的试验（检验）报告上制造单位名称为投标人或投标人集团公司或投标人集团下属的子公司，方为原厂。</w:t>
            </w:r>
          </w:p>
        </w:tc>
      </w:tr>
      <w:tr w14:paraId="5199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33B4229A">
            <w:pPr>
              <w:jc w:val="center"/>
              <w:rPr>
                <w:rFonts w:asciiTheme="majorEastAsia" w:hAnsiTheme="majorEastAsia" w:eastAsiaTheme="majorEastAsia" w:cstheme="majorEastAsia"/>
                <w:szCs w:val="21"/>
                <w:highlight w:val="none"/>
              </w:rPr>
            </w:pPr>
          </w:p>
        </w:tc>
        <w:tc>
          <w:tcPr>
            <w:tcW w:w="615" w:type="pct"/>
            <w:vMerge w:val="continue"/>
            <w:vAlign w:val="center"/>
          </w:tcPr>
          <w:p w14:paraId="0ED014C1">
            <w:pPr>
              <w:jc w:val="center"/>
              <w:rPr>
                <w:rFonts w:asciiTheme="majorEastAsia" w:hAnsiTheme="majorEastAsia" w:eastAsiaTheme="majorEastAsia" w:cstheme="majorEastAsia"/>
                <w:szCs w:val="21"/>
                <w:highlight w:val="none"/>
              </w:rPr>
            </w:pPr>
          </w:p>
        </w:tc>
        <w:tc>
          <w:tcPr>
            <w:tcW w:w="982" w:type="pct"/>
            <w:vAlign w:val="center"/>
          </w:tcPr>
          <w:p w14:paraId="7559AD28">
            <w:pPr>
              <w:jc w:val="center"/>
              <w:rPr>
                <w:rFonts w:asciiTheme="majorEastAsia" w:hAnsiTheme="majorEastAsia" w:eastAsiaTheme="majorEastAsia" w:cstheme="majorEastAsia"/>
                <w:kern w:val="0"/>
                <w:szCs w:val="21"/>
                <w:highlight w:val="none"/>
              </w:rPr>
            </w:pPr>
            <w:r>
              <w:rPr>
                <w:rFonts w:hint="eastAsia" w:asciiTheme="majorEastAsia" w:hAnsiTheme="majorEastAsia" w:eastAsiaTheme="majorEastAsia" w:cstheme="majorEastAsia"/>
                <w:bCs/>
                <w:szCs w:val="21"/>
                <w:highlight w:val="none"/>
              </w:rPr>
              <w:t>曳引机防护等级（3分）</w:t>
            </w:r>
          </w:p>
        </w:tc>
        <w:tc>
          <w:tcPr>
            <w:tcW w:w="2919" w:type="pct"/>
            <w:vAlign w:val="center"/>
          </w:tcPr>
          <w:p w14:paraId="5EBCCC0B">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1.投标产品主机防尘等级达到4级（IP4X）或以上，且防水等级达到3级（IPX3）或以上，得3分；</w:t>
            </w:r>
          </w:p>
          <w:p w14:paraId="7142BD2F">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2.投标产品主机防尘等级达到3级（IP3X</w:t>
            </w:r>
            <w:r>
              <w:rPr>
                <w:rFonts w:hint="eastAsia" w:asciiTheme="majorEastAsia" w:hAnsiTheme="majorEastAsia" w:eastAsiaTheme="majorEastAsia" w:cstheme="majorEastAsia"/>
                <w:color w:val="auto"/>
                <w:szCs w:val="21"/>
                <w:highlight w:val="none"/>
              </w:rPr>
              <w:t>）或以上</w:t>
            </w:r>
            <w:r>
              <w:rPr>
                <w:rFonts w:hint="eastAsia" w:asciiTheme="majorEastAsia" w:hAnsiTheme="majorEastAsia" w:eastAsiaTheme="majorEastAsia" w:cstheme="majorEastAsia"/>
                <w:szCs w:val="21"/>
                <w:highlight w:val="none"/>
              </w:rPr>
              <w:t>，且防水等级达到2级（IPX2）或以上，得2分；</w:t>
            </w:r>
          </w:p>
          <w:p w14:paraId="06D34440">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3.投标产品主机防尘等级达到2级（IP2X）</w:t>
            </w:r>
            <w:r>
              <w:rPr>
                <w:rFonts w:hint="eastAsia" w:asciiTheme="majorEastAsia" w:hAnsiTheme="majorEastAsia" w:eastAsiaTheme="majorEastAsia" w:cstheme="majorEastAsia"/>
                <w:color w:val="FF0000"/>
                <w:szCs w:val="21"/>
                <w:highlight w:val="none"/>
              </w:rPr>
              <w:t>或以上</w:t>
            </w:r>
            <w:r>
              <w:rPr>
                <w:rFonts w:hint="eastAsia" w:asciiTheme="majorEastAsia" w:hAnsiTheme="majorEastAsia" w:eastAsiaTheme="majorEastAsia" w:cstheme="majorEastAsia"/>
                <w:szCs w:val="21"/>
                <w:highlight w:val="none"/>
              </w:rPr>
              <w:t>，且防水等级达到1级（IPX1）或以上，得1分。</w:t>
            </w:r>
          </w:p>
          <w:p w14:paraId="0C882ABF">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4.其他情况不得分。</w:t>
            </w:r>
          </w:p>
          <w:p w14:paraId="64316591">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注：须提供具备CMA和CNAS标识的第三方检测机构出具的检测报告扫描件。未提供或提供的报告不清晰难以辨认的不得分。</w:t>
            </w:r>
          </w:p>
        </w:tc>
      </w:tr>
      <w:tr w14:paraId="1967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vAlign w:val="center"/>
          </w:tcPr>
          <w:p w14:paraId="0368CA9D">
            <w:pPr>
              <w:jc w:val="center"/>
              <w:rPr>
                <w:rFonts w:asciiTheme="majorEastAsia" w:hAnsiTheme="majorEastAsia" w:eastAsiaTheme="majorEastAsia" w:cstheme="majorEastAsia"/>
                <w:szCs w:val="21"/>
                <w:highlight w:val="none"/>
              </w:rPr>
            </w:pPr>
          </w:p>
        </w:tc>
        <w:tc>
          <w:tcPr>
            <w:tcW w:w="615" w:type="pct"/>
            <w:vMerge w:val="continue"/>
            <w:vAlign w:val="center"/>
          </w:tcPr>
          <w:p w14:paraId="1FF11489">
            <w:pPr>
              <w:jc w:val="center"/>
              <w:rPr>
                <w:rFonts w:asciiTheme="majorEastAsia" w:hAnsiTheme="majorEastAsia" w:eastAsiaTheme="majorEastAsia" w:cstheme="majorEastAsia"/>
                <w:szCs w:val="21"/>
                <w:highlight w:val="none"/>
              </w:rPr>
            </w:pPr>
          </w:p>
        </w:tc>
        <w:tc>
          <w:tcPr>
            <w:tcW w:w="982" w:type="pct"/>
            <w:vAlign w:val="center"/>
          </w:tcPr>
          <w:p w14:paraId="6E7F3380">
            <w:pPr>
              <w:jc w:val="center"/>
              <w:rPr>
                <w:rFonts w:asciiTheme="majorEastAsia" w:hAnsiTheme="majorEastAsia" w:eastAsiaTheme="majorEastAsia" w:cstheme="majorEastAsia"/>
                <w:kern w:val="0"/>
                <w:szCs w:val="21"/>
                <w:highlight w:val="none"/>
              </w:rPr>
            </w:pPr>
            <w:r>
              <w:rPr>
                <w:rFonts w:hint="eastAsia" w:asciiTheme="majorEastAsia" w:hAnsiTheme="majorEastAsia" w:eastAsiaTheme="majorEastAsia" w:cstheme="majorEastAsia"/>
                <w:bCs/>
                <w:szCs w:val="21"/>
                <w:highlight w:val="none"/>
              </w:rPr>
              <w:t>曳引机绝缘等级（3分）</w:t>
            </w:r>
          </w:p>
        </w:tc>
        <w:tc>
          <w:tcPr>
            <w:tcW w:w="2919" w:type="pct"/>
            <w:vAlign w:val="center"/>
          </w:tcPr>
          <w:p w14:paraId="22C9A74C">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1.主机绝缘等级高于或等于F级，得3分；</w:t>
            </w:r>
          </w:p>
          <w:p w14:paraId="0CD29EF9">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2.主机绝缘等级高于或等于B级，小于F级，得2分；</w:t>
            </w:r>
          </w:p>
          <w:p w14:paraId="0A12477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3.主机绝缘等级小于B级，得1分。</w:t>
            </w:r>
          </w:p>
          <w:p w14:paraId="4C02CDDE">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4.其他情况不得分。</w:t>
            </w:r>
          </w:p>
          <w:p w14:paraId="38EA1ED0">
            <w:pPr>
              <w:rPr>
                <w:rFonts w:asciiTheme="majorEastAsia" w:hAnsiTheme="majorEastAsia" w:eastAsiaTheme="majorEastAsia" w:cstheme="majorEastAsia"/>
                <w:kern w:val="0"/>
                <w:szCs w:val="21"/>
                <w:highlight w:val="none"/>
              </w:rPr>
            </w:pPr>
            <w:r>
              <w:rPr>
                <w:rFonts w:hint="eastAsia" w:asciiTheme="majorEastAsia" w:hAnsiTheme="majorEastAsia" w:eastAsiaTheme="majorEastAsia" w:cstheme="majorEastAsia"/>
                <w:szCs w:val="21"/>
                <w:highlight w:val="none"/>
              </w:rPr>
              <w:t>注：须提供具备CMA和CNAS标识的第三方检测机构出具的检测报告扫描件。未提供或提供的报告不清晰难以辨认的不得分。</w:t>
            </w:r>
          </w:p>
        </w:tc>
      </w:tr>
      <w:tr w14:paraId="3E98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tcPr>
          <w:p w14:paraId="4BE3043C">
            <w:pPr>
              <w:jc w:val="center"/>
              <w:rPr>
                <w:rFonts w:asciiTheme="majorEastAsia" w:hAnsiTheme="majorEastAsia" w:eastAsiaTheme="majorEastAsia" w:cstheme="majorEastAsia"/>
                <w:szCs w:val="21"/>
                <w:highlight w:val="none"/>
              </w:rPr>
            </w:pPr>
          </w:p>
        </w:tc>
        <w:tc>
          <w:tcPr>
            <w:tcW w:w="615" w:type="pct"/>
            <w:vMerge w:val="continue"/>
          </w:tcPr>
          <w:p w14:paraId="2F1BDE44">
            <w:pPr>
              <w:jc w:val="center"/>
              <w:rPr>
                <w:rFonts w:asciiTheme="majorEastAsia" w:hAnsiTheme="majorEastAsia" w:eastAsiaTheme="majorEastAsia" w:cstheme="majorEastAsia"/>
                <w:szCs w:val="21"/>
                <w:highlight w:val="none"/>
              </w:rPr>
            </w:pPr>
          </w:p>
        </w:tc>
        <w:tc>
          <w:tcPr>
            <w:tcW w:w="982" w:type="pct"/>
            <w:vAlign w:val="center"/>
          </w:tcPr>
          <w:p w14:paraId="2AC37957">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制动器设计寿命（3分）</w:t>
            </w:r>
          </w:p>
        </w:tc>
        <w:tc>
          <w:tcPr>
            <w:tcW w:w="2919" w:type="pct"/>
            <w:vAlign w:val="center"/>
          </w:tcPr>
          <w:p w14:paraId="248E49BE">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1.制动器的动作寿命≥2000万次，得3分；</w:t>
            </w:r>
          </w:p>
          <w:p w14:paraId="2B18ABE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2.2000万次＞制动器的动作寿命≥1500万次，得2分；</w:t>
            </w:r>
          </w:p>
          <w:p w14:paraId="6AA6EE41">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3.1500万次＞制动器的动作寿命≥1000万次，得1分。</w:t>
            </w:r>
          </w:p>
          <w:p w14:paraId="6E9EA7B5">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注：须提供具备CMA和CNAS标识的第三方检测机构出具的检测报告扫描件。未提供或提供的报告不清晰难以辨认的不得分。</w:t>
            </w:r>
          </w:p>
        </w:tc>
      </w:tr>
      <w:tr w14:paraId="44A4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tcPr>
          <w:p w14:paraId="71A78B3B">
            <w:pPr>
              <w:jc w:val="center"/>
              <w:rPr>
                <w:rFonts w:asciiTheme="majorEastAsia" w:hAnsiTheme="majorEastAsia" w:eastAsiaTheme="majorEastAsia" w:cstheme="majorEastAsia"/>
                <w:szCs w:val="21"/>
                <w:highlight w:val="none"/>
              </w:rPr>
            </w:pPr>
          </w:p>
        </w:tc>
        <w:tc>
          <w:tcPr>
            <w:tcW w:w="615" w:type="pct"/>
            <w:vMerge w:val="continue"/>
          </w:tcPr>
          <w:p w14:paraId="306002E4">
            <w:pPr>
              <w:jc w:val="center"/>
              <w:rPr>
                <w:rFonts w:asciiTheme="majorEastAsia" w:hAnsiTheme="majorEastAsia" w:eastAsiaTheme="majorEastAsia" w:cstheme="majorEastAsia"/>
                <w:szCs w:val="21"/>
                <w:highlight w:val="none"/>
              </w:rPr>
            </w:pPr>
          </w:p>
        </w:tc>
        <w:tc>
          <w:tcPr>
            <w:tcW w:w="982" w:type="pct"/>
            <w:vAlign w:val="center"/>
          </w:tcPr>
          <w:p w14:paraId="71CC098B">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Cs/>
                <w:szCs w:val="21"/>
                <w:highlight w:val="none"/>
              </w:rPr>
              <w:t>控制系统性能（2分）</w:t>
            </w:r>
          </w:p>
        </w:tc>
        <w:tc>
          <w:tcPr>
            <w:tcW w:w="2919" w:type="pct"/>
            <w:vAlign w:val="center"/>
          </w:tcPr>
          <w:p w14:paraId="0CDE2CE9">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控制系统性能达到指标的：</w:t>
            </w:r>
          </w:p>
          <w:p w14:paraId="7B87EB6C">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1）控制系统采用双32位微机处理器；</w:t>
            </w:r>
          </w:p>
          <w:p w14:paraId="5B4F9480">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2）通信方式采用带光纤的双通路通信；</w:t>
            </w:r>
          </w:p>
          <w:p w14:paraId="7E4F654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3）可配置能量反馈/回收/再生功能。</w:t>
            </w:r>
          </w:p>
          <w:p w14:paraId="581E0AE5">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1.达到以上3项的，得2分；</w:t>
            </w:r>
          </w:p>
          <w:p w14:paraId="6C074CB4">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2.达到以上任意2项的，得1分；</w:t>
            </w:r>
          </w:p>
          <w:p w14:paraId="34193D7A">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3.达到以上任意1项的，得0.5分。</w:t>
            </w:r>
          </w:p>
          <w:p w14:paraId="6C59EF4F">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注：须提供具备CMA和CNAS标识的第三方检测机构出具的检测报告扫描件。未提供或提供的报告不清晰难以辨认的不得分。</w:t>
            </w:r>
          </w:p>
        </w:tc>
      </w:tr>
      <w:tr w14:paraId="6563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tcPr>
          <w:p w14:paraId="0DA3B560">
            <w:pPr>
              <w:jc w:val="center"/>
              <w:rPr>
                <w:rFonts w:asciiTheme="majorEastAsia" w:hAnsiTheme="majorEastAsia" w:eastAsiaTheme="majorEastAsia" w:cstheme="majorEastAsia"/>
                <w:szCs w:val="21"/>
                <w:highlight w:val="none"/>
              </w:rPr>
            </w:pPr>
          </w:p>
        </w:tc>
        <w:tc>
          <w:tcPr>
            <w:tcW w:w="615" w:type="pct"/>
            <w:vMerge w:val="continue"/>
            <w:vAlign w:val="center"/>
          </w:tcPr>
          <w:p w14:paraId="716F8E4B">
            <w:pPr>
              <w:jc w:val="center"/>
              <w:rPr>
                <w:rFonts w:asciiTheme="majorEastAsia" w:hAnsiTheme="majorEastAsia" w:eastAsiaTheme="majorEastAsia" w:cstheme="majorEastAsia"/>
                <w:szCs w:val="21"/>
                <w:highlight w:val="none"/>
              </w:rPr>
            </w:pPr>
          </w:p>
        </w:tc>
        <w:tc>
          <w:tcPr>
            <w:tcW w:w="982" w:type="pct"/>
            <w:vAlign w:val="center"/>
          </w:tcPr>
          <w:p w14:paraId="3D8E9462">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Cs/>
                <w:szCs w:val="21"/>
                <w:highlight w:val="none"/>
              </w:rPr>
              <w:t>控制柜（3分）</w:t>
            </w:r>
          </w:p>
        </w:tc>
        <w:tc>
          <w:tcPr>
            <w:tcW w:w="2919" w:type="pct"/>
            <w:vAlign w:val="center"/>
          </w:tcPr>
          <w:p w14:paraId="12B3FCD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1.控制柜结构合理，技术先进，材质优良。其中客梯满足指标：宽电压设计（380V±15%）</w:t>
            </w:r>
            <w:r>
              <w:rPr>
                <w:rFonts w:hint="eastAsia" w:asciiTheme="majorEastAsia" w:hAnsiTheme="majorEastAsia" w:eastAsiaTheme="majorEastAsia" w:cstheme="majorEastAsia"/>
                <w:szCs w:val="21"/>
                <w:highlight w:val="none"/>
                <w:lang w:val="en-US" w:eastAsia="zh-CN"/>
              </w:rPr>
              <w:t>或以上</w:t>
            </w:r>
            <w:r>
              <w:rPr>
                <w:rFonts w:hint="eastAsia" w:asciiTheme="majorEastAsia" w:hAnsiTheme="majorEastAsia" w:eastAsiaTheme="majorEastAsia" w:cstheme="majorEastAsia"/>
                <w:szCs w:val="21"/>
                <w:highlight w:val="none"/>
              </w:rPr>
              <w:t>及抗雷击电压≥10KV得3分；</w:t>
            </w:r>
          </w:p>
          <w:p w14:paraId="4B66E3DD">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2.控制柜结构较合理，技术较先进，材质较优良。客梯满足指标：宽电压设计（380V±10%）</w:t>
            </w:r>
            <w:r>
              <w:rPr>
                <w:rFonts w:hint="eastAsia" w:asciiTheme="majorEastAsia" w:hAnsiTheme="majorEastAsia" w:eastAsiaTheme="majorEastAsia" w:cstheme="majorEastAsia"/>
                <w:szCs w:val="21"/>
                <w:highlight w:val="none"/>
                <w:lang w:val="en-US" w:eastAsia="zh-CN"/>
              </w:rPr>
              <w:t>或以上</w:t>
            </w:r>
            <w:r>
              <w:rPr>
                <w:rFonts w:hint="eastAsia" w:asciiTheme="majorEastAsia" w:hAnsiTheme="majorEastAsia" w:eastAsiaTheme="majorEastAsia" w:cstheme="majorEastAsia"/>
                <w:szCs w:val="21"/>
                <w:highlight w:val="none"/>
              </w:rPr>
              <w:t>及抗雷击电压≥6KV，得2分；</w:t>
            </w:r>
          </w:p>
          <w:p w14:paraId="0D86557F">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3.控制柜结构不够合理，技术不够先进，材质不够优良。客梯满足指标：宽电压设计（380V±7%）</w:t>
            </w:r>
            <w:r>
              <w:rPr>
                <w:rFonts w:hint="eastAsia" w:asciiTheme="majorEastAsia" w:hAnsiTheme="majorEastAsia" w:eastAsiaTheme="majorEastAsia" w:cstheme="majorEastAsia"/>
                <w:szCs w:val="21"/>
                <w:highlight w:val="none"/>
                <w:u w:val="single"/>
                <w:lang w:val="en-US" w:eastAsia="zh-CN"/>
              </w:rPr>
              <w:t>或以上</w:t>
            </w:r>
            <w:r>
              <w:rPr>
                <w:rFonts w:hint="eastAsia" w:asciiTheme="majorEastAsia" w:hAnsiTheme="majorEastAsia" w:eastAsiaTheme="majorEastAsia" w:cstheme="majorEastAsia"/>
                <w:szCs w:val="21"/>
                <w:highlight w:val="none"/>
              </w:rPr>
              <w:t>及未考虑抗雷击电压，得1分。</w:t>
            </w:r>
          </w:p>
          <w:p w14:paraId="0BC19D8C">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4.其他情况不得分。</w:t>
            </w:r>
          </w:p>
          <w:p w14:paraId="0D08A299">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注：须提供具备CMA和CNAS标识的第三方检测机构出具的检测报告扫描件。未提供或提供的报告不清晰难以辨认的不得分。</w:t>
            </w:r>
          </w:p>
        </w:tc>
      </w:tr>
      <w:tr w14:paraId="1486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tcPr>
          <w:p w14:paraId="15852AB3">
            <w:pPr>
              <w:jc w:val="center"/>
              <w:rPr>
                <w:rFonts w:asciiTheme="majorEastAsia" w:hAnsiTheme="majorEastAsia" w:eastAsiaTheme="majorEastAsia" w:cstheme="majorEastAsia"/>
                <w:szCs w:val="21"/>
                <w:highlight w:val="none"/>
              </w:rPr>
            </w:pPr>
          </w:p>
        </w:tc>
        <w:tc>
          <w:tcPr>
            <w:tcW w:w="615" w:type="pct"/>
            <w:vMerge w:val="continue"/>
            <w:vAlign w:val="center"/>
          </w:tcPr>
          <w:p w14:paraId="04675A0D">
            <w:pPr>
              <w:jc w:val="center"/>
              <w:rPr>
                <w:rFonts w:asciiTheme="majorEastAsia" w:hAnsiTheme="majorEastAsia" w:eastAsiaTheme="majorEastAsia" w:cstheme="majorEastAsia"/>
                <w:szCs w:val="21"/>
                <w:highlight w:val="none"/>
              </w:rPr>
            </w:pPr>
          </w:p>
        </w:tc>
        <w:tc>
          <w:tcPr>
            <w:tcW w:w="982" w:type="pct"/>
            <w:vAlign w:val="center"/>
          </w:tcPr>
          <w:p w14:paraId="11D8D72B">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门机系统（3分）</w:t>
            </w:r>
          </w:p>
        </w:tc>
        <w:tc>
          <w:tcPr>
            <w:tcW w:w="2919" w:type="pct"/>
            <w:vAlign w:val="center"/>
          </w:tcPr>
          <w:p w14:paraId="5151A6E5">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1.技术先进，材质优良。核心控制CPU采用32位微机或以上，门机系统或门锁寿命达到1500万次或以上，得3分；</w:t>
            </w:r>
          </w:p>
          <w:p w14:paraId="495569B0">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2.技术较先进，材质较优良。核心控制CPU采用16位微机或以上，门机系统或门锁寿命达到1000万次或以上，得2分；</w:t>
            </w:r>
          </w:p>
          <w:p w14:paraId="7E6B320E">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3.技术不够先进，材质不够优良。核心控制CPU采用8位微机或以上，门机系统或门锁寿命达到300万次或以上得1分。</w:t>
            </w:r>
          </w:p>
          <w:p w14:paraId="2874C87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4.其他情况不得分。</w:t>
            </w:r>
          </w:p>
          <w:p w14:paraId="065A1389">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注：须提供具备CMA和CNAS标识的第三方检测机构出具的检测报告扫描件。未提供或提供的报告不清晰难以辨认的不得分。</w:t>
            </w:r>
          </w:p>
        </w:tc>
      </w:tr>
      <w:tr w14:paraId="654A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Merge w:val="continue"/>
          </w:tcPr>
          <w:p w14:paraId="7C230C95">
            <w:pPr>
              <w:jc w:val="center"/>
              <w:rPr>
                <w:rFonts w:asciiTheme="majorEastAsia" w:hAnsiTheme="majorEastAsia" w:eastAsiaTheme="majorEastAsia" w:cstheme="majorEastAsia"/>
                <w:szCs w:val="21"/>
                <w:highlight w:val="none"/>
              </w:rPr>
            </w:pPr>
          </w:p>
        </w:tc>
        <w:tc>
          <w:tcPr>
            <w:tcW w:w="615" w:type="pct"/>
            <w:vMerge w:val="continue"/>
            <w:vAlign w:val="center"/>
          </w:tcPr>
          <w:p w14:paraId="27EB269C">
            <w:pPr>
              <w:jc w:val="center"/>
              <w:rPr>
                <w:rFonts w:asciiTheme="majorEastAsia" w:hAnsiTheme="majorEastAsia" w:eastAsiaTheme="majorEastAsia" w:cstheme="majorEastAsia"/>
                <w:szCs w:val="21"/>
                <w:highlight w:val="none"/>
              </w:rPr>
            </w:pPr>
          </w:p>
        </w:tc>
        <w:tc>
          <w:tcPr>
            <w:tcW w:w="982" w:type="pct"/>
            <w:vAlign w:val="center"/>
          </w:tcPr>
          <w:p w14:paraId="72C27656">
            <w:pPr>
              <w:jc w:val="center"/>
              <w:rPr>
                <w:rFonts w:asciiTheme="majorEastAsia" w:hAnsiTheme="majorEastAsia" w:eastAsiaTheme="majorEastAsia" w:cstheme="majorEastAsia"/>
                <w:b/>
                <w:szCs w:val="21"/>
                <w:highlight w:val="none"/>
              </w:rPr>
            </w:pPr>
            <w:r>
              <w:rPr>
                <w:rFonts w:hint="eastAsia" w:asciiTheme="majorEastAsia" w:hAnsiTheme="majorEastAsia" w:eastAsiaTheme="majorEastAsia" w:cstheme="majorEastAsia"/>
                <w:bCs/>
                <w:szCs w:val="21"/>
                <w:highlight w:val="none"/>
              </w:rPr>
              <w:t>安全部件（2分）</w:t>
            </w:r>
          </w:p>
        </w:tc>
        <w:tc>
          <w:tcPr>
            <w:tcW w:w="2919" w:type="pct"/>
            <w:vAlign w:val="center"/>
          </w:tcPr>
          <w:p w14:paraId="0DDECE5C">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根据安全部件（包括但不限于缓冲器，限速器，安全钳，轿厢上行超速保护装置，门锁，安全电路等）进行评审：</w:t>
            </w:r>
          </w:p>
          <w:p w14:paraId="64E75EA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1.电梯主要安全装置结构合理，技术先进，材质优良，安全可靠，得2分；</w:t>
            </w:r>
          </w:p>
          <w:p w14:paraId="44B6B948">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2.电梯主要安全装置结构较合理，技术较先进，材质较优良，较安全可靠，得1分；</w:t>
            </w:r>
          </w:p>
          <w:p w14:paraId="7CF042F2">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3.电梯主要安全装置结构不够合理，技术不够先进，材质不够优良，不够安全可靠，得0.5分。</w:t>
            </w:r>
          </w:p>
          <w:p w14:paraId="2BB70DB8">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4. 其他情况不得分。</w:t>
            </w:r>
          </w:p>
          <w:p w14:paraId="51B16C3B">
            <w:pPr>
              <w:rPr>
                <w:rFonts w:asciiTheme="majorEastAsia" w:hAnsiTheme="majorEastAsia" w:eastAsiaTheme="majorEastAsia" w:cstheme="majorEastAsia"/>
                <w:b/>
                <w:bCs/>
                <w:szCs w:val="21"/>
                <w:highlight w:val="none"/>
              </w:rPr>
            </w:pPr>
            <w:r>
              <w:rPr>
                <w:rFonts w:hint="eastAsia" w:asciiTheme="majorEastAsia" w:hAnsiTheme="majorEastAsia" w:eastAsiaTheme="majorEastAsia" w:cstheme="majorEastAsia"/>
                <w:szCs w:val="21"/>
                <w:highlight w:val="none"/>
              </w:rPr>
              <w:t>注：须提供上述安全部件的具备CMA和CNAS标识的第三方检测机构出具的检测报告扫描件。未提供或提供的报告不清晰难以辨认的不得分。</w:t>
            </w:r>
          </w:p>
        </w:tc>
      </w:tr>
      <w:tr w14:paraId="490C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7591C955">
            <w:pPr>
              <w:jc w:val="center"/>
              <w:rPr>
                <w:rFonts w:asciiTheme="majorEastAsia" w:hAnsiTheme="majorEastAsia" w:eastAsiaTheme="majorEastAsia" w:cstheme="majorEastAsia"/>
                <w:szCs w:val="21"/>
                <w:highlight w:val="none"/>
              </w:rPr>
            </w:pPr>
          </w:p>
        </w:tc>
        <w:tc>
          <w:tcPr>
            <w:tcW w:w="615" w:type="pct"/>
          </w:tcPr>
          <w:p w14:paraId="5A00D478">
            <w:pPr>
              <w:jc w:val="center"/>
              <w:rPr>
                <w:rFonts w:asciiTheme="majorEastAsia" w:hAnsiTheme="majorEastAsia" w:eastAsiaTheme="majorEastAsia" w:cstheme="majorEastAsia"/>
                <w:szCs w:val="21"/>
                <w:highlight w:val="none"/>
              </w:rPr>
            </w:pPr>
          </w:p>
        </w:tc>
        <w:tc>
          <w:tcPr>
            <w:tcW w:w="982" w:type="pct"/>
            <w:vAlign w:val="center"/>
          </w:tcPr>
          <w:p w14:paraId="5DD9E6C2">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产品能效等级（2分）</w:t>
            </w:r>
          </w:p>
        </w:tc>
        <w:tc>
          <w:tcPr>
            <w:tcW w:w="2919" w:type="pct"/>
            <w:vAlign w:val="center"/>
          </w:tcPr>
          <w:p w14:paraId="40423D0C">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1.投标电梯获得整机能效等级认证A级（符合ISO 25745 或GB/T 30559标准）的得2分。</w:t>
            </w:r>
          </w:p>
          <w:p w14:paraId="4774F539">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2.投标电梯获得整机能效等级认证B级（符合ISO 25745 或GB/T 30559标准）的，得1分。</w:t>
            </w:r>
          </w:p>
          <w:p w14:paraId="373357EA">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3. 投标电梯获得整机能效等级认证C级（符合ISO 25745 或GB/T 30559标准）以下的，得0.5分</w:t>
            </w:r>
          </w:p>
          <w:p w14:paraId="005AFE0B">
            <w:pPr>
              <w:rPr>
                <w:rFonts w:asciiTheme="majorEastAsia" w:hAnsiTheme="majorEastAsia" w:eastAsiaTheme="majorEastAsia" w:cstheme="majorEastAsia"/>
                <w:b/>
                <w:color w:val="000000"/>
                <w:szCs w:val="21"/>
                <w:highlight w:val="none"/>
              </w:rPr>
            </w:pPr>
            <w:r>
              <w:rPr>
                <w:rFonts w:hint="eastAsia" w:asciiTheme="majorEastAsia" w:hAnsiTheme="majorEastAsia" w:eastAsiaTheme="majorEastAsia" w:cstheme="majorEastAsia"/>
                <w:szCs w:val="21"/>
                <w:highlight w:val="none"/>
              </w:rPr>
              <w:t>注：须提供具备CMA和CNAS标识的第三方检测机构出具的检测报告扫描件。未提供或提供的报告不清晰难以辨认的不得分。</w:t>
            </w:r>
          </w:p>
        </w:tc>
      </w:tr>
      <w:tr w14:paraId="26ED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593DAB29">
            <w:pPr>
              <w:jc w:val="center"/>
              <w:rPr>
                <w:rFonts w:asciiTheme="majorEastAsia" w:hAnsiTheme="majorEastAsia" w:eastAsiaTheme="majorEastAsia" w:cstheme="majorEastAsia"/>
                <w:szCs w:val="21"/>
                <w:highlight w:val="none"/>
              </w:rPr>
            </w:pPr>
          </w:p>
        </w:tc>
        <w:tc>
          <w:tcPr>
            <w:tcW w:w="615" w:type="pct"/>
          </w:tcPr>
          <w:p w14:paraId="581E3817">
            <w:pPr>
              <w:jc w:val="center"/>
              <w:rPr>
                <w:rFonts w:asciiTheme="majorEastAsia" w:hAnsiTheme="majorEastAsia" w:eastAsiaTheme="majorEastAsia" w:cstheme="majorEastAsia"/>
                <w:szCs w:val="21"/>
                <w:highlight w:val="none"/>
              </w:rPr>
            </w:pPr>
          </w:p>
        </w:tc>
        <w:tc>
          <w:tcPr>
            <w:tcW w:w="982" w:type="pct"/>
            <w:vAlign w:val="center"/>
          </w:tcPr>
          <w:p w14:paraId="7EC2081D">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项目组织实施方案（3分）</w:t>
            </w:r>
          </w:p>
        </w:tc>
        <w:tc>
          <w:tcPr>
            <w:tcW w:w="2919" w:type="pct"/>
            <w:vAlign w:val="center"/>
          </w:tcPr>
          <w:p w14:paraId="7CC3795B">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根据项目组织实施方案进行综合评分：</w:t>
            </w:r>
          </w:p>
          <w:p w14:paraId="09E150CF">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优：方案具体详细、可行性强、对不可预见因素分析透彻，得3分；</w:t>
            </w:r>
          </w:p>
          <w:p w14:paraId="2FE4D850">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良：方案较具体详细、可行性较强、对不可预见因素分析到位，得2分；</w:t>
            </w:r>
          </w:p>
          <w:p w14:paraId="768239E3">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中：方案一般具体详细、可行性一般、对不可预见因素分析基本到位，得1分；</w:t>
            </w:r>
          </w:p>
          <w:p w14:paraId="760F6F2E">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差：方案不够具体详细、可行性差、对不可预见因素分析不够全面，得0.5分；</w:t>
            </w:r>
          </w:p>
          <w:p w14:paraId="1CE6F043">
            <w:pPr>
              <w:rPr>
                <w:rFonts w:asciiTheme="majorEastAsia" w:hAnsiTheme="majorEastAsia" w:eastAsiaTheme="majorEastAsia" w:cstheme="majorEastAsia"/>
                <w:b/>
                <w:color w:val="000000"/>
                <w:szCs w:val="21"/>
                <w:highlight w:val="none"/>
              </w:rPr>
            </w:pPr>
            <w:r>
              <w:rPr>
                <w:rFonts w:hint="eastAsia" w:asciiTheme="majorEastAsia" w:hAnsiTheme="majorEastAsia" w:eastAsiaTheme="majorEastAsia" w:cstheme="majorEastAsia"/>
                <w:szCs w:val="21"/>
                <w:highlight w:val="none"/>
              </w:rPr>
              <w:t>不提供不得分。</w:t>
            </w:r>
          </w:p>
        </w:tc>
      </w:tr>
      <w:tr w14:paraId="3436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213155FF">
            <w:pPr>
              <w:jc w:val="center"/>
              <w:rPr>
                <w:rFonts w:asciiTheme="majorEastAsia" w:hAnsiTheme="majorEastAsia" w:eastAsiaTheme="majorEastAsia" w:cstheme="majorEastAsia"/>
                <w:szCs w:val="21"/>
                <w:highlight w:val="none"/>
              </w:rPr>
            </w:pPr>
          </w:p>
        </w:tc>
        <w:tc>
          <w:tcPr>
            <w:tcW w:w="615" w:type="pct"/>
          </w:tcPr>
          <w:p w14:paraId="07F0B0FE">
            <w:pPr>
              <w:jc w:val="center"/>
              <w:rPr>
                <w:rFonts w:asciiTheme="majorEastAsia" w:hAnsiTheme="majorEastAsia" w:eastAsiaTheme="majorEastAsia" w:cstheme="majorEastAsia"/>
                <w:szCs w:val="21"/>
                <w:highlight w:val="none"/>
              </w:rPr>
            </w:pPr>
          </w:p>
        </w:tc>
        <w:tc>
          <w:tcPr>
            <w:tcW w:w="982" w:type="pct"/>
            <w:vAlign w:val="center"/>
          </w:tcPr>
          <w:p w14:paraId="4FE080EE">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进度计划方案（5分）</w:t>
            </w:r>
          </w:p>
        </w:tc>
        <w:tc>
          <w:tcPr>
            <w:tcW w:w="2919" w:type="pct"/>
            <w:vAlign w:val="center"/>
          </w:tcPr>
          <w:p w14:paraId="41EA0D33">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根据项目进度计划方案进行综合评分：</w:t>
            </w:r>
          </w:p>
          <w:p w14:paraId="42910652">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优：进度计划方案非常科学合理、切实可行，得5分；</w:t>
            </w:r>
          </w:p>
          <w:p w14:paraId="5F9DA280">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良：进度计划方案较科学合理、较切实可行，得3分；</w:t>
            </w:r>
          </w:p>
          <w:p w14:paraId="72148CE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中：进度计划方案一般科学合理、一般切实可行，得2分；</w:t>
            </w:r>
          </w:p>
          <w:p w14:paraId="2A0484D1">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差：进度计划方案不够科学合理、不够切实可行，得1分；</w:t>
            </w:r>
          </w:p>
          <w:p w14:paraId="109E5B9A">
            <w:pPr>
              <w:rPr>
                <w:rFonts w:asciiTheme="majorEastAsia" w:hAnsiTheme="majorEastAsia" w:eastAsiaTheme="majorEastAsia" w:cstheme="majorEastAsia"/>
                <w:b/>
                <w:color w:val="000000"/>
                <w:szCs w:val="21"/>
                <w:highlight w:val="none"/>
              </w:rPr>
            </w:pPr>
            <w:r>
              <w:rPr>
                <w:rFonts w:hint="eastAsia" w:asciiTheme="majorEastAsia" w:hAnsiTheme="majorEastAsia" w:eastAsiaTheme="majorEastAsia" w:cstheme="majorEastAsia"/>
                <w:szCs w:val="21"/>
                <w:highlight w:val="none"/>
              </w:rPr>
              <w:t>不提供不得分。</w:t>
            </w:r>
          </w:p>
        </w:tc>
      </w:tr>
      <w:tr w14:paraId="34BB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754100EB">
            <w:pPr>
              <w:jc w:val="center"/>
              <w:rPr>
                <w:rFonts w:asciiTheme="majorEastAsia" w:hAnsiTheme="majorEastAsia" w:eastAsiaTheme="majorEastAsia" w:cstheme="majorEastAsia"/>
                <w:szCs w:val="21"/>
                <w:highlight w:val="none"/>
              </w:rPr>
            </w:pPr>
          </w:p>
        </w:tc>
        <w:tc>
          <w:tcPr>
            <w:tcW w:w="615" w:type="pct"/>
          </w:tcPr>
          <w:p w14:paraId="04939493">
            <w:pPr>
              <w:jc w:val="center"/>
              <w:rPr>
                <w:rFonts w:asciiTheme="majorEastAsia" w:hAnsiTheme="majorEastAsia" w:eastAsiaTheme="majorEastAsia" w:cstheme="majorEastAsia"/>
                <w:szCs w:val="21"/>
                <w:highlight w:val="none"/>
              </w:rPr>
            </w:pPr>
          </w:p>
        </w:tc>
        <w:tc>
          <w:tcPr>
            <w:tcW w:w="982" w:type="pct"/>
            <w:vAlign w:val="center"/>
          </w:tcPr>
          <w:p w14:paraId="5E79DF2F">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应急响应方案（4分）</w:t>
            </w:r>
          </w:p>
        </w:tc>
        <w:tc>
          <w:tcPr>
            <w:tcW w:w="2919" w:type="pct"/>
            <w:vAlign w:val="center"/>
          </w:tcPr>
          <w:p w14:paraId="587B810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根据项目应急响应方案进行综合评分：</w:t>
            </w:r>
          </w:p>
          <w:p w14:paraId="7A2F4A52">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优：方案具体详细、可行性强、对突发应急事件的预判性高，得4分；</w:t>
            </w:r>
          </w:p>
          <w:p w14:paraId="227829D5">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良：方案较具体详细、可行性较强、对突发应急事件的预判性较高，得3分；</w:t>
            </w:r>
          </w:p>
          <w:p w14:paraId="59DC397D">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中：方案一般具体详细、可行性一般、对突发应急事件的预判性一般，得2分；</w:t>
            </w:r>
          </w:p>
          <w:p w14:paraId="500CA8E8">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差：方案不够具体详细、可行性差、对突发应急事件的预判性低，得1分；</w:t>
            </w:r>
          </w:p>
          <w:p w14:paraId="43B8311B">
            <w:pPr>
              <w:rPr>
                <w:rFonts w:asciiTheme="majorEastAsia" w:hAnsiTheme="majorEastAsia" w:eastAsiaTheme="majorEastAsia" w:cstheme="majorEastAsia"/>
                <w:b/>
                <w:color w:val="000000"/>
                <w:szCs w:val="21"/>
                <w:highlight w:val="none"/>
              </w:rPr>
            </w:pPr>
            <w:r>
              <w:rPr>
                <w:rFonts w:hint="eastAsia" w:asciiTheme="majorEastAsia" w:hAnsiTheme="majorEastAsia" w:eastAsiaTheme="majorEastAsia" w:cstheme="majorEastAsia"/>
                <w:szCs w:val="21"/>
                <w:highlight w:val="none"/>
              </w:rPr>
              <w:t>不提供不得分。</w:t>
            </w:r>
          </w:p>
        </w:tc>
      </w:tr>
      <w:tr w14:paraId="322B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101EE417">
            <w:pPr>
              <w:jc w:val="center"/>
              <w:rPr>
                <w:rFonts w:asciiTheme="majorEastAsia" w:hAnsiTheme="majorEastAsia" w:eastAsiaTheme="majorEastAsia" w:cstheme="majorEastAsia"/>
                <w:szCs w:val="21"/>
                <w:highlight w:val="none"/>
              </w:rPr>
            </w:pPr>
          </w:p>
        </w:tc>
        <w:tc>
          <w:tcPr>
            <w:tcW w:w="615" w:type="pct"/>
          </w:tcPr>
          <w:p w14:paraId="65E766B9">
            <w:pPr>
              <w:jc w:val="center"/>
              <w:rPr>
                <w:rFonts w:asciiTheme="majorEastAsia" w:hAnsiTheme="majorEastAsia" w:eastAsiaTheme="majorEastAsia" w:cstheme="majorEastAsia"/>
                <w:szCs w:val="21"/>
                <w:highlight w:val="none"/>
              </w:rPr>
            </w:pPr>
          </w:p>
        </w:tc>
        <w:tc>
          <w:tcPr>
            <w:tcW w:w="982" w:type="pct"/>
            <w:vAlign w:val="center"/>
          </w:tcPr>
          <w:p w14:paraId="1078EEE7">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质量控制保障措施和方法（5分）</w:t>
            </w:r>
          </w:p>
        </w:tc>
        <w:tc>
          <w:tcPr>
            <w:tcW w:w="2919" w:type="pct"/>
            <w:vAlign w:val="center"/>
          </w:tcPr>
          <w:p w14:paraId="58339B49">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根据项目质量控制保障措施和方法进行综合评分：</w:t>
            </w:r>
          </w:p>
          <w:p w14:paraId="2D57C286">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优：方案具体详细、可行性和针对性强，得5分；</w:t>
            </w:r>
          </w:p>
          <w:p w14:paraId="46F25C7D">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良：方案较具体详细、可行性和针对性较强，得3分；</w:t>
            </w:r>
          </w:p>
          <w:p w14:paraId="14B7E5B2">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中：方案一般具体详细、可行性和针对性一般，得2分；</w:t>
            </w:r>
          </w:p>
          <w:p w14:paraId="79EB9C9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差：方案不够具体详细、可行性和针对性差，得1分；</w:t>
            </w:r>
          </w:p>
          <w:p w14:paraId="1A2C1E56">
            <w:pPr>
              <w:rPr>
                <w:rFonts w:asciiTheme="majorEastAsia" w:hAnsiTheme="majorEastAsia" w:eastAsiaTheme="majorEastAsia" w:cstheme="majorEastAsia"/>
                <w:b/>
                <w:color w:val="000000"/>
                <w:szCs w:val="21"/>
                <w:highlight w:val="none"/>
              </w:rPr>
            </w:pPr>
            <w:r>
              <w:rPr>
                <w:rFonts w:hint="eastAsia" w:asciiTheme="majorEastAsia" w:hAnsiTheme="majorEastAsia" w:eastAsiaTheme="majorEastAsia" w:cstheme="majorEastAsia"/>
                <w:szCs w:val="21"/>
                <w:highlight w:val="none"/>
              </w:rPr>
              <w:t>不提供不得分。</w:t>
            </w:r>
          </w:p>
        </w:tc>
      </w:tr>
      <w:tr w14:paraId="1BEC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tcPr>
          <w:p w14:paraId="1E75492C">
            <w:pPr>
              <w:jc w:val="center"/>
              <w:rPr>
                <w:rFonts w:asciiTheme="majorEastAsia" w:hAnsiTheme="majorEastAsia" w:eastAsiaTheme="majorEastAsia" w:cstheme="majorEastAsia"/>
                <w:szCs w:val="21"/>
                <w:highlight w:val="none"/>
              </w:rPr>
            </w:pPr>
          </w:p>
        </w:tc>
        <w:tc>
          <w:tcPr>
            <w:tcW w:w="615" w:type="pct"/>
          </w:tcPr>
          <w:p w14:paraId="053DF6DC">
            <w:pPr>
              <w:jc w:val="center"/>
              <w:rPr>
                <w:rFonts w:asciiTheme="majorEastAsia" w:hAnsiTheme="majorEastAsia" w:eastAsiaTheme="majorEastAsia" w:cstheme="majorEastAsia"/>
                <w:szCs w:val="21"/>
                <w:highlight w:val="none"/>
              </w:rPr>
            </w:pPr>
          </w:p>
        </w:tc>
        <w:tc>
          <w:tcPr>
            <w:tcW w:w="982" w:type="pct"/>
            <w:vAlign w:val="center"/>
          </w:tcPr>
          <w:p w14:paraId="06972AA5">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bCs/>
                <w:szCs w:val="21"/>
                <w:highlight w:val="none"/>
              </w:rPr>
              <w:t>售后服务方案（3分）</w:t>
            </w:r>
          </w:p>
        </w:tc>
        <w:tc>
          <w:tcPr>
            <w:tcW w:w="2919" w:type="pct"/>
            <w:vAlign w:val="center"/>
          </w:tcPr>
          <w:p w14:paraId="2AD4435A">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根据项目售后服务方案进行综合评分：</w:t>
            </w:r>
          </w:p>
          <w:p w14:paraId="6CB08751">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优：方案具体详细、可行性强，得3分；</w:t>
            </w:r>
          </w:p>
          <w:p w14:paraId="3E39431C">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良：方案较具体详细、可行性较强，得2分；</w:t>
            </w:r>
          </w:p>
          <w:p w14:paraId="6073A63F">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中：方案一般具体详细、可行性一般，得1分；</w:t>
            </w:r>
          </w:p>
          <w:p w14:paraId="69C619E7">
            <w:pP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差：方案不够具体详细、可行性差，得0.5分；</w:t>
            </w:r>
          </w:p>
          <w:p w14:paraId="12B147A1">
            <w:pPr>
              <w:rPr>
                <w:rFonts w:asciiTheme="majorEastAsia" w:hAnsiTheme="majorEastAsia" w:eastAsiaTheme="majorEastAsia" w:cstheme="majorEastAsia"/>
                <w:b/>
                <w:color w:val="000000"/>
                <w:szCs w:val="21"/>
                <w:highlight w:val="none"/>
              </w:rPr>
            </w:pPr>
            <w:r>
              <w:rPr>
                <w:rFonts w:hint="eastAsia" w:asciiTheme="majorEastAsia" w:hAnsiTheme="majorEastAsia" w:eastAsiaTheme="majorEastAsia" w:cstheme="majorEastAsia"/>
                <w:szCs w:val="21"/>
                <w:highlight w:val="none"/>
              </w:rPr>
              <w:t>不提供不得分。</w:t>
            </w:r>
          </w:p>
        </w:tc>
      </w:tr>
      <w:tr w14:paraId="7DC2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3" w:type="pct"/>
            <w:vAlign w:val="center"/>
          </w:tcPr>
          <w:p w14:paraId="73637A56">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2.2.4（3）</w:t>
            </w:r>
          </w:p>
        </w:tc>
        <w:tc>
          <w:tcPr>
            <w:tcW w:w="615" w:type="pct"/>
            <w:vAlign w:val="center"/>
          </w:tcPr>
          <w:p w14:paraId="2143DEBE">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投标报价评分标准</w:t>
            </w:r>
          </w:p>
        </w:tc>
        <w:tc>
          <w:tcPr>
            <w:tcW w:w="982" w:type="pct"/>
            <w:vAlign w:val="center"/>
          </w:tcPr>
          <w:p w14:paraId="0B85F350">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投标报价得分</w:t>
            </w:r>
          </w:p>
          <w:p w14:paraId="0D1F273F">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（50分）</w:t>
            </w:r>
          </w:p>
        </w:tc>
        <w:tc>
          <w:tcPr>
            <w:tcW w:w="2919" w:type="pct"/>
            <w:vAlign w:val="center"/>
          </w:tcPr>
          <w:p w14:paraId="4A27AD87">
            <w:pPr>
              <w:spacing w:line="400" w:lineRule="exact"/>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投标报价得分以评标基准价作为计算各有效评审价格得分的基础，当有效评审价格等于评标基准价时得50分，有效评审价格每高于评标基准价1%扣1分，每低于评标基准价1%，扣0.5分，扣至0分为止，得分精确到小数点后两位。</w:t>
            </w:r>
          </w:p>
        </w:tc>
      </w:tr>
    </w:tbl>
    <w:p w14:paraId="09BF87D9">
      <w:pPr>
        <w:snapToGrid w:val="0"/>
        <w:spacing w:line="360" w:lineRule="auto"/>
        <w:outlineLvl w:val="2"/>
        <w:rPr>
          <w:rFonts w:ascii="宋体" w:hAnsi="宋体" w:eastAsia="宋体"/>
          <w:highlight w:val="none"/>
        </w:rPr>
      </w:pPr>
      <w:r>
        <w:rPr>
          <w:rFonts w:hint="eastAsia" w:ascii="宋体" w:hAnsi="宋体" w:eastAsia="宋体"/>
          <w:highlight w:val="none"/>
        </w:rPr>
        <w:t>说明：</w:t>
      </w:r>
    </w:p>
    <w:p w14:paraId="0A75AB72">
      <w:pPr>
        <w:spacing w:line="360" w:lineRule="auto"/>
        <w:rPr>
          <w:rFonts w:ascii="宋体" w:hAnsi="宋体" w:eastAsia="宋体"/>
          <w:color w:val="000000"/>
          <w:szCs w:val="21"/>
          <w:highlight w:val="none"/>
        </w:rPr>
      </w:pPr>
      <w:r>
        <w:rPr>
          <w:rFonts w:hint="eastAsia" w:ascii="宋体" w:hAnsi="宋体" w:eastAsia="宋体"/>
          <w:color w:val="000000"/>
          <w:szCs w:val="21"/>
          <w:highlight w:val="none"/>
        </w:rPr>
        <w:t>1、类似供货业绩：需同时提供采购合同和交货证明（或技术监督部门确认的检验合格报告或经建设单位确认的验收报告或验收证明）扫描件并加盖投标单位电子印章。业绩完成时间以交货证明或技术监督部门确认的检验合格报告或经建设单位确认的验收报告或验收证明为准。</w:t>
      </w:r>
    </w:p>
    <w:p w14:paraId="03F6B3EF">
      <w:pPr>
        <w:spacing w:line="360" w:lineRule="auto"/>
        <w:rPr>
          <w:rFonts w:ascii="宋体" w:hAnsi="宋体" w:eastAsia="宋体"/>
          <w:color w:val="000000"/>
          <w:szCs w:val="21"/>
          <w:highlight w:val="none"/>
        </w:rPr>
      </w:pPr>
      <w:r>
        <w:rPr>
          <w:rFonts w:hint="eastAsia" w:ascii="Calibri" w:hAnsi="Calibri" w:eastAsia="宋体" w:cs="Times New Roman"/>
          <w:highlight w:val="none"/>
        </w:rPr>
        <w:t>2、管理体系认证证书：投标人须同时提供有效期内的证书原件</w:t>
      </w:r>
      <w:r>
        <w:rPr>
          <w:rFonts w:hint="eastAsia" w:ascii="宋体" w:hAnsi="宋体" w:eastAsia="宋体"/>
          <w:color w:val="000000"/>
          <w:szCs w:val="21"/>
          <w:highlight w:val="none"/>
        </w:rPr>
        <w:t>扫描件以及全国认证认可信息公共服务平台（http://cx.cnca.cn/）的网页截图并加盖投标单位电子印章。</w:t>
      </w:r>
    </w:p>
    <w:p w14:paraId="2BD040CA">
      <w:pPr>
        <w:spacing w:line="360" w:lineRule="auto"/>
        <w:rPr>
          <w:rFonts w:ascii="Times New Roman" w:hAnsi="Times New Roman" w:eastAsia="宋体" w:cs="Times New Roman"/>
          <w:highlight w:val="none"/>
        </w:rPr>
      </w:pPr>
      <w:r>
        <w:rPr>
          <w:rFonts w:hint="eastAsia" w:ascii="Times New Roman" w:hAnsi="Times New Roman" w:eastAsia="宋体" w:cs="Times New Roman"/>
          <w:highlight w:val="none"/>
        </w:rPr>
        <w:t>3、投标人的商务部分、技术部分得分为所有评委评分去掉一个最高分和一个最低分后的算术平均分（分数出现小数点时，保留小数点后二位，第三位小数四舍五入）。</w:t>
      </w:r>
    </w:p>
    <w:p w14:paraId="4340A2FD">
      <w:pPr>
        <w:spacing w:line="360" w:lineRule="auto"/>
        <w:rPr>
          <w:rFonts w:ascii="Times New Roman" w:hAnsi="Times New Roman" w:eastAsia="宋体" w:cs="Times New Roman"/>
          <w:highlight w:val="none"/>
        </w:rPr>
      </w:pPr>
      <w:r>
        <w:rPr>
          <w:rFonts w:hint="eastAsia" w:ascii="Times New Roman" w:hAnsi="Times New Roman" w:eastAsia="宋体" w:cs="Times New Roman"/>
          <w:highlight w:val="none"/>
        </w:rPr>
        <w:t>4、上述资料不提供或提供不齐全或提供不符合要求的不得分。中标单位需准备投标文件涉及的所有原件待查。</w:t>
      </w:r>
    </w:p>
    <w:p w14:paraId="104F83D2">
      <w:pPr>
        <w:tabs>
          <w:tab w:val="left" w:pos="567"/>
        </w:tabs>
        <w:spacing w:after="120"/>
        <w:rPr>
          <w:rFonts w:hint="eastAsia" w:ascii="Calibri" w:hAnsi="Calibri" w:eastAsia="宋体" w:cs="Times New Roman"/>
          <w:szCs w:val="24"/>
          <w:highlight w:val="none"/>
        </w:rPr>
      </w:pPr>
    </w:p>
    <w:p w14:paraId="6777A77E">
      <w:pPr>
        <w:snapToGrid w:val="0"/>
        <w:spacing w:line="360" w:lineRule="auto"/>
        <w:outlineLvl w:val="2"/>
        <w:rPr>
          <w:rFonts w:ascii="宋体" w:hAnsi="宋体" w:eastAsia="宋体"/>
          <w:b/>
          <w:bCs/>
          <w:sz w:val="30"/>
          <w:szCs w:val="30"/>
          <w:highlight w:val="none"/>
        </w:rPr>
      </w:pPr>
      <w:r>
        <w:rPr>
          <w:rFonts w:hint="eastAsia" w:ascii="宋体" w:hAnsi="宋体" w:eastAsia="宋体"/>
          <w:highlight w:val="none"/>
        </w:rPr>
        <w:br w:type="page"/>
      </w:r>
      <w:r>
        <w:rPr>
          <w:rFonts w:hint="eastAsia" w:ascii="宋体" w:hAnsi="宋体" w:eastAsia="宋体"/>
          <w:b/>
          <w:bCs/>
          <w:sz w:val="30"/>
          <w:szCs w:val="30"/>
          <w:highlight w:val="none"/>
        </w:rPr>
        <w:t xml:space="preserve">评标方法 </w:t>
      </w:r>
    </w:p>
    <w:p w14:paraId="10BF227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本次评标采用综合评分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的规定确定中标候选人顺序。</w:t>
      </w:r>
    </w:p>
    <w:p w14:paraId="1D4BA706">
      <w:pPr>
        <w:snapToGrid w:val="0"/>
        <w:spacing w:line="360" w:lineRule="auto"/>
        <w:outlineLvl w:val="2"/>
        <w:rPr>
          <w:rFonts w:ascii="宋体" w:hAnsi="宋体" w:eastAsia="宋体"/>
          <w:b/>
          <w:bCs/>
          <w:sz w:val="30"/>
          <w:szCs w:val="30"/>
          <w:highlight w:val="none"/>
        </w:rPr>
      </w:pPr>
      <w:r>
        <w:rPr>
          <w:rFonts w:hint="eastAsia" w:ascii="宋体" w:hAnsi="宋体" w:eastAsia="宋体"/>
          <w:b/>
          <w:bCs/>
          <w:sz w:val="30"/>
          <w:szCs w:val="30"/>
          <w:highlight w:val="none"/>
        </w:rPr>
        <w:t>2. 评审标准</w:t>
      </w:r>
    </w:p>
    <w:p w14:paraId="38BB6CF8">
      <w:pPr>
        <w:tabs>
          <w:tab w:val="left" w:pos="720"/>
        </w:tabs>
        <w:spacing w:line="360" w:lineRule="auto"/>
        <w:rPr>
          <w:rFonts w:ascii="宋体" w:hAnsi="宋体" w:eastAsia="宋体"/>
          <w:b/>
          <w:bCs/>
          <w:sz w:val="24"/>
          <w:szCs w:val="24"/>
          <w:highlight w:val="none"/>
        </w:rPr>
      </w:pPr>
      <w:r>
        <w:rPr>
          <w:rFonts w:hint="eastAsia" w:ascii="宋体" w:hAnsi="宋体" w:eastAsia="宋体"/>
          <w:b/>
          <w:bCs/>
          <w:sz w:val="24"/>
          <w:szCs w:val="24"/>
          <w:highlight w:val="none"/>
        </w:rPr>
        <w:t>2.1 初步评审标准</w:t>
      </w:r>
    </w:p>
    <w:p w14:paraId="5F98247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2.1.1形式评审标准：见评标办法前附表。</w:t>
      </w:r>
    </w:p>
    <w:p w14:paraId="180EF393">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2.1.2资格评审标准：见评标办法前附表。</w:t>
      </w:r>
    </w:p>
    <w:p w14:paraId="7B8ADB3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2.1.3响应性评审标准：见评标办法前附表。</w:t>
      </w:r>
    </w:p>
    <w:p w14:paraId="13FD40BE">
      <w:pPr>
        <w:tabs>
          <w:tab w:val="left" w:pos="720"/>
        </w:tabs>
        <w:spacing w:line="360" w:lineRule="auto"/>
        <w:rPr>
          <w:rFonts w:ascii="宋体" w:hAnsi="宋体" w:eastAsia="宋体"/>
          <w:b/>
          <w:bCs/>
          <w:sz w:val="24"/>
          <w:szCs w:val="24"/>
          <w:highlight w:val="none"/>
        </w:rPr>
      </w:pPr>
      <w:r>
        <w:rPr>
          <w:rFonts w:hint="eastAsia" w:ascii="宋体" w:hAnsi="宋体" w:eastAsia="宋体"/>
          <w:b/>
          <w:bCs/>
          <w:sz w:val="24"/>
          <w:szCs w:val="24"/>
          <w:highlight w:val="none"/>
        </w:rPr>
        <w:t>2.2 分值构成与评分标准</w:t>
      </w:r>
    </w:p>
    <w:p w14:paraId="3B09DC34">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2.2.1分值构成</w:t>
      </w:r>
    </w:p>
    <w:p w14:paraId="1C98F85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（1）商务部分：见评标办法前附表；</w:t>
      </w:r>
    </w:p>
    <w:p w14:paraId="5FBAF97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（2）技术部分：见评标办法前附表；</w:t>
      </w:r>
    </w:p>
    <w:p w14:paraId="0BFCB44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（3）投标报价：见评标办法前附表；</w:t>
      </w:r>
    </w:p>
    <w:p w14:paraId="3BAA152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（4）其他评分因素：见评标办法前附表。</w:t>
      </w:r>
    </w:p>
    <w:p w14:paraId="3B708F6B">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2.2.2评标基准价计算</w:t>
      </w:r>
    </w:p>
    <w:p w14:paraId="106427CC">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评标基准价计算方法：见评标办法前附表。</w:t>
      </w:r>
    </w:p>
    <w:p w14:paraId="1F7C000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2.2.3投标报价的偏差率计算</w:t>
      </w:r>
    </w:p>
    <w:p w14:paraId="2A72B086">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投标报价的偏差率计算公式：见评标办法前附表。</w:t>
      </w:r>
    </w:p>
    <w:p w14:paraId="38E34B7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2.2.4评分标准</w:t>
      </w:r>
    </w:p>
    <w:p w14:paraId="47E2C17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（1）商务评分标准：见评标办法前附表；</w:t>
      </w:r>
    </w:p>
    <w:p w14:paraId="76A59BF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（2）技术评分标准：见评标办法前附表；</w:t>
      </w:r>
    </w:p>
    <w:p w14:paraId="3569B28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（3）投标报价评分标准：见评标办法前附表；</w:t>
      </w:r>
    </w:p>
    <w:p w14:paraId="788ED47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（4）其他因素评分标准：见评标办法前附表。</w:t>
      </w:r>
    </w:p>
    <w:p w14:paraId="3EBBB6E8">
      <w:pPr>
        <w:snapToGrid w:val="0"/>
        <w:spacing w:line="360" w:lineRule="auto"/>
        <w:outlineLvl w:val="2"/>
        <w:rPr>
          <w:rFonts w:ascii="宋体" w:hAnsi="宋体" w:eastAsia="宋体"/>
          <w:b/>
          <w:bCs/>
          <w:sz w:val="30"/>
          <w:szCs w:val="30"/>
          <w:highlight w:val="none"/>
        </w:rPr>
      </w:pPr>
    </w:p>
    <w:p w14:paraId="28947A5F">
      <w:pPr>
        <w:snapToGrid w:val="0"/>
        <w:spacing w:line="360" w:lineRule="auto"/>
        <w:outlineLvl w:val="2"/>
        <w:rPr>
          <w:rFonts w:ascii="宋体" w:hAnsi="宋体" w:eastAsia="宋体"/>
          <w:b/>
          <w:bCs/>
          <w:sz w:val="30"/>
          <w:szCs w:val="30"/>
          <w:highlight w:val="none"/>
        </w:rPr>
      </w:pPr>
      <w:r>
        <w:rPr>
          <w:rFonts w:hint="eastAsia" w:ascii="宋体" w:hAnsi="宋体" w:eastAsia="宋体"/>
          <w:b/>
          <w:bCs/>
          <w:sz w:val="30"/>
          <w:szCs w:val="30"/>
          <w:highlight w:val="none"/>
        </w:rPr>
        <w:t>3. 评标程序</w:t>
      </w:r>
    </w:p>
    <w:p w14:paraId="44B4D463">
      <w:pPr>
        <w:snapToGrid w:val="0"/>
        <w:spacing w:line="360" w:lineRule="auto"/>
        <w:rPr>
          <w:rFonts w:ascii="宋体" w:hAnsi="宋体" w:eastAsia="宋体"/>
          <w:b/>
          <w:bCs/>
          <w:sz w:val="24"/>
          <w:szCs w:val="24"/>
          <w:highlight w:val="none"/>
        </w:rPr>
      </w:pPr>
      <w:r>
        <w:rPr>
          <w:rFonts w:hint="eastAsia" w:ascii="宋体" w:hAnsi="宋体" w:eastAsia="宋体"/>
          <w:b/>
          <w:bCs/>
          <w:sz w:val="24"/>
          <w:szCs w:val="24"/>
          <w:highlight w:val="none"/>
        </w:rPr>
        <w:t>3.1 初步评审</w:t>
      </w:r>
    </w:p>
    <w:p w14:paraId="293137C3">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3.1.1评标委员会可以要求投标人提交第二章“投标人须知”规定的有关证明和证件的原件，以便核验。评标委员会依据本章第2.1款规定的标准对投标文件进行初步评审。有一项不符合评审标准的，评标委员会应当否决其投标。</w:t>
      </w:r>
    </w:p>
    <w:p w14:paraId="03A9F493">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3.1.2投标人有以下情形之一的，评标委员会应当否决其投标：</w:t>
      </w:r>
    </w:p>
    <w:p w14:paraId="66CE6D9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（1）投标文件没有对招标文件的实质性要求和条件作出响应，或者对招标文件的偏差超出招标文件规定的偏差范围或最高项数；</w:t>
      </w:r>
    </w:p>
    <w:p w14:paraId="675D788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（2）有串通投标、弄虚作假、行贿等违法行为。</w:t>
      </w:r>
    </w:p>
    <w:p w14:paraId="0702C32F">
      <w:pPr>
        <w:spacing w:line="360" w:lineRule="auto"/>
        <w:ind w:firstLine="480"/>
        <w:rPr>
          <w:rFonts w:ascii="宋体" w:hAnsi="宋体" w:eastAsia="宋体"/>
          <w:sz w:val="24"/>
          <w:szCs w:val="24"/>
          <w:highlight w:val="none"/>
        </w:rPr>
      </w:pPr>
      <w:r>
        <w:rPr>
          <w:rFonts w:hint="eastAsia" w:ascii="宋体" w:hAnsi="宋体" w:eastAsia="宋体"/>
          <w:sz w:val="24"/>
          <w:szCs w:val="24"/>
          <w:highlight w:val="none"/>
          <w:u w:val="single"/>
        </w:rPr>
        <w:t>注：不得将文件顺序、明显的文字错误等列为否决投标的情形。评委发现投标文件中含义不明确、对同类问题表述不一致、有明显文字和计算错误的，应当要求投标人作必要的澄清、说明后再判定投标人是否通过初步评审，不得直接认定其不通过初步评审。</w:t>
      </w:r>
    </w:p>
    <w:p w14:paraId="55422A3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3.1.3投标报价有算术错误及其他错误的，评标委员会按以下原则要求投标人对投标报价进行修正，并要求投标人书面澄清确认。投标人拒不澄清确认的，评标委员会应当否决其投标：</w:t>
      </w:r>
    </w:p>
    <w:p w14:paraId="5266B8C6">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（1）投标文件中的大写金额与小写金额不一致的，以大写金额为准；</w:t>
      </w:r>
    </w:p>
    <w:p w14:paraId="69363B0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（2）总价金额与单价金额不一致的，以单价金额为准，但单价金额小数点有明显错误的除外；</w:t>
      </w:r>
    </w:p>
    <w:p w14:paraId="655B251E">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（3）投标报价为各分项报价金额之和，投标报价与分项报价的合价不一致的，应以各分项合价累计数为准，修正投标报价；</w:t>
      </w:r>
    </w:p>
    <w:p w14:paraId="2E49A78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（4）如果分项报价中存在缺漏项，则视为缺漏项价格已包含在其他分项报价之中。</w:t>
      </w:r>
    </w:p>
    <w:p w14:paraId="7898335C">
      <w:pPr>
        <w:ind w:firstLine="420" w:firstLineChars="200"/>
        <w:rPr>
          <w:rFonts w:ascii="宋体" w:hAnsi="宋体" w:eastAsia="宋体"/>
          <w:szCs w:val="24"/>
          <w:highlight w:val="none"/>
        </w:rPr>
      </w:pPr>
    </w:p>
    <w:p w14:paraId="69BB1468">
      <w:pPr>
        <w:snapToGrid w:val="0"/>
        <w:spacing w:line="360" w:lineRule="auto"/>
        <w:rPr>
          <w:rFonts w:ascii="宋体" w:hAnsi="宋体" w:eastAsia="宋体"/>
          <w:b/>
          <w:bCs/>
          <w:sz w:val="24"/>
          <w:szCs w:val="24"/>
          <w:highlight w:val="none"/>
        </w:rPr>
      </w:pPr>
      <w:r>
        <w:rPr>
          <w:rFonts w:hint="eastAsia" w:ascii="宋体" w:hAnsi="宋体" w:eastAsia="宋体"/>
          <w:b/>
          <w:bCs/>
          <w:sz w:val="24"/>
          <w:szCs w:val="24"/>
          <w:highlight w:val="none"/>
        </w:rPr>
        <w:t>3.2 详细评审</w:t>
      </w:r>
    </w:p>
    <w:p w14:paraId="2FB8AAC9">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3.2.1评标委员会按本章第2.2款规定的量化因素和分值进行打分，并计算出综合评分得分。</w:t>
      </w:r>
    </w:p>
    <w:p w14:paraId="4636FB9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（1）按本章第2.2.4（1）目规定的评审因素和分值对商务部分计算出得分A；</w:t>
      </w:r>
    </w:p>
    <w:p w14:paraId="662AC3C2">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（2）按本章第2.2.4（2）目规定的评审因素和分值对技术部分计算出得分B；</w:t>
      </w:r>
    </w:p>
    <w:p w14:paraId="2919B11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（3）按本章第2.2.4（3）目规定的评审因素和分值对投标报价计算出得分C。</w:t>
      </w:r>
    </w:p>
    <w:p w14:paraId="023696E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3.2.2评分分值计算保留小数点后两位，小数点后第三位“四舍五入”。</w:t>
      </w:r>
    </w:p>
    <w:p w14:paraId="46676E2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3.2.3投标人得分=A+B+C。</w:t>
      </w:r>
    </w:p>
    <w:p w14:paraId="687F3328">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7AD51B1E">
      <w:pPr>
        <w:snapToGrid w:val="0"/>
        <w:spacing w:line="360" w:lineRule="auto"/>
        <w:rPr>
          <w:rFonts w:ascii="宋体" w:hAnsi="宋体" w:eastAsia="宋体"/>
          <w:b/>
          <w:bCs/>
          <w:sz w:val="24"/>
          <w:szCs w:val="24"/>
          <w:highlight w:val="none"/>
        </w:rPr>
      </w:pPr>
      <w:r>
        <w:rPr>
          <w:rFonts w:hint="eastAsia" w:ascii="宋体" w:hAnsi="宋体" w:eastAsia="宋体"/>
          <w:b/>
          <w:bCs/>
          <w:sz w:val="24"/>
          <w:szCs w:val="24"/>
          <w:highlight w:val="none"/>
        </w:rPr>
        <w:t>3.3 投标文件的澄清</w:t>
      </w:r>
    </w:p>
    <w:p w14:paraId="782AFFBB">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6E6442B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3.3.2 澄清、说明或补正不得超出投标文件的范围且不得改变投标文件的实质性内容，并构成投标文件的组成部分。</w:t>
      </w:r>
    </w:p>
    <w:p w14:paraId="25E84715">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3.3.3评标委员会对投标人提交的澄清、说明或补正有疑问的，可以要求投标人进一步澄清、说明或补正，直至满足评标委员会的要求。</w:t>
      </w:r>
    </w:p>
    <w:p w14:paraId="043FC895">
      <w:pPr>
        <w:snapToGrid w:val="0"/>
        <w:spacing w:line="360" w:lineRule="auto"/>
        <w:rPr>
          <w:rFonts w:ascii="宋体" w:hAnsi="宋体" w:eastAsia="宋体"/>
          <w:sz w:val="24"/>
          <w:szCs w:val="24"/>
          <w:highlight w:val="none"/>
        </w:rPr>
      </w:pPr>
      <w:r>
        <w:rPr>
          <w:rFonts w:hint="eastAsia" w:ascii="宋体" w:hAnsi="宋体" w:eastAsia="宋体"/>
          <w:b/>
          <w:bCs/>
          <w:sz w:val="24"/>
          <w:szCs w:val="24"/>
          <w:highlight w:val="none"/>
        </w:rPr>
        <w:t>3.4 评标结果</w:t>
      </w:r>
    </w:p>
    <w:p w14:paraId="762E5E3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3.4.1除第二章“投标人须知”前附表授权直接确定中标人外，评标委员会按照得分由高到低的顺序推荐中标候选人，并标明排序。</w:t>
      </w:r>
    </w:p>
    <w:p w14:paraId="79ADB7A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3.4.2评标委员会完成评标后，应当向招标人提交书面评标报告和中标候选人名单。</w:t>
      </w:r>
    </w:p>
    <w:p w14:paraId="530E2DCB">
      <w:pPr>
        <w:spacing w:line="502" w:lineRule="exact"/>
        <w:ind w:right="220"/>
        <w:jc w:val="center"/>
        <w:outlineLvl w:val="0"/>
        <w:rPr>
          <w:rFonts w:ascii="宋体" w:hAnsi="宋体" w:eastAsia="宋体"/>
          <w:b/>
          <w:sz w:val="44"/>
          <w:highlight w:val="none"/>
        </w:rPr>
      </w:pPr>
      <w:r>
        <w:rPr>
          <w:rFonts w:hint="eastAsia" w:ascii="宋体" w:hAnsi="宋体" w:eastAsia="宋体"/>
          <w:sz w:val="32"/>
          <w:szCs w:val="32"/>
          <w:highlight w:val="none"/>
        </w:rPr>
        <w:br w:type="page"/>
      </w:r>
      <w:bookmarkStart w:id="118" w:name="_Toc26595"/>
      <w:r>
        <w:rPr>
          <w:rFonts w:hint="eastAsia" w:ascii="宋体" w:hAnsi="宋体" w:eastAsia="宋体"/>
          <w:b/>
          <w:sz w:val="44"/>
          <w:highlight w:val="none"/>
        </w:rPr>
        <w:t>第四章合同条款及格式</w:t>
      </w:r>
      <w:bookmarkEnd w:id="118"/>
    </w:p>
    <w:p w14:paraId="0A60A4F5">
      <w:pPr>
        <w:widowControl/>
        <w:spacing w:after="160" w:line="259" w:lineRule="auto"/>
        <w:jc w:val="center"/>
        <w:rPr>
          <w:rFonts w:ascii="宋体" w:hAnsi="宋体" w:eastAsia="宋体"/>
          <w:sz w:val="32"/>
          <w:szCs w:val="32"/>
          <w:highlight w:val="none"/>
        </w:rPr>
      </w:pPr>
      <w:bookmarkStart w:id="119" w:name="_Toc16292"/>
      <w:bookmarkStart w:id="120" w:name="_Toc7454660"/>
    </w:p>
    <w:p w14:paraId="417E32B1">
      <w:pPr>
        <w:jc w:val="center"/>
        <w:rPr>
          <w:rFonts w:ascii="宋体" w:hAnsi="宋体"/>
          <w:b/>
          <w:bCs/>
          <w:sz w:val="48"/>
          <w:szCs w:val="48"/>
          <w:highlight w:val="none"/>
          <w:u w:val="single"/>
        </w:rPr>
      </w:pPr>
      <w:r>
        <w:rPr>
          <w:rFonts w:hint="eastAsia"/>
          <w:b/>
          <w:sz w:val="48"/>
          <w:szCs w:val="48"/>
          <w:highlight w:val="none"/>
          <w:lang w:eastAsia="zh-CN"/>
        </w:rPr>
        <w:t>中国大酒店部分客用电梯及相关配套更新</w:t>
      </w:r>
      <w:r>
        <w:rPr>
          <w:rFonts w:hint="eastAsia"/>
          <w:b/>
          <w:sz w:val="48"/>
          <w:szCs w:val="48"/>
          <w:highlight w:val="none"/>
        </w:rPr>
        <w:t>合同</w:t>
      </w:r>
    </w:p>
    <w:p w14:paraId="1F9EADBF">
      <w:pPr>
        <w:jc w:val="center"/>
        <w:rPr>
          <w:rFonts w:ascii="宋体" w:hAnsi="宋体" w:eastAsia="宋体"/>
          <w:b/>
          <w:bCs/>
          <w:sz w:val="28"/>
          <w:szCs w:val="28"/>
          <w:highlight w:val="none"/>
        </w:rPr>
      </w:pPr>
    </w:p>
    <w:p w14:paraId="078593CF">
      <w:pPr>
        <w:spacing w:line="360" w:lineRule="auto"/>
        <w:rPr>
          <w:rFonts w:ascii="宋体" w:hAnsi="宋体" w:eastAsia="宋体"/>
          <w:sz w:val="28"/>
          <w:szCs w:val="28"/>
          <w:highlight w:val="none"/>
        </w:rPr>
      </w:pPr>
      <w:r>
        <w:rPr>
          <w:rFonts w:hint="eastAsia" w:ascii="宋体" w:hAnsi="宋体" w:eastAsia="宋体"/>
          <w:sz w:val="28"/>
          <w:szCs w:val="28"/>
          <w:highlight w:val="none"/>
        </w:rPr>
        <w:t xml:space="preserve">甲方：中国大酒店                     乙方： </w:t>
      </w:r>
    </w:p>
    <w:p w14:paraId="747D9492">
      <w:pPr>
        <w:spacing w:line="360" w:lineRule="auto"/>
        <w:ind w:left="6300" w:hanging="6300" w:hangingChars="2250"/>
        <w:rPr>
          <w:rFonts w:ascii="宋体" w:hAnsi="宋体" w:eastAsia="宋体"/>
          <w:sz w:val="28"/>
          <w:szCs w:val="28"/>
          <w:highlight w:val="none"/>
        </w:rPr>
      </w:pPr>
      <w:r>
        <w:rPr>
          <w:rFonts w:hint="eastAsia" w:ascii="宋体" w:hAnsi="宋体" w:eastAsia="宋体"/>
          <w:sz w:val="28"/>
          <w:szCs w:val="28"/>
          <w:highlight w:val="none"/>
        </w:rPr>
        <w:t xml:space="preserve">地址：广州市流花路122号             地址： </w:t>
      </w:r>
    </w:p>
    <w:p w14:paraId="7058998A">
      <w:pPr>
        <w:spacing w:line="360" w:lineRule="auto"/>
        <w:ind w:left="6300" w:hanging="6300" w:hangingChars="2250"/>
        <w:rPr>
          <w:rFonts w:ascii="宋体" w:hAnsi="宋体" w:eastAsia="宋体"/>
          <w:sz w:val="28"/>
          <w:szCs w:val="28"/>
          <w:highlight w:val="none"/>
        </w:rPr>
      </w:pPr>
      <w:r>
        <w:rPr>
          <w:rFonts w:hint="eastAsia" w:ascii="宋体" w:hAnsi="宋体" w:eastAsia="宋体"/>
          <w:sz w:val="28"/>
          <w:szCs w:val="28"/>
          <w:highlight w:val="none"/>
        </w:rPr>
        <w:t>电话：020-86666888                   电话：</w:t>
      </w:r>
    </w:p>
    <w:p w14:paraId="66A07EFA">
      <w:pPr>
        <w:spacing w:line="360" w:lineRule="auto"/>
        <w:ind w:firstLine="525"/>
        <w:jc w:val="left"/>
        <w:rPr>
          <w:rFonts w:ascii="宋体" w:hAnsi="宋体" w:eastAsia="宋体"/>
          <w:sz w:val="28"/>
          <w:szCs w:val="28"/>
          <w:highlight w:val="none"/>
        </w:rPr>
      </w:pPr>
      <w:r>
        <w:rPr>
          <w:rFonts w:hint="eastAsia" w:ascii="宋体" w:hAnsi="宋体" w:eastAsia="宋体"/>
          <w:sz w:val="28"/>
          <w:szCs w:val="28"/>
          <w:highlight w:val="none"/>
        </w:rPr>
        <w:t>根据《中华人民共和国民法典》及有关规定，结合本项目具体情况，经协商一致，就乙方为甲方</w:t>
      </w:r>
      <w:r>
        <w:rPr>
          <w:rFonts w:hint="eastAsia" w:ascii="宋体" w:hAnsi="宋体" w:eastAsia="宋体"/>
          <w:sz w:val="28"/>
          <w:szCs w:val="28"/>
          <w:highlight w:val="none"/>
          <w:u w:val="single"/>
        </w:rPr>
        <w:t>部分客用电梯及相关配套更新</w:t>
      </w:r>
      <w:r>
        <w:rPr>
          <w:rFonts w:hint="eastAsia" w:ascii="宋体" w:hAnsi="宋体" w:eastAsia="宋体"/>
          <w:sz w:val="28"/>
          <w:szCs w:val="28"/>
          <w:highlight w:val="none"/>
        </w:rPr>
        <w:t>事宜，签订本合同。</w:t>
      </w:r>
    </w:p>
    <w:p w14:paraId="0DA11C8F">
      <w:pPr>
        <w:spacing w:line="360" w:lineRule="auto"/>
        <w:rPr>
          <w:rFonts w:ascii="宋体" w:hAnsi="宋体" w:eastAsia="宋体"/>
          <w:sz w:val="28"/>
          <w:szCs w:val="28"/>
          <w:highlight w:val="none"/>
        </w:rPr>
      </w:pPr>
      <w:r>
        <w:rPr>
          <w:rFonts w:hint="eastAsia" w:ascii="宋体" w:hAnsi="宋体" w:eastAsia="宋体"/>
          <w:sz w:val="28"/>
          <w:szCs w:val="28"/>
          <w:highlight w:val="none"/>
        </w:rPr>
        <w:t>1.采购设备</w:t>
      </w:r>
    </w:p>
    <w:p w14:paraId="5DD4AFCE">
      <w:pPr>
        <w:spacing w:line="360" w:lineRule="auto"/>
        <w:ind w:firstLine="560" w:firstLineChars="200"/>
        <w:jc w:val="left"/>
        <w:rPr>
          <w:rFonts w:ascii="宋体" w:hAnsi="宋体" w:eastAsia="宋体"/>
          <w:sz w:val="28"/>
          <w:szCs w:val="28"/>
          <w:highlight w:val="none"/>
        </w:rPr>
      </w:pPr>
      <w:r>
        <w:rPr>
          <w:rFonts w:hint="eastAsia" w:ascii="宋体" w:hAnsi="宋体" w:eastAsia="宋体"/>
          <w:sz w:val="28"/>
          <w:szCs w:val="28"/>
          <w:highlight w:val="none"/>
        </w:rPr>
        <w:t>详见附件一项目报价清单。</w:t>
      </w:r>
    </w:p>
    <w:p w14:paraId="07B001B2">
      <w:pPr>
        <w:spacing w:line="360" w:lineRule="auto"/>
        <w:jc w:val="left"/>
        <w:rPr>
          <w:rFonts w:ascii="宋体" w:hAnsi="宋体" w:eastAsia="宋体"/>
          <w:sz w:val="28"/>
          <w:szCs w:val="28"/>
          <w:highlight w:val="none"/>
        </w:rPr>
      </w:pPr>
      <w:r>
        <w:rPr>
          <w:rFonts w:hint="eastAsia" w:ascii="宋体" w:hAnsi="宋体" w:eastAsia="宋体"/>
          <w:sz w:val="28"/>
          <w:szCs w:val="28"/>
          <w:highlight w:val="none"/>
        </w:rPr>
        <w:t>2.合同价格：</w:t>
      </w:r>
    </w:p>
    <w:p w14:paraId="4D68BF5E">
      <w:pPr>
        <w:spacing w:line="500" w:lineRule="exact"/>
        <w:rPr>
          <w:rFonts w:ascii="宋体" w:hAnsi="宋体" w:eastAsia="宋体"/>
          <w:sz w:val="28"/>
          <w:szCs w:val="28"/>
          <w:highlight w:val="none"/>
        </w:rPr>
      </w:pPr>
      <w:r>
        <w:rPr>
          <w:rFonts w:hint="eastAsia" w:ascii="宋体" w:hAnsi="宋体" w:eastAsia="宋体"/>
          <w:sz w:val="28"/>
          <w:szCs w:val="28"/>
          <w:highlight w:val="none"/>
        </w:rPr>
        <w:t>不含税价：大写：人民币</w:t>
      </w:r>
      <w:r>
        <w:rPr>
          <w:rFonts w:hint="eastAsia" w:ascii="宋体" w:hAnsi="宋体" w:eastAsia="宋体"/>
          <w:sz w:val="28"/>
          <w:szCs w:val="28"/>
          <w:highlight w:val="none"/>
          <w:u w:val="single"/>
        </w:rPr>
        <w:t xml:space="preserve">                 </w:t>
      </w:r>
      <w:r>
        <w:rPr>
          <w:rFonts w:hint="eastAsia" w:ascii="宋体" w:hAnsi="宋体" w:eastAsia="宋体"/>
          <w:sz w:val="28"/>
          <w:szCs w:val="28"/>
          <w:highlight w:val="none"/>
        </w:rPr>
        <w:t>，</w:t>
      </w:r>
    </w:p>
    <w:p w14:paraId="2A02A0EE">
      <w:pPr>
        <w:spacing w:line="500" w:lineRule="exact"/>
        <w:rPr>
          <w:rFonts w:ascii="宋体" w:hAnsi="宋体" w:eastAsia="宋体"/>
          <w:sz w:val="28"/>
          <w:szCs w:val="28"/>
          <w:highlight w:val="none"/>
        </w:rPr>
      </w:pPr>
      <w:r>
        <w:rPr>
          <w:rFonts w:hint="eastAsia" w:ascii="宋体" w:hAnsi="宋体" w:eastAsia="宋体"/>
          <w:sz w:val="28"/>
          <w:szCs w:val="28"/>
          <w:highlight w:val="none"/>
        </w:rPr>
        <w:t xml:space="preserve">          小写：¥</w:t>
      </w:r>
      <w:r>
        <w:rPr>
          <w:rFonts w:hint="eastAsia" w:ascii="宋体" w:hAnsi="宋体" w:eastAsia="宋体"/>
          <w:sz w:val="28"/>
          <w:szCs w:val="28"/>
          <w:highlight w:val="none"/>
          <w:u w:val="single"/>
        </w:rPr>
        <w:t xml:space="preserve">           </w:t>
      </w:r>
      <w:r>
        <w:rPr>
          <w:rFonts w:hint="eastAsia" w:ascii="宋体" w:hAnsi="宋体" w:eastAsia="宋体"/>
          <w:sz w:val="28"/>
          <w:szCs w:val="28"/>
          <w:highlight w:val="none"/>
        </w:rPr>
        <w:t>元。</w:t>
      </w:r>
    </w:p>
    <w:p w14:paraId="33A97990">
      <w:pPr>
        <w:spacing w:line="360" w:lineRule="auto"/>
        <w:rPr>
          <w:rFonts w:ascii="宋体" w:hAnsi="宋体" w:eastAsia="宋体"/>
          <w:sz w:val="28"/>
          <w:szCs w:val="28"/>
          <w:highlight w:val="none"/>
        </w:rPr>
      </w:pPr>
      <w:r>
        <w:rPr>
          <w:rFonts w:hint="eastAsia" w:ascii="宋体" w:hAnsi="宋体" w:eastAsia="宋体"/>
          <w:sz w:val="28"/>
          <w:szCs w:val="28"/>
          <w:highlight w:val="none"/>
        </w:rPr>
        <mc:AlternateContent>
          <mc:Choice Requires="wps">
            <w:drawing>
              <wp:anchor distT="0" distB="0" distL="0" distR="0" simplePos="0" relativeHeight="251659264" behindDoc="0" locked="0" layoutInCell="1" allowOverlap="1">
                <wp:simplePos x="0" y="0"/>
                <wp:positionH relativeFrom="column">
                  <wp:posOffset>3045460</wp:posOffset>
                </wp:positionH>
                <wp:positionV relativeFrom="paragraph">
                  <wp:posOffset>127635</wp:posOffset>
                </wp:positionV>
                <wp:extent cx="360045" cy="159385"/>
                <wp:effectExtent l="4445" t="4445" r="16510" b="7620"/>
                <wp:wrapNone/>
                <wp:docPr id="1026" name="矩形 4"/>
                <wp:cNvGraphicFramePr/>
                <a:graphic xmlns:a="http://schemas.openxmlformats.org/drawingml/2006/main">
                  <a:graphicData uri="http://schemas.microsoft.com/office/word/2010/wordprocessingShape">
                    <wps:wsp>
                      <wps:cNvSpPr/>
                      <wps:spPr>
                        <a:xfrm>
                          <a:off x="0" y="0"/>
                          <a:ext cx="360045" cy="15938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矩形 4" o:spid="_x0000_s1026" o:spt="1" style="position:absolute;left:0pt;margin-left:239.8pt;margin-top:10.05pt;height:12.55pt;width:28.35pt;z-index:251659264;mso-width-relative:page;mso-height-relative:page;" fillcolor="#FFFFFF" filled="t" stroked="t" coordsize="21600,21600" o:gfxdata="UEsDBAoAAAAAAIdO4kAAAAAAAAAAAAAAAAAEAAAAZHJzL1BLAwQUAAAACACHTuJABKIoIdcAAAAJ&#10;AQAADwAAAGRycy9kb3ducmV2LnhtbE2PQU+DQBCF7yb+h82YeLO7gEWLLD1oauKxpRdvA4yAsrOE&#10;XVr017ue6nHyvrz3Tb5dzCBONLnesoZopUAQ17bpudVwLHd3jyCcR25wsEwavsnBtri+yjFr7Jn3&#10;dDr4VoQSdhlq6LwfMyld3ZFBt7Ijccg+7GTQh3NqZTPhOZSbQcZKpdJgz2Ghw5GeO6q/DrPRUPXx&#10;EX/25asym13i35byc35/0fr2JlJPIDwt/gLDn35QhyI4VXbmxolBw/3DJg2ohlhFIAKwTtIERBWS&#10;dQyyyOX/D4pfUEsDBBQAAAAIAIdO4kD7zXz88wEAABQEAAAOAAAAZHJzL2Uyb0RvYy54bWytU0uO&#10;EzEQ3SNxB8t70p3MZDTTSmcWhLBBMNLAASq2O23JP7k86eQ0SOw4BMdBXIOyO2Q+sMiCXrir7PKr&#10;eq/Ki9u9NWynImrvWj6d1JwpJ7zUbtvyL5/Xb645wwROgvFOtfygkN8uX79aDKFRM997I1VkBOKw&#10;GULL+5RCU1UoemUBJz4oR4edjxYSuXFbyQgDoVtTzer6qhp8lCF6oRBpdzUe8iNiPAfQd50WauXF&#10;g1UujahRGUhECXsdkC9LtV2nRPrUdagSMy0npqmslITsTV6r5QKabYTQa3EsAc4p4QUnC9pR0hPU&#10;ChKwh6j/grJaRI++SxPhbTUSKYoQi2n9Qpv7HoIqXEhqDCfR8f/Bio+7u8i0pEmoZ1ecObDU819f&#10;v//88Y1dZnmGgA1F3Ye7ePSQzMx130Wb/8SC7Yukh5Okap+YoM2Lq7q+nHMm6Gg6v7m4nmfM6vFy&#10;iJjeK29ZNloeqWNFSNh9wDSG/gnJudAbLdfamOLE7eatiWwH1N11+Y7oz8KMY0PLb+azXAfQyHY0&#10;KmTaQLTRbUu+ZzfwKXBdvn8B58JWgP1YQEHIYdBYnVQsVq9AvnOSpUMgXR29KJ6LsUpyZhQ9wGyV&#10;yATanBNJ2hlHEua+jJ3I1sbLQ2lQ2adhKSIfBztP41O/3H58z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KIoIdcAAAAJAQAADwAAAAAAAAABACAAAAAiAAAAZHJzL2Rvd25yZXYueG1sUEsBAhQA&#10;FAAAAAgAh07iQPvNfPzzAQAAFAQAAA4AAAAAAAAAAQAgAAAAJgEAAGRycy9lMm9Eb2MueG1sUEsF&#10;BgAAAAAGAAYAWQEAAIsFAAAAAA==&#10;">
                <v:fill on="t" focussize="0,0"/>
                <v:stroke color="#000000" joinstyle="miter"/>
                <v:imagedata o:title=""/>
                <o:lock v:ext="edit" aspectratio="f"/>
              </v:rect>
            </w:pict>
          </mc:Fallback>
        </mc:AlternateContent>
      </w:r>
      <w:r>
        <w:rPr>
          <w:rFonts w:hint="eastAsia" w:ascii="宋体" w:hAnsi="宋体" w:eastAsia="宋体"/>
          <w:sz w:val="28"/>
          <w:szCs w:val="28"/>
          <w:highlight w:val="none"/>
        </w:rPr>
        <mc:AlternateContent>
          <mc:Choice Requires="wps">
            <w:drawing>
              <wp:anchor distT="0" distB="0" distL="0" distR="0" simplePos="0" relativeHeight="251660288" behindDoc="0" locked="0" layoutInCell="1" allowOverlap="1">
                <wp:simplePos x="0" y="0"/>
                <wp:positionH relativeFrom="column">
                  <wp:posOffset>1073150</wp:posOffset>
                </wp:positionH>
                <wp:positionV relativeFrom="paragraph">
                  <wp:posOffset>127635</wp:posOffset>
                </wp:positionV>
                <wp:extent cx="360045" cy="159385"/>
                <wp:effectExtent l="4445" t="4445" r="16510" b="7620"/>
                <wp:wrapNone/>
                <wp:docPr id="1027" name="矩形 3"/>
                <wp:cNvGraphicFramePr/>
                <a:graphic xmlns:a="http://schemas.openxmlformats.org/drawingml/2006/main">
                  <a:graphicData uri="http://schemas.microsoft.com/office/word/2010/wordprocessingShape">
                    <wps:wsp>
                      <wps:cNvSpPr/>
                      <wps:spPr>
                        <a:xfrm>
                          <a:off x="0" y="0"/>
                          <a:ext cx="360044" cy="15938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矩形 3" o:spid="_x0000_s1026" o:spt="1" style="position:absolute;left:0pt;margin-left:84.5pt;margin-top:10.05pt;height:12.55pt;width:28.35pt;z-index:251660288;mso-width-relative:page;mso-height-relative:page;" fillcolor="#FFFFFF" filled="t" stroked="t" coordsize="21600,21600" o:gfxdata="UEsDBAoAAAAAAIdO4kAAAAAAAAAAAAAAAAAEAAAAZHJzL1BLAwQUAAAACACHTuJAFZRHANcAAAAJ&#10;AQAADwAAAGRycy9kb3ducmV2LnhtbE2PMU/DMBSEdyT+g/WQ2KgdQ0sb4nQAFYmxTRe2l+Q1CcR2&#10;FDtt4NfzmGA83enuu2w7216caQyddwaShQJBrvJ15xoDx2J3twYRIroae+/IwBcF2ObXVxmmtb+4&#10;PZ0PsRFc4kKKBtoYh1TKULVkMSz8QI69kx8tRpZjI+sRL1xue6mVWkmLneOFFgd6bqn6PEzWQNnp&#10;I37vi1dlN7v7+DYXH9P7izG3N4l6AhFpjn9h+MVndMiZqfSTq4PoWa82/CUa0CoBwQGtl48gSgMP&#10;Sw0yz+T/B/kPUEsDBBQAAAAIAIdO4kBle5bW9AEAABQEAAAOAAAAZHJzL2Uyb0RvYy54bWytU0uO&#10;EzEQ3SNxB8t70p1kMsy00pkFIWwQjDTDARx/0pb8k8uTTk6DxI5DcBzENSi7m8wHFlnQC3eVXX5V&#10;71V5eXOwhuxlBO1dS6eTmhLpuBfa7Vr65X7z5ooSSMwJZryTLT1KoDer16+WfWjkzHfeCBkJgjho&#10;+tDSLqXQVBXwTloGEx+kw0Plo2UJ3birRGQ9oltTzer6sup9FCF6LgFwdz0c0hExngPoldJcrj1/&#10;sNKlATVKwxJSgk4HoKtSrVKSp89KgUzEtBSZprJiErS3ea1WS9bsIgud5mMJ7JwSXnCyTDtMeoJa&#10;s8TIQ9R/QVnNowev0oR7Ww1EiiLIYlq/0OauY0EWLig1hJPo8P9g+af9bSRa4CTUs7eUOGax57++&#10;fv/54xuZZ3n6AA1G3YXbOHqAZuZ6UNHmP7IghyLp8SSpPCTCcXN+WdcXF5RwPJourudXi4xZPV4O&#10;EdIH6S3JRksjdqwIyfYfIQ2hf0JyLvBGi402pjhxt31nItkz7O6mfCP6szDjSN/S68VsgXUwHFmF&#10;o4KmDUgb3K7ke3YDngLX5fsXcC5szaAbCigIOYw1VicZi9VJJt47QdIxoK4OXxTNxVgpKDESH2C2&#10;SmRi2pwTidoZhxLmvgydyNbWi2NpUNnHYSkij4Odp/GpX24/Pub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WURwDXAAAACQEAAA8AAAAAAAAAAQAgAAAAIgAAAGRycy9kb3ducmV2LnhtbFBLAQIU&#10;ABQAAAAIAIdO4kBle5bW9AEAABQEAAAOAAAAAAAAAAEAIAAAACYBAABkcnMvZTJvRG9jLnhtbFBL&#10;BQYAAAAABgAGAFkBAACMBQAAAAA=&#10;">
                <v:fill on="t" focussize="0,0"/>
                <v:stroke color="#000000" joinstyle="miter"/>
                <v:imagedata o:title=""/>
                <o:lock v:ext="edit" aspectratio="f"/>
              </v:rect>
            </w:pict>
          </mc:Fallback>
        </mc:AlternateContent>
      </w:r>
      <w:r>
        <w:rPr>
          <w:rFonts w:hint="eastAsia" w:ascii="宋体" w:hAnsi="宋体" w:eastAsia="宋体"/>
          <w:sz w:val="28"/>
          <w:szCs w:val="28"/>
          <w:highlight w:val="none"/>
        </w:rPr>
        <w:t>一般纳税人：        小规模纳税人：</w:t>
      </w:r>
    </w:p>
    <w:p w14:paraId="3B45F15E">
      <w:pPr>
        <w:spacing w:line="500" w:lineRule="exact"/>
        <w:rPr>
          <w:rFonts w:ascii="宋体" w:hAnsi="宋体" w:eastAsia="宋体"/>
          <w:sz w:val="28"/>
          <w:szCs w:val="28"/>
          <w:highlight w:val="none"/>
        </w:rPr>
      </w:pPr>
      <w:r>
        <w:rPr>
          <w:rFonts w:hint="eastAsia" w:ascii="宋体" w:hAnsi="宋体" w:eastAsia="宋体"/>
          <w:sz w:val="28"/>
          <w:szCs w:val="28"/>
          <w:highlight w:val="none"/>
        </w:rPr>
        <w:t>增值税专票税率：</w:t>
      </w:r>
      <w:r>
        <w:rPr>
          <w:rFonts w:hint="eastAsia" w:ascii="宋体" w:hAnsi="宋体" w:eastAsia="宋体"/>
          <w:sz w:val="28"/>
          <w:szCs w:val="28"/>
          <w:highlight w:val="none"/>
          <w:u w:val="single"/>
        </w:rPr>
        <w:t xml:space="preserve">      </w:t>
      </w:r>
      <w:r>
        <w:rPr>
          <w:rFonts w:hint="eastAsia" w:ascii="宋体" w:hAnsi="宋体" w:eastAsia="宋体"/>
          <w:sz w:val="28"/>
          <w:szCs w:val="28"/>
          <w:highlight w:val="none"/>
        </w:rPr>
        <w:t>%，税额：</w:t>
      </w:r>
      <w:r>
        <w:rPr>
          <w:rFonts w:hint="eastAsia" w:ascii="宋体" w:hAnsi="宋体" w:eastAsia="宋体"/>
          <w:sz w:val="28"/>
          <w:szCs w:val="28"/>
          <w:highlight w:val="none"/>
          <w:u w:val="single"/>
        </w:rPr>
        <w:t xml:space="preserve">            </w:t>
      </w:r>
      <w:r>
        <w:rPr>
          <w:rFonts w:hint="eastAsia" w:ascii="宋体" w:hAnsi="宋体" w:eastAsia="宋体"/>
          <w:sz w:val="28"/>
          <w:szCs w:val="28"/>
          <w:highlight w:val="none"/>
        </w:rPr>
        <w:t>元</w:t>
      </w:r>
    </w:p>
    <w:p w14:paraId="57E6748F">
      <w:pPr>
        <w:spacing w:line="500" w:lineRule="exact"/>
        <w:rPr>
          <w:rFonts w:ascii="宋体" w:hAnsi="宋体" w:eastAsia="宋体"/>
          <w:sz w:val="28"/>
          <w:szCs w:val="28"/>
          <w:highlight w:val="none"/>
        </w:rPr>
      </w:pPr>
      <w:r>
        <w:rPr>
          <w:rFonts w:hint="eastAsia" w:ascii="宋体" w:hAnsi="宋体" w:eastAsia="宋体"/>
          <w:sz w:val="28"/>
          <w:szCs w:val="28"/>
          <w:highlight w:val="none"/>
        </w:rPr>
        <w:t>含税价：大写：人民币</w:t>
      </w:r>
      <w:r>
        <w:rPr>
          <w:rFonts w:hint="eastAsia" w:ascii="宋体" w:hAnsi="宋体" w:eastAsia="宋体"/>
          <w:sz w:val="28"/>
          <w:szCs w:val="28"/>
          <w:highlight w:val="none"/>
          <w:u w:val="single"/>
        </w:rPr>
        <w:t xml:space="preserve">                     </w:t>
      </w:r>
      <w:r>
        <w:rPr>
          <w:rFonts w:hint="eastAsia" w:ascii="宋体" w:hAnsi="宋体" w:eastAsia="宋体"/>
          <w:sz w:val="28"/>
          <w:szCs w:val="28"/>
          <w:highlight w:val="none"/>
        </w:rPr>
        <w:t>元整，</w:t>
      </w:r>
    </w:p>
    <w:p w14:paraId="17FBB431">
      <w:pPr>
        <w:spacing w:line="500" w:lineRule="exact"/>
        <w:rPr>
          <w:rFonts w:ascii="宋体" w:hAnsi="宋体" w:eastAsia="宋体"/>
          <w:sz w:val="28"/>
          <w:szCs w:val="28"/>
          <w:highlight w:val="none"/>
        </w:rPr>
      </w:pPr>
      <w:r>
        <w:rPr>
          <w:rFonts w:hint="eastAsia" w:ascii="宋体" w:hAnsi="宋体" w:eastAsia="宋体"/>
          <w:sz w:val="28"/>
          <w:szCs w:val="28"/>
          <w:highlight w:val="none"/>
        </w:rPr>
        <w:t xml:space="preserve">        小写：¥</w:t>
      </w:r>
      <w:r>
        <w:rPr>
          <w:rFonts w:hint="eastAsia" w:ascii="宋体" w:hAnsi="宋体" w:eastAsia="宋体"/>
          <w:sz w:val="28"/>
          <w:szCs w:val="28"/>
          <w:highlight w:val="none"/>
          <w:u w:val="single"/>
        </w:rPr>
        <w:t xml:space="preserve">                    </w:t>
      </w:r>
      <w:r>
        <w:rPr>
          <w:rFonts w:hint="eastAsia" w:ascii="宋体" w:hAnsi="宋体" w:eastAsia="宋体"/>
          <w:sz w:val="28"/>
          <w:szCs w:val="28"/>
          <w:highlight w:val="none"/>
        </w:rPr>
        <w:t>元。</w:t>
      </w:r>
    </w:p>
    <w:p w14:paraId="081E7627">
      <w:pPr>
        <w:spacing w:line="500" w:lineRule="exact"/>
        <w:ind w:firstLine="510"/>
        <w:rPr>
          <w:rFonts w:ascii="宋体" w:hAnsi="宋体" w:eastAsia="宋体"/>
          <w:sz w:val="28"/>
          <w:szCs w:val="28"/>
          <w:highlight w:val="none"/>
        </w:rPr>
      </w:pPr>
      <w:r>
        <w:rPr>
          <w:rFonts w:hint="eastAsia" w:ascii="宋体" w:hAnsi="宋体" w:eastAsia="宋体"/>
          <w:sz w:val="28"/>
          <w:szCs w:val="28"/>
          <w:highlight w:val="none"/>
        </w:rPr>
        <w:t>注：不含税价格不因国家税率变化或商品劳务提供方变更增值税纳税人类型导致增值税率发生变化而变化。在合同履行期间，如遇国家税率调整或乙方变更增值税纳税人类型导致增值税率发生变化，则相应调整以不含税价格计算的增值税款，该增值税款对应的税率以满足法定开具发票时间的税率为准。</w:t>
      </w:r>
    </w:p>
    <w:p w14:paraId="7D4DE250">
      <w:pPr>
        <w:spacing w:line="500" w:lineRule="exact"/>
        <w:ind w:firstLine="510"/>
        <w:rPr>
          <w:rFonts w:ascii="宋体" w:hAnsi="宋体" w:eastAsia="宋体"/>
          <w:sz w:val="28"/>
          <w:szCs w:val="28"/>
          <w:highlight w:val="none"/>
        </w:rPr>
      </w:pPr>
      <w:r>
        <w:rPr>
          <w:rFonts w:hint="eastAsia" w:ascii="宋体" w:hAnsi="宋体" w:eastAsia="宋体"/>
          <w:sz w:val="28"/>
          <w:szCs w:val="28"/>
          <w:highlight w:val="none"/>
        </w:rPr>
        <w:t>本合同商品提供增值税【专用】发票，商品税率为【   】%，税目按照实际采购服务项目提供。乙方开具增值税专用发票必须符合“三流一致”，即：资金流（银行的收款凭证）、票流（发票的开票人和收票人）和物流/劳务流，相互统一，并保证其开具的增值税发票是长期合法、有效和完整。否则甲方拒收，一切责任由乙方负责。</w:t>
      </w:r>
    </w:p>
    <w:p w14:paraId="6E1F670E">
      <w:pPr>
        <w:spacing w:line="500" w:lineRule="exact"/>
        <w:ind w:firstLine="510"/>
        <w:rPr>
          <w:rFonts w:ascii="宋体" w:hAnsi="宋体" w:eastAsia="宋体"/>
          <w:sz w:val="28"/>
          <w:szCs w:val="28"/>
          <w:highlight w:val="none"/>
        </w:rPr>
      </w:pPr>
      <w:r>
        <w:rPr>
          <w:rFonts w:hint="eastAsia" w:ascii="宋体" w:hAnsi="宋体" w:eastAsia="宋体"/>
          <w:sz w:val="28"/>
          <w:szCs w:val="28"/>
          <w:highlight w:val="none"/>
        </w:rPr>
        <w:t>此价格包工包料，包括按《</w:t>
      </w:r>
      <w:r>
        <w:rPr>
          <w:rFonts w:hint="eastAsia" w:ascii="宋体" w:hAnsi="宋体" w:eastAsia="宋体"/>
          <w:sz w:val="28"/>
          <w:szCs w:val="28"/>
          <w:highlight w:val="none"/>
          <w:lang w:eastAsia="zh-CN"/>
        </w:rPr>
        <w:t>中国大酒店部分客用电梯及相关配套更新</w:t>
      </w:r>
      <w:r>
        <w:rPr>
          <w:rFonts w:hint="eastAsia" w:ascii="宋体" w:hAnsi="宋体" w:eastAsia="宋体"/>
          <w:sz w:val="28"/>
          <w:szCs w:val="28"/>
          <w:highlight w:val="none"/>
        </w:rPr>
        <w:t>报价清单》要求的一切有关设备及材料的成本、运输费、保险费、调试费、税费及其它所有费用。</w:t>
      </w:r>
    </w:p>
    <w:p w14:paraId="1AAF752C">
      <w:pPr>
        <w:spacing w:line="360" w:lineRule="auto"/>
        <w:rPr>
          <w:rFonts w:ascii="宋体" w:hAnsi="宋体" w:eastAsia="宋体"/>
          <w:sz w:val="28"/>
          <w:szCs w:val="28"/>
          <w:highlight w:val="none"/>
        </w:rPr>
      </w:pPr>
      <w:r>
        <w:rPr>
          <w:rFonts w:hint="eastAsia" w:ascii="宋体" w:hAnsi="宋体" w:eastAsia="宋体"/>
          <w:sz w:val="28"/>
          <w:szCs w:val="28"/>
          <w:highlight w:val="none"/>
        </w:rPr>
        <w:t>3</w:t>
      </w:r>
      <w:r>
        <w:rPr>
          <w:rFonts w:ascii="宋体" w:hAnsi="宋体" w:eastAsia="宋体"/>
          <w:sz w:val="28"/>
          <w:szCs w:val="28"/>
          <w:highlight w:val="none"/>
        </w:rPr>
        <w:t>.</w:t>
      </w:r>
      <w:r>
        <w:rPr>
          <w:rFonts w:hint="eastAsia" w:ascii="宋体" w:hAnsi="宋体" w:eastAsia="宋体"/>
          <w:sz w:val="28"/>
          <w:szCs w:val="28"/>
          <w:highlight w:val="none"/>
        </w:rPr>
        <w:t>承包方式：</w:t>
      </w:r>
      <w:r>
        <w:rPr>
          <w:rFonts w:ascii="宋体" w:hAnsi="宋体" w:eastAsia="宋体"/>
          <w:sz w:val="28"/>
          <w:szCs w:val="28"/>
          <w:highlight w:val="none"/>
        </w:rPr>
        <w:t xml:space="preserve"> </w:t>
      </w:r>
    </w:p>
    <w:p w14:paraId="5CA1AE6F">
      <w:pPr>
        <w:spacing w:line="360" w:lineRule="auto"/>
        <w:rPr>
          <w:rFonts w:ascii="宋体" w:hAnsi="宋体" w:eastAsia="宋体"/>
          <w:sz w:val="28"/>
          <w:szCs w:val="28"/>
          <w:highlight w:val="none"/>
        </w:rPr>
      </w:pPr>
      <w:r>
        <w:rPr>
          <w:rFonts w:ascii="宋体" w:hAnsi="宋体" w:eastAsia="宋体"/>
          <w:sz w:val="28"/>
          <w:szCs w:val="28"/>
          <w:highlight w:val="none"/>
        </w:rPr>
        <w:t xml:space="preserve">    本</w:t>
      </w:r>
      <w:r>
        <w:rPr>
          <w:rFonts w:hint="eastAsia" w:ascii="宋体" w:hAnsi="宋体" w:eastAsia="宋体"/>
          <w:sz w:val="28"/>
          <w:szCs w:val="28"/>
          <w:highlight w:val="none"/>
        </w:rPr>
        <w:t>项目</w:t>
      </w:r>
      <w:r>
        <w:rPr>
          <w:rFonts w:ascii="宋体" w:hAnsi="宋体" w:eastAsia="宋体"/>
          <w:sz w:val="28"/>
          <w:szCs w:val="28"/>
          <w:highlight w:val="none"/>
        </w:rPr>
        <w:t>由乙方包工、包料、包工期、包质量、包安全、包文明施工、包环境卫生、包完工验收通过，以合同内</w:t>
      </w:r>
      <w:r>
        <w:rPr>
          <w:rFonts w:hint="eastAsia" w:ascii="宋体" w:hAnsi="宋体" w:eastAsia="宋体"/>
          <w:sz w:val="28"/>
          <w:szCs w:val="28"/>
          <w:highlight w:val="none"/>
        </w:rPr>
        <w:t>采购</w:t>
      </w:r>
      <w:r>
        <w:rPr>
          <w:rFonts w:ascii="宋体" w:hAnsi="宋体" w:eastAsia="宋体"/>
          <w:sz w:val="28"/>
          <w:szCs w:val="28"/>
          <w:highlight w:val="none"/>
        </w:rPr>
        <w:t>清单总价包干方式结算。</w:t>
      </w:r>
    </w:p>
    <w:p w14:paraId="534C941D">
      <w:pPr>
        <w:spacing w:line="360" w:lineRule="auto"/>
        <w:rPr>
          <w:rFonts w:ascii="宋体" w:hAnsi="宋体" w:eastAsia="宋体"/>
          <w:sz w:val="28"/>
          <w:szCs w:val="28"/>
          <w:highlight w:val="none"/>
        </w:rPr>
      </w:pPr>
      <w:r>
        <w:rPr>
          <w:rFonts w:ascii="宋体" w:hAnsi="宋体" w:eastAsia="宋体"/>
          <w:sz w:val="28"/>
          <w:szCs w:val="28"/>
          <w:highlight w:val="none"/>
        </w:rPr>
        <w:t>4</w:t>
      </w:r>
      <w:r>
        <w:rPr>
          <w:rFonts w:hint="eastAsia" w:ascii="宋体" w:hAnsi="宋体" w:eastAsia="宋体"/>
          <w:sz w:val="28"/>
          <w:szCs w:val="28"/>
          <w:highlight w:val="none"/>
        </w:rPr>
        <w:t>.付款条件及方式：</w:t>
      </w:r>
    </w:p>
    <w:p w14:paraId="084A367A">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1</w:t>
      </w:r>
      <w:r>
        <w:rPr>
          <w:rFonts w:hint="eastAsia" w:ascii="宋体" w:hAnsi="宋体" w:eastAsia="宋体"/>
          <w:sz w:val="28"/>
          <w:szCs w:val="28"/>
          <w:highlight w:val="none"/>
        </w:rPr>
        <w:t>）.在合同签订后，甲方收到乙方的合同总价</w:t>
      </w:r>
      <w:r>
        <w:rPr>
          <w:rFonts w:ascii="宋体" w:hAnsi="宋体" w:eastAsia="宋体"/>
          <w:sz w:val="28"/>
          <w:szCs w:val="28"/>
          <w:highlight w:val="none"/>
        </w:rPr>
        <w:t>10%的履约保函或保证金后15个工作日内，乙方提供增值税专用发票后甲方向乙方支付合同含税总价的30%作预付款。</w:t>
      </w:r>
    </w:p>
    <w:p w14:paraId="629FFC92">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2</w:t>
      </w:r>
      <w:r>
        <w:rPr>
          <w:rFonts w:hint="eastAsia" w:ascii="宋体" w:hAnsi="宋体" w:eastAsia="宋体"/>
          <w:sz w:val="28"/>
          <w:szCs w:val="28"/>
          <w:highlight w:val="none"/>
        </w:rPr>
        <w:t>）.</w:t>
      </w:r>
      <w:r>
        <w:rPr>
          <w:rFonts w:ascii="宋体" w:hAnsi="宋体" w:eastAsia="宋体"/>
          <w:sz w:val="28"/>
          <w:szCs w:val="28"/>
          <w:highlight w:val="none"/>
        </w:rPr>
        <w:t>电梯到货验收合格后，乙方提交申请付款报告及合法增值税专用发票后30天内，甲方向乙方支付至合同含税金额的80%。</w:t>
      </w:r>
    </w:p>
    <w:p w14:paraId="2AAFAF50">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3</w:t>
      </w:r>
      <w:r>
        <w:rPr>
          <w:rFonts w:hint="eastAsia" w:ascii="宋体" w:hAnsi="宋体" w:eastAsia="宋体"/>
          <w:sz w:val="28"/>
          <w:szCs w:val="28"/>
          <w:highlight w:val="none"/>
        </w:rPr>
        <w:t>）.电梯安装完成并通过政府验收合格后，乙方提交申请付款报告及合法增值税专用发票</w:t>
      </w:r>
      <w:r>
        <w:rPr>
          <w:rFonts w:ascii="宋体" w:hAnsi="宋体" w:eastAsia="宋体"/>
          <w:sz w:val="28"/>
          <w:szCs w:val="28"/>
          <w:highlight w:val="none"/>
        </w:rPr>
        <w:t>（</w:t>
      </w:r>
      <w:r>
        <w:rPr>
          <w:rFonts w:hint="eastAsia" w:ascii="宋体" w:hAnsi="宋体" w:eastAsia="宋体"/>
          <w:sz w:val="28"/>
          <w:szCs w:val="28"/>
          <w:highlight w:val="none"/>
        </w:rPr>
        <w:t>累计发票金额为合同金额</w:t>
      </w:r>
      <w:r>
        <w:rPr>
          <w:rFonts w:ascii="宋体" w:hAnsi="宋体" w:eastAsia="宋体"/>
          <w:sz w:val="28"/>
          <w:szCs w:val="28"/>
          <w:highlight w:val="none"/>
        </w:rPr>
        <w:t>）后30天内，甲方向乙方支付至合同含税金额的95%。</w:t>
      </w:r>
    </w:p>
    <w:p w14:paraId="53CA51E2">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4</w:t>
      </w:r>
      <w:r>
        <w:rPr>
          <w:rFonts w:hint="eastAsia" w:ascii="宋体" w:hAnsi="宋体" w:eastAsia="宋体"/>
          <w:sz w:val="28"/>
          <w:szCs w:val="28"/>
          <w:highlight w:val="none"/>
        </w:rPr>
        <w:t>）.电梯通过政府验收后，甲方退还乙方履约保函，或无息退还乙方履约保证金。</w:t>
      </w:r>
    </w:p>
    <w:p w14:paraId="0D8BDA34">
      <w:pPr>
        <w:spacing w:line="360" w:lineRule="auto"/>
        <w:ind w:firstLine="560" w:firstLineChars="200"/>
        <w:rPr>
          <w:rFonts w:ascii="宋体" w:hAnsi="宋体" w:eastAsia="宋体"/>
          <w:sz w:val="28"/>
          <w:szCs w:val="28"/>
          <w:highlight w:val="none"/>
        </w:rPr>
      </w:pPr>
      <w:r>
        <w:rPr>
          <w:rFonts w:hint="eastAsia" w:ascii="宋体" w:hAnsi="宋体" w:eastAsia="宋体"/>
          <w:sz w:val="28"/>
          <w:szCs w:val="28"/>
          <w:highlight w:val="none"/>
        </w:rPr>
        <w:t>5）.</w:t>
      </w:r>
      <w:r>
        <w:rPr>
          <w:rFonts w:ascii="宋体" w:hAnsi="宋体" w:eastAsia="宋体"/>
          <w:sz w:val="28"/>
          <w:szCs w:val="28"/>
          <w:highlight w:val="none"/>
        </w:rPr>
        <w:t>甲方预留合同含税金额的5%作为质保金，质保期满，无质量问题，在乙方提交申请付款报告</w:t>
      </w:r>
      <w:r>
        <w:rPr>
          <w:rFonts w:hint="eastAsia" w:ascii="宋体" w:hAnsi="宋体" w:eastAsia="宋体"/>
          <w:sz w:val="28"/>
          <w:szCs w:val="28"/>
          <w:highlight w:val="none"/>
        </w:rPr>
        <w:t>及增值税专用发票</w:t>
      </w:r>
      <w:r>
        <w:rPr>
          <w:rFonts w:ascii="宋体" w:hAnsi="宋体" w:eastAsia="宋体"/>
          <w:sz w:val="28"/>
          <w:szCs w:val="28"/>
          <w:highlight w:val="none"/>
        </w:rPr>
        <w:t>后，15天内无息支付合同含税金额5%的质保金。</w:t>
      </w:r>
    </w:p>
    <w:p w14:paraId="7795E7B7">
      <w:pPr>
        <w:spacing w:line="360" w:lineRule="auto"/>
        <w:ind w:left="450"/>
        <w:jc w:val="left"/>
        <w:rPr>
          <w:rFonts w:ascii="宋体" w:hAnsi="宋体" w:eastAsia="宋体"/>
          <w:b/>
          <w:bCs/>
          <w:sz w:val="28"/>
          <w:szCs w:val="28"/>
          <w:highlight w:val="none"/>
        </w:rPr>
      </w:pPr>
      <w:r>
        <w:rPr>
          <w:rFonts w:hint="eastAsia" w:ascii="宋体" w:hAnsi="宋体" w:eastAsia="宋体"/>
          <w:b/>
          <w:bCs/>
          <w:sz w:val="28"/>
          <w:szCs w:val="28"/>
          <w:highlight w:val="none"/>
        </w:rPr>
        <w:t xml:space="preserve">乙方收款帐号： </w:t>
      </w:r>
    </w:p>
    <w:p w14:paraId="78F29698">
      <w:pPr>
        <w:spacing w:line="360" w:lineRule="auto"/>
        <w:ind w:firstLine="450"/>
        <w:rPr>
          <w:rFonts w:ascii="宋体" w:hAnsi="宋体" w:eastAsia="宋体"/>
          <w:b/>
          <w:bCs/>
          <w:sz w:val="28"/>
          <w:szCs w:val="28"/>
          <w:highlight w:val="none"/>
        </w:rPr>
      </w:pPr>
      <w:r>
        <w:rPr>
          <w:rFonts w:hint="eastAsia" w:ascii="宋体" w:hAnsi="宋体" w:eastAsia="宋体"/>
          <w:b/>
          <w:bCs/>
          <w:sz w:val="28"/>
          <w:szCs w:val="28"/>
          <w:highlight w:val="none"/>
        </w:rPr>
        <w:t xml:space="preserve">开户银行: </w:t>
      </w:r>
    </w:p>
    <w:p w14:paraId="52555100">
      <w:pPr>
        <w:spacing w:line="360" w:lineRule="auto"/>
        <w:ind w:firstLine="450"/>
        <w:jc w:val="left"/>
        <w:rPr>
          <w:rFonts w:ascii="宋体" w:hAnsi="宋体" w:eastAsia="宋体"/>
          <w:b/>
          <w:bCs/>
          <w:sz w:val="28"/>
          <w:szCs w:val="28"/>
          <w:highlight w:val="none"/>
        </w:rPr>
      </w:pPr>
      <w:r>
        <w:rPr>
          <w:rFonts w:hint="eastAsia" w:ascii="宋体" w:hAnsi="宋体" w:eastAsia="宋体"/>
          <w:b/>
          <w:bCs/>
          <w:sz w:val="28"/>
          <w:szCs w:val="28"/>
          <w:highlight w:val="none"/>
        </w:rPr>
        <w:t>银行账号:</w:t>
      </w:r>
    </w:p>
    <w:p w14:paraId="63E523B4">
      <w:pPr>
        <w:spacing w:line="360" w:lineRule="auto"/>
        <w:ind w:firstLine="560" w:firstLineChars="200"/>
        <w:jc w:val="left"/>
        <w:rPr>
          <w:rFonts w:ascii="宋体" w:hAnsi="宋体" w:eastAsia="宋体"/>
          <w:sz w:val="28"/>
          <w:szCs w:val="28"/>
          <w:highlight w:val="none"/>
        </w:rPr>
      </w:pPr>
      <w:r>
        <w:rPr>
          <w:rFonts w:hint="eastAsia" w:ascii="宋体" w:hAnsi="宋体" w:eastAsia="宋体"/>
          <w:sz w:val="28"/>
          <w:szCs w:val="28"/>
          <w:highlight w:val="none"/>
        </w:rPr>
        <w:t>乙方必须开具增值税专用发票，并保证其开具的发票送达甲方时距开票日期不超过15天，甲方通过汇款支付。</w:t>
      </w:r>
    </w:p>
    <w:p w14:paraId="3F101BEC">
      <w:pPr>
        <w:spacing w:line="360" w:lineRule="auto"/>
        <w:ind w:firstLine="450"/>
        <w:jc w:val="left"/>
        <w:rPr>
          <w:rFonts w:ascii="宋体" w:hAnsi="宋体" w:eastAsia="宋体"/>
          <w:sz w:val="28"/>
          <w:szCs w:val="28"/>
          <w:highlight w:val="none"/>
        </w:rPr>
      </w:pPr>
      <w:r>
        <w:rPr>
          <w:rFonts w:hint="eastAsia" w:ascii="宋体" w:hAnsi="宋体" w:eastAsia="宋体"/>
          <w:sz w:val="28"/>
          <w:szCs w:val="28"/>
          <w:highlight w:val="none"/>
        </w:rPr>
        <w:t>本项目设备保修及售后服务期为贰年，从该项目竣工验收合格之日起计算。</w:t>
      </w:r>
    </w:p>
    <w:p w14:paraId="16635B75">
      <w:pPr>
        <w:spacing w:line="360" w:lineRule="auto"/>
        <w:jc w:val="left"/>
        <w:rPr>
          <w:rFonts w:ascii="宋体" w:hAnsi="宋体" w:eastAsia="宋体"/>
          <w:sz w:val="28"/>
          <w:szCs w:val="28"/>
          <w:highlight w:val="none"/>
        </w:rPr>
      </w:pPr>
      <w:r>
        <w:rPr>
          <w:rFonts w:ascii="宋体" w:hAnsi="宋体" w:eastAsia="宋体"/>
          <w:sz w:val="28"/>
          <w:szCs w:val="28"/>
          <w:highlight w:val="none"/>
        </w:rPr>
        <w:t>5</w:t>
      </w:r>
      <w:r>
        <w:rPr>
          <w:rFonts w:hint="eastAsia" w:ascii="宋体" w:hAnsi="宋体" w:eastAsia="宋体"/>
          <w:sz w:val="28"/>
          <w:szCs w:val="28"/>
          <w:highlight w:val="none"/>
        </w:rPr>
        <w:t>.</w:t>
      </w:r>
      <w:r>
        <w:rPr>
          <w:rFonts w:ascii="宋体" w:hAnsi="宋体" w:eastAsia="宋体"/>
          <w:sz w:val="28"/>
          <w:szCs w:val="28"/>
          <w:highlight w:val="none"/>
        </w:rPr>
        <w:t>设备要求</w:t>
      </w:r>
    </w:p>
    <w:p w14:paraId="7764AC29">
      <w:pPr>
        <w:spacing w:line="360" w:lineRule="auto"/>
        <w:ind w:firstLine="560" w:firstLineChars="200"/>
        <w:jc w:val="left"/>
        <w:rPr>
          <w:rFonts w:ascii="宋体" w:hAnsi="宋体" w:eastAsia="宋体"/>
          <w:sz w:val="28"/>
          <w:szCs w:val="28"/>
          <w:highlight w:val="none"/>
        </w:rPr>
      </w:pPr>
      <w:r>
        <w:rPr>
          <w:rFonts w:hint="eastAsia" w:ascii="宋体" w:hAnsi="宋体" w:eastAsia="宋体"/>
          <w:sz w:val="28"/>
          <w:szCs w:val="28"/>
          <w:highlight w:val="none"/>
        </w:rPr>
        <w:t>1).</w:t>
      </w:r>
      <w:r>
        <w:rPr>
          <w:rFonts w:ascii="宋体" w:hAnsi="宋体" w:eastAsia="宋体"/>
          <w:sz w:val="28"/>
          <w:szCs w:val="28"/>
          <w:highlight w:val="none"/>
        </w:rPr>
        <w:t>货物为原制造商制造的全新产品，整机无污染，无侵权行为、表面无划损、无任何缺陷隐患，在中国境内可依常规安全合法使用。</w:t>
      </w:r>
    </w:p>
    <w:p w14:paraId="5A6F6050">
      <w:pPr>
        <w:spacing w:line="360" w:lineRule="auto"/>
        <w:ind w:firstLine="560" w:firstLineChars="200"/>
        <w:jc w:val="left"/>
        <w:rPr>
          <w:rFonts w:ascii="宋体" w:hAnsi="宋体" w:eastAsia="宋体"/>
          <w:sz w:val="28"/>
          <w:szCs w:val="28"/>
          <w:highlight w:val="none"/>
        </w:rPr>
      </w:pPr>
      <w:r>
        <w:rPr>
          <w:rFonts w:hint="eastAsia" w:ascii="宋体" w:hAnsi="宋体" w:eastAsia="宋体"/>
          <w:sz w:val="28"/>
          <w:szCs w:val="28"/>
          <w:highlight w:val="none"/>
        </w:rPr>
        <w:t>2).</w:t>
      </w:r>
      <w:r>
        <w:rPr>
          <w:rFonts w:ascii="宋体" w:hAnsi="宋体" w:eastAsia="宋体"/>
          <w:sz w:val="28"/>
          <w:szCs w:val="28"/>
          <w:highlight w:val="none"/>
        </w:rPr>
        <w:t>交付验收标准依次序对照适用标准为：①符合中华人民共和国国家安全质量标准、环保标准或行业标准；②符合招标文件和响应承诺中甲方认可的合理最佳配置、参数及各项要求；③货物来源国官方标准。</w:t>
      </w:r>
    </w:p>
    <w:p w14:paraId="7B4B2385">
      <w:pPr>
        <w:spacing w:line="360" w:lineRule="auto"/>
        <w:ind w:firstLine="560" w:firstLineChars="200"/>
        <w:jc w:val="left"/>
        <w:rPr>
          <w:rFonts w:ascii="宋体" w:hAnsi="宋体" w:eastAsia="宋体"/>
          <w:sz w:val="28"/>
          <w:szCs w:val="28"/>
          <w:highlight w:val="none"/>
        </w:rPr>
      </w:pPr>
      <w:r>
        <w:rPr>
          <w:rFonts w:hint="eastAsia" w:ascii="宋体" w:hAnsi="宋体" w:eastAsia="宋体"/>
          <w:sz w:val="28"/>
          <w:szCs w:val="28"/>
          <w:highlight w:val="none"/>
        </w:rPr>
        <w:t>3).</w:t>
      </w:r>
      <w:r>
        <w:rPr>
          <w:rFonts w:ascii="宋体" w:hAnsi="宋体" w:eastAsia="宋体"/>
          <w:sz w:val="28"/>
          <w:szCs w:val="28"/>
          <w:highlight w:val="none"/>
        </w:rPr>
        <w:t>进口产品必须具备原产地证明和商检局的检验证明及合法进货渠道证明（如有适用）。</w:t>
      </w:r>
    </w:p>
    <w:p w14:paraId="45E7B2DB">
      <w:pPr>
        <w:spacing w:line="360" w:lineRule="auto"/>
        <w:ind w:firstLine="560" w:firstLineChars="200"/>
        <w:jc w:val="left"/>
        <w:rPr>
          <w:rFonts w:ascii="宋体" w:hAnsi="宋体" w:eastAsia="宋体"/>
          <w:sz w:val="28"/>
          <w:szCs w:val="28"/>
          <w:highlight w:val="none"/>
        </w:rPr>
      </w:pPr>
      <w:r>
        <w:rPr>
          <w:rFonts w:ascii="宋体" w:hAnsi="宋体" w:eastAsia="宋体"/>
          <w:sz w:val="28"/>
          <w:szCs w:val="28"/>
          <w:highlight w:val="none"/>
        </w:rPr>
        <w:t>4).货物为原厂商未启封全新包装，具出厂合格证，序列号、包装箱号与出厂批号一致，并可追索查阅。</w:t>
      </w:r>
    </w:p>
    <w:p w14:paraId="7ACD38FD">
      <w:pPr>
        <w:spacing w:line="360" w:lineRule="auto"/>
        <w:ind w:firstLine="560" w:firstLineChars="200"/>
        <w:jc w:val="left"/>
        <w:rPr>
          <w:rFonts w:ascii="宋体" w:hAnsi="宋体" w:eastAsia="宋体"/>
          <w:sz w:val="28"/>
          <w:szCs w:val="28"/>
          <w:highlight w:val="none"/>
        </w:rPr>
      </w:pPr>
      <w:r>
        <w:rPr>
          <w:rFonts w:ascii="宋体" w:hAnsi="宋体" w:eastAsia="宋体"/>
          <w:sz w:val="28"/>
          <w:szCs w:val="28"/>
          <w:highlight w:val="none"/>
        </w:rPr>
        <w:t>5).乙方应将关键主机设备的用户手册、保修手册、有关单证资料及配备件、随机工具等交付给甲方，使用操作及安全须知等重要资料应附有中文说明。</w:t>
      </w:r>
    </w:p>
    <w:p w14:paraId="71B77F39">
      <w:pPr>
        <w:spacing w:line="360" w:lineRule="auto"/>
        <w:rPr>
          <w:rFonts w:ascii="宋体" w:hAnsi="宋体" w:eastAsia="宋体"/>
          <w:sz w:val="28"/>
          <w:szCs w:val="28"/>
          <w:highlight w:val="none"/>
        </w:rPr>
      </w:pPr>
      <w:r>
        <w:rPr>
          <w:rFonts w:ascii="宋体" w:hAnsi="宋体" w:eastAsia="宋体"/>
          <w:sz w:val="28"/>
          <w:szCs w:val="28"/>
          <w:highlight w:val="none"/>
        </w:rPr>
        <w:t>6.</w:t>
      </w:r>
      <w:r>
        <w:rPr>
          <w:rFonts w:hint="eastAsia" w:ascii="宋体" w:hAnsi="宋体" w:eastAsia="宋体"/>
          <w:sz w:val="28"/>
          <w:szCs w:val="28"/>
          <w:highlight w:val="none"/>
        </w:rPr>
        <w:t>订货时间、</w:t>
      </w:r>
      <w:r>
        <w:rPr>
          <w:rFonts w:ascii="宋体" w:hAnsi="宋体" w:eastAsia="宋体"/>
          <w:sz w:val="28"/>
          <w:szCs w:val="28"/>
          <w:highlight w:val="none"/>
        </w:rPr>
        <w:t>完成期、交货方式及交货地点</w:t>
      </w:r>
    </w:p>
    <w:p w14:paraId="191441D9">
      <w:pPr>
        <w:spacing w:line="360" w:lineRule="auto"/>
        <w:ind w:firstLine="560" w:firstLineChars="200"/>
        <w:rPr>
          <w:rFonts w:ascii="宋体" w:hAnsi="宋体" w:eastAsia="宋体"/>
          <w:sz w:val="28"/>
          <w:szCs w:val="28"/>
          <w:highlight w:val="none"/>
        </w:rPr>
      </w:pPr>
      <w:r>
        <w:rPr>
          <w:rFonts w:hint="eastAsia" w:ascii="宋体" w:hAnsi="宋体" w:eastAsia="宋体"/>
          <w:sz w:val="28"/>
          <w:szCs w:val="28"/>
          <w:highlight w:val="none"/>
        </w:rPr>
        <w:t>1）.订货时间：</w:t>
      </w:r>
      <w:r>
        <w:rPr>
          <w:rFonts w:hint="eastAsia" w:ascii="宋体" w:hAnsi="宋体" w:eastAsia="宋体"/>
          <w:sz w:val="28"/>
          <w:szCs w:val="28"/>
          <w:highlight w:val="none"/>
          <w:u w:val="single"/>
        </w:rPr>
        <w:t xml:space="preserve"> </w:t>
      </w:r>
      <w:r>
        <w:rPr>
          <w:rFonts w:ascii="宋体" w:hAnsi="宋体" w:eastAsia="宋体"/>
          <w:sz w:val="28"/>
          <w:szCs w:val="28"/>
          <w:highlight w:val="none"/>
          <w:u w:val="single"/>
        </w:rPr>
        <w:t xml:space="preserve">   </w:t>
      </w:r>
      <w:r>
        <w:rPr>
          <w:rFonts w:hint="eastAsia" w:ascii="宋体" w:hAnsi="宋体" w:eastAsia="宋体"/>
          <w:sz w:val="28"/>
          <w:szCs w:val="28"/>
          <w:highlight w:val="none"/>
        </w:rPr>
        <w:t>日历天</w:t>
      </w:r>
      <w:r>
        <w:rPr>
          <w:rFonts w:ascii="宋体" w:hAnsi="宋体" w:eastAsia="宋体"/>
          <w:sz w:val="28"/>
          <w:szCs w:val="28"/>
          <w:highlight w:val="none"/>
        </w:rPr>
        <w:t xml:space="preserve"> </w:t>
      </w:r>
      <w:r>
        <w:rPr>
          <w:rFonts w:hint="eastAsia" w:ascii="宋体" w:hAnsi="宋体" w:eastAsia="宋体"/>
          <w:sz w:val="28"/>
          <w:szCs w:val="28"/>
          <w:highlight w:val="none"/>
        </w:rPr>
        <w:t>。</w:t>
      </w:r>
    </w:p>
    <w:p w14:paraId="2868BD25">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2</w:t>
      </w:r>
      <w:r>
        <w:rPr>
          <w:rFonts w:hint="eastAsia" w:ascii="宋体" w:hAnsi="宋体" w:eastAsia="宋体"/>
          <w:sz w:val="28"/>
          <w:szCs w:val="28"/>
          <w:highlight w:val="none"/>
        </w:rPr>
        <w:t>）.</w:t>
      </w:r>
      <w:r>
        <w:rPr>
          <w:rFonts w:ascii="宋体" w:hAnsi="宋体" w:eastAsia="宋体"/>
          <w:sz w:val="28"/>
          <w:szCs w:val="28"/>
          <w:highlight w:val="none"/>
        </w:rPr>
        <w:t>完成期：电梯进场之日起</w:t>
      </w:r>
      <w:r>
        <w:rPr>
          <w:rFonts w:ascii="宋体" w:hAnsi="宋体" w:eastAsia="宋体"/>
          <w:sz w:val="28"/>
          <w:szCs w:val="28"/>
          <w:highlight w:val="none"/>
          <w:u w:val="single"/>
        </w:rPr>
        <w:t xml:space="preserve">    </w:t>
      </w:r>
      <w:r>
        <w:rPr>
          <w:rFonts w:ascii="宋体" w:hAnsi="宋体" w:eastAsia="宋体"/>
          <w:sz w:val="28"/>
          <w:szCs w:val="28"/>
          <w:highlight w:val="none"/>
        </w:rPr>
        <w:t>日历天内完成安装及井道收边工作并通过特种设备检验机构监督检验合格并取得电梯使用证、交付使用。</w:t>
      </w:r>
    </w:p>
    <w:p w14:paraId="57A6BCD5">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3</w:t>
      </w:r>
      <w:r>
        <w:rPr>
          <w:rFonts w:hint="eastAsia" w:ascii="宋体" w:hAnsi="宋体" w:eastAsia="宋体"/>
          <w:sz w:val="28"/>
          <w:szCs w:val="28"/>
          <w:highlight w:val="none"/>
        </w:rPr>
        <w:t>）.</w:t>
      </w:r>
      <w:r>
        <w:rPr>
          <w:rFonts w:ascii="宋体" w:hAnsi="宋体" w:eastAsia="宋体"/>
          <w:sz w:val="28"/>
          <w:szCs w:val="28"/>
          <w:highlight w:val="none"/>
        </w:rPr>
        <w:t>交货方式：货到地盘、代办运输。</w:t>
      </w:r>
    </w:p>
    <w:p w14:paraId="33702A90">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4</w:t>
      </w:r>
      <w:r>
        <w:rPr>
          <w:rFonts w:hint="eastAsia" w:ascii="宋体" w:hAnsi="宋体" w:eastAsia="宋体"/>
          <w:sz w:val="28"/>
          <w:szCs w:val="28"/>
          <w:highlight w:val="none"/>
        </w:rPr>
        <w:t>）.</w:t>
      </w:r>
      <w:r>
        <w:rPr>
          <w:rFonts w:ascii="宋体" w:hAnsi="宋体" w:eastAsia="宋体"/>
          <w:sz w:val="28"/>
          <w:szCs w:val="28"/>
          <w:highlight w:val="none"/>
        </w:rPr>
        <w:t>交货地点：广东省广州市</w:t>
      </w:r>
      <w:r>
        <w:rPr>
          <w:rFonts w:hint="eastAsia" w:ascii="宋体" w:hAnsi="宋体" w:eastAsia="宋体"/>
          <w:sz w:val="28"/>
          <w:szCs w:val="28"/>
          <w:highlight w:val="none"/>
        </w:rPr>
        <w:t>越秀区流花路1</w:t>
      </w:r>
      <w:r>
        <w:rPr>
          <w:rFonts w:ascii="宋体" w:hAnsi="宋体" w:eastAsia="宋体"/>
          <w:sz w:val="28"/>
          <w:szCs w:val="28"/>
          <w:highlight w:val="none"/>
        </w:rPr>
        <w:t>22</w:t>
      </w:r>
      <w:r>
        <w:rPr>
          <w:rFonts w:hint="eastAsia" w:ascii="宋体" w:hAnsi="宋体" w:eastAsia="宋体"/>
          <w:sz w:val="28"/>
          <w:szCs w:val="28"/>
          <w:highlight w:val="none"/>
        </w:rPr>
        <w:t>号</w:t>
      </w:r>
    </w:p>
    <w:p w14:paraId="4A6DC52D">
      <w:pPr>
        <w:spacing w:line="360" w:lineRule="auto"/>
        <w:rPr>
          <w:rFonts w:ascii="宋体" w:hAnsi="宋体" w:eastAsia="宋体"/>
          <w:sz w:val="28"/>
          <w:szCs w:val="28"/>
          <w:highlight w:val="none"/>
        </w:rPr>
      </w:pPr>
      <w:r>
        <w:rPr>
          <w:rFonts w:ascii="宋体" w:hAnsi="宋体" w:eastAsia="宋体"/>
          <w:sz w:val="28"/>
          <w:szCs w:val="28"/>
          <w:highlight w:val="none"/>
        </w:rPr>
        <w:t>7.质保期及售后服务要求</w:t>
      </w:r>
    </w:p>
    <w:p w14:paraId="3B7EF339">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1</w:t>
      </w:r>
      <w:r>
        <w:rPr>
          <w:rFonts w:hint="eastAsia" w:ascii="宋体" w:hAnsi="宋体" w:eastAsia="宋体"/>
          <w:sz w:val="28"/>
          <w:szCs w:val="28"/>
          <w:highlight w:val="none"/>
        </w:rPr>
        <w:t>）.</w:t>
      </w:r>
      <w:r>
        <w:rPr>
          <w:rFonts w:ascii="宋体" w:hAnsi="宋体" w:eastAsia="宋体"/>
          <w:sz w:val="28"/>
          <w:szCs w:val="28"/>
          <w:highlight w:val="none"/>
        </w:rPr>
        <w:t>本合同的质量保证期（简称“质保期”）为两年，质保期自货物最终验收合格之日起算，质保期内乙方对所供货物实行包修、包换、包退、包维护保养，期满后可同时提供终身 (免费/有偿) 维修保养服务。</w:t>
      </w:r>
    </w:p>
    <w:p w14:paraId="37B536EA">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2</w:t>
      </w:r>
      <w:r>
        <w:rPr>
          <w:rFonts w:hint="eastAsia" w:ascii="宋体" w:hAnsi="宋体" w:eastAsia="宋体"/>
          <w:sz w:val="28"/>
          <w:szCs w:val="28"/>
          <w:highlight w:val="none"/>
        </w:rPr>
        <w:t>）.</w:t>
      </w:r>
      <w:r>
        <w:rPr>
          <w:rFonts w:ascii="宋体" w:hAnsi="宋体" w:eastAsia="宋体"/>
          <w:sz w:val="28"/>
          <w:szCs w:val="28"/>
          <w:highlight w:val="none"/>
        </w:rPr>
        <w:t>质保期内，如设备或零部件因非人为因素出现故障而造成短期停用时，则质保期和免费维修期相应顺延。如停用时间累计超过60天则质保期重新计算。</w:t>
      </w:r>
    </w:p>
    <w:p w14:paraId="49E57B17">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3</w:t>
      </w:r>
      <w:r>
        <w:rPr>
          <w:rFonts w:hint="eastAsia" w:ascii="宋体" w:hAnsi="宋体" w:eastAsia="宋体"/>
          <w:sz w:val="28"/>
          <w:szCs w:val="28"/>
          <w:highlight w:val="none"/>
        </w:rPr>
        <w:t>）.</w:t>
      </w:r>
      <w:r>
        <w:rPr>
          <w:rFonts w:ascii="宋体" w:hAnsi="宋体" w:eastAsia="宋体"/>
          <w:sz w:val="28"/>
          <w:szCs w:val="28"/>
          <w:highlight w:val="none"/>
        </w:rPr>
        <w:t>对甲方的服务通知，乙方在接报后1小时内响应，4小时内到达现场，48小时内处理完毕。若在48小时内仍未能有效解决，乙方须免费提供同档次的设备予甲方临时使用。</w:t>
      </w:r>
    </w:p>
    <w:p w14:paraId="296DBE73">
      <w:pPr>
        <w:spacing w:line="360" w:lineRule="auto"/>
        <w:rPr>
          <w:rFonts w:ascii="宋体" w:hAnsi="宋体" w:eastAsia="宋体"/>
          <w:sz w:val="28"/>
          <w:szCs w:val="28"/>
          <w:highlight w:val="none"/>
        </w:rPr>
      </w:pPr>
      <w:r>
        <w:rPr>
          <w:rFonts w:ascii="宋体" w:hAnsi="宋体" w:eastAsia="宋体"/>
          <w:sz w:val="28"/>
          <w:szCs w:val="28"/>
          <w:highlight w:val="none"/>
        </w:rPr>
        <w:t>8.安装与调试</w:t>
      </w:r>
    </w:p>
    <w:p w14:paraId="3DFFB198">
      <w:pPr>
        <w:spacing w:line="360" w:lineRule="auto"/>
        <w:ind w:firstLine="560" w:firstLineChars="200"/>
        <w:rPr>
          <w:rFonts w:ascii="宋体" w:hAnsi="宋体" w:eastAsia="宋体"/>
          <w:sz w:val="28"/>
          <w:szCs w:val="28"/>
          <w:highlight w:val="none"/>
        </w:rPr>
      </w:pPr>
      <w:r>
        <w:rPr>
          <w:rFonts w:hint="eastAsia" w:ascii="宋体" w:hAnsi="宋体" w:eastAsia="宋体"/>
          <w:sz w:val="28"/>
          <w:szCs w:val="28"/>
          <w:highlight w:val="none"/>
        </w:rPr>
        <w:t>乙方必须依照招标文件的要求和投标文件的承诺，将设备、系统安装并调试至正常运行的最佳状态。</w:t>
      </w:r>
    </w:p>
    <w:p w14:paraId="48983460">
      <w:pPr>
        <w:spacing w:line="360" w:lineRule="auto"/>
        <w:rPr>
          <w:rFonts w:ascii="宋体" w:hAnsi="宋体" w:eastAsia="宋体"/>
          <w:sz w:val="28"/>
          <w:szCs w:val="28"/>
          <w:highlight w:val="none"/>
        </w:rPr>
      </w:pPr>
      <w:r>
        <w:rPr>
          <w:rFonts w:ascii="宋体" w:hAnsi="宋体" w:eastAsia="宋体"/>
          <w:sz w:val="28"/>
          <w:szCs w:val="28"/>
          <w:highlight w:val="none"/>
        </w:rPr>
        <w:t>9.验收</w:t>
      </w:r>
    </w:p>
    <w:p w14:paraId="0C3801BA">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1</w:t>
      </w:r>
      <w:r>
        <w:rPr>
          <w:rFonts w:hint="eastAsia" w:ascii="宋体" w:hAnsi="宋体" w:eastAsia="宋体"/>
          <w:sz w:val="28"/>
          <w:szCs w:val="28"/>
          <w:highlight w:val="none"/>
        </w:rPr>
        <w:t>）.</w:t>
      </w:r>
      <w:r>
        <w:rPr>
          <w:rFonts w:hint="eastAsia"/>
          <w:highlight w:val="none"/>
        </w:rPr>
        <w:t xml:space="preserve"> </w:t>
      </w:r>
      <w:r>
        <w:rPr>
          <w:rFonts w:hint="eastAsia" w:ascii="宋体" w:hAnsi="宋体" w:eastAsia="宋体"/>
          <w:sz w:val="28"/>
          <w:szCs w:val="28"/>
          <w:highlight w:val="none"/>
        </w:rPr>
        <w:t>乙方必须按照甲方的工程量清单及方案进行施工，工程要求的质量等级为合格并符合国家质量验收标准，满足当地相关部门验收的要求，向甲方提供完整电梯资料及验收报告。</w:t>
      </w:r>
      <w:r>
        <w:rPr>
          <w:rFonts w:ascii="宋体" w:hAnsi="宋体" w:eastAsia="宋体"/>
          <w:sz w:val="28"/>
          <w:szCs w:val="28"/>
          <w:highlight w:val="none"/>
        </w:rPr>
        <w:t xml:space="preserve"> </w:t>
      </w:r>
    </w:p>
    <w:p w14:paraId="39950F1F">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2</w:t>
      </w:r>
      <w:r>
        <w:rPr>
          <w:rFonts w:hint="eastAsia" w:ascii="宋体" w:hAnsi="宋体" w:eastAsia="宋体"/>
          <w:sz w:val="28"/>
          <w:szCs w:val="28"/>
          <w:highlight w:val="none"/>
        </w:rPr>
        <w:t>）.</w:t>
      </w:r>
      <w:r>
        <w:rPr>
          <w:rFonts w:hint="eastAsia"/>
          <w:highlight w:val="none"/>
        </w:rPr>
        <w:t xml:space="preserve"> </w:t>
      </w:r>
      <w:r>
        <w:rPr>
          <w:rFonts w:hint="eastAsia" w:ascii="宋体" w:hAnsi="宋体" w:eastAsia="宋体"/>
          <w:sz w:val="28"/>
          <w:szCs w:val="28"/>
          <w:highlight w:val="none"/>
        </w:rPr>
        <w:t>甲方收到电梯验收报告后</w:t>
      </w:r>
      <w:r>
        <w:rPr>
          <w:rFonts w:ascii="宋体" w:hAnsi="宋体" w:eastAsia="宋体"/>
          <w:sz w:val="28"/>
          <w:szCs w:val="28"/>
          <w:highlight w:val="none"/>
        </w:rPr>
        <w:t>5天内组织相关人员进行验收。</w:t>
      </w:r>
    </w:p>
    <w:p w14:paraId="3AA82B0A">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3</w:t>
      </w:r>
      <w:r>
        <w:rPr>
          <w:rFonts w:hint="eastAsia" w:ascii="宋体" w:hAnsi="宋体" w:eastAsia="宋体"/>
          <w:sz w:val="28"/>
          <w:szCs w:val="28"/>
          <w:highlight w:val="none"/>
        </w:rPr>
        <w:t>）.</w:t>
      </w:r>
      <w:r>
        <w:rPr>
          <w:rFonts w:hint="eastAsia"/>
          <w:highlight w:val="none"/>
        </w:rPr>
        <w:t xml:space="preserve"> </w:t>
      </w:r>
      <w:r>
        <w:rPr>
          <w:rFonts w:hint="eastAsia" w:ascii="宋体" w:hAnsi="宋体" w:eastAsia="宋体"/>
          <w:sz w:val="28"/>
          <w:szCs w:val="28"/>
          <w:highlight w:val="none"/>
        </w:rPr>
        <w:t>检查出的缺陷乙方要及时整改，并承担自身原因造成的整改费用</w:t>
      </w:r>
      <w:r>
        <w:rPr>
          <w:rFonts w:ascii="宋体" w:hAnsi="宋体" w:eastAsia="宋体"/>
          <w:sz w:val="28"/>
          <w:szCs w:val="28"/>
          <w:highlight w:val="none"/>
        </w:rPr>
        <w:t>。</w:t>
      </w:r>
    </w:p>
    <w:p w14:paraId="755AC7B5">
      <w:pPr>
        <w:spacing w:line="360" w:lineRule="auto"/>
        <w:ind w:firstLine="560" w:firstLineChars="200"/>
        <w:rPr>
          <w:rFonts w:ascii="宋体" w:hAnsi="宋体" w:eastAsia="宋体"/>
          <w:sz w:val="28"/>
          <w:szCs w:val="28"/>
          <w:highlight w:val="none"/>
        </w:rPr>
      </w:pPr>
      <w:r>
        <w:rPr>
          <w:rFonts w:ascii="宋体" w:hAnsi="宋体" w:eastAsia="宋体"/>
          <w:sz w:val="28"/>
          <w:szCs w:val="28"/>
          <w:highlight w:val="none"/>
        </w:rPr>
        <w:t>4</w:t>
      </w:r>
      <w:r>
        <w:rPr>
          <w:rFonts w:hint="eastAsia" w:ascii="宋体" w:hAnsi="宋体" w:eastAsia="宋体"/>
          <w:sz w:val="28"/>
          <w:szCs w:val="28"/>
          <w:highlight w:val="none"/>
        </w:rPr>
        <w:t>）.</w:t>
      </w:r>
      <w:r>
        <w:rPr>
          <w:rFonts w:hint="eastAsia"/>
          <w:highlight w:val="none"/>
        </w:rPr>
        <w:t xml:space="preserve"> </w:t>
      </w:r>
      <w:r>
        <w:rPr>
          <w:rFonts w:hint="eastAsia" w:ascii="宋体" w:hAnsi="宋体" w:eastAsia="宋体"/>
          <w:sz w:val="28"/>
          <w:szCs w:val="28"/>
          <w:highlight w:val="none"/>
        </w:rPr>
        <w:t>电梯客户验收通过，实际验收日期为乙方对缺陷整改后达到甲方要求，双方签字确认日期为验收日期，包含在工期内</w:t>
      </w:r>
      <w:r>
        <w:rPr>
          <w:rFonts w:ascii="宋体" w:hAnsi="宋体" w:eastAsia="宋体"/>
          <w:sz w:val="28"/>
          <w:szCs w:val="28"/>
          <w:highlight w:val="none"/>
        </w:rPr>
        <w:t>。</w:t>
      </w:r>
    </w:p>
    <w:p w14:paraId="186A6D0B">
      <w:pPr>
        <w:spacing w:line="360" w:lineRule="auto"/>
        <w:rPr>
          <w:rFonts w:ascii="宋体" w:hAnsi="宋体" w:eastAsia="宋体"/>
          <w:sz w:val="28"/>
          <w:szCs w:val="28"/>
          <w:highlight w:val="none"/>
        </w:rPr>
      </w:pPr>
      <w:r>
        <w:rPr>
          <w:rFonts w:ascii="宋体" w:hAnsi="宋体" w:eastAsia="宋体"/>
          <w:sz w:val="28"/>
          <w:szCs w:val="28"/>
          <w:highlight w:val="none"/>
        </w:rPr>
        <w:t>10</w:t>
      </w:r>
      <w:r>
        <w:rPr>
          <w:rFonts w:hint="eastAsia" w:ascii="宋体" w:hAnsi="宋体" w:eastAsia="宋体"/>
          <w:sz w:val="28"/>
          <w:szCs w:val="28"/>
          <w:highlight w:val="none"/>
        </w:rPr>
        <w:t>.违约责任：</w:t>
      </w:r>
    </w:p>
    <w:p w14:paraId="5A4CF1A6">
      <w:pPr>
        <w:spacing w:line="360" w:lineRule="auto"/>
        <w:ind w:firstLine="560" w:firstLineChars="200"/>
        <w:rPr>
          <w:rFonts w:ascii="宋体" w:hAnsi="宋体" w:eastAsia="宋体"/>
          <w:sz w:val="28"/>
          <w:szCs w:val="28"/>
          <w:highlight w:val="none"/>
        </w:rPr>
      </w:pPr>
      <w:r>
        <w:rPr>
          <w:rFonts w:hint="eastAsia" w:ascii="宋体" w:hAnsi="宋体" w:eastAsia="宋体"/>
          <w:sz w:val="28"/>
          <w:szCs w:val="28"/>
          <w:highlight w:val="none"/>
        </w:rPr>
        <w:t>1).任何一方违约，均按《民法典》的有关规定，承担违约责任；违约方向守约方赔偿损失。</w:t>
      </w:r>
    </w:p>
    <w:p w14:paraId="1C729A3C">
      <w:pPr>
        <w:spacing w:line="360" w:lineRule="auto"/>
        <w:ind w:firstLine="560" w:firstLineChars="200"/>
        <w:rPr>
          <w:rFonts w:ascii="宋体" w:hAnsi="宋体" w:eastAsia="宋体"/>
          <w:sz w:val="28"/>
          <w:szCs w:val="28"/>
          <w:highlight w:val="none"/>
        </w:rPr>
      </w:pPr>
      <w:r>
        <w:rPr>
          <w:rFonts w:hint="eastAsia" w:ascii="宋体" w:hAnsi="宋体" w:eastAsia="宋体"/>
          <w:sz w:val="28"/>
          <w:szCs w:val="28"/>
          <w:highlight w:val="none"/>
        </w:rPr>
        <w:t>2).由于乙方的原因逾期完成项目或交付的成果不符合甲方要求的或其他导致项目延误的，逾期十天后，则本项目每延误一天，乙方按日向甲方支付合同含税总价1‰的违约金，最多不超过合同含税总价的1</w:t>
      </w:r>
      <w:r>
        <w:rPr>
          <w:rFonts w:ascii="宋体" w:hAnsi="宋体" w:eastAsia="宋体"/>
          <w:sz w:val="28"/>
          <w:szCs w:val="28"/>
          <w:highlight w:val="none"/>
        </w:rPr>
        <w:t>0</w:t>
      </w:r>
      <w:r>
        <w:rPr>
          <w:rFonts w:hint="eastAsia" w:ascii="宋体" w:hAnsi="宋体" w:eastAsia="宋体"/>
          <w:sz w:val="28"/>
          <w:szCs w:val="28"/>
          <w:highlight w:val="none"/>
        </w:rPr>
        <w:t>%。如逾期超过</w:t>
      </w:r>
      <w:r>
        <w:rPr>
          <w:rFonts w:ascii="宋体" w:hAnsi="宋体" w:eastAsia="宋体"/>
          <w:sz w:val="28"/>
          <w:szCs w:val="28"/>
          <w:highlight w:val="none"/>
        </w:rPr>
        <w:t>30</w:t>
      </w:r>
      <w:r>
        <w:rPr>
          <w:rFonts w:hint="eastAsia" w:ascii="宋体" w:hAnsi="宋体" w:eastAsia="宋体"/>
          <w:sz w:val="28"/>
          <w:szCs w:val="28"/>
          <w:highlight w:val="none"/>
        </w:rPr>
        <w:t>日的，甲方有权解除合同，乙方除向甲方支付违约金外，还应赔偿甲方因此遭受的损失。</w:t>
      </w:r>
    </w:p>
    <w:p w14:paraId="1DB4007B">
      <w:pPr>
        <w:spacing w:line="360" w:lineRule="auto"/>
        <w:ind w:firstLine="560" w:firstLineChars="200"/>
        <w:rPr>
          <w:rFonts w:ascii="宋体" w:hAnsi="宋体" w:eastAsia="宋体"/>
          <w:sz w:val="28"/>
          <w:szCs w:val="28"/>
          <w:highlight w:val="none"/>
        </w:rPr>
      </w:pPr>
      <w:r>
        <w:rPr>
          <w:rFonts w:hint="eastAsia" w:ascii="宋体" w:hAnsi="宋体" w:eastAsia="宋体"/>
          <w:sz w:val="28"/>
          <w:szCs w:val="28"/>
          <w:highlight w:val="none"/>
        </w:rPr>
        <w:t>3).甲方不按期支付项目款，从逾期第7天起计，每天按全国银行间同业拆借中心公布的贷款市场报价利率向乙方支付违约金，货期顺延。</w:t>
      </w:r>
    </w:p>
    <w:p w14:paraId="35126C0F">
      <w:pPr>
        <w:spacing w:line="360" w:lineRule="auto"/>
        <w:ind w:left="210" w:leftChars="100" w:firstLine="280" w:firstLineChars="100"/>
        <w:rPr>
          <w:rFonts w:ascii="宋体" w:hAnsi="宋体" w:eastAsia="宋体"/>
          <w:sz w:val="28"/>
          <w:szCs w:val="28"/>
          <w:highlight w:val="none"/>
        </w:rPr>
      </w:pPr>
      <w:r>
        <w:rPr>
          <w:rFonts w:ascii="宋体" w:hAnsi="宋体" w:eastAsia="宋体"/>
          <w:sz w:val="28"/>
          <w:szCs w:val="28"/>
          <w:highlight w:val="none"/>
        </w:rPr>
        <w:t>4</w:t>
      </w:r>
      <w:r>
        <w:rPr>
          <w:rFonts w:hint="eastAsia" w:ascii="宋体" w:hAnsi="宋体" w:eastAsia="宋体"/>
          <w:sz w:val="28"/>
          <w:szCs w:val="28"/>
          <w:highlight w:val="none"/>
        </w:rPr>
        <w:t>）.</w:t>
      </w:r>
      <w:r>
        <w:rPr>
          <w:rFonts w:ascii="宋体" w:hAnsi="宋体" w:eastAsia="宋体"/>
          <w:sz w:val="28"/>
          <w:szCs w:val="28"/>
          <w:highlight w:val="none"/>
        </w:rPr>
        <w:t>其它违约责任按《中华人民共和国民法典》处理。</w:t>
      </w:r>
    </w:p>
    <w:p w14:paraId="0F36499C">
      <w:pPr>
        <w:spacing w:line="360" w:lineRule="auto"/>
        <w:ind w:left="540" w:hanging="540"/>
        <w:rPr>
          <w:rFonts w:ascii="宋体" w:hAnsi="宋体" w:eastAsia="宋体"/>
          <w:sz w:val="28"/>
          <w:szCs w:val="28"/>
          <w:highlight w:val="none"/>
        </w:rPr>
      </w:pPr>
      <w:r>
        <w:rPr>
          <w:rFonts w:ascii="宋体" w:hAnsi="宋体" w:eastAsia="宋体"/>
          <w:sz w:val="28"/>
          <w:szCs w:val="28"/>
          <w:highlight w:val="none"/>
        </w:rPr>
        <w:t>11</w:t>
      </w:r>
      <w:r>
        <w:rPr>
          <w:rFonts w:hint="eastAsia" w:ascii="宋体" w:hAnsi="宋体" w:eastAsia="宋体"/>
          <w:sz w:val="28"/>
          <w:szCs w:val="28"/>
          <w:highlight w:val="none"/>
        </w:rPr>
        <w:t>.保密</w:t>
      </w:r>
    </w:p>
    <w:p w14:paraId="643746E0">
      <w:pPr>
        <w:spacing w:line="360" w:lineRule="auto"/>
        <w:ind w:left="210" w:leftChars="100" w:firstLine="560" w:firstLineChars="200"/>
        <w:rPr>
          <w:rFonts w:ascii="宋体" w:hAnsi="宋体" w:eastAsia="宋体"/>
          <w:sz w:val="28"/>
          <w:szCs w:val="28"/>
          <w:highlight w:val="none"/>
        </w:rPr>
      </w:pPr>
      <w:r>
        <w:rPr>
          <w:rFonts w:hint="eastAsia" w:ascii="宋体" w:hAnsi="宋体" w:eastAsia="宋体"/>
          <w:sz w:val="28"/>
          <w:szCs w:val="28"/>
          <w:highlight w:val="none"/>
        </w:rPr>
        <w:t>项目中所涉及的双方的内部资料、数据及其他商业信息，未经对方许可，任何一方不得以任何形式用于本合同之外的目的，不得以任何形式向第三方透露。任何一方泄露的，相关方有权追究泄露方的经济和法律责任。</w:t>
      </w:r>
    </w:p>
    <w:p w14:paraId="3E01BF4A">
      <w:pPr>
        <w:spacing w:line="360" w:lineRule="auto"/>
        <w:ind w:left="540" w:hanging="540"/>
        <w:rPr>
          <w:rFonts w:ascii="宋体" w:hAnsi="宋体" w:eastAsia="宋体"/>
          <w:sz w:val="28"/>
          <w:szCs w:val="28"/>
          <w:highlight w:val="none"/>
        </w:rPr>
      </w:pPr>
      <w:r>
        <w:rPr>
          <w:rFonts w:ascii="宋体" w:hAnsi="宋体" w:eastAsia="宋体"/>
          <w:sz w:val="28"/>
          <w:szCs w:val="28"/>
          <w:highlight w:val="none"/>
        </w:rPr>
        <w:t>12</w:t>
      </w:r>
      <w:r>
        <w:rPr>
          <w:rFonts w:hint="eastAsia" w:ascii="宋体" w:hAnsi="宋体" w:eastAsia="宋体"/>
          <w:sz w:val="28"/>
          <w:szCs w:val="28"/>
          <w:highlight w:val="none"/>
        </w:rPr>
        <w:t>.争议解决方式：双方如有争议，经协商无法解决时，任何一方可向甲方所在地有管辖权的人民法院提起诉讼。</w:t>
      </w:r>
    </w:p>
    <w:p w14:paraId="7304ABF7">
      <w:pPr>
        <w:spacing w:line="360" w:lineRule="auto"/>
        <w:ind w:left="540" w:hanging="540"/>
        <w:rPr>
          <w:rFonts w:ascii="宋体" w:hAnsi="宋体" w:eastAsia="宋体"/>
          <w:sz w:val="28"/>
          <w:szCs w:val="28"/>
          <w:highlight w:val="none"/>
        </w:rPr>
      </w:pPr>
      <w:r>
        <w:rPr>
          <w:rFonts w:ascii="宋体" w:hAnsi="宋体" w:eastAsia="宋体"/>
          <w:sz w:val="28"/>
          <w:szCs w:val="28"/>
          <w:highlight w:val="none"/>
        </w:rPr>
        <w:t>13</w:t>
      </w:r>
      <w:r>
        <w:rPr>
          <w:rFonts w:hint="eastAsia" w:ascii="宋体" w:hAnsi="宋体" w:eastAsia="宋体"/>
          <w:sz w:val="28"/>
          <w:szCs w:val="28"/>
          <w:highlight w:val="none"/>
        </w:rPr>
        <w:t>.本合同连同肆份附件共同组成，一式肆份，双方各执贰份，并自双方签字并盖章后立即生效。</w:t>
      </w:r>
    </w:p>
    <w:p w14:paraId="50C5F0AF">
      <w:pPr>
        <w:spacing w:line="360" w:lineRule="auto"/>
        <w:rPr>
          <w:rFonts w:ascii="宋体" w:hAnsi="宋体" w:eastAsia="宋体"/>
          <w:sz w:val="28"/>
          <w:szCs w:val="28"/>
          <w:highlight w:val="none"/>
        </w:rPr>
      </w:pPr>
      <w:r>
        <w:rPr>
          <w:rFonts w:hint="eastAsia" w:ascii="宋体" w:hAnsi="宋体" w:eastAsia="宋体"/>
          <w:sz w:val="28"/>
          <w:szCs w:val="28"/>
          <w:highlight w:val="none"/>
        </w:rPr>
        <w:t>1</w:t>
      </w:r>
      <w:r>
        <w:rPr>
          <w:rFonts w:ascii="宋体" w:hAnsi="宋体" w:eastAsia="宋体"/>
          <w:sz w:val="28"/>
          <w:szCs w:val="28"/>
          <w:highlight w:val="none"/>
        </w:rPr>
        <w:t>4</w:t>
      </w:r>
      <w:r>
        <w:rPr>
          <w:rFonts w:hint="eastAsia" w:ascii="宋体" w:hAnsi="宋体" w:eastAsia="宋体"/>
          <w:sz w:val="28"/>
          <w:szCs w:val="28"/>
          <w:highlight w:val="none"/>
        </w:rPr>
        <w:t>.合同附件：</w:t>
      </w:r>
    </w:p>
    <w:p w14:paraId="571993DF">
      <w:pPr>
        <w:spacing w:line="360" w:lineRule="auto"/>
        <w:rPr>
          <w:rFonts w:ascii="宋体" w:hAnsi="宋体" w:eastAsia="宋体"/>
          <w:sz w:val="28"/>
          <w:szCs w:val="28"/>
          <w:highlight w:val="none"/>
        </w:rPr>
      </w:pPr>
      <w:r>
        <w:rPr>
          <w:rFonts w:hint="eastAsia" w:ascii="宋体" w:hAnsi="宋体" w:eastAsia="宋体"/>
          <w:sz w:val="28"/>
          <w:szCs w:val="28"/>
          <w:highlight w:val="none"/>
        </w:rPr>
        <w:t xml:space="preserve">   1、《</w:t>
      </w:r>
      <w:r>
        <w:rPr>
          <w:rFonts w:hint="eastAsia" w:ascii="宋体" w:hAnsi="宋体" w:eastAsia="宋体"/>
          <w:sz w:val="28"/>
          <w:szCs w:val="28"/>
          <w:highlight w:val="none"/>
          <w:lang w:eastAsia="zh-CN"/>
        </w:rPr>
        <w:t>中国大酒店部分客用电梯及相关配套更新</w:t>
      </w:r>
      <w:r>
        <w:rPr>
          <w:rFonts w:hint="eastAsia" w:ascii="宋体" w:hAnsi="宋体" w:eastAsia="宋体"/>
          <w:sz w:val="28"/>
          <w:szCs w:val="28"/>
          <w:highlight w:val="none"/>
        </w:rPr>
        <w:t>报价清单》（由投标文件生成）</w:t>
      </w:r>
    </w:p>
    <w:p w14:paraId="1BB42F79">
      <w:pPr>
        <w:spacing w:line="360" w:lineRule="auto"/>
        <w:rPr>
          <w:rFonts w:ascii="宋体" w:hAnsi="宋体" w:eastAsia="宋体"/>
          <w:sz w:val="28"/>
          <w:szCs w:val="28"/>
          <w:highlight w:val="none"/>
        </w:rPr>
      </w:pPr>
      <w:r>
        <w:rPr>
          <w:rFonts w:hint="eastAsia" w:ascii="宋体" w:hAnsi="宋体" w:eastAsia="宋体"/>
          <w:sz w:val="28"/>
          <w:szCs w:val="28"/>
          <w:highlight w:val="none"/>
        </w:rPr>
        <w:t xml:space="preserve">   2、《</w:t>
      </w:r>
      <w:r>
        <w:rPr>
          <w:rFonts w:hint="eastAsia" w:ascii="宋体" w:hAnsi="宋体" w:eastAsia="宋体"/>
          <w:sz w:val="28"/>
          <w:szCs w:val="28"/>
          <w:highlight w:val="none"/>
          <w:lang w:eastAsia="zh-CN"/>
        </w:rPr>
        <w:t>中国大酒店部分客用电梯及相关配套更新</w:t>
      </w:r>
      <w:r>
        <w:rPr>
          <w:rFonts w:hint="eastAsia" w:ascii="宋体" w:hAnsi="宋体" w:eastAsia="宋体"/>
          <w:sz w:val="28"/>
          <w:szCs w:val="28"/>
          <w:highlight w:val="none"/>
        </w:rPr>
        <w:t>廉洁协议书》</w:t>
      </w:r>
    </w:p>
    <w:p w14:paraId="3D9E6450">
      <w:pPr>
        <w:spacing w:line="360" w:lineRule="auto"/>
        <w:rPr>
          <w:rFonts w:ascii="宋体" w:hAnsi="宋体" w:eastAsia="宋体"/>
          <w:sz w:val="28"/>
          <w:szCs w:val="28"/>
          <w:highlight w:val="none"/>
        </w:rPr>
      </w:pPr>
      <w:r>
        <w:rPr>
          <w:rFonts w:hint="eastAsia" w:ascii="宋体" w:hAnsi="宋体" w:eastAsia="宋体"/>
          <w:sz w:val="28"/>
          <w:szCs w:val="28"/>
          <w:highlight w:val="none"/>
        </w:rPr>
        <w:t xml:space="preserve">   </w:t>
      </w:r>
      <w:r>
        <w:rPr>
          <w:rFonts w:ascii="宋体" w:hAnsi="宋体" w:eastAsia="宋体"/>
          <w:sz w:val="28"/>
          <w:szCs w:val="28"/>
          <w:highlight w:val="none"/>
        </w:rPr>
        <w:t>3</w:t>
      </w:r>
      <w:r>
        <w:rPr>
          <w:rFonts w:hint="eastAsia" w:ascii="宋体" w:hAnsi="宋体" w:eastAsia="宋体"/>
          <w:sz w:val="28"/>
          <w:szCs w:val="28"/>
          <w:highlight w:val="none"/>
        </w:rPr>
        <w:t>、《工程质量保修书》</w:t>
      </w:r>
    </w:p>
    <w:p w14:paraId="74DB4B82">
      <w:pPr>
        <w:spacing w:line="360" w:lineRule="auto"/>
        <w:rPr>
          <w:rFonts w:ascii="宋体" w:hAnsi="宋体" w:eastAsia="宋体"/>
          <w:sz w:val="28"/>
          <w:szCs w:val="28"/>
          <w:highlight w:val="none"/>
        </w:rPr>
      </w:pPr>
    </w:p>
    <w:p w14:paraId="7B058EAE">
      <w:pPr>
        <w:spacing w:line="360" w:lineRule="auto"/>
        <w:rPr>
          <w:rFonts w:ascii="宋体" w:hAnsi="宋体" w:eastAsia="宋体"/>
          <w:sz w:val="28"/>
          <w:szCs w:val="28"/>
          <w:highlight w:val="none"/>
        </w:rPr>
      </w:pPr>
    </w:p>
    <w:p w14:paraId="5FFD7584">
      <w:pPr>
        <w:spacing w:line="360" w:lineRule="auto"/>
        <w:rPr>
          <w:rFonts w:ascii="宋体" w:hAnsi="宋体" w:eastAsia="宋体"/>
          <w:sz w:val="28"/>
          <w:szCs w:val="28"/>
          <w:highlight w:val="none"/>
        </w:rPr>
      </w:pPr>
      <w:r>
        <w:rPr>
          <w:rFonts w:hint="eastAsia" w:ascii="宋体" w:hAnsi="宋体" w:eastAsia="宋体"/>
          <w:sz w:val="28"/>
          <w:szCs w:val="28"/>
          <w:highlight w:val="none"/>
        </w:rPr>
        <w:t>立合约方</w:t>
      </w:r>
    </w:p>
    <w:p w14:paraId="625AEB78">
      <w:pPr>
        <w:spacing w:line="360" w:lineRule="auto"/>
        <w:rPr>
          <w:rFonts w:ascii="宋体" w:hAnsi="宋体" w:eastAsia="宋体"/>
          <w:sz w:val="28"/>
          <w:szCs w:val="28"/>
          <w:highlight w:val="none"/>
        </w:rPr>
      </w:pPr>
      <w:r>
        <w:rPr>
          <w:rFonts w:hint="eastAsia" w:ascii="宋体" w:hAnsi="宋体" w:eastAsia="宋体"/>
          <w:sz w:val="28"/>
          <w:szCs w:val="28"/>
          <w:highlight w:val="none"/>
        </w:rPr>
        <w:t>甲方：中国大酒店                      乙方：</w:t>
      </w:r>
    </w:p>
    <w:p w14:paraId="1FD770BD">
      <w:pPr>
        <w:spacing w:line="360" w:lineRule="auto"/>
        <w:rPr>
          <w:rFonts w:ascii="宋体" w:hAnsi="宋体" w:eastAsia="宋体"/>
          <w:sz w:val="28"/>
          <w:szCs w:val="28"/>
          <w:highlight w:val="none"/>
        </w:rPr>
      </w:pPr>
      <w:r>
        <w:rPr>
          <w:rFonts w:hint="eastAsia" w:ascii="宋体" w:hAnsi="宋体" w:eastAsia="宋体"/>
          <w:sz w:val="28"/>
          <w:szCs w:val="28"/>
          <w:highlight w:val="none"/>
        </w:rPr>
        <w:t>签约人：                              签约人：</w:t>
      </w:r>
    </w:p>
    <w:p w14:paraId="30A06463">
      <w:pPr>
        <w:spacing w:line="360" w:lineRule="auto"/>
        <w:rPr>
          <w:rFonts w:ascii="宋体" w:hAnsi="宋体" w:eastAsia="宋体"/>
          <w:sz w:val="28"/>
          <w:szCs w:val="28"/>
          <w:highlight w:val="none"/>
        </w:rPr>
      </w:pPr>
      <w:r>
        <w:rPr>
          <w:rFonts w:hint="eastAsia" w:ascii="宋体" w:hAnsi="宋体" w:eastAsia="宋体"/>
          <w:sz w:val="28"/>
          <w:szCs w:val="28"/>
          <w:highlight w:val="none"/>
        </w:rPr>
        <w:t>日期：</w:t>
      </w:r>
      <w:bookmarkStart w:id="121" w:name="OLE_LINK52"/>
      <w:bookmarkStart w:id="122" w:name="OLE_LINK55"/>
      <w:bookmarkStart w:id="123" w:name="OLE_LINK51"/>
      <w:bookmarkStart w:id="124" w:name="OLE_LINK54"/>
      <w:bookmarkStart w:id="125" w:name="OLE_LINK50"/>
      <w:bookmarkStart w:id="126" w:name="OLE_LINK53"/>
      <w:r>
        <w:rPr>
          <w:rFonts w:hint="eastAsia" w:ascii="宋体" w:hAnsi="宋体" w:eastAsia="宋体"/>
          <w:sz w:val="28"/>
          <w:szCs w:val="28"/>
          <w:highlight w:val="none"/>
        </w:rPr>
        <w:t xml:space="preserve">2025年  月  日                  </w:t>
      </w:r>
      <w:bookmarkEnd w:id="121"/>
      <w:bookmarkEnd w:id="122"/>
      <w:bookmarkEnd w:id="123"/>
      <w:bookmarkEnd w:id="124"/>
      <w:bookmarkEnd w:id="125"/>
      <w:bookmarkEnd w:id="126"/>
      <w:r>
        <w:rPr>
          <w:rFonts w:hint="eastAsia" w:ascii="宋体" w:hAnsi="宋体" w:eastAsia="宋体"/>
          <w:sz w:val="28"/>
          <w:szCs w:val="28"/>
          <w:highlight w:val="none"/>
        </w:rPr>
        <w:t xml:space="preserve">日期：2025年  月  日                     </w:t>
      </w:r>
    </w:p>
    <w:p w14:paraId="02ED2098">
      <w:pPr>
        <w:rPr>
          <w:rFonts w:ascii="宋体" w:hAnsi="宋体" w:eastAsia="宋体"/>
          <w:sz w:val="28"/>
          <w:szCs w:val="28"/>
          <w:highlight w:val="none"/>
        </w:rPr>
      </w:pPr>
    </w:p>
    <w:p w14:paraId="3340FD8A">
      <w:pPr>
        <w:rPr>
          <w:rFonts w:ascii="宋体" w:hAnsi="宋体" w:eastAsia="宋体"/>
          <w:b/>
          <w:sz w:val="28"/>
          <w:szCs w:val="28"/>
          <w:highlight w:val="none"/>
        </w:rPr>
      </w:pPr>
    </w:p>
    <w:p w14:paraId="1264C084">
      <w:pPr>
        <w:spacing w:line="240" w:lineRule="atLeast"/>
        <w:rPr>
          <w:rFonts w:ascii="宋体" w:hAnsi="宋体" w:eastAsia="宋体"/>
          <w:b/>
          <w:sz w:val="28"/>
          <w:szCs w:val="28"/>
          <w:highlight w:val="none"/>
        </w:rPr>
      </w:pPr>
    </w:p>
    <w:p w14:paraId="3226DCFA">
      <w:pPr>
        <w:spacing w:line="240" w:lineRule="atLeast"/>
        <w:rPr>
          <w:rFonts w:ascii="宋体" w:hAnsi="宋体" w:eastAsia="宋体"/>
          <w:b/>
          <w:sz w:val="28"/>
          <w:szCs w:val="28"/>
          <w:highlight w:val="none"/>
        </w:rPr>
      </w:pPr>
    </w:p>
    <w:p w14:paraId="020EFED0">
      <w:pPr>
        <w:spacing w:line="240" w:lineRule="atLeast"/>
        <w:rPr>
          <w:rFonts w:ascii="宋体" w:hAnsi="宋体" w:eastAsia="宋体"/>
          <w:b/>
          <w:sz w:val="28"/>
          <w:szCs w:val="28"/>
          <w:highlight w:val="none"/>
        </w:rPr>
      </w:pPr>
    </w:p>
    <w:p w14:paraId="796A5D0E">
      <w:pPr>
        <w:spacing w:line="240" w:lineRule="atLeast"/>
        <w:rPr>
          <w:rFonts w:ascii="宋体" w:hAnsi="宋体" w:eastAsia="宋体"/>
          <w:b/>
          <w:sz w:val="28"/>
          <w:szCs w:val="28"/>
          <w:highlight w:val="none"/>
        </w:rPr>
      </w:pPr>
    </w:p>
    <w:p w14:paraId="6CA0EAB4">
      <w:pPr>
        <w:spacing w:line="240" w:lineRule="atLeast"/>
        <w:rPr>
          <w:rFonts w:ascii="宋体" w:hAnsi="宋体" w:eastAsia="宋体"/>
          <w:b/>
          <w:sz w:val="28"/>
          <w:szCs w:val="28"/>
          <w:highlight w:val="none"/>
        </w:rPr>
      </w:pPr>
      <w:r>
        <w:rPr>
          <w:rFonts w:hint="eastAsia" w:ascii="宋体" w:hAnsi="宋体" w:eastAsia="宋体"/>
          <w:b/>
          <w:sz w:val="28"/>
          <w:szCs w:val="28"/>
          <w:highlight w:val="none"/>
        </w:rPr>
        <w:t xml:space="preserve">合同附件二：                                               </w:t>
      </w:r>
    </w:p>
    <w:p w14:paraId="0D318F09">
      <w:pPr>
        <w:adjustRightInd w:val="0"/>
        <w:snapToGrid w:val="0"/>
        <w:spacing w:line="360" w:lineRule="auto"/>
        <w:jc w:val="center"/>
        <w:rPr>
          <w:rFonts w:ascii="宋体" w:hAnsi="宋体" w:eastAsia="宋体"/>
          <w:b/>
          <w:sz w:val="28"/>
          <w:szCs w:val="28"/>
          <w:highlight w:val="none"/>
          <w:u w:val="single"/>
        </w:rPr>
      </w:pPr>
      <w:r>
        <w:rPr>
          <w:rFonts w:hint="eastAsia" w:ascii="宋体" w:hAnsi="宋体" w:eastAsia="宋体"/>
          <w:b/>
          <w:sz w:val="32"/>
          <w:szCs w:val="28"/>
          <w:highlight w:val="none"/>
          <w:lang w:eastAsia="zh-CN"/>
        </w:rPr>
        <w:t>中国大酒店部分客用电梯及相关配套更新</w:t>
      </w:r>
      <w:r>
        <w:rPr>
          <w:rFonts w:hint="eastAsia" w:ascii="宋体" w:hAnsi="宋体" w:eastAsia="宋体"/>
          <w:b/>
          <w:sz w:val="32"/>
          <w:szCs w:val="28"/>
          <w:highlight w:val="none"/>
        </w:rPr>
        <w:t>廉洁协议书</w:t>
      </w:r>
    </w:p>
    <w:p w14:paraId="7CA02849">
      <w:pPr>
        <w:adjustRightInd w:val="0"/>
        <w:snapToGrid w:val="0"/>
        <w:spacing w:line="560" w:lineRule="exact"/>
        <w:ind w:firstLine="560" w:firstLineChars="200"/>
        <w:jc w:val="left"/>
        <w:rPr>
          <w:rFonts w:ascii="宋体" w:hAnsi="宋体" w:eastAsia="宋体"/>
          <w:color w:val="000000"/>
          <w:sz w:val="28"/>
          <w:szCs w:val="28"/>
          <w:highlight w:val="none"/>
        </w:rPr>
      </w:pPr>
      <w:r>
        <w:rPr>
          <w:rFonts w:hint="eastAsia" w:ascii="宋体" w:hAnsi="宋体" w:eastAsia="宋体"/>
          <w:color w:val="000000"/>
          <w:sz w:val="28"/>
          <w:szCs w:val="28"/>
          <w:highlight w:val="none"/>
        </w:rPr>
        <w:t>为加强采购项目廉洁风险防控，促进购销双方规范履职，廉洁从业，有效实现采购目标，保护购销双方权益，根据国家有关法律法规和中央、省、市纪委廉洁建设有关规定，采购方（甲方）</w:t>
      </w:r>
      <w:r>
        <w:rPr>
          <w:rFonts w:hint="eastAsia" w:ascii="宋体" w:hAnsi="宋体" w:eastAsia="宋体"/>
          <w:color w:val="000000"/>
          <w:sz w:val="28"/>
          <w:szCs w:val="28"/>
          <w:highlight w:val="none"/>
          <w:u w:val="single"/>
        </w:rPr>
        <w:t>中国大酒店</w:t>
      </w:r>
      <w:r>
        <w:rPr>
          <w:rFonts w:hint="eastAsia" w:ascii="宋体" w:hAnsi="宋体" w:eastAsia="宋体"/>
          <w:color w:val="000000"/>
          <w:sz w:val="28"/>
          <w:szCs w:val="28"/>
          <w:highlight w:val="none"/>
        </w:rPr>
        <w:t>与供应方（乙方）</w:t>
      </w:r>
      <w:r>
        <w:rPr>
          <w:rFonts w:hint="eastAsia" w:ascii="宋体" w:hAnsi="宋体" w:eastAsia="宋体"/>
          <w:color w:val="000000"/>
          <w:sz w:val="28"/>
          <w:szCs w:val="28"/>
          <w:highlight w:val="none"/>
          <w:u w:val="single"/>
        </w:rPr>
        <w:t xml:space="preserve">               </w:t>
      </w:r>
      <w:r>
        <w:rPr>
          <w:rFonts w:hint="eastAsia" w:ascii="宋体" w:hAnsi="宋体" w:eastAsia="宋体"/>
          <w:color w:val="000000"/>
          <w:sz w:val="28"/>
          <w:szCs w:val="28"/>
          <w:highlight w:val="none"/>
        </w:rPr>
        <w:t>就《</w:t>
      </w:r>
      <w:r>
        <w:rPr>
          <w:rFonts w:hint="eastAsia" w:ascii="宋体" w:hAnsi="宋体" w:eastAsia="宋体"/>
          <w:color w:val="000000"/>
          <w:sz w:val="28"/>
          <w:szCs w:val="28"/>
          <w:highlight w:val="none"/>
          <w:u w:val="single"/>
          <w:lang w:eastAsia="zh-CN"/>
        </w:rPr>
        <w:t>中国大酒店部分客用电梯及相关配套更新</w:t>
      </w:r>
      <w:r>
        <w:rPr>
          <w:rFonts w:hint="eastAsia" w:ascii="宋体" w:hAnsi="宋体" w:eastAsia="宋体"/>
          <w:color w:val="000000"/>
          <w:sz w:val="28"/>
          <w:szCs w:val="28"/>
          <w:highlight w:val="none"/>
        </w:rPr>
        <w:t>合同》订立本廉洁协议书，以资双方共同遵照执行。</w:t>
      </w:r>
    </w:p>
    <w:p w14:paraId="06E44A97">
      <w:pPr>
        <w:adjustRightInd w:val="0"/>
        <w:snapToGrid w:val="0"/>
        <w:spacing w:line="560" w:lineRule="exact"/>
        <w:ind w:firstLine="562" w:firstLineChars="200"/>
        <w:jc w:val="left"/>
        <w:rPr>
          <w:rFonts w:ascii="宋体" w:hAnsi="宋体" w:eastAsia="宋体"/>
          <w:color w:val="000000"/>
          <w:sz w:val="28"/>
          <w:szCs w:val="28"/>
          <w:highlight w:val="none"/>
        </w:rPr>
      </w:pPr>
      <w:r>
        <w:rPr>
          <w:rFonts w:hint="eastAsia" w:ascii="宋体" w:hAnsi="宋体" w:eastAsia="宋体"/>
          <w:b/>
          <w:color w:val="000000"/>
          <w:sz w:val="28"/>
          <w:szCs w:val="28"/>
          <w:highlight w:val="none"/>
        </w:rPr>
        <w:t>第一条  甲乙双方的权利和义务</w:t>
      </w:r>
    </w:p>
    <w:p w14:paraId="6430B268">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（一）严格遵守国家关于市场准入、招标投标、物资服务采购等市场经济活动的法律法规、政策以及廉洁自律的规定，做到合法经营。</w:t>
      </w:r>
    </w:p>
    <w:p w14:paraId="5DD94F6C">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（二）严格遵守招投标及采购相关法律法规及甲方关于招投标及采购的规定。前述合同签订后，双方严格执行合同文件，自觉履行合同约定的相关职责和义务。</w:t>
      </w:r>
    </w:p>
    <w:p w14:paraId="438F2AC7">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三）业务活动必须坚持公平、公开、公正、诚信、守信的原则，不得就前述合同中的相关物料设备的型号、规格、质量、数量、价格和验收方式，以及服务标准、服务内容等合同条款进行私下商谈或者达成默契，不得为获取不正当利益达成私下协议，不得损害国家和集体利益。</w:t>
      </w:r>
    </w:p>
    <w:p w14:paraId="06319F47">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（四）建立健全廉洁制度，开展廉洁教育，公布举报电话及监督方式。</w:t>
      </w:r>
    </w:p>
    <w:p w14:paraId="57BB1472">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（五）发现对方在业务活动中有违反廉洁规定的行为或严重违反合同义务条款的行为，应及时提醒对方纠正。情节严重的，应向其上级相关部门反映和举报，相关部门处理的结果应及时向对方通报。</w:t>
      </w:r>
    </w:p>
    <w:p w14:paraId="7DF91EDF">
      <w:pPr>
        <w:spacing w:line="560" w:lineRule="exact"/>
        <w:ind w:firstLine="560" w:firstLineChars="200"/>
        <w:outlineLvl w:val="2"/>
        <w:rPr>
          <w:rFonts w:ascii="宋体" w:hAnsi="宋体" w:eastAsia="宋体"/>
          <w:color w:val="000000"/>
          <w:sz w:val="28"/>
          <w:szCs w:val="28"/>
          <w:highlight w:val="none"/>
        </w:rPr>
      </w:pPr>
      <w:r>
        <w:rPr>
          <w:rFonts w:hint="eastAsia" w:ascii="宋体" w:hAnsi="宋体" w:eastAsia="宋体"/>
          <w:color w:val="000000"/>
          <w:sz w:val="28"/>
          <w:szCs w:val="28"/>
          <w:highlight w:val="none"/>
        </w:rPr>
        <w:t>（六）不得与相关权利方和利益方勾肩搭背，内外勾结，在本采购项目实施过程中非法谋利。</w:t>
      </w:r>
    </w:p>
    <w:p w14:paraId="43E790CB">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（七）不得通过说情、批示、打招呼、暗示或强迫命令等形式，干扰、妨碍正常业务活动。</w:t>
      </w:r>
    </w:p>
    <w:p w14:paraId="53A28020">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（八）不得干扰、妨碍查处本采购项目中的违规违纪违法行为。</w:t>
      </w:r>
    </w:p>
    <w:p w14:paraId="2A237E0C">
      <w:pPr>
        <w:adjustRightInd w:val="0"/>
        <w:snapToGrid w:val="0"/>
        <w:spacing w:line="560" w:lineRule="exact"/>
        <w:rPr>
          <w:rFonts w:ascii="宋体" w:hAnsi="宋体" w:eastAsia="宋体"/>
          <w:b/>
          <w:color w:val="000000"/>
          <w:sz w:val="28"/>
          <w:szCs w:val="28"/>
          <w:highlight w:val="none"/>
        </w:rPr>
      </w:pPr>
      <w:r>
        <w:rPr>
          <w:rFonts w:hint="eastAsia" w:ascii="宋体" w:hAnsi="宋体" w:eastAsia="宋体"/>
          <w:color w:val="000000"/>
          <w:sz w:val="28"/>
          <w:szCs w:val="28"/>
          <w:highlight w:val="none"/>
        </w:rPr>
        <w:t xml:space="preserve">    </w:t>
      </w:r>
      <w:r>
        <w:rPr>
          <w:rFonts w:hint="eastAsia" w:ascii="宋体" w:hAnsi="宋体" w:eastAsia="宋体"/>
          <w:b/>
          <w:color w:val="000000"/>
          <w:sz w:val="28"/>
          <w:szCs w:val="28"/>
          <w:highlight w:val="none"/>
        </w:rPr>
        <w:t>第二条  甲方的义务</w:t>
      </w:r>
    </w:p>
    <w:p w14:paraId="09EBCD68">
      <w:pPr>
        <w:spacing w:line="560" w:lineRule="exact"/>
        <w:ind w:firstLine="560" w:firstLineChars="200"/>
        <w:outlineLvl w:val="2"/>
        <w:rPr>
          <w:rFonts w:ascii="宋体" w:hAnsi="宋体" w:eastAsia="宋体"/>
          <w:color w:val="000000"/>
          <w:sz w:val="28"/>
          <w:szCs w:val="28"/>
          <w:highlight w:val="none"/>
        </w:rPr>
      </w:pPr>
      <w:r>
        <w:rPr>
          <w:rFonts w:hint="eastAsia" w:ascii="宋体" w:hAnsi="宋体" w:eastAsia="宋体"/>
          <w:color w:val="000000"/>
          <w:sz w:val="28"/>
          <w:szCs w:val="28"/>
          <w:highlight w:val="none"/>
        </w:rPr>
        <w:t>甲方及甲方领导人员和从事本采购项目的工作人员（以下简称“甲方相关人员”），在项目实施的事前、事中和事后都须遵守以下规定：</w:t>
      </w:r>
    </w:p>
    <w:p w14:paraId="3666C5FF">
      <w:pPr>
        <w:spacing w:line="560" w:lineRule="exact"/>
        <w:ind w:firstLine="560" w:firstLineChars="200"/>
        <w:outlineLvl w:val="2"/>
        <w:rPr>
          <w:rFonts w:ascii="宋体" w:hAnsi="宋体" w:eastAsia="宋体"/>
          <w:color w:val="000000"/>
          <w:sz w:val="28"/>
          <w:szCs w:val="28"/>
          <w:highlight w:val="none"/>
        </w:rPr>
      </w:pPr>
      <w:r>
        <w:rPr>
          <w:rFonts w:hint="eastAsia" w:ascii="宋体" w:hAnsi="宋体" w:eastAsia="宋体"/>
          <w:color w:val="000000"/>
          <w:sz w:val="28"/>
          <w:szCs w:val="28"/>
          <w:highlight w:val="none"/>
        </w:rPr>
        <w:t>（一）甲方及甲方相关人员应按照公平、公正、公开和诚实守信的原则开展工作，为乙方提供公平的竞争环境与平台；</w:t>
      </w:r>
    </w:p>
    <w:p w14:paraId="6F1553F2">
      <w:pPr>
        <w:spacing w:line="560" w:lineRule="exact"/>
        <w:ind w:firstLine="560" w:firstLineChars="200"/>
        <w:outlineLvl w:val="2"/>
        <w:rPr>
          <w:rFonts w:ascii="宋体" w:hAnsi="宋体" w:eastAsia="宋体"/>
          <w:color w:val="000000"/>
          <w:sz w:val="28"/>
          <w:szCs w:val="28"/>
          <w:highlight w:val="none"/>
        </w:rPr>
      </w:pPr>
      <w:r>
        <w:rPr>
          <w:rFonts w:hint="eastAsia" w:ascii="宋体" w:hAnsi="宋体" w:eastAsia="宋体"/>
          <w:color w:val="000000"/>
          <w:sz w:val="28"/>
          <w:szCs w:val="28"/>
          <w:highlight w:val="none"/>
        </w:rPr>
        <w:t>（二）甲方相关人员不得索要或接受与本采购项目有利益关系的单位及个人的礼品、礼金、红包、有价证券、支付凭证、纪念品、高档办公用品、土特产、通讯和交通工具、不动产、住房装修，或者宴请、外出旅游、消费娱乐等非正当利益；不得参与任何形式的赌博并通过赌博方式收受乙方财物；不得在乙方报销任何应由甲方及其相关人员支付的费用；</w:t>
      </w:r>
    </w:p>
    <w:p w14:paraId="7CF83D7F">
      <w:pPr>
        <w:spacing w:line="560" w:lineRule="exact"/>
        <w:ind w:firstLine="560" w:firstLineChars="200"/>
        <w:outlineLvl w:val="2"/>
        <w:rPr>
          <w:rFonts w:ascii="宋体" w:hAnsi="宋体" w:eastAsia="宋体"/>
          <w:color w:val="000000"/>
          <w:sz w:val="28"/>
          <w:szCs w:val="28"/>
          <w:highlight w:val="none"/>
        </w:rPr>
      </w:pPr>
      <w:r>
        <w:rPr>
          <w:rFonts w:hint="eastAsia" w:ascii="宋体" w:hAnsi="宋体" w:eastAsia="宋体"/>
          <w:color w:val="000000"/>
          <w:sz w:val="28"/>
          <w:szCs w:val="28"/>
          <w:highlight w:val="none"/>
        </w:rPr>
        <w:t>（三）甲方相关人员不得借本采购项目实施之机，为父母、配偶、子女及其他特定关系人谋取不正当利益；不得要求或接受乙方为其操办婚丧喜庆事宜提供方便；不得在乙方或与乙方有股权关联的企业兼职，不得向乙方介绍家属或者亲友从事与甲方业务有关的经济活动；</w:t>
      </w:r>
    </w:p>
    <w:p w14:paraId="168C87A4">
      <w:pPr>
        <w:spacing w:line="560" w:lineRule="exact"/>
        <w:ind w:firstLine="560" w:firstLineChars="200"/>
        <w:outlineLvl w:val="2"/>
        <w:rPr>
          <w:rFonts w:ascii="宋体" w:hAnsi="宋体" w:eastAsia="宋体"/>
          <w:color w:val="000000"/>
          <w:sz w:val="28"/>
          <w:szCs w:val="28"/>
          <w:highlight w:val="none"/>
        </w:rPr>
      </w:pPr>
      <w:r>
        <w:rPr>
          <w:rFonts w:hint="eastAsia" w:ascii="宋体" w:hAnsi="宋体" w:eastAsia="宋体"/>
          <w:color w:val="000000"/>
          <w:sz w:val="28"/>
          <w:szCs w:val="28"/>
          <w:highlight w:val="none"/>
        </w:rPr>
        <w:t>（四）甲方相关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14:paraId="269E0F2F">
      <w:pPr>
        <w:spacing w:line="560" w:lineRule="exact"/>
        <w:ind w:firstLine="560" w:firstLineChars="200"/>
        <w:outlineLvl w:val="2"/>
        <w:rPr>
          <w:rFonts w:ascii="宋体" w:hAnsi="宋体" w:eastAsia="宋体"/>
          <w:color w:val="000000"/>
          <w:sz w:val="28"/>
          <w:szCs w:val="28"/>
          <w:highlight w:val="none"/>
        </w:rPr>
      </w:pPr>
      <w:r>
        <w:rPr>
          <w:rFonts w:hint="eastAsia" w:ascii="宋体" w:hAnsi="宋体" w:eastAsia="宋体"/>
          <w:color w:val="000000"/>
          <w:sz w:val="28"/>
          <w:szCs w:val="28"/>
          <w:highlight w:val="none"/>
        </w:rPr>
        <w:t>（五）甲方相关人员不得利用职务之便收受乙方以回扣、手续费、加班费、咨询费、劳务费、协调费、辛苦费等各种名义给予或赠送的钱物；不得接受乙方给予或赠送的干股或红利；</w:t>
      </w:r>
    </w:p>
    <w:p w14:paraId="70F94E6E">
      <w:pPr>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（六）甲方相关人员不得安排其父母、配偶、子女及其他特定关系人从事与本采购项目相关的材料设备供应、分包、劳务等经济活动；</w:t>
      </w:r>
    </w:p>
    <w:p w14:paraId="084D31FD">
      <w:pPr>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（七）甲方相关人员不得利用职权从事各种有偿中介活动，不得以任何理由向乙方指定材料、原料及服务供应商，不得要求乙方购买前述合同无关的材料和设备或者提供额外的服务内容；</w:t>
      </w:r>
    </w:p>
    <w:p w14:paraId="2FB02D0C">
      <w:pPr>
        <w:adjustRightInd w:val="0"/>
        <w:snapToGrid w:val="0"/>
        <w:spacing w:line="560" w:lineRule="exact"/>
        <w:ind w:firstLine="560" w:firstLineChars="200"/>
        <w:jc w:val="left"/>
        <w:rPr>
          <w:rFonts w:ascii="宋体" w:hAnsi="宋体" w:eastAsia="宋体"/>
          <w:color w:val="000000"/>
          <w:sz w:val="28"/>
          <w:szCs w:val="28"/>
          <w:highlight w:val="none"/>
        </w:rPr>
      </w:pPr>
      <w:r>
        <w:rPr>
          <w:rFonts w:hint="eastAsia" w:ascii="宋体" w:hAnsi="宋体" w:eastAsia="宋体"/>
          <w:color w:val="000000"/>
          <w:sz w:val="28"/>
          <w:szCs w:val="28"/>
          <w:highlight w:val="none"/>
        </w:rPr>
        <w:t>（八）甲方及甲方相关人员不得违反国家法律法规党内规章制度及甲方内部的其他禁止性规定。</w:t>
      </w:r>
    </w:p>
    <w:p w14:paraId="51C1DE05">
      <w:pPr>
        <w:spacing w:line="560" w:lineRule="exact"/>
        <w:ind w:firstLine="562" w:firstLineChars="200"/>
        <w:outlineLvl w:val="2"/>
        <w:rPr>
          <w:rFonts w:ascii="宋体" w:hAnsi="宋体" w:eastAsia="宋体"/>
          <w:b/>
          <w:color w:val="000000"/>
          <w:sz w:val="28"/>
          <w:szCs w:val="28"/>
          <w:highlight w:val="none"/>
        </w:rPr>
      </w:pPr>
      <w:r>
        <w:rPr>
          <w:rFonts w:hint="eastAsia" w:ascii="宋体" w:hAnsi="宋体" w:eastAsia="宋体"/>
          <w:b/>
          <w:color w:val="000000"/>
          <w:sz w:val="28"/>
          <w:szCs w:val="28"/>
          <w:highlight w:val="none"/>
        </w:rPr>
        <w:t>第三条  乙方的义务</w:t>
      </w:r>
    </w:p>
    <w:p w14:paraId="785DE497">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乙方及其领导人员和该采购项目的工作人员（以下简称“乙方相关人员”）应与甲方及甲方相关人员保持正常的业务往来，严格执行法律法规规定，按照规定程序开展业务工作，在采购项目实施的事前、事中和事后都须遵守以下规定：</w:t>
      </w:r>
    </w:p>
    <w:p w14:paraId="10555082">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（一）乙方及乙方相关人员不得在采购招投标或者磋商阶段以违反国家法律法规、党章党纪规定的方式获取不正当利益；</w:t>
      </w:r>
    </w:p>
    <w:p w14:paraId="14832AD6">
      <w:pPr>
        <w:adjustRightInd w:val="0"/>
        <w:snapToGrid w:val="0"/>
        <w:spacing w:line="560" w:lineRule="exact"/>
        <w:ind w:firstLine="420"/>
        <w:rPr>
          <w:rFonts w:ascii="宋体" w:hAnsi="宋体" w:eastAsia="宋体"/>
          <w:color w:val="000000"/>
          <w:sz w:val="28"/>
          <w:szCs w:val="28"/>
          <w:highlight w:val="none"/>
        </w:rPr>
      </w:pPr>
      <w:r>
        <w:rPr>
          <w:rFonts w:hint="eastAsia" w:ascii="宋体" w:hAnsi="宋体" w:eastAsia="宋体"/>
          <w:color w:val="000000"/>
          <w:sz w:val="28"/>
          <w:szCs w:val="28"/>
          <w:highlight w:val="none"/>
        </w:rPr>
        <w:t>（二）乙方相关人员不得以任何理由向甲方及甲方相关人员行贿或馈赠礼金、有价证券、贵重礼品；不得以任何理由安排甲方及甲方相关人员参加可能影响相关业务公平、公开、公正、公平性的宴请及娱乐活动；不得以任何名义为甲方及甲方相关人员报销应由甲方单位或个人支付的任何费用；</w:t>
      </w:r>
    </w:p>
    <w:p w14:paraId="26784900">
      <w:pPr>
        <w:adjustRightInd w:val="0"/>
        <w:snapToGrid w:val="0"/>
        <w:spacing w:line="560" w:lineRule="exact"/>
        <w:ind w:firstLine="420"/>
        <w:rPr>
          <w:rFonts w:ascii="宋体" w:hAnsi="宋体" w:eastAsia="宋体"/>
          <w:color w:val="000000"/>
          <w:sz w:val="28"/>
          <w:szCs w:val="28"/>
          <w:highlight w:val="none"/>
        </w:rPr>
      </w:pPr>
      <w:r>
        <w:rPr>
          <w:rFonts w:hint="eastAsia" w:ascii="宋体" w:hAnsi="宋体" w:eastAsia="宋体"/>
          <w:color w:val="000000"/>
          <w:sz w:val="28"/>
          <w:szCs w:val="28"/>
          <w:highlight w:val="none"/>
        </w:rPr>
        <w:t>（三）乙方及乙方相关人员不得因前述合同履行向甲方、甲方相关人员及其亲属有输送利益的行为；</w:t>
      </w:r>
    </w:p>
    <w:p w14:paraId="1CFDFFA5">
      <w:pPr>
        <w:adjustRightInd w:val="0"/>
        <w:snapToGrid w:val="0"/>
        <w:spacing w:line="560" w:lineRule="exact"/>
        <w:ind w:firstLine="420"/>
        <w:rPr>
          <w:rFonts w:ascii="宋体" w:hAnsi="宋体" w:eastAsia="宋体"/>
          <w:color w:val="000000"/>
          <w:sz w:val="28"/>
          <w:szCs w:val="28"/>
          <w:highlight w:val="none"/>
        </w:rPr>
      </w:pPr>
      <w:r>
        <w:rPr>
          <w:rFonts w:hint="eastAsia" w:ascii="宋体" w:hAnsi="宋体" w:eastAsia="宋体"/>
          <w:color w:val="000000"/>
          <w:sz w:val="28"/>
          <w:szCs w:val="28"/>
          <w:highlight w:val="none"/>
        </w:rPr>
        <w:t>（四）乙方及乙方相关人员不得为甲方、甲方相关人员及其亲属个人购置或提供通讯工具和高档办公用品等物品，也不得为甲方相关人员提供与工作无关的不动产、交通工具等；</w:t>
      </w:r>
    </w:p>
    <w:p w14:paraId="23D794E5">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（五）乙方及乙方相关人员不得以回扣、手续费、加班费、咨询费、劳务费、协调费、辛苦费等各种名义向甲方及甲方相关人员给予或赠送钱物；不得向甲方及甲方相关人员提供干股或红利；</w:t>
      </w:r>
    </w:p>
    <w:p w14:paraId="3A05E372">
      <w:pPr>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（六）乙方及乙方相关人员不得以谋取非正当利益为目的，擅自与甲方或甲方相关人员就与本采购项目有关的业务问题进行私下商谈或者达成利益默契；</w:t>
      </w:r>
    </w:p>
    <w:p w14:paraId="2421D4DC">
      <w:pPr>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（七）乙方及乙方相关人员不得违反国家法律法规及党内规章制度的其他禁止性规定；</w:t>
      </w:r>
    </w:p>
    <w:p w14:paraId="61F88F47">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（八）乙方或乙方相关人员发现甲方相关人员有违反本廉洁协议书规定的，应向甲方举报。</w:t>
      </w:r>
    </w:p>
    <w:p w14:paraId="324A9355">
      <w:pPr>
        <w:spacing w:line="560" w:lineRule="exact"/>
        <w:ind w:firstLine="562" w:firstLineChars="200"/>
        <w:outlineLvl w:val="2"/>
        <w:rPr>
          <w:rFonts w:ascii="宋体" w:hAnsi="宋体" w:eastAsia="宋体"/>
          <w:b/>
          <w:color w:val="000000"/>
          <w:sz w:val="28"/>
          <w:szCs w:val="28"/>
          <w:highlight w:val="none"/>
        </w:rPr>
      </w:pPr>
      <w:r>
        <w:rPr>
          <w:rFonts w:hint="eastAsia" w:ascii="宋体" w:hAnsi="宋体" w:eastAsia="宋体"/>
          <w:b/>
          <w:color w:val="000000"/>
          <w:sz w:val="28"/>
          <w:szCs w:val="28"/>
          <w:highlight w:val="none"/>
        </w:rPr>
        <w:t>第四条  违约责任</w:t>
      </w:r>
    </w:p>
    <w:p w14:paraId="496DD949">
      <w:pPr>
        <w:adjustRightInd w:val="0"/>
        <w:snapToGrid w:val="0"/>
        <w:spacing w:line="56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    （一）甲方及甲方相关人员违反本廉洁协议书第一、二条，按管理权限，依据有关规定给予党纪、政纪或组织处理；涉嫌犯罪的，移交司法机关追究刑事责任；给乙方造成经济损失的，应予以赔偿。</w:t>
      </w:r>
    </w:p>
    <w:p w14:paraId="744B22A9">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举报方式：中国大酒店三楼纪检监督室，电话86666888-3878或3379。</w:t>
      </w:r>
    </w:p>
    <w:p w14:paraId="41475BDE">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（二）乙方及乙方相关人员违反本廉洁协议书第一、三条:</w:t>
      </w:r>
    </w:p>
    <w:p w14:paraId="3219717A">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 xml:space="preserve">（1）通过不正当手段中标或者签订合同的，依据国家和甲方有关规定给予处理，甲方有权取消中标资格或解除合同，并追究乙方相应责任； </w:t>
      </w:r>
    </w:p>
    <w:p w14:paraId="63D056AA">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（2）应全额返还用不正当手段获取的非法所得；</w:t>
      </w:r>
    </w:p>
    <w:p w14:paraId="67B868CD">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（3）给甲方造成经济损失的，乙方应予以赔偿；</w:t>
      </w:r>
    </w:p>
    <w:p w14:paraId="3869DCB5">
      <w:pPr>
        <w:adjustRightInd w:val="0"/>
        <w:snapToGrid w:val="0"/>
        <w:spacing w:line="560" w:lineRule="exact"/>
        <w:ind w:firstLine="560" w:firstLineChars="200"/>
        <w:rPr>
          <w:rFonts w:ascii="宋体" w:hAnsi="宋体" w:eastAsia="宋体"/>
          <w:sz w:val="28"/>
          <w:szCs w:val="28"/>
          <w:highlight w:val="none"/>
        </w:rPr>
      </w:pPr>
      <w:r>
        <w:rPr>
          <w:rFonts w:hint="eastAsia" w:ascii="宋体" w:hAnsi="宋体" w:eastAsia="宋体"/>
          <w:color w:val="000000"/>
          <w:sz w:val="28"/>
          <w:szCs w:val="28"/>
          <w:highlight w:val="none"/>
        </w:rPr>
        <w:t>（4）甲方有权扣除</w:t>
      </w:r>
      <w:r>
        <w:rPr>
          <w:rFonts w:hint="eastAsia" w:ascii="宋体" w:hAnsi="宋体" w:eastAsia="宋体"/>
          <w:sz w:val="28"/>
          <w:szCs w:val="28"/>
          <w:highlight w:val="none"/>
        </w:rPr>
        <w:t xml:space="preserve">乙方依据前述合同支付的全部履约保证金,如未提交履约保证金，甲方有权要求乙方支付该合同总金额20%作为违约金处罚（根据合同约定内容选择）； </w:t>
      </w:r>
    </w:p>
    <w:p w14:paraId="70493C89">
      <w:pPr>
        <w:adjustRightInd w:val="0"/>
        <w:snapToGrid w:val="0"/>
        <w:spacing w:line="560" w:lineRule="exact"/>
        <w:ind w:firstLine="560" w:firstLineChars="200"/>
        <w:rPr>
          <w:rFonts w:ascii="宋体" w:hAnsi="宋体" w:eastAsia="宋体"/>
          <w:color w:val="000000"/>
          <w:sz w:val="28"/>
          <w:szCs w:val="28"/>
          <w:highlight w:val="none"/>
        </w:rPr>
      </w:pPr>
      <w:r>
        <w:rPr>
          <w:rFonts w:hint="eastAsia" w:ascii="宋体" w:hAnsi="宋体" w:eastAsia="宋体"/>
          <w:color w:val="000000"/>
          <w:sz w:val="28"/>
          <w:szCs w:val="28"/>
          <w:highlight w:val="none"/>
        </w:rPr>
        <w:t>（5）乙方将被甲方列入企业“黑名单”，禁止进入甲方企业（含下属公司）从事经营活动；情节严重的，甲方可以将相关情况通报乙方的行政主管部门或行业协会；构成犯罪的，移交司法机关追究法律责任。</w:t>
      </w:r>
    </w:p>
    <w:p w14:paraId="5D2D1CBF">
      <w:pPr>
        <w:adjustRightInd w:val="0"/>
        <w:snapToGrid w:val="0"/>
        <w:spacing w:line="560" w:lineRule="exact"/>
        <w:ind w:firstLine="562" w:firstLineChars="200"/>
        <w:rPr>
          <w:rFonts w:ascii="宋体" w:hAnsi="宋体" w:eastAsia="宋体"/>
          <w:color w:val="000000"/>
          <w:sz w:val="28"/>
          <w:szCs w:val="28"/>
          <w:highlight w:val="none"/>
        </w:rPr>
      </w:pPr>
      <w:r>
        <w:rPr>
          <w:rFonts w:hint="eastAsia" w:ascii="宋体" w:hAnsi="宋体" w:eastAsia="宋体"/>
          <w:b/>
          <w:color w:val="000000"/>
          <w:sz w:val="28"/>
          <w:szCs w:val="28"/>
          <w:highlight w:val="none"/>
        </w:rPr>
        <w:t>第五条</w:t>
      </w:r>
      <w:r>
        <w:rPr>
          <w:rFonts w:hint="eastAsia" w:ascii="宋体" w:hAnsi="宋体" w:eastAsia="宋体"/>
          <w:color w:val="000000"/>
          <w:sz w:val="28"/>
          <w:szCs w:val="28"/>
          <w:highlight w:val="none"/>
        </w:rPr>
        <w:t xml:space="preserve">  本廉洁协议书由双方或双方上级单位负责监督。甲乙双方或双方上级单位可以对本廉洁协议书履行情况进行检查。</w:t>
      </w:r>
    </w:p>
    <w:p w14:paraId="381542F9">
      <w:pPr>
        <w:adjustRightInd w:val="0"/>
        <w:snapToGrid w:val="0"/>
        <w:spacing w:line="560" w:lineRule="exact"/>
        <w:ind w:firstLine="548" w:firstLineChars="195"/>
        <w:rPr>
          <w:rFonts w:ascii="宋体" w:hAnsi="宋体" w:eastAsia="宋体"/>
          <w:color w:val="000000"/>
          <w:sz w:val="28"/>
          <w:szCs w:val="28"/>
          <w:highlight w:val="none"/>
        </w:rPr>
      </w:pPr>
      <w:r>
        <w:rPr>
          <w:rFonts w:hint="eastAsia" w:ascii="宋体" w:hAnsi="宋体" w:eastAsia="宋体"/>
          <w:b/>
          <w:color w:val="000000"/>
          <w:sz w:val="28"/>
          <w:szCs w:val="28"/>
          <w:highlight w:val="none"/>
        </w:rPr>
        <w:t>第六条</w:t>
      </w:r>
      <w:r>
        <w:rPr>
          <w:rFonts w:hint="eastAsia" w:ascii="宋体" w:hAnsi="宋体" w:eastAsia="宋体"/>
          <w:color w:val="000000"/>
          <w:sz w:val="28"/>
          <w:szCs w:val="28"/>
          <w:highlight w:val="none"/>
        </w:rPr>
        <w:t xml:space="preserve">  本合同作为前述合同的附件，并具有同等的法律效力，经合同双方签署立即生效。</w:t>
      </w:r>
    </w:p>
    <w:p w14:paraId="66EB75E2">
      <w:pPr>
        <w:adjustRightInd w:val="0"/>
        <w:snapToGrid w:val="0"/>
        <w:spacing w:line="560" w:lineRule="exact"/>
        <w:ind w:firstLine="548" w:firstLineChars="195"/>
        <w:rPr>
          <w:rFonts w:ascii="宋体" w:hAnsi="宋体" w:eastAsia="宋体"/>
          <w:color w:val="000000"/>
          <w:sz w:val="28"/>
          <w:szCs w:val="28"/>
          <w:highlight w:val="none"/>
        </w:rPr>
      </w:pPr>
      <w:r>
        <w:rPr>
          <w:rFonts w:hint="eastAsia" w:ascii="宋体" w:hAnsi="宋体" w:eastAsia="宋体"/>
          <w:b/>
          <w:color w:val="000000"/>
          <w:sz w:val="28"/>
          <w:szCs w:val="28"/>
          <w:highlight w:val="none"/>
        </w:rPr>
        <w:t>第七条</w:t>
      </w:r>
      <w:r>
        <w:rPr>
          <w:rFonts w:hint="eastAsia" w:ascii="宋体" w:hAnsi="宋体" w:eastAsia="宋体"/>
          <w:color w:val="000000"/>
          <w:sz w:val="28"/>
          <w:szCs w:val="28"/>
          <w:highlight w:val="none"/>
        </w:rPr>
        <w:t xml:space="preserve">  本合同一式肆份，由甲乙双方各执两份。</w:t>
      </w:r>
    </w:p>
    <w:p w14:paraId="1218487E">
      <w:pPr>
        <w:adjustRightInd w:val="0"/>
        <w:snapToGrid w:val="0"/>
        <w:spacing w:line="560" w:lineRule="exact"/>
        <w:ind w:firstLine="480"/>
        <w:rPr>
          <w:rFonts w:ascii="宋体" w:hAnsi="宋体" w:eastAsia="宋体"/>
          <w:color w:val="000000"/>
          <w:sz w:val="28"/>
          <w:szCs w:val="28"/>
          <w:highlight w:val="none"/>
        </w:rPr>
      </w:pPr>
    </w:p>
    <w:p w14:paraId="28D7FF6A">
      <w:pPr>
        <w:adjustRightInd w:val="0"/>
        <w:snapToGrid w:val="0"/>
        <w:spacing w:line="500" w:lineRule="exact"/>
        <w:ind w:firstLine="480"/>
        <w:rPr>
          <w:rFonts w:ascii="宋体" w:hAnsi="宋体" w:eastAsia="宋体"/>
          <w:b/>
          <w:color w:val="000000"/>
          <w:sz w:val="28"/>
          <w:szCs w:val="28"/>
          <w:highlight w:val="none"/>
        </w:rPr>
      </w:pPr>
      <w:r>
        <w:rPr>
          <w:rFonts w:hint="eastAsia" w:ascii="宋体" w:hAnsi="宋体" w:eastAsia="宋体"/>
          <w:b/>
          <w:color w:val="000000"/>
          <w:sz w:val="28"/>
          <w:szCs w:val="28"/>
          <w:highlight w:val="none"/>
        </w:rPr>
        <w:t>甲乙双方确认在签订本廉洁协议书前已仔细阅读条款内容，甲乙双方对本廉洁协议书所产生的法律责任已清楚知悉并承诺遵守。</w:t>
      </w:r>
    </w:p>
    <w:p w14:paraId="22F479B0">
      <w:pPr>
        <w:adjustRightInd w:val="0"/>
        <w:snapToGrid w:val="0"/>
        <w:spacing w:line="500" w:lineRule="exact"/>
        <w:rPr>
          <w:rFonts w:ascii="宋体" w:hAnsi="宋体" w:eastAsia="宋体"/>
          <w:color w:val="000000"/>
          <w:sz w:val="28"/>
          <w:szCs w:val="28"/>
          <w:highlight w:val="none"/>
        </w:rPr>
      </w:pPr>
    </w:p>
    <w:p w14:paraId="2EEA5932">
      <w:pPr>
        <w:adjustRightInd w:val="0"/>
        <w:snapToGrid w:val="0"/>
        <w:spacing w:line="500" w:lineRule="exact"/>
        <w:rPr>
          <w:rFonts w:ascii="宋体" w:hAnsi="宋体" w:eastAsia="宋体"/>
          <w:color w:val="000000"/>
          <w:sz w:val="28"/>
          <w:szCs w:val="28"/>
          <w:highlight w:val="none"/>
        </w:rPr>
      </w:pPr>
    </w:p>
    <w:p w14:paraId="2E1DBBD1">
      <w:pPr>
        <w:adjustRightInd w:val="0"/>
        <w:snapToGrid w:val="0"/>
        <w:spacing w:line="50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甲方（盖章）：                        乙方（盖章）：</w:t>
      </w:r>
    </w:p>
    <w:p w14:paraId="77DA5C48">
      <w:pPr>
        <w:adjustRightInd w:val="0"/>
        <w:snapToGrid w:val="0"/>
        <w:spacing w:line="50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法定代表人（签字）：                  法定代表人（签字）：</w:t>
      </w:r>
    </w:p>
    <w:p w14:paraId="4CB56569">
      <w:pPr>
        <w:adjustRightInd w:val="0"/>
        <w:snapToGrid w:val="0"/>
        <w:spacing w:line="50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（或）授权代表（签字）：              （或）授权代表（签字）：</w:t>
      </w:r>
    </w:p>
    <w:p w14:paraId="43607AD1">
      <w:pPr>
        <w:spacing w:line="500" w:lineRule="exact"/>
        <w:rPr>
          <w:rFonts w:ascii="宋体" w:hAnsi="宋体" w:eastAsia="宋体"/>
          <w:color w:val="000000"/>
          <w:sz w:val="28"/>
          <w:szCs w:val="28"/>
          <w:highlight w:val="none"/>
        </w:rPr>
      </w:pPr>
      <w:r>
        <w:rPr>
          <w:rFonts w:hint="eastAsia" w:ascii="宋体" w:hAnsi="宋体" w:eastAsia="宋体"/>
          <w:color w:val="000000"/>
          <w:sz w:val="28"/>
          <w:szCs w:val="28"/>
          <w:highlight w:val="none"/>
        </w:rPr>
        <w:t>签订日期：                           签订日期：</w:t>
      </w:r>
    </w:p>
    <w:p w14:paraId="4089E5CB">
      <w:pPr>
        <w:pStyle w:val="29"/>
        <w:spacing w:line="360" w:lineRule="auto"/>
        <w:ind w:firstLine="261"/>
        <w:rPr>
          <w:b/>
          <w:sz w:val="26"/>
          <w:szCs w:val="26"/>
          <w:highlight w:val="none"/>
        </w:rPr>
      </w:pPr>
    </w:p>
    <w:bookmarkEnd w:id="119"/>
    <w:bookmarkEnd w:id="120"/>
    <w:p w14:paraId="34A47DBC">
      <w:pPr>
        <w:widowControl/>
        <w:spacing w:line="360" w:lineRule="auto"/>
        <w:rPr>
          <w:rFonts w:ascii="宋体" w:hAnsi="宋体" w:eastAsia="宋体"/>
          <w:sz w:val="24"/>
          <w:szCs w:val="24"/>
          <w:highlight w:val="none"/>
        </w:rPr>
      </w:pPr>
    </w:p>
    <w:p w14:paraId="662085D0">
      <w:pPr>
        <w:pStyle w:val="30"/>
        <w:ind w:left="420" w:firstLine="420"/>
        <w:rPr>
          <w:highlight w:val="none"/>
        </w:rPr>
      </w:pPr>
    </w:p>
    <w:p w14:paraId="67D39426">
      <w:pPr>
        <w:pStyle w:val="11"/>
        <w:rPr>
          <w:highlight w:val="none"/>
        </w:rPr>
      </w:pPr>
    </w:p>
    <w:p w14:paraId="5588C3F4">
      <w:pPr>
        <w:rPr>
          <w:highlight w:val="none"/>
        </w:rPr>
      </w:pPr>
    </w:p>
    <w:p w14:paraId="605757DE">
      <w:pPr>
        <w:pStyle w:val="30"/>
        <w:ind w:left="420" w:firstLine="420"/>
        <w:rPr>
          <w:highlight w:val="none"/>
        </w:rPr>
      </w:pPr>
    </w:p>
    <w:p w14:paraId="0EA8FB56">
      <w:pPr>
        <w:pStyle w:val="30"/>
        <w:ind w:left="0" w:leftChars="0" w:firstLine="0" w:firstLineChars="0"/>
        <w:jc w:val="left"/>
        <w:rPr>
          <w:kern w:val="0"/>
          <w:sz w:val="20"/>
          <w:szCs w:val="20"/>
          <w:highlight w:val="none"/>
        </w:rPr>
      </w:pPr>
    </w:p>
    <w:p w14:paraId="15F05899">
      <w:pPr>
        <w:pStyle w:val="11"/>
        <w:rPr>
          <w:highlight w:val="none"/>
        </w:rPr>
      </w:pPr>
    </w:p>
    <w:p w14:paraId="3858B6FB">
      <w:pPr>
        <w:rPr>
          <w:highlight w:val="none"/>
        </w:rPr>
      </w:pPr>
    </w:p>
    <w:p w14:paraId="7A36AB68">
      <w:pPr>
        <w:pStyle w:val="30"/>
        <w:ind w:left="420" w:firstLine="420"/>
        <w:rPr>
          <w:highlight w:val="none"/>
        </w:rPr>
      </w:pPr>
    </w:p>
    <w:p w14:paraId="0ED48A02">
      <w:pPr>
        <w:pStyle w:val="11"/>
        <w:rPr>
          <w:highlight w:val="none"/>
        </w:rPr>
      </w:pPr>
    </w:p>
    <w:p w14:paraId="4B118489">
      <w:pPr>
        <w:rPr>
          <w:highlight w:val="none"/>
        </w:rPr>
      </w:pPr>
    </w:p>
    <w:p w14:paraId="7C2123DC">
      <w:pPr>
        <w:pStyle w:val="30"/>
        <w:ind w:left="420" w:firstLine="420"/>
        <w:rPr>
          <w:highlight w:val="none"/>
        </w:rPr>
      </w:pPr>
    </w:p>
    <w:p w14:paraId="0234A425">
      <w:pPr>
        <w:pStyle w:val="11"/>
        <w:rPr>
          <w:highlight w:val="none"/>
        </w:rPr>
      </w:pPr>
    </w:p>
    <w:p w14:paraId="70CDEB08">
      <w:pPr>
        <w:rPr>
          <w:rFonts w:ascii="宋体" w:hAnsi="宋体" w:eastAsia="宋体"/>
          <w:b/>
          <w:sz w:val="28"/>
          <w:szCs w:val="28"/>
          <w:highlight w:val="none"/>
        </w:rPr>
      </w:pPr>
      <w:r>
        <w:rPr>
          <w:rFonts w:hint="eastAsia" w:ascii="宋体" w:hAnsi="宋体" w:eastAsia="宋体"/>
          <w:b/>
          <w:sz w:val="28"/>
          <w:szCs w:val="28"/>
          <w:highlight w:val="none"/>
        </w:rPr>
        <w:t>合同附件三：</w:t>
      </w:r>
    </w:p>
    <w:p w14:paraId="501A4B30">
      <w:pPr>
        <w:autoSpaceDE w:val="0"/>
        <w:autoSpaceDN w:val="0"/>
        <w:adjustRightInd w:val="0"/>
        <w:spacing w:line="360" w:lineRule="auto"/>
        <w:ind w:right="-13"/>
        <w:jc w:val="center"/>
        <w:rPr>
          <w:rFonts w:ascii="Times New Roman" w:hAnsi="Times New Roman" w:eastAsia="宋体" w:cs="Times New Roman"/>
          <w:kern w:val="0"/>
          <w:sz w:val="28"/>
          <w:szCs w:val="28"/>
          <w:highlight w:val="none"/>
        </w:rPr>
      </w:pPr>
      <w:r>
        <w:rPr>
          <w:rFonts w:hint="eastAsia" w:ascii="Times New Roman" w:hAnsi="Times New Roman" w:eastAsia="宋体" w:cs="Times New Roman"/>
          <w:kern w:val="0"/>
          <w:sz w:val="32"/>
          <w:szCs w:val="28"/>
          <w:highlight w:val="none"/>
        </w:rPr>
        <w:t>工程质量保修书</w:t>
      </w:r>
    </w:p>
    <w:p w14:paraId="651D8BE1">
      <w:pPr>
        <w:autoSpaceDE w:val="0"/>
        <w:autoSpaceDN w:val="0"/>
        <w:adjustRightInd w:val="0"/>
        <w:spacing w:before="94" w:line="360" w:lineRule="auto"/>
        <w:ind w:left="101" w:leftChars="48" w:right="47"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为保证本施工合同涉及的工程项目在合理使用期限内正常使用，合同双方当事人根据《中华人民共和国建筑法》、《建设工程质量管理条例》和《房屋建筑工程质量保修办法》等规定，经协商一致，订立本质量保修书。</w:t>
      </w:r>
    </w:p>
    <w:p w14:paraId="570D52D6">
      <w:pPr>
        <w:autoSpaceDE w:val="0"/>
        <w:autoSpaceDN w:val="0"/>
        <w:adjustRightInd w:val="0"/>
        <w:spacing w:before="36"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1. </w:t>
      </w:r>
      <w:r>
        <w:rPr>
          <w:rFonts w:hint="eastAsia" w:ascii="宋体" w:hAnsi="宋体" w:eastAsia="宋体" w:cs="Times New Roman"/>
          <w:kern w:val="0"/>
          <w:szCs w:val="21"/>
          <w:highlight w:val="none"/>
        </w:rPr>
        <w:t>质量保修范围</w:t>
      </w:r>
    </w:p>
    <w:p w14:paraId="5D8883BB">
      <w:pPr>
        <w:autoSpaceDE w:val="0"/>
        <w:autoSpaceDN w:val="0"/>
        <w:adjustRightInd w:val="0"/>
        <w:spacing w:before="94" w:line="360" w:lineRule="auto"/>
        <w:ind w:left="101" w:leftChars="48" w:right="47"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质量保修范围包括工程量清单内所包含的所有施工内容。</w:t>
      </w:r>
    </w:p>
    <w:p w14:paraId="3A4CED27">
      <w:pPr>
        <w:autoSpaceDE w:val="0"/>
        <w:autoSpaceDN w:val="0"/>
        <w:adjustRightInd w:val="0"/>
        <w:spacing w:before="94" w:line="360" w:lineRule="auto"/>
        <w:ind w:right="47"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 </w:t>
      </w:r>
      <w:r>
        <w:rPr>
          <w:rFonts w:hint="eastAsia" w:ascii="宋体" w:hAnsi="宋体" w:eastAsia="宋体" w:cs="Times New Roman"/>
          <w:kern w:val="0"/>
          <w:szCs w:val="21"/>
          <w:highlight w:val="none"/>
        </w:rPr>
        <w:t>质量保修期</w:t>
      </w:r>
    </w:p>
    <w:p w14:paraId="05745E9B">
      <w:pPr>
        <w:autoSpaceDE w:val="0"/>
        <w:autoSpaceDN w:val="0"/>
        <w:adjustRightInd w:val="0"/>
        <w:spacing w:before="94" w:line="360" w:lineRule="auto"/>
        <w:ind w:right="165"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2.1 </w:t>
      </w:r>
      <w:r>
        <w:rPr>
          <w:rFonts w:hint="eastAsia" w:ascii="宋体" w:hAnsi="宋体" w:eastAsia="宋体" w:cs="Times New Roman"/>
          <w:kern w:val="0"/>
          <w:szCs w:val="21"/>
          <w:highlight w:val="none"/>
        </w:rPr>
        <w:t>质量保修期从合同工程实际竣工之日算起。单项竣工验收的工程，按单项工程分别计算质量保修期。</w:t>
      </w:r>
    </w:p>
    <w:p w14:paraId="044C98E4">
      <w:pPr>
        <w:autoSpaceDE w:val="0"/>
        <w:autoSpaceDN w:val="0"/>
        <w:adjustRightInd w:val="0"/>
        <w:spacing w:before="52"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2.2 </w:t>
      </w:r>
      <w:r>
        <w:rPr>
          <w:rFonts w:hint="eastAsia" w:ascii="宋体" w:hAnsi="宋体" w:eastAsia="宋体" w:cs="Times New Roman"/>
          <w:kern w:val="0"/>
          <w:szCs w:val="21"/>
          <w:highlight w:val="none"/>
        </w:rPr>
        <w:t>合同工程质量保修期，合同双方当事人约定如下：</w:t>
      </w:r>
    </w:p>
    <w:p w14:paraId="0BFBC7E5">
      <w:pPr>
        <w:autoSpaceDE w:val="0"/>
        <w:autoSpaceDN w:val="0"/>
        <w:adjustRightInd w:val="0"/>
        <w:spacing w:before="94" w:line="360" w:lineRule="auto"/>
        <w:ind w:left="581"/>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地基基础工程、主体结构工程为设计文件规定的合理使用年限；</w:t>
      </w:r>
    </w:p>
    <w:p w14:paraId="5839877B">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3. </w:t>
      </w:r>
      <w:r>
        <w:rPr>
          <w:rFonts w:hint="eastAsia" w:ascii="宋体" w:hAnsi="宋体" w:eastAsia="宋体" w:cs="Times New Roman"/>
          <w:kern w:val="0"/>
          <w:szCs w:val="21"/>
          <w:highlight w:val="none"/>
        </w:rPr>
        <w:t>质量保修责任</w:t>
      </w:r>
    </w:p>
    <w:p w14:paraId="5375DBC6">
      <w:pPr>
        <w:autoSpaceDE w:val="0"/>
        <w:autoSpaceDN w:val="0"/>
        <w:adjustRightInd w:val="0"/>
        <w:spacing w:before="94" w:line="360" w:lineRule="auto"/>
        <w:ind w:left="101" w:leftChars="48"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3.1属于保修范围的项目，承包人应在接到发包人通知后的24小时内派人保修（紧急情况下需及时到位。承包人未能在规定时间内派人保修的，发包人可自行或委托第三方保修。</w:t>
      </w:r>
    </w:p>
    <w:p w14:paraId="6F739AB8">
      <w:pPr>
        <w:autoSpaceDE w:val="0"/>
        <w:autoSpaceDN w:val="0"/>
        <w:adjustRightInd w:val="0"/>
        <w:spacing w:before="51" w:line="360" w:lineRule="auto"/>
        <w:ind w:firstLine="525" w:firstLineChars="250"/>
        <w:jc w:val="left"/>
        <w:rPr>
          <w:rFonts w:ascii="宋体" w:hAnsi="宋体" w:eastAsia="宋体" w:cs="Times New Roman"/>
          <w:kern w:val="0"/>
          <w:szCs w:val="21"/>
          <w:highlight w:val="none"/>
        </w:rPr>
      </w:pPr>
      <w:r>
        <w:rPr>
          <w:rFonts w:ascii="宋体" w:hAnsi="宋体" w:eastAsia="宋体" w:cs="Times New Roman"/>
          <w:kern w:val="0"/>
          <w:szCs w:val="21"/>
          <w:highlight w:val="none"/>
        </w:rPr>
        <w:t>3.2发生紧急抢修事故的，承包人在接到通知后，应立即到达事故现场抢修。</w:t>
      </w:r>
    </w:p>
    <w:p w14:paraId="7D080781">
      <w:pPr>
        <w:autoSpaceDE w:val="0"/>
        <w:autoSpaceDN w:val="0"/>
        <w:adjustRightInd w:val="0"/>
        <w:spacing w:before="94" w:line="360" w:lineRule="auto"/>
        <w:ind w:left="101" w:leftChars="48"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3.3在国家规定的合理使用期限内，承包人应确保地基基础工程和主体结构的质量和安全。凡出现质量问题，应立即报告当地建设行政主管部门，经设计人提出保修方案后，承包人应立即实施保修。</w:t>
      </w:r>
    </w:p>
    <w:p w14:paraId="05D43E73">
      <w:pPr>
        <w:autoSpaceDE w:val="0"/>
        <w:autoSpaceDN w:val="0"/>
        <w:adjustRightInd w:val="0"/>
        <w:spacing w:before="94" w:line="360" w:lineRule="auto"/>
        <w:ind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3.4质量保修完成后，由发包人组织验收。</w:t>
      </w:r>
    </w:p>
    <w:p w14:paraId="3CD19F54">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4. </w:t>
      </w:r>
      <w:r>
        <w:rPr>
          <w:rFonts w:hint="eastAsia" w:ascii="宋体" w:hAnsi="宋体" w:eastAsia="宋体" w:cs="Times New Roman"/>
          <w:kern w:val="0"/>
          <w:szCs w:val="21"/>
          <w:highlight w:val="none"/>
        </w:rPr>
        <w:t>质量保修费用</w:t>
      </w:r>
    </w:p>
    <w:p w14:paraId="52DE849E">
      <w:pPr>
        <w:autoSpaceDE w:val="0"/>
        <w:autoSpaceDN w:val="0"/>
        <w:adjustRightInd w:val="0"/>
        <w:spacing w:before="94" w:line="360" w:lineRule="auto"/>
        <w:ind w:left="581"/>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质量保修等费用，由责任方承担。</w:t>
      </w:r>
    </w:p>
    <w:p w14:paraId="56B358C3">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5．其他</w:t>
      </w:r>
    </w:p>
    <w:p w14:paraId="362CA2C5">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5.1本质量保修书，由合同双方当事人在承包人向发包人提交竣工验收申请报告时签署，作为本合同的附件。</w:t>
      </w:r>
    </w:p>
    <w:p w14:paraId="396FEB20">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5.2本质量保修书，自合同双方当事人签署之日起生效，至质量保修期满后失效。</w:t>
      </w:r>
    </w:p>
    <w:p w14:paraId="1453068C">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以下无正文</w:t>
      </w:r>
    </w:p>
    <w:p w14:paraId="335B509D">
      <w:pPr>
        <w:autoSpaceDE w:val="0"/>
        <w:autoSpaceDN w:val="0"/>
        <w:adjustRightInd w:val="0"/>
        <w:spacing w:line="360" w:lineRule="auto"/>
        <w:ind w:left="101" w:right="110" w:firstLine="480"/>
        <w:jc w:val="left"/>
        <w:rPr>
          <w:rFonts w:ascii="宋体" w:hAnsi="宋体" w:eastAsia="宋体" w:cs="Times New Roman"/>
          <w:kern w:val="0"/>
          <w:szCs w:val="21"/>
          <w:highlight w:val="none"/>
        </w:r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1"/>
        <w:gridCol w:w="4571"/>
      </w:tblGrid>
      <w:tr w14:paraId="0641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500" w:type="pct"/>
            <w:tcBorders>
              <w:top w:val="single" w:color="auto" w:sz="4" w:space="0"/>
              <w:left w:val="single" w:color="auto" w:sz="4" w:space="0"/>
              <w:bottom w:val="single" w:color="auto" w:sz="4" w:space="0"/>
              <w:right w:val="single" w:color="auto" w:sz="4" w:space="0"/>
            </w:tcBorders>
          </w:tcPr>
          <w:p w14:paraId="638254FB">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发包人（盖章）：</w:t>
            </w:r>
          </w:p>
        </w:tc>
        <w:tc>
          <w:tcPr>
            <w:tcW w:w="2500" w:type="pct"/>
            <w:tcBorders>
              <w:top w:val="single" w:color="auto" w:sz="4" w:space="0"/>
              <w:left w:val="nil"/>
              <w:bottom w:val="single" w:color="auto" w:sz="4" w:space="0"/>
              <w:right w:val="single" w:color="auto" w:sz="4" w:space="0"/>
            </w:tcBorders>
          </w:tcPr>
          <w:p w14:paraId="3D3C3120">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承包人（盖章）：</w:t>
            </w:r>
            <w:r>
              <w:rPr>
                <w:rFonts w:ascii="宋体" w:hAnsi="宋体" w:eastAsia="宋体" w:cs="Times New Roman"/>
                <w:kern w:val="0"/>
                <w:szCs w:val="21"/>
                <w:highlight w:val="none"/>
              </w:rPr>
              <w:t xml:space="preserve"> </w:t>
            </w:r>
          </w:p>
        </w:tc>
      </w:tr>
      <w:tr w14:paraId="3025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3BEFA601">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法定代表人：</w:t>
            </w:r>
          </w:p>
        </w:tc>
        <w:tc>
          <w:tcPr>
            <w:tcW w:w="2500" w:type="pct"/>
            <w:tcBorders>
              <w:top w:val="single" w:color="auto" w:sz="4" w:space="0"/>
              <w:left w:val="nil"/>
              <w:bottom w:val="single" w:color="auto" w:sz="4" w:space="0"/>
              <w:right w:val="single" w:color="auto" w:sz="4" w:space="0"/>
            </w:tcBorders>
            <w:vAlign w:val="center"/>
          </w:tcPr>
          <w:p w14:paraId="2B644B59">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法定代表人：</w:t>
            </w:r>
          </w:p>
        </w:tc>
      </w:tr>
      <w:tr w14:paraId="0EE1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3D1342F7">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或委托代理人（签字）：</w:t>
            </w:r>
          </w:p>
        </w:tc>
        <w:tc>
          <w:tcPr>
            <w:tcW w:w="2500" w:type="pct"/>
            <w:tcBorders>
              <w:top w:val="single" w:color="auto" w:sz="4" w:space="0"/>
              <w:left w:val="nil"/>
              <w:bottom w:val="single" w:color="auto" w:sz="4" w:space="0"/>
              <w:right w:val="single" w:color="auto" w:sz="4" w:space="0"/>
            </w:tcBorders>
            <w:vAlign w:val="center"/>
          </w:tcPr>
          <w:p w14:paraId="1C0EB3F5">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或委托代理人（签字）：</w:t>
            </w:r>
          </w:p>
        </w:tc>
      </w:tr>
      <w:tr w14:paraId="6AE5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7BB877BE">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日期：</w:t>
            </w:r>
            <w:r>
              <w:rPr>
                <w:rFonts w:ascii="宋体" w:hAnsi="宋体" w:eastAsia="宋体" w:cs="Times New Roman"/>
                <w:kern w:val="0"/>
                <w:szCs w:val="21"/>
                <w:highlight w:val="none"/>
              </w:rPr>
              <w:t>202</w:t>
            </w:r>
            <w:r>
              <w:rPr>
                <w:rFonts w:hint="eastAsia" w:ascii="宋体" w:hAnsi="宋体" w:eastAsia="宋体" w:cs="Times New Roman"/>
                <w:kern w:val="0"/>
                <w:szCs w:val="21"/>
                <w:highlight w:val="none"/>
              </w:rPr>
              <w:t>5</w:t>
            </w:r>
            <w:r>
              <w:rPr>
                <w:rFonts w:ascii="宋体" w:hAnsi="宋体" w:eastAsia="宋体" w:cs="Times New Roman"/>
                <w:kern w:val="0"/>
                <w:szCs w:val="21"/>
                <w:highlight w:val="none"/>
              </w:rPr>
              <w:t xml:space="preserve">年  </w:t>
            </w:r>
            <w:r>
              <w:rPr>
                <w:rFonts w:hint="eastAsia" w:ascii="宋体" w:hAnsi="宋体" w:eastAsia="宋体" w:cs="Times New Roman"/>
                <w:kern w:val="0"/>
                <w:szCs w:val="21"/>
                <w:highlight w:val="none"/>
              </w:rPr>
              <w:t>月  日</w:t>
            </w:r>
          </w:p>
        </w:tc>
        <w:tc>
          <w:tcPr>
            <w:tcW w:w="2500" w:type="pct"/>
            <w:tcBorders>
              <w:top w:val="single" w:color="auto" w:sz="4" w:space="0"/>
              <w:left w:val="nil"/>
              <w:bottom w:val="single" w:color="auto" w:sz="4" w:space="0"/>
              <w:right w:val="single" w:color="auto" w:sz="4" w:space="0"/>
            </w:tcBorders>
            <w:vAlign w:val="center"/>
          </w:tcPr>
          <w:p w14:paraId="3B47EBAA">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日期：</w:t>
            </w:r>
            <w:r>
              <w:rPr>
                <w:rFonts w:ascii="宋体" w:hAnsi="宋体" w:eastAsia="宋体" w:cs="Times New Roman"/>
                <w:kern w:val="0"/>
                <w:szCs w:val="21"/>
                <w:highlight w:val="none"/>
              </w:rPr>
              <w:t>202</w:t>
            </w:r>
            <w:r>
              <w:rPr>
                <w:rFonts w:hint="eastAsia" w:ascii="宋体" w:hAnsi="宋体" w:eastAsia="宋体" w:cs="Times New Roman"/>
                <w:kern w:val="0"/>
                <w:szCs w:val="21"/>
                <w:highlight w:val="none"/>
              </w:rPr>
              <w:t>5</w:t>
            </w:r>
            <w:r>
              <w:rPr>
                <w:rFonts w:ascii="宋体" w:hAnsi="宋体" w:eastAsia="宋体" w:cs="Times New Roman"/>
                <w:kern w:val="0"/>
                <w:szCs w:val="21"/>
                <w:highlight w:val="none"/>
              </w:rPr>
              <w:t xml:space="preserve">年  </w:t>
            </w:r>
            <w:r>
              <w:rPr>
                <w:rFonts w:hint="eastAsia" w:ascii="宋体" w:hAnsi="宋体" w:eastAsia="宋体" w:cs="Times New Roman"/>
                <w:kern w:val="0"/>
                <w:szCs w:val="21"/>
                <w:highlight w:val="none"/>
              </w:rPr>
              <w:t>月  日</w:t>
            </w:r>
          </w:p>
        </w:tc>
      </w:tr>
    </w:tbl>
    <w:p w14:paraId="47E3C9BA">
      <w:pPr>
        <w:pStyle w:val="30"/>
        <w:ind w:left="0" w:leftChars="0" w:firstLine="0" w:firstLineChars="0"/>
        <w:rPr>
          <w:highlight w:val="none"/>
        </w:rPr>
      </w:pPr>
    </w:p>
    <w:p w14:paraId="734EF082">
      <w:pPr>
        <w:pStyle w:val="11"/>
        <w:rPr>
          <w:highlight w:val="none"/>
        </w:rPr>
      </w:pPr>
    </w:p>
    <w:p w14:paraId="69A3D414">
      <w:pPr>
        <w:rPr>
          <w:highlight w:val="none"/>
        </w:rPr>
      </w:pPr>
    </w:p>
    <w:p w14:paraId="38A63022">
      <w:pPr>
        <w:pStyle w:val="30"/>
        <w:ind w:left="420" w:firstLine="420"/>
        <w:rPr>
          <w:highlight w:val="none"/>
        </w:rPr>
      </w:pPr>
    </w:p>
    <w:p w14:paraId="1D2F2155">
      <w:pPr>
        <w:pStyle w:val="11"/>
        <w:rPr>
          <w:highlight w:val="none"/>
        </w:rPr>
      </w:pPr>
    </w:p>
    <w:p w14:paraId="78289C06">
      <w:pPr>
        <w:rPr>
          <w:highlight w:val="none"/>
        </w:rPr>
      </w:pPr>
    </w:p>
    <w:p w14:paraId="13373233">
      <w:pPr>
        <w:pStyle w:val="30"/>
        <w:ind w:left="420" w:firstLine="420"/>
        <w:rPr>
          <w:highlight w:val="none"/>
        </w:rPr>
      </w:pPr>
    </w:p>
    <w:p w14:paraId="2CE92558">
      <w:pPr>
        <w:pStyle w:val="11"/>
        <w:rPr>
          <w:highlight w:val="none"/>
        </w:rPr>
      </w:pPr>
    </w:p>
    <w:p w14:paraId="2C778167">
      <w:pPr>
        <w:rPr>
          <w:highlight w:val="none"/>
        </w:rPr>
      </w:pPr>
    </w:p>
    <w:p w14:paraId="289DEC98">
      <w:pPr>
        <w:pStyle w:val="30"/>
        <w:ind w:left="420" w:firstLine="420"/>
        <w:rPr>
          <w:highlight w:val="none"/>
        </w:rPr>
      </w:pPr>
    </w:p>
    <w:p w14:paraId="5357A6D2">
      <w:pPr>
        <w:pStyle w:val="11"/>
        <w:rPr>
          <w:highlight w:val="none"/>
        </w:rPr>
      </w:pPr>
    </w:p>
    <w:p w14:paraId="31A967CC">
      <w:pPr>
        <w:rPr>
          <w:highlight w:val="none"/>
        </w:rPr>
      </w:pPr>
    </w:p>
    <w:p w14:paraId="6076FC6E">
      <w:pPr>
        <w:pStyle w:val="30"/>
        <w:ind w:left="420" w:firstLine="420"/>
        <w:rPr>
          <w:highlight w:val="none"/>
        </w:rPr>
      </w:pPr>
    </w:p>
    <w:p w14:paraId="7489E975">
      <w:pPr>
        <w:pStyle w:val="11"/>
        <w:rPr>
          <w:highlight w:val="none"/>
        </w:rPr>
      </w:pPr>
    </w:p>
    <w:p w14:paraId="54A105DB">
      <w:pPr>
        <w:rPr>
          <w:highlight w:val="none"/>
        </w:rPr>
      </w:pPr>
    </w:p>
    <w:p w14:paraId="786E173F">
      <w:pPr>
        <w:pStyle w:val="30"/>
        <w:ind w:left="420" w:firstLine="420"/>
        <w:rPr>
          <w:highlight w:val="none"/>
        </w:rPr>
      </w:pPr>
    </w:p>
    <w:p w14:paraId="4D23175B">
      <w:pPr>
        <w:pStyle w:val="11"/>
        <w:rPr>
          <w:highlight w:val="none"/>
        </w:rPr>
      </w:pPr>
    </w:p>
    <w:p w14:paraId="019CC45F">
      <w:pPr>
        <w:rPr>
          <w:highlight w:val="none"/>
        </w:rPr>
      </w:pPr>
    </w:p>
    <w:p w14:paraId="325B6FBD">
      <w:pPr>
        <w:pStyle w:val="30"/>
        <w:ind w:left="420" w:firstLine="420"/>
        <w:rPr>
          <w:highlight w:val="none"/>
        </w:rPr>
      </w:pPr>
    </w:p>
    <w:p w14:paraId="353D51AE">
      <w:pPr>
        <w:pStyle w:val="11"/>
        <w:rPr>
          <w:highlight w:val="none"/>
        </w:rPr>
      </w:pPr>
    </w:p>
    <w:p w14:paraId="01CF0467">
      <w:pPr>
        <w:rPr>
          <w:highlight w:val="none"/>
        </w:rPr>
      </w:pPr>
    </w:p>
    <w:p w14:paraId="29C7ABEA">
      <w:pPr>
        <w:pStyle w:val="30"/>
        <w:ind w:left="420" w:firstLine="420"/>
        <w:rPr>
          <w:highlight w:val="none"/>
        </w:rPr>
      </w:pPr>
    </w:p>
    <w:p w14:paraId="6C92B1DC">
      <w:pPr>
        <w:pStyle w:val="11"/>
        <w:rPr>
          <w:highlight w:val="none"/>
        </w:rPr>
      </w:pPr>
    </w:p>
    <w:p w14:paraId="6C9DAB0E">
      <w:pPr>
        <w:rPr>
          <w:highlight w:val="none"/>
        </w:rPr>
      </w:pPr>
      <w:r>
        <w:rPr>
          <w:highlight w:val="none"/>
        </w:rPr>
        <w:br w:type="page"/>
      </w:r>
    </w:p>
    <w:p w14:paraId="2894C2A0">
      <w:pPr>
        <w:spacing w:line="502" w:lineRule="exact"/>
        <w:ind w:right="220"/>
        <w:jc w:val="center"/>
        <w:outlineLvl w:val="0"/>
        <w:rPr>
          <w:rFonts w:hint="eastAsia" w:ascii="宋体" w:hAnsi="宋体" w:eastAsia="宋体"/>
          <w:b/>
          <w:sz w:val="44"/>
          <w:highlight w:val="none"/>
        </w:rPr>
      </w:pPr>
      <w:bookmarkStart w:id="127" w:name="_Toc7454662"/>
      <w:bookmarkStart w:id="128" w:name="_Toc508788684"/>
      <w:bookmarkStart w:id="129" w:name="_Toc4278"/>
      <w:r>
        <w:rPr>
          <w:rFonts w:hint="eastAsia" w:ascii="宋体" w:hAnsi="宋体" w:eastAsia="宋体"/>
          <w:b/>
          <w:sz w:val="44"/>
          <w:highlight w:val="none"/>
        </w:rPr>
        <w:t>第五章</w:t>
      </w:r>
      <w:bookmarkEnd w:id="127"/>
      <w:bookmarkEnd w:id="128"/>
      <w:r>
        <w:rPr>
          <w:rFonts w:hint="eastAsia" w:ascii="宋体" w:hAnsi="宋体" w:eastAsia="宋体"/>
          <w:b/>
          <w:sz w:val="44"/>
          <w:highlight w:val="none"/>
        </w:rPr>
        <w:t xml:space="preserve"> </w:t>
      </w:r>
      <w:bookmarkEnd w:id="129"/>
      <w:r>
        <w:rPr>
          <w:rFonts w:hint="eastAsia" w:ascii="宋体" w:hAnsi="宋体" w:eastAsia="宋体"/>
          <w:b/>
          <w:sz w:val="44"/>
          <w:highlight w:val="none"/>
        </w:rPr>
        <w:t>供货要求</w:t>
      </w:r>
    </w:p>
    <w:p w14:paraId="079FCA7B">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477885"/>
            <wp:effectExtent l="0" t="0" r="9525" b="0"/>
            <wp:docPr id="2" name="图片 2" descr="D:\工程\部分客用电梯及相关配套更新\需求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程\部分客用电梯及相关配套更新\需求书.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71671" cy="8483722"/>
                    </a:xfrm>
                    <a:prstGeom prst="rect">
                      <a:avLst/>
                    </a:prstGeom>
                    <a:noFill/>
                    <a:ln>
                      <a:noFill/>
                    </a:ln>
                  </pic:spPr>
                </pic:pic>
              </a:graphicData>
            </a:graphic>
          </wp:inline>
        </w:drawing>
      </w:r>
    </w:p>
    <w:p w14:paraId="340EA5EB">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66175"/>
            <wp:effectExtent l="0" t="0" r="9525" b="0"/>
            <wp:docPr id="3" name="图片 3" descr="D:\工程\部分客用电梯及相关配套更新\需求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程\部分客用电梯及相关配套更新\需求书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71148" cy="8771340"/>
                    </a:xfrm>
                    <a:prstGeom prst="rect">
                      <a:avLst/>
                    </a:prstGeom>
                    <a:noFill/>
                    <a:ln>
                      <a:noFill/>
                    </a:ln>
                  </pic:spPr>
                </pic:pic>
              </a:graphicData>
            </a:graphic>
          </wp:inline>
        </w:drawing>
      </w:r>
    </w:p>
    <w:p w14:paraId="7F23C7E9">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96020"/>
            <wp:effectExtent l="0" t="0" r="9525" b="5080"/>
            <wp:docPr id="4" name="图片 4" descr="D:\工程\部分客用电梯及相关配套更新\需求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程\部分客用电梯及相关配套更新\需求书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70102" cy="8799551"/>
                    </a:xfrm>
                    <a:prstGeom prst="rect">
                      <a:avLst/>
                    </a:prstGeom>
                    <a:noFill/>
                    <a:ln>
                      <a:noFill/>
                    </a:ln>
                  </pic:spPr>
                </pic:pic>
              </a:graphicData>
            </a:graphic>
          </wp:inline>
        </w:drawing>
      </w:r>
    </w:p>
    <w:p w14:paraId="1DE3BD43">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36330"/>
            <wp:effectExtent l="0" t="0" r="9525" b="7620"/>
            <wp:docPr id="5" name="图片 5" descr="D:\工程\部分客用电梯及相关配套更新\需求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程\部分客用电梯及相关配套更新\需求书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71148" cy="8741505"/>
                    </a:xfrm>
                    <a:prstGeom prst="rect">
                      <a:avLst/>
                    </a:prstGeom>
                    <a:noFill/>
                    <a:ln>
                      <a:noFill/>
                    </a:ln>
                  </pic:spPr>
                </pic:pic>
              </a:graphicData>
            </a:graphic>
          </wp:inline>
        </w:drawing>
      </w:r>
    </w:p>
    <w:p w14:paraId="769F3963">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36330"/>
            <wp:effectExtent l="0" t="0" r="9525" b="7620"/>
            <wp:docPr id="6" name="图片 6" descr="D:\工程\部分客用电梯及相关配套更新\需求书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程\部分客用电梯及相关配套更新\需求书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72717" cy="8743924"/>
                    </a:xfrm>
                    <a:prstGeom prst="rect">
                      <a:avLst/>
                    </a:prstGeom>
                    <a:noFill/>
                    <a:ln>
                      <a:noFill/>
                    </a:ln>
                  </pic:spPr>
                </pic:pic>
              </a:graphicData>
            </a:graphic>
          </wp:inline>
        </w:drawing>
      </w:r>
    </w:p>
    <w:p w14:paraId="30D2BF25">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75700"/>
            <wp:effectExtent l="0" t="0" r="9525" b="6350"/>
            <wp:docPr id="7" name="图片 7" descr="D:\工程\部分客用电梯及相关配套更新\需求书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程\部分客用电梯及相关配套更新\需求书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72194" cy="8782905"/>
                    </a:xfrm>
                    <a:prstGeom prst="rect">
                      <a:avLst/>
                    </a:prstGeom>
                    <a:noFill/>
                    <a:ln>
                      <a:noFill/>
                    </a:ln>
                  </pic:spPr>
                </pic:pic>
              </a:graphicData>
            </a:graphic>
          </wp:inline>
        </w:drawing>
      </w:r>
    </w:p>
    <w:p w14:paraId="16070C8F">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815705"/>
            <wp:effectExtent l="0" t="0" r="9525" b="4445"/>
            <wp:docPr id="8" name="图片 8" descr="D:\工程\部分客用电梯及相关配套更新\需求书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工程\部分客用电梯及相关配套更新\需求书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70625" cy="8820250"/>
                    </a:xfrm>
                    <a:prstGeom prst="rect">
                      <a:avLst/>
                    </a:prstGeom>
                    <a:noFill/>
                    <a:ln>
                      <a:noFill/>
                    </a:ln>
                  </pic:spPr>
                </pic:pic>
              </a:graphicData>
            </a:graphic>
          </wp:inline>
        </w:drawing>
      </w:r>
    </w:p>
    <w:p w14:paraId="7B45320E">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36330"/>
            <wp:effectExtent l="0" t="0" r="9525" b="7620"/>
            <wp:docPr id="9" name="图片 9" descr="D:\工程\部分客用电梯及相关配套更新\需求书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程\部分客用电梯及相关配套更新\需求书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70625" cy="8740699"/>
                    </a:xfrm>
                    <a:prstGeom prst="rect">
                      <a:avLst/>
                    </a:prstGeom>
                    <a:noFill/>
                    <a:ln>
                      <a:noFill/>
                    </a:ln>
                  </pic:spPr>
                </pic:pic>
              </a:graphicData>
            </a:graphic>
          </wp:inline>
        </w:drawing>
      </w:r>
    </w:p>
    <w:p w14:paraId="32AA1C4E">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26170"/>
            <wp:effectExtent l="0" t="0" r="9525" b="0"/>
            <wp:docPr id="10" name="图片 10" descr="D:\工程\部分客用电梯及相关配套更新\需求书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工程\部分客用电梯及相关配套更新\需求书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69579" cy="8729144"/>
                    </a:xfrm>
                    <a:prstGeom prst="rect">
                      <a:avLst/>
                    </a:prstGeom>
                    <a:noFill/>
                    <a:ln>
                      <a:noFill/>
                    </a:ln>
                  </pic:spPr>
                </pic:pic>
              </a:graphicData>
            </a:graphic>
          </wp:inline>
        </w:drawing>
      </w:r>
    </w:p>
    <w:p w14:paraId="65DC3177">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56015"/>
            <wp:effectExtent l="0" t="0" r="9525" b="6985"/>
            <wp:docPr id="11" name="图片 11" descr="D:\工程\部分客用电梯及相关配套更新\需求书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程\部分客用电梯及相关配套更新\需求书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69579" cy="8758971"/>
                    </a:xfrm>
                    <a:prstGeom prst="rect">
                      <a:avLst/>
                    </a:prstGeom>
                    <a:noFill/>
                    <a:ln>
                      <a:noFill/>
                    </a:ln>
                  </pic:spPr>
                </pic:pic>
              </a:graphicData>
            </a:graphic>
          </wp:inline>
        </w:drawing>
      </w:r>
    </w:p>
    <w:p w14:paraId="5594FCCF">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8726170"/>
            <wp:effectExtent l="0" t="0" r="9525" b="0"/>
            <wp:docPr id="12" name="图片 12" descr="D:\工程\部分客用电梯及相关配套更新\需求书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程\部分客用电梯及相关配套更新\需求书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1671" cy="8732366"/>
                    </a:xfrm>
                    <a:prstGeom prst="rect">
                      <a:avLst/>
                    </a:prstGeom>
                    <a:noFill/>
                    <a:ln>
                      <a:noFill/>
                    </a:ln>
                  </pic:spPr>
                </pic:pic>
              </a:graphicData>
            </a:graphic>
          </wp:inline>
        </w:drawing>
      </w:r>
    </w:p>
    <w:p w14:paraId="3D680654">
      <w:pPr>
        <w:ind w:right="168"/>
        <w:rPr>
          <w:rFonts w:hint="eastAsia" w:ascii="宋体" w:hAnsi="宋体" w:eastAsia="宋体"/>
          <w:b/>
          <w:sz w:val="32"/>
          <w:szCs w:val="32"/>
          <w:highlight w:val="none"/>
        </w:rPr>
      </w:pPr>
      <w:r>
        <w:rPr>
          <w:rFonts w:ascii="宋体" w:hAnsi="宋体" w:eastAsia="宋体"/>
          <w:b/>
          <w:sz w:val="32"/>
          <w:szCs w:val="32"/>
          <w:highlight w:val="none"/>
        </w:rPr>
        <w:drawing>
          <wp:inline distT="0" distB="0" distL="0" distR="0">
            <wp:extent cx="5667375" cy="8716010"/>
            <wp:effectExtent l="0" t="0" r="9525" b="8890"/>
            <wp:docPr id="13" name="图片 13" descr="D:\工程\部分客用电梯及相关配套更新\需求书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程\部分客用电梯及相关配套更新\需求书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70625" cy="8720811"/>
                    </a:xfrm>
                    <a:prstGeom prst="rect">
                      <a:avLst/>
                    </a:prstGeom>
                    <a:noFill/>
                    <a:ln>
                      <a:noFill/>
                    </a:ln>
                  </pic:spPr>
                </pic:pic>
              </a:graphicData>
            </a:graphic>
          </wp:inline>
        </w:drawing>
      </w:r>
    </w:p>
    <w:p w14:paraId="4A95D631">
      <w:pPr>
        <w:spacing w:line="502" w:lineRule="exact"/>
        <w:ind w:right="220"/>
        <w:jc w:val="center"/>
        <w:outlineLvl w:val="0"/>
        <w:rPr>
          <w:rFonts w:ascii="宋体" w:hAnsi="宋体" w:eastAsia="宋体"/>
          <w:b/>
          <w:sz w:val="44"/>
          <w:highlight w:val="none"/>
        </w:rPr>
      </w:pPr>
      <w:bookmarkStart w:id="130" w:name="_Toc27812"/>
      <w:bookmarkStart w:id="131" w:name="_Toc7454665"/>
      <w:bookmarkStart w:id="132" w:name="_Toc508788696"/>
      <w:r>
        <w:rPr>
          <w:rFonts w:hint="eastAsia" w:ascii="宋体" w:hAnsi="宋体" w:eastAsia="宋体"/>
          <w:b/>
          <w:sz w:val="44"/>
          <w:highlight w:val="none"/>
        </w:rPr>
        <w:t>第六章 投标文件格式</w:t>
      </w:r>
      <w:bookmarkEnd w:id="130"/>
      <w:bookmarkEnd w:id="131"/>
      <w:bookmarkEnd w:id="132"/>
    </w:p>
    <w:p w14:paraId="6E4B0059">
      <w:pPr>
        <w:spacing w:line="360" w:lineRule="auto"/>
        <w:jc w:val="center"/>
        <w:rPr>
          <w:rFonts w:ascii="宋体" w:hAnsi="宋体" w:eastAsia="宋体"/>
          <w:sz w:val="20"/>
          <w:highlight w:val="none"/>
          <w:u w:val="single"/>
        </w:rPr>
      </w:pPr>
      <w:r>
        <w:rPr>
          <w:rFonts w:hint="eastAsia" w:ascii="宋体" w:hAnsi="宋体" w:eastAsia="宋体"/>
          <w:sz w:val="22"/>
          <w:highlight w:val="none"/>
        </w:rPr>
        <w:br w:type="page"/>
      </w:r>
      <w:r>
        <w:rPr>
          <w:rFonts w:hint="eastAsia" w:ascii="宋体" w:hAnsi="宋体" w:eastAsia="宋体"/>
          <w:sz w:val="36"/>
          <w:highlight w:val="none"/>
          <w:u w:val="single"/>
        </w:rPr>
        <w:t>（招标项目名称）</w:t>
      </w:r>
    </w:p>
    <w:p w14:paraId="65493C09">
      <w:pPr>
        <w:spacing w:line="360" w:lineRule="auto"/>
        <w:jc w:val="center"/>
        <w:rPr>
          <w:rFonts w:ascii="宋体" w:hAnsi="宋体" w:eastAsia="宋体"/>
          <w:sz w:val="22"/>
          <w:highlight w:val="none"/>
        </w:rPr>
      </w:pPr>
    </w:p>
    <w:p w14:paraId="3B58A0C2">
      <w:pPr>
        <w:widowControl/>
        <w:spacing w:line="360" w:lineRule="auto"/>
        <w:jc w:val="center"/>
        <w:rPr>
          <w:rFonts w:ascii="宋体" w:hAnsi="宋体" w:eastAsia="宋体"/>
          <w:sz w:val="44"/>
          <w:highlight w:val="none"/>
        </w:rPr>
      </w:pPr>
      <w:r>
        <w:rPr>
          <w:rFonts w:hint="eastAsia" w:ascii="宋体" w:hAnsi="宋体" w:eastAsia="宋体"/>
          <w:sz w:val="44"/>
          <w:highlight w:val="none"/>
        </w:rPr>
        <w:t>投标文件</w:t>
      </w:r>
    </w:p>
    <w:p w14:paraId="33F19751">
      <w:pPr>
        <w:widowControl/>
        <w:spacing w:line="360" w:lineRule="auto"/>
        <w:jc w:val="center"/>
        <w:rPr>
          <w:rFonts w:ascii="宋体" w:hAnsi="宋体" w:eastAsia="宋体"/>
          <w:sz w:val="44"/>
          <w:highlight w:val="none"/>
        </w:rPr>
      </w:pPr>
    </w:p>
    <w:p w14:paraId="3E256AB2">
      <w:pPr>
        <w:widowControl/>
        <w:spacing w:line="360" w:lineRule="auto"/>
        <w:jc w:val="center"/>
        <w:rPr>
          <w:rFonts w:ascii="宋体" w:hAnsi="宋体" w:eastAsia="宋体"/>
          <w:sz w:val="44"/>
          <w:highlight w:val="none"/>
        </w:rPr>
      </w:pPr>
    </w:p>
    <w:p w14:paraId="5BAD1145">
      <w:pPr>
        <w:widowControl/>
        <w:spacing w:line="360" w:lineRule="auto"/>
        <w:jc w:val="center"/>
        <w:rPr>
          <w:rFonts w:ascii="宋体" w:hAnsi="宋体" w:eastAsia="宋体"/>
          <w:sz w:val="44"/>
          <w:highlight w:val="none"/>
        </w:rPr>
      </w:pPr>
    </w:p>
    <w:p w14:paraId="66549B8E">
      <w:pPr>
        <w:widowControl/>
        <w:spacing w:line="360" w:lineRule="auto"/>
        <w:jc w:val="center"/>
        <w:rPr>
          <w:rFonts w:ascii="宋体" w:hAnsi="宋体" w:eastAsia="宋体"/>
          <w:sz w:val="44"/>
          <w:highlight w:val="none"/>
        </w:rPr>
      </w:pPr>
    </w:p>
    <w:p w14:paraId="1592F8B2">
      <w:pPr>
        <w:widowControl/>
        <w:spacing w:line="360" w:lineRule="auto"/>
        <w:jc w:val="center"/>
        <w:rPr>
          <w:rFonts w:ascii="宋体" w:hAnsi="宋体" w:eastAsia="宋体"/>
          <w:sz w:val="44"/>
          <w:highlight w:val="none"/>
        </w:rPr>
      </w:pPr>
    </w:p>
    <w:p w14:paraId="70E51FAE">
      <w:pPr>
        <w:widowControl/>
        <w:spacing w:line="360" w:lineRule="auto"/>
        <w:jc w:val="center"/>
        <w:rPr>
          <w:rFonts w:ascii="宋体" w:hAnsi="宋体" w:eastAsia="宋体"/>
          <w:sz w:val="44"/>
          <w:highlight w:val="none"/>
        </w:rPr>
      </w:pPr>
    </w:p>
    <w:p w14:paraId="4EBDE199">
      <w:pPr>
        <w:widowControl/>
        <w:spacing w:line="360" w:lineRule="auto"/>
        <w:jc w:val="center"/>
        <w:rPr>
          <w:rFonts w:ascii="宋体" w:hAnsi="宋体" w:eastAsia="宋体"/>
          <w:sz w:val="44"/>
          <w:highlight w:val="none"/>
        </w:rPr>
      </w:pPr>
    </w:p>
    <w:p w14:paraId="726F8C34">
      <w:pPr>
        <w:widowControl/>
        <w:spacing w:line="360" w:lineRule="auto"/>
        <w:jc w:val="center"/>
        <w:rPr>
          <w:rFonts w:ascii="宋体" w:hAnsi="宋体" w:eastAsia="宋体"/>
          <w:sz w:val="44"/>
          <w:highlight w:val="none"/>
        </w:rPr>
      </w:pPr>
    </w:p>
    <w:p w14:paraId="71A8CE3D">
      <w:pPr>
        <w:widowControl/>
        <w:spacing w:line="360" w:lineRule="auto"/>
        <w:jc w:val="center"/>
        <w:rPr>
          <w:rFonts w:ascii="宋体" w:hAnsi="宋体" w:eastAsia="宋体"/>
          <w:sz w:val="44"/>
          <w:highlight w:val="none"/>
        </w:rPr>
      </w:pPr>
    </w:p>
    <w:p w14:paraId="34ABA299">
      <w:pPr>
        <w:widowControl/>
        <w:spacing w:line="360" w:lineRule="auto"/>
        <w:jc w:val="center"/>
        <w:rPr>
          <w:rFonts w:ascii="宋体" w:hAnsi="宋体" w:eastAsia="宋体"/>
          <w:sz w:val="22"/>
          <w:highlight w:val="none"/>
        </w:rPr>
      </w:pPr>
    </w:p>
    <w:p w14:paraId="3080A11A">
      <w:pPr>
        <w:widowControl/>
        <w:spacing w:line="360" w:lineRule="auto"/>
        <w:ind w:hanging="10"/>
        <w:jc w:val="left"/>
        <w:rPr>
          <w:rFonts w:ascii="宋体" w:hAnsi="宋体" w:eastAsia="宋体"/>
          <w:sz w:val="28"/>
          <w:highlight w:val="none"/>
        </w:rPr>
      </w:pPr>
      <w:r>
        <w:rPr>
          <w:rFonts w:hint="eastAsia" w:ascii="宋体" w:hAnsi="宋体" w:eastAsia="宋体"/>
          <w:sz w:val="28"/>
          <w:highlight w:val="none"/>
        </w:rPr>
        <w:t>投标人：（盖单位章）</w:t>
      </w:r>
    </w:p>
    <w:p w14:paraId="52779FCD">
      <w:pPr>
        <w:widowControl/>
        <w:spacing w:line="360" w:lineRule="auto"/>
        <w:ind w:hanging="10"/>
        <w:jc w:val="left"/>
        <w:rPr>
          <w:rFonts w:ascii="宋体" w:hAnsi="宋体" w:eastAsia="宋体"/>
          <w:sz w:val="22"/>
          <w:highlight w:val="none"/>
        </w:rPr>
      </w:pPr>
      <w:r>
        <w:rPr>
          <w:rFonts w:hint="eastAsia" w:ascii="宋体" w:hAnsi="宋体" w:eastAsia="宋体"/>
          <w:sz w:val="28"/>
          <w:highlight w:val="none"/>
        </w:rPr>
        <w:t>法定代表人（单位负责人）或其委托代理人：（签字或盖章）</w:t>
      </w:r>
    </w:p>
    <w:p w14:paraId="3FEFC697">
      <w:pPr>
        <w:widowControl/>
        <w:tabs>
          <w:tab w:val="center" w:pos="4320"/>
          <w:tab w:val="center" w:pos="8723"/>
        </w:tabs>
        <w:spacing w:line="360" w:lineRule="auto"/>
        <w:jc w:val="center"/>
        <w:rPr>
          <w:rFonts w:ascii="宋体" w:hAnsi="宋体" w:eastAsia="宋体"/>
          <w:highlight w:val="none"/>
        </w:rPr>
      </w:pPr>
      <w:r>
        <w:rPr>
          <w:rFonts w:hint="eastAsia" w:ascii="宋体" w:hAnsi="宋体" w:eastAsia="宋体"/>
          <w:sz w:val="28"/>
          <w:highlight w:val="none"/>
        </w:rPr>
        <w:t>年    月    日</w:t>
      </w:r>
    </w:p>
    <w:p w14:paraId="5414B00D">
      <w:pPr>
        <w:widowControl/>
        <w:tabs>
          <w:tab w:val="center" w:pos="4320"/>
          <w:tab w:val="center" w:pos="8723"/>
        </w:tabs>
        <w:spacing w:after="127" w:line="259" w:lineRule="auto"/>
        <w:jc w:val="left"/>
        <w:rPr>
          <w:rFonts w:ascii="宋体" w:hAnsi="宋体" w:eastAsia="宋体"/>
          <w:sz w:val="22"/>
          <w:highlight w:val="none"/>
        </w:rPr>
      </w:pPr>
      <w:r>
        <w:rPr>
          <w:rFonts w:hint="eastAsia" w:ascii="宋体" w:hAnsi="宋体" w:eastAsia="宋体"/>
          <w:highlight w:val="none"/>
        </w:rPr>
        <w:br w:type="page"/>
      </w:r>
    </w:p>
    <w:p w14:paraId="2F8B6357">
      <w:pPr>
        <w:keepNext/>
        <w:keepLines/>
        <w:widowControl/>
        <w:spacing w:line="360" w:lineRule="auto"/>
        <w:jc w:val="center"/>
        <w:rPr>
          <w:rFonts w:ascii="宋体" w:hAnsi="宋体" w:eastAsia="宋体"/>
          <w:kern w:val="0"/>
          <w:sz w:val="32"/>
          <w:szCs w:val="20"/>
          <w:highlight w:val="none"/>
        </w:rPr>
      </w:pPr>
      <w:bookmarkStart w:id="133" w:name="_Toc508788697"/>
      <w:bookmarkStart w:id="134" w:name="_Toc7454666"/>
      <w:bookmarkStart w:id="135" w:name="_Toc19186"/>
      <w:r>
        <w:rPr>
          <w:rFonts w:hint="eastAsia" w:ascii="宋体" w:hAnsi="宋体" w:eastAsia="宋体"/>
          <w:kern w:val="0"/>
          <w:sz w:val="32"/>
          <w:szCs w:val="20"/>
          <w:highlight w:val="none"/>
        </w:rPr>
        <w:t>目录</w:t>
      </w:r>
      <w:bookmarkEnd w:id="133"/>
      <w:bookmarkEnd w:id="134"/>
      <w:bookmarkEnd w:id="135"/>
    </w:p>
    <w:p w14:paraId="34FF6643">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一、投标函及投标函附录</w:t>
      </w:r>
    </w:p>
    <w:p w14:paraId="71D5D866">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二、法定代表人（单位负责人）身份证明（适用于无委托代理人的情况）、授权委托书（适用于有委托代理人的情况）</w:t>
      </w:r>
    </w:p>
    <w:p w14:paraId="0DD7C333">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三、联合体协议书（本项目不接受联合体投标，不须提供联合体协议书）</w:t>
      </w:r>
    </w:p>
    <w:p w14:paraId="3C576694">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四、投标保证金</w:t>
      </w:r>
    </w:p>
    <w:p w14:paraId="31B7917E">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五、商务和技术偏差表</w:t>
      </w:r>
    </w:p>
    <w:p w14:paraId="2F90F8B4">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六、分项报价表</w:t>
      </w:r>
    </w:p>
    <w:p w14:paraId="2F438D6E">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七、资格审查资料</w:t>
      </w:r>
    </w:p>
    <w:p w14:paraId="06BA8E0B">
      <w:pPr>
        <w:widowControl/>
        <w:spacing w:line="360" w:lineRule="auto"/>
        <w:jc w:val="left"/>
        <w:rPr>
          <w:rFonts w:hint="eastAsia" w:ascii="宋体" w:hAnsi="宋体" w:eastAsia="宋体"/>
          <w:sz w:val="24"/>
          <w:szCs w:val="24"/>
          <w:highlight w:val="none"/>
          <w:lang w:eastAsia="zh-CN"/>
        </w:rPr>
      </w:pPr>
      <w:r>
        <w:rPr>
          <w:rFonts w:hint="eastAsia" w:ascii="宋体" w:hAnsi="宋体" w:eastAsia="宋体"/>
          <w:sz w:val="24"/>
          <w:szCs w:val="24"/>
          <w:highlight w:val="none"/>
        </w:rPr>
        <w:t>八、近年财务状况表</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如有</w:t>
      </w:r>
      <w:r>
        <w:rPr>
          <w:rFonts w:hint="eastAsia" w:ascii="宋体" w:hAnsi="宋体" w:eastAsia="宋体"/>
          <w:sz w:val="24"/>
          <w:szCs w:val="24"/>
          <w:highlight w:val="none"/>
          <w:lang w:eastAsia="zh-CN"/>
        </w:rPr>
        <w:t>）</w:t>
      </w:r>
    </w:p>
    <w:p w14:paraId="4B36C327">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九、供货业绩情况表</w:t>
      </w:r>
    </w:p>
    <w:p w14:paraId="26B0FE6B">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十、投标人资信证明材料</w:t>
      </w:r>
    </w:p>
    <w:p w14:paraId="48AB2B3A">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十一、投标设备技术性能指标的详细描述</w:t>
      </w:r>
    </w:p>
    <w:p w14:paraId="29B89710">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十二、技术支持资料</w:t>
      </w:r>
    </w:p>
    <w:p w14:paraId="7331F5B7">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十三、技术服务和质保期服务计划</w:t>
      </w:r>
    </w:p>
    <w:p w14:paraId="29F8F588">
      <w:pPr>
        <w:widowControl/>
        <w:spacing w:line="360" w:lineRule="auto"/>
        <w:jc w:val="left"/>
        <w:rPr>
          <w:rFonts w:ascii="宋体" w:hAnsi="宋体" w:eastAsia="宋体"/>
          <w:sz w:val="24"/>
          <w:szCs w:val="24"/>
          <w:highlight w:val="none"/>
        </w:rPr>
      </w:pPr>
      <w:r>
        <w:rPr>
          <w:rFonts w:hint="eastAsia" w:ascii="宋体" w:hAnsi="宋体" w:eastAsia="宋体"/>
          <w:sz w:val="24"/>
          <w:szCs w:val="24"/>
          <w:highlight w:val="none"/>
        </w:rPr>
        <w:t>十四、其他资料</w:t>
      </w:r>
    </w:p>
    <w:p w14:paraId="7D392142">
      <w:pPr>
        <w:keepNext/>
        <w:keepLines/>
        <w:widowControl/>
        <w:spacing w:line="360" w:lineRule="auto"/>
        <w:jc w:val="left"/>
        <w:rPr>
          <w:rFonts w:ascii="宋体" w:hAnsi="宋体" w:eastAsia="宋体"/>
          <w:kern w:val="0"/>
          <w:sz w:val="22"/>
          <w:szCs w:val="20"/>
          <w:highlight w:val="none"/>
        </w:rPr>
      </w:pPr>
      <w:bookmarkStart w:id="136" w:name="_Toc508788698"/>
      <w:r>
        <w:rPr>
          <w:rFonts w:hint="eastAsia" w:ascii="宋体" w:hAnsi="宋体" w:eastAsia="宋体"/>
          <w:kern w:val="0"/>
          <w:sz w:val="32"/>
          <w:szCs w:val="20"/>
          <w:highlight w:val="none"/>
        </w:rPr>
        <w:br w:type="page"/>
      </w:r>
      <w:bookmarkStart w:id="137" w:name="_Toc7454667"/>
      <w:bookmarkStart w:id="138" w:name="_Toc132"/>
      <w:r>
        <w:rPr>
          <w:rFonts w:hint="eastAsia" w:ascii="宋体" w:hAnsi="宋体" w:eastAsia="宋体"/>
          <w:kern w:val="0"/>
          <w:sz w:val="32"/>
          <w:szCs w:val="20"/>
          <w:highlight w:val="none"/>
        </w:rPr>
        <w:t>一、投标函及投标函附录</w:t>
      </w:r>
      <w:bookmarkEnd w:id="136"/>
      <w:bookmarkEnd w:id="137"/>
      <w:bookmarkEnd w:id="138"/>
    </w:p>
    <w:p w14:paraId="7DC1169A">
      <w:pPr>
        <w:keepNext/>
        <w:keepLines/>
        <w:widowControl/>
        <w:spacing w:line="360" w:lineRule="auto"/>
        <w:ind w:firstLine="480" w:firstLineChars="200"/>
        <w:jc w:val="left"/>
        <w:rPr>
          <w:rFonts w:ascii="宋体" w:hAnsi="宋体" w:eastAsia="宋体"/>
          <w:kern w:val="0"/>
          <w:sz w:val="24"/>
          <w:szCs w:val="24"/>
          <w:highlight w:val="none"/>
        </w:rPr>
      </w:pPr>
      <w:bookmarkStart w:id="139" w:name="_Toc359594235"/>
      <w:bookmarkStart w:id="140" w:name="_Toc492300721"/>
      <w:bookmarkStart w:id="141" w:name="_Toc391394111"/>
      <w:bookmarkStart w:id="142" w:name="_Toc370676426"/>
      <w:bookmarkStart w:id="143" w:name="_Toc7454668"/>
      <w:bookmarkStart w:id="144" w:name="_Toc25543"/>
      <w:bookmarkStart w:id="145" w:name="_Toc385943065"/>
      <w:bookmarkStart w:id="146" w:name="_Toc482188651"/>
      <w:bookmarkStart w:id="147" w:name="_Toc508788699"/>
      <w:r>
        <w:rPr>
          <w:rFonts w:hint="eastAsia" w:ascii="宋体" w:hAnsi="宋体" w:eastAsia="宋体"/>
          <w:kern w:val="0"/>
          <w:sz w:val="24"/>
          <w:szCs w:val="24"/>
          <w:highlight w:val="none"/>
        </w:rPr>
        <w:t>（一）投标函</w:t>
      </w:r>
      <w:bookmarkEnd w:id="139"/>
      <w:bookmarkEnd w:id="140"/>
      <w:bookmarkEnd w:id="141"/>
      <w:bookmarkEnd w:id="142"/>
      <w:bookmarkEnd w:id="143"/>
      <w:bookmarkEnd w:id="144"/>
      <w:bookmarkEnd w:id="145"/>
      <w:bookmarkEnd w:id="146"/>
    </w:p>
    <w:p w14:paraId="37155716">
      <w:pPr>
        <w:widowControl/>
        <w:spacing w:line="360" w:lineRule="auto"/>
        <w:jc w:val="left"/>
        <w:rPr>
          <w:rFonts w:ascii="宋体" w:hAnsi="宋体" w:eastAsia="宋体"/>
          <w:sz w:val="24"/>
          <w:szCs w:val="24"/>
          <w:highlight w:val="none"/>
          <w:u w:val="single"/>
        </w:rPr>
      </w:pPr>
      <w:r>
        <w:rPr>
          <w:rFonts w:hint="eastAsia" w:ascii="宋体" w:hAnsi="宋体" w:eastAsia="宋体"/>
          <w:sz w:val="24"/>
          <w:szCs w:val="24"/>
          <w:highlight w:val="none"/>
          <w:u w:val="single"/>
        </w:rPr>
        <w:t>（招标人名称）：</w:t>
      </w:r>
    </w:p>
    <w:p w14:paraId="398DCBC3">
      <w:pPr>
        <w:spacing w:line="360" w:lineRule="auto"/>
        <w:rPr>
          <w:rFonts w:ascii="宋体" w:hAnsi="宋体" w:eastAsia="宋体" w:cs="Times New Roman"/>
          <w:sz w:val="24"/>
          <w:szCs w:val="28"/>
          <w:highlight w:val="none"/>
        </w:rPr>
      </w:pPr>
      <w:r>
        <w:rPr>
          <w:rFonts w:ascii="Times New Roman" w:hAnsi="Times New Roman" w:eastAsia="宋体" w:cs="Times New Roman"/>
          <w:szCs w:val="20"/>
          <w:highlight w:val="none"/>
        </w:rPr>
        <mc:AlternateContent>
          <mc:Choice Requires="wps">
            <w:drawing>
              <wp:anchor distT="0" distB="0" distL="0" distR="0" simplePos="0" relativeHeight="251661312" behindDoc="0" locked="0" layoutInCell="1" allowOverlap="1">
                <wp:simplePos x="0" y="0"/>
                <wp:positionH relativeFrom="column">
                  <wp:posOffset>4410075</wp:posOffset>
                </wp:positionH>
                <wp:positionV relativeFrom="paragraph">
                  <wp:posOffset>340360</wp:posOffset>
                </wp:positionV>
                <wp:extent cx="360045" cy="159385"/>
                <wp:effectExtent l="0" t="0" r="1905" b="0"/>
                <wp:wrapNone/>
                <wp:docPr id="1033" name="Rectangle 5"/>
                <wp:cNvGraphicFramePr/>
                <a:graphic xmlns:a="http://schemas.openxmlformats.org/drawingml/2006/main">
                  <a:graphicData uri="http://schemas.microsoft.com/office/word/2010/wordprocessingShape">
                    <wps:wsp>
                      <wps:cNvSpPr/>
                      <wps:spPr>
                        <a:xfrm>
                          <a:off x="0" y="0"/>
                          <a:ext cx="360045" cy="159384"/>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5" o:spid="_x0000_s1026" o:spt="1" style="position:absolute;left:0pt;margin-left:347.25pt;margin-top:26.8pt;height:12.55pt;width:28.35pt;z-index:251661312;mso-width-relative:page;mso-height-relative:page;" fillcolor="#FFFFFF" filled="t" stroked="t" coordsize="21600,21600" o:gfxdata="UEsDBAoAAAAAAIdO4kAAAAAAAAAAAAAAAAAEAAAAZHJzL1BLAwQUAAAACACHTuJAC7caItkAAAAJ&#10;AQAADwAAAGRycy9kb3ducmV2LnhtbE2PsU7DMBCGdyTewTokNmonJWkb4nQAFYmxTRe2S2ySQHyO&#10;YqcNffqaqWx3uk//fX++nU3PTnp0nSUJ0UIA01Rb1VEj4VjuntbAnEdS2FvSEn61g21xf5djpuyZ&#10;9vp08A0LIeQylNB6P2Scu7rVBt3CDprC7cuOBn1Yx4arEc8h3PQ8FiLlBjsKH1oc9Gur65/DZCRU&#10;XXzEy758F2azW/qPufyePt+kfHyIxAswr2d/g+FPP6hDEZwqO5FyrJeQbp6TgEpIlimwAKySKAZW&#10;hWG9Al7k/H+D4gpQSwMEFAAAAAgAh07iQBqig9nKAQAAwwMAAA4AAABkcnMvZTJvRG9jLnhtbK1T&#10;TW/bMAy9D9h/EHRf7CRN0RpxemiQXYatWLcfwMiSLUBfENU4+fej5Cz92A49VAeZlMhHvid6fXe0&#10;hh1kRO1dy+ezmjPphO+061v++9fuyw1nmMB1YLyTLT9J5Hebz5/WY2jkwg/edDIyAnHYjKHlQ0qh&#10;qSoUg7SAMx+ko0vlo4VEbuyrLsJI6NZUi7q+rkYfuxC9kIh0up0u+RkxvgfQK6WF3HrxZKVLE2qU&#10;BhJRwkEH5JvSrVJSpB9KoUzMtJyYprJTEbL3ea82a2j6CGHQ4twCvKeFN5wsaEdFL1BbSMCeov4H&#10;ymoRPXqVZsLbaiJSFCEW8/qNNo8DBFm4kNQYLqLjx8GK74eHyHRHk1Avl5w5sPTmP0k3cL2RbJUV&#10;GgM2FPgYHuLZQzIz3aOKNn+JCDsWVU8XVeUxMUGHy+u6vlpxJuhqvrpd3lxlzOo5OURMX6W3LBst&#10;j1S8aAmHb5im0L8huRZ6o7udNqY4sd/fm8gOQA+8K+uM/irMODa2/Ha1yH0ATa2iaSHTBmKOri/1&#10;XmXgS+C6rP8B58a2gMPUQEHIYdBYnWScmjeO6GYNJ9WytffdqYhZzultiyDnOczD89Iv2c//3u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7caItkAAAAJAQAADwAAAAAAAAABACAAAAAiAAAAZHJz&#10;L2Rvd25yZXYueG1sUEsBAhQAFAAAAAgAh07iQBqig9nKAQAAwwMAAA4AAAAAAAAAAQAgAAAAKAEA&#10;AGRycy9lMm9Eb2MueG1sUEsFBgAAAAAGAAYAWQEAAGQFAAAAAA==&#10;">
                <v:fill on="t" focussize="0,0"/>
                <v:stroke color="#000000" joinstyle="miter"/>
                <v:imagedata o:title=""/>
                <o:lock v:ext="edit" aspectratio="f"/>
              </v:rect>
            </w:pict>
          </mc:Fallback>
        </mc:AlternateContent>
      </w:r>
      <w:r>
        <w:rPr>
          <w:rFonts w:ascii="Times New Roman" w:hAnsi="Times New Roman" w:eastAsia="宋体" w:cs="Times New Roman"/>
          <w:szCs w:val="20"/>
          <w:highlight w:val="none"/>
        </w:rPr>
        <mc:AlternateContent>
          <mc:Choice Requires="wps">
            <w:drawing>
              <wp:anchor distT="0" distB="0" distL="0" distR="0" simplePos="0" relativeHeight="251662336" behindDoc="0" locked="0" layoutInCell="1" allowOverlap="1">
                <wp:simplePos x="0" y="0"/>
                <wp:positionH relativeFrom="margin">
                  <wp:posOffset>2795905</wp:posOffset>
                </wp:positionH>
                <wp:positionV relativeFrom="paragraph">
                  <wp:posOffset>349885</wp:posOffset>
                </wp:positionV>
                <wp:extent cx="360045" cy="159385"/>
                <wp:effectExtent l="0" t="0" r="20955" b="12065"/>
                <wp:wrapNone/>
                <wp:docPr id="1034" name="Rectangle 5"/>
                <wp:cNvGraphicFramePr/>
                <a:graphic xmlns:a="http://schemas.openxmlformats.org/drawingml/2006/main">
                  <a:graphicData uri="http://schemas.microsoft.com/office/word/2010/wordprocessingShape">
                    <wps:wsp>
                      <wps:cNvSpPr/>
                      <wps:spPr>
                        <a:xfrm>
                          <a:off x="0" y="0"/>
                          <a:ext cx="360045" cy="15938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5" o:spid="_x0000_s1026" o:spt="1" style="position:absolute;left:0pt;margin-left:220.15pt;margin-top:27.55pt;height:12.55pt;width:28.35pt;mso-position-horizontal-relative:margin;z-index:251662336;mso-width-relative:page;mso-height-relative:page;" fillcolor="#FFFFFF" filled="t" stroked="t" coordsize="21600,21600" o:gfxdata="UEsDBAoAAAAAAIdO4kAAAAAAAAAAAAAAAAAEAAAAZHJzL1BLAwQUAAAACACHTuJA0otintgAAAAJ&#10;AQAADwAAAGRycy9kb3ducmV2LnhtbE2PQU+DQBCF7yb+h82YeLO7UKotsvSgqUmPLb14G2AFlJ0l&#10;7NKiv77jSY+T+fLe97LtbHtxNqPvHGmIFgqEocrVHTUaTsXuYQ3CB6Qae0dGw7fxsM1vbzJMa3eh&#10;gzkfQyM4hHyKGtoQhlRKX7XGol+4wRD/PtxoMfA5NrIe8cLhtpexUo/SYkfc0OJgXlpTfR0nq6Hs&#10;4hP+HIo3ZTe7ZdjPxef0/qr1/V2knkEEM4c/GH71WR1ydirdRLUXvYYkUUtGNaxWEQgGks0Tjys1&#10;rFUMMs/k/wX5FVBLAwQUAAAACACHTuJAQ/UiLM0BAADDAwAADgAAAGRycy9lMm9Eb2MueG1srVNN&#10;b9swDL0P2H8QdF/sJE3RGnF6aJBdhq1Ytx/AyJItQF8Q1Tj596PkLP3YDj1UB5mUyEe+J3p9d7SG&#10;HWRE7V3L57OaM+mE77TrW/771+7LDWeYwHVgvJMtP0nkd5vPn9ZjaOTCD950MjICcdiMoeVDSqGp&#10;KhSDtIAzH6SjS+WjhURu7Ksuwkjo1lSLur6uRh+7EL2QiHS6nS75GTG+B9ArpYXcevFkpUsTapQG&#10;ElHCQQfkm9KtUlKkH0qhTMy0nJimslMRsvd5rzZraPoIYdDi3AK8p4U3nCxoR0UvUFtIwJ6i/gfK&#10;ahE9epVmwttqIlIUIRbz+o02jwMEWbiQ1BguouPHwYrvh4fIdEeTUC+vOHNg6c1/km7geiPZKis0&#10;Bmwo8DE8xLOHZGa6RxVt/hIRdiyqni6qymNigg6X13V9teJM0NV8dbu8KZjVc3KImL5Kb1k2Wh6p&#10;eNESDt8wUUEK/RuSa6E3uttpY4oT+/29iewA9MC7snLHlPIqzDg2tvx2tch9AE2tomkh0wZijq4v&#10;9V5l4Evguqz/AefGtoDD1EBByGHQWJ1kVos6MY4+WcNJtWztfXcqYpZzetsSeJ7DPDwv/ZL9/O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i2Ke2AAAAAkBAAAPAAAAAAAAAAEAIAAAACIAAABk&#10;cnMvZG93bnJldi54bWxQSwECFAAUAAAACACHTuJAQ/UiLM0BAADDAwAADgAAAAAAAAABACAAAAAn&#10;AQAAZHJzL2Uyb0RvYy54bWxQSwUGAAAAAAYABgBZAQAAZgUAAAAA&#10;">
                <v:fill on="t" focussize="0,0"/>
                <v:stroke color="#000000" joinstyle="miter"/>
                <v:imagedata o:title=""/>
                <o:lock v:ext="edit" aspectratio="f"/>
              </v:rect>
            </w:pict>
          </mc:Fallback>
        </mc:AlternateContent>
      </w:r>
      <w:r>
        <w:rPr>
          <w:rFonts w:hint="eastAsia" w:ascii="宋体" w:hAnsi="宋体" w:eastAsia="宋体"/>
          <w:sz w:val="24"/>
          <w:szCs w:val="24"/>
          <w:highlight w:val="none"/>
        </w:rPr>
        <w:t>1．我方已仔细研究了</w:t>
      </w:r>
      <w:r>
        <w:rPr>
          <w:rFonts w:hint="eastAsia" w:ascii="宋体" w:hAnsi="宋体" w:eastAsia="宋体"/>
          <w:sz w:val="24"/>
          <w:szCs w:val="24"/>
          <w:highlight w:val="none"/>
          <w:u w:val="single"/>
        </w:rPr>
        <w:t>（项目名称）</w:t>
      </w:r>
      <w:r>
        <w:rPr>
          <w:rFonts w:hint="eastAsia" w:ascii="宋体" w:hAnsi="宋体" w:eastAsia="宋体"/>
          <w:sz w:val="24"/>
          <w:szCs w:val="24"/>
          <w:highlight w:val="none"/>
        </w:rPr>
        <w:t>招标文件的全部内容，愿意以不含税人民币（大写：</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w:t>
      </w:r>
      <w:r>
        <w:rPr>
          <w:rFonts w:hint="eastAsia" w:ascii="宋体" w:hAnsi="宋体" w:eastAsia="宋体" w:cs="Times New Roman"/>
          <w:sz w:val="24"/>
          <w:szCs w:val="28"/>
          <w:highlight w:val="none"/>
        </w:rPr>
        <w:t xml:space="preserve">一般纳税人：     </w:t>
      </w:r>
      <w:r>
        <w:rPr>
          <w:rFonts w:ascii="宋体" w:hAnsi="宋体" w:eastAsia="宋体" w:cs="Times New Roman"/>
          <w:sz w:val="24"/>
          <w:szCs w:val="28"/>
          <w:highlight w:val="none"/>
        </w:rPr>
        <w:t xml:space="preserve">   </w:t>
      </w:r>
      <w:r>
        <w:rPr>
          <w:rFonts w:hint="eastAsia" w:ascii="宋体" w:hAnsi="宋体" w:eastAsia="宋体" w:cs="Times New Roman"/>
          <w:sz w:val="24"/>
          <w:szCs w:val="28"/>
          <w:highlight w:val="none"/>
        </w:rPr>
        <w:t xml:space="preserve">小规模纳税人： </w:t>
      </w:r>
      <w:r>
        <w:rPr>
          <w:rFonts w:ascii="宋体" w:hAnsi="宋体" w:eastAsia="宋体" w:cs="Times New Roman"/>
          <w:sz w:val="24"/>
          <w:szCs w:val="28"/>
          <w:highlight w:val="none"/>
        </w:rPr>
        <w:t xml:space="preserve">      </w:t>
      </w:r>
      <w:r>
        <w:rPr>
          <w:rFonts w:hint="eastAsia" w:ascii="宋体" w:hAnsi="宋体" w:eastAsia="宋体" w:cs="Times New Roman"/>
          <w:sz w:val="24"/>
          <w:szCs w:val="24"/>
          <w:highlight w:val="none"/>
        </w:rPr>
        <w:t>增值税专票税率</w:t>
      </w:r>
      <w:r>
        <w:rPr>
          <w:rFonts w:hint="eastAsia" w:ascii="宋体" w:hAnsi="宋体" w:eastAsia="宋体" w:cs="Times New Roman"/>
          <w:sz w:val="24"/>
          <w:szCs w:val="24"/>
          <w:highlight w:val="none"/>
          <w:u w:val="single"/>
        </w:rPr>
        <w:t xml:space="preserve">    </w:t>
      </w:r>
      <w:r>
        <w:rPr>
          <w:rFonts w:hint="eastAsia" w:ascii="宋体" w:hAnsi="宋体" w:eastAsia="宋体" w:cs="Times New Roman"/>
          <w:sz w:val="24"/>
          <w:szCs w:val="24"/>
          <w:highlight w:val="none"/>
        </w:rPr>
        <w:t>%，税额</w:t>
      </w:r>
      <w:r>
        <w:rPr>
          <w:rFonts w:hint="eastAsia" w:ascii="宋体" w:hAnsi="宋体" w:eastAsia="宋体" w:cs="Times New Roman"/>
          <w:sz w:val="24"/>
          <w:szCs w:val="24"/>
          <w:highlight w:val="none"/>
          <w:u w:val="single"/>
        </w:rPr>
        <w:t xml:space="preserve">       </w:t>
      </w:r>
      <w:r>
        <w:rPr>
          <w:rFonts w:hint="eastAsia" w:ascii="宋体" w:hAnsi="宋体" w:eastAsia="宋体" w:cs="Times New Roman"/>
          <w:sz w:val="24"/>
          <w:szCs w:val="24"/>
          <w:highlight w:val="none"/>
        </w:rPr>
        <w:t>元，含税人民币</w:t>
      </w:r>
      <w:r>
        <w:rPr>
          <w:rFonts w:hint="eastAsia" w:ascii="宋体" w:hAnsi="宋体" w:eastAsia="宋体"/>
          <w:sz w:val="24"/>
          <w:szCs w:val="24"/>
          <w:highlight w:val="none"/>
        </w:rPr>
        <w:t>（大写：</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）的投标总报价，提供本招标项所有设备及技术服务和质保期服务，并按合同约定履行义务。</w:t>
      </w:r>
    </w:p>
    <w:p w14:paraId="3DDBE315">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 我方的投标文件包括下列内容：</w:t>
      </w:r>
    </w:p>
    <w:p w14:paraId="74A68EAE">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（1）投标函及投标函附录；</w:t>
      </w:r>
    </w:p>
    <w:p w14:paraId="0CD7F713">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（2）法定代表人（单位负责人）身份证明（适用于无委托代理人的情况）、授权委托书（适用于有委托代理人的情况）；</w:t>
      </w:r>
    </w:p>
    <w:p w14:paraId="4FC46883">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（3）联合体协议书（本项目不接受联合体投标，不须提供联合体协议书）；</w:t>
      </w:r>
    </w:p>
    <w:p w14:paraId="4BC29D5C">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（4）投标保证金；</w:t>
      </w:r>
    </w:p>
    <w:p w14:paraId="55244C9A">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（5）商务和技术偏差表； </w:t>
      </w:r>
    </w:p>
    <w:p w14:paraId="6DB431B3">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（6）分项报价表； </w:t>
      </w:r>
    </w:p>
    <w:p w14:paraId="71050340">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（7）资格审查资料； </w:t>
      </w:r>
    </w:p>
    <w:p w14:paraId="2D9ACDA7">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（8）近年财务状况表</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如有</w:t>
      </w:r>
      <w:r>
        <w:rPr>
          <w:rFonts w:hint="eastAsia" w:ascii="宋体" w:hAnsi="宋体" w:eastAsia="宋体"/>
          <w:sz w:val="24"/>
          <w:szCs w:val="24"/>
          <w:highlight w:val="none"/>
          <w:lang w:eastAsia="zh-CN"/>
        </w:rPr>
        <w:t>）</w:t>
      </w:r>
      <w:r>
        <w:rPr>
          <w:rFonts w:hint="eastAsia" w:ascii="宋体" w:hAnsi="宋体" w:eastAsia="宋体"/>
          <w:sz w:val="24"/>
          <w:szCs w:val="24"/>
          <w:highlight w:val="none"/>
        </w:rPr>
        <w:t xml:space="preserve">； </w:t>
      </w:r>
    </w:p>
    <w:p w14:paraId="0C347D04">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（9）供货业绩情况表； </w:t>
      </w:r>
    </w:p>
    <w:p w14:paraId="62E9EE8B">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（10）投标人资信证明材料；</w:t>
      </w:r>
    </w:p>
    <w:p w14:paraId="4FF5F124">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（11）投标设备技术性能指标的详细描述；</w:t>
      </w:r>
    </w:p>
    <w:p w14:paraId="0176874E">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（12）技术支持资料；</w:t>
      </w:r>
    </w:p>
    <w:p w14:paraId="0B1F4A8A">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（13）技术服务和质保期服务计划；</w:t>
      </w:r>
    </w:p>
    <w:p w14:paraId="71E76B2E">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（14）其他资料；</w:t>
      </w:r>
    </w:p>
    <w:p w14:paraId="2DD75DB0">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投标文件的上述组成部分如存在内容不一致的，以投标函为准。</w:t>
      </w:r>
    </w:p>
    <w:p w14:paraId="3A1C53D7">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3．我方承诺除商务和技术偏差表列出的偏差外，我方响应招标文件的全部要求。 </w:t>
      </w:r>
    </w:p>
    <w:p w14:paraId="0D68F5A9">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4．我方承诺在招标文件规定的投标有效期内不撤销投标文件。 </w:t>
      </w:r>
    </w:p>
    <w:p w14:paraId="2849402A">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5．如我方中标，我方承诺： </w:t>
      </w:r>
    </w:p>
    <w:p w14:paraId="4BDBA311">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（1）在收到中标通知书后，在中标通知书规定的期限内与你方签订合同； </w:t>
      </w:r>
    </w:p>
    <w:p w14:paraId="08EDF09F">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（2）在签订合同时不向你方提出附加条件； </w:t>
      </w:r>
    </w:p>
    <w:p w14:paraId="54F93DF7">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（3）按照招标文件要求提交履约保证金； </w:t>
      </w:r>
    </w:p>
    <w:p w14:paraId="38718527">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 xml:space="preserve">（4）在合同约定的期限内完成合同规定的全部义务。 </w:t>
      </w:r>
    </w:p>
    <w:p w14:paraId="2A9DBA23">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6．我方在此声明，所递交的投标文件及有关资料内容完整、真实和准确，且不存在第二章“投标人须知”第 1.4.3 项规定的任何一种情形。</w:t>
      </w:r>
    </w:p>
    <w:p w14:paraId="0613D3EF">
      <w:pPr>
        <w:widowControl/>
        <w:spacing w:line="360" w:lineRule="auto"/>
        <w:ind w:firstLine="480" w:firstLineChars="200"/>
        <w:jc w:val="left"/>
        <w:rPr>
          <w:rFonts w:ascii="宋体" w:hAnsi="宋体" w:eastAsia="宋体"/>
          <w:sz w:val="24"/>
          <w:szCs w:val="24"/>
          <w:highlight w:val="none"/>
          <w:u w:val="single"/>
        </w:rPr>
      </w:pPr>
      <w:r>
        <w:rPr>
          <w:rFonts w:hint="eastAsia" w:ascii="宋体" w:hAnsi="宋体" w:eastAsia="宋体"/>
          <w:sz w:val="24"/>
          <w:szCs w:val="24"/>
          <w:highlight w:val="none"/>
        </w:rPr>
        <w:t>7．</w:t>
      </w:r>
      <w:r>
        <w:rPr>
          <w:rFonts w:hint="eastAsia" w:ascii="宋体" w:hAnsi="宋体" w:eastAsia="宋体"/>
          <w:sz w:val="24"/>
          <w:szCs w:val="24"/>
          <w:highlight w:val="none"/>
          <w:u w:val="single"/>
        </w:rPr>
        <w:tab/>
      </w:r>
      <w:r>
        <w:rPr>
          <w:rFonts w:hint="eastAsia" w:ascii="宋体" w:hAnsi="宋体" w:eastAsia="宋体"/>
          <w:sz w:val="24"/>
          <w:szCs w:val="24"/>
          <w:highlight w:val="none"/>
          <w:u w:val="single"/>
        </w:rPr>
        <w:t>（其他补充说明）</w:t>
      </w:r>
    </w:p>
    <w:p w14:paraId="3ED8EB57">
      <w:pPr>
        <w:widowControl/>
        <w:spacing w:line="360" w:lineRule="auto"/>
        <w:ind w:firstLine="480" w:firstLineChars="200"/>
        <w:jc w:val="left"/>
        <w:rPr>
          <w:rFonts w:ascii="宋体" w:hAnsi="宋体" w:eastAsia="宋体"/>
          <w:sz w:val="24"/>
          <w:szCs w:val="24"/>
          <w:highlight w:val="none"/>
        </w:rPr>
      </w:pPr>
      <w:bookmarkStart w:id="148" w:name="_Toc369531696"/>
      <w:bookmarkEnd w:id="148"/>
      <w:bookmarkStart w:id="149" w:name="_Toc16824"/>
      <w:bookmarkEnd w:id="149"/>
      <w:bookmarkStart w:id="150" w:name="_Toc352691660"/>
      <w:bookmarkEnd w:id="150"/>
      <w:bookmarkStart w:id="151" w:name="_Toc352691659"/>
      <w:bookmarkEnd w:id="151"/>
      <w:bookmarkStart w:id="152" w:name="_Toc369531695"/>
      <w:bookmarkEnd w:id="152"/>
      <w:bookmarkStart w:id="153" w:name="_Toc16568"/>
      <w:bookmarkEnd w:id="153"/>
    </w:p>
    <w:p w14:paraId="2703F741">
      <w:pPr>
        <w:widowControl/>
        <w:spacing w:line="360" w:lineRule="auto"/>
        <w:ind w:firstLine="480" w:firstLineChars="200"/>
        <w:jc w:val="left"/>
        <w:rPr>
          <w:rFonts w:ascii="宋体" w:hAnsi="宋体" w:eastAsia="宋体"/>
          <w:sz w:val="24"/>
          <w:szCs w:val="24"/>
          <w:highlight w:val="none"/>
        </w:rPr>
      </w:pPr>
    </w:p>
    <w:p w14:paraId="602BA4C4">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投标人：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（盖单位章）</w:t>
      </w:r>
    </w:p>
    <w:p w14:paraId="10766C1E">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法定代表人（单位负责人）或其委托代理人：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（签字或盖章）</w:t>
      </w:r>
    </w:p>
    <w:p w14:paraId="36612632">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地址：</w:t>
      </w:r>
      <w:r>
        <w:rPr>
          <w:rFonts w:hint="eastAsia" w:ascii="宋体" w:hAnsi="宋体" w:eastAsia="宋体"/>
          <w:sz w:val="24"/>
          <w:szCs w:val="24"/>
          <w:highlight w:val="none"/>
          <w:u w:val="single"/>
        </w:rPr>
        <w:t xml:space="preserve">     </w:t>
      </w:r>
    </w:p>
    <w:p w14:paraId="37EC7A65">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网址：</w:t>
      </w:r>
      <w:r>
        <w:rPr>
          <w:rFonts w:hint="eastAsia" w:ascii="宋体" w:hAnsi="宋体" w:eastAsia="宋体"/>
          <w:sz w:val="24"/>
          <w:szCs w:val="24"/>
          <w:highlight w:val="none"/>
          <w:u w:val="single"/>
        </w:rPr>
        <w:t xml:space="preserve">     </w:t>
      </w:r>
    </w:p>
    <w:p w14:paraId="2D4C512E">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电话：</w:t>
      </w:r>
      <w:r>
        <w:rPr>
          <w:rFonts w:hint="eastAsia" w:ascii="宋体" w:hAnsi="宋体" w:eastAsia="宋体"/>
          <w:sz w:val="24"/>
          <w:szCs w:val="24"/>
          <w:highlight w:val="none"/>
          <w:u w:val="single"/>
        </w:rPr>
        <w:t xml:space="preserve">     </w:t>
      </w:r>
    </w:p>
    <w:p w14:paraId="66C95B8D">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传真：</w:t>
      </w:r>
      <w:r>
        <w:rPr>
          <w:rFonts w:hint="eastAsia" w:ascii="宋体" w:hAnsi="宋体" w:eastAsia="宋体"/>
          <w:sz w:val="24"/>
          <w:szCs w:val="24"/>
          <w:highlight w:val="none"/>
          <w:u w:val="single"/>
        </w:rPr>
        <w:t xml:space="preserve">     </w:t>
      </w:r>
    </w:p>
    <w:p w14:paraId="3F0350A9">
      <w:pPr>
        <w:widowControl/>
        <w:spacing w:line="360" w:lineRule="auto"/>
        <w:ind w:firstLine="480" w:firstLineChars="200"/>
        <w:jc w:val="left"/>
        <w:rPr>
          <w:rFonts w:ascii="宋体" w:hAnsi="宋体" w:eastAsia="宋体"/>
          <w:sz w:val="24"/>
          <w:szCs w:val="24"/>
          <w:highlight w:val="none"/>
          <w:u w:val="single"/>
        </w:rPr>
      </w:pPr>
      <w:r>
        <w:rPr>
          <w:rFonts w:hint="eastAsia" w:ascii="宋体" w:hAnsi="宋体" w:eastAsia="宋体"/>
          <w:sz w:val="24"/>
          <w:szCs w:val="24"/>
          <w:highlight w:val="none"/>
        </w:rPr>
        <w:t>邮政编码：</w:t>
      </w:r>
      <w:r>
        <w:rPr>
          <w:rFonts w:hint="eastAsia" w:ascii="宋体" w:hAnsi="宋体" w:eastAsia="宋体"/>
          <w:sz w:val="24"/>
          <w:szCs w:val="24"/>
          <w:highlight w:val="none"/>
          <w:u w:val="single"/>
        </w:rPr>
        <w:t xml:space="preserve">     </w:t>
      </w:r>
    </w:p>
    <w:p w14:paraId="63881426">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年</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月</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日</w:t>
      </w:r>
      <w:bookmarkEnd w:id="147"/>
    </w:p>
    <w:p w14:paraId="6C2B01A9">
      <w:pPr>
        <w:keepNext/>
        <w:keepLines/>
        <w:widowControl/>
        <w:spacing w:line="360" w:lineRule="auto"/>
        <w:ind w:firstLine="480" w:firstLineChars="200"/>
        <w:jc w:val="left"/>
        <w:rPr>
          <w:rFonts w:ascii="宋体" w:hAnsi="宋体" w:eastAsia="宋体"/>
          <w:kern w:val="0"/>
          <w:sz w:val="24"/>
          <w:szCs w:val="24"/>
          <w:highlight w:val="none"/>
        </w:rPr>
      </w:pPr>
      <w:bookmarkStart w:id="154" w:name="_Toc508788700"/>
      <w:r>
        <w:rPr>
          <w:rFonts w:hint="eastAsia" w:ascii="宋体" w:hAnsi="宋体" w:eastAsia="宋体"/>
          <w:kern w:val="0"/>
          <w:sz w:val="24"/>
          <w:szCs w:val="24"/>
          <w:highlight w:val="none"/>
        </w:rPr>
        <w:br w:type="page"/>
      </w:r>
      <w:bookmarkStart w:id="155" w:name="_Toc7454669"/>
      <w:bookmarkStart w:id="156" w:name="_Toc28358"/>
      <w:r>
        <w:rPr>
          <w:rFonts w:hint="eastAsia" w:ascii="宋体" w:hAnsi="宋体" w:eastAsia="宋体"/>
          <w:kern w:val="0"/>
          <w:sz w:val="24"/>
          <w:szCs w:val="24"/>
          <w:highlight w:val="none"/>
        </w:rPr>
        <w:t>（二）投标函附录</w:t>
      </w:r>
      <w:bookmarkEnd w:id="154"/>
      <w:bookmarkEnd w:id="155"/>
      <w:bookmarkEnd w:id="156"/>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409"/>
        <w:gridCol w:w="4257"/>
        <w:gridCol w:w="1117"/>
      </w:tblGrid>
      <w:tr w14:paraId="1ED4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14:paraId="3D09263A">
            <w:pPr>
              <w:jc w:val="center"/>
              <w:rPr>
                <w:rFonts w:ascii="宋体" w:hAnsi="宋体" w:eastAsia="宋体"/>
                <w:b/>
                <w:highlight w:val="none"/>
              </w:rPr>
            </w:pPr>
            <w:r>
              <w:rPr>
                <w:rFonts w:hint="eastAsia" w:ascii="宋体" w:hAnsi="宋体" w:eastAsia="宋体"/>
                <w:b/>
                <w:highlight w:val="none"/>
              </w:rPr>
              <w:t>序号</w:t>
            </w:r>
          </w:p>
        </w:tc>
        <w:tc>
          <w:tcPr>
            <w:tcW w:w="2409" w:type="dxa"/>
            <w:tcBorders>
              <w:top w:val="single" w:color="auto" w:sz="4" w:space="0"/>
              <w:left w:val="single" w:color="auto" w:sz="4" w:space="0"/>
              <w:bottom w:val="single" w:color="auto" w:sz="4" w:space="0"/>
              <w:right w:val="single" w:color="auto" w:sz="4" w:space="0"/>
            </w:tcBorders>
            <w:vAlign w:val="center"/>
          </w:tcPr>
          <w:p w14:paraId="34E99AEE">
            <w:pPr>
              <w:jc w:val="center"/>
              <w:rPr>
                <w:rFonts w:ascii="宋体" w:hAnsi="宋体" w:eastAsia="宋体"/>
                <w:b/>
                <w:highlight w:val="none"/>
              </w:rPr>
            </w:pPr>
            <w:r>
              <w:rPr>
                <w:rFonts w:hint="eastAsia" w:ascii="宋体" w:hAnsi="宋体" w:eastAsia="宋体"/>
                <w:b/>
                <w:highlight w:val="none"/>
              </w:rPr>
              <w:t>条款名称</w:t>
            </w:r>
          </w:p>
        </w:tc>
        <w:tc>
          <w:tcPr>
            <w:tcW w:w="4257" w:type="dxa"/>
            <w:tcBorders>
              <w:top w:val="single" w:color="auto" w:sz="4" w:space="0"/>
              <w:left w:val="single" w:color="auto" w:sz="4" w:space="0"/>
              <w:bottom w:val="single" w:color="auto" w:sz="4" w:space="0"/>
              <w:right w:val="single" w:color="auto" w:sz="4" w:space="0"/>
            </w:tcBorders>
            <w:vAlign w:val="center"/>
          </w:tcPr>
          <w:p w14:paraId="6BC91301">
            <w:pPr>
              <w:jc w:val="center"/>
              <w:rPr>
                <w:rFonts w:ascii="宋体" w:hAnsi="宋体" w:eastAsia="宋体"/>
                <w:b/>
                <w:highlight w:val="none"/>
              </w:rPr>
            </w:pPr>
            <w:r>
              <w:rPr>
                <w:rFonts w:hint="eastAsia" w:ascii="宋体" w:hAnsi="宋体" w:eastAsia="宋体"/>
                <w:b/>
                <w:highlight w:val="none"/>
              </w:rPr>
              <w:t>约定内容</w:t>
            </w:r>
          </w:p>
        </w:tc>
        <w:tc>
          <w:tcPr>
            <w:tcW w:w="1117" w:type="dxa"/>
            <w:tcBorders>
              <w:top w:val="single" w:color="auto" w:sz="4" w:space="0"/>
              <w:left w:val="single" w:color="auto" w:sz="4" w:space="0"/>
              <w:bottom w:val="single" w:color="auto" w:sz="4" w:space="0"/>
              <w:right w:val="single" w:color="auto" w:sz="4" w:space="0"/>
            </w:tcBorders>
            <w:vAlign w:val="center"/>
          </w:tcPr>
          <w:p w14:paraId="68E4244B">
            <w:pPr>
              <w:jc w:val="center"/>
              <w:rPr>
                <w:rFonts w:ascii="宋体" w:hAnsi="宋体" w:eastAsia="宋体"/>
                <w:b/>
                <w:highlight w:val="none"/>
              </w:rPr>
            </w:pPr>
            <w:r>
              <w:rPr>
                <w:rFonts w:hint="eastAsia" w:ascii="宋体" w:hAnsi="宋体" w:eastAsia="宋体"/>
                <w:b/>
                <w:highlight w:val="none"/>
              </w:rPr>
              <w:t>备注</w:t>
            </w:r>
          </w:p>
        </w:tc>
      </w:tr>
      <w:tr w14:paraId="4228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14:paraId="673A12D4">
            <w:pPr>
              <w:jc w:val="center"/>
              <w:rPr>
                <w:rFonts w:ascii="宋体" w:hAnsi="宋体" w:eastAsia="宋体"/>
                <w:b/>
                <w:highlight w:val="none"/>
              </w:rPr>
            </w:pPr>
            <w:r>
              <w:rPr>
                <w:rFonts w:hint="eastAsia" w:ascii="宋体" w:hAnsi="宋体" w:eastAsia="宋体"/>
                <w:b/>
                <w:highlight w:val="none"/>
              </w:rPr>
              <w:t>1</w:t>
            </w:r>
          </w:p>
        </w:tc>
        <w:tc>
          <w:tcPr>
            <w:tcW w:w="2409" w:type="dxa"/>
            <w:tcBorders>
              <w:top w:val="single" w:color="auto" w:sz="4" w:space="0"/>
              <w:left w:val="single" w:color="auto" w:sz="4" w:space="0"/>
              <w:bottom w:val="single" w:color="auto" w:sz="4" w:space="0"/>
              <w:right w:val="single" w:color="auto" w:sz="4" w:space="0"/>
            </w:tcBorders>
            <w:vAlign w:val="center"/>
          </w:tcPr>
          <w:p w14:paraId="790969E8">
            <w:pPr>
              <w:jc w:val="center"/>
              <w:rPr>
                <w:rFonts w:ascii="宋体" w:hAnsi="宋体" w:eastAsia="宋体"/>
                <w:b/>
                <w:highlight w:val="none"/>
              </w:rPr>
            </w:pPr>
            <w:r>
              <w:rPr>
                <w:rFonts w:hint="eastAsia" w:ascii="宋体" w:hAnsi="宋体" w:eastAsia="宋体"/>
                <w:b/>
                <w:highlight w:val="none"/>
              </w:rPr>
              <w:t>交货期</w:t>
            </w:r>
          </w:p>
        </w:tc>
        <w:tc>
          <w:tcPr>
            <w:tcW w:w="4257" w:type="dxa"/>
            <w:tcBorders>
              <w:top w:val="single" w:color="auto" w:sz="4" w:space="0"/>
              <w:left w:val="single" w:color="auto" w:sz="4" w:space="0"/>
              <w:bottom w:val="single" w:color="auto" w:sz="4" w:space="0"/>
              <w:right w:val="single" w:color="auto" w:sz="4" w:space="0"/>
            </w:tcBorders>
            <w:vAlign w:val="center"/>
          </w:tcPr>
          <w:p w14:paraId="645C9DB8">
            <w:pPr>
              <w:jc w:val="left"/>
              <w:rPr>
                <w:rFonts w:ascii="宋体" w:hAnsi="宋体" w:eastAsia="宋体"/>
                <w:b/>
                <w:highlight w:val="none"/>
              </w:rPr>
            </w:pPr>
            <w:r>
              <w:rPr>
                <w:rFonts w:hint="eastAsia" w:ascii="宋体" w:hAnsi="宋体" w:eastAsia="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14:paraId="46B3454A">
            <w:pPr>
              <w:jc w:val="center"/>
              <w:rPr>
                <w:rFonts w:ascii="宋体" w:hAnsi="宋体" w:eastAsia="宋体"/>
                <w:b/>
                <w:highlight w:val="none"/>
              </w:rPr>
            </w:pPr>
          </w:p>
        </w:tc>
      </w:tr>
      <w:tr w14:paraId="19E9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14:paraId="25869183">
            <w:pPr>
              <w:jc w:val="center"/>
              <w:rPr>
                <w:rFonts w:ascii="宋体" w:hAnsi="宋体" w:eastAsia="宋体"/>
                <w:b/>
                <w:highlight w:val="none"/>
              </w:rPr>
            </w:pPr>
            <w:r>
              <w:rPr>
                <w:rFonts w:hint="eastAsia" w:ascii="宋体" w:hAnsi="宋体" w:eastAsia="宋体"/>
                <w:b/>
                <w:highlight w:val="none"/>
              </w:rPr>
              <w:t>2</w:t>
            </w:r>
          </w:p>
        </w:tc>
        <w:tc>
          <w:tcPr>
            <w:tcW w:w="2409" w:type="dxa"/>
            <w:tcBorders>
              <w:top w:val="single" w:color="auto" w:sz="4" w:space="0"/>
              <w:left w:val="single" w:color="auto" w:sz="4" w:space="0"/>
              <w:bottom w:val="single" w:color="auto" w:sz="4" w:space="0"/>
              <w:right w:val="single" w:color="auto" w:sz="4" w:space="0"/>
            </w:tcBorders>
            <w:vAlign w:val="center"/>
          </w:tcPr>
          <w:p w14:paraId="2283F4DE">
            <w:pPr>
              <w:jc w:val="center"/>
              <w:rPr>
                <w:rFonts w:ascii="宋体" w:hAnsi="宋体" w:eastAsia="宋体"/>
                <w:b/>
                <w:highlight w:val="none"/>
              </w:rPr>
            </w:pPr>
            <w:r>
              <w:rPr>
                <w:rFonts w:hint="eastAsia" w:ascii="宋体" w:hAnsi="宋体" w:eastAsia="宋体"/>
                <w:b/>
                <w:highlight w:val="none"/>
              </w:rPr>
              <w:t>投标内容</w:t>
            </w:r>
          </w:p>
        </w:tc>
        <w:tc>
          <w:tcPr>
            <w:tcW w:w="4257" w:type="dxa"/>
            <w:tcBorders>
              <w:top w:val="single" w:color="auto" w:sz="4" w:space="0"/>
              <w:left w:val="single" w:color="auto" w:sz="4" w:space="0"/>
              <w:bottom w:val="single" w:color="auto" w:sz="4" w:space="0"/>
              <w:right w:val="single" w:color="auto" w:sz="4" w:space="0"/>
            </w:tcBorders>
            <w:vAlign w:val="center"/>
          </w:tcPr>
          <w:p w14:paraId="6D896C8F">
            <w:pPr>
              <w:jc w:val="left"/>
              <w:rPr>
                <w:rFonts w:ascii="宋体" w:hAnsi="宋体" w:eastAsia="宋体"/>
                <w:b/>
                <w:highlight w:val="none"/>
              </w:rPr>
            </w:pPr>
            <w:r>
              <w:rPr>
                <w:rFonts w:hint="eastAsia" w:ascii="宋体" w:hAnsi="宋体" w:eastAsia="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14:paraId="2A599E05">
            <w:pPr>
              <w:jc w:val="center"/>
              <w:rPr>
                <w:rFonts w:ascii="宋体" w:hAnsi="宋体" w:eastAsia="宋体"/>
                <w:b/>
                <w:highlight w:val="none"/>
              </w:rPr>
            </w:pPr>
          </w:p>
        </w:tc>
      </w:tr>
      <w:tr w14:paraId="6E6C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14:paraId="6337571B">
            <w:pPr>
              <w:jc w:val="center"/>
              <w:rPr>
                <w:rFonts w:ascii="宋体" w:hAnsi="宋体" w:eastAsia="宋体"/>
                <w:b/>
                <w:highlight w:val="none"/>
              </w:rPr>
            </w:pPr>
            <w:r>
              <w:rPr>
                <w:rFonts w:hint="eastAsia" w:ascii="宋体" w:hAnsi="宋体" w:eastAsia="宋体"/>
                <w:b/>
                <w:highlight w:val="none"/>
              </w:rPr>
              <w:t>3</w:t>
            </w:r>
          </w:p>
        </w:tc>
        <w:tc>
          <w:tcPr>
            <w:tcW w:w="2409" w:type="dxa"/>
            <w:tcBorders>
              <w:top w:val="single" w:color="auto" w:sz="4" w:space="0"/>
              <w:left w:val="single" w:color="auto" w:sz="4" w:space="0"/>
              <w:bottom w:val="single" w:color="auto" w:sz="4" w:space="0"/>
              <w:right w:val="single" w:color="auto" w:sz="4" w:space="0"/>
            </w:tcBorders>
            <w:vAlign w:val="center"/>
          </w:tcPr>
          <w:p w14:paraId="2F221D61">
            <w:pPr>
              <w:jc w:val="center"/>
              <w:rPr>
                <w:rFonts w:ascii="宋体" w:hAnsi="宋体" w:eastAsia="宋体"/>
                <w:b/>
                <w:highlight w:val="none"/>
              </w:rPr>
            </w:pPr>
            <w:r>
              <w:rPr>
                <w:rFonts w:hint="eastAsia" w:ascii="宋体" w:hAnsi="宋体" w:eastAsia="宋体"/>
                <w:b/>
                <w:highlight w:val="none"/>
              </w:rPr>
              <w:t>交货地点</w:t>
            </w:r>
          </w:p>
        </w:tc>
        <w:tc>
          <w:tcPr>
            <w:tcW w:w="4257" w:type="dxa"/>
            <w:tcBorders>
              <w:top w:val="single" w:color="auto" w:sz="4" w:space="0"/>
              <w:left w:val="single" w:color="auto" w:sz="4" w:space="0"/>
              <w:bottom w:val="single" w:color="auto" w:sz="4" w:space="0"/>
              <w:right w:val="single" w:color="auto" w:sz="4" w:space="0"/>
            </w:tcBorders>
            <w:vAlign w:val="center"/>
          </w:tcPr>
          <w:p w14:paraId="7441A11B">
            <w:pPr>
              <w:jc w:val="left"/>
              <w:rPr>
                <w:rFonts w:ascii="宋体" w:hAnsi="宋体" w:eastAsia="宋体"/>
                <w:b/>
                <w:highlight w:val="none"/>
              </w:rPr>
            </w:pPr>
            <w:r>
              <w:rPr>
                <w:rFonts w:hint="eastAsia" w:ascii="宋体" w:hAnsi="宋体" w:eastAsia="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14:paraId="2E7E0514">
            <w:pPr>
              <w:jc w:val="center"/>
              <w:rPr>
                <w:rFonts w:ascii="宋体" w:hAnsi="宋体" w:eastAsia="宋体"/>
                <w:b/>
                <w:highlight w:val="none"/>
              </w:rPr>
            </w:pPr>
          </w:p>
        </w:tc>
      </w:tr>
      <w:tr w14:paraId="0BA8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14:paraId="278C19B5">
            <w:pPr>
              <w:jc w:val="center"/>
              <w:rPr>
                <w:rFonts w:ascii="宋体" w:hAnsi="宋体" w:eastAsia="宋体"/>
                <w:b/>
                <w:highlight w:val="none"/>
              </w:rPr>
            </w:pPr>
            <w:r>
              <w:rPr>
                <w:rFonts w:hint="eastAsia" w:ascii="宋体" w:hAnsi="宋体" w:eastAsia="宋体"/>
                <w:b/>
                <w:highlight w:val="none"/>
              </w:rPr>
              <w:t>4</w:t>
            </w:r>
          </w:p>
        </w:tc>
        <w:tc>
          <w:tcPr>
            <w:tcW w:w="2409" w:type="dxa"/>
            <w:tcBorders>
              <w:top w:val="single" w:color="auto" w:sz="4" w:space="0"/>
              <w:left w:val="single" w:color="auto" w:sz="4" w:space="0"/>
              <w:bottom w:val="single" w:color="auto" w:sz="4" w:space="0"/>
              <w:right w:val="single" w:color="auto" w:sz="4" w:space="0"/>
            </w:tcBorders>
            <w:vAlign w:val="center"/>
          </w:tcPr>
          <w:p w14:paraId="283C68F3">
            <w:pPr>
              <w:jc w:val="center"/>
              <w:rPr>
                <w:rFonts w:ascii="宋体" w:hAnsi="宋体" w:eastAsia="宋体"/>
                <w:b/>
                <w:highlight w:val="none"/>
              </w:rPr>
            </w:pPr>
            <w:r>
              <w:rPr>
                <w:rFonts w:hint="eastAsia" w:ascii="宋体" w:hAnsi="宋体" w:eastAsia="宋体"/>
                <w:b/>
                <w:highlight w:val="none"/>
              </w:rPr>
              <w:t>合同价款确定方式</w:t>
            </w:r>
          </w:p>
        </w:tc>
        <w:tc>
          <w:tcPr>
            <w:tcW w:w="4257" w:type="dxa"/>
            <w:tcBorders>
              <w:top w:val="single" w:color="auto" w:sz="4" w:space="0"/>
              <w:left w:val="single" w:color="auto" w:sz="4" w:space="0"/>
              <w:bottom w:val="single" w:color="auto" w:sz="4" w:space="0"/>
              <w:right w:val="single" w:color="auto" w:sz="4" w:space="0"/>
            </w:tcBorders>
            <w:vAlign w:val="center"/>
          </w:tcPr>
          <w:p w14:paraId="2FDB8BF2">
            <w:pPr>
              <w:jc w:val="left"/>
              <w:rPr>
                <w:rFonts w:ascii="宋体" w:hAnsi="宋体" w:eastAsia="宋体"/>
                <w:b/>
                <w:highlight w:val="none"/>
              </w:rPr>
            </w:pPr>
            <w:r>
              <w:rPr>
                <w:rFonts w:hint="eastAsia" w:ascii="宋体" w:hAnsi="宋体" w:eastAsia="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14:paraId="3CAF6BC6">
            <w:pPr>
              <w:jc w:val="center"/>
              <w:rPr>
                <w:rFonts w:ascii="宋体" w:hAnsi="宋体" w:eastAsia="宋体"/>
                <w:b/>
                <w:highlight w:val="none"/>
              </w:rPr>
            </w:pPr>
          </w:p>
        </w:tc>
      </w:tr>
      <w:tr w14:paraId="162B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14:paraId="08092C37">
            <w:pPr>
              <w:jc w:val="center"/>
              <w:rPr>
                <w:rFonts w:ascii="宋体" w:hAnsi="宋体" w:eastAsia="宋体"/>
                <w:b/>
                <w:highlight w:val="none"/>
              </w:rPr>
            </w:pPr>
            <w:r>
              <w:rPr>
                <w:rFonts w:hint="eastAsia" w:ascii="宋体" w:hAnsi="宋体" w:eastAsia="宋体"/>
                <w:b/>
                <w:highlight w:val="none"/>
              </w:rPr>
              <w:t>5</w:t>
            </w:r>
          </w:p>
        </w:tc>
        <w:tc>
          <w:tcPr>
            <w:tcW w:w="2409" w:type="dxa"/>
            <w:tcBorders>
              <w:top w:val="single" w:color="auto" w:sz="4" w:space="0"/>
              <w:left w:val="single" w:color="auto" w:sz="4" w:space="0"/>
              <w:bottom w:val="single" w:color="auto" w:sz="4" w:space="0"/>
              <w:right w:val="single" w:color="auto" w:sz="4" w:space="0"/>
            </w:tcBorders>
            <w:vAlign w:val="center"/>
          </w:tcPr>
          <w:p w14:paraId="4F29807B">
            <w:pPr>
              <w:jc w:val="center"/>
              <w:rPr>
                <w:rFonts w:ascii="宋体" w:hAnsi="宋体" w:eastAsia="宋体"/>
                <w:b/>
                <w:highlight w:val="none"/>
              </w:rPr>
            </w:pPr>
            <w:r>
              <w:rPr>
                <w:rFonts w:hint="eastAsia" w:ascii="宋体" w:hAnsi="宋体" w:eastAsia="宋体"/>
                <w:b/>
                <w:highlight w:val="none"/>
              </w:rPr>
              <w:t>投标有效期</w:t>
            </w:r>
          </w:p>
        </w:tc>
        <w:tc>
          <w:tcPr>
            <w:tcW w:w="4257" w:type="dxa"/>
            <w:tcBorders>
              <w:top w:val="single" w:color="auto" w:sz="4" w:space="0"/>
              <w:left w:val="single" w:color="auto" w:sz="4" w:space="0"/>
              <w:bottom w:val="single" w:color="auto" w:sz="4" w:space="0"/>
              <w:right w:val="single" w:color="auto" w:sz="4" w:space="0"/>
            </w:tcBorders>
            <w:vAlign w:val="center"/>
          </w:tcPr>
          <w:p w14:paraId="498693CE">
            <w:pPr>
              <w:jc w:val="left"/>
              <w:rPr>
                <w:rFonts w:ascii="宋体" w:hAnsi="宋体" w:eastAsia="宋体"/>
                <w:b/>
                <w:highlight w:val="none"/>
              </w:rPr>
            </w:pPr>
            <w:r>
              <w:rPr>
                <w:rFonts w:hint="eastAsia" w:ascii="宋体" w:hAnsi="宋体" w:eastAsia="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14:paraId="12C515E6">
            <w:pPr>
              <w:jc w:val="center"/>
              <w:rPr>
                <w:rFonts w:ascii="宋体" w:hAnsi="宋体" w:eastAsia="宋体"/>
                <w:b/>
                <w:highlight w:val="none"/>
              </w:rPr>
            </w:pPr>
          </w:p>
        </w:tc>
      </w:tr>
      <w:tr w14:paraId="429E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14:paraId="4B23E143">
            <w:pPr>
              <w:jc w:val="center"/>
              <w:rPr>
                <w:rFonts w:ascii="宋体" w:hAnsi="宋体" w:eastAsia="宋体"/>
                <w:b/>
                <w:highlight w:val="none"/>
              </w:rPr>
            </w:pPr>
            <w:r>
              <w:rPr>
                <w:rFonts w:hint="eastAsia" w:ascii="宋体" w:hAnsi="宋体" w:eastAsia="宋体"/>
                <w:b/>
                <w:highlight w:val="none"/>
              </w:rPr>
              <w:t>6</w:t>
            </w:r>
          </w:p>
        </w:tc>
        <w:tc>
          <w:tcPr>
            <w:tcW w:w="2409" w:type="dxa"/>
            <w:tcBorders>
              <w:top w:val="single" w:color="auto" w:sz="4" w:space="0"/>
              <w:left w:val="single" w:color="auto" w:sz="4" w:space="0"/>
              <w:bottom w:val="single" w:color="auto" w:sz="4" w:space="0"/>
              <w:right w:val="single" w:color="auto" w:sz="4" w:space="0"/>
            </w:tcBorders>
            <w:vAlign w:val="center"/>
          </w:tcPr>
          <w:p w14:paraId="56322C24">
            <w:pPr>
              <w:jc w:val="center"/>
              <w:rPr>
                <w:rFonts w:ascii="宋体" w:hAnsi="宋体" w:eastAsia="宋体"/>
                <w:b/>
                <w:highlight w:val="none"/>
              </w:rPr>
            </w:pPr>
            <w:r>
              <w:rPr>
                <w:rFonts w:hint="eastAsia" w:ascii="宋体" w:hAnsi="宋体" w:eastAsia="宋体"/>
                <w:b/>
                <w:highlight w:val="none"/>
              </w:rPr>
              <w:t>法 人 营 业</w:t>
            </w:r>
          </w:p>
          <w:p w14:paraId="07BF3778">
            <w:pPr>
              <w:jc w:val="center"/>
              <w:rPr>
                <w:rFonts w:ascii="宋体" w:hAnsi="宋体" w:eastAsia="宋体"/>
                <w:b/>
                <w:highlight w:val="none"/>
              </w:rPr>
            </w:pPr>
            <w:r>
              <w:rPr>
                <w:rFonts w:hint="eastAsia" w:ascii="宋体" w:hAnsi="宋体" w:eastAsia="宋体"/>
                <w:b/>
                <w:highlight w:val="none"/>
              </w:rPr>
              <w:t>执 照 证 号</w:t>
            </w:r>
          </w:p>
        </w:tc>
        <w:tc>
          <w:tcPr>
            <w:tcW w:w="4257" w:type="dxa"/>
            <w:tcBorders>
              <w:top w:val="single" w:color="auto" w:sz="4" w:space="0"/>
              <w:left w:val="single" w:color="auto" w:sz="4" w:space="0"/>
              <w:bottom w:val="single" w:color="auto" w:sz="4" w:space="0"/>
              <w:right w:val="single" w:color="auto" w:sz="4" w:space="0"/>
            </w:tcBorders>
            <w:vAlign w:val="center"/>
          </w:tcPr>
          <w:p w14:paraId="22C566C7">
            <w:pPr>
              <w:jc w:val="left"/>
              <w:rPr>
                <w:rFonts w:ascii="宋体" w:hAnsi="宋体" w:eastAsia="宋体"/>
                <w:b/>
                <w:highlight w:val="none"/>
              </w:rPr>
            </w:pPr>
            <w:r>
              <w:rPr>
                <w:rFonts w:hint="eastAsia" w:ascii="宋体" w:hAnsi="宋体" w:eastAsia="宋体"/>
                <w:b/>
                <w:highlight w:val="none"/>
              </w:rPr>
              <w:t>法 人 营 业</w:t>
            </w:r>
          </w:p>
          <w:p w14:paraId="76AFDD51">
            <w:pPr>
              <w:jc w:val="left"/>
              <w:rPr>
                <w:rFonts w:ascii="宋体" w:hAnsi="宋体" w:eastAsia="宋体"/>
                <w:b/>
                <w:highlight w:val="none"/>
              </w:rPr>
            </w:pPr>
            <w:r>
              <w:rPr>
                <w:rFonts w:hint="eastAsia" w:ascii="宋体" w:hAnsi="宋体" w:eastAsia="宋体"/>
                <w:b/>
                <w:highlight w:val="none"/>
              </w:rPr>
              <w:t>执 照 证 号：</w:t>
            </w:r>
          </w:p>
        </w:tc>
        <w:tc>
          <w:tcPr>
            <w:tcW w:w="1117" w:type="dxa"/>
            <w:tcBorders>
              <w:top w:val="single" w:color="auto" w:sz="4" w:space="0"/>
              <w:left w:val="single" w:color="auto" w:sz="4" w:space="0"/>
              <w:bottom w:val="single" w:color="auto" w:sz="4" w:space="0"/>
              <w:right w:val="single" w:color="auto" w:sz="4" w:space="0"/>
            </w:tcBorders>
            <w:vAlign w:val="center"/>
          </w:tcPr>
          <w:p w14:paraId="3BFD4236">
            <w:pPr>
              <w:jc w:val="center"/>
              <w:rPr>
                <w:rFonts w:ascii="宋体" w:hAnsi="宋体" w:eastAsia="宋体"/>
                <w:b/>
                <w:highlight w:val="none"/>
              </w:rPr>
            </w:pPr>
          </w:p>
        </w:tc>
      </w:tr>
    </w:tbl>
    <w:p w14:paraId="168F1A6C">
      <w:pPr>
        <w:spacing w:line="360" w:lineRule="auto"/>
        <w:jc w:val="right"/>
        <w:rPr>
          <w:rFonts w:ascii="宋体" w:hAnsi="宋体" w:eastAsia="宋体"/>
          <w:sz w:val="24"/>
          <w:szCs w:val="24"/>
          <w:highlight w:val="none"/>
        </w:rPr>
      </w:pPr>
      <w:r>
        <w:rPr>
          <w:rFonts w:hint="eastAsia" w:ascii="宋体" w:hAnsi="宋体" w:eastAsia="宋体"/>
          <w:sz w:val="24"/>
          <w:szCs w:val="24"/>
          <w:highlight w:val="none"/>
        </w:rPr>
        <w:t>投 标 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（盖单位章）</w:t>
      </w:r>
    </w:p>
    <w:p w14:paraId="012BF9AA">
      <w:pPr>
        <w:spacing w:line="360" w:lineRule="auto"/>
        <w:jc w:val="right"/>
        <w:rPr>
          <w:rFonts w:ascii="宋体" w:hAnsi="宋体" w:eastAsia="宋体"/>
          <w:sz w:val="24"/>
          <w:szCs w:val="24"/>
          <w:highlight w:val="none"/>
        </w:rPr>
      </w:pPr>
      <w:r>
        <w:rPr>
          <w:rFonts w:hint="eastAsia" w:ascii="宋体" w:hAnsi="宋体" w:eastAsia="宋体"/>
          <w:sz w:val="24"/>
          <w:szCs w:val="24"/>
          <w:highlight w:val="none"/>
        </w:rPr>
        <w:t>法定代表人（单位负责人）或其委托代理人：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（签字或盖章）</w:t>
      </w:r>
    </w:p>
    <w:p w14:paraId="0D4C1A06">
      <w:pPr>
        <w:keepNext/>
        <w:keepLines/>
        <w:widowControl/>
        <w:spacing w:line="360" w:lineRule="auto"/>
        <w:jc w:val="right"/>
        <w:rPr>
          <w:rFonts w:ascii="宋体" w:hAnsi="宋体" w:eastAsia="宋体"/>
          <w:kern w:val="0"/>
          <w:sz w:val="24"/>
          <w:szCs w:val="24"/>
          <w:highlight w:val="none"/>
        </w:rPr>
      </w:pP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年</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月</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日</w:t>
      </w:r>
    </w:p>
    <w:p w14:paraId="60494F64">
      <w:pPr>
        <w:keepNext/>
        <w:keepLines/>
        <w:widowControl/>
        <w:spacing w:line="360" w:lineRule="auto"/>
        <w:jc w:val="left"/>
        <w:rPr>
          <w:rFonts w:ascii="宋体" w:hAnsi="宋体" w:eastAsia="宋体"/>
          <w:kern w:val="0"/>
          <w:sz w:val="32"/>
          <w:szCs w:val="20"/>
          <w:highlight w:val="none"/>
        </w:rPr>
      </w:pPr>
      <w:bookmarkStart w:id="157" w:name="_Toc508788701"/>
      <w:bookmarkStart w:id="158" w:name="_Toc11621"/>
      <w:r>
        <w:rPr>
          <w:rFonts w:hint="eastAsia" w:ascii="宋体" w:hAnsi="宋体" w:eastAsia="宋体"/>
          <w:kern w:val="0"/>
          <w:sz w:val="24"/>
          <w:szCs w:val="24"/>
          <w:highlight w:val="none"/>
        </w:rPr>
        <w:br w:type="page"/>
      </w:r>
      <w:bookmarkStart w:id="159" w:name="_Toc7454670"/>
      <w:r>
        <w:rPr>
          <w:rFonts w:hint="eastAsia" w:ascii="宋体" w:hAnsi="宋体" w:eastAsia="宋体"/>
          <w:kern w:val="0"/>
          <w:sz w:val="32"/>
          <w:szCs w:val="20"/>
          <w:highlight w:val="none"/>
        </w:rPr>
        <w:t>二、法定代表人（单位负责人）身份证明</w:t>
      </w:r>
      <w:bookmarkEnd w:id="157"/>
      <w:bookmarkEnd w:id="158"/>
      <w:bookmarkEnd w:id="159"/>
    </w:p>
    <w:p w14:paraId="19BC16F0">
      <w:pPr>
        <w:widowControl/>
        <w:spacing w:line="360" w:lineRule="auto"/>
        <w:jc w:val="left"/>
        <w:rPr>
          <w:rFonts w:ascii="宋体" w:hAnsi="宋体" w:eastAsia="宋体"/>
          <w:sz w:val="24"/>
          <w:szCs w:val="24"/>
          <w:highlight w:val="none"/>
        </w:rPr>
      </w:pPr>
    </w:p>
    <w:p w14:paraId="2CB71A5A">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投标人名称：</w:t>
      </w:r>
      <w:r>
        <w:rPr>
          <w:rFonts w:hint="eastAsia" w:ascii="宋体" w:hAnsi="宋体" w:eastAsia="宋体"/>
          <w:sz w:val="24"/>
          <w:szCs w:val="24"/>
          <w:highlight w:val="none"/>
          <w:u w:val="single"/>
        </w:rPr>
        <w:t xml:space="preserve">     </w:t>
      </w:r>
    </w:p>
    <w:p w14:paraId="6BFC6F2E">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姓名：</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性别：</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年龄</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：职务：</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系</w:t>
      </w:r>
      <w:r>
        <w:rPr>
          <w:rFonts w:hint="eastAsia" w:ascii="宋体" w:hAnsi="宋体" w:eastAsia="宋体"/>
          <w:sz w:val="24"/>
          <w:szCs w:val="24"/>
          <w:highlight w:val="none"/>
          <w:u w:val="single"/>
        </w:rPr>
        <w:t>（投标人名称）</w:t>
      </w:r>
      <w:r>
        <w:rPr>
          <w:rFonts w:hint="eastAsia" w:ascii="宋体" w:hAnsi="宋体" w:eastAsia="宋体"/>
          <w:sz w:val="24"/>
          <w:szCs w:val="24"/>
          <w:highlight w:val="none"/>
        </w:rPr>
        <w:t>的法定代表人（单位负责人）。</w:t>
      </w:r>
    </w:p>
    <w:p w14:paraId="35C7E74D">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特此证明。</w:t>
      </w:r>
    </w:p>
    <w:p w14:paraId="2EC84844">
      <w:pPr>
        <w:widowControl/>
        <w:spacing w:line="360" w:lineRule="auto"/>
        <w:ind w:firstLine="480" w:firstLineChars="200"/>
        <w:jc w:val="left"/>
        <w:rPr>
          <w:rFonts w:ascii="宋体" w:hAnsi="宋体" w:eastAsia="宋体"/>
          <w:sz w:val="24"/>
          <w:szCs w:val="24"/>
          <w:highlight w:val="none"/>
        </w:rPr>
      </w:pPr>
    </w:p>
    <w:p w14:paraId="0EAA6AC4">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附：法定代表人（单位负责人）身份证复印件。</w:t>
      </w:r>
    </w:p>
    <w:p w14:paraId="6D68296D">
      <w:pPr>
        <w:widowControl/>
        <w:spacing w:line="360" w:lineRule="auto"/>
        <w:ind w:firstLine="480" w:firstLineChars="200"/>
        <w:jc w:val="left"/>
        <w:rPr>
          <w:rFonts w:ascii="宋体" w:hAnsi="宋体" w:eastAsia="宋体"/>
          <w:sz w:val="24"/>
          <w:szCs w:val="24"/>
          <w:highlight w:val="none"/>
        </w:rPr>
      </w:pPr>
    </w:p>
    <w:p w14:paraId="393E4572">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注：本身份证明需由投标人加盖单位公章。</w:t>
      </w:r>
    </w:p>
    <w:p w14:paraId="70AFFFD4">
      <w:pPr>
        <w:widowControl/>
        <w:spacing w:line="360" w:lineRule="auto"/>
        <w:jc w:val="left"/>
        <w:rPr>
          <w:rFonts w:ascii="宋体" w:hAnsi="宋体" w:eastAsia="宋体"/>
          <w:sz w:val="24"/>
          <w:szCs w:val="24"/>
          <w:highlight w:val="none"/>
        </w:rPr>
      </w:pPr>
    </w:p>
    <w:p w14:paraId="74F7190A">
      <w:pPr>
        <w:widowControl/>
        <w:spacing w:line="360" w:lineRule="auto"/>
        <w:jc w:val="left"/>
        <w:rPr>
          <w:rFonts w:ascii="宋体" w:hAnsi="宋体" w:eastAsia="宋体"/>
          <w:sz w:val="24"/>
          <w:szCs w:val="24"/>
          <w:highlight w:val="none"/>
        </w:rPr>
      </w:pPr>
    </w:p>
    <w:p w14:paraId="2CDFB6F4">
      <w:pPr>
        <w:widowControl/>
        <w:tabs>
          <w:tab w:val="center" w:pos="2956"/>
          <w:tab w:val="center" w:pos="7052"/>
        </w:tabs>
        <w:spacing w:line="360" w:lineRule="auto"/>
        <w:jc w:val="right"/>
        <w:rPr>
          <w:rFonts w:ascii="宋体" w:hAnsi="宋体" w:eastAsia="宋体"/>
          <w:sz w:val="24"/>
          <w:szCs w:val="24"/>
          <w:highlight w:val="none"/>
        </w:rPr>
      </w:pPr>
      <w:r>
        <w:rPr>
          <w:rFonts w:hint="eastAsia" w:ascii="宋体" w:hAnsi="宋体" w:eastAsia="宋体"/>
          <w:sz w:val="24"/>
          <w:szCs w:val="24"/>
          <w:highlight w:val="none"/>
        </w:rPr>
        <w:t>投标人：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（盖单位章）</w:t>
      </w:r>
    </w:p>
    <w:p w14:paraId="57E99F6C">
      <w:pPr>
        <w:widowControl/>
        <w:spacing w:line="360" w:lineRule="auto"/>
        <w:jc w:val="right"/>
        <w:rPr>
          <w:rFonts w:ascii="宋体" w:hAnsi="宋体" w:eastAsia="宋体"/>
          <w:sz w:val="24"/>
          <w:szCs w:val="24"/>
          <w:highlight w:val="none"/>
        </w:rPr>
      </w:pP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年</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月</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日</w:t>
      </w:r>
    </w:p>
    <w:p w14:paraId="2018D011">
      <w:pPr>
        <w:widowControl/>
        <w:spacing w:after="192" w:line="259" w:lineRule="auto"/>
        <w:jc w:val="left"/>
        <w:rPr>
          <w:rFonts w:ascii="宋体" w:hAnsi="宋体" w:eastAsia="宋体"/>
          <w:kern w:val="0"/>
          <w:sz w:val="32"/>
          <w:szCs w:val="20"/>
          <w:highlight w:val="none"/>
        </w:rPr>
      </w:pPr>
      <w:r>
        <w:rPr>
          <w:rFonts w:hint="eastAsia" w:ascii="宋体" w:hAnsi="宋体" w:eastAsia="宋体"/>
          <w:sz w:val="20"/>
          <w:highlight w:val="none"/>
        </w:rPr>
        <w:br w:type="page"/>
      </w:r>
      <w:bookmarkStart w:id="160" w:name="_Toc508788702"/>
      <w:bookmarkStart w:id="161" w:name="_Toc6371"/>
      <w:bookmarkStart w:id="162" w:name="_Toc7454671"/>
      <w:r>
        <w:rPr>
          <w:rFonts w:hint="eastAsia" w:ascii="宋体" w:hAnsi="宋体" w:eastAsia="宋体"/>
          <w:kern w:val="0"/>
          <w:sz w:val="32"/>
          <w:szCs w:val="20"/>
          <w:highlight w:val="none"/>
        </w:rPr>
        <w:t>二、授权委托书</w:t>
      </w:r>
      <w:bookmarkEnd w:id="160"/>
      <w:bookmarkEnd w:id="161"/>
      <w:bookmarkEnd w:id="162"/>
    </w:p>
    <w:p w14:paraId="2A32DAC3">
      <w:pPr>
        <w:widowControl/>
        <w:spacing w:line="360" w:lineRule="auto"/>
        <w:ind w:firstLine="480" w:firstLineChars="200"/>
        <w:jc w:val="left"/>
        <w:rPr>
          <w:rFonts w:ascii="宋体" w:hAnsi="宋体" w:eastAsia="宋体"/>
          <w:sz w:val="24"/>
          <w:szCs w:val="24"/>
          <w:highlight w:val="none"/>
        </w:rPr>
      </w:pPr>
    </w:p>
    <w:p w14:paraId="5A1760DD">
      <w:pPr>
        <w:widowControl/>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本人</w:t>
      </w:r>
      <w:r>
        <w:rPr>
          <w:rFonts w:hint="eastAsia" w:ascii="宋体" w:hAnsi="宋体" w:eastAsia="宋体"/>
          <w:sz w:val="24"/>
          <w:szCs w:val="24"/>
          <w:highlight w:val="none"/>
          <w:u w:val="single"/>
        </w:rPr>
        <w:t>（姓名）</w:t>
      </w:r>
      <w:r>
        <w:rPr>
          <w:rFonts w:hint="eastAsia" w:ascii="宋体" w:hAnsi="宋体" w:eastAsia="宋体"/>
          <w:sz w:val="24"/>
          <w:szCs w:val="24"/>
          <w:highlight w:val="none"/>
        </w:rPr>
        <w:t>系</w:t>
      </w:r>
      <w:r>
        <w:rPr>
          <w:rFonts w:hint="eastAsia" w:ascii="宋体" w:hAnsi="宋体" w:eastAsia="宋体"/>
          <w:sz w:val="24"/>
          <w:szCs w:val="24"/>
          <w:highlight w:val="none"/>
          <w:u w:val="single"/>
        </w:rPr>
        <w:t>（投标人名称）</w:t>
      </w:r>
      <w:r>
        <w:rPr>
          <w:rFonts w:hint="eastAsia" w:ascii="宋体" w:hAnsi="宋体" w:eastAsia="宋体"/>
          <w:sz w:val="24"/>
          <w:szCs w:val="24"/>
          <w:highlight w:val="none"/>
        </w:rPr>
        <w:t>的法定代表人（单位负责人），现委托</w:t>
      </w:r>
      <w:r>
        <w:rPr>
          <w:rFonts w:hint="eastAsia" w:ascii="宋体" w:hAnsi="宋体" w:eastAsia="宋体"/>
          <w:sz w:val="24"/>
          <w:szCs w:val="24"/>
          <w:highlight w:val="none"/>
          <w:u w:val="single"/>
        </w:rPr>
        <w:t>（姓名）</w:t>
      </w:r>
      <w:r>
        <w:rPr>
          <w:rFonts w:hint="eastAsia" w:ascii="宋体" w:hAnsi="宋体" w:eastAsia="宋体"/>
          <w:sz w:val="24"/>
          <w:szCs w:val="24"/>
          <w:highlight w:val="none"/>
        </w:rPr>
        <w:t>为我方代理人。代理人根据授权，以我方名义签署、澄清确认、递交、撤回、修改设备招标项目投标文件、签订合同和处理有关事宜，其法律后果由我方承担。</w:t>
      </w:r>
    </w:p>
    <w:p w14:paraId="63CA9FB3">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委托期限：</w:t>
      </w:r>
      <w:r>
        <w:rPr>
          <w:rFonts w:hint="eastAsia" w:ascii="宋体" w:hAnsi="宋体" w:eastAsia="宋体"/>
          <w:sz w:val="24"/>
          <w:szCs w:val="24"/>
          <w:highlight w:val="none"/>
          <w:u w:val="single"/>
        </w:rPr>
        <w:t>投标截止之日起180日历天</w:t>
      </w:r>
      <w:r>
        <w:rPr>
          <w:rFonts w:hint="eastAsia" w:ascii="宋体" w:hAnsi="宋体" w:eastAsia="宋体"/>
          <w:sz w:val="24"/>
          <w:szCs w:val="24"/>
          <w:highlight w:val="none"/>
        </w:rPr>
        <w:t>。</w:t>
      </w:r>
    </w:p>
    <w:p w14:paraId="27732A8F">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代理人</w:t>
      </w:r>
      <w:r>
        <w:rPr>
          <w:rFonts w:hint="eastAsia" w:ascii="宋体" w:hAnsi="宋体" w:eastAsia="宋体"/>
          <w:sz w:val="24"/>
          <w:szCs w:val="24"/>
          <w:highlight w:val="none"/>
        </w:rPr>
        <w:t>无转委托权。</w:t>
      </w:r>
    </w:p>
    <w:p w14:paraId="21C02449">
      <w:pPr>
        <w:widowControl/>
        <w:spacing w:line="360" w:lineRule="auto"/>
        <w:ind w:firstLine="480" w:firstLineChars="200"/>
        <w:jc w:val="left"/>
        <w:rPr>
          <w:rFonts w:ascii="宋体" w:hAnsi="宋体" w:eastAsia="宋体"/>
          <w:sz w:val="24"/>
          <w:szCs w:val="24"/>
          <w:highlight w:val="none"/>
        </w:rPr>
      </w:pPr>
    </w:p>
    <w:p w14:paraId="6DCC6EC2">
      <w:pPr>
        <w:widowControl/>
        <w:spacing w:line="360" w:lineRule="auto"/>
        <w:ind w:firstLine="480" w:firstLineChars="200"/>
        <w:jc w:val="left"/>
        <w:rPr>
          <w:rFonts w:hint="default" w:ascii="宋体" w:hAnsi="宋体" w:eastAsia="宋体"/>
          <w:sz w:val="24"/>
          <w:szCs w:val="24"/>
          <w:highlight w:val="none"/>
          <w:lang w:val="en-US" w:eastAsia="zh-CN"/>
        </w:rPr>
      </w:pPr>
      <w:r>
        <w:rPr>
          <w:rFonts w:hint="eastAsia" w:ascii="宋体" w:hAnsi="宋体" w:eastAsia="宋体"/>
          <w:sz w:val="24"/>
          <w:szCs w:val="24"/>
          <w:highlight w:val="none"/>
        </w:rPr>
        <w:t>附：法定代表人（单位负责人）身份证复印件及委托代理人身份证复印件</w:t>
      </w:r>
      <w:r>
        <w:rPr>
          <w:rFonts w:hint="eastAsia" w:ascii="宋体" w:hAnsi="宋体" w:eastAsia="宋体"/>
          <w:sz w:val="24"/>
          <w:szCs w:val="24"/>
          <w:highlight w:val="none"/>
          <w:lang w:val="en-US" w:eastAsia="zh-CN"/>
        </w:rPr>
        <w:t>和投标人为其购买的近一个月的社保证明材料。</w:t>
      </w:r>
    </w:p>
    <w:p w14:paraId="3AA9A6A8">
      <w:pPr>
        <w:widowControl/>
        <w:spacing w:line="360" w:lineRule="auto"/>
        <w:ind w:firstLine="480" w:firstLineChars="200"/>
        <w:jc w:val="left"/>
        <w:rPr>
          <w:rFonts w:ascii="宋体" w:hAnsi="宋体" w:eastAsia="宋体"/>
          <w:sz w:val="24"/>
          <w:szCs w:val="24"/>
          <w:highlight w:val="none"/>
        </w:rPr>
      </w:pPr>
    </w:p>
    <w:p w14:paraId="2C9ECB01">
      <w:pPr>
        <w:widowControl/>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注：本授权委托书需由投标人加盖单位公章并由其法定代表人（单位负责人）和委托代理人签字或盖章。</w:t>
      </w:r>
    </w:p>
    <w:p w14:paraId="1855DCF2">
      <w:pPr>
        <w:spacing w:line="360" w:lineRule="auto"/>
        <w:ind w:firstLine="480" w:firstLineChars="200"/>
        <w:rPr>
          <w:rFonts w:ascii="宋体" w:hAnsi="宋体" w:eastAsia="宋体"/>
          <w:sz w:val="24"/>
          <w:szCs w:val="24"/>
          <w:highlight w:val="none"/>
        </w:rPr>
      </w:pPr>
    </w:p>
    <w:p w14:paraId="12A7C06A">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投  标  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（盖单位章）</w:t>
      </w:r>
    </w:p>
    <w:p w14:paraId="7DA760A2">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法定代表人（单位负责人）：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（签字或盖章）</w:t>
      </w:r>
    </w:p>
    <w:p w14:paraId="0E148901">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身份证号码：</w:t>
      </w:r>
      <w:r>
        <w:rPr>
          <w:rFonts w:hint="eastAsia" w:ascii="宋体" w:hAnsi="宋体" w:eastAsia="宋体"/>
          <w:sz w:val="24"/>
          <w:szCs w:val="24"/>
          <w:highlight w:val="none"/>
          <w:u w:val="single"/>
        </w:rPr>
        <w:t xml:space="preserve">     </w:t>
      </w:r>
    </w:p>
    <w:p w14:paraId="242E439F">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委托代理人：</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（签字或盖章）</w:t>
      </w:r>
    </w:p>
    <w:p w14:paraId="4ED20893">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身份证号码：</w:t>
      </w:r>
      <w:r>
        <w:rPr>
          <w:rFonts w:hint="eastAsia" w:ascii="宋体" w:hAnsi="宋体" w:eastAsia="宋体"/>
          <w:sz w:val="24"/>
          <w:szCs w:val="24"/>
          <w:highlight w:val="none"/>
          <w:u w:val="single"/>
        </w:rPr>
        <w:t xml:space="preserve">     </w:t>
      </w:r>
    </w:p>
    <w:p w14:paraId="79C4A016">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年</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月</w:t>
      </w:r>
      <w:r>
        <w:rPr>
          <w:rFonts w:hint="eastAsia" w:ascii="宋体" w:hAnsi="宋体" w:eastAsia="宋体"/>
          <w:sz w:val="24"/>
          <w:szCs w:val="24"/>
          <w:highlight w:val="none"/>
          <w:u w:val="single"/>
        </w:rPr>
        <w:t xml:space="preserve">     </w:t>
      </w:r>
      <w:r>
        <w:rPr>
          <w:rFonts w:hint="eastAsia" w:ascii="宋体" w:hAnsi="宋体" w:eastAsia="宋体"/>
          <w:sz w:val="24"/>
          <w:szCs w:val="24"/>
          <w:highlight w:val="none"/>
        </w:rPr>
        <w:t>日</w:t>
      </w:r>
    </w:p>
    <w:p w14:paraId="2B626BCC">
      <w:pPr>
        <w:widowControl/>
        <w:spacing w:line="360" w:lineRule="auto"/>
        <w:ind w:firstLine="480" w:firstLineChars="200"/>
        <w:jc w:val="right"/>
        <w:rPr>
          <w:rFonts w:ascii="宋体" w:hAnsi="宋体" w:eastAsia="宋体"/>
          <w:sz w:val="22"/>
          <w:highlight w:val="none"/>
        </w:rPr>
      </w:pPr>
      <w:r>
        <w:rPr>
          <w:rFonts w:hint="eastAsia" w:ascii="宋体" w:hAnsi="宋体" w:eastAsia="宋体"/>
          <w:sz w:val="24"/>
          <w:szCs w:val="24"/>
          <w:highlight w:val="none"/>
        </w:rPr>
        <w:br w:type="page"/>
      </w:r>
    </w:p>
    <w:p w14:paraId="3E972CCD">
      <w:pPr>
        <w:keepNext/>
        <w:keepLines/>
        <w:widowControl/>
        <w:spacing w:line="360" w:lineRule="auto"/>
        <w:jc w:val="left"/>
        <w:rPr>
          <w:rFonts w:ascii="宋体" w:hAnsi="宋体" w:eastAsia="宋体"/>
          <w:kern w:val="0"/>
          <w:sz w:val="32"/>
          <w:szCs w:val="20"/>
          <w:highlight w:val="none"/>
        </w:rPr>
      </w:pPr>
      <w:bookmarkStart w:id="163" w:name="_Toc7454672"/>
      <w:bookmarkStart w:id="164" w:name="_Toc19908"/>
      <w:bookmarkStart w:id="165" w:name="_Toc508788703"/>
      <w:r>
        <w:rPr>
          <w:rFonts w:hint="eastAsia" w:ascii="宋体" w:hAnsi="宋体" w:eastAsia="宋体"/>
          <w:kern w:val="0"/>
          <w:sz w:val="32"/>
          <w:szCs w:val="20"/>
          <w:highlight w:val="none"/>
        </w:rPr>
        <w:t>三、联合体协议书</w:t>
      </w:r>
      <w:bookmarkEnd w:id="163"/>
      <w:bookmarkEnd w:id="164"/>
      <w:bookmarkEnd w:id="165"/>
    </w:p>
    <w:p w14:paraId="6EAE7E3C">
      <w:pPr>
        <w:widowControl/>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（本项目不接受联合体投标，不要求提供联合体协议书）</w:t>
      </w:r>
    </w:p>
    <w:p w14:paraId="41E505B7">
      <w:pPr>
        <w:widowControl/>
        <w:tabs>
          <w:tab w:val="center" w:pos="5120"/>
          <w:tab w:val="center" w:pos="9417"/>
        </w:tabs>
        <w:spacing w:after="151" w:line="259" w:lineRule="auto"/>
        <w:rPr>
          <w:rFonts w:ascii="宋体" w:hAnsi="宋体" w:eastAsia="宋体"/>
          <w:kern w:val="0"/>
          <w:sz w:val="32"/>
          <w:szCs w:val="20"/>
          <w:highlight w:val="none"/>
        </w:rPr>
      </w:pPr>
      <w:r>
        <w:rPr>
          <w:rFonts w:hint="eastAsia" w:ascii="宋体" w:hAnsi="宋体" w:eastAsia="宋体"/>
          <w:highlight w:val="none"/>
        </w:rPr>
        <w:br w:type="page"/>
      </w:r>
      <w:bookmarkStart w:id="166" w:name="_Toc508788704"/>
      <w:bookmarkStart w:id="167" w:name="_Toc16579"/>
      <w:bookmarkStart w:id="168" w:name="_Toc7454673"/>
      <w:r>
        <w:rPr>
          <w:rFonts w:hint="eastAsia" w:ascii="宋体" w:hAnsi="宋体" w:eastAsia="宋体"/>
          <w:kern w:val="0"/>
          <w:sz w:val="32"/>
          <w:szCs w:val="20"/>
          <w:highlight w:val="none"/>
        </w:rPr>
        <w:t>四、投标保证金</w:t>
      </w:r>
      <w:bookmarkEnd w:id="166"/>
      <w:bookmarkEnd w:id="167"/>
      <w:bookmarkEnd w:id="168"/>
    </w:p>
    <w:p w14:paraId="5A3324E8">
      <w:pPr>
        <w:widowControl/>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（具体要求详见招标文件第二章《投标人须知前附表》条款号3.4.1的规定。）</w:t>
      </w:r>
    </w:p>
    <w:p w14:paraId="65213A8A">
      <w:pPr>
        <w:tabs>
          <w:tab w:val="left" w:pos="567"/>
        </w:tabs>
        <w:spacing w:after="120"/>
        <w:rPr>
          <w:rFonts w:ascii="宋体" w:hAnsi="宋体" w:eastAsia="宋体"/>
          <w:szCs w:val="24"/>
          <w:highlight w:val="none"/>
        </w:rPr>
      </w:pPr>
    </w:p>
    <w:p w14:paraId="4B1A3778">
      <w:pPr>
        <w:widowControl/>
        <w:spacing w:after="175" w:line="259" w:lineRule="auto"/>
        <w:ind w:right="161"/>
        <w:jc w:val="right"/>
        <w:rPr>
          <w:rFonts w:ascii="宋体" w:hAnsi="宋体" w:eastAsia="宋体"/>
          <w:sz w:val="22"/>
          <w:highlight w:val="none"/>
        </w:rPr>
      </w:pPr>
    </w:p>
    <w:p w14:paraId="48515422">
      <w:pPr>
        <w:widowControl/>
        <w:spacing w:line="259" w:lineRule="auto"/>
        <w:ind w:left="2160"/>
        <w:jc w:val="left"/>
        <w:rPr>
          <w:rFonts w:ascii="宋体" w:hAnsi="宋体" w:eastAsia="宋体"/>
          <w:highlight w:val="none"/>
        </w:rPr>
      </w:pPr>
    </w:p>
    <w:p w14:paraId="5313FF8E">
      <w:pPr>
        <w:widowControl/>
        <w:spacing w:line="259" w:lineRule="auto"/>
        <w:jc w:val="left"/>
        <w:rPr>
          <w:rFonts w:ascii="宋体" w:hAnsi="宋体" w:eastAsia="宋体"/>
          <w:kern w:val="0"/>
          <w:sz w:val="32"/>
          <w:szCs w:val="20"/>
          <w:highlight w:val="none"/>
        </w:rPr>
      </w:pPr>
      <w:r>
        <w:rPr>
          <w:rFonts w:hint="eastAsia" w:ascii="宋体" w:hAnsi="宋体" w:eastAsia="宋体"/>
          <w:highlight w:val="none"/>
        </w:rPr>
        <w:br w:type="page"/>
      </w:r>
      <w:bookmarkStart w:id="169" w:name="_Toc7454674"/>
      <w:bookmarkStart w:id="170" w:name="_Toc520184746"/>
      <w:bookmarkStart w:id="171" w:name="_Toc3024"/>
      <w:r>
        <w:rPr>
          <w:rFonts w:hint="eastAsia" w:ascii="宋体" w:hAnsi="宋体" w:eastAsia="宋体"/>
          <w:kern w:val="0"/>
          <w:sz w:val="32"/>
          <w:szCs w:val="20"/>
          <w:highlight w:val="none"/>
        </w:rPr>
        <w:t>五、</w:t>
      </w:r>
      <w:bookmarkEnd w:id="169"/>
      <w:bookmarkEnd w:id="170"/>
      <w:bookmarkEnd w:id="171"/>
      <w:r>
        <w:rPr>
          <w:rFonts w:hint="eastAsia" w:ascii="宋体" w:hAnsi="宋体" w:eastAsia="宋体"/>
          <w:kern w:val="0"/>
          <w:sz w:val="32"/>
          <w:szCs w:val="20"/>
          <w:highlight w:val="none"/>
        </w:rPr>
        <w:t>商务和技术偏差表</w:t>
      </w:r>
    </w:p>
    <w:p w14:paraId="4F4578EA">
      <w:pPr>
        <w:tabs>
          <w:tab w:val="left" w:pos="1200"/>
        </w:tabs>
        <w:spacing w:line="360" w:lineRule="auto"/>
        <w:jc w:val="center"/>
        <w:rPr>
          <w:rFonts w:ascii="宋体" w:hAnsi="宋体" w:eastAsia="宋体"/>
          <w:bCs/>
          <w:sz w:val="24"/>
          <w:szCs w:val="24"/>
          <w:highlight w:val="none"/>
        </w:rPr>
      </w:pPr>
      <w:r>
        <w:rPr>
          <w:rFonts w:hint="eastAsia" w:ascii="宋体" w:hAnsi="宋体" w:eastAsia="宋体"/>
          <w:bCs/>
          <w:sz w:val="24"/>
          <w:szCs w:val="24"/>
          <w:highlight w:val="none"/>
        </w:rPr>
        <w:t>商务和技术偏差表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227"/>
        <w:gridCol w:w="3277"/>
        <w:gridCol w:w="1439"/>
        <w:gridCol w:w="1440"/>
      </w:tblGrid>
      <w:tr w14:paraId="08C5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413" w:type="pct"/>
            <w:vAlign w:val="center"/>
          </w:tcPr>
          <w:p w14:paraId="48309DE0">
            <w:pPr>
              <w:jc w:val="center"/>
              <w:rPr>
                <w:rFonts w:ascii="宋体" w:hAnsi="宋体" w:eastAsia="宋体"/>
                <w:szCs w:val="21"/>
                <w:highlight w:val="none"/>
              </w:rPr>
            </w:pPr>
            <w:r>
              <w:rPr>
                <w:rFonts w:hint="eastAsia" w:ascii="宋体" w:hAnsi="宋体" w:eastAsia="宋体"/>
                <w:szCs w:val="21"/>
                <w:highlight w:val="none"/>
              </w:rPr>
              <w:t>序号</w:t>
            </w:r>
          </w:p>
        </w:tc>
        <w:tc>
          <w:tcPr>
            <w:tcW w:w="1218" w:type="pct"/>
            <w:vAlign w:val="center"/>
          </w:tcPr>
          <w:p w14:paraId="35BF24F3">
            <w:pPr>
              <w:jc w:val="center"/>
              <w:rPr>
                <w:rFonts w:ascii="宋体" w:hAnsi="宋体" w:eastAsia="宋体"/>
                <w:szCs w:val="21"/>
                <w:highlight w:val="none"/>
              </w:rPr>
            </w:pPr>
            <w:r>
              <w:rPr>
                <w:rFonts w:hint="eastAsia" w:ascii="宋体" w:hAnsi="宋体" w:eastAsia="宋体"/>
                <w:szCs w:val="21"/>
                <w:highlight w:val="none"/>
              </w:rPr>
              <w:t>招标文件章节及条款号</w:t>
            </w:r>
          </w:p>
        </w:tc>
        <w:tc>
          <w:tcPr>
            <w:tcW w:w="1792" w:type="pct"/>
            <w:vAlign w:val="center"/>
          </w:tcPr>
          <w:p w14:paraId="65C7C090">
            <w:pPr>
              <w:jc w:val="center"/>
              <w:rPr>
                <w:rFonts w:ascii="宋体" w:hAnsi="宋体" w:eastAsia="宋体"/>
                <w:szCs w:val="21"/>
                <w:highlight w:val="none"/>
              </w:rPr>
            </w:pPr>
            <w:r>
              <w:rPr>
                <w:rFonts w:hint="eastAsia" w:ascii="宋体" w:hAnsi="宋体" w:eastAsia="宋体"/>
                <w:szCs w:val="21"/>
                <w:highlight w:val="none"/>
              </w:rPr>
              <w:t>投标文件章节及条款号</w:t>
            </w:r>
          </w:p>
        </w:tc>
        <w:tc>
          <w:tcPr>
            <w:tcW w:w="787" w:type="pct"/>
            <w:vAlign w:val="center"/>
          </w:tcPr>
          <w:p w14:paraId="6AA071F8">
            <w:pPr>
              <w:jc w:val="center"/>
              <w:rPr>
                <w:rFonts w:ascii="宋体" w:hAnsi="宋体" w:eastAsia="宋体"/>
                <w:szCs w:val="21"/>
                <w:highlight w:val="none"/>
              </w:rPr>
            </w:pPr>
            <w:r>
              <w:rPr>
                <w:rFonts w:hint="eastAsia" w:ascii="宋体" w:hAnsi="宋体" w:eastAsia="宋体"/>
                <w:szCs w:val="21"/>
                <w:highlight w:val="none"/>
              </w:rPr>
              <w:t>是否偏离（无偏离/正偏离/负偏离）</w:t>
            </w:r>
          </w:p>
        </w:tc>
        <w:tc>
          <w:tcPr>
            <w:tcW w:w="787" w:type="pct"/>
            <w:vAlign w:val="center"/>
          </w:tcPr>
          <w:p w14:paraId="080F5DDF">
            <w:pPr>
              <w:jc w:val="center"/>
              <w:rPr>
                <w:rFonts w:ascii="宋体" w:hAnsi="宋体" w:eastAsia="宋体"/>
                <w:szCs w:val="21"/>
                <w:highlight w:val="none"/>
              </w:rPr>
            </w:pPr>
            <w:r>
              <w:rPr>
                <w:rFonts w:hint="eastAsia" w:ascii="宋体" w:hAnsi="宋体" w:eastAsia="宋体"/>
                <w:szCs w:val="21"/>
                <w:highlight w:val="none"/>
              </w:rPr>
              <w:t>偏差说明</w:t>
            </w:r>
          </w:p>
        </w:tc>
      </w:tr>
      <w:tr w14:paraId="2E63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13" w:type="pct"/>
            <w:vAlign w:val="center"/>
          </w:tcPr>
          <w:p w14:paraId="691685C1">
            <w:pPr>
              <w:rPr>
                <w:rFonts w:ascii="宋体" w:hAnsi="宋体" w:eastAsia="宋体"/>
                <w:szCs w:val="21"/>
                <w:highlight w:val="none"/>
              </w:rPr>
            </w:pPr>
            <w:r>
              <w:rPr>
                <w:rFonts w:hint="eastAsia" w:ascii="宋体" w:hAnsi="宋体" w:eastAsia="宋体"/>
                <w:szCs w:val="21"/>
                <w:highlight w:val="none"/>
              </w:rPr>
              <w:t>1</w:t>
            </w:r>
          </w:p>
        </w:tc>
        <w:tc>
          <w:tcPr>
            <w:tcW w:w="1218" w:type="pct"/>
            <w:vAlign w:val="center"/>
          </w:tcPr>
          <w:p w14:paraId="0C4B607B">
            <w:pPr>
              <w:rPr>
                <w:rFonts w:ascii="宋体" w:hAnsi="宋体" w:eastAsia="宋体"/>
                <w:szCs w:val="21"/>
                <w:highlight w:val="none"/>
              </w:rPr>
            </w:pPr>
          </w:p>
        </w:tc>
        <w:tc>
          <w:tcPr>
            <w:tcW w:w="1792" w:type="pct"/>
            <w:vAlign w:val="center"/>
          </w:tcPr>
          <w:p w14:paraId="19B5B79B">
            <w:pPr>
              <w:rPr>
                <w:rFonts w:ascii="宋体" w:hAnsi="宋体" w:eastAsia="宋体"/>
                <w:szCs w:val="21"/>
                <w:highlight w:val="none"/>
              </w:rPr>
            </w:pPr>
          </w:p>
        </w:tc>
        <w:tc>
          <w:tcPr>
            <w:tcW w:w="787" w:type="pct"/>
            <w:vAlign w:val="center"/>
          </w:tcPr>
          <w:p w14:paraId="0D79D075">
            <w:pPr>
              <w:rPr>
                <w:rFonts w:ascii="宋体" w:hAnsi="宋体" w:eastAsia="宋体"/>
                <w:szCs w:val="21"/>
                <w:highlight w:val="none"/>
              </w:rPr>
            </w:pPr>
          </w:p>
        </w:tc>
        <w:tc>
          <w:tcPr>
            <w:tcW w:w="787" w:type="pct"/>
            <w:vAlign w:val="center"/>
          </w:tcPr>
          <w:p w14:paraId="597D9D55">
            <w:pPr>
              <w:rPr>
                <w:rFonts w:ascii="宋体" w:hAnsi="宋体" w:eastAsia="宋体"/>
                <w:szCs w:val="21"/>
                <w:highlight w:val="none"/>
              </w:rPr>
            </w:pPr>
          </w:p>
        </w:tc>
      </w:tr>
      <w:tr w14:paraId="6E9D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13" w:type="pct"/>
            <w:vAlign w:val="center"/>
          </w:tcPr>
          <w:p w14:paraId="29DE11C5">
            <w:pPr>
              <w:rPr>
                <w:rFonts w:ascii="宋体" w:hAnsi="宋体" w:eastAsia="宋体"/>
                <w:szCs w:val="21"/>
                <w:highlight w:val="none"/>
              </w:rPr>
            </w:pPr>
            <w:r>
              <w:rPr>
                <w:rFonts w:hint="eastAsia" w:ascii="宋体" w:hAnsi="宋体" w:eastAsia="宋体"/>
                <w:szCs w:val="21"/>
                <w:highlight w:val="none"/>
              </w:rPr>
              <w:t>2</w:t>
            </w:r>
          </w:p>
        </w:tc>
        <w:tc>
          <w:tcPr>
            <w:tcW w:w="1218" w:type="pct"/>
            <w:vAlign w:val="center"/>
          </w:tcPr>
          <w:p w14:paraId="1A01E9C5">
            <w:pPr>
              <w:rPr>
                <w:rFonts w:ascii="宋体" w:hAnsi="宋体" w:eastAsia="宋体"/>
                <w:szCs w:val="21"/>
                <w:highlight w:val="none"/>
              </w:rPr>
            </w:pPr>
          </w:p>
        </w:tc>
        <w:tc>
          <w:tcPr>
            <w:tcW w:w="1792" w:type="pct"/>
            <w:vAlign w:val="center"/>
          </w:tcPr>
          <w:p w14:paraId="642BC883">
            <w:pPr>
              <w:rPr>
                <w:rFonts w:ascii="宋体" w:hAnsi="宋体" w:eastAsia="宋体"/>
                <w:szCs w:val="21"/>
                <w:highlight w:val="none"/>
              </w:rPr>
            </w:pPr>
          </w:p>
        </w:tc>
        <w:tc>
          <w:tcPr>
            <w:tcW w:w="787" w:type="pct"/>
            <w:vAlign w:val="center"/>
          </w:tcPr>
          <w:p w14:paraId="2C84E809">
            <w:pPr>
              <w:rPr>
                <w:rFonts w:ascii="宋体" w:hAnsi="宋体" w:eastAsia="宋体"/>
                <w:szCs w:val="21"/>
                <w:highlight w:val="none"/>
              </w:rPr>
            </w:pPr>
          </w:p>
        </w:tc>
        <w:tc>
          <w:tcPr>
            <w:tcW w:w="787" w:type="pct"/>
            <w:vAlign w:val="center"/>
          </w:tcPr>
          <w:p w14:paraId="440B62A2">
            <w:pPr>
              <w:rPr>
                <w:rFonts w:ascii="宋体" w:hAnsi="宋体" w:eastAsia="宋体"/>
                <w:szCs w:val="21"/>
                <w:highlight w:val="none"/>
              </w:rPr>
            </w:pPr>
          </w:p>
        </w:tc>
      </w:tr>
      <w:tr w14:paraId="72A4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13" w:type="pct"/>
            <w:vAlign w:val="center"/>
          </w:tcPr>
          <w:p w14:paraId="6D01435B">
            <w:pPr>
              <w:rPr>
                <w:rFonts w:ascii="宋体" w:hAnsi="宋体" w:eastAsia="宋体"/>
                <w:szCs w:val="21"/>
                <w:highlight w:val="none"/>
              </w:rPr>
            </w:pPr>
            <w:r>
              <w:rPr>
                <w:rFonts w:hint="eastAsia" w:ascii="宋体" w:hAnsi="宋体" w:eastAsia="宋体"/>
                <w:szCs w:val="21"/>
                <w:highlight w:val="none"/>
              </w:rPr>
              <w:t>3</w:t>
            </w:r>
          </w:p>
        </w:tc>
        <w:tc>
          <w:tcPr>
            <w:tcW w:w="1218" w:type="pct"/>
            <w:vAlign w:val="center"/>
          </w:tcPr>
          <w:p w14:paraId="7C67A32F">
            <w:pPr>
              <w:rPr>
                <w:rFonts w:ascii="宋体" w:hAnsi="宋体" w:eastAsia="宋体"/>
                <w:szCs w:val="21"/>
                <w:highlight w:val="none"/>
              </w:rPr>
            </w:pPr>
          </w:p>
        </w:tc>
        <w:tc>
          <w:tcPr>
            <w:tcW w:w="1792" w:type="pct"/>
            <w:vAlign w:val="center"/>
          </w:tcPr>
          <w:p w14:paraId="7C88785C">
            <w:pPr>
              <w:rPr>
                <w:rFonts w:ascii="宋体" w:hAnsi="宋体" w:eastAsia="宋体"/>
                <w:szCs w:val="21"/>
                <w:highlight w:val="none"/>
              </w:rPr>
            </w:pPr>
          </w:p>
        </w:tc>
        <w:tc>
          <w:tcPr>
            <w:tcW w:w="787" w:type="pct"/>
            <w:vAlign w:val="center"/>
          </w:tcPr>
          <w:p w14:paraId="5E1D950C">
            <w:pPr>
              <w:rPr>
                <w:rFonts w:ascii="宋体" w:hAnsi="宋体" w:eastAsia="宋体"/>
                <w:szCs w:val="21"/>
                <w:highlight w:val="none"/>
              </w:rPr>
            </w:pPr>
          </w:p>
        </w:tc>
        <w:tc>
          <w:tcPr>
            <w:tcW w:w="787" w:type="pct"/>
            <w:vAlign w:val="center"/>
          </w:tcPr>
          <w:p w14:paraId="72D434AF">
            <w:pPr>
              <w:rPr>
                <w:rFonts w:ascii="宋体" w:hAnsi="宋体" w:eastAsia="宋体"/>
                <w:szCs w:val="21"/>
                <w:highlight w:val="none"/>
              </w:rPr>
            </w:pPr>
          </w:p>
        </w:tc>
      </w:tr>
      <w:tr w14:paraId="7312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413" w:type="pct"/>
            <w:vAlign w:val="center"/>
          </w:tcPr>
          <w:p w14:paraId="37FB9A2B">
            <w:pPr>
              <w:rPr>
                <w:rFonts w:ascii="宋体" w:hAnsi="宋体" w:eastAsia="宋体"/>
                <w:szCs w:val="21"/>
                <w:highlight w:val="none"/>
              </w:rPr>
            </w:pPr>
            <w:r>
              <w:rPr>
                <w:rFonts w:hint="eastAsia" w:ascii="宋体" w:hAnsi="宋体" w:eastAsia="宋体"/>
                <w:szCs w:val="21"/>
                <w:highlight w:val="none"/>
              </w:rPr>
              <w:t>4</w:t>
            </w:r>
          </w:p>
        </w:tc>
        <w:tc>
          <w:tcPr>
            <w:tcW w:w="1218" w:type="pct"/>
            <w:vAlign w:val="center"/>
          </w:tcPr>
          <w:p w14:paraId="7CF72CB1">
            <w:pPr>
              <w:rPr>
                <w:rFonts w:ascii="宋体" w:hAnsi="宋体" w:eastAsia="宋体"/>
                <w:szCs w:val="21"/>
                <w:highlight w:val="none"/>
              </w:rPr>
            </w:pPr>
          </w:p>
        </w:tc>
        <w:tc>
          <w:tcPr>
            <w:tcW w:w="1792" w:type="pct"/>
            <w:vAlign w:val="center"/>
          </w:tcPr>
          <w:p w14:paraId="5854985B">
            <w:pPr>
              <w:rPr>
                <w:rFonts w:ascii="宋体" w:hAnsi="宋体" w:eastAsia="宋体"/>
                <w:szCs w:val="21"/>
                <w:highlight w:val="none"/>
              </w:rPr>
            </w:pPr>
          </w:p>
        </w:tc>
        <w:tc>
          <w:tcPr>
            <w:tcW w:w="787" w:type="pct"/>
            <w:vAlign w:val="center"/>
          </w:tcPr>
          <w:p w14:paraId="4198501D">
            <w:pPr>
              <w:rPr>
                <w:rFonts w:ascii="宋体" w:hAnsi="宋体" w:eastAsia="宋体"/>
                <w:szCs w:val="21"/>
                <w:highlight w:val="none"/>
              </w:rPr>
            </w:pPr>
          </w:p>
        </w:tc>
        <w:tc>
          <w:tcPr>
            <w:tcW w:w="787" w:type="pct"/>
            <w:vAlign w:val="center"/>
          </w:tcPr>
          <w:p w14:paraId="54CA5657">
            <w:pPr>
              <w:rPr>
                <w:rFonts w:ascii="宋体" w:hAnsi="宋体" w:eastAsia="宋体"/>
                <w:szCs w:val="21"/>
                <w:highlight w:val="none"/>
              </w:rPr>
            </w:pPr>
          </w:p>
        </w:tc>
      </w:tr>
      <w:tr w14:paraId="3092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14:paraId="3E98935F">
            <w:pPr>
              <w:rPr>
                <w:rFonts w:ascii="宋体" w:hAnsi="宋体" w:eastAsia="宋体"/>
                <w:szCs w:val="21"/>
                <w:highlight w:val="none"/>
              </w:rPr>
            </w:pPr>
            <w:r>
              <w:rPr>
                <w:rFonts w:hint="eastAsia" w:ascii="宋体" w:hAnsi="宋体" w:eastAsia="宋体"/>
                <w:szCs w:val="21"/>
                <w:highlight w:val="none"/>
              </w:rPr>
              <w:t>5</w:t>
            </w:r>
          </w:p>
        </w:tc>
        <w:tc>
          <w:tcPr>
            <w:tcW w:w="1218" w:type="pct"/>
            <w:vAlign w:val="center"/>
          </w:tcPr>
          <w:p w14:paraId="39542DF6">
            <w:pPr>
              <w:rPr>
                <w:rFonts w:ascii="宋体" w:hAnsi="宋体" w:eastAsia="宋体"/>
                <w:szCs w:val="21"/>
                <w:highlight w:val="none"/>
              </w:rPr>
            </w:pPr>
          </w:p>
        </w:tc>
        <w:tc>
          <w:tcPr>
            <w:tcW w:w="1792" w:type="pct"/>
            <w:vAlign w:val="center"/>
          </w:tcPr>
          <w:p w14:paraId="217E6D33">
            <w:pPr>
              <w:rPr>
                <w:rFonts w:ascii="宋体" w:hAnsi="宋体" w:eastAsia="宋体"/>
                <w:szCs w:val="21"/>
                <w:highlight w:val="none"/>
              </w:rPr>
            </w:pPr>
          </w:p>
        </w:tc>
        <w:tc>
          <w:tcPr>
            <w:tcW w:w="787" w:type="pct"/>
            <w:vAlign w:val="center"/>
          </w:tcPr>
          <w:p w14:paraId="592CC9F4">
            <w:pPr>
              <w:rPr>
                <w:rFonts w:ascii="宋体" w:hAnsi="宋体" w:eastAsia="宋体"/>
                <w:szCs w:val="21"/>
                <w:highlight w:val="none"/>
              </w:rPr>
            </w:pPr>
          </w:p>
        </w:tc>
        <w:tc>
          <w:tcPr>
            <w:tcW w:w="787" w:type="pct"/>
            <w:vAlign w:val="center"/>
          </w:tcPr>
          <w:p w14:paraId="5BE61748">
            <w:pPr>
              <w:rPr>
                <w:rFonts w:ascii="宋体" w:hAnsi="宋体" w:eastAsia="宋体"/>
                <w:szCs w:val="21"/>
                <w:highlight w:val="none"/>
              </w:rPr>
            </w:pPr>
          </w:p>
        </w:tc>
      </w:tr>
      <w:tr w14:paraId="3CE1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14:paraId="7E43E379">
            <w:pPr>
              <w:rPr>
                <w:rFonts w:ascii="宋体" w:hAnsi="宋体" w:eastAsia="宋体"/>
                <w:szCs w:val="21"/>
                <w:highlight w:val="none"/>
              </w:rPr>
            </w:pPr>
            <w:r>
              <w:rPr>
                <w:rFonts w:hint="eastAsia" w:ascii="宋体" w:hAnsi="宋体" w:eastAsia="宋体"/>
                <w:szCs w:val="21"/>
                <w:highlight w:val="none"/>
              </w:rPr>
              <w:t>6</w:t>
            </w:r>
          </w:p>
        </w:tc>
        <w:tc>
          <w:tcPr>
            <w:tcW w:w="1218" w:type="pct"/>
            <w:vAlign w:val="center"/>
          </w:tcPr>
          <w:p w14:paraId="3CC8780D">
            <w:pPr>
              <w:rPr>
                <w:rFonts w:ascii="宋体" w:hAnsi="宋体" w:eastAsia="宋体"/>
                <w:szCs w:val="21"/>
                <w:highlight w:val="none"/>
              </w:rPr>
            </w:pPr>
          </w:p>
        </w:tc>
        <w:tc>
          <w:tcPr>
            <w:tcW w:w="1792" w:type="pct"/>
            <w:vAlign w:val="center"/>
          </w:tcPr>
          <w:p w14:paraId="010CE033">
            <w:pPr>
              <w:rPr>
                <w:rFonts w:ascii="宋体" w:hAnsi="宋体" w:eastAsia="宋体"/>
                <w:szCs w:val="21"/>
                <w:highlight w:val="none"/>
              </w:rPr>
            </w:pPr>
          </w:p>
        </w:tc>
        <w:tc>
          <w:tcPr>
            <w:tcW w:w="787" w:type="pct"/>
            <w:vAlign w:val="center"/>
          </w:tcPr>
          <w:p w14:paraId="45F3BA88">
            <w:pPr>
              <w:rPr>
                <w:rFonts w:ascii="宋体" w:hAnsi="宋体" w:eastAsia="宋体"/>
                <w:szCs w:val="21"/>
                <w:highlight w:val="none"/>
              </w:rPr>
            </w:pPr>
          </w:p>
        </w:tc>
        <w:tc>
          <w:tcPr>
            <w:tcW w:w="787" w:type="pct"/>
            <w:vAlign w:val="center"/>
          </w:tcPr>
          <w:p w14:paraId="7D01CE38">
            <w:pPr>
              <w:rPr>
                <w:rFonts w:ascii="宋体" w:hAnsi="宋体" w:eastAsia="宋体"/>
                <w:szCs w:val="21"/>
                <w:highlight w:val="none"/>
              </w:rPr>
            </w:pPr>
          </w:p>
        </w:tc>
      </w:tr>
      <w:tr w14:paraId="7710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14:paraId="7551C5D9">
            <w:pPr>
              <w:rPr>
                <w:rFonts w:ascii="宋体" w:hAnsi="宋体" w:eastAsia="宋体"/>
                <w:szCs w:val="21"/>
                <w:highlight w:val="none"/>
              </w:rPr>
            </w:pPr>
            <w:r>
              <w:rPr>
                <w:rFonts w:hint="eastAsia" w:ascii="宋体" w:hAnsi="宋体" w:eastAsia="宋体"/>
                <w:szCs w:val="21"/>
                <w:highlight w:val="none"/>
              </w:rPr>
              <w:t>7</w:t>
            </w:r>
          </w:p>
        </w:tc>
        <w:tc>
          <w:tcPr>
            <w:tcW w:w="1218" w:type="pct"/>
            <w:vAlign w:val="center"/>
          </w:tcPr>
          <w:p w14:paraId="5383D6EB">
            <w:pPr>
              <w:rPr>
                <w:rFonts w:ascii="宋体" w:hAnsi="宋体" w:eastAsia="宋体"/>
                <w:szCs w:val="21"/>
                <w:highlight w:val="none"/>
              </w:rPr>
            </w:pPr>
          </w:p>
        </w:tc>
        <w:tc>
          <w:tcPr>
            <w:tcW w:w="1792" w:type="pct"/>
            <w:vAlign w:val="center"/>
          </w:tcPr>
          <w:p w14:paraId="6185152F">
            <w:pPr>
              <w:rPr>
                <w:rFonts w:ascii="宋体" w:hAnsi="宋体" w:eastAsia="宋体"/>
                <w:szCs w:val="21"/>
                <w:highlight w:val="none"/>
              </w:rPr>
            </w:pPr>
          </w:p>
        </w:tc>
        <w:tc>
          <w:tcPr>
            <w:tcW w:w="787" w:type="pct"/>
            <w:vAlign w:val="center"/>
          </w:tcPr>
          <w:p w14:paraId="204751A8">
            <w:pPr>
              <w:rPr>
                <w:rFonts w:ascii="宋体" w:hAnsi="宋体" w:eastAsia="宋体"/>
                <w:szCs w:val="21"/>
                <w:highlight w:val="none"/>
              </w:rPr>
            </w:pPr>
          </w:p>
        </w:tc>
        <w:tc>
          <w:tcPr>
            <w:tcW w:w="787" w:type="pct"/>
            <w:vAlign w:val="center"/>
          </w:tcPr>
          <w:p w14:paraId="1932B18A">
            <w:pPr>
              <w:rPr>
                <w:rFonts w:ascii="宋体" w:hAnsi="宋体" w:eastAsia="宋体"/>
                <w:szCs w:val="21"/>
                <w:highlight w:val="none"/>
              </w:rPr>
            </w:pPr>
          </w:p>
        </w:tc>
      </w:tr>
      <w:tr w14:paraId="0868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14:paraId="64462E7A">
            <w:pPr>
              <w:rPr>
                <w:rFonts w:ascii="宋体" w:hAnsi="宋体" w:eastAsia="宋体"/>
                <w:szCs w:val="21"/>
                <w:highlight w:val="none"/>
              </w:rPr>
            </w:pPr>
            <w:r>
              <w:rPr>
                <w:rFonts w:hint="eastAsia" w:ascii="宋体" w:hAnsi="宋体" w:eastAsia="宋体"/>
                <w:szCs w:val="21"/>
                <w:highlight w:val="none"/>
              </w:rPr>
              <w:t>8</w:t>
            </w:r>
          </w:p>
        </w:tc>
        <w:tc>
          <w:tcPr>
            <w:tcW w:w="1218" w:type="pct"/>
            <w:vAlign w:val="center"/>
          </w:tcPr>
          <w:p w14:paraId="611211EC">
            <w:pPr>
              <w:rPr>
                <w:rFonts w:ascii="宋体" w:hAnsi="宋体" w:eastAsia="宋体"/>
                <w:szCs w:val="21"/>
                <w:highlight w:val="none"/>
              </w:rPr>
            </w:pPr>
          </w:p>
        </w:tc>
        <w:tc>
          <w:tcPr>
            <w:tcW w:w="1792" w:type="pct"/>
            <w:vAlign w:val="center"/>
          </w:tcPr>
          <w:p w14:paraId="6B6D8B6A">
            <w:pPr>
              <w:rPr>
                <w:rFonts w:ascii="宋体" w:hAnsi="宋体" w:eastAsia="宋体"/>
                <w:szCs w:val="21"/>
                <w:highlight w:val="none"/>
              </w:rPr>
            </w:pPr>
          </w:p>
        </w:tc>
        <w:tc>
          <w:tcPr>
            <w:tcW w:w="787" w:type="pct"/>
            <w:vAlign w:val="center"/>
          </w:tcPr>
          <w:p w14:paraId="10701ACA">
            <w:pPr>
              <w:rPr>
                <w:rFonts w:ascii="宋体" w:hAnsi="宋体" w:eastAsia="宋体"/>
                <w:szCs w:val="21"/>
                <w:highlight w:val="none"/>
              </w:rPr>
            </w:pPr>
          </w:p>
        </w:tc>
        <w:tc>
          <w:tcPr>
            <w:tcW w:w="787" w:type="pct"/>
            <w:vAlign w:val="center"/>
          </w:tcPr>
          <w:p w14:paraId="4C626E7D">
            <w:pPr>
              <w:rPr>
                <w:rFonts w:ascii="宋体" w:hAnsi="宋体" w:eastAsia="宋体"/>
                <w:szCs w:val="21"/>
                <w:highlight w:val="none"/>
              </w:rPr>
            </w:pPr>
          </w:p>
        </w:tc>
      </w:tr>
      <w:tr w14:paraId="0089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14:paraId="262699DB">
            <w:pPr>
              <w:rPr>
                <w:rFonts w:ascii="宋体" w:hAnsi="宋体" w:eastAsia="宋体"/>
                <w:szCs w:val="21"/>
                <w:highlight w:val="none"/>
              </w:rPr>
            </w:pPr>
            <w:r>
              <w:rPr>
                <w:rFonts w:hint="eastAsia" w:ascii="宋体" w:hAnsi="宋体" w:eastAsia="宋体"/>
                <w:szCs w:val="21"/>
                <w:highlight w:val="none"/>
              </w:rPr>
              <w:t>9</w:t>
            </w:r>
          </w:p>
        </w:tc>
        <w:tc>
          <w:tcPr>
            <w:tcW w:w="1218" w:type="pct"/>
            <w:vAlign w:val="center"/>
          </w:tcPr>
          <w:p w14:paraId="2CE8A235">
            <w:pPr>
              <w:rPr>
                <w:rFonts w:ascii="宋体" w:hAnsi="宋体" w:eastAsia="宋体"/>
                <w:szCs w:val="21"/>
                <w:highlight w:val="none"/>
              </w:rPr>
            </w:pPr>
          </w:p>
        </w:tc>
        <w:tc>
          <w:tcPr>
            <w:tcW w:w="1792" w:type="pct"/>
            <w:vAlign w:val="center"/>
          </w:tcPr>
          <w:p w14:paraId="6AC24F5F">
            <w:pPr>
              <w:rPr>
                <w:rFonts w:ascii="宋体" w:hAnsi="宋体" w:eastAsia="宋体"/>
                <w:szCs w:val="21"/>
                <w:highlight w:val="none"/>
              </w:rPr>
            </w:pPr>
          </w:p>
        </w:tc>
        <w:tc>
          <w:tcPr>
            <w:tcW w:w="787" w:type="pct"/>
            <w:vAlign w:val="center"/>
          </w:tcPr>
          <w:p w14:paraId="3BFDAAE1">
            <w:pPr>
              <w:rPr>
                <w:rFonts w:ascii="宋体" w:hAnsi="宋体" w:eastAsia="宋体"/>
                <w:szCs w:val="21"/>
                <w:highlight w:val="none"/>
              </w:rPr>
            </w:pPr>
          </w:p>
        </w:tc>
        <w:tc>
          <w:tcPr>
            <w:tcW w:w="787" w:type="pct"/>
            <w:vAlign w:val="center"/>
          </w:tcPr>
          <w:p w14:paraId="2659CD38">
            <w:pPr>
              <w:rPr>
                <w:rFonts w:ascii="宋体" w:hAnsi="宋体" w:eastAsia="宋体"/>
                <w:szCs w:val="21"/>
                <w:highlight w:val="none"/>
              </w:rPr>
            </w:pPr>
          </w:p>
        </w:tc>
      </w:tr>
      <w:tr w14:paraId="3859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14:paraId="2B953ABB">
            <w:pPr>
              <w:rPr>
                <w:rFonts w:ascii="宋体" w:hAnsi="宋体" w:eastAsia="宋体"/>
                <w:szCs w:val="21"/>
                <w:highlight w:val="none"/>
              </w:rPr>
            </w:pPr>
            <w:r>
              <w:rPr>
                <w:rFonts w:hint="eastAsia" w:ascii="宋体" w:hAnsi="宋体" w:eastAsia="宋体"/>
                <w:szCs w:val="21"/>
                <w:highlight w:val="none"/>
              </w:rPr>
              <w:t>10</w:t>
            </w:r>
          </w:p>
        </w:tc>
        <w:tc>
          <w:tcPr>
            <w:tcW w:w="1218" w:type="pct"/>
            <w:vAlign w:val="center"/>
          </w:tcPr>
          <w:p w14:paraId="703CD639">
            <w:pPr>
              <w:rPr>
                <w:rFonts w:ascii="宋体" w:hAnsi="宋体" w:eastAsia="宋体"/>
                <w:szCs w:val="21"/>
                <w:highlight w:val="none"/>
              </w:rPr>
            </w:pPr>
          </w:p>
        </w:tc>
        <w:tc>
          <w:tcPr>
            <w:tcW w:w="1792" w:type="pct"/>
            <w:vAlign w:val="center"/>
          </w:tcPr>
          <w:p w14:paraId="0B7B042D">
            <w:pPr>
              <w:rPr>
                <w:rFonts w:ascii="宋体" w:hAnsi="宋体" w:eastAsia="宋体"/>
                <w:szCs w:val="21"/>
                <w:highlight w:val="none"/>
              </w:rPr>
            </w:pPr>
          </w:p>
        </w:tc>
        <w:tc>
          <w:tcPr>
            <w:tcW w:w="787" w:type="pct"/>
            <w:vAlign w:val="center"/>
          </w:tcPr>
          <w:p w14:paraId="0515CFA5">
            <w:pPr>
              <w:rPr>
                <w:rFonts w:ascii="宋体" w:hAnsi="宋体" w:eastAsia="宋体"/>
                <w:szCs w:val="21"/>
                <w:highlight w:val="none"/>
              </w:rPr>
            </w:pPr>
          </w:p>
        </w:tc>
        <w:tc>
          <w:tcPr>
            <w:tcW w:w="787" w:type="pct"/>
            <w:vAlign w:val="center"/>
          </w:tcPr>
          <w:p w14:paraId="7AA911BE">
            <w:pPr>
              <w:rPr>
                <w:rFonts w:ascii="宋体" w:hAnsi="宋体" w:eastAsia="宋体"/>
                <w:szCs w:val="21"/>
                <w:highlight w:val="none"/>
              </w:rPr>
            </w:pPr>
          </w:p>
        </w:tc>
      </w:tr>
      <w:tr w14:paraId="2A7D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14:paraId="5831321E">
            <w:pPr>
              <w:rPr>
                <w:rFonts w:ascii="宋体" w:hAnsi="宋体" w:eastAsia="宋体"/>
                <w:szCs w:val="21"/>
                <w:highlight w:val="none"/>
              </w:rPr>
            </w:pPr>
            <w:r>
              <w:rPr>
                <w:rFonts w:hint="eastAsia" w:ascii="宋体" w:hAnsi="宋体" w:eastAsia="宋体"/>
                <w:szCs w:val="21"/>
                <w:highlight w:val="none"/>
              </w:rPr>
              <w:t>……</w:t>
            </w:r>
          </w:p>
        </w:tc>
        <w:tc>
          <w:tcPr>
            <w:tcW w:w="1218" w:type="pct"/>
            <w:vAlign w:val="center"/>
          </w:tcPr>
          <w:p w14:paraId="1DF145C7">
            <w:pPr>
              <w:rPr>
                <w:rFonts w:ascii="宋体" w:hAnsi="宋体" w:eastAsia="宋体"/>
                <w:szCs w:val="21"/>
                <w:highlight w:val="none"/>
              </w:rPr>
            </w:pPr>
          </w:p>
        </w:tc>
        <w:tc>
          <w:tcPr>
            <w:tcW w:w="1792" w:type="pct"/>
            <w:vAlign w:val="center"/>
          </w:tcPr>
          <w:p w14:paraId="4A1AD2FA">
            <w:pPr>
              <w:rPr>
                <w:rFonts w:ascii="宋体" w:hAnsi="宋体" w:eastAsia="宋体"/>
                <w:szCs w:val="21"/>
                <w:highlight w:val="none"/>
              </w:rPr>
            </w:pPr>
          </w:p>
        </w:tc>
        <w:tc>
          <w:tcPr>
            <w:tcW w:w="787" w:type="pct"/>
            <w:vAlign w:val="center"/>
          </w:tcPr>
          <w:p w14:paraId="077E8BFC">
            <w:pPr>
              <w:rPr>
                <w:rFonts w:ascii="宋体" w:hAnsi="宋体" w:eastAsia="宋体"/>
                <w:szCs w:val="21"/>
                <w:highlight w:val="none"/>
              </w:rPr>
            </w:pPr>
          </w:p>
        </w:tc>
        <w:tc>
          <w:tcPr>
            <w:tcW w:w="787" w:type="pct"/>
            <w:vAlign w:val="center"/>
          </w:tcPr>
          <w:p w14:paraId="2AA440A8">
            <w:pPr>
              <w:rPr>
                <w:rFonts w:ascii="宋体" w:hAnsi="宋体" w:eastAsia="宋体"/>
                <w:szCs w:val="21"/>
                <w:highlight w:val="none"/>
              </w:rPr>
            </w:pPr>
          </w:p>
        </w:tc>
      </w:tr>
    </w:tbl>
    <w:p w14:paraId="349C9DBD">
      <w:pPr>
        <w:spacing w:line="360" w:lineRule="auto"/>
        <w:rPr>
          <w:rFonts w:ascii="宋体" w:hAnsi="宋体" w:eastAsia="宋体"/>
          <w:b/>
          <w:sz w:val="24"/>
          <w:szCs w:val="24"/>
          <w:highlight w:val="none"/>
        </w:rPr>
      </w:pPr>
      <w:r>
        <w:rPr>
          <w:rFonts w:hint="eastAsia" w:ascii="宋体" w:hAnsi="宋体" w:eastAsia="宋体"/>
          <w:b/>
          <w:sz w:val="24"/>
          <w:szCs w:val="24"/>
          <w:highlight w:val="none"/>
        </w:rPr>
        <w:t>注：投标人保证：除商务和技术偏差表列出的偏差外，投标人响应招标文件的全部要求。</w:t>
      </w:r>
    </w:p>
    <w:p w14:paraId="1A393259">
      <w:pPr>
        <w:keepNext/>
        <w:keepLines/>
        <w:widowControl/>
        <w:spacing w:line="360" w:lineRule="auto"/>
        <w:jc w:val="left"/>
        <w:rPr>
          <w:rFonts w:ascii="宋体" w:hAnsi="宋体" w:eastAsia="宋体"/>
          <w:kern w:val="0"/>
          <w:sz w:val="32"/>
          <w:szCs w:val="20"/>
          <w:highlight w:val="none"/>
        </w:rPr>
      </w:pPr>
      <w:r>
        <w:rPr>
          <w:rFonts w:hint="eastAsia" w:ascii="宋体" w:hAnsi="宋体" w:eastAsia="宋体"/>
          <w:szCs w:val="24"/>
          <w:highlight w:val="none"/>
        </w:rPr>
        <w:br w:type="page"/>
      </w:r>
    </w:p>
    <w:p w14:paraId="4A61D7F1">
      <w:pPr>
        <w:keepNext/>
        <w:keepLines/>
        <w:widowControl/>
        <w:spacing w:line="360" w:lineRule="auto"/>
        <w:jc w:val="left"/>
        <w:rPr>
          <w:rFonts w:ascii="宋体" w:hAnsi="宋体" w:eastAsia="宋体"/>
          <w:kern w:val="0"/>
          <w:sz w:val="32"/>
          <w:szCs w:val="20"/>
          <w:highlight w:val="none"/>
        </w:rPr>
      </w:pPr>
      <w:r>
        <w:rPr>
          <w:rFonts w:hint="eastAsia" w:ascii="宋体" w:hAnsi="宋体" w:eastAsia="宋体"/>
          <w:kern w:val="0"/>
          <w:sz w:val="32"/>
          <w:szCs w:val="20"/>
          <w:highlight w:val="none"/>
        </w:rPr>
        <w:t>六、分项报价表</w:t>
      </w:r>
    </w:p>
    <w:p w14:paraId="7678DADB">
      <w:pPr>
        <w:widowControl/>
        <w:spacing w:line="360" w:lineRule="auto"/>
        <w:jc w:val="left"/>
        <w:rPr>
          <w:rFonts w:ascii="宋体" w:hAnsi="宋体" w:eastAsia="宋体"/>
          <w:b/>
          <w:kern w:val="0"/>
          <w:sz w:val="22"/>
          <w:szCs w:val="20"/>
          <w:highlight w:val="none"/>
        </w:rPr>
      </w:pPr>
      <w:r>
        <w:rPr>
          <w:rFonts w:hint="eastAsia" w:ascii="宋体" w:hAnsi="宋体" w:eastAsia="宋体"/>
          <w:b/>
          <w:kern w:val="0"/>
          <w:sz w:val="22"/>
          <w:szCs w:val="20"/>
          <w:highlight w:val="none"/>
        </w:rPr>
        <w:t>1.报价清单（另附）</w:t>
      </w:r>
      <w:r>
        <w:rPr>
          <w:rFonts w:hint="eastAsia" w:ascii="宋体" w:hAnsi="宋体" w:eastAsia="宋体"/>
          <w:b/>
          <w:bCs/>
          <w:sz w:val="32"/>
          <w:szCs w:val="32"/>
          <w:highlight w:val="none"/>
        </w:rPr>
        <w:br w:type="page"/>
      </w:r>
      <w:r>
        <w:rPr>
          <w:rFonts w:hint="eastAsia" w:ascii="宋体" w:hAnsi="宋体" w:eastAsia="宋体"/>
          <w:b/>
          <w:kern w:val="0"/>
          <w:sz w:val="22"/>
          <w:szCs w:val="20"/>
          <w:highlight w:val="none"/>
        </w:rPr>
        <w:t>2.</w:t>
      </w:r>
      <w:r>
        <w:rPr>
          <w:rFonts w:hint="eastAsia" w:ascii="宋体" w:hAnsi="宋体" w:eastAsia="宋体"/>
          <w:highlight w:val="none"/>
        </w:rPr>
        <w:t xml:space="preserve"> </w:t>
      </w:r>
      <w:r>
        <w:rPr>
          <w:rFonts w:hint="eastAsia" w:ascii="宋体" w:hAnsi="宋体" w:eastAsia="宋体"/>
          <w:b/>
          <w:kern w:val="0"/>
          <w:sz w:val="22"/>
          <w:szCs w:val="20"/>
          <w:highlight w:val="none"/>
        </w:rPr>
        <w:t>电梯（垂直）货物主要部件（材料、配套件）清单</w:t>
      </w:r>
    </w:p>
    <w:p w14:paraId="7C4F7812">
      <w:pPr>
        <w:widowControl/>
        <w:snapToGrid w:val="0"/>
        <w:jc w:val="center"/>
        <w:rPr>
          <w:rFonts w:ascii="宋体" w:hAnsi="宋体" w:eastAsia="宋体"/>
          <w:b/>
          <w:kern w:val="0"/>
          <w:sz w:val="22"/>
          <w:szCs w:val="20"/>
          <w:highlight w:val="none"/>
        </w:rPr>
      </w:pPr>
    </w:p>
    <w:p w14:paraId="5889F0EB">
      <w:pPr>
        <w:widowControl/>
        <w:snapToGrid w:val="0"/>
        <w:jc w:val="center"/>
        <w:rPr>
          <w:rFonts w:ascii="宋体" w:hAnsi="宋体" w:eastAsia="宋体"/>
          <w:b/>
          <w:kern w:val="0"/>
          <w:sz w:val="22"/>
          <w:szCs w:val="20"/>
          <w:highlight w:val="none"/>
        </w:rPr>
      </w:pPr>
    </w:p>
    <w:p w14:paraId="3751B9D8">
      <w:pPr>
        <w:widowControl/>
        <w:snapToGrid w:val="0"/>
        <w:jc w:val="center"/>
        <w:rPr>
          <w:rFonts w:ascii="宋体" w:hAnsi="宋体" w:eastAsia="宋体"/>
          <w:b/>
          <w:kern w:val="0"/>
          <w:sz w:val="28"/>
          <w:szCs w:val="28"/>
          <w:highlight w:val="none"/>
        </w:rPr>
      </w:pPr>
      <w:r>
        <w:rPr>
          <w:rFonts w:hint="eastAsia" w:ascii="宋体" w:hAnsi="宋体" w:eastAsia="宋体"/>
          <w:b/>
          <w:kern w:val="0"/>
          <w:sz w:val="28"/>
          <w:szCs w:val="28"/>
          <w:highlight w:val="none"/>
        </w:rPr>
        <w:t>电梯（垂直）货物主要部件（材料、配套件）清单</w:t>
      </w:r>
    </w:p>
    <w:p w14:paraId="10203A0B">
      <w:pPr>
        <w:widowControl/>
        <w:snapToGrid w:val="0"/>
        <w:jc w:val="center"/>
        <w:rPr>
          <w:rFonts w:ascii="宋体" w:hAnsi="宋体" w:eastAsia="宋体"/>
          <w:szCs w:val="20"/>
          <w:highlight w:val="none"/>
        </w:rPr>
      </w:pPr>
    </w:p>
    <w:p w14:paraId="64464F98">
      <w:pPr>
        <w:widowControl/>
        <w:tabs>
          <w:tab w:val="left" w:pos="6275"/>
        </w:tabs>
        <w:snapToGrid w:val="0"/>
        <w:jc w:val="left"/>
        <w:rPr>
          <w:rFonts w:ascii="宋体" w:hAnsi="宋体" w:eastAsia="宋体"/>
          <w:szCs w:val="20"/>
          <w:highlight w:val="none"/>
        </w:rPr>
      </w:pP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6" w:type="dxa"/>
          <w:bottom w:w="0" w:type="dxa"/>
          <w:right w:w="56" w:type="dxa"/>
        </w:tblCellMar>
      </w:tblPr>
      <w:tblGrid>
        <w:gridCol w:w="1226"/>
        <w:gridCol w:w="2599"/>
        <w:gridCol w:w="2420"/>
        <w:gridCol w:w="2789"/>
      </w:tblGrid>
      <w:tr w14:paraId="232E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tblHeader/>
          <w:jc w:val="center"/>
        </w:trPr>
        <w:tc>
          <w:tcPr>
            <w:tcW w:w="678" w:type="pct"/>
            <w:tcBorders>
              <w:top w:val="double" w:color="auto" w:sz="4" w:space="0"/>
              <w:left w:val="double" w:color="auto" w:sz="4" w:space="0"/>
              <w:bottom w:val="single" w:color="auto" w:sz="6" w:space="0"/>
              <w:right w:val="single" w:color="auto" w:sz="6" w:space="0"/>
            </w:tcBorders>
            <w:vAlign w:val="center"/>
          </w:tcPr>
          <w:p w14:paraId="2160EAEC">
            <w:pPr>
              <w:widowControl/>
              <w:snapToGrid w:val="0"/>
              <w:jc w:val="center"/>
              <w:rPr>
                <w:rFonts w:ascii="宋体" w:hAnsi="宋体" w:eastAsia="宋体"/>
                <w:b/>
                <w:kern w:val="0"/>
                <w:szCs w:val="20"/>
                <w:highlight w:val="none"/>
                <w:lang w:eastAsia="en-US"/>
              </w:rPr>
            </w:pPr>
            <w:r>
              <w:rPr>
                <w:rFonts w:hint="eastAsia" w:ascii="宋体" w:hAnsi="宋体" w:eastAsia="宋体"/>
                <w:b/>
                <w:kern w:val="0"/>
                <w:szCs w:val="20"/>
                <w:highlight w:val="none"/>
                <w:lang w:eastAsia="en-US"/>
              </w:rPr>
              <w:t>序号</w:t>
            </w:r>
          </w:p>
        </w:tc>
        <w:tc>
          <w:tcPr>
            <w:tcW w:w="1438" w:type="pct"/>
            <w:tcBorders>
              <w:top w:val="double" w:color="auto" w:sz="4" w:space="0"/>
              <w:left w:val="single" w:color="auto" w:sz="6" w:space="0"/>
              <w:bottom w:val="single" w:color="auto" w:sz="6" w:space="0"/>
              <w:right w:val="single" w:color="auto" w:sz="6" w:space="0"/>
            </w:tcBorders>
            <w:vAlign w:val="center"/>
          </w:tcPr>
          <w:p w14:paraId="5B37FAC7">
            <w:pPr>
              <w:widowControl/>
              <w:snapToGrid w:val="0"/>
              <w:jc w:val="center"/>
              <w:rPr>
                <w:rFonts w:ascii="宋体" w:hAnsi="宋体" w:eastAsia="宋体"/>
                <w:b/>
                <w:kern w:val="0"/>
                <w:szCs w:val="20"/>
                <w:highlight w:val="none"/>
                <w:lang w:eastAsia="en-US"/>
              </w:rPr>
            </w:pPr>
            <w:r>
              <w:rPr>
                <w:rFonts w:hint="eastAsia" w:ascii="宋体" w:hAnsi="宋体" w:eastAsia="宋体"/>
                <w:b/>
                <w:kern w:val="0"/>
                <w:szCs w:val="20"/>
                <w:highlight w:val="none"/>
                <w:lang w:eastAsia="en-US"/>
              </w:rPr>
              <w:t>部件名称</w:t>
            </w:r>
          </w:p>
        </w:tc>
        <w:tc>
          <w:tcPr>
            <w:tcW w:w="1339" w:type="pct"/>
            <w:tcBorders>
              <w:top w:val="double" w:color="auto" w:sz="4" w:space="0"/>
              <w:left w:val="single" w:color="auto" w:sz="6" w:space="0"/>
              <w:bottom w:val="single" w:color="auto" w:sz="6" w:space="0"/>
              <w:right w:val="single" w:color="auto" w:sz="6" w:space="0"/>
            </w:tcBorders>
            <w:vAlign w:val="center"/>
          </w:tcPr>
          <w:p w14:paraId="17D54645">
            <w:pPr>
              <w:widowControl/>
              <w:snapToGrid w:val="0"/>
              <w:jc w:val="center"/>
              <w:rPr>
                <w:rFonts w:ascii="宋体" w:hAnsi="宋体" w:eastAsia="宋体"/>
                <w:b/>
                <w:kern w:val="0"/>
                <w:szCs w:val="20"/>
                <w:highlight w:val="none"/>
              </w:rPr>
            </w:pPr>
            <w:r>
              <w:rPr>
                <w:rFonts w:hint="eastAsia" w:ascii="宋体" w:hAnsi="宋体" w:eastAsia="宋体"/>
                <w:b/>
                <w:kern w:val="0"/>
                <w:szCs w:val="20"/>
                <w:highlight w:val="none"/>
              </w:rPr>
              <w:t>品牌或供应商</w:t>
            </w:r>
          </w:p>
        </w:tc>
        <w:tc>
          <w:tcPr>
            <w:tcW w:w="1543" w:type="pct"/>
            <w:tcBorders>
              <w:top w:val="double" w:color="auto" w:sz="4" w:space="0"/>
              <w:left w:val="single" w:color="auto" w:sz="6" w:space="0"/>
              <w:bottom w:val="single" w:color="auto" w:sz="6" w:space="0"/>
              <w:right w:val="double" w:color="auto" w:sz="4" w:space="0"/>
            </w:tcBorders>
            <w:vAlign w:val="center"/>
          </w:tcPr>
          <w:p w14:paraId="05CAF9DF">
            <w:pPr>
              <w:widowControl/>
              <w:snapToGrid w:val="0"/>
              <w:jc w:val="center"/>
              <w:rPr>
                <w:rFonts w:ascii="宋体" w:hAnsi="宋体" w:eastAsia="宋体"/>
                <w:b/>
                <w:kern w:val="0"/>
                <w:szCs w:val="20"/>
                <w:highlight w:val="none"/>
              </w:rPr>
            </w:pPr>
            <w:r>
              <w:rPr>
                <w:rFonts w:hint="eastAsia" w:ascii="宋体" w:hAnsi="宋体" w:eastAsia="宋体"/>
                <w:b/>
                <w:kern w:val="0"/>
                <w:szCs w:val="20"/>
                <w:highlight w:val="none"/>
              </w:rPr>
              <w:t>备注</w:t>
            </w:r>
          </w:p>
        </w:tc>
      </w:tr>
      <w:tr w14:paraId="55AA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5F9DD6BB">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7F403677">
            <w:pPr>
              <w:widowControl/>
              <w:snapToGrid w:val="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1640FD29">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040E6D90">
            <w:pPr>
              <w:widowControl/>
              <w:snapToGrid w:val="0"/>
              <w:ind w:firstLine="420"/>
              <w:jc w:val="left"/>
              <w:rPr>
                <w:rFonts w:ascii="宋体" w:hAnsi="宋体" w:eastAsia="宋体"/>
                <w:kern w:val="0"/>
                <w:szCs w:val="20"/>
                <w:highlight w:val="none"/>
                <w:lang w:eastAsia="en-US"/>
              </w:rPr>
            </w:pPr>
          </w:p>
        </w:tc>
      </w:tr>
      <w:tr w14:paraId="13C4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7976E1CC">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7AFCDD82">
            <w:pPr>
              <w:widowControl/>
              <w:snapToGrid w:val="0"/>
              <w:jc w:val="center"/>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146F2796">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4E3D0A48">
            <w:pPr>
              <w:widowControl/>
              <w:snapToGrid w:val="0"/>
              <w:ind w:firstLine="420"/>
              <w:jc w:val="left"/>
              <w:rPr>
                <w:rFonts w:ascii="宋体" w:hAnsi="宋体" w:eastAsia="宋体"/>
                <w:kern w:val="0"/>
                <w:szCs w:val="20"/>
                <w:highlight w:val="none"/>
                <w:lang w:eastAsia="en-US"/>
              </w:rPr>
            </w:pPr>
          </w:p>
        </w:tc>
      </w:tr>
      <w:tr w14:paraId="318E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77E9B553">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573696FA">
            <w:pPr>
              <w:widowControl/>
              <w:snapToGrid w:val="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4FBE9CA9">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751BD315">
            <w:pPr>
              <w:widowControl/>
              <w:snapToGrid w:val="0"/>
              <w:ind w:firstLine="420"/>
              <w:jc w:val="left"/>
              <w:rPr>
                <w:rFonts w:ascii="宋体" w:hAnsi="宋体" w:eastAsia="宋体"/>
                <w:kern w:val="0"/>
                <w:szCs w:val="20"/>
                <w:highlight w:val="none"/>
                <w:lang w:eastAsia="en-US"/>
              </w:rPr>
            </w:pPr>
          </w:p>
        </w:tc>
      </w:tr>
      <w:tr w14:paraId="2A8B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7E4DCAEA">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776B21B9">
            <w:pPr>
              <w:widowControl/>
              <w:snapToGrid w:val="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14E43CAA">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7C380C50">
            <w:pPr>
              <w:widowControl/>
              <w:snapToGrid w:val="0"/>
              <w:ind w:firstLine="420"/>
              <w:jc w:val="left"/>
              <w:rPr>
                <w:rFonts w:ascii="宋体" w:hAnsi="宋体" w:eastAsia="宋体"/>
                <w:kern w:val="0"/>
                <w:szCs w:val="20"/>
                <w:highlight w:val="none"/>
                <w:lang w:eastAsia="en-US"/>
              </w:rPr>
            </w:pPr>
          </w:p>
        </w:tc>
      </w:tr>
      <w:tr w14:paraId="6F8A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5CF753CC">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4E9BB818">
            <w:pPr>
              <w:widowControl/>
              <w:snapToGrid w:val="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5E39E514">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75E63268">
            <w:pPr>
              <w:widowControl/>
              <w:snapToGrid w:val="0"/>
              <w:ind w:firstLine="420"/>
              <w:jc w:val="left"/>
              <w:rPr>
                <w:rFonts w:ascii="宋体" w:hAnsi="宋体" w:eastAsia="宋体"/>
                <w:kern w:val="0"/>
                <w:szCs w:val="20"/>
                <w:highlight w:val="none"/>
                <w:lang w:eastAsia="en-US"/>
              </w:rPr>
            </w:pPr>
          </w:p>
        </w:tc>
      </w:tr>
      <w:tr w14:paraId="0C13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1E3145D3">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2E3E6719">
            <w:pPr>
              <w:widowControl/>
              <w:snapToGrid w:val="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7EAED001">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58B78873">
            <w:pPr>
              <w:widowControl/>
              <w:snapToGrid w:val="0"/>
              <w:ind w:firstLine="420"/>
              <w:jc w:val="left"/>
              <w:rPr>
                <w:rFonts w:ascii="宋体" w:hAnsi="宋体" w:eastAsia="宋体"/>
                <w:kern w:val="0"/>
                <w:szCs w:val="20"/>
                <w:highlight w:val="none"/>
                <w:lang w:eastAsia="en-US"/>
              </w:rPr>
            </w:pPr>
          </w:p>
        </w:tc>
      </w:tr>
      <w:tr w14:paraId="6289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3A15521F">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29BE1EB8">
            <w:pPr>
              <w:widowControl/>
              <w:snapToGrid w:val="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08D6E31D">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4371CAFD">
            <w:pPr>
              <w:widowControl/>
              <w:snapToGrid w:val="0"/>
              <w:ind w:firstLine="420"/>
              <w:jc w:val="left"/>
              <w:rPr>
                <w:rFonts w:ascii="宋体" w:hAnsi="宋体" w:eastAsia="宋体"/>
                <w:kern w:val="0"/>
                <w:szCs w:val="20"/>
                <w:highlight w:val="none"/>
                <w:lang w:eastAsia="en-US"/>
              </w:rPr>
            </w:pPr>
          </w:p>
        </w:tc>
      </w:tr>
      <w:tr w14:paraId="2ADB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464450CC">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06193D45">
            <w:pPr>
              <w:widowControl/>
              <w:snapToGrid w:val="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223AEFA4">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5876247F">
            <w:pPr>
              <w:widowControl/>
              <w:snapToGrid w:val="0"/>
              <w:ind w:firstLine="420"/>
              <w:jc w:val="left"/>
              <w:rPr>
                <w:rFonts w:ascii="宋体" w:hAnsi="宋体" w:eastAsia="宋体"/>
                <w:kern w:val="0"/>
                <w:szCs w:val="20"/>
                <w:highlight w:val="none"/>
                <w:lang w:eastAsia="en-US"/>
              </w:rPr>
            </w:pPr>
          </w:p>
        </w:tc>
      </w:tr>
      <w:tr w14:paraId="79F5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77742695">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2AAF6F37">
            <w:pPr>
              <w:widowControl/>
              <w:snapToGrid w:val="0"/>
              <w:jc w:val="left"/>
              <w:rPr>
                <w:rFonts w:ascii="宋体" w:hAnsi="宋体" w:eastAsia="宋体"/>
                <w:b/>
                <w:spacing w:val="10"/>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79834796">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28E336C7">
            <w:pPr>
              <w:widowControl/>
              <w:snapToGrid w:val="0"/>
              <w:ind w:firstLine="420"/>
              <w:jc w:val="left"/>
              <w:rPr>
                <w:rFonts w:ascii="宋体" w:hAnsi="宋体" w:eastAsia="宋体"/>
                <w:kern w:val="0"/>
                <w:szCs w:val="20"/>
                <w:highlight w:val="none"/>
                <w:lang w:eastAsia="en-US"/>
              </w:rPr>
            </w:pPr>
          </w:p>
        </w:tc>
      </w:tr>
      <w:tr w14:paraId="41F1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35216990">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780F782B">
            <w:pPr>
              <w:widowControl/>
              <w:snapToGrid w:val="0"/>
              <w:ind w:firstLine="42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64CE65B7">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662A7FDC">
            <w:pPr>
              <w:widowControl/>
              <w:snapToGrid w:val="0"/>
              <w:ind w:firstLine="420"/>
              <w:jc w:val="left"/>
              <w:rPr>
                <w:rFonts w:ascii="宋体" w:hAnsi="宋体" w:eastAsia="宋体"/>
                <w:kern w:val="0"/>
                <w:szCs w:val="20"/>
                <w:highlight w:val="none"/>
                <w:lang w:eastAsia="en-US"/>
              </w:rPr>
            </w:pPr>
          </w:p>
        </w:tc>
      </w:tr>
      <w:tr w14:paraId="3160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single" w:color="auto" w:sz="6" w:space="0"/>
              <w:right w:val="single" w:color="auto" w:sz="6" w:space="0"/>
            </w:tcBorders>
            <w:vAlign w:val="center"/>
          </w:tcPr>
          <w:p w14:paraId="5D24AE7A">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single" w:color="auto" w:sz="6" w:space="0"/>
              <w:right w:val="single" w:color="auto" w:sz="6" w:space="0"/>
            </w:tcBorders>
            <w:vAlign w:val="center"/>
          </w:tcPr>
          <w:p w14:paraId="3156A30E">
            <w:pPr>
              <w:widowControl/>
              <w:snapToGrid w:val="0"/>
              <w:ind w:firstLine="42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single" w:color="auto" w:sz="6" w:space="0"/>
              <w:right w:val="single" w:color="auto" w:sz="6" w:space="0"/>
            </w:tcBorders>
            <w:vAlign w:val="center"/>
          </w:tcPr>
          <w:p w14:paraId="49BBFEDB">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single" w:color="auto" w:sz="6" w:space="0"/>
              <w:right w:val="double" w:color="auto" w:sz="4" w:space="0"/>
            </w:tcBorders>
          </w:tcPr>
          <w:p w14:paraId="7024E68F">
            <w:pPr>
              <w:widowControl/>
              <w:snapToGrid w:val="0"/>
              <w:ind w:firstLine="420"/>
              <w:jc w:val="left"/>
              <w:rPr>
                <w:rFonts w:ascii="宋体" w:hAnsi="宋体" w:eastAsia="宋体"/>
                <w:kern w:val="0"/>
                <w:szCs w:val="20"/>
                <w:highlight w:val="none"/>
                <w:lang w:eastAsia="en-US"/>
              </w:rPr>
            </w:pPr>
          </w:p>
        </w:tc>
      </w:tr>
      <w:tr w14:paraId="1FA8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678" w:type="pct"/>
            <w:tcBorders>
              <w:top w:val="single" w:color="auto" w:sz="6" w:space="0"/>
              <w:left w:val="double" w:color="auto" w:sz="4" w:space="0"/>
              <w:bottom w:val="double" w:color="auto" w:sz="4" w:space="0"/>
              <w:right w:val="single" w:color="auto" w:sz="6" w:space="0"/>
            </w:tcBorders>
            <w:vAlign w:val="center"/>
          </w:tcPr>
          <w:p w14:paraId="79C66ED5">
            <w:pPr>
              <w:widowControl/>
              <w:snapToGrid w:val="0"/>
              <w:jc w:val="center"/>
              <w:rPr>
                <w:rFonts w:ascii="宋体" w:hAnsi="宋体" w:eastAsia="宋体"/>
                <w:kern w:val="0"/>
                <w:szCs w:val="20"/>
                <w:highlight w:val="none"/>
                <w:lang w:eastAsia="en-US"/>
              </w:rPr>
            </w:pPr>
          </w:p>
        </w:tc>
        <w:tc>
          <w:tcPr>
            <w:tcW w:w="1438" w:type="pct"/>
            <w:tcBorders>
              <w:top w:val="single" w:color="auto" w:sz="6" w:space="0"/>
              <w:left w:val="single" w:color="auto" w:sz="6" w:space="0"/>
              <w:bottom w:val="double" w:color="auto" w:sz="4" w:space="0"/>
              <w:right w:val="single" w:color="auto" w:sz="6" w:space="0"/>
            </w:tcBorders>
            <w:vAlign w:val="center"/>
          </w:tcPr>
          <w:p w14:paraId="38E5F339">
            <w:pPr>
              <w:widowControl/>
              <w:snapToGrid w:val="0"/>
              <w:ind w:firstLine="420"/>
              <w:jc w:val="left"/>
              <w:rPr>
                <w:rFonts w:ascii="宋体" w:hAnsi="宋体" w:eastAsia="宋体"/>
                <w:kern w:val="0"/>
                <w:szCs w:val="20"/>
                <w:highlight w:val="none"/>
                <w:lang w:eastAsia="en-US"/>
              </w:rPr>
            </w:pPr>
          </w:p>
        </w:tc>
        <w:tc>
          <w:tcPr>
            <w:tcW w:w="1339" w:type="pct"/>
            <w:tcBorders>
              <w:top w:val="single" w:color="auto" w:sz="6" w:space="0"/>
              <w:left w:val="single" w:color="auto" w:sz="6" w:space="0"/>
              <w:bottom w:val="double" w:color="auto" w:sz="4" w:space="0"/>
              <w:right w:val="single" w:color="auto" w:sz="6" w:space="0"/>
            </w:tcBorders>
            <w:vAlign w:val="center"/>
          </w:tcPr>
          <w:p w14:paraId="40296270">
            <w:pPr>
              <w:widowControl/>
              <w:snapToGrid w:val="0"/>
              <w:ind w:firstLine="420"/>
              <w:jc w:val="left"/>
              <w:rPr>
                <w:rFonts w:ascii="宋体" w:hAnsi="宋体" w:eastAsia="宋体"/>
                <w:kern w:val="0"/>
                <w:szCs w:val="20"/>
                <w:highlight w:val="none"/>
                <w:lang w:eastAsia="en-US"/>
              </w:rPr>
            </w:pPr>
          </w:p>
        </w:tc>
        <w:tc>
          <w:tcPr>
            <w:tcW w:w="1543" w:type="pct"/>
            <w:tcBorders>
              <w:top w:val="single" w:color="auto" w:sz="6" w:space="0"/>
              <w:left w:val="single" w:color="auto" w:sz="6" w:space="0"/>
              <w:bottom w:val="double" w:color="auto" w:sz="4" w:space="0"/>
              <w:right w:val="double" w:color="auto" w:sz="4" w:space="0"/>
            </w:tcBorders>
          </w:tcPr>
          <w:p w14:paraId="4912D552">
            <w:pPr>
              <w:widowControl/>
              <w:snapToGrid w:val="0"/>
              <w:ind w:firstLine="420"/>
              <w:jc w:val="left"/>
              <w:rPr>
                <w:rFonts w:ascii="宋体" w:hAnsi="宋体" w:eastAsia="宋体"/>
                <w:kern w:val="0"/>
                <w:szCs w:val="20"/>
                <w:highlight w:val="none"/>
                <w:lang w:eastAsia="en-US"/>
              </w:rPr>
            </w:pPr>
          </w:p>
        </w:tc>
      </w:tr>
    </w:tbl>
    <w:p w14:paraId="51EB6944">
      <w:pPr>
        <w:widowControl/>
        <w:tabs>
          <w:tab w:val="left" w:pos="6275"/>
        </w:tabs>
        <w:jc w:val="left"/>
        <w:rPr>
          <w:rFonts w:ascii="宋体" w:hAnsi="宋体" w:eastAsia="宋体"/>
          <w:b/>
          <w:szCs w:val="20"/>
          <w:highlight w:val="none"/>
        </w:rPr>
      </w:pPr>
    </w:p>
    <w:p w14:paraId="3B5A1E6B">
      <w:pPr>
        <w:widowControl/>
        <w:ind w:left="712" w:hanging="711" w:hangingChars="339"/>
        <w:jc w:val="left"/>
        <w:rPr>
          <w:rFonts w:ascii="宋体" w:hAnsi="宋体" w:eastAsia="宋体"/>
          <w:kern w:val="0"/>
          <w:szCs w:val="20"/>
          <w:highlight w:val="none"/>
        </w:rPr>
      </w:pPr>
    </w:p>
    <w:p w14:paraId="17113E20">
      <w:pPr>
        <w:widowControl/>
        <w:ind w:left="712" w:hanging="711" w:hangingChars="339"/>
        <w:jc w:val="left"/>
        <w:rPr>
          <w:rFonts w:ascii="宋体" w:hAnsi="宋体" w:eastAsia="宋体"/>
          <w:kern w:val="0"/>
          <w:szCs w:val="20"/>
          <w:highlight w:val="none"/>
        </w:rPr>
      </w:pPr>
    </w:p>
    <w:p w14:paraId="160D2FB1">
      <w:pPr>
        <w:widowControl/>
        <w:snapToGrid w:val="0"/>
        <w:spacing w:line="360" w:lineRule="auto"/>
        <w:ind w:left="4620" w:leftChars="2200" w:firstLine="360"/>
        <w:jc w:val="left"/>
        <w:rPr>
          <w:rFonts w:ascii="宋体" w:hAnsi="宋体" w:eastAsia="宋体"/>
          <w:kern w:val="0"/>
          <w:sz w:val="22"/>
          <w:szCs w:val="20"/>
          <w:highlight w:val="none"/>
        </w:rPr>
      </w:pPr>
    </w:p>
    <w:p w14:paraId="359DA61B">
      <w:pPr>
        <w:widowControl/>
        <w:snapToGrid w:val="0"/>
        <w:spacing w:line="360" w:lineRule="auto"/>
        <w:ind w:left="4620" w:leftChars="2200" w:firstLine="360"/>
        <w:jc w:val="left"/>
        <w:rPr>
          <w:rFonts w:ascii="宋体" w:hAnsi="宋体" w:eastAsia="宋体"/>
          <w:kern w:val="0"/>
          <w:sz w:val="22"/>
          <w:szCs w:val="20"/>
          <w:highlight w:val="none"/>
        </w:rPr>
      </w:pPr>
    </w:p>
    <w:p w14:paraId="5696462D">
      <w:pPr>
        <w:widowControl/>
        <w:snapToGrid w:val="0"/>
        <w:spacing w:line="360" w:lineRule="auto"/>
        <w:ind w:left="4620" w:leftChars="2200" w:firstLine="360"/>
        <w:jc w:val="left"/>
        <w:rPr>
          <w:rFonts w:ascii="宋体" w:hAnsi="宋体" w:eastAsia="宋体"/>
          <w:kern w:val="0"/>
          <w:sz w:val="22"/>
          <w:szCs w:val="20"/>
          <w:highlight w:val="none"/>
        </w:rPr>
      </w:pPr>
    </w:p>
    <w:p w14:paraId="1F62FA69">
      <w:pPr>
        <w:widowControl/>
        <w:snapToGrid w:val="0"/>
        <w:spacing w:line="360" w:lineRule="auto"/>
        <w:ind w:left="4620" w:leftChars="2200" w:firstLine="360"/>
        <w:jc w:val="left"/>
        <w:rPr>
          <w:rFonts w:ascii="宋体" w:hAnsi="宋体" w:eastAsia="宋体"/>
          <w:kern w:val="0"/>
          <w:sz w:val="22"/>
          <w:szCs w:val="20"/>
          <w:highlight w:val="none"/>
        </w:rPr>
      </w:pPr>
    </w:p>
    <w:p w14:paraId="221CCB6F">
      <w:pPr>
        <w:widowControl/>
        <w:snapToGrid w:val="0"/>
        <w:spacing w:line="360" w:lineRule="auto"/>
        <w:ind w:left="4620" w:leftChars="2200" w:firstLine="360"/>
        <w:jc w:val="left"/>
        <w:rPr>
          <w:rFonts w:ascii="宋体" w:hAnsi="宋体" w:eastAsia="宋体"/>
          <w:kern w:val="0"/>
          <w:sz w:val="22"/>
          <w:szCs w:val="20"/>
          <w:highlight w:val="none"/>
        </w:rPr>
      </w:pPr>
    </w:p>
    <w:p w14:paraId="34968C9D">
      <w:pPr>
        <w:widowControl/>
        <w:snapToGrid w:val="0"/>
        <w:spacing w:line="360" w:lineRule="auto"/>
        <w:ind w:left="4620" w:leftChars="2200" w:firstLine="360"/>
        <w:jc w:val="left"/>
        <w:rPr>
          <w:rFonts w:ascii="宋体" w:hAnsi="宋体" w:eastAsia="宋体"/>
          <w:kern w:val="0"/>
          <w:sz w:val="22"/>
          <w:szCs w:val="20"/>
          <w:highlight w:val="none"/>
        </w:rPr>
      </w:pPr>
    </w:p>
    <w:p w14:paraId="6260B28F">
      <w:pPr>
        <w:widowControl/>
        <w:snapToGrid w:val="0"/>
        <w:spacing w:line="360" w:lineRule="auto"/>
        <w:ind w:left="4620" w:leftChars="2200" w:firstLine="360"/>
        <w:jc w:val="left"/>
        <w:rPr>
          <w:rFonts w:ascii="宋体" w:hAnsi="宋体" w:eastAsia="宋体"/>
          <w:kern w:val="0"/>
          <w:sz w:val="22"/>
          <w:szCs w:val="20"/>
          <w:highlight w:val="none"/>
        </w:rPr>
      </w:pPr>
    </w:p>
    <w:p w14:paraId="5E4E571F">
      <w:pPr>
        <w:widowControl/>
        <w:snapToGrid w:val="0"/>
        <w:spacing w:line="360" w:lineRule="auto"/>
        <w:ind w:left="4620" w:leftChars="2200" w:firstLine="360"/>
        <w:jc w:val="left"/>
        <w:rPr>
          <w:rFonts w:ascii="宋体" w:hAnsi="宋体" w:eastAsia="宋体"/>
          <w:kern w:val="0"/>
          <w:sz w:val="22"/>
          <w:szCs w:val="20"/>
          <w:highlight w:val="none"/>
        </w:rPr>
      </w:pPr>
    </w:p>
    <w:p w14:paraId="6DBAF7A0">
      <w:pPr>
        <w:widowControl/>
        <w:jc w:val="left"/>
        <w:rPr>
          <w:rFonts w:ascii="宋体" w:hAnsi="宋体" w:eastAsia="宋体"/>
          <w:b/>
          <w:kern w:val="0"/>
          <w:sz w:val="22"/>
          <w:szCs w:val="20"/>
          <w:highlight w:val="none"/>
        </w:rPr>
      </w:pPr>
      <w:r>
        <w:rPr>
          <w:rFonts w:hint="eastAsia" w:ascii="宋体" w:hAnsi="宋体" w:eastAsia="宋体"/>
          <w:b/>
          <w:kern w:val="0"/>
          <w:sz w:val="22"/>
          <w:szCs w:val="20"/>
          <w:highlight w:val="none"/>
        </w:rPr>
        <w:t>3.</w:t>
      </w:r>
      <w:r>
        <w:rPr>
          <w:rFonts w:hint="eastAsia" w:ascii="宋体" w:hAnsi="宋体" w:eastAsia="宋体"/>
          <w:highlight w:val="none"/>
        </w:rPr>
        <w:t xml:space="preserve"> </w:t>
      </w:r>
      <w:r>
        <w:rPr>
          <w:rFonts w:hint="eastAsia" w:ascii="宋体" w:hAnsi="宋体" w:eastAsia="宋体"/>
          <w:b/>
          <w:kern w:val="0"/>
          <w:sz w:val="22"/>
          <w:szCs w:val="20"/>
          <w:highlight w:val="none"/>
        </w:rPr>
        <w:t>电梯（垂直）货物备品备件清单</w:t>
      </w:r>
    </w:p>
    <w:p w14:paraId="358D0C11">
      <w:pPr>
        <w:widowControl/>
        <w:snapToGrid w:val="0"/>
        <w:spacing w:line="360" w:lineRule="auto"/>
        <w:ind w:left="4620" w:leftChars="2200" w:firstLine="360"/>
        <w:jc w:val="left"/>
        <w:rPr>
          <w:rFonts w:ascii="宋体" w:hAnsi="宋体" w:eastAsia="宋体"/>
          <w:kern w:val="0"/>
          <w:sz w:val="22"/>
          <w:szCs w:val="20"/>
          <w:highlight w:val="none"/>
        </w:rPr>
      </w:pPr>
    </w:p>
    <w:p w14:paraId="0AF92D7D">
      <w:pPr>
        <w:widowControl/>
        <w:snapToGrid w:val="0"/>
        <w:jc w:val="center"/>
        <w:rPr>
          <w:rFonts w:ascii="宋体" w:hAnsi="宋体" w:eastAsia="宋体"/>
          <w:b/>
          <w:kern w:val="0"/>
          <w:sz w:val="28"/>
          <w:szCs w:val="28"/>
          <w:highlight w:val="none"/>
        </w:rPr>
      </w:pPr>
      <w:r>
        <w:rPr>
          <w:rFonts w:hint="eastAsia" w:ascii="宋体" w:hAnsi="宋体" w:eastAsia="宋体"/>
          <w:b/>
          <w:kern w:val="0"/>
          <w:sz w:val="28"/>
          <w:szCs w:val="28"/>
          <w:highlight w:val="none"/>
        </w:rPr>
        <w:t>电梯（垂直）货物备品备件清单</w:t>
      </w:r>
    </w:p>
    <w:p w14:paraId="43151387">
      <w:pPr>
        <w:widowControl/>
        <w:snapToGrid w:val="0"/>
        <w:jc w:val="center"/>
        <w:rPr>
          <w:rFonts w:ascii="宋体" w:hAnsi="宋体" w:eastAsia="宋体"/>
          <w:szCs w:val="20"/>
          <w:highlight w:val="none"/>
        </w:rPr>
      </w:pPr>
    </w:p>
    <w:p w14:paraId="69ECE455">
      <w:pPr>
        <w:widowControl/>
        <w:tabs>
          <w:tab w:val="left" w:pos="6275"/>
        </w:tabs>
        <w:snapToGrid w:val="0"/>
        <w:jc w:val="left"/>
        <w:rPr>
          <w:rFonts w:ascii="宋体" w:hAnsi="宋体" w:eastAsia="宋体"/>
          <w:szCs w:val="20"/>
          <w:highlight w:val="none"/>
        </w:rPr>
      </w:pPr>
      <w:r>
        <w:rPr>
          <w:rFonts w:hint="eastAsia" w:ascii="宋体" w:hAnsi="宋体" w:eastAsia="宋体"/>
          <w:szCs w:val="20"/>
          <w:highlight w:val="none"/>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728"/>
        <w:gridCol w:w="1544"/>
        <w:gridCol w:w="2405"/>
        <w:gridCol w:w="1095"/>
        <w:gridCol w:w="1853"/>
        <w:gridCol w:w="1513"/>
      </w:tblGrid>
      <w:tr w14:paraId="7DBF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1058" w:hRule="atLeast"/>
          <w:tblHeader/>
          <w:jc w:val="center"/>
        </w:trPr>
        <w:tc>
          <w:tcPr>
            <w:tcW w:w="728" w:type="dxa"/>
            <w:vAlign w:val="center"/>
          </w:tcPr>
          <w:p w14:paraId="0038749F">
            <w:pPr>
              <w:widowControl/>
              <w:snapToGrid w:val="0"/>
              <w:jc w:val="center"/>
              <w:rPr>
                <w:rFonts w:ascii="宋体" w:hAnsi="宋体" w:eastAsia="宋体"/>
                <w:b/>
                <w:kern w:val="0"/>
                <w:szCs w:val="20"/>
                <w:highlight w:val="none"/>
                <w:lang w:eastAsia="en-US"/>
              </w:rPr>
            </w:pPr>
            <w:r>
              <w:rPr>
                <w:rFonts w:hint="eastAsia" w:ascii="宋体" w:hAnsi="宋体" w:eastAsia="宋体"/>
                <w:b/>
                <w:kern w:val="0"/>
                <w:szCs w:val="20"/>
                <w:highlight w:val="none"/>
                <w:lang w:eastAsia="en-US"/>
              </w:rPr>
              <w:t>序号</w:t>
            </w:r>
          </w:p>
        </w:tc>
        <w:tc>
          <w:tcPr>
            <w:tcW w:w="1544" w:type="dxa"/>
            <w:vAlign w:val="center"/>
          </w:tcPr>
          <w:p w14:paraId="1D91772E">
            <w:pPr>
              <w:widowControl/>
              <w:snapToGrid w:val="0"/>
              <w:jc w:val="center"/>
              <w:rPr>
                <w:rFonts w:ascii="宋体" w:hAnsi="宋体" w:eastAsia="宋体"/>
                <w:b/>
                <w:kern w:val="0"/>
                <w:szCs w:val="20"/>
                <w:highlight w:val="none"/>
                <w:lang w:eastAsia="en-US"/>
              </w:rPr>
            </w:pPr>
            <w:r>
              <w:rPr>
                <w:rFonts w:hint="eastAsia" w:ascii="宋体" w:hAnsi="宋体" w:eastAsia="宋体"/>
                <w:b/>
                <w:kern w:val="0"/>
                <w:szCs w:val="20"/>
                <w:highlight w:val="none"/>
              </w:rPr>
              <w:t>备件</w:t>
            </w:r>
            <w:r>
              <w:rPr>
                <w:rFonts w:hint="eastAsia" w:ascii="宋体" w:hAnsi="宋体" w:eastAsia="宋体"/>
                <w:b/>
                <w:kern w:val="0"/>
                <w:szCs w:val="20"/>
                <w:highlight w:val="none"/>
                <w:lang w:eastAsia="en-US"/>
              </w:rPr>
              <w:t>名称</w:t>
            </w:r>
          </w:p>
        </w:tc>
        <w:tc>
          <w:tcPr>
            <w:tcW w:w="2405" w:type="dxa"/>
            <w:vAlign w:val="center"/>
          </w:tcPr>
          <w:p w14:paraId="78E4390C">
            <w:pPr>
              <w:widowControl/>
              <w:snapToGrid w:val="0"/>
              <w:jc w:val="center"/>
              <w:rPr>
                <w:rFonts w:ascii="宋体" w:hAnsi="宋体" w:eastAsia="宋体"/>
                <w:b/>
                <w:kern w:val="0"/>
                <w:szCs w:val="20"/>
                <w:highlight w:val="none"/>
                <w:lang w:eastAsia="en-US"/>
              </w:rPr>
            </w:pPr>
            <w:r>
              <w:rPr>
                <w:rFonts w:hint="eastAsia" w:ascii="宋体" w:hAnsi="宋体" w:eastAsia="宋体"/>
                <w:b/>
                <w:kern w:val="0"/>
                <w:szCs w:val="20"/>
                <w:highlight w:val="none"/>
                <w:lang w:eastAsia="en-US"/>
              </w:rPr>
              <w:t>规格型号</w:t>
            </w:r>
          </w:p>
        </w:tc>
        <w:tc>
          <w:tcPr>
            <w:tcW w:w="1095" w:type="dxa"/>
            <w:vAlign w:val="center"/>
          </w:tcPr>
          <w:p w14:paraId="2D04E120">
            <w:pPr>
              <w:widowControl/>
              <w:snapToGrid w:val="0"/>
              <w:jc w:val="center"/>
              <w:rPr>
                <w:rFonts w:ascii="宋体" w:hAnsi="宋体" w:eastAsia="宋体"/>
                <w:b/>
                <w:kern w:val="0"/>
                <w:szCs w:val="20"/>
                <w:highlight w:val="none"/>
              </w:rPr>
            </w:pPr>
            <w:r>
              <w:rPr>
                <w:rFonts w:hint="eastAsia" w:ascii="宋体" w:hAnsi="宋体" w:eastAsia="宋体"/>
                <w:b/>
                <w:kern w:val="0"/>
                <w:szCs w:val="20"/>
                <w:highlight w:val="none"/>
              </w:rPr>
              <w:t>单位</w:t>
            </w:r>
          </w:p>
        </w:tc>
        <w:tc>
          <w:tcPr>
            <w:tcW w:w="1853" w:type="dxa"/>
            <w:vAlign w:val="center"/>
          </w:tcPr>
          <w:p w14:paraId="4CFC88CD">
            <w:pPr>
              <w:widowControl/>
              <w:snapToGrid w:val="0"/>
              <w:jc w:val="center"/>
              <w:rPr>
                <w:rFonts w:ascii="宋体" w:hAnsi="宋体" w:eastAsia="宋体"/>
                <w:b/>
                <w:kern w:val="0"/>
                <w:szCs w:val="20"/>
                <w:highlight w:val="none"/>
              </w:rPr>
            </w:pPr>
            <w:r>
              <w:rPr>
                <w:rFonts w:hint="eastAsia" w:ascii="宋体" w:hAnsi="宋体" w:eastAsia="宋体"/>
                <w:b/>
                <w:kern w:val="0"/>
                <w:szCs w:val="20"/>
                <w:highlight w:val="none"/>
              </w:rPr>
              <w:t>综合单价</w:t>
            </w:r>
          </w:p>
          <w:p w14:paraId="7CB32137">
            <w:pPr>
              <w:widowControl/>
              <w:snapToGrid w:val="0"/>
              <w:jc w:val="center"/>
              <w:rPr>
                <w:rFonts w:ascii="宋体" w:hAnsi="宋体" w:eastAsia="宋体"/>
                <w:b/>
                <w:kern w:val="0"/>
                <w:szCs w:val="20"/>
                <w:highlight w:val="none"/>
              </w:rPr>
            </w:pPr>
            <w:r>
              <w:rPr>
                <w:rFonts w:hint="eastAsia" w:ascii="宋体" w:hAnsi="宋体" w:eastAsia="宋体"/>
                <w:b/>
                <w:kern w:val="0"/>
                <w:szCs w:val="20"/>
                <w:highlight w:val="none"/>
              </w:rPr>
              <w:t>（人民币：元）</w:t>
            </w:r>
          </w:p>
        </w:tc>
        <w:tc>
          <w:tcPr>
            <w:tcW w:w="1513" w:type="dxa"/>
            <w:vAlign w:val="center"/>
          </w:tcPr>
          <w:p w14:paraId="0B6D04C8">
            <w:pPr>
              <w:widowControl/>
              <w:snapToGrid w:val="0"/>
              <w:jc w:val="center"/>
              <w:rPr>
                <w:rFonts w:ascii="宋体" w:hAnsi="宋体" w:eastAsia="宋体"/>
                <w:b/>
                <w:kern w:val="0"/>
                <w:szCs w:val="20"/>
                <w:highlight w:val="none"/>
              </w:rPr>
            </w:pPr>
            <w:r>
              <w:rPr>
                <w:rFonts w:hint="eastAsia" w:ascii="宋体" w:hAnsi="宋体" w:eastAsia="宋体"/>
                <w:b/>
                <w:kern w:val="0"/>
                <w:szCs w:val="20"/>
                <w:highlight w:val="none"/>
              </w:rPr>
              <w:t>备注</w:t>
            </w:r>
          </w:p>
        </w:tc>
      </w:tr>
      <w:tr w14:paraId="17E8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2D0DF8FC">
            <w:pPr>
              <w:widowControl/>
              <w:snapToGrid w:val="0"/>
              <w:jc w:val="center"/>
              <w:rPr>
                <w:rFonts w:ascii="宋体" w:hAnsi="宋体" w:eastAsia="宋体"/>
                <w:kern w:val="0"/>
                <w:szCs w:val="20"/>
                <w:highlight w:val="none"/>
                <w:lang w:eastAsia="en-US"/>
              </w:rPr>
            </w:pPr>
          </w:p>
        </w:tc>
        <w:tc>
          <w:tcPr>
            <w:tcW w:w="1544" w:type="dxa"/>
            <w:vAlign w:val="center"/>
          </w:tcPr>
          <w:p w14:paraId="5ADA83FE">
            <w:pPr>
              <w:widowControl/>
              <w:snapToGrid w:val="0"/>
              <w:jc w:val="left"/>
              <w:rPr>
                <w:rFonts w:ascii="宋体" w:hAnsi="宋体" w:eastAsia="宋体"/>
                <w:kern w:val="0"/>
                <w:szCs w:val="20"/>
                <w:highlight w:val="none"/>
                <w:lang w:eastAsia="en-US"/>
              </w:rPr>
            </w:pPr>
          </w:p>
        </w:tc>
        <w:tc>
          <w:tcPr>
            <w:tcW w:w="2405" w:type="dxa"/>
            <w:vAlign w:val="center"/>
          </w:tcPr>
          <w:p w14:paraId="362D2BF7">
            <w:pPr>
              <w:widowControl/>
              <w:snapToGrid w:val="0"/>
              <w:ind w:firstLine="420"/>
              <w:jc w:val="left"/>
              <w:rPr>
                <w:rFonts w:ascii="宋体" w:hAnsi="宋体" w:eastAsia="宋体"/>
                <w:kern w:val="0"/>
                <w:szCs w:val="20"/>
                <w:highlight w:val="none"/>
                <w:lang w:eastAsia="en-US"/>
              </w:rPr>
            </w:pPr>
          </w:p>
        </w:tc>
        <w:tc>
          <w:tcPr>
            <w:tcW w:w="1095" w:type="dxa"/>
            <w:vAlign w:val="center"/>
          </w:tcPr>
          <w:p w14:paraId="3310F479">
            <w:pPr>
              <w:widowControl/>
              <w:snapToGrid w:val="0"/>
              <w:jc w:val="center"/>
              <w:rPr>
                <w:rFonts w:ascii="宋体" w:hAnsi="宋体" w:eastAsia="宋体"/>
                <w:b/>
                <w:kern w:val="0"/>
                <w:szCs w:val="20"/>
                <w:highlight w:val="none"/>
                <w:lang w:eastAsia="en-US"/>
              </w:rPr>
            </w:pPr>
          </w:p>
        </w:tc>
        <w:tc>
          <w:tcPr>
            <w:tcW w:w="1853" w:type="dxa"/>
            <w:vAlign w:val="center"/>
          </w:tcPr>
          <w:p w14:paraId="772BE1C7">
            <w:pPr>
              <w:widowControl/>
              <w:snapToGrid w:val="0"/>
              <w:ind w:firstLine="420"/>
              <w:jc w:val="left"/>
              <w:rPr>
                <w:rFonts w:ascii="宋体" w:hAnsi="宋体" w:eastAsia="宋体"/>
                <w:kern w:val="0"/>
                <w:szCs w:val="20"/>
                <w:highlight w:val="none"/>
                <w:lang w:eastAsia="en-US"/>
              </w:rPr>
            </w:pPr>
          </w:p>
        </w:tc>
        <w:tc>
          <w:tcPr>
            <w:tcW w:w="1513" w:type="dxa"/>
          </w:tcPr>
          <w:p w14:paraId="7C729F1C">
            <w:pPr>
              <w:widowControl/>
              <w:snapToGrid w:val="0"/>
              <w:ind w:firstLine="420"/>
              <w:jc w:val="left"/>
              <w:rPr>
                <w:rFonts w:ascii="宋体" w:hAnsi="宋体" w:eastAsia="宋体"/>
                <w:kern w:val="0"/>
                <w:szCs w:val="20"/>
                <w:highlight w:val="none"/>
                <w:lang w:eastAsia="en-US"/>
              </w:rPr>
            </w:pPr>
          </w:p>
        </w:tc>
      </w:tr>
      <w:tr w14:paraId="53EA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1D2D2025">
            <w:pPr>
              <w:widowControl/>
              <w:snapToGrid w:val="0"/>
              <w:jc w:val="center"/>
              <w:rPr>
                <w:rFonts w:ascii="宋体" w:hAnsi="宋体" w:eastAsia="宋体"/>
                <w:kern w:val="0"/>
                <w:szCs w:val="20"/>
                <w:highlight w:val="none"/>
                <w:lang w:eastAsia="en-US"/>
              </w:rPr>
            </w:pPr>
          </w:p>
        </w:tc>
        <w:tc>
          <w:tcPr>
            <w:tcW w:w="1544" w:type="dxa"/>
            <w:vAlign w:val="center"/>
          </w:tcPr>
          <w:p w14:paraId="4DDBC454">
            <w:pPr>
              <w:widowControl/>
              <w:snapToGrid w:val="0"/>
              <w:jc w:val="center"/>
              <w:rPr>
                <w:rFonts w:ascii="宋体" w:hAnsi="宋体" w:eastAsia="宋体"/>
                <w:kern w:val="0"/>
                <w:szCs w:val="20"/>
                <w:highlight w:val="none"/>
                <w:lang w:eastAsia="en-US"/>
              </w:rPr>
            </w:pPr>
          </w:p>
        </w:tc>
        <w:tc>
          <w:tcPr>
            <w:tcW w:w="2405" w:type="dxa"/>
            <w:vAlign w:val="center"/>
          </w:tcPr>
          <w:p w14:paraId="7CC87E0D">
            <w:pPr>
              <w:widowControl/>
              <w:snapToGrid w:val="0"/>
              <w:ind w:firstLine="420"/>
              <w:jc w:val="left"/>
              <w:rPr>
                <w:rFonts w:ascii="宋体" w:hAnsi="宋体" w:eastAsia="宋体"/>
                <w:kern w:val="0"/>
                <w:szCs w:val="20"/>
                <w:highlight w:val="none"/>
                <w:lang w:eastAsia="en-US"/>
              </w:rPr>
            </w:pPr>
          </w:p>
        </w:tc>
        <w:tc>
          <w:tcPr>
            <w:tcW w:w="1095" w:type="dxa"/>
            <w:vAlign w:val="center"/>
          </w:tcPr>
          <w:p w14:paraId="726C2754">
            <w:pPr>
              <w:widowControl/>
              <w:snapToGrid w:val="0"/>
              <w:jc w:val="center"/>
              <w:rPr>
                <w:rFonts w:ascii="宋体" w:hAnsi="宋体" w:eastAsia="宋体"/>
                <w:b/>
                <w:kern w:val="0"/>
                <w:szCs w:val="20"/>
                <w:highlight w:val="none"/>
                <w:lang w:eastAsia="en-US"/>
              </w:rPr>
            </w:pPr>
          </w:p>
        </w:tc>
        <w:tc>
          <w:tcPr>
            <w:tcW w:w="1853" w:type="dxa"/>
            <w:vAlign w:val="center"/>
          </w:tcPr>
          <w:p w14:paraId="2DD989F4">
            <w:pPr>
              <w:widowControl/>
              <w:snapToGrid w:val="0"/>
              <w:ind w:firstLine="420"/>
              <w:jc w:val="left"/>
              <w:rPr>
                <w:rFonts w:ascii="宋体" w:hAnsi="宋体" w:eastAsia="宋体"/>
                <w:kern w:val="0"/>
                <w:szCs w:val="20"/>
                <w:highlight w:val="none"/>
                <w:lang w:eastAsia="en-US"/>
              </w:rPr>
            </w:pPr>
          </w:p>
        </w:tc>
        <w:tc>
          <w:tcPr>
            <w:tcW w:w="1513" w:type="dxa"/>
          </w:tcPr>
          <w:p w14:paraId="34B47AAF">
            <w:pPr>
              <w:widowControl/>
              <w:snapToGrid w:val="0"/>
              <w:ind w:firstLine="420"/>
              <w:jc w:val="left"/>
              <w:rPr>
                <w:rFonts w:ascii="宋体" w:hAnsi="宋体" w:eastAsia="宋体"/>
                <w:kern w:val="0"/>
                <w:szCs w:val="20"/>
                <w:highlight w:val="none"/>
                <w:lang w:eastAsia="en-US"/>
              </w:rPr>
            </w:pPr>
          </w:p>
        </w:tc>
      </w:tr>
      <w:tr w14:paraId="016B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6702D087">
            <w:pPr>
              <w:widowControl/>
              <w:snapToGrid w:val="0"/>
              <w:jc w:val="center"/>
              <w:rPr>
                <w:rFonts w:ascii="宋体" w:hAnsi="宋体" w:eastAsia="宋体"/>
                <w:kern w:val="0"/>
                <w:szCs w:val="20"/>
                <w:highlight w:val="none"/>
                <w:lang w:eastAsia="en-US"/>
              </w:rPr>
            </w:pPr>
          </w:p>
        </w:tc>
        <w:tc>
          <w:tcPr>
            <w:tcW w:w="1544" w:type="dxa"/>
            <w:vAlign w:val="center"/>
          </w:tcPr>
          <w:p w14:paraId="17F84E39">
            <w:pPr>
              <w:widowControl/>
              <w:snapToGrid w:val="0"/>
              <w:jc w:val="left"/>
              <w:rPr>
                <w:rFonts w:ascii="宋体" w:hAnsi="宋体" w:eastAsia="宋体"/>
                <w:kern w:val="0"/>
                <w:szCs w:val="20"/>
                <w:highlight w:val="none"/>
                <w:lang w:eastAsia="en-US"/>
              </w:rPr>
            </w:pPr>
          </w:p>
        </w:tc>
        <w:tc>
          <w:tcPr>
            <w:tcW w:w="2405" w:type="dxa"/>
            <w:vAlign w:val="center"/>
          </w:tcPr>
          <w:p w14:paraId="7AE9FE8C">
            <w:pPr>
              <w:widowControl/>
              <w:snapToGrid w:val="0"/>
              <w:ind w:firstLine="420"/>
              <w:jc w:val="left"/>
              <w:rPr>
                <w:rFonts w:ascii="宋体" w:hAnsi="宋体" w:eastAsia="宋体"/>
                <w:kern w:val="0"/>
                <w:szCs w:val="20"/>
                <w:highlight w:val="none"/>
                <w:lang w:eastAsia="en-US"/>
              </w:rPr>
            </w:pPr>
          </w:p>
        </w:tc>
        <w:tc>
          <w:tcPr>
            <w:tcW w:w="1095" w:type="dxa"/>
            <w:vAlign w:val="center"/>
          </w:tcPr>
          <w:p w14:paraId="629E7E6C">
            <w:pPr>
              <w:widowControl/>
              <w:snapToGrid w:val="0"/>
              <w:jc w:val="center"/>
              <w:rPr>
                <w:rFonts w:ascii="宋体" w:hAnsi="宋体" w:eastAsia="宋体"/>
                <w:b/>
                <w:kern w:val="0"/>
                <w:szCs w:val="20"/>
                <w:highlight w:val="none"/>
                <w:lang w:eastAsia="en-US"/>
              </w:rPr>
            </w:pPr>
          </w:p>
        </w:tc>
        <w:tc>
          <w:tcPr>
            <w:tcW w:w="1853" w:type="dxa"/>
            <w:vAlign w:val="center"/>
          </w:tcPr>
          <w:p w14:paraId="56209C01">
            <w:pPr>
              <w:widowControl/>
              <w:snapToGrid w:val="0"/>
              <w:ind w:firstLine="420"/>
              <w:jc w:val="left"/>
              <w:rPr>
                <w:rFonts w:ascii="宋体" w:hAnsi="宋体" w:eastAsia="宋体"/>
                <w:kern w:val="0"/>
                <w:szCs w:val="20"/>
                <w:highlight w:val="none"/>
                <w:lang w:eastAsia="en-US"/>
              </w:rPr>
            </w:pPr>
          </w:p>
        </w:tc>
        <w:tc>
          <w:tcPr>
            <w:tcW w:w="1513" w:type="dxa"/>
          </w:tcPr>
          <w:p w14:paraId="560816BF">
            <w:pPr>
              <w:widowControl/>
              <w:snapToGrid w:val="0"/>
              <w:ind w:firstLine="420"/>
              <w:jc w:val="left"/>
              <w:rPr>
                <w:rFonts w:ascii="宋体" w:hAnsi="宋体" w:eastAsia="宋体"/>
                <w:kern w:val="0"/>
                <w:szCs w:val="20"/>
                <w:highlight w:val="none"/>
                <w:lang w:eastAsia="en-US"/>
              </w:rPr>
            </w:pPr>
          </w:p>
        </w:tc>
      </w:tr>
      <w:tr w14:paraId="0253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073F92EE">
            <w:pPr>
              <w:widowControl/>
              <w:snapToGrid w:val="0"/>
              <w:jc w:val="center"/>
              <w:rPr>
                <w:rFonts w:ascii="宋体" w:hAnsi="宋体" w:eastAsia="宋体"/>
                <w:kern w:val="0"/>
                <w:szCs w:val="20"/>
                <w:highlight w:val="none"/>
                <w:lang w:eastAsia="en-US"/>
              </w:rPr>
            </w:pPr>
          </w:p>
        </w:tc>
        <w:tc>
          <w:tcPr>
            <w:tcW w:w="1544" w:type="dxa"/>
            <w:vAlign w:val="center"/>
          </w:tcPr>
          <w:p w14:paraId="7919FF15">
            <w:pPr>
              <w:widowControl/>
              <w:snapToGrid w:val="0"/>
              <w:jc w:val="left"/>
              <w:rPr>
                <w:rFonts w:ascii="宋体" w:hAnsi="宋体" w:eastAsia="宋体"/>
                <w:kern w:val="0"/>
                <w:szCs w:val="20"/>
                <w:highlight w:val="none"/>
                <w:lang w:eastAsia="en-US"/>
              </w:rPr>
            </w:pPr>
          </w:p>
        </w:tc>
        <w:tc>
          <w:tcPr>
            <w:tcW w:w="2405" w:type="dxa"/>
            <w:vAlign w:val="center"/>
          </w:tcPr>
          <w:p w14:paraId="57F2958D">
            <w:pPr>
              <w:widowControl/>
              <w:snapToGrid w:val="0"/>
              <w:ind w:firstLine="420"/>
              <w:jc w:val="left"/>
              <w:rPr>
                <w:rFonts w:ascii="宋体" w:hAnsi="宋体" w:eastAsia="宋体"/>
                <w:kern w:val="0"/>
                <w:szCs w:val="20"/>
                <w:highlight w:val="none"/>
                <w:lang w:eastAsia="en-US"/>
              </w:rPr>
            </w:pPr>
          </w:p>
        </w:tc>
        <w:tc>
          <w:tcPr>
            <w:tcW w:w="1095" w:type="dxa"/>
            <w:vAlign w:val="center"/>
          </w:tcPr>
          <w:p w14:paraId="519E6A72">
            <w:pPr>
              <w:widowControl/>
              <w:snapToGrid w:val="0"/>
              <w:jc w:val="center"/>
              <w:rPr>
                <w:rFonts w:ascii="宋体" w:hAnsi="宋体" w:eastAsia="宋体"/>
                <w:b/>
                <w:kern w:val="0"/>
                <w:szCs w:val="20"/>
                <w:highlight w:val="none"/>
                <w:lang w:eastAsia="en-US"/>
              </w:rPr>
            </w:pPr>
          </w:p>
        </w:tc>
        <w:tc>
          <w:tcPr>
            <w:tcW w:w="1853" w:type="dxa"/>
            <w:vAlign w:val="center"/>
          </w:tcPr>
          <w:p w14:paraId="71D2890F">
            <w:pPr>
              <w:widowControl/>
              <w:snapToGrid w:val="0"/>
              <w:ind w:firstLine="420"/>
              <w:jc w:val="left"/>
              <w:rPr>
                <w:rFonts w:ascii="宋体" w:hAnsi="宋体" w:eastAsia="宋体"/>
                <w:kern w:val="0"/>
                <w:szCs w:val="20"/>
                <w:highlight w:val="none"/>
                <w:lang w:eastAsia="en-US"/>
              </w:rPr>
            </w:pPr>
          </w:p>
        </w:tc>
        <w:tc>
          <w:tcPr>
            <w:tcW w:w="1513" w:type="dxa"/>
          </w:tcPr>
          <w:p w14:paraId="08B12F5C">
            <w:pPr>
              <w:widowControl/>
              <w:snapToGrid w:val="0"/>
              <w:ind w:firstLine="420"/>
              <w:jc w:val="left"/>
              <w:rPr>
                <w:rFonts w:ascii="宋体" w:hAnsi="宋体" w:eastAsia="宋体"/>
                <w:kern w:val="0"/>
                <w:szCs w:val="20"/>
                <w:highlight w:val="none"/>
                <w:lang w:eastAsia="en-US"/>
              </w:rPr>
            </w:pPr>
          </w:p>
        </w:tc>
      </w:tr>
      <w:tr w14:paraId="55DA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27E7B730">
            <w:pPr>
              <w:widowControl/>
              <w:snapToGrid w:val="0"/>
              <w:jc w:val="center"/>
              <w:rPr>
                <w:rFonts w:ascii="宋体" w:hAnsi="宋体" w:eastAsia="宋体"/>
                <w:kern w:val="0"/>
                <w:szCs w:val="20"/>
                <w:highlight w:val="none"/>
                <w:lang w:eastAsia="en-US"/>
              </w:rPr>
            </w:pPr>
          </w:p>
        </w:tc>
        <w:tc>
          <w:tcPr>
            <w:tcW w:w="1544" w:type="dxa"/>
            <w:vAlign w:val="center"/>
          </w:tcPr>
          <w:p w14:paraId="71D6AEE7">
            <w:pPr>
              <w:widowControl/>
              <w:snapToGrid w:val="0"/>
              <w:jc w:val="left"/>
              <w:rPr>
                <w:rFonts w:ascii="宋体" w:hAnsi="宋体" w:eastAsia="宋体"/>
                <w:kern w:val="0"/>
                <w:szCs w:val="20"/>
                <w:highlight w:val="none"/>
                <w:lang w:eastAsia="en-US"/>
              </w:rPr>
            </w:pPr>
          </w:p>
        </w:tc>
        <w:tc>
          <w:tcPr>
            <w:tcW w:w="2405" w:type="dxa"/>
            <w:vAlign w:val="center"/>
          </w:tcPr>
          <w:p w14:paraId="51C8D044">
            <w:pPr>
              <w:widowControl/>
              <w:snapToGrid w:val="0"/>
              <w:ind w:firstLine="420"/>
              <w:jc w:val="left"/>
              <w:rPr>
                <w:rFonts w:ascii="宋体" w:hAnsi="宋体" w:eastAsia="宋体"/>
                <w:kern w:val="0"/>
                <w:szCs w:val="20"/>
                <w:highlight w:val="none"/>
                <w:lang w:eastAsia="en-US"/>
              </w:rPr>
            </w:pPr>
          </w:p>
        </w:tc>
        <w:tc>
          <w:tcPr>
            <w:tcW w:w="1095" w:type="dxa"/>
            <w:vAlign w:val="center"/>
          </w:tcPr>
          <w:p w14:paraId="7BD2517F">
            <w:pPr>
              <w:widowControl/>
              <w:snapToGrid w:val="0"/>
              <w:jc w:val="center"/>
              <w:rPr>
                <w:rFonts w:ascii="宋体" w:hAnsi="宋体" w:eastAsia="宋体"/>
                <w:b/>
                <w:kern w:val="0"/>
                <w:szCs w:val="20"/>
                <w:highlight w:val="none"/>
                <w:lang w:eastAsia="en-US"/>
              </w:rPr>
            </w:pPr>
          </w:p>
        </w:tc>
        <w:tc>
          <w:tcPr>
            <w:tcW w:w="1853" w:type="dxa"/>
            <w:vAlign w:val="center"/>
          </w:tcPr>
          <w:p w14:paraId="18A69022">
            <w:pPr>
              <w:widowControl/>
              <w:snapToGrid w:val="0"/>
              <w:ind w:firstLine="420"/>
              <w:jc w:val="left"/>
              <w:rPr>
                <w:rFonts w:ascii="宋体" w:hAnsi="宋体" w:eastAsia="宋体"/>
                <w:kern w:val="0"/>
                <w:szCs w:val="20"/>
                <w:highlight w:val="none"/>
                <w:lang w:eastAsia="en-US"/>
              </w:rPr>
            </w:pPr>
          </w:p>
        </w:tc>
        <w:tc>
          <w:tcPr>
            <w:tcW w:w="1513" w:type="dxa"/>
          </w:tcPr>
          <w:p w14:paraId="56D9A405">
            <w:pPr>
              <w:widowControl/>
              <w:snapToGrid w:val="0"/>
              <w:ind w:firstLine="420"/>
              <w:jc w:val="left"/>
              <w:rPr>
                <w:rFonts w:ascii="宋体" w:hAnsi="宋体" w:eastAsia="宋体"/>
                <w:kern w:val="0"/>
                <w:szCs w:val="20"/>
                <w:highlight w:val="none"/>
                <w:lang w:eastAsia="en-US"/>
              </w:rPr>
            </w:pPr>
          </w:p>
        </w:tc>
      </w:tr>
      <w:tr w14:paraId="2BB5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24C8644F">
            <w:pPr>
              <w:widowControl/>
              <w:snapToGrid w:val="0"/>
              <w:jc w:val="center"/>
              <w:rPr>
                <w:rFonts w:ascii="宋体" w:hAnsi="宋体" w:eastAsia="宋体"/>
                <w:kern w:val="0"/>
                <w:szCs w:val="20"/>
                <w:highlight w:val="none"/>
                <w:lang w:eastAsia="en-US"/>
              </w:rPr>
            </w:pPr>
          </w:p>
        </w:tc>
        <w:tc>
          <w:tcPr>
            <w:tcW w:w="1544" w:type="dxa"/>
            <w:vAlign w:val="center"/>
          </w:tcPr>
          <w:p w14:paraId="5932A3DE">
            <w:pPr>
              <w:widowControl/>
              <w:snapToGrid w:val="0"/>
              <w:jc w:val="left"/>
              <w:rPr>
                <w:rFonts w:ascii="宋体" w:hAnsi="宋体" w:eastAsia="宋体"/>
                <w:kern w:val="0"/>
                <w:szCs w:val="20"/>
                <w:highlight w:val="none"/>
                <w:lang w:eastAsia="en-US"/>
              </w:rPr>
            </w:pPr>
          </w:p>
        </w:tc>
        <w:tc>
          <w:tcPr>
            <w:tcW w:w="2405" w:type="dxa"/>
            <w:vAlign w:val="center"/>
          </w:tcPr>
          <w:p w14:paraId="0A288D97">
            <w:pPr>
              <w:widowControl/>
              <w:snapToGrid w:val="0"/>
              <w:ind w:firstLine="420"/>
              <w:jc w:val="left"/>
              <w:rPr>
                <w:rFonts w:ascii="宋体" w:hAnsi="宋体" w:eastAsia="宋体"/>
                <w:kern w:val="0"/>
                <w:szCs w:val="20"/>
                <w:highlight w:val="none"/>
                <w:lang w:eastAsia="en-US"/>
              </w:rPr>
            </w:pPr>
          </w:p>
        </w:tc>
        <w:tc>
          <w:tcPr>
            <w:tcW w:w="1095" w:type="dxa"/>
            <w:vAlign w:val="center"/>
          </w:tcPr>
          <w:p w14:paraId="6716E3E3">
            <w:pPr>
              <w:widowControl/>
              <w:snapToGrid w:val="0"/>
              <w:jc w:val="center"/>
              <w:rPr>
                <w:rFonts w:ascii="宋体" w:hAnsi="宋体" w:eastAsia="宋体"/>
                <w:b/>
                <w:kern w:val="0"/>
                <w:szCs w:val="20"/>
                <w:highlight w:val="none"/>
                <w:lang w:eastAsia="en-US"/>
              </w:rPr>
            </w:pPr>
          </w:p>
        </w:tc>
        <w:tc>
          <w:tcPr>
            <w:tcW w:w="1853" w:type="dxa"/>
            <w:vAlign w:val="center"/>
          </w:tcPr>
          <w:p w14:paraId="0506BE4F">
            <w:pPr>
              <w:widowControl/>
              <w:snapToGrid w:val="0"/>
              <w:ind w:firstLine="420"/>
              <w:jc w:val="left"/>
              <w:rPr>
                <w:rFonts w:ascii="宋体" w:hAnsi="宋体" w:eastAsia="宋体"/>
                <w:kern w:val="0"/>
                <w:szCs w:val="20"/>
                <w:highlight w:val="none"/>
                <w:lang w:eastAsia="en-US"/>
              </w:rPr>
            </w:pPr>
          </w:p>
        </w:tc>
        <w:tc>
          <w:tcPr>
            <w:tcW w:w="1513" w:type="dxa"/>
          </w:tcPr>
          <w:p w14:paraId="67FED441">
            <w:pPr>
              <w:widowControl/>
              <w:snapToGrid w:val="0"/>
              <w:ind w:firstLine="420"/>
              <w:jc w:val="left"/>
              <w:rPr>
                <w:rFonts w:ascii="宋体" w:hAnsi="宋体" w:eastAsia="宋体"/>
                <w:kern w:val="0"/>
                <w:szCs w:val="20"/>
                <w:highlight w:val="none"/>
                <w:lang w:eastAsia="en-US"/>
              </w:rPr>
            </w:pPr>
          </w:p>
        </w:tc>
      </w:tr>
      <w:tr w14:paraId="5BED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0FC462DC">
            <w:pPr>
              <w:widowControl/>
              <w:snapToGrid w:val="0"/>
              <w:jc w:val="center"/>
              <w:rPr>
                <w:rFonts w:ascii="宋体" w:hAnsi="宋体" w:eastAsia="宋体"/>
                <w:kern w:val="0"/>
                <w:szCs w:val="20"/>
                <w:highlight w:val="none"/>
                <w:lang w:eastAsia="en-US"/>
              </w:rPr>
            </w:pPr>
          </w:p>
        </w:tc>
        <w:tc>
          <w:tcPr>
            <w:tcW w:w="1544" w:type="dxa"/>
            <w:vAlign w:val="center"/>
          </w:tcPr>
          <w:p w14:paraId="37BAC49A">
            <w:pPr>
              <w:widowControl/>
              <w:snapToGrid w:val="0"/>
              <w:jc w:val="left"/>
              <w:rPr>
                <w:rFonts w:ascii="宋体" w:hAnsi="宋体" w:eastAsia="宋体"/>
                <w:kern w:val="0"/>
                <w:szCs w:val="20"/>
                <w:highlight w:val="none"/>
                <w:lang w:eastAsia="en-US"/>
              </w:rPr>
            </w:pPr>
          </w:p>
        </w:tc>
        <w:tc>
          <w:tcPr>
            <w:tcW w:w="2405" w:type="dxa"/>
            <w:vAlign w:val="center"/>
          </w:tcPr>
          <w:p w14:paraId="4DA4C1B7">
            <w:pPr>
              <w:widowControl/>
              <w:snapToGrid w:val="0"/>
              <w:ind w:firstLine="420"/>
              <w:jc w:val="left"/>
              <w:rPr>
                <w:rFonts w:ascii="宋体" w:hAnsi="宋体" w:eastAsia="宋体"/>
                <w:kern w:val="0"/>
                <w:szCs w:val="20"/>
                <w:highlight w:val="none"/>
                <w:lang w:eastAsia="en-US"/>
              </w:rPr>
            </w:pPr>
          </w:p>
        </w:tc>
        <w:tc>
          <w:tcPr>
            <w:tcW w:w="1095" w:type="dxa"/>
            <w:vAlign w:val="center"/>
          </w:tcPr>
          <w:p w14:paraId="59A75A44">
            <w:pPr>
              <w:widowControl/>
              <w:snapToGrid w:val="0"/>
              <w:jc w:val="center"/>
              <w:rPr>
                <w:rFonts w:ascii="宋体" w:hAnsi="宋体" w:eastAsia="宋体"/>
                <w:b/>
                <w:kern w:val="0"/>
                <w:szCs w:val="20"/>
                <w:highlight w:val="none"/>
                <w:lang w:eastAsia="en-US"/>
              </w:rPr>
            </w:pPr>
          </w:p>
        </w:tc>
        <w:tc>
          <w:tcPr>
            <w:tcW w:w="1853" w:type="dxa"/>
            <w:vAlign w:val="center"/>
          </w:tcPr>
          <w:p w14:paraId="48E6FEA3">
            <w:pPr>
              <w:widowControl/>
              <w:snapToGrid w:val="0"/>
              <w:ind w:firstLine="420"/>
              <w:jc w:val="left"/>
              <w:rPr>
                <w:rFonts w:ascii="宋体" w:hAnsi="宋体" w:eastAsia="宋体"/>
                <w:kern w:val="0"/>
                <w:szCs w:val="20"/>
                <w:highlight w:val="none"/>
                <w:lang w:eastAsia="en-US"/>
              </w:rPr>
            </w:pPr>
          </w:p>
        </w:tc>
        <w:tc>
          <w:tcPr>
            <w:tcW w:w="1513" w:type="dxa"/>
          </w:tcPr>
          <w:p w14:paraId="1319EB7B">
            <w:pPr>
              <w:widowControl/>
              <w:snapToGrid w:val="0"/>
              <w:ind w:firstLine="420"/>
              <w:jc w:val="left"/>
              <w:rPr>
                <w:rFonts w:ascii="宋体" w:hAnsi="宋体" w:eastAsia="宋体"/>
                <w:kern w:val="0"/>
                <w:szCs w:val="20"/>
                <w:highlight w:val="none"/>
                <w:lang w:eastAsia="en-US"/>
              </w:rPr>
            </w:pPr>
          </w:p>
        </w:tc>
      </w:tr>
      <w:tr w14:paraId="7ADC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694CB018">
            <w:pPr>
              <w:widowControl/>
              <w:snapToGrid w:val="0"/>
              <w:jc w:val="center"/>
              <w:rPr>
                <w:rFonts w:ascii="宋体" w:hAnsi="宋体" w:eastAsia="宋体"/>
                <w:kern w:val="0"/>
                <w:szCs w:val="20"/>
                <w:highlight w:val="none"/>
                <w:lang w:eastAsia="en-US"/>
              </w:rPr>
            </w:pPr>
          </w:p>
        </w:tc>
        <w:tc>
          <w:tcPr>
            <w:tcW w:w="1544" w:type="dxa"/>
            <w:vAlign w:val="center"/>
          </w:tcPr>
          <w:p w14:paraId="62E15BA2">
            <w:pPr>
              <w:widowControl/>
              <w:snapToGrid w:val="0"/>
              <w:jc w:val="left"/>
              <w:rPr>
                <w:rFonts w:ascii="宋体" w:hAnsi="宋体" w:eastAsia="宋体"/>
                <w:kern w:val="0"/>
                <w:szCs w:val="20"/>
                <w:highlight w:val="none"/>
                <w:lang w:eastAsia="en-US"/>
              </w:rPr>
            </w:pPr>
          </w:p>
        </w:tc>
        <w:tc>
          <w:tcPr>
            <w:tcW w:w="2405" w:type="dxa"/>
            <w:vAlign w:val="center"/>
          </w:tcPr>
          <w:p w14:paraId="56996C94">
            <w:pPr>
              <w:widowControl/>
              <w:snapToGrid w:val="0"/>
              <w:ind w:firstLine="420"/>
              <w:jc w:val="left"/>
              <w:rPr>
                <w:rFonts w:ascii="宋体" w:hAnsi="宋体" w:eastAsia="宋体"/>
                <w:kern w:val="0"/>
                <w:szCs w:val="20"/>
                <w:highlight w:val="none"/>
                <w:lang w:eastAsia="en-US"/>
              </w:rPr>
            </w:pPr>
          </w:p>
        </w:tc>
        <w:tc>
          <w:tcPr>
            <w:tcW w:w="1095" w:type="dxa"/>
            <w:vAlign w:val="center"/>
          </w:tcPr>
          <w:p w14:paraId="66E06E9F">
            <w:pPr>
              <w:widowControl/>
              <w:snapToGrid w:val="0"/>
              <w:jc w:val="center"/>
              <w:rPr>
                <w:rFonts w:ascii="宋体" w:hAnsi="宋体" w:eastAsia="宋体"/>
                <w:b/>
                <w:kern w:val="0"/>
                <w:szCs w:val="20"/>
                <w:highlight w:val="none"/>
                <w:lang w:eastAsia="en-US"/>
              </w:rPr>
            </w:pPr>
          </w:p>
        </w:tc>
        <w:tc>
          <w:tcPr>
            <w:tcW w:w="1853" w:type="dxa"/>
            <w:vAlign w:val="center"/>
          </w:tcPr>
          <w:p w14:paraId="618DDEA1">
            <w:pPr>
              <w:widowControl/>
              <w:snapToGrid w:val="0"/>
              <w:ind w:firstLine="420"/>
              <w:jc w:val="left"/>
              <w:rPr>
                <w:rFonts w:ascii="宋体" w:hAnsi="宋体" w:eastAsia="宋体"/>
                <w:kern w:val="0"/>
                <w:szCs w:val="20"/>
                <w:highlight w:val="none"/>
                <w:lang w:eastAsia="en-US"/>
              </w:rPr>
            </w:pPr>
          </w:p>
        </w:tc>
        <w:tc>
          <w:tcPr>
            <w:tcW w:w="1513" w:type="dxa"/>
          </w:tcPr>
          <w:p w14:paraId="3FF52D0E">
            <w:pPr>
              <w:widowControl/>
              <w:snapToGrid w:val="0"/>
              <w:ind w:firstLine="420"/>
              <w:jc w:val="left"/>
              <w:rPr>
                <w:rFonts w:ascii="宋体" w:hAnsi="宋体" w:eastAsia="宋体"/>
                <w:kern w:val="0"/>
                <w:szCs w:val="20"/>
                <w:highlight w:val="none"/>
                <w:lang w:eastAsia="en-US"/>
              </w:rPr>
            </w:pPr>
          </w:p>
        </w:tc>
      </w:tr>
      <w:tr w14:paraId="2803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68730B3E">
            <w:pPr>
              <w:widowControl/>
              <w:snapToGrid w:val="0"/>
              <w:jc w:val="center"/>
              <w:rPr>
                <w:rFonts w:ascii="宋体" w:hAnsi="宋体" w:eastAsia="宋体"/>
                <w:kern w:val="0"/>
                <w:szCs w:val="20"/>
                <w:highlight w:val="none"/>
                <w:lang w:eastAsia="en-US"/>
              </w:rPr>
            </w:pPr>
          </w:p>
        </w:tc>
        <w:tc>
          <w:tcPr>
            <w:tcW w:w="1544" w:type="dxa"/>
            <w:vAlign w:val="center"/>
          </w:tcPr>
          <w:p w14:paraId="3912866E">
            <w:pPr>
              <w:widowControl/>
              <w:snapToGrid w:val="0"/>
              <w:jc w:val="left"/>
              <w:rPr>
                <w:rFonts w:ascii="宋体" w:hAnsi="宋体" w:eastAsia="宋体"/>
                <w:kern w:val="0"/>
                <w:szCs w:val="20"/>
                <w:highlight w:val="none"/>
                <w:lang w:eastAsia="en-US"/>
              </w:rPr>
            </w:pPr>
          </w:p>
        </w:tc>
        <w:tc>
          <w:tcPr>
            <w:tcW w:w="2405" w:type="dxa"/>
            <w:vAlign w:val="center"/>
          </w:tcPr>
          <w:p w14:paraId="0CC3580D">
            <w:pPr>
              <w:widowControl/>
              <w:snapToGrid w:val="0"/>
              <w:ind w:firstLine="420"/>
              <w:jc w:val="left"/>
              <w:rPr>
                <w:rFonts w:ascii="宋体" w:hAnsi="宋体" w:eastAsia="宋体"/>
                <w:kern w:val="0"/>
                <w:szCs w:val="20"/>
                <w:highlight w:val="none"/>
                <w:lang w:eastAsia="en-US"/>
              </w:rPr>
            </w:pPr>
          </w:p>
        </w:tc>
        <w:tc>
          <w:tcPr>
            <w:tcW w:w="1095" w:type="dxa"/>
            <w:vAlign w:val="center"/>
          </w:tcPr>
          <w:p w14:paraId="45C73AAD">
            <w:pPr>
              <w:widowControl/>
              <w:snapToGrid w:val="0"/>
              <w:jc w:val="center"/>
              <w:rPr>
                <w:rFonts w:ascii="宋体" w:hAnsi="宋体" w:eastAsia="宋体"/>
                <w:b/>
                <w:kern w:val="0"/>
                <w:szCs w:val="20"/>
                <w:highlight w:val="none"/>
                <w:lang w:eastAsia="en-US"/>
              </w:rPr>
            </w:pPr>
          </w:p>
        </w:tc>
        <w:tc>
          <w:tcPr>
            <w:tcW w:w="1853" w:type="dxa"/>
            <w:vAlign w:val="center"/>
          </w:tcPr>
          <w:p w14:paraId="26C7072A">
            <w:pPr>
              <w:widowControl/>
              <w:snapToGrid w:val="0"/>
              <w:ind w:firstLine="420"/>
              <w:jc w:val="left"/>
              <w:rPr>
                <w:rFonts w:ascii="宋体" w:hAnsi="宋体" w:eastAsia="宋体"/>
                <w:kern w:val="0"/>
                <w:szCs w:val="20"/>
                <w:highlight w:val="none"/>
                <w:lang w:eastAsia="en-US"/>
              </w:rPr>
            </w:pPr>
          </w:p>
        </w:tc>
        <w:tc>
          <w:tcPr>
            <w:tcW w:w="1513" w:type="dxa"/>
          </w:tcPr>
          <w:p w14:paraId="2D6B65C8">
            <w:pPr>
              <w:widowControl/>
              <w:snapToGrid w:val="0"/>
              <w:ind w:firstLine="420"/>
              <w:jc w:val="left"/>
              <w:rPr>
                <w:rFonts w:ascii="宋体" w:hAnsi="宋体" w:eastAsia="宋体"/>
                <w:kern w:val="0"/>
                <w:szCs w:val="20"/>
                <w:highlight w:val="none"/>
                <w:lang w:eastAsia="en-US"/>
              </w:rPr>
            </w:pPr>
          </w:p>
        </w:tc>
      </w:tr>
      <w:tr w14:paraId="0AE9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14:paraId="3A2BBF6F">
            <w:pPr>
              <w:widowControl/>
              <w:snapToGrid w:val="0"/>
              <w:jc w:val="center"/>
              <w:rPr>
                <w:rFonts w:ascii="宋体" w:hAnsi="宋体" w:eastAsia="宋体"/>
                <w:kern w:val="0"/>
                <w:szCs w:val="20"/>
                <w:highlight w:val="none"/>
                <w:lang w:eastAsia="en-US"/>
              </w:rPr>
            </w:pPr>
          </w:p>
        </w:tc>
        <w:tc>
          <w:tcPr>
            <w:tcW w:w="1544" w:type="dxa"/>
            <w:vAlign w:val="center"/>
          </w:tcPr>
          <w:p w14:paraId="23EF1504">
            <w:pPr>
              <w:widowControl/>
              <w:snapToGrid w:val="0"/>
              <w:jc w:val="left"/>
              <w:rPr>
                <w:rFonts w:ascii="宋体" w:hAnsi="宋体" w:eastAsia="宋体"/>
                <w:kern w:val="0"/>
                <w:szCs w:val="20"/>
                <w:highlight w:val="none"/>
                <w:lang w:eastAsia="en-US"/>
              </w:rPr>
            </w:pPr>
          </w:p>
        </w:tc>
        <w:tc>
          <w:tcPr>
            <w:tcW w:w="2405" w:type="dxa"/>
            <w:vAlign w:val="center"/>
          </w:tcPr>
          <w:p w14:paraId="5E2921FF">
            <w:pPr>
              <w:widowControl/>
              <w:snapToGrid w:val="0"/>
              <w:ind w:firstLine="420"/>
              <w:jc w:val="left"/>
              <w:rPr>
                <w:rFonts w:ascii="宋体" w:hAnsi="宋体" w:eastAsia="宋体"/>
                <w:kern w:val="0"/>
                <w:szCs w:val="20"/>
                <w:highlight w:val="none"/>
                <w:lang w:eastAsia="en-US"/>
              </w:rPr>
            </w:pPr>
          </w:p>
        </w:tc>
        <w:tc>
          <w:tcPr>
            <w:tcW w:w="1095" w:type="dxa"/>
            <w:vAlign w:val="center"/>
          </w:tcPr>
          <w:p w14:paraId="669B8847">
            <w:pPr>
              <w:widowControl/>
              <w:snapToGrid w:val="0"/>
              <w:jc w:val="center"/>
              <w:rPr>
                <w:rFonts w:ascii="宋体" w:hAnsi="宋体" w:eastAsia="宋体"/>
                <w:b/>
                <w:kern w:val="0"/>
                <w:szCs w:val="20"/>
                <w:highlight w:val="none"/>
                <w:lang w:eastAsia="en-US"/>
              </w:rPr>
            </w:pPr>
          </w:p>
        </w:tc>
        <w:tc>
          <w:tcPr>
            <w:tcW w:w="1853" w:type="dxa"/>
            <w:vAlign w:val="center"/>
          </w:tcPr>
          <w:p w14:paraId="3525832C">
            <w:pPr>
              <w:widowControl/>
              <w:snapToGrid w:val="0"/>
              <w:ind w:firstLine="420"/>
              <w:jc w:val="left"/>
              <w:rPr>
                <w:rFonts w:ascii="宋体" w:hAnsi="宋体" w:eastAsia="宋体"/>
                <w:kern w:val="0"/>
                <w:szCs w:val="20"/>
                <w:highlight w:val="none"/>
                <w:lang w:eastAsia="en-US"/>
              </w:rPr>
            </w:pPr>
          </w:p>
        </w:tc>
        <w:tc>
          <w:tcPr>
            <w:tcW w:w="1513" w:type="dxa"/>
          </w:tcPr>
          <w:p w14:paraId="574DEE9C">
            <w:pPr>
              <w:widowControl/>
              <w:snapToGrid w:val="0"/>
              <w:ind w:firstLine="420"/>
              <w:jc w:val="left"/>
              <w:rPr>
                <w:rFonts w:ascii="宋体" w:hAnsi="宋体" w:eastAsia="宋体"/>
                <w:kern w:val="0"/>
                <w:szCs w:val="20"/>
                <w:highlight w:val="none"/>
                <w:lang w:eastAsia="en-US"/>
              </w:rPr>
            </w:pPr>
          </w:p>
        </w:tc>
      </w:tr>
    </w:tbl>
    <w:p w14:paraId="54972C24">
      <w:pPr>
        <w:widowControl/>
        <w:ind w:left="712" w:hanging="711" w:hangingChars="339"/>
        <w:jc w:val="left"/>
        <w:rPr>
          <w:rFonts w:ascii="宋体" w:hAnsi="宋体" w:eastAsia="宋体"/>
          <w:kern w:val="0"/>
          <w:szCs w:val="20"/>
          <w:highlight w:val="none"/>
        </w:rPr>
      </w:pPr>
    </w:p>
    <w:p w14:paraId="1F7EEBD2">
      <w:pPr>
        <w:widowControl/>
        <w:ind w:left="712" w:hanging="711" w:hangingChars="339"/>
        <w:jc w:val="left"/>
        <w:rPr>
          <w:rFonts w:ascii="宋体" w:hAnsi="宋体" w:eastAsia="宋体"/>
          <w:kern w:val="0"/>
          <w:szCs w:val="20"/>
          <w:highlight w:val="none"/>
        </w:rPr>
      </w:pPr>
      <w:r>
        <w:rPr>
          <w:rFonts w:hint="eastAsia" w:ascii="宋体" w:hAnsi="宋体" w:eastAsia="宋体"/>
          <w:kern w:val="0"/>
          <w:szCs w:val="20"/>
          <w:highlight w:val="none"/>
        </w:rPr>
        <w:t>注：1、投标人必须提交质保期满后2年内的备品备件清单。</w:t>
      </w:r>
    </w:p>
    <w:p w14:paraId="5EAB6712">
      <w:pPr>
        <w:widowControl/>
        <w:ind w:left="712" w:hanging="711" w:hangingChars="339"/>
        <w:jc w:val="left"/>
        <w:rPr>
          <w:rFonts w:ascii="宋体" w:hAnsi="宋体" w:eastAsia="宋体"/>
          <w:kern w:val="0"/>
          <w:szCs w:val="20"/>
          <w:highlight w:val="none"/>
        </w:rPr>
      </w:pPr>
      <w:r>
        <w:rPr>
          <w:rFonts w:hint="eastAsia" w:ascii="宋体" w:hAnsi="宋体" w:eastAsia="宋体"/>
          <w:kern w:val="0"/>
          <w:szCs w:val="20"/>
          <w:highlight w:val="none"/>
        </w:rPr>
        <w:t xml:space="preserve">    2、此费用不计入投标总价。质保期满后2年内，如招标人需要，投标人将以不超过上表清单价格将备品备件供应给招标人。</w:t>
      </w:r>
    </w:p>
    <w:p w14:paraId="75F2FE23">
      <w:pPr>
        <w:widowControl/>
        <w:ind w:left="712" w:hanging="711" w:hangingChars="339"/>
        <w:jc w:val="left"/>
        <w:rPr>
          <w:rFonts w:ascii="宋体" w:hAnsi="宋体" w:eastAsia="宋体"/>
          <w:kern w:val="0"/>
          <w:szCs w:val="20"/>
          <w:highlight w:val="none"/>
        </w:rPr>
      </w:pPr>
      <w:r>
        <w:rPr>
          <w:rFonts w:hint="eastAsia" w:ascii="宋体" w:hAnsi="宋体" w:eastAsia="宋体"/>
          <w:kern w:val="0"/>
          <w:szCs w:val="20"/>
          <w:highlight w:val="none"/>
        </w:rPr>
        <w:t xml:space="preserve">    3、表中的综合单价为全费用综合单价，包括但不限于材料费、运输费、管理费、利润、税金等一切费用。</w:t>
      </w:r>
    </w:p>
    <w:p w14:paraId="6A484B6B">
      <w:pPr>
        <w:widowControl/>
        <w:ind w:left="712" w:hanging="711" w:hangingChars="339"/>
        <w:jc w:val="left"/>
        <w:rPr>
          <w:rFonts w:ascii="宋体" w:hAnsi="宋体" w:eastAsia="宋体"/>
          <w:kern w:val="0"/>
          <w:szCs w:val="20"/>
          <w:highlight w:val="none"/>
        </w:rPr>
      </w:pPr>
    </w:p>
    <w:p w14:paraId="6B287B88">
      <w:pPr>
        <w:widowControl/>
        <w:jc w:val="left"/>
        <w:rPr>
          <w:rFonts w:ascii="宋体" w:hAnsi="宋体" w:eastAsia="宋体"/>
          <w:kern w:val="0"/>
          <w:sz w:val="32"/>
          <w:szCs w:val="20"/>
          <w:highlight w:val="none"/>
        </w:rPr>
      </w:pPr>
      <w:r>
        <w:rPr>
          <w:rFonts w:hint="eastAsia" w:ascii="宋体" w:hAnsi="宋体" w:eastAsia="宋体"/>
          <w:b/>
          <w:kern w:val="0"/>
          <w:sz w:val="22"/>
          <w:szCs w:val="20"/>
          <w:highlight w:val="none"/>
        </w:rPr>
        <w:br w:type="page"/>
      </w:r>
      <w:bookmarkStart w:id="172" w:name="_Toc7454678"/>
      <w:bookmarkStart w:id="173" w:name="_Toc520184749"/>
      <w:bookmarkStart w:id="174" w:name="_Toc11379"/>
      <w:r>
        <w:rPr>
          <w:rFonts w:hint="eastAsia" w:ascii="宋体" w:hAnsi="宋体" w:eastAsia="宋体"/>
          <w:kern w:val="0"/>
          <w:sz w:val="32"/>
          <w:szCs w:val="20"/>
          <w:highlight w:val="none"/>
        </w:rPr>
        <w:t>七、</w:t>
      </w:r>
      <w:bookmarkEnd w:id="172"/>
      <w:bookmarkEnd w:id="173"/>
      <w:bookmarkEnd w:id="174"/>
      <w:r>
        <w:rPr>
          <w:rFonts w:hint="eastAsia" w:ascii="宋体" w:hAnsi="宋体" w:eastAsia="宋体"/>
          <w:kern w:val="0"/>
          <w:sz w:val="32"/>
          <w:szCs w:val="20"/>
          <w:highlight w:val="none"/>
        </w:rPr>
        <w:t>资格审查资料</w:t>
      </w:r>
    </w:p>
    <w:p w14:paraId="3D520F6D">
      <w:pPr>
        <w:widowControl/>
        <w:jc w:val="left"/>
        <w:rPr>
          <w:rFonts w:ascii="黑体" w:hAnsi="黑体" w:eastAsia="黑体"/>
          <w:color w:val="000000"/>
          <w:kern w:val="0"/>
          <w:sz w:val="28"/>
          <w:szCs w:val="28"/>
          <w:highlight w:val="none"/>
        </w:rPr>
      </w:pPr>
      <w:r>
        <w:rPr>
          <w:rFonts w:hint="eastAsia" w:ascii="黑体" w:hAnsi="黑体" w:eastAsia="黑体"/>
          <w:color w:val="000000"/>
          <w:kern w:val="0"/>
          <w:sz w:val="28"/>
          <w:szCs w:val="28"/>
          <w:highlight w:val="none"/>
        </w:rPr>
        <w:t>（一）基本情况表</w:t>
      </w:r>
    </w:p>
    <w:p w14:paraId="726E4AB4">
      <w:pPr>
        <w:ind w:firstLine="420" w:firstLineChars="200"/>
        <w:rPr>
          <w:rFonts w:ascii="Times New Roman" w:hAnsi="Times New Roman" w:eastAsia="宋体" w:cs="Times New Roman"/>
          <w:szCs w:val="24"/>
          <w:highlight w:val="none"/>
        </w:rPr>
      </w:pPr>
    </w:p>
    <w:p w14:paraId="549B1CC1">
      <w:pPr>
        <w:spacing w:line="360" w:lineRule="auto"/>
        <w:jc w:val="center"/>
        <w:rPr>
          <w:rFonts w:ascii="宋体" w:hAnsi="宋体" w:eastAsia="宋体"/>
          <w:sz w:val="24"/>
          <w:szCs w:val="24"/>
          <w:highlight w:val="none"/>
        </w:rPr>
      </w:pPr>
      <w:bookmarkStart w:id="175" w:name="_Toc19280"/>
      <w:bookmarkStart w:id="176" w:name="_Toc7454679"/>
      <w:bookmarkStart w:id="177" w:name="_Toc520184750"/>
      <w:r>
        <w:rPr>
          <w:rFonts w:hint="eastAsia" w:ascii="宋体" w:hAnsi="宋体" w:eastAsia="宋体"/>
          <w:sz w:val="24"/>
          <w:szCs w:val="24"/>
          <w:highlight w:val="none"/>
        </w:rPr>
        <w:t>基本情况表</w:t>
      </w:r>
      <w:bookmarkEnd w:id="175"/>
      <w:bookmarkEnd w:id="176"/>
      <w:bookmarkEnd w:id="177"/>
    </w:p>
    <w:tbl>
      <w:tblPr>
        <w:tblStyle w:val="31"/>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03"/>
        <w:gridCol w:w="922"/>
        <w:gridCol w:w="2381"/>
        <w:gridCol w:w="1322"/>
        <w:gridCol w:w="2412"/>
      </w:tblGrid>
      <w:tr w14:paraId="2C791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vAlign w:val="center"/>
          </w:tcPr>
          <w:p w14:paraId="6E1FC24C">
            <w:pPr>
              <w:topLinePunct/>
              <w:jc w:val="center"/>
              <w:rPr>
                <w:rFonts w:ascii="宋体" w:hAnsi="宋体" w:eastAsia="宋体"/>
                <w:szCs w:val="21"/>
                <w:highlight w:val="none"/>
              </w:rPr>
            </w:pPr>
            <w:r>
              <w:rPr>
                <w:rFonts w:hint="eastAsia" w:ascii="宋体" w:hAnsi="宋体" w:eastAsia="宋体"/>
                <w:szCs w:val="21"/>
                <w:highlight w:val="none"/>
              </w:rPr>
              <w:t>投标人名称</w:t>
            </w:r>
          </w:p>
        </w:tc>
        <w:tc>
          <w:tcPr>
            <w:tcW w:w="3848" w:type="pct"/>
            <w:gridSpan w:val="4"/>
            <w:tcBorders>
              <w:top w:val="single" w:color="auto" w:sz="4" w:space="0"/>
              <w:left w:val="single" w:color="auto" w:sz="4" w:space="0"/>
              <w:bottom w:val="single" w:color="auto" w:sz="4" w:space="0"/>
              <w:right w:val="single" w:color="auto" w:sz="4" w:space="0"/>
            </w:tcBorders>
            <w:vAlign w:val="center"/>
          </w:tcPr>
          <w:p w14:paraId="1E074C48">
            <w:pPr>
              <w:topLinePunct/>
              <w:jc w:val="center"/>
              <w:rPr>
                <w:rFonts w:ascii="宋体" w:hAnsi="宋体" w:eastAsia="宋体"/>
                <w:szCs w:val="21"/>
                <w:highlight w:val="none"/>
              </w:rPr>
            </w:pPr>
          </w:p>
        </w:tc>
      </w:tr>
      <w:tr w14:paraId="0C45B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vAlign w:val="center"/>
          </w:tcPr>
          <w:p w14:paraId="10D17739">
            <w:pPr>
              <w:topLinePunct/>
              <w:jc w:val="center"/>
              <w:rPr>
                <w:rFonts w:ascii="宋体" w:hAnsi="宋体" w:eastAsia="宋体"/>
                <w:szCs w:val="21"/>
                <w:highlight w:val="none"/>
              </w:rPr>
            </w:pPr>
            <w:r>
              <w:rPr>
                <w:rFonts w:hint="eastAsia" w:ascii="宋体" w:hAnsi="宋体" w:eastAsia="宋体"/>
                <w:szCs w:val="21"/>
                <w:highlight w:val="none"/>
              </w:rPr>
              <w:t>注册资金</w:t>
            </w:r>
          </w:p>
        </w:tc>
        <w:tc>
          <w:tcPr>
            <w:tcW w:w="1806" w:type="pct"/>
            <w:gridSpan w:val="2"/>
            <w:tcBorders>
              <w:top w:val="single" w:color="auto" w:sz="4" w:space="0"/>
              <w:left w:val="single" w:color="auto" w:sz="4" w:space="0"/>
              <w:bottom w:val="single" w:color="auto" w:sz="4" w:space="0"/>
              <w:right w:val="single" w:color="auto" w:sz="4" w:space="0"/>
            </w:tcBorders>
            <w:vAlign w:val="center"/>
          </w:tcPr>
          <w:p w14:paraId="5DF27F5A">
            <w:pPr>
              <w:topLinePunct/>
              <w:jc w:val="center"/>
              <w:rPr>
                <w:rFonts w:ascii="宋体" w:hAnsi="宋体" w:eastAsia="宋体"/>
                <w:szCs w:val="21"/>
                <w:highlight w:val="none"/>
              </w:rPr>
            </w:pPr>
          </w:p>
        </w:tc>
        <w:tc>
          <w:tcPr>
            <w:tcW w:w="723" w:type="pct"/>
            <w:tcBorders>
              <w:top w:val="single" w:color="auto" w:sz="4" w:space="0"/>
              <w:left w:val="single" w:color="auto" w:sz="4" w:space="0"/>
              <w:bottom w:val="single" w:color="auto" w:sz="4" w:space="0"/>
              <w:right w:val="single" w:color="auto" w:sz="4" w:space="0"/>
            </w:tcBorders>
            <w:vAlign w:val="center"/>
          </w:tcPr>
          <w:p w14:paraId="5C9FFFDA">
            <w:pPr>
              <w:topLinePunct/>
              <w:jc w:val="center"/>
              <w:rPr>
                <w:rFonts w:ascii="宋体" w:hAnsi="宋体" w:eastAsia="宋体"/>
                <w:szCs w:val="21"/>
                <w:highlight w:val="none"/>
              </w:rPr>
            </w:pPr>
            <w:r>
              <w:rPr>
                <w:rFonts w:hint="eastAsia" w:ascii="宋体" w:hAnsi="宋体" w:eastAsia="宋体"/>
                <w:szCs w:val="21"/>
                <w:highlight w:val="none"/>
              </w:rPr>
              <w:t>成立时间</w:t>
            </w:r>
          </w:p>
        </w:tc>
        <w:tc>
          <w:tcPr>
            <w:tcW w:w="1318" w:type="pct"/>
            <w:tcBorders>
              <w:top w:val="single" w:color="auto" w:sz="4" w:space="0"/>
              <w:left w:val="single" w:color="auto" w:sz="4" w:space="0"/>
              <w:bottom w:val="single" w:color="auto" w:sz="4" w:space="0"/>
              <w:right w:val="single" w:color="auto" w:sz="4" w:space="0"/>
            </w:tcBorders>
            <w:vAlign w:val="center"/>
          </w:tcPr>
          <w:p w14:paraId="34F91DCE">
            <w:pPr>
              <w:topLinePunct/>
              <w:jc w:val="center"/>
              <w:rPr>
                <w:rFonts w:ascii="宋体" w:hAnsi="宋体" w:eastAsia="宋体"/>
                <w:szCs w:val="21"/>
                <w:highlight w:val="none"/>
              </w:rPr>
            </w:pPr>
          </w:p>
        </w:tc>
      </w:tr>
      <w:tr w14:paraId="2FE796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vAlign w:val="center"/>
          </w:tcPr>
          <w:p w14:paraId="3ADD87DA">
            <w:pPr>
              <w:topLinePunct/>
              <w:jc w:val="center"/>
              <w:rPr>
                <w:rFonts w:ascii="宋体" w:hAnsi="宋体" w:eastAsia="宋体"/>
                <w:szCs w:val="21"/>
                <w:highlight w:val="none"/>
              </w:rPr>
            </w:pPr>
            <w:r>
              <w:rPr>
                <w:rFonts w:hint="eastAsia" w:ascii="宋体" w:hAnsi="宋体" w:eastAsia="宋体"/>
                <w:szCs w:val="21"/>
                <w:highlight w:val="none"/>
              </w:rPr>
              <w:t>注册地址</w:t>
            </w:r>
          </w:p>
        </w:tc>
        <w:tc>
          <w:tcPr>
            <w:tcW w:w="3848" w:type="pct"/>
            <w:gridSpan w:val="4"/>
            <w:tcBorders>
              <w:top w:val="single" w:color="auto" w:sz="4" w:space="0"/>
              <w:left w:val="single" w:color="auto" w:sz="4" w:space="0"/>
              <w:bottom w:val="single" w:color="auto" w:sz="4" w:space="0"/>
              <w:right w:val="single" w:color="auto" w:sz="4" w:space="0"/>
            </w:tcBorders>
            <w:vAlign w:val="center"/>
          </w:tcPr>
          <w:p w14:paraId="4324B798">
            <w:pPr>
              <w:topLinePunct/>
              <w:jc w:val="center"/>
              <w:rPr>
                <w:rFonts w:ascii="宋体" w:hAnsi="宋体" w:eastAsia="宋体"/>
                <w:szCs w:val="21"/>
                <w:highlight w:val="none"/>
              </w:rPr>
            </w:pPr>
          </w:p>
        </w:tc>
      </w:tr>
      <w:tr w14:paraId="6CE090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vAlign w:val="center"/>
          </w:tcPr>
          <w:p w14:paraId="4C72BC0D">
            <w:pPr>
              <w:topLinePunct/>
              <w:jc w:val="center"/>
              <w:rPr>
                <w:rFonts w:ascii="宋体" w:hAnsi="宋体" w:eastAsia="宋体"/>
                <w:szCs w:val="21"/>
                <w:highlight w:val="none"/>
              </w:rPr>
            </w:pPr>
            <w:r>
              <w:rPr>
                <w:rFonts w:hint="eastAsia" w:ascii="宋体" w:hAnsi="宋体" w:eastAsia="宋体"/>
                <w:szCs w:val="21"/>
                <w:highlight w:val="none"/>
              </w:rPr>
              <w:t>邮政编码</w:t>
            </w:r>
          </w:p>
        </w:tc>
        <w:tc>
          <w:tcPr>
            <w:tcW w:w="1806" w:type="pct"/>
            <w:gridSpan w:val="2"/>
            <w:tcBorders>
              <w:top w:val="single" w:color="auto" w:sz="4" w:space="0"/>
              <w:left w:val="single" w:color="auto" w:sz="4" w:space="0"/>
              <w:bottom w:val="single" w:color="auto" w:sz="4" w:space="0"/>
              <w:right w:val="single" w:color="auto" w:sz="4" w:space="0"/>
            </w:tcBorders>
            <w:vAlign w:val="center"/>
          </w:tcPr>
          <w:p w14:paraId="783F4370">
            <w:pPr>
              <w:topLinePunct/>
              <w:jc w:val="center"/>
              <w:rPr>
                <w:rFonts w:ascii="宋体" w:hAnsi="宋体" w:eastAsia="宋体"/>
                <w:szCs w:val="21"/>
                <w:highlight w:val="none"/>
              </w:rPr>
            </w:pPr>
          </w:p>
        </w:tc>
        <w:tc>
          <w:tcPr>
            <w:tcW w:w="723" w:type="pct"/>
            <w:tcBorders>
              <w:top w:val="single" w:color="auto" w:sz="4" w:space="0"/>
              <w:left w:val="single" w:color="auto" w:sz="4" w:space="0"/>
              <w:bottom w:val="single" w:color="auto" w:sz="4" w:space="0"/>
              <w:right w:val="single" w:color="auto" w:sz="4" w:space="0"/>
            </w:tcBorders>
            <w:vAlign w:val="center"/>
          </w:tcPr>
          <w:p w14:paraId="21390CEB">
            <w:pPr>
              <w:topLinePunct/>
              <w:jc w:val="center"/>
              <w:rPr>
                <w:rFonts w:ascii="宋体" w:hAnsi="宋体" w:eastAsia="宋体"/>
                <w:szCs w:val="21"/>
                <w:highlight w:val="none"/>
              </w:rPr>
            </w:pPr>
            <w:r>
              <w:rPr>
                <w:rFonts w:hint="eastAsia" w:ascii="宋体" w:hAnsi="宋体" w:eastAsia="宋体"/>
                <w:szCs w:val="21"/>
                <w:highlight w:val="none"/>
              </w:rPr>
              <w:t>员工总数</w:t>
            </w:r>
          </w:p>
        </w:tc>
        <w:tc>
          <w:tcPr>
            <w:tcW w:w="1318" w:type="pct"/>
            <w:tcBorders>
              <w:top w:val="single" w:color="auto" w:sz="4" w:space="0"/>
              <w:left w:val="single" w:color="auto" w:sz="4" w:space="0"/>
              <w:bottom w:val="single" w:color="auto" w:sz="4" w:space="0"/>
              <w:right w:val="single" w:color="auto" w:sz="4" w:space="0"/>
            </w:tcBorders>
            <w:vAlign w:val="center"/>
          </w:tcPr>
          <w:p w14:paraId="0159B993">
            <w:pPr>
              <w:topLinePunct/>
              <w:jc w:val="center"/>
              <w:rPr>
                <w:rFonts w:ascii="宋体" w:hAnsi="宋体" w:eastAsia="宋体"/>
                <w:szCs w:val="21"/>
                <w:highlight w:val="none"/>
              </w:rPr>
            </w:pPr>
          </w:p>
        </w:tc>
      </w:tr>
      <w:tr w14:paraId="0628F1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vMerge w:val="restart"/>
            <w:tcBorders>
              <w:top w:val="single" w:color="auto" w:sz="4" w:space="0"/>
              <w:left w:val="single" w:color="auto" w:sz="4" w:space="0"/>
              <w:bottom w:val="single" w:color="auto" w:sz="4" w:space="0"/>
              <w:right w:val="single" w:color="auto" w:sz="4" w:space="0"/>
            </w:tcBorders>
            <w:vAlign w:val="center"/>
          </w:tcPr>
          <w:p w14:paraId="660C6E1F">
            <w:pPr>
              <w:topLinePunct/>
              <w:jc w:val="center"/>
              <w:rPr>
                <w:rFonts w:ascii="宋体" w:hAnsi="宋体" w:eastAsia="宋体"/>
                <w:szCs w:val="21"/>
                <w:highlight w:val="none"/>
              </w:rPr>
            </w:pPr>
            <w:r>
              <w:rPr>
                <w:rFonts w:hint="eastAsia" w:ascii="宋体" w:hAnsi="宋体" w:eastAsia="宋体"/>
                <w:szCs w:val="21"/>
                <w:highlight w:val="none"/>
              </w:rPr>
              <w:t>联系方式</w:t>
            </w:r>
          </w:p>
        </w:tc>
        <w:tc>
          <w:tcPr>
            <w:tcW w:w="504" w:type="pct"/>
            <w:tcBorders>
              <w:top w:val="single" w:color="auto" w:sz="4" w:space="0"/>
              <w:left w:val="single" w:color="auto" w:sz="4" w:space="0"/>
              <w:bottom w:val="single" w:color="auto" w:sz="4" w:space="0"/>
              <w:right w:val="single" w:color="auto" w:sz="4" w:space="0"/>
            </w:tcBorders>
            <w:vAlign w:val="center"/>
          </w:tcPr>
          <w:p w14:paraId="69E31EA4">
            <w:pPr>
              <w:topLinePunct/>
              <w:jc w:val="center"/>
              <w:rPr>
                <w:rFonts w:ascii="宋体" w:hAnsi="宋体" w:eastAsia="宋体"/>
                <w:szCs w:val="21"/>
                <w:highlight w:val="none"/>
              </w:rPr>
            </w:pPr>
            <w:r>
              <w:rPr>
                <w:rFonts w:hint="eastAsia" w:ascii="宋体" w:hAnsi="宋体" w:eastAsia="宋体"/>
                <w:szCs w:val="21"/>
                <w:highlight w:val="none"/>
              </w:rPr>
              <w:t>联系人</w:t>
            </w:r>
          </w:p>
        </w:tc>
        <w:tc>
          <w:tcPr>
            <w:tcW w:w="1301" w:type="pct"/>
            <w:tcBorders>
              <w:top w:val="single" w:color="auto" w:sz="4" w:space="0"/>
              <w:left w:val="single" w:color="auto" w:sz="4" w:space="0"/>
              <w:bottom w:val="single" w:color="auto" w:sz="4" w:space="0"/>
              <w:right w:val="single" w:color="auto" w:sz="4" w:space="0"/>
            </w:tcBorders>
            <w:vAlign w:val="center"/>
          </w:tcPr>
          <w:p w14:paraId="0099FFA1">
            <w:pPr>
              <w:topLinePunct/>
              <w:jc w:val="center"/>
              <w:rPr>
                <w:rFonts w:ascii="宋体" w:hAnsi="宋体" w:eastAsia="宋体"/>
                <w:szCs w:val="21"/>
                <w:highlight w:val="none"/>
              </w:rPr>
            </w:pPr>
          </w:p>
        </w:tc>
        <w:tc>
          <w:tcPr>
            <w:tcW w:w="723" w:type="pct"/>
            <w:tcBorders>
              <w:top w:val="single" w:color="auto" w:sz="4" w:space="0"/>
              <w:left w:val="single" w:color="auto" w:sz="4" w:space="0"/>
              <w:bottom w:val="single" w:color="auto" w:sz="4" w:space="0"/>
              <w:right w:val="single" w:color="auto" w:sz="4" w:space="0"/>
            </w:tcBorders>
            <w:vAlign w:val="center"/>
          </w:tcPr>
          <w:p w14:paraId="5B0A02FB">
            <w:pPr>
              <w:topLinePunct/>
              <w:jc w:val="center"/>
              <w:rPr>
                <w:rFonts w:ascii="宋体" w:hAnsi="宋体" w:eastAsia="宋体"/>
                <w:szCs w:val="21"/>
                <w:highlight w:val="none"/>
              </w:rPr>
            </w:pPr>
            <w:r>
              <w:rPr>
                <w:rFonts w:hint="eastAsia" w:ascii="宋体" w:hAnsi="宋体" w:eastAsia="宋体"/>
                <w:szCs w:val="21"/>
                <w:highlight w:val="none"/>
              </w:rPr>
              <w:t>电 话</w:t>
            </w:r>
          </w:p>
        </w:tc>
        <w:tc>
          <w:tcPr>
            <w:tcW w:w="1318" w:type="pct"/>
            <w:tcBorders>
              <w:top w:val="single" w:color="auto" w:sz="4" w:space="0"/>
              <w:left w:val="single" w:color="auto" w:sz="4" w:space="0"/>
              <w:bottom w:val="single" w:color="auto" w:sz="4" w:space="0"/>
              <w:right w:val="single" w:color="auto" w:sz="4" w:space="0"/>
            </w:tcBorders>
            <w:vAlign w:val="center"/>
          </w:tcPr>
          <w:p w14:paraId="4713EB17">
            <w:pPr>
              <w:topLinePunct/>
              <w:jc w:val="center"/>
              <w:rPr>
                <w:rFonts w:ascii="宋体" w:hAnsi="宋体" w:eastAsia="宋体"/>
                <w:szCs w:val="21"/>
                <w:highlight w:val="none"/>
              </w:rPr>
            </w:pPr>
          </w:p>
        </w:tc>
      </w:tr>
      <w:tr w14:paraId="1D4E2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vMerge w:val="continue"/>
            <w:tcBorders>
              <w:top w:val="single" w:color="auto" w:sz="4" w:space="0"/>
              <w:left w:val="single" w:color="auto" w:sz="4" w:space="0"/>
              <w:bottom w:val="single" w:color="auto" w:sz="4" w:space="0"/>
              <w:right w:val="single" w:color="auto" w:sz="4" w:space="0"/>
            </w:tcBorders>
            <w:vAlign w:val="center"/>
          </w:tcPr>
          <w:p w14:paraId="4107E57C">
            <w:pPr>
              <w:jc w:val="center"/>
              <w:rPr>
                <w:rFonts w:ascii="宋体" w:hAnsi="宋体" w:eastAsia="宋体"/>
                <w:szCs w:val="21"/>
                <w:highlight w:val="none"/>
              </w:rPr>
            </w:pPr>
          </w:p>
        </w:tc>
        <w:tc>
          <w:tcPr>
            <w:tcW w:w="504" w:type="pct"/>
            <w:tcBorders>
              <w:top w:val="single" w:color="auto" w:sz="4" w:space="0"/>
              <w:left w:val="single" w:color="auto" w:sz="4" w:space="0"/>
              <w:bottom w:val="single" w:color="auto" w:sz="4" w:space="0"/>
              <w:right w:val="single" w:color="auto" w:sz="4" w:space="0"/>
            </w:tcBorders>
            <w:vAlign w:val="center"/>
          </w:tcPr>
          <w:p w14:paraId="1F5A4D94">
            <w:pPr>
              <w:topLinePunct/>
              <w:jc w:val="center"/>
              <w:rPr>
                <w:rFonts w:ascii="宋体" w:hAnsi="宋体" w:eastAsia="宋体"/>
                <w:szCs w:val="21"/>
                <w:highlight w:val="none"/>
              </w:rPr>
            </w:pPr>
            <w:r>
              <w:rPr>
                <w:rFonts w:hint="eastAsia" w:ascii="宋体" w:hAnsi="宋体" w:eastAsia="宋体"/>
                <w:szCs w:val="21"/>
                <w:highlight w:val="none"/>
              </w:rPr>
              <w:t>网 址</w:t>
            </w:r>
          </w:p>
        </w:tc>
        <w:tc>
          <w:tcPr>
            <w:tcW w:w="1301" w:type="pct"/>
            <w:tcBorders>
              <w:top w:val="single" w:color="auto" w:sz="4" w:space="0"/>
              <w:left w:val="single" w:color="auto" w:sz="4" w:space="0"/>
              <w:bottom w:val="single" w:color="auto" w:sz="4" w:space="0"/>
              <w:right w:val="single" w:color="auto" w:sz="4" w:space="0"/>
            </w:tcBorders>
            <w:vAlign w:val="center"/>
          </w:tcPr>
          <w:p w14:paraId="23018A78">
            <w:pPr>
              <w:topLinePunct/>
              <w:jc w:val="center"/>
              <w:rPr>
                <w:rFonts w:ascii="宋体" w:hAnsi="宋体" w:eastAsia="宋体"/>
                <w:szCs w:val="21"/>
                <w:highlight w:val="none"/>
              </w:rPr>
            </w:pPr>
          </w:p>
        </w:tc>
        <w:tc>
          <w:tcPr>
            <w:tcW w:w="723" w:type="pct"/>
            <w:tcBorders>
              <w:top w:val="single" w:color="auto" w:sz="4" w:space="0"/>
              <w:left w:val="single" w:color="auto" w:sz="4" w:space="0"/>
              <w:bottom w:val="single" w:color="auto" w:sz="4" w:space="0"/>
              <w:right w:val="single" w:color="auto" w:sz="4" w:space="0"/>
            </w:tcBorders>
            <w:vAlign w:val="center"/>
          </w:tcPr>
          <w:p w14:paraId="483E8EE9">
            <w:pPr>
              <w:topLinePunct/>
              <w:jc w:val="center"/>
              <w:rPr>
                <w:rFonts w:ascii="宋体" w:hAnsi="宋体" w:eastAsia="宋体"/>
                <w:szCs w:val="21"/>
                <w:highlight w:val="none"/>
              </w:rPr>
            </w:pPr>
            <w:r>
              <w:rPr>
                <w:rFonts w:hint="eastAsia" w:ascii="宋体" w:hAnsi="宋体" w:eastAsia="宋体"/>
                <w:szCs w:val="21"/>
                <w:highlight w:val="none"/>
              </w:rPr>
              <w:t>传  真</w:t>
            </w:r>
          </w:p>
        </w:tc>
        <w:tc>
          <w:tcPr>
            <w:tcW w:w="1318" w:type="pct"/>
            <w:tcBorders>
              <w:top w:val="single" w:color="auto" w:sz="4" w:space="0"/>
              <w:left w:val="single" w:color="auto" w:sz="4" w:space="0"/>
              <w:bottom w:val="single" w:color="auto" w:sz="4" w:space="0"/>
              <w:right w:val="single" w:color="auto" w:sz="4" w:space="0"/>
            </w:tcBorders>
            <w:vAlign w:val="center"/>
          </w:tcPr>
          <w:p w14:paraId="72D835AF">
            <w:pPr>
              <w:topLinePunct/>
              <w:jc w:val="center"/>
              <w:rPr>
                <w:rFonts w:ascii="宋体" w:hAnsi="宋体" w:eastAsia="宋体"/>
                <w:szCs w:val="21"/>
                <w:highlight w:val="none"/>
              </w:rPr>
            </w:pPr>
          </w:p>
        </w:tc>
      </w:tr>
      <w:tr w14:paraId="5A83C8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vAlign w:val="center"/>
          </w:tcPr>
          <w:p w14:paraId="7C1171E8">
            <w:pPr>
              <w:topLinePunct/>
              <w:jc w:val="center"/>
              <w:rPr>
                <w:rFonts w:ascii="宋体" w:hAnsi="宋体" w:eastAsia="宋体"/>
                <w:szCs w:val="21"/>
                <w:highlight w:val="none"/>
              </w:rPr>
            </w:pPr>
            <w:r>
              <w:rPr>
                <w:rFonts w:hint="eastAsia" w:ascii="宋体" w:hAnsi="宋体" w:eastAsia="宋体"/>
                <w:szCs w:val="21"/>
                <w:highlight w:val="none"/>
              </w:rPr>
              <w:t>法定代表人</w:t>
            </w:r>
          </w:p>
          <w:p w14:paraId="0D8BB1F5">
            <w:pPr>
              <w:topLinePunct/>
              <w:jc w:val="center"/>
              <w:rPr>
                <w:rFonts w:ascii="宋体" w:hAnsi="宋体" w:eastAsia="宋体"/>
                <w:szCs w:val="21"/>
                <w:highlight w:val="none"/>
              </w:rPr>
            </w:pPr>
            <w:r>
              <w:rPr>
                <w:rFonts w:hint="eastAsia" w:ascii="宋体" w:hAnsi="宋体" w:eastAsia="宋体"/>
                <w:szCs w:val="21"/>
                <w:highlight w:val="none"/>
              </w:rPr>
              <w:t>（单位负责人）</w:t>
            </w:r>
          </w:p>
        </w:tc>
        <w:tc>
          <w:tcPr>
            <w:tcW w:w="504" w:type="pct"/>
            <w:tcBorders>
              <w:top w:val="single" w:color="auto" w:sz="4" w:space="0"/>
              <w:left w:val="single" w:color="auto" w:sz="4" w:space="0"/>
              <w:bottom w:val="single" w:color="auto" w:sz="4" w:space="0"/>
              <w:right w:val="single" w:color="auto" w:sz="4" w:space="0"/>
            </w:tcBorders>
            <w:vAlign w:val="center"/>
          </w:tcPr>
          <w:p w14:paraId="4D4779FA">
            <w:pPr>
              <w:topLinePunct/>
              <w:jc w:val="center"/>
              <w:rPr>
                <w:rFonts w:ascii="宋体" w:hAnsi="宋体" w:eastAsia="宋体"/>
                <w:szCs w:val="21"/>
                <w:highlight w:val="none"/>
              </w:rPr>
            </w:pPr>
            <w:r>
              <w:rPr>
                <w:rFonts w:hint="eastAsia" w:ascii="宋体" w:hAnsi="宋体" w:eastAsia="宋体"/>
                <w:szCs w:val="21"/>
                <w:highlight w:val="none"/>
              </w:rPr>
              <w:t>姓名</w:t>
            </w:r>
          </w:p>
        </w:tc>
        <w:tc>
          <w:tcPr>
            <w:tcW w:w="1301" w:type="pct"/>
            <w:tcBorders>
              <w:top w:val="single" w:color="auto" w:sz="4" w:space="0"/>
              <w:left w:val="single" w:color="auto" w:sz="4" w:space="0"/>
              <w:bottom w:val="single" w:color="auto" w:sz="4" w:space="0"/>
              <w:right w:val="single" w:color="auto" w:sz="4" w:space="0"/>
            </w:tcBorders>
            <w:vAlign w:val="center"/>
          </w:tcPr>
          <w:p w14:paraId="1CA92A1D">
            <w:pPr>
              <w:topLinePunct/>
              <w:jc w:val="center"/>
              <w:rPr>
                <w:rFonts w:ascii="宋体" w:hAnsi="宋体" w:eastAsia="宋体"/>
                <w:szCs w:val="21"/>
                <w:highlight w:val="none"/>
              </w:rPr>
            </w:pPr>
          </w:p>
        </w:tc>
        <w:tc>
          <w:tcPr>
            <w:tcW w:w="723" w:type="pct"/>
            <w:tcBorders>
              <w:top w:val="single" w:color="auto" w:sz="4" w:space="0"/>
              <w:left w:val="single" w:color="auto" w:sz="4" w:space="0"/>
              <w:bottom w:val="single" w:color="auto" w:sz="4" w:space="0"/>
              <w:right w:val="single" w:color="auto" w:sz="4" w:space="0"/>
            </w:tcBorders>
            <w:vAlign w:val="center"/>
          </w:tcPr>
          <w:p w14:paraId="765C5874">
            <w:pPr>
              <w:topLinePunct/>
              <w:jc w:val="center"/>
              <w:rPr>
                <w:rFonts w:ascii="宋体" w:hAnsi="宋体" w:eastAsia="宋体"/>
                <w:szCs w:val="21"/>
                <w:highlight w:val="none"/>
              </w:rPr>
            </w:pPr>
            <w:r>
              <w:rPr>
                <w:rFonts w:hint="eastAsia" w:ascii="宋体" w:hAnsi="宋体" w:eastAsia="宋体"/>
                <w:szCs w:val="21"/>
                <w:highlight w:val="none"/>
              </w:rPr>
              <w:t>电话</w:t>
            </w:r>
          </w:p>
        </w:tc>
        <w:tc>
          <w:tcPr>
            <w:tcW w:w="1318" w:type="pct"/>
            <w:tcBorders>
              <w:top w:val="single" w:color="auto" w:sz="4" w:space="0"/>
              <w:left w:val="single" w:color="auto" w:sz="4" w:space="0"/>
              <w:bottom w:val="single" w:color="auto" w:sz="4" w:space="0"/>
              <w:right w:val="single" w:color="auto" w:sz="4" w:space="0"/>
            </w:tcBorders>
            <w:vAlign w:val="center"/>
          </w:tcPr>
          <w:p w14:paraId="25C11745">
            <w:pPr>
              <w:topLinePunct/>
              <w:jc w:val="center"/>
              <w:rPr>
                <w:rFonts w:ascii="宋体" w:hAnsi="宋体" w:eastAsia="宋体"/>
                <w:szCs w:val="21"/>
                <w:highlight w:val="none"/>
              </w:rPr>
            </w:pPr>
          </w:p>
        </w:tc>
      </w:tr>
      <w:tr w14:paraId="7CC5F0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vAlign w:val="center"/>
          </w:tcPr>
          <w:p w14:paraId="486FF8CF">
            <w:pPr>
              <w:topLinePunct/>
              <w:jc w:val="center"/>
              <w:rPr>
                <w:rFonts w:ascii="宋体" w:hAnsi="宋体" w:eastAsia="宋体"/>
                <w:szCs w:val="21"/>
                <w:highlight w:val="none"/>
              </w:rPr>
            </w:pPr>
            <w:r>
              <w:rPr>
                <w:rFonts w:hint="eastAsia" w:ascii="宋体" w:hAnsi="宋体" w:eastAsia="宋体"/>
                <w:szCs w:val="21"/>
                <w:highlight w:val="none"/>
              </w:rPr>
              <w:t>投标人须知要求投标</w:t>
            </w:r>
          </w:p>
          <w:p w14:paraId="6E9D1BFD">
            <w:pPr>
              <w:topLinePunct/>
              <w:jc w:val="center"/>
              <w:rPr>
                <w:rFonts w:ascii="宋体" w:hAnsi="宋体" w:eastAsia="宋体"/>
                <w:szCs w:val="21"/>
                <w:highlight w:val="none"/>
              </w:rPr>
            </w:pPr>
            <w:r>
              <w:rPr>
                <w:rFonts w:hint="eastAsia" w:ascii="宋体" w:hAnsi="宋体" w:eastAsia="宋体"/>
                <w:szCs w:val="21"/>
                <w:highlight w:val="none"/>
              </w:rPr>
              <w:t>人需具有的各类资质</w:t>
            </w:r>
          </w:p>
          <w:p w14:paraId="7801C36F">
            <w:pPr>
              <w:topLinePunct/>
              <w:jc w:val="center"/>
              <w:rPr>
                <w:rFonts w:ascii="宋体" w:hAnsi="宋体" w:eastAsia="宋体"/>
                <w:szCs w:val="21"/>
                <w:highlight w:val="none"/>
              </w:rPr>
            </w:pPr>
            <w:r>
              <w:rPr>
                <w:rFonts w:hint="eastAsia" w:ascii="宋体" w:hAnsi="宋体" w:eastAsia="宋体"/>
                <w:szCs w:val="21"/>
                <w:highlight w:val="none"/>
              </w:rPr>
              <w:t>证书</w:t>
            </w:r>
          </w:p>
        </w:tc>
        <w:tc>
          <w:tcPr>
            <w:tcW w:w="3848" w:type="pct"/>
            <w:gridSpan w:val="4"/>
            <w:tcBorders>
              <w:top w:val="single" w:color="auto" w:sz="4" w:space="0"/>
              <w:left w:val="single" w:color="auto" w:sz="4" w:space="0"/>
              <w:bottom w:val="single" w:color="auto" w:sz="4" w:space="0"/>
              <w:right w:val="single" w:color="auto" w:sz="4" w:space="0"/>
            </w:tcBorders>
            <w:vAlign w:val="center"/>
          </w:tcPr>
          <w:p w14:paraId="7215384E">
            <w:pPr>
              <w:topLinePunct/>
              <w:ind w:firstLine="105" w:firstLineChars="50"/>
              <w:jc w:val="center"/>
              <w:rPr>
                <w:rFonts w:ascii="宋体" w:hAnsi="宋体" w:eastAsia="宋体"/>
                <w:szCs w:val="21"/>
                <w:highlight w:val="none"/>
              </w:rPr>
            </w:pPr>
            <w:r>
              <w:rPr>
                <w:rFonts w:hint="eastAsia" w:ascii="宋体" w:hAnsi="宋体" w:eastAsia="宋体"/>
                <w:szCs w:val="21"/>
                <w:highlight w:val="none"/>
              </w:rPr>
              <w:t>类型：                    等级：      证书号：</w:t>
            </w:r>
          </w:p>
        </w:tc>
      </w:tr>
      <w:tr w14:paraId="6EEB4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tcPr>
          <w:p w14:paraId="4D464540">
            <w:pPr>
              <w:rPr>
                <w:rFonts w:ascii="宋体" w:hAnsi="宋体" w:eastAsia="宋体"/>
                <w:szCs w:val="21"/>
                <w:highlight w:val="none"/>
              </w:rPr>
            </w:pPr>
            <w:r>
              <w:rPr>
                <w:rFonts w:hint="eastAsia" w:ascii="宋体" w:hAnsi="宋体" w:eastAsia="宋体"/>
                <w:szCs w:val="21"/>
                <w:highlight w:val="none"/>
              </w:rPr>
              <w:t>基本账户开户银行</w:t>
            </w:r>
          </w:p>
        </w:tc>
        <w:tc>
          <w:tcPr>
            <w:tcW w:w="3848" w:type="pct"/>
            <w:gridSpan w:val="4"/>
            <w:tcBorders>
              <w:top w:val="single" w:color="auto" w:sz="4" w:space="0"/>
              <w:left w:val="single" w:color="auto" w:sz="4" w:space="0"/>
              <w:bottom w:val="single" w:color="auto" w:sz="4" w:space="0"/>
              <w:right w:val="single" w:color="auto" w:sz="4" w:space="0"/>
            </w:tcBorders>
            <w:vAlign w:val="center"/>
          </w:tcPr>
          <w:p w14:paraId="52F7B5E3">
            <w:pPr>
              <w:topLinePunct/>
              <w:ind w:firstLine="105" w:firstLineChars="50"/>
              <w:jc w:val="center"/>
              <w:rPr>
                <w:rFonts w:ascii="宋体" w:hAnsi="宋体" w:eastAsia="宋体"/>
                <w:szCs w:val="21"/>
                <w:highlight w:val="none"/>
              </w:rPr>
            </w:pPr>
          </w:p>
        </w:tc>
      </w:tr>
      <w:tr w14:paraId="233DD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bottom w:val="single" w:color="auto" w:sz="4" w:space="0"/>
              <w:right w:val="single" w:color="auto" w:sz="4" w:space="0"/>
            </w:tcBorders>
          </w:tcPr>
          <w:p w14:paraId="6771A952">
            <w:pPr>
              <w:rPr>
                <w:rFonts w:ascii="宋体" w:hAnsi="宋体" w:eastAsia="宋体"/>
                <w:szCs w:val="21"/>
                <w:highlight w:val="none"/>
              </w:rPr>
            </w:pPr>
            <w:r>
              <w:rPr>
                <w:rFonts w:hint="eastAsia" w:ascii="宋体" w:hAnsi="宋体" w:eastAsia="宋体"/>
                <w:szCs w:val="21"/>
                <w:highlight w:val="none"/>
              </w:rPr>
              <w:t>基本账户银行账号</w:t>
            </w:r>
          </w:p>
        </w:tc>
        <w:tc>
          <w:tcPr>
            <w:tcW w:w="3848" w:type="pct"/>
            <w:gridSpan w:val="4"/>
            <w:tcBorders>
              <w:top w:val="single" w:color="auto" w:sz="4" w:space="0"/>
              <w:left w:val="single" w:color="auto" w:sz="4" w:space="0"/>
              <w:bottom w:val="single" w:color="auto" w:sz="4" w:space="0"/>
              <w:right w:val="single" w:color="auto" w:sz="4" w:space="0"/>
            </w:tcBorders>
            <w:vAlign w:val="center"/>
          </w:tcPr>
          <w:p w14:paraId="6A22A363">
            <w:pPr>
              <w:topLinePunct/>
              <w:ind w:firstLine="105" w:firstLineChars="50"/>
              <w:jc w:val="center"/>
              <w:rPr>
                <w:rFonts w:ascii="宋体" w:hAnsi="宋体" w:eastAsia="宋体"/>
                <w:szCs w:val="21"/>
                <w:highlight w:val="none"/>
              </w:rPr>
            </w:pPr>
          </w:p>
        </w:tc>
      </w:tr>
      <w:tr w14:paraId="1764A6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right w:val="single" w:color="auto" w:sz="4" w:space="0"/>
            </w:tcBorders>
          </w:tcPr>
          <w:p w14:paraId="27FEC725">
            <w:pPr>
              <w:rPr>
                <w:rFonts w:ascii="宋体" w:hAnsi="宋体" w:eastAsia="宋体"/>
                <w:szCs w:val="21"/>
                <w:highlight w:val="none"/>
              </w:rPr>
            </w:pPr>
            <w:r>
              <w:rPr>
                <w:rFonts w:hint="eastAsia" w:ascii="宋体" w:hAnsi="宋体" w:eastAsia="宋体"/>
                <w:szCs w:val="21"/>
                <w:highlight w:val="none"/>
              </w:rPr>
              <w:t>投标人关联企业情况（包括但不限于：母公司、全资子公司或与投</w:t>
            </w:r>
          </w:p>
          <w:p w14:paraId="6E898EEE">
            <w:pPr>
              <w:rPr>
                <w:rFonts w:ascii="宋体" w:hAnsi="宋体" w:eastAsia="宋体"/>
                <w:szCs w:val="21"/>
                <w:highlight w:val="none"/>
              </w:rPr>
            </w:pPr>
            <w:r>
              <w:rPr>
                <w:rFonts w:hint="eastAsia" w:ascii="宋体" w:hAnsi="宋体" w:eastAsia="宋体"/>
                <w:szCs w:val="21"/>
                <w:highlight w:val="none"/>
              </w:rPr>
              <w:t>标人法定代表人（单位负责人）为同一人或存在控股管理关系的不同单位）</w:t>
            </w:r>
          </w:p>
        </w:tc>
        <w:tc>
          <w:tcPr>
            <w:tcW w:w="3848" w:type="pct"/>
            <w:gridSpan w:val="4"/>
            <w:tcBorders>
              <w:top w:val="single" w:color="auto" w:sz="4" w:space="0"/>
              <w:left w:val="single" w:color="auto" w:sz="4" w:space="0"/>
              <w:right w:val="single" w:color="auto" w:sz="4" w:space="0"/>
            </w:tcBorders>
            <w:vAlign w:val="center"/>
          </w:tcPr>
          <w:p w14:paraId="44DFB52A">
            <w:pPr>
              <w:topLinePunct/>
              <w:jc w:val="center"/>
              <w:rPr>
                <w:rFonts w:ascii="宋体" w:hAnsi="宋体" w:eastAsia="宋体"/>
                <w:szCs w:val="21"/>
                <w:highlight w:val="none"/>
              </w:rPr>
            </w:pPr>
          </w:p>
        </w:tc>
      </w:tr>
      <w:tr w14:paraId="7D765E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right w:val="single" w:color="auto" w:sz="4" w:space="0"/>
            </w:tcBorders>
          </w:tcPr>
          <w:p w14:paraId="1CEBA094">
            <w:pPr>
              <w:rPr>
                <w:rFonts w:ascii="宋体" w:hAnsi="宋体" w:eastAsia="宋体"/>
                <w:szCs w:val="21"/>
                <w:highlight w:val="none"/>
              </w:rPr>
            </w:pPr>
            <w:r>
              <w:rPr>
                <w:rFonts w:hint="eastAsia" w:ascii="宋体" w:hAnsi="宋体" w:eastAsia="宋体"/>
                <w:szCs w:val="21"/>
                <w:highlight w:val="none"/>
              </w:rPr>
              <w:t>投标设备制造商名称</w:t>
            </w:r>
          </w:p>
        </w:tc>
        <w:tc>
          <w:tcPr>
            <w:tcW w:w="3848" w:type="pct"/>
            <w:gridSpan w:val="4"/>
            <w:tcBorders>
              <w:top w:val="single" w:color="auto" w:sz="4" w:space="0"/>
              <w:left w:val="single" w:color="auto" w:sz="4" w:space="0"/>
              <w:right w:val="single" w:color="auto" w:sz="4" w:space="0"/>
            </w:tcBorders>
            <w:vAlign w:val="center"/>
          </w:tcPr>
          <w:p w14:paraId="6AECFD8B">
            <w:pPr>
              <w:topLinePunct/>
              <w:jc w:val="center"/>
              <w:rPr>
                <w:rFonts w:ascii="宋体" w:hAnsi="宋体" w:eastAsia="宋体"/>
                <w:szCs w:val="21"/>
                <w:highlight w:val="none"/>
              </w:rPr>
            </w:pPr>
          </w:p>
        </w:tc>
      </w:tr>
      <w:tr w14:paraId="3AC93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151" w:type="pct"/>
            <w:tcBorders>
              <w:top w:val="single" w:color="auto" w:sz="4" w:space="0"/>
              <w:left w:val="single" w:color="auto" w:sz="4" w:space="0"/>
              <w:right w:val="single" w:color="auto" w:sz="4" w:space="0"/>
            </w:tcBorders>
          </w:tcPr>
          <w:p w14:paraId="63D45169">
            <w:pPr>
              <w:rPr>
                <w:rFonts w:ascii="宋体" w:hAnsi="宋体" w:eastAsia="宋体"/>
                <w:szCs w:val="21"/>
                <w:highlight w:val="none"/>
              </w:rPr>
            </w:pPr>
            <w:r>
              <w:rPr>
                <w:rFonts w:hint="eastAsia" w:ascii="宋体" w:hAnsi="宋体" w:eastAsia="宋体"/>
                <w:szCs w:val="21"/>
                <w:highlight w:val="none"/>
              </w:rPr>
              <w:t>投标人须知要求投标设备制造商需具有的资质证书</w:t>
            </w:r>
          </w:p>
        </w:tc>
        <w:tc>
          <w:tcPr>
            <w:tcW w:w="3848" w:type="pct"/>
            <w:gridSpan w:val="4"/>
            <w:tcBorders>
              <w:top w:val="single" w:color="auto" w:sz="4" w:space="0"/>
              <w:left w:val="single" w:color="auto" w:sz="4" w:space="0"/>
              <w:right w:val="single" w:color="auto" w:sz="4" w:space="0"/>
            </w:tcBorders>
            <w:vAlign w:val="center"/>
          </w:tcPr>
          <w:p w14:paraId="5102A079">
            <w:pPr>
              <w:topLinePunct/>
              <w:jc w:val="center"/>
              <w:rPr>
                <w:rFonts w:ascii="宋体" w:hAnsi="宋体" w:eastAsia="宋体"/>
                <w:szCs w:val="21"/>
                <w:highlight w:val="none"/>
              </w:rPr>
            </w:pPr>
          </w:p>
        </w:tc>
      </w:tr>
      <w:tr w14:paraId="30CF77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151" w:type="pct"/>
            <w:tcBorders>
              <w:top w:val="single" w:color="auto" w:sz="4" w:space="0"/>
              <w:left w:val="single" w:color="auto" w:sz="4" w:space="0"/>
              <w:bottom w:val="single" w:color="auto" w:sz="4" w:space="0"/>
              <w:right w:val="single" w:color="auto" w:sz="4" w:space="0"/>
            </w:tcBorders>
            <w:vAlign w:val="center"/>
          </w:tcPr>
          <w:p w14:paraId="4F3093C0">
            <w:pPr>
              <w:topLinePunct/>
              <w:jc w:val="center"/>
              <w:rPr>
                <w:rFonts w:ascii="宋体" w:hAnsi="宋体" w:eastAsia="宋体"/>
                <w:szCs w:val="21"/>
                <w:highlight w:val="none"/>
              </w:rPr>
            </w:pPr>
            <w:r>
              <w:rPr>
                <w:rFonts w:hint="eastAsia" w:ascii="宋体" w:hAnsi="宋体" w:eastAsia="宋体"/>
                <w:szCs w:val="21"/>
                <w:highlight w:val="none"/>
              </w:rPr>
              <w:t>备注</w:t>
            </w:r>
          </w:p>
        </w:tc>
        <w:tc>
          <w:tcPr>
            <w:tcW w:w="3848" w:type="pct"/>
            <w:gridSpan w:val="4"/>
            <w:tcBorders>
              <w:top w:val="single" w:color="auto" w:sz="4" w:space="0"/>
              <w:left w:val="single" w:color="auto" w:sz="4" w:space="0"/>
              <w:bottom w:val="single" w:color="auto" w:sz="4" w:space="0"/>
              <w:right w:val="single" w:color="auto" w:sz="4" w:space="0"/>
            </w:tcBorders>
            <w:vAlign w:val="center"/>
          </w:tcPr>
          <w:p w14:paraId="4BF129E2">
            <w:pPr>
              <w:topLinePunct/>
              <w:jc w:val="center"/>
              <w:rPr>
                <w:rFonts w:ascii="宋体" w:hAnsi="宋体" w:eastAsia="宋体"/>
                <w:szCs w:val="21"/>
                <w:highlight w:val="none"/>
              </w:rPr>
            </w:pPr>
          </w:p>
        </w:tc>
      </w:tr>
    </w:tbl>
    <w:p w14:paraId="00758C98">
      <w:pPr>
        <w:spacing w:line="400" w:lineRule="exact"/>
        <w:rPr>
          <w:rFonts w:ascii="宋体" w:hAnsi="宋体" w:eastAsia="宋体"/>
          <w:sz w:val="24"/>
          <w:szCs w:val="24"/>
          <w:highlight w:val="none"/>
        </w:rPr>
      </w:pPr>
    </w:p>
    <w:p w14:paraId="75013999">
      <w:pPr>
        <w:spacing w:line="400" w:lineRule="exact"/>
        <w:rPr>
          <w:rFonts w:ascii="宋体" w:hAnsi="宋体" w:eastAsia="宋体"/>
          <w:sz w:val="24"/>
          <w:szCs w:val="24"/>
          <w:highlight w:val="none"/>
        </w:rPr>
      </w:pPr>
      <w:r>
        <w:rPr>
          <w:rFonts w:hint="eastAsia" w:ascii="宋体" w:hAnsi="宋体" w:eastAsia="宋体"/>
          <w:sz w:val="24"/>
          <w:szCs w:val="24"/>
          <w:highlight w:val="none"/>
        </w:rPr>
        <w:t>注：1. 投标人应根据</w:t>
      </w:r>
      <w:r>
        <w:rPr>
          <w:rFonts w:hint="eastAsia" w:ascii="宋体" w:hAnsi="宋体" w:eastAsia="宋体"/>
          <w:b/>
          <w:sz w:val="24"/>
          <w:szCs w:val="24"/>
          <w:highlight w:val="none"/>
          <w:u w:val="single"/>
        </w:rPr>
        <w:t>投标人资格要求</w:t>
      </w:r>
      <w:r>
        <w:rPr>
          <w:rFonts w:hint="eastAsia" w:ascii="宋体" w:hAnsi="宋体" w:eastAsia="宋体"/>
          <w:sz w:val="24"/>
          <w:szCs w:val="24"/>
          <w:highlight w:val="none"/>
        </w:rPr>
        <w:t>在本表后附相关证明材料。</w:t>
      </w:r>
    </w:p>
    <w:p w14:paraId="47142A60">
      <w:pPr>
        <w:spacing w:line="360" w:lineRule="auto"/>
        <w:rPr>
          <w:rFonts w:ascii="宋体" w:hAnsi="宋体" w:eastAsia="宋体"/>
          <w:sz w:val="24"/>
          <w:szCs w:val="24"/>
          <w:highlight w:val="none"/>
        </w:rPr>
      </w:pPr>
      <w:r>
        <w:rPr>
          <w:rFonts w:hint="eastAsia" w:ascii="宋体" w:hAnsi="宋体" w:eastAsia="宋体"/>
          <w:sz w:val="24"/>
          <w:szCs w:val="24"/>
          <w:highlight w:val="none"/>
        </w:rPr>
        <w:t>2. 如果投标人须知第1.4.1项对投标设备制造商的资质提出了要求，投标人应根据在本表后附相关资质证书扫描件。</w:t>
      </w:r>
    </w:p>
    <w:p w14:paraId="46DFB514">
      <w:pPr>
        <w:jc w:val="left"/>
        <w:rPr>
          <w:rFonts w:ascii="宋体" w:hAnsi="宋体" w:eastAsia="宋体"/>
          <w:b/>
          <w:bCs/>
          <w:sz w:val="32"/>
          <w:szCs w:val="32"/>
          <w:highlight w:val="none"/>
        </w:rPr>
      </w:pPr>
    </w:p>
    <w:p w14:paraId="19ABE102">
      <w:pPr>
        <w:pStyle w:val="15"/>
        <w:rPr>
          <w:highlight w:val="none"/>
        </w:rPr>
      </w:pPr>
    </w:p>
    <w:p w14:paraId="738EE38A">
      <w:pPr>
        <w:widowControl/>
        <w:jc w:val="left"/>
        <w:rPr>
          <w:rFonts w:ascii="黑体" w:hAnsi="黑体" w:eastAsia="黑体"/>
          <w:color w:val="000000"/>
          <w:kern w:val="0"/>
          <w:sz w:val="28"/>
          <w:szCs w:val="28"/>
          <w:highlight w:val="none"/>
        </w:rPr>
      </w:pPr>
      <w:r>
        <w:rPr>
          <w:rFonts w:hint="eastAsia" w:ascii="黑体" w:hAnsi="黑体" w:eastAsia="黑体"/>
          <w:color w:val="000000"/>
          <w:kern w:val="0"/>
          <w:sz w:val="28"/>
          <w:szCs w:val="28"/>
          <w:highlight w:val="none"/>
        </w:rPr>
        <w:t>（二）投标人声明</w:t>
      </w:r>
    </w:p>
    <w:p w14:paraId="0465DC89">
      <w:pPr>
        <w:widowControl/>
        <w:snapToGrid w:val="0"/>
        <w:spacing w:before="260" w:after="260" w:line="360" w:lineRule="auto"/>
        <w:ind w:right="384"/>
        <w:jc w:val="center"/>
        <w:rPr>
          <w:rFonts w:ascii="宋体" w:hAnsi="宋体" w:eastAsia="宋体"/>
          <w:kern w:val="0"/>
          <w:szCs w:val="21"/>
          <w:highlight w:val="none"/>
        </w:rPr>
      </w:pPr>
      <w:r>
        <w:rPr>
          <w:rFonts w:hint="eastAsia" w:ascii="宋体" w:hAnsi="宋体" w:eastAsia="宋体"/>
          <w:kern w:val="0"/>
          <w:szCs w:val="21"/>
          <w:highlight w:val="none"/>
        </w:rPr>
        <w:t>投标人声明</w:t>
      </w:r>
    </w:p>
    <w:p w14:paraId="33F14579">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广州市越秀区建设和水务局、本招标项目招标人及招标监管机构：</w:t>
      </w:r>
    </w:p>
    <w:p w14:paraId="600DD165">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本公司就参加</w:t>
      </w:r>
      <w:r>
        <w:rPr>
          <w:rFonts w:hint="eastAsia" w:ascii="宋体" w:hAnsi="宋体" w:eastAsia="宋体"/>
          <w:kern w:val="0"/>
          <w:szCs w:val="21"/>
          <w:highlight w:val="none"/>
          <w:u w:val="single"/>
        </w:rPr>
        <w:t>                项目</w:t>
      </w:r>
      <w:r>
        <w:rPr>
          <w:rFonts w:ascii="宋体" w:hAnsi="宋体" w:eastAsia="宋体"/>
          <w:kern w:val="0"/>
          <w:szCs w:val="21"/>
          <w:highlight w:val="none"/>
        </w:rPr>
        <w:t>投标工作，作出郑重声明：</w:t>
      </w:r>
    </w:p>
    <w:p w14:paraId="71750A36">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一、本公司保证投标登记材料及其后提供的一切材料都是真实的。</w:t>
      </w:r>
      <w:r>
        <w:rPr>
          <w:rFonts w:ascii="宋体" w:hAnsi="宋体" w:eastAsia="宋体"/>
          <w:kern w:val="0"/>
          <w:szCs w:val="21"/>
          <w:highlight w:val="none"/>
        </w:rPr>
        <w:t>如我司成为本项目中标候选人，我司同意并授权招标人将我司投标文件商务部分的人员、业绩、奖项等资料进行公示。</w:t>
      </w:r>
    </w:p>
    <w:p w14:paraId="395A4749">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二、本公司承诺遵循公平、公正、公开、诚实信用原则，在本项目投标中诚信投标，在本项目投标中不与其他单位围标、串标，不出让投标资格，不向招标人或评标委员会成员行贿，不存在少放、不放业绩、奖项等客观评审资料，减少自身竞争力的情形，若存在以上情形的，将自愿接受被招标人列入拒绝投标名单，不能参与招标人后续招标项目的投标。</w:t>
      </w:r>
    </w:p>
    <w:p w14:paraId="50219B98">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三、本公司不存在招标文件第二章投标人须知第1.4.3项所规定的任何一种情形。</w:t>
      </w:r>
    </w:p>
    <w:p w14:paraId="7F68F7D1">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四、本公司及其有隶属关系的机构，没有参加本项目招标文件的编写工作；本公司与本次招标的招标代理机构没有隶属关系或其他利害关系。</w:t>
      </w:r>
    </w:p>
    <w:p w14:paraId="54E4EBCF">
      <w:pPr>
        <w:snapToGrid w:val="0"/>
        <w:spacing w:line="360" w:lineRule="auto"/>
        <w:ind w:firstLine="420" w:firstLineChars="200"/>
        <w:rPr>
          <w:rFonts w:ascii="宋体" w:hAnsi="宋体" w:eastAsia="宋体"/>
          <w:kern w:val="0"/>
          <w:szCs w:val="21"/>
          <w:highlight w:val="none"/>
        </w:rPr>
      </w:pPr>
      <w:r>
        <w:rPr>
          <w:rFonts w:ascii="宋体" w:hAnsi="宋体" w:eastAsia="宋体"/>
          <w:kern w:val="0"/>
          <w:szCs w:val="21"/>
          <w:highlight w:val="none"/>
        </w:rPr>
        <w:t>五、本公司承诺，中标后严格执行安全生产相关管理规定。</w:t>
      </w:r>
    </w:p>
    <w:p w14:paraId="2546A899">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六、法定代表人为同一人的两个及两个以上法人，母公司、全资子公司及其控股公司，不得在该项目中同时投标，否则全部取消资格。</w:t>
      </w:r>
    </w:p>
    <w:p w14:paraId="298D2BBC">
      <w:pPr>
        <w:snapToGrid w:val="0"/>
        <w:spacing w:line="360" w:lineRule="auto"/>
        <w:ind w:firstLine="420" w:firstLineChars="200"/>
        <w:rPr>
          <w:rFonts w:ascii="宋体" w:hAnsi="宋体" w:eastAsia="宋体"/>
          <w:kern w:val="0"/>
          <w:szCs w:val="21"/>
          <w:highlight w:val="none"/>
        </w:rPr>
      </w:pPr>
      <w:r>
        <w:rPr>
          <w:rFonts w:ascii="宋体" w:hAnsi="宋体" w:eastAsia="宋体"/>
          <w:kern w:val="0"/>
          <w:szCs w:val="21"/>
          <w:highlight w:val="none"/>
        </w:rPr>
        <w:t>本公司违反上述保证，或本声明陈述与事实不符，经查实，本公司愿意接受公开通报，承担由此带来的法律后果。</w:t>
      </w:r>
    </w:p>
    <w:p w14:paraId="57585B5B">
      <w:pPr>
        <w:snapToGrid w:val="0"/>
        <w:spacing w:line="360" w:lineRule="auto"/>
        <w:ind w:firstLine="420" w:firstLineChars="200"/>
        <w:rPr>
          <w:rFonts w:ascii="宋体" w:hAnsi="宋体" w:eastAsia="宋体"/>
          <w:kern w:val="0"/>
          <w:szCs w:val="21"/>
          <w:highlight w:val="none"/>
        </w:rPr>
      </w:pPr>
      <w:r>
        <w:rPr>
          <w:rFonts w:hint="eastAsia" w:ascii="宋体" w:hAnsi="宋体" w:eastAsia="宋体"/>
          <w:kern w:val="0"/>
          <w:szCs w:val="21"/>
          <w:highlight w:val="none"/>
        </w:rPr>
        <w:t>特此声明。</w:t>
      </w:r>
    </w:p>
    <w:p w14:paraId="7D88B3B1">
      <w:pPr>
        <w:snapToGrid w:val="0"/>
        <w:spacing w:line="360" w:lineRule="auto"/>
        <w:ind w:firstLine="3780" w:firstLineChars="1800"/>
        <w:rPr>
          <w:rFonts w:ascii="宋体" w:hAnsi="宋体" w:eastAsia="宋体"/>
          <w:kern w:val="0"/>
          <w:szCs w:val="21"/>
          <w:highlight w:val="none"/>
        </w:rPr>
      </w:pPr>
      <w:r>
        <w:rPr>
          <w:rFonts w:hint="eastAsia" w:ascii="宋体" w:hAnsi="宋体" w:eastAsia="宋体"/>
          <w:kern w:val="0"/>
          <w:szCs w:val="21"/>
          <w:highlight w:val="none"/>
        </w:rPr>
        <w:t>声明企业：            (企业公章)</w:t>
      </w:r>
    </w:p>
    <w:p w14:paraId="2BCC79F5">
      <w:pPr>
        <w:snapToGrid w:val="0"/>
        <w:spacing w:line="360" w:lineRule="auto"/>
        <w:ind w:firstLine="3721" w:firstLineChars="1772"/>
        <w:rPr>
          <w:rFonts w:ascii="宋体" w:hAnsi="宋体" w:eastAsia="宋体"/>
          <w:kern w:val="0"/>
          <w:szCs w:val="21"/>
          <w:highlight w:val="none"/>
        </w:rPr>
      </w:pPr>
      <w:r>
        <w:rPr>
          <w:rFonts w:hint="eastAsia" w:ascii="宋体" w:hAnsi="宋体" w:eastAsia="宋体"/>
          <w:kern w:val="0"/>
          <w:szCs w:val="21"/>
          <w:highlight w:val="none"/>
        </w:rPr>
        <w:t>法定代表人（单位负责人）签字：</w:t>
      </w:r>
    </w:p>
    <w:p w14:paraId="4D7C25B2">
      <w:pPr>
        <w:ind w:firstLine="420" w:firstLineChars="200"/>
        <w:jc w:val="right"/>
        <w:rPr>
          <w:rFonts w:ascii="Times New Roman" w:hAnsi="Times New Roman" w:eastAsia="宋体" w:cs="Times New Roman"/>
          <w:szCs w:val="24"/>
          <w:highlight w:val="none"/>
        </w:rPr>
      </w:pPr>
      <w:r>
        <w:rPr>
          <w:rFonts w:hint="eastAsia" w:ascii="宋体" w:hAnsi="宋体" w:eastAsia="宋体"/>
          <w:kern w:val="0"/>
          <w:szCs w:val="21"/>
          <w:highlight w:val="none"/>
        </w:rPr>
        <w:t>年   月   日</w:t>
      </w:r>
    </w:p>
    <w:p w14:paraId="25F3B3B5">
      <w:pPr>
        <w:ind w:firstLine="420" w:firstLineChars="200"/>
        <w:rPr>
          <w:rFonts w:ascii="Times New Roman" w:hAnsi="Times New Roman" w:eastAsia="宋体" w:cs="Times New Roman"/>
          <w:szCs w:val="24"/>
          <w:highlight w:val="none"/>
        </w:rPr>
      </w:pPr>
    </w:p>
    <w:p w14:paraId="2D28E3E5">
      <w:pPr>
        <w:ind w:firstLine="420" w:firstLineChars="200"/>
        <w:rPr>
          <w:rFonts w:ascii="Times New Roman" w:hAnsi="Times New Roman" w:eastAsia="宋体" w:cs="Times New Roman"/>
          <w:szCs w:val="24"/>
          <w:highlight w:val="none"/>
        </w:rPr>
      </w:pPr>
    </w:p>
    <w:p w14:paraId="2C7A4F12">
      <w:pPr>
        <w:ind w:firstLine="420" w:firstLineChars="200"/>
        <w:rPr>
          <w:rFonts w:ascii="Times New Roman" w:hAnsi="Times New Roman" w:eastAsia="宋体" w:cs="Times New Roman"/>
          <w:szCs w:val="24"/>
          <w:highlight w:val="none"/>
        </w:rPr>
      </w:pPr>
    </w:p>
    <w:p w14:paraId="4E8D437E">
      <w:pPr>
        <w:ind w:firstLine="420" w:firstLineChars="200"/>
        <w:rPr>
          <w:rFonts w:ascii="Times New Roman" w:hAnsi="Times New Roman" w:eastAsia="宋体" w:cs="Times New Roman"/>
          <w:szCs w:val="24"/>
          <w:highlight w:val="none"/>
        </w:rPr>
      </w:pPr>
    </w:p>
    <w:p w14:paraId="05B65832">
      <w:pPr>
        <w:ind w:firstLine="420" w:firstLineChars="200"/>
        <w:rPr>
          <w:rFonts w:ascii="Times New Roman" w:hAnsi="Times New Roman" w:eastAsia="宋体" w:cs="Times New Roman"/>
          <w:szCs w:val="24"/>
          <w:highlight w:val="none"/>
        </w:rPr>
      </w:pPr>
    </w:p>
    <w:p w14:paraId="3DBEF3B0">
      <w:pPr>
        <w:ind w:firstLine="420" w:firstLineChars="200"/>
        <w:rPr>
          <w:rFonts w:ascii="Times New Roman" w:hAnsi="Times New Roman" w:eastAsia="宋体" w:cs="Times New Roman"/>
          <w:szCs w:val="24"/>
          <w:highlight w:val="none"/>
        </w:rPr>
      </w:pPr>
    </w:p>
    <w:p w14:paraId="1F1A6EB3">
      <w:pPr>
        <w:ind w:firstLine="420" w:firstLineChars="200"/>
        <w:rPr>
          <w:rFonts w:ascii="Times New Roman" w:hAnsi="Times New Roman" w:eastAsia="宋体" w:cs="Times New Roman"/>
          <w:szCs w:val="24"/>
          <w:highlight w:val="none"/>
        </w:rPr>
      </w:pPr>
    </w:p>
    <w:p w14:paraId="1DEA794C">
      <w:pPr>
        <w:ind w:firstLine="420" w:firstLineChars="200"/>
        <w:rPr>
          <w:rFonts w:ascii="Times New Roman" w:hAnsi="Times New Roman" w:eastAsia="宋体" w:cs="Times New Roman"/>
          <w:szCs w:val="24"/>
          <w:highlight w:val="none"/>
        </w:rPr>
      </w:pPr>
    </w:p>
    <w:p w14:paraId="2105D1E2">
      <w:pPr>
        <w:ind w:firstLine="420" w:firstLineChars="200"/>
        <w:rPr>
          <w:rFonts w:ascii="Times New Roman" w:hAnsi="Times New Roman" w:eastAsia="宋体" w:cs="Times New Roman"/>
          <w:szCs w:val="24"/>
          <w:highlight w:val="none"/>
        </w:rPr>
      </w:pPr>
    </w:p>
    <w:p w14:paraId="76B08886">
      <w:pPr>
        <w:ind w:firstLine="420" w:firstLineChars="200"/>
        <w:rPr>
          <w:rFonts w:ascii="Times New Roman" w:hAnsi="Times New Roman" w:eastAsia="宋体" w:cs="Times New Roman"/>
          <w:szCs w:val="24"/>
          <w:highlight w:val="none"/>
        </w:rPr>
      </w:pPr>
    </w:p>
    <w:p w14:paraId="0AC7C67C">
      <w:pPr>
        <w:ind w:firstLine="420" w:firstLineChars="200"/>
        <w:rPr>
          <w:rFonts w:ascii="Times New Roman" w:hAnsi="Times New Roman" w:eastAsia="宋体" w:cs="Times New Roman"/>
          <w:szCs w:val="24"/>
          <w:highlight w:val="none"/>
        </w:rPr>
      </w:pPr>
    </w:p>
    <w:p w14:paraId="2C1B5E1D">
      <w:pPr>
        <w:ind w:firstLine="420" w:firstLineChars="200"/>
        <w:rPr>
          <w:rFonts w:ascii="Times New Roman" w:hAnsi="Times New Roman" w:eastAsia="宋体" w:cs="Times New Roman"/>
          <w:szCs w:val="24"/>
          <w:highlight w:val="none"/>
        </w:rPr>
      </w:pPr>
    </w:p>
    <w:p w14:paraId="5FA806D8">
      <w:pPr>
        <w:ind w:firstLine="420" w:firstLineChars="200"/>
        <w:rPr>
          <w:rFonts w:ascii="Times New Roman" w:hAnsi="Times New Roman" w:eastAsia="宋体" w:cs="Times New Roman"/>
          <w:szCs w:val="24"/>
          <w:highlight w:val="none"/>
        </w:rPr>
      </w:pPr>
    </w:p>
    <w:p w14:paraId="2D0B07C8">
      <w:pPr>
        <w:ind w:firstLine="420" w:firstLineChars="200"/>
        <w:rPr>
          <w:rFonts w:ascii="Times New Roman" w:hAnsi="Times New Roman" w:eastAsia="宋体" w:cs="Times New Roman"/>
          <w:szCs w:val="24"/>
          <w:highlight w:val="none"/>
        </w:rPr>
      </w:pPr>
    </w:p>
    <w:p w14:paraId="2DFBC190">
      <w:pPr>
        <w:ind w:firstLine="420" w:firstLineChars="200"/>
        <w:rPr>
          <w:rFonts w:ascii="Times New Roman" w:hAnsi="Times New Roman" w:eastAsia="宋体" w:cs="Times New Roman"/>
          <w:szCs w:val="24"/>
          <w:highlight w:val="none"/>
        </w:rPr>
      </w:pPr>
    </w:p>
    <w:p w14:paraId="572BE7EC">
      <w:pPr>
        <w:widowControl/>
        <w:jc w:val="left"/>
        <w:rPr>
          <w:rFonts w:ascii="宋体" w:hAnsi="宋体" w:eastAsia="宋体"/>
          <w:kern w:val="0"/>
          <w:sz w:val="24"/>
          <w:szCs w:val="24"/>
          <w:highlight w:val="none"/>
        </w:rPr>
      </w:pPr>
      <w:r>
        <w:rPr>
          <w:rFonts w:hint="eastAsia" w:ascii="黑体" w:hAnsi="黑体" w:eastAsia="黑体"/>
          <w:color w:val="000000"/>
          <w:kern w:val="0"/>
          <w:sz w:val="28"/>
          <w:szCs w:val="28"/>
          <w:highlight w:val="none"/>
        </w:rPr>
        <w:t xml:space="preserve">（三）制造商授权书 </w:t>
      </w:r>
    </w:p>
    <w:p w14:paraId="641828DF">
      <w:pPr>
        <w:widowControl/>
        <w:jc w:val="center"/>
        <w:rPr>
          <w:rFonts w:ascii="宋体" w:hAnsi="宋体" w:eastAsia="宋体"/>
          <w:kern w:val="0"/>
          <w:sz w:val="24"/>
          <w:szCs w:val="24"/>
          <w:highlight w:val="none"/>
        </w:rPr>
      </w:pPr>
      <w:r>
        <w:rPr>
          <w:rFonts w:hint="eastAsia" w:ascii="黑体" w:hAnsi="黑体" w:eastAsia="黑体"/>
          <w:color w:val="000000"/>
          <w:kern w:val="0"/>
          <w:sz w:val="28"/>
          <w:szCs w:val="28"/>
          <w:highlight w:val="none"/>
        </w:rPr>
        <w:t>制造商授权书</w:t>
      </w:r>
    </w:p>
    <w:p w14:paraId="6233C91C">
      <w:pPr>
        <w:widowControl/>
        <w:jc w:val="left"/>
        <w:rPr>
          <w:rFonts w:ascii="宋体" w:hAnsi="宋体" w:eastAsia="宋体"/>
          <w:kern w:val="0"/>
          <w:sz w:val="24"/>
          <w:szCs w:val="24"/>
          <w:highlight w:val="none"/>
          <w:u w:val="single"/>
        </w:rPr>
      </w:pPr>
      <w:r>
        <w:rPr>
          <w:rFonts w:hint="eastAsia" w:ascii="宋体" w:hAnsi="宋体" w:eastAsia="宋体"/>
          <w:color w:val="000000"/>
          <w:kern w:val="0"/>
          <w:szCs w:val="21"/>
          <w:highlight w:val="none"/>
        </w:rPr>
        <w:t>致：</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 xml:space="preserve">（招标人） </w:t>
      </w:r>
    </w:p>
    <w:p w14:paraId="48D98388">
      <w:pPr>
        <w:widowControl/>
        <w:ind w:firstLine="420" w:firstLineChars="200"/>
        <w:jc w:val="left"/>
        <w:rPr>
          <w:rFonts w:ascii="宋体" w:hAnsi="宋体" w:eastAsia="宋体"/>
          <w:kern w:val="0"/>
          <w:sz w:val="24"/>
          <w:szCs w:val="24"/>
          <w:highlight w:val="none"/>
        </w:rPr>
      </w:pPr>
      <w:r>
        <w:rPr>
          <w:rFonts w:hint="eastAsia" w:ascii="宋体" w:hAnsi="宋体" w:eastAsia="宋体"/>
          <w:color w:val="000000"/>
          <w:kern w:val="0"/>
          <w:szCs w:val="21"/>
          <w:highlight w:val="none"/>
        </w:rPr>
        <w:t>我单位</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（制造商名称）</w:t>
      </w:r>
      <w:r>
        <w:rPr>
          <w:rFonts w:hint="eastAsia" w:ascii="宋体" w:hAnsi="宋体" w:eastAsia="宋体"/>
          <w:color w:val="000000"/>
          <w:kern w:val="0"/>
          <w:szCs w:val="21"/>
          <w:highlight w:val="none"/>
        </w:rPr>
        <w:t>是按</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（国家／地区名称）</w:t>
      </w:r>
      <w:r>
        <w:rPr>
          <w:rFonts w:hint="eastAsia" w:ascii="宋体" w:hAnsi="宋体" w:eastAsia="宋体"/>
          <w:color w:val="000000"/>
          <w:kern w:val="0"/>
          <w:szCs w:val="21"/>
          <w:highlight w:val="none"/>
        </w:rPr>
        <w:t>法律成立的一家制造商，主要营业地点设在</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（制造商地址）</w:t>
      </w:r>
      <w:r>
        <w:rPr>
          <w:rFonts w:hint="eastAsia" w:ascii="宋体" w:hAnsi="宋体" w:eastAsia="宋体"/>
          <w:color w:val="000000"/>
          <w:kern w:val="0"/>
          <w:szCs w:val="21"/>
          <w:highlight w:val="none"/>
        </w:rPr>
        <w:t>。兹授权按</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（国家／地区名称）</w:t>
      </w:r>
      <w:r>
        <w:rPr>
          <w:rFonts w:hint="eastAsia" w:ascii="宋体" w:hAnsi="宋体" w:eastAsia="宋体"/>
          <w:color w:val="000000"/>
          <w:kern w:val="0"/>
          <w:szCs w:val="21"/>
          <w:highlight w:val="none"/>
        </w:rPr>
        <w:t>的法律正式成立的，主要营业地点设在</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（投标人的单位地址）</w:t>
      </w:r>
      <w:r>
        <w:rPr>
          <w:rFonts w:hint="eastAsia" w:ascii="宋体" w:hAnsi="宋体" w:eastAsia="宋体"/>
          <w:color w:val="000000"/>
          <w:kern w:val="0"/>
          <w:szCs w:val="21"/>
          <w:highlight w:val="none"/>
        </w:rPr>
        <w:t>的</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（投标人名称）</w:t>
      </w:r>
      <w:r>
        <w:rPr>
          <w:rFonts w:hint="eastAsia" w:ascii="宋体" w:hAnsi="宋体" w:eastAsia="宋体"/>
          <w:color w:val="000000"/>
          <w:kern w:val="0"/>
          <w:szCs w:val="21"/>
          <w:highlight w:val="none"/>
        </w:rPr>
        <w:t>以我单位制造的</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（设备名称）</w:t>
      </w:r>
      <w:r>
        <w:rPr>
          <w:rFonts w:hint="eastAsia" w:ascii="宋体" w:hAnsi="宋体" w:eastAsia="宋体"/>
          <w:color w:val="000000"/>
          <w:kern w:val="0"/>
          <w:szCs w:val="21"/>
          <w:highlight w:val="none"/>
        </w:rPr>
        <w:t>进行</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u w:val="single"/>
        </w:rPr>
        <w:t>（项目名称）</w:t>
      </w:r>
      <w:r>
        <w:rPr>
          <w:rFonts w:hint="eastAsia" w:ascii="宋体" w:hAnsi="宋体" w:eastAsia="宋体"/>
          <w:color w:val="000000"/>
          <w:kern w:val="0"/>
          <w:szCs w:val="21"/>
          <w:highlight w:val="none"/>
        </w:rPr>
        <w:t xml:space="preserve">投标活动。我单位同意按照中标合同供货，并对产品质量承担责任。 </w:t>
      </w:r>
    </w:p>
    <w:p w14:paraId="6DB73691">
      <w:pPr>
        <w:widowControl/>
        <w:jc w:val="left"/>
        <w:rPr>
          <w:rFonts w:ascii="宋体" w:hAnsi="宋体" w:eastAsia="宋体"/>
          <w:color w:val="000000"/>
          <w:kern w:val="0"/>
          <w:szCs w:val="21"/>
          <w:highlight w:val="none"/>
        </w:rPr>
      </w:pPr>
      <w:r>
        <w:rPr>
          <w:rFonts w:hint="eastAsia" w:ascii="宋体" w:hAnsi="宋体" w:eastAsia="宋体"/>
          <w:color w:val="000000"/>
          <w:kern w:val="0"/>
          <w:szCs w:val="21"/>
          <w:highlight w:val="none"/>
        </w:rPr>
        <w:t>授权期限：</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rPr>
        <w:t xml:space="preserve">。 </w:t>
      </w:r>
    </w:p>
    <w:p w14:paraId="0ACB0087">
      <w:pPr>
        <w:ind w:firstLine="420" w:firstLineChars="200"/>
        <w:rPr>
          <w:rFonts w:ascii="Times New Roman" w:hAnsi="Times New Roman" w:eastAsia="宋体" w:cs="Times New Roman"/>
          <w:szCs w:val="24"/>
          <w:highlight w:val="none"/>
        </w:rPr>
      </w:pPr>
    </w:p>
    <w:p w14:paraId="3C5C354F">
      <w:pPr>
        <w:ind w:firstLine="420" w:firstLineChars="200"/>
        <w:rPr>
          <w:rFonts w:ascii="Times New Roman" w:hAnsi="Times New Roman" w:eastAsia="宋体" w:cs="Times New Roman"/>
          <w:szCs w:val="24"/>
          <w:highlight w:val="none"/>
        </w:rPr>
      </w:pPr>
    </w:p>
    <w:p w14:paraId="38FDC580">
      <w:pPr>
        <w:widowControl/>
        <w:jc w:val="left"/>
        <w:rPr>
          <w:rFonts w:ascii="宋体" w:hAnsi="宋体" w:eastAsia="宋体"/>
          <w:kern w:val="0"/>
          <w:sz w:val="24"/>
          <w:szCs w:val="24"/>
          <w:highlight w:val="none"/>
        </w:rPr>
      </w:pPr>
      <w:r>
        <w:rPr>
          <w:rFonts w:hint="eastAsia" w:ascii="宋体" w:hAnsi="宋体" w:eastAsia="宋体"/>
          <w:color w:val="000000"/>
          <w:kern w:val="0"/>
          <w:szCs w:val="21"/>
          <w:highlight w:val="none"/>
        </w:rPr>
        <w:t>投标人名称：</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rPr>
        <w:t>（盖单位章）</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rPr>
        <w:t>制造商名称：</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olor w:val="000000"/>
          <w:kern w:val="0"/>
          <w:szCs w:val="21"/>
          <w:highlight w:val="none"/>
        </w:rPr>
        <w:t xml:space="preserve">单位章） </w:t>
      </w:r>
    </w:p>
    <w:p w14:paraId="4E23DEAE">
      <w:pPr>
        <w:widowControl/>
        <w:jc w:val="left"/>
        <w:rPr>
          <w:rFonts w:ascii="宋体" w:hAnsi="宋体" w:eastAsia="宋体"/>
          <w:kern w:val="0"/>
          <w:sz w:val="24"/>
          <w:szCs w:val="24"/>
          <w:highlight w:val="none"/>
        </w:rPr>
      </w:pPr>
      <w:r>
        <w:rPr>
          <w:rFonts w:hint="eastAsia" w:ascii="宋体" w:hAnsi="宋体" w:eastAsia="宋体"/>
          <w:color w:val="000000"/>
          <w:kern w:val="0"/>
          <w:szCs w:val="21"/>
          <w:highlight w:val="none"/>
        </w:rPr>
        <w:t>签字人职务：</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rPr>
        <w:t>签字人职务：</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14:paraId="6D33FBC4">
      <w:pPr>
        <w:widowControl/>
        <w:jc w:val="left"/>
        <w:rPr>
          <w:rFonts w:ascii="宋体" w:hAnsi="宋体" w:eastAsia="宋体"/>
          <w:kern w:val="0"/>
          <w:sz w:val="24"/>
          <w:szCs w:val="24"/>
          <w:highlight w:val="none"/>
        </w:rPr>
      </w:pPr>
      <w:r>
        <w:rPr>
          <w:rFonts w:hint="eastAsia" w:ascii="宋体" w:hAnsi="宋体" w:eastAsia="宋体"/>
          <w:color w:val="000000"/>
          <w:kern w:val="0"/>
          <w:szCs w:val="21"/>
          <w:highlight w:val="none"/>
        </w:rPr>
        <w:t>签字人姓名：</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rPr>
        <w:t>签字人姓名：</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14:paraId="7B658DAB">
      <w:pPr>
        <w:spacing w:line="360" w:lineRule="auto"/>
        <w:jc w:val="left"/>
        <w:rPr>
          <w:rFonts w:ascii="宋体" w:hAnsi="宋体" w:eastAsia="宋体"/>
          <w:b/>
          <w:bCs/>
          <w:sz w:val="32"/>
          <w:szCs w:val="32"/>
          <w:highlight w:val="none"/>
        </w:rPr>
      </w:pPr>
      <w:r>
        <w:rPr>
          <w:rFonts w:hint="eastAsia" w:ascii="宋体" w:hAnsi="宋体" w:eastAsia="宋体"/>
          <w:color w:val="000000"/>
          <w:kern w:val="0"/>
          <w:szCs w:val="21"/>
          <w:highlight w:val="none"/>
        </w:rPr>
        <w:t>签字人签名：</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rPr>
        <w:t>签字人签名 :</w:t>
      </w:r>
      <w:r>
        <w:rPr>
          <w:rFonts w:ascii="Times New Roman" w:hAnsi="Times New Roman" w:eastAsia="宋体" w:cs="Times New Roman"/>
          <w:color w:val="000000"/>
          <w:kern w:val="0"/>
          <w:szCs w:val="21"/>
          <w:highlight w:val="none"/>
        </w:rPr>
        <w:t xml:space="preserve"> </w:t>
      </w:r>
      <w:r>
        <w:rPr>
          <w:rFonts w:hint="eastAsia" w:ascii="宋体" w:hAnsi="宋体" w:eastAsia="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14:paraId="51C13003">
      <w:pPr>
        <w:spacing w:line="360" w:lineRule="auto"/>
        <w:jc w:val="left"/>
        <w:rPr>
          <w:rFonts w:ascii="宋体" w:hAnsi="宋体" w:eastAsia="宋体"/>
          <w:b/>
          <w:bCs/>
          <w:sz w:val="32"/>
          <w:szCs w:val="32"/>
          <w:highlight w:val="none"/>
        </w:rPr>
      </w:pPr>
    </w:p>
    <w:p w14:paraId="591086E0">
      <w:pPr>
        <w:spacing w:line="360" w:lineRule="auto"/>
        <w:jc w:val="center"/>
        <w:rPr>
          <w:rFonts w:ascii="宋体" w:hAnsi="宋体" w:eastAsia="宋体"/>
          <w:kern w:val="0"/>
          <w:sz w:val="32"/>
          <w:szCs w:val="20"/>
          <w:highlight w:val="none"/>
        </w:rPr>
      </w:pPr>
      <w:r>
        <w:rPr>
          <w:rFonts w:hint="eastAsia" w:ascii="宋体" w:hAnsi="宋体" w:eastAsia="宋体"/>
          <w:b/>
          <w:bCs/>
          <w:sz w:val="32"/>
          <w:szCs w:val="32"/>
          <w:highlight w:val="none"/>
        </w:rPr>
        <w:br w:type="page"/>
      </w:r>
      <w:bookmarkStart w:id="178" w:name="_Toc520184751"/>
      <w:bookmarkStart w:id="179" w:name="_Toc26682"/>
      <w:bookmarkStart w:id="180" w:name="_Toc7454680"/>
      <w:r>
        <w:rPr>
          <w:rFonts w:hint="eastAsia" w:ascii="宋体" w:hAnsi="宋体" w:eastAsia="宋体"/>
          <w:kern w:val="0"/>
          <w:sz w:val="32"/>
          <w:szCs w:val="20"/>
          <w:highlight w:val="none"/>
        </w:rPr>
        <w:t>八、近年财务状况表</w:t>
      </w:r>
    </w:p>
    <w:bookmarkEnd w:id="178"/>
    <w:bookmarkEnd w:id="179"/>
    <w:bookmarkEnd w:id="180"/>
    <w:p w14:paraId="778AB5C4">
      <w:pPr>
        <w:spacing w:line="400" w:lineRule="exact"/>
        <w:jc w:val="left"/>
        <w:rPr>
          <w:rFonts w:ascii="宋体" w:hAnsi="宋体" w:eastAsia="宋体"/>
          <w:kern w:val="0"/>
          <w:sz w:val="32"/>
          <w:szCs w:val="20"/>
          <w:highlight w:val="none"/>
        </w:rPr>
      </w:pPr>
      <w:bookmarkStart w:id="181" w:name="_Toc520184752"/>
      <w:r>
        <w:rPr>
          <w:rFonts w:hint="eastAsia" w:ascii="宋体" w:hAnsi="宋体" w:eastAsia="宋体"/>
          <w:b/>
          <w:bCs/>
          <w:sz w:val="32"/>
          <w:szCs w:val="32"/>
          <w:highlight w:val="none"/>
        </w:rPr>
        <w:br w:type="page"/>
      </w:r>
      <w:bookmarkStart w:id="182" w:name="_Toc6823"/>
      <w:bookmarkStart w:id="183" w:name="_Toc7454681"/>
      <w:r>
        <w:rPr>
          <w:rFonts w:hint="eastAsia" w:ascii="宋体" w:hAnsi="宋体" w:eastAsia="宋体"/>
          <w:kern w:val="0"/>
          <w:sz w:val="32"/>
          <w:szCs w:val="20"/>
          <w:highlight w:val="none"/>
        </w:rPr>
        <w:t>九、供货业绩情况表</w:t>
      </w:r>
      <w:bookmarkEnd w:id="181"/>
      <w:bookmarkEnd w:id="182"/>
      <w:bookmarkEnd w:id="183"/>
    </w:p>
    <w:p w14:paraId="516D5B4A">
      <w:pPr>
        <w:spacing w:line="360" w:lineRule="auto"/>
        <w:jc w:val="center"/>
        <w:rPr>
          <w:rFonts w:ascii="宋体" w:hAnsi="宋体" w:eastAsia="宋体"/>
          <w:sz w:val="24"/>
          <w:szCs w:val="24"/>
          <w:highlight w:val="none"/>
        </w:rPr>
      </w:pPr>
      <w:r>
        <w:rPr>
          <w:rFonts w:hint="eastAsia" w:ascii="宋体" w:hAnsi="宋体" w:eastAsia="宋体"/>
          <w:sz w:val="24"/>
          <w:szCs w:val="24"/>
          <w:highlight w:val="none"/>
        </w:rPr>
        <w:t>供货业绩情况表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6782"/>
      </w:tblGrid>
      <w:tr w14:paraId="5238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248D0CFB">
            <w:pPr>
              <w:topLinePunct/>
              <w:jc w:val="center"/>
              <w:rPr>
                <w:rFonts w:ascii="宋体" w:hAnsi="宋体" w:eastAsia="宋体"/>
                <w:szCs w:val="24"/>
                <w:highlight w:val="none"/>
              </w:rPr>
            </w:pPr>
            <w:r>
              <w:rPr>
                <w:rFonts w:hint="eastAsia" w:ascii="宋体" w:hAnsi="宋体" w:eastAsia="宋体"/>
                <w:szCs w:val="24"/>
                <w:highlight w:val="none"/>
              </w:rPr>
              <w:t>设备名称</w:t>
            </w:r>
          </w:p>
        </w:tc>
        <w:tc>
          <w:tcPr>
            <w:tcW w:w="6782" w:type="dxa"/>
            <w:tcBorders>
              <w:top w:val="single" w:color="auto" w:sz="4" w:space="0"/>
              <w:left w:val="single" w:color="auto" w:sz="4" w:space="0"/>
              <w:bottom w:val="single" w:color="auto" w:sz="4" w:space="0"/>
              <w:right w:val="single" w:color="auto" w:sz="4" w:space="0"/>
            </w:tcBorders>
            <w:vAlign w:val="center"/>
          </w:tcPr>
          <w:p w14:paraId="34282C7D">
            <w:pPr>
              <w:topLinePunct/>
              <w:rPr>
                <w:rFonts w:ascii="宋体" w:hAnsi="宋体" w:eastAsia="宋体"/>
                <w:szCs w:val="24"/>
                <w:highlight w:val="none"/>
              </w:rPr>
            </w:pPr>
          </w:p>
        </w:tc>
      </w:tr>
      <w:tr w14:paraId="6C81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26AF89A1">
            <w:pPr>
              <w:jc w:val="center"/>
              <w:rPr>
                <w:rFonts w:ascii="宋体" w:hAnsi="宋体" w:eastAsia="宋体"/>
                <w:highlight w:val="none"/>
              </w:rPr>
            </w:pPr>
            <w:r>
              <w:rPr>
                <w:rFonts w:hint="eastAsia" w:ascii="宋体" w:hAnsi="宋体" w:eastAsia="宋体"/>
                <w:highlight w:val="none"/>
              </w:rPr>
              <w:t>规格和型号</w:t>
            </w:r>
          </w:p>
        </w:tc>
        <w:tc>
          <w:tcPr>
            <w:tcW w:w="6782" w:type="dxa"/>
            <w:tcBorders>
              <w:top w:val="single" w:color="auto" w:sz="4" w:space="0"/>
              <w:left w:val="single" w:color="auto" w:sz="4" w:space="0"/>
              <w:bottom w:val="single" w:color="auto" w:sz="4" w:space="0"/>
              <w:right w:val="single" w:color="auto" w:sz="4" w:space="0"/>
            </w:tcBorders>
            <w:vAlign w:val="center"/>
          </w:tcPr>
          <w:p w14:paraId="160BB81C">
            <w:pPr>
              <w:topLinePunct/>
              <w:rPr>
                <w:rFonts w:ascii="宋体" w:hAnsi="宋体" w:eastAsia="宋体"/>
                <w:szCs w:val="24"/>
                <w:highlight w:val="none"/>
              </w:rPr>
            </w:pPr>
          </w:p>
        </w:tc>
      </w:tr>
      <w:tr w14:paraId="2BC7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645BBC1B">
            <w:pPr>
              <w:jc w:val="center"/>
              <w:rPr>
                <w:rFonts w:ascii="宋体" w:hAnsi="宋体" w:eastAsia="宋体"/>
                <w:highlight w:val="none"/>
              </w:rPr>
            </w:pPr>
            <w:r>
              <w:rPr>
                <w:rFonts w:hint="eastAsia" w:ascii="宋体" w:hAnsi="宋体" w:eastAsia="宋体"/>
                <w:highlight w:val="none"/>
              </w:rPr>
              <w:t>项目名称</w:t>
            </w:r>
          </w:p>
        </w:tc>
        <w:tc>
          <w:tcPr>
            <w:tcW w:w="6782" w:type="dxa"/>
            <w:tcBorders>
              <w:top w:val="single" w:color="auto" w:sz="4" w:space="0"/>
              <w:left w:val="single" w:color="auto" w:sz="4" w:space="0"/>
              <w:bottom w:val="single" w:color="auto" w:sz="4" w:space="0"/>
              <w:right w:val="single" w:color="auto" w:sz="4" w:space="0"/>
            </w:tcBorders>
            <w:vAlign w:val="center"/>
          </w:tcPr>
          <w:p w14:paraId="761AE2B2">
            <w:pPr>
              <w:topLinePunct/>
              <w:rPr>
                <w:rFonts w:ascii="宋体" w:hAnsi="宋体" w:eastAsia="宋体"/>
                <w:szCs w:val="24"/>
                <w:highlight w:val="none"/>
              </w:rPr>
            </w:pPr>
          </w:p>
        </w:tc>
      </w:tr>
      <w:tr w14:paraId="5481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26CA6A67">
            <w:pPr>
              <w:jc w:val="center"/>
              <w:rPr>
                <w:rFonts w:ascii="宋体" w:hAnsi="宋体" w:eastAsia="宋体"/>
                <w:highlight w:val="none"/>
              </w:rPr>
            </w:pPr>
            <w:r>
              <w:rPr>
                <w:rFonts w:hint="eastAsia" w:ascii="宋体" w:hAnsi="宋体" w:eastAsia="宋体"/>
                <w:highlight w:val="none"/>
              </w:rPr>
              <w:t>买方名称</w:t>
            </w:r>
          </w:p>
        </w:tc>
        <w:tc>
          <w:tcPr>
            <w:tcW w:w="6782" w:type="dxa"/>
            <w:tcBorders>
              <w:top w:val="single" w:color="auto" w:sz="4" w:space="0"/>
              <w:left w:val="single" w:color="auto" w:sz="4" w:space="0"/>
              <w:bottom w:val="single" w:color="auto" w:sz="4" w:space="0"/>
              <w:right w:val="single" w:color="auto" w:sz="4" w:space="0"/>
            </w:tcBorders>
            <w:vAlign w:val="center"/>
          </w:tcPr>
          <w:p w14:paraId="602A7912">
            <w:pPr>
              <w:topLinePunct/>
              <w:rPr>
                <w:rFonts w:ascii="宋体" w:hAnsi="宋体" w:eastAsia="宋体"/>
                <w:szCs w:val="24"/>
                <w:highlight w:val="none"/>
              </w:rPr>
            </w:pPr>
          </w:p>
        </w:tc>
      </w:tr>
      <w:tr w14:paraId="2DFD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1487B926">
            <w:pPr>
              <w:jc w:val="center"/>
              <w:rPr>
                <w:rFonts w:ascii="宋体" w:hAnsi="宋体" w:eastAsia="宋体"/>
                <w:highlight w:val="none"/>
              </w:rPr>
            </w:pPr>
            <w:r>
              <w:rPr>
                <w:rFonts w:hint="eastAsia" w:ascii="宋体" w:hAnsi="宋体" w:eastAsia="宋体"/>
                <w:highlight w:val="none"/>
              </w:rPr>
              <w:t>买方联系人及电话</w:t>
            </w:r>
          </w:p>
        </w:tc>
        <w:tc>
          <w:tcPr>
            <w:tcW w:w="6782" w:type="dxa"/>
            <w:tcBorders>
              <w:top w:val="single" w:color="auto" w:sz="4" w:space="0"/>
              <w:left w:val="single" w:color="auto" w:sz="4" w:space="0"/>
              <w:bottom w:val="single" w:color="auto" w:sz="4" w:space="0"/>
              <w:right w:val="single" w:color="auto" w:sz="4" w:space="0"/>
            </w:tcBorders>
            <w:vAlign w:val="center"/>
          </w:tcPr>
          <w:p w14:paraId="68C82BF6">
            <w:pPr>
              <w:topLinePunct/>
              <w:rPr>
                <w:rFonts w:ascii="宋体" w:hAnsi="宋体" w:eastAsia="宋体"/>
                <w:szCs w:val="24"/>
                <w:highlight w:val="none"/>
              </w:rPr>
            </w:pPr>
          </w:p>
        </w:tc>
      </w:tr>
      <w:tr w14:paraId="5B06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520D4ADE">
            <w:pPr>
              <w:jc w:val="center"/>
              <w:rPr>
                <w:rFonts w:ascii="宋体" w:hAnsi="宋体" w:eastAsia="宋体"/>
                <w:highlight w:val="none"/>
              </w:rPr>
            </w:pPr>
            <w:r>
              <w:rPr>
                <w:rFonts w:hint="eastAsia" w:ascii="宋体" w:hAnsi="宋体" w:eastAsia="宋体"/>
                <w:highlight w:val="none"/>
              </w:rPr>
              <w:t>合同价格</w:t>
            </w:r>
          </w:p>
        </w:tc>
        <w:tc>
          <w:tcPr>
            <w:tcW w:w="6782" w:type="dxa"/>
            <w:tcBorders>
              <w:top w:val="single" w:color="auto" w:sz="4" w:space="0"/>
              <w:left w:val="single" w:color="auto" w:sz="4" w:space="0"/>
              <w:bottom w:val="single" w:color="auto" w:sz="4" w:space="0"/>
              <w:right w:val="single" w:color="auto" w:sz="4" w:space="0"/>
            </w:tcBorders>
            <w:vAlign w:val="center"/>
          </w:tcPr>
          <w:p w14:paraId="74D1D6D7">
            <w:pPr>
              <w:topLinePunct/>
              <w:rPr>
                <w:rFonts w:ascii="宋体" w:hAnsi="宋体" w:eastAsia="宋体"/>
                <w:szCs w:val="24"/>
                <w:highlight w:val="none"/>
              </w:rPr>
            </w:pPr>
          </w:p>
        </w:tc>
      </w:tr>
      <w:tr w14:paraId="351B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225A51EC">
            <w:pPr>
              <w:topLinePunct/>
              <w:jc w:val="center"/>
              <w:rPr>
                <w:rFonts w:ascii="宋体" w:hAnsi="宋体" w:eastAsia="宋体"/>
                <w:szCs w:val="24"/>
                <w:highlight w:val="none"/>
              </w:rPr>
            </w:pPr>
            <w:r>
              <w:rPr>
                <w:rFonts w:hint="eastAsia" w:ascii="宋体" w:hAnsi="宋体" w:eastAsia="宋体"/>
                <w:szCs w:val="24"/>
                <w:highlight w:val="none"/>
              </w:rPr>
              <w:t>项目概况及投标人履</w:t>
            </w:r>
          </w:p>
          <w:p w14:paraId="10CC8F6C">
            <w:pPr>
              <w:topLinePunct/>
              <w:jc w:val="center"/>
              <w:rPr>
                <w:rFonts w:ascii="宋体" w:hAnsi="宋体" w:eastAsia="宋体"/>
                <w:szCs w:val="24"/>
                <w:highlight w:val="none"/>
              </w:rPr>
            </w:pPr>
            <w:r>
              <w:rPr>
                <w:rFonts w:hint="eastAsia" w:ascii="宋体" w:hAnsi="宋体" w:eastAsia="宋体"/>
                <w:szCs w:val="24"/>
                <w:highlight w:val="none"/>
              </w:rPr>
              <w:t>约情况</w:t>
            </w:r>
          </w:p>
        </w:tc>
        <w:tc>
          <w:tcPr>
            <w:tcW w:w="6782" w:type="dxa"/>
            <w:tcBorders>
              <w:top w:val="single" w:color="auto" w:sz="4" w:space="0"/>
              <w:left w:val="single" w:color="auto" w:sz="4" w:space="0"/>
              <w:bottom w:val="single" w:color="auto" w:sz="4" w:space="0"/>
              <w:right w:val="single" w:color="auto" w:sz="4" w:space="0"/>
            </w:tcBorders>
            <w:vAlign w:val="center"/>
          </w:tcPr>
          <w:p w14:paraId="7B626522">
            <w:pPr>
              <w:topLinePunct/>
              <w:rPr>
                <w:rFonts w:ascii="宋体" w:hAnsi="宋体" w:eastAsia="宋体"/>
                <w:szCs w:val="24"/>
                <w:highlight w:val="none"/>
              </w:rPr>
            </w:pPr>
          </w:p>
          <w:p w14:paraId="46FF8909">
            <w:pPr>
              <w:topLinePunct/>
              <w:rPr>
                <w:rFonts w:ascii="宋体" w:hAnsi="宋体" w:eastAsia="宋体"/>
                <w:szCs w:val="24"/>
                <w:highlight w:val="none"/>
              </w:rPr>
            </w:pPr>
          </w:p>
          <w:p w14:paraId="2D54C474">
            <w:pPr>
              <w:topLinePunct/>
              <w:rPr>
                <w:rFonts w:ascii="宋体" w:hAnsi="宋体" w:eastAsia="宋体"/>
                <w:szCs w:val="24"/>
                <w:highlight w:val="none"/>
              </w:rPr>
            </w:pPr>
          </w:p>
          <w:p w14:paraId="3F34EE35">
            <w:pPr>
              <w:topLinePunct/>
              <w:rPr>
                <w:rFonts w:ascii="宋体" w:hAnsi="宋体" w:eastAsia="宋体"/>
                <w:szCs w:val="24"/>
                <w:highlight w:val="none"/>
              </w:rPr>
            </w:pPr>
          </w:p>
          <w:p w14:paraId="483B2081">
            <w:pPr>
              <w:topLinePunct/>
              <w:rPr>
                <w:rFonts w:ascii="宋体" w:hAnsi="宋体" w:eastAsia="宋体"/>
                <w:szCs w:val="24"/>
                <w:highlight w:val="none"/>
              </w:rPr>
            </w:pPr>
          </w:p>
          <w:p w14:paraId="0B7A2166">
            <w:pPr>
              <w:topLinePunct/>
              <w:rPr>
                <w:rFonts w:ascii="宋体" w:hAnsi="宋体" w:eastAsia="宋体"/>
                <w:szCs w:val="24"/>
                <w:highlight w:val="none"/>
              </w:rPr>
            </w:pPr>
          </w:p>
          <w:p w14:paraId="4F2303E4">
            <w:pPr>
              <w:topLinePunct/>
              <w:rPr>
                <w:rFonts w:ascii="宋体" w:hAnsi="宋体" w:eastAsia="宋体"/>
                <w:szCs w:val="24"/>
                <w:highlight w:val="none"/>
              </w:rPr>
            </w:pPr>
          </w:p>
        </w:tc>
      </w:tr>
      <w:tr w14:paraId="24EF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14:paraId="187DBF6B">
            <w:pPr>
              <w:topLinePunct/>
              <w:jc w:val="center"/>
              <w:rPr>
                <w:rFonts w:ascii="宋体" w:hAnsi="宋体" w:eastAsia="宋体"/>
                <w:szCs w:val="24"/>
                <w:highlight w:val="none"/>
              </w:rPr>
            </w:pPr>
            <w:r>
              <w:rPr>
                <w:rFonts w:hint="eastAsia" w:ascii="宋体" w:hAnsi="宋体" w:eastAsia="宋体"/>
                <w:szCs w:val="24"/>
                <w:highlight w:val="none"/>
              </w:rPr>
              <w:t>备注</w:t>
            </w:r>
          </w:p>
        </w:tc>
        <w:tc>
          <w:tcPr>
            <w:tcW w:w="6782" w:type="dxa"/>
            <w:tcBorders>
              <w:top w:val="single" w:color="auto" w:sz="4" w:space="0"/>
              <w:left w:val="single" w:color="auto" w:sz="4" w:space="0"/>
              <w:bottom w:val="single" w:color="auto" w:sz="4" w:space="0"/>
              <w:right w:val="single" w:color="auto" w:sz="4" w:space="0"/>
            </w:tcBorders>
            <w:vAlign w:val="center"/>
          </w:tcPr>
          <w:p w14:paraId="4AA645B8">
            <w:pPr>
              <w:topLinePunct/>
              <w:rPr>
                <w:rFonts w:ascii="宋体" w:hAnsi="宋体" w:eastAsia="宋体"/>
                <w:szCs w:val="24"/>
                <w:highlight w:val="none"/>
              </w:rPr>
            </w:pPr>
          </w:p>
        </w:tc>
      </w:tr>
    </w:tbl>
    <w:p w14:paraId="437801D9">
      <w:pPr>
        <w:spacing w:line="360" w:lineRule="auto"/>
        <w:rPr>
          <w:rFonts w:ascii="宋体" w:hAnsi="宋体" w:eastAsia="宋体"/>
          <w:sz w:val="24"/>
          <w:szCs w:val="24"/>
          <w:highlight w:val="none"/>
        </w:rPr>
      </w:pPr>
      <w:r>
        <w:rPr>
          <w:rFonts w:hint="eastAsia" w:ascii="宋体" w:hAnsi="宋体" w:eastAsia="宋体"/>
          <w:sz w:val="24"/>
          <w:szCs w:val="24"/>
          <w:highlight w:val="none"/>
        </w:rPr>
        <w:t>注：投标人应根据评标办法的要求在本表后附相关证明材料。</w:t>
      </w:r>
    </w:p>
    <w:p w14:paraId="55738D0A">
      <w:pPr>
        <w:spacing w:line="400" w:lineRule="exact"/>
        <w:jc w:val="left"/>
        <w:rPr>
          <w:rFonts w:ascii="宋体" w:hAnsi="宋体" w:eastAsia="宋体"/>
          <w:kern w:val="0"/>
          <w:sz w:val="32"/>
          <w:szCs w:val="20"/>
          <w:highlight w:val="none"/>
        </w:rPr>
      </w:pPr>
      <w:bookmarkStart w:id="184" w:name="_Toc520184753"/>
      <w:r>
        <w:rPr>
          <w:rFonts w:hint="eastAsia" w:ascii="宋体" w:hAnsi="宋体" w:eastAsia="宋体"/>
          <w:b/>
          <w:bCs/>
          <w:sz w:val="32"/>
          <w:szCs w:val="32"/>
          <w:highlight w:val="none"/>
        </w:rPr>
        <w:br w:type="page"/>
      </w:r>
      <w:bookmarkEnd w:id="184"/>
      <w:bookmarkStart w:id="185" w:name="_Toc6971"/>
      <w:bookmarkStart w:id="186" w:name="_Toc7454683"/>
      <w:bookmarkStart w:id="187" w:name="_Toc520184754"/>
      <w:r>
        <w:rPr>
          <w:rFonts w:hint="eastAsia" w:ascii="宋体" w:hAnsi="宋体" w:eastAsia="宋体"/>
          <w:kern w:val="0"/>
          <w:sz w:val="32"/>
          <w:szCs w:val="20"/>
          <w:highlight w:val="none"/>
        </w:rPr>
        <w:t>十、资信证明材料（如有）</w:t>
      </w:r>
    </w:p>
    <w:p w14:paraId="45B0C223">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highlight w:val="none"/>
        </w:rPr>
        <w:t>投标人应根据评标办法的要求后附相关证明材料。</w:t>
      </w:r>
      <w:bookmarkEnd w:id="185"/>
      <w:bookmarkEnd w:id="186"/>
      <w:bookmarkEnd w:id="187"/>
    </w:p>
    <w:p w14:paraId="2A5042D1">
      <w:pPr>
        <w:spacing w:line="400" w:lineRule="exact"/>
        <w:jc w:val="left"/>
        <w:rPr>
          <w:rFonts w:ascii="宋体" w:hAnsi="宋体" w:eastAsia="宋体"/>
          <w:kern w:val="0"/>
          <w:sz w:val="32"/>
          <w:szCs w:val="20"/>
          <w:highlight w:val="none"/>
        </w:rPr>
      </w:pPr>
      <w:bookmarkStart w:id="188" w:name="_Toc520184755"/>
      <w:r>
        <w:rPr>
          <w:rFonts w:hint="eastAsia" w:ascii="宋体" w:hAnsi="宋体" w:eastAsia="宋体"/>
          <w:b/>
          <w:bCs/>
          <w:sz w:val="32"/>
          <w:szCs w:val="32"/>
          <w:highlight w:val="none"/>
        </w:rPr>
        <w:br w:type="page"/>
      </w:r>
      <w:bookmarkEnd w:id="188"/>
      <w:bookmarkStart w:id="189" w:name="_Toc520184757"/>
      <w:r>
        <w:rPr>
          <w:rFonts w:hint="eastAsia" w:ascii="宋体" w:hAnsi="宋体" w:eastAsia="宋体"/>
          <w:kern w:val="0"/>
          <w:sz w:val="32"/>
          <w:szCs w:val="20"/>
          <w:highlight w:val="none"/>
        </w:rPr>
        <w:t>十一、</w:t>
      </w:r>
      <w:bookmarkEnd w:id="189"/>
      <w:r>
        <w:rPr>
          <w:rFonts w:hint="eastAsia" w:ascii="宋体" w:hAnsi="宋体" w:eastAsia="宋体"/>
          <w:kern w:val="0"/>
          <w:sz w:val="32"/>
          <w:szCs w:val="20"/>
          <w:highlight w:val="none"/>
        </w:rPr>
        <w:t>投标设备技术性能指标的详细描述</w:t>
      </w:r>
    </w:p>
    <w:p w14:paraId="610C9B72">
      <w:pPr>
        <w:ind w:firstLine="420"/>
        <w:rPr>
          <w:rFonts w:ascii="宋体" w:hAnsi="宋体" w:eastAsia="宋体"/>
          <w:highlight w:val="none"/>
        </w:rPr>
      </w:pPr>
      <w:r>
        <w:rPr>
          <w:rFonts w:hint="eastAsia" w:ascii="宋体" w:hAnsi="宋体" w:eastAsia="宋体"/>
          <w:highlight w:val="none"/>
        </w:rPr>
        <w:t>（格式由投标人自拟）</w:t>
      </w:r>
    </w:p>
    <w:p w14:paraId="2C12F655">
      <w:pPr>
        <w:keepNext/>
        <w:keepLines/>
        <w:widowControl/>
        <w:spacing w:line="360" w:lineRule="auto"/>
        <w:jc w:val="left"/>
        <w:rPr>
          <w:rFonts w:ascii="宋体" w:hAnsi="宋体" w:eastAsia="宋体"/>
          <w:kern w:val="0"/>
          <w:sz w:val="32"/>
          <w:szCs w:val="20"/>
          <w:highlight w:val="none"/>
        </w:rPr>
      </w:pPr>
      <w:r>
        <w:rPr>
          <w:rFonts w:hint="eastAsia" w:ascii="宋体" w:hAnsi="宋体" w:eastAsia="宋体"/>
          <w:kern w:val="0"/>
          <w:sz w:val="32"/>
          <w:szCs w:val="20"/>
          <w:highlight w:val="none"/>
        </w:rPr>
        <w:br w:type="page"/>
      </w:r>
      <w:bookmarkStart w:id="190" w:name="_Toc21972"/>
      <w:bookmarkStart w:id="191" w:name="_Toc7454687"/>
      <w:r>
        <w:rPr>
          <w:rFonts w:hint="eastAsia" w:ascii="宋体" w:hAnsi="宋体" w:eastAsia="宋体"/>
          <w:kern w:val="0"/>
          <w:sz w:val="32"/>
          <w:szCs w:val="20"/>
          <w:highlight w:val="none"/>
        </w:rPr>
        <w:t>十二、技术支持资料</w:t>
      </w:r>
    </w:p>
    <w:p w14:paraId="0BF544B1">
      <w:pPr>
        <w:ind w:firstLine="420"/>
        <w:rPr>
          <w:rFonts w:ascii="宋体" w:hAnsi="宋体" w:eastAsia="宋体"/>
          <w:highlight w:val="none"/>
        </w:rPr>
      </w:pPr>
      <w:r>
        <w:rPr>
          <w:rFonts w:hint="eastAsia" w:ascii="宋体" w:hAnsi="宋体" w:eastAsia="宋体"/>
          <w:highlight w:val="none"/>
        </w:rPr>
        <w:t>（格式由投标人自拟）</w:t>
      </w:r>
    </w:p>
    <w:p w14:paraId="6DD9C26A">
      <w:pPr>
        <w:keepNext/>
        <w:keepLines/>
        <w:widowControl/>
        <w:spacing w:line="360" w:lineRule="auto"/>
        <w:jc w:val="left"/>
        <w:rPr>
          <w:rFonts w:ascii="宋体" w:hAnsi="宋体" w:eastAsia="宋体"/>
          <w:kern w:val="0"/>
          <w:sz w:val="32"/>
          <w:szCs w:val="20"/>
          <w:highlight w:val="none"/>
        </w:rPr>
      </w:pPr>
      <w:r>
        <w:rPr>
          <w:rFonts w:hint="eastAsia" w:ascii="宋体" w:hAnsi="宋体" w:eastAsia="宋体"/>
          <w:kern w:val="0"/>
          <w:sz w:val="32"/>
          <w:szCs w:val="20"/>
          <w:highlight w:val="none"/>
        </w:rPr>
        <w:br w:type="page"/>
      </w:r>
      <w:r>
        <w:rPr>
          <w:rFonts w:hint="eastAsia" w:ascii="宋体" w:hAnsi="宋体" w:eastAsia="宋体"/>
          <w:kern w:val="0"/>
          <w:sz w:val="32"/>
          <w:szCs w:val="20"/>
          <w:highlight w:val="none"/>
        </w:rPr>
        <w:t>十三、技术服务和质保期服务计划</w:t>
      </w:r>
    </w:p>
    <w:p w14:paraId="4BD914A6">
      <w:pPr>
        <w:ind w:firstLine="420"/>
        <w:rPr>
          <w:rFonts w:ascii="宋体" w:hAnsi="宋体" w:eastAsia="宋体"/>
          <w:highlight w:val="none"/>
        </w:rPr>
      </w:pPr>
      <w:r>
        <w:rPr>
          <w:rFonts w:hint="eastAsia" w:ascii="宋体" w:hAnsi="宋体" w:eastAsia="宋体"/>
          <w:highlight w:val="none"/>
        </w:rPr>
        <w:t>（格式由投标人自拟）</w:t>
      </w:r>
    </w:p>
    <w:p w14:paraId="138850DC">
      <w:pPr>
        <w:keepNext/>
        <w:keepLines/>
        <w:widowControl/>
        <w:spacing w:line="360" w:lineRule="auto"/>
        <w:jc w:val="left"/>
        <w:rPr>
          <w:rFonts w:ascii="宋体" w:hAnsi="宋体" w:eastAsia="宋体"/>
          <w:kern w:val="0"/>
          <w:sz w:val="32"/>
          <w:szCs w:val="20"/>
          <w:highlight w:val="none"/>
        </w:rPr>
      </w:pPr>
      <w:r>
        <w:rPr>
          <w:rFonts w:hint="eastAsia" w:ascii="宋体" w:hAnsi="宋体" w:eastAsia="宋体"/>
          <w:kern w:val="0"/>
          <w:sz w:val="32"/>
          <w:szCs w:val="20"/>
          <w:highlight w:val="none"/>
        </w:rPr>
        <w:br w:type="page"/>
      </w:r>
      <w:r>
        <w:rPr>
          <w:rFonts w:hint="eastAsia" w:ascii="宋体" w:hAnsi="宋体" w:eastAsia="宋体"/>
          <w:kern w:val="0"/>
          <w:sz w:val="32"/>
          <w:szCs w:val="20"/>
          <w:highlight w:val="none"/>
        </w:rPr>
        <w:t>十四、其他资料</w:t>
      </w:r>
      <w:bookmarkEnd w:id="190"/>
      <w:bookmarkEnd w:id="191"/>
    </w:p>
    <w:p w14:paraId="11775BBC">
      <w:pPr>
        <w:rPr>
          <w:rFonts w:ascii="宋体" w:hAnsi="宋体" w:eastAsia="宋体"/>
          <w:sz w:val="24"/>
          <w:szCs w:val="24"/>
          <w:highlight w:val="none"/>
        </w:rPr>
      </w:pPr>
      <w:r>
        <w:rPr>
          <w:rFonts w:hint="eastAsia" w:ascii="宋体" w:hAnsi="宋体" w:eastAsia="宋体"/>
          <w:sz w:val="24"/>
          <w:szCs w:val="24"/>
          <w:highlight w:val="none"/>
        </w:rPr>
        <w:t>投标人认为其他应该提供的材料</w:t>
      </w:r>
    </w:p>
    <w:p w14:paraId="1C568861">
      <w:pPr>
        <w:widowControl/>
        <w:spacing w:after="160" w:line="259" w:lineRule="auto"/>
        <w:jc w:val="left"/>
        <w:rPr>
          <w:rFonts w:ascii="宋体" w:hAnsi="宋体" w:eastAsia="宋体"/>
          <w:sz w:val="22"/>
          <w:highlight w:val="none"/>
        </w:rPr>
      </w:pPr>
      <w:r>
        <w:rPr>
          <w:rFonts w:hint="eastAsia" w:ascii="宋体" w:hAnsi="宋体" w:eastAsia="宋体"/>
          <w:spacing w:val="-2"/>
          <w:highlight w:val="none"/>
        </w:rPr>
        <w:t>（投</w:t>
      </w:r>
      <w:r>
        <w:rPr>
          <w:rFonts w:hint="eastAsia" w:ascii="宋体" w:hAnsi="宋体" w:eastAsia="宋体"/>
          <w:highlight w:val="none"/>
        </w:rPr>
        <w:t>标</w:t>
      </w:r>
      <w:r>
        <w:rPr>
          <w:rFonts w:hint="eastAsia" w:ascii="宋体" w:hAnsi="宋体" w:eastAsia="宋体"/>
          <w:spacing w:val="-2"/>
          <w:highlight w:val="none"/>
        </w:rPr>
        <w:t>人</w:t>
      </w:r>
      <w:r>
        <w:rPr>
          <w:rFonts w:hint="eastAsia" w:ascii="宋体" w:hAnsi="宋体" w:eastAsia="宋体"/>
          <w:highlight w:val="none"/>
        </w:rPr>
        <w:t>应</w:t>
      </w:r>
      <w:r>
        <w:rPr>
          <w:rFonts w:hint="eastAsia" w:ascii="宋体" w:hAnsi="宋体" w:eastAsia="宋体"/>
          <w:spacing w:val="-2"/>
          <w:highlight w:val="none"/>
        </w:rPr>
        <w:t>根</w:t>
      </w:r>
      <w:r>
        <w:rPr>
          <w:rFonts w:hint="eastAsia" w:ascii="宋体" w:hAnsi="宋体" w:eastAsia="宋体"/>
          <w:highlight w:val="none"/>
        </w:rPr>
        <w:t>据</w:t>
      </w:r>
      <w:r>
        <w:rPr>
          <w:rFonts w:hint="eastAsia" w:ascii="宋体" w:hAnsi="宋体" w:eastAsia="宋体"/>
          <w:spacing w:val="-2"/>
          <w:highlight w:val="none"/>
        </w:rPr>
        <w:t>评标办法的</w:t>
      </w:r>
      <w:r>
        <w:rPr>
          <w:rFonts w:hint="eastAsia" w:ascii="宋体" w:hAnsi="宋体" w:eastAsia="宋体"/>
          <w:highlight w:val="none"/>
        </w:rPr>
        <w:t>要</w:t>
      </w:r>
      <w:r>
        <w:rPr>
          <w:rFonts w:hint="eastAsia" w:ascii="宋体" w:hAnsi="宋体" w:eastAsia="宋体"/>
          <w:spacing w:val="-2"/>
          <w:highlight w:val="none"/>
        </w:rPr>
        <w:t>求</w:t>
      </w:r>
      <w:r>
        <w:rPr>
          <w:rFonts w:hint="eastAsia" w:ascii="宋体" w:hAnsi="宋体" w:eastAsia="宋体"/>
          <w:highlight w:val="none"/>
        </w:rPr>
        <w:t>附</w:t>
      </w:r>
      <w:r>
        <w:rPr>
          <w:rFonts w:hint="eastAsia" w:ascii="宋体" w:hAnsi="宋体" w:eastAsia="宋体"/>
          <w:spacing w:val="-2"/>
          <w:highlight w:val="none"/>
        </w:rPr>
        <w:t>相</w:t>
      </w:r>
      <w:r>
        <w:rPr>
          <w:rFonts w:hint="eastAsia" w:ascii="宋体" w:hAnsi="宋体" w:eastAsia="宋体"/>
          <w:highlight w:val="none"/>
        </w:rPr>
        <w:t>关</w:t>
      </w:r>
      <w:r>
        <w:rPr>
          <w:rFonts w:hint="eastAsia" w:ascii="宋体" w:hAnsi="宋体" w:eastAsia="宋体"/>
          <w:spacing w:val="-2"/>
          <w:highlight w:val="none"/>
        </w:rPr>
        <w:t>证</w:t>
      </w:r>
      <w:r>
        <w:rPr>
          <w:rFonts w:hint="eastAsia" w:ascii="宋体" w:hAnsi="宋体" w:eastAsia="宋体"/>
          <w:highlight w:val="none"/>
        </w:rPr>
        <w:t>明</w:t>
      </w:r>
      <w:r>
        <w:rPr>
          <w:rFonts w:hint="eastAsia" w:ascii="宋体" w:hAnsi="宋体" w:eastAsia="宋体"/>
          <w:spacing w:val="-2"/>
          <w:highlight w:val="none"/>
        </w:rPr>
        <w:t>材</w:t>
      </w:r>
      <w:r>
        <w:rPr>
          <w:rFonts w:hint="eastAsia" w:ascii="宋体" w:hAnsi="宋体" w:eastAsia="宋体"/>
          <w:highlight w:val="none"/>
        </w:rPr>
        <w:t>料。</w:t>
      </w:r>
      <w:r>
        <w:rPr>
          <w:rFonts w:hint="eastAsia" w:ascii="宋体" w:hAnsi="宋体" w:eastAsia="宋体"/>
          <w:spacing w:val="-2"/>
          <w:highlight w:val="none"/>
        </w:rPr>
        <w:t>）</w:t>
      </w:r>
    </w:p>
    <w:p w14:paraId="2796C6C8">
      <w:pPr>
        <w:widowControl/>
        <w:spacing w:after="160" w:line="259" w:lineRule="auto"/>
        <w:jc w:val="left"/>
        <w:rPr>
          <w:rFonts w:ascii="宋体" w:hAnsi="宋体" w:eastAsia="宋体"/>
          <w:sz w:val="22"/>
          <w:highlight w:val="none"/>
        </w:rPr>
      </w:pPr>
      <w:r>
        <w:rPr>
          <w:rFonts w:hint="eastAsia" w:ascii="宋体" w:hAnsi="宋体" w:eastAsia="宋体"/>
          <w:sz w:val="22"/>
          <w:highlight w:val="none"/>
        </w:rPr>
        <w:t>包括但不限于以下资料：</w:t>
      </w:r>
    </w:p>
    <w:p w14:paraId="0417291F">
      <w:pPr>
        <w:widowControl/>
        <w:tabs>
          <w:tab w:val="left" w:pos="720"/>
        </w:tabs>
        <w:spacing w:line="500" w:lineRule="exact"/>
        <w:jc w:val="center"/>
        <w:rPr>
          <w:rFonts w:ascii="宋体" w:hAnsi="宋体" w:eastAsia="宋体"/>
          <w:b/>
          <w:bCs/>
          <w:kern w:val="44"/>
          <w:sz w:val="40"/>
          <w:highlight w:val="none"/>
        </w:rPr>
      </w:pPr>
    </w:p>
    <w:p w14:paraId="12092AEB">
      <w:pPr>
        <w:widowControl/>
        <w:tabs>
          <w:tab w:val="left" w:pos="720"/>
        </w:tabs>
        <w:spacing w:line="500" w:lineRule="exact"/>
        <w:jc w:val="center"/>
        <w:rPr>
          <w:rFonts w:ascii="宋体" w:hAnsi="宋体" w:eastAsia="宋体"/>
          <w:b/>
          <w:bCs/>
          <w:kern w:val="44"/>
          <w:sz w:val="40"/>
          <w:highlight w:val="none"/>
        </w:rPr>
      </w:pPr>
      <w:r>
        <w:rPr>
          <w:rFonts w:hint="eastAsia" w:ascii="宋体" w:hAnsi="宋体" w:eastAsia="宋体"/>
          <w:b/>
          <w:bCs/>
          <w:kern w:val="44"/>
          <w:sz w:val="40"/>
          <w:highlight w:val="none"/>
        </w:rPr>
        <w:t>关于响应电梯轿厢尺寸及交货期的承诺函</w:t>
      </w:r>
    </w:p>
    <w:p w14:paraId="31D4E798">
      <w:pPr>
        <w:widowControl/>
        <w:tabs>
          <w:tab w:val="left" w:pos="720"/>
        </w:tabs>
        <w:spacing w:line="500" w:lineRule="exact"/>
        <w:jc w:val="center"/>
        <w:rPr>
          <w:rFonts w:ascii="宋体" w:hAnsi="宋体" w:eastAsia="宋体"/>
          <w:b/>
          <w:bCs/>
          <w:kern w:val="44"/>
          <w:sz w:val="40"/>
          <w:highlight w:val="none"/>
        </w:rPr>
      </w:pPr>
    </w:p>
    <w:p w14:paraId="0F8A0EF2">
      <w:pPr>
        <w:widowControl/>
        <w:tabs>
          <w:tab w:val="left" w:pos="720"/>
        </w:tabs>
        <w:spacing w:line="500" w:lineRule="exact"/>
        <w:jc w:val="left"/>
        <w:rPr>
          <w:rFonts w:ascii="宋体" w:hAnsi="宋体" w:eastAsia="宋体"/>
          <w:sz w:val="28"/>
          <w:szCs w:val="28"/>
          <w:highlight w:val="none"/>
        </w:rPr>
      </w:pPr>
      <w:r>
        <w:rPr>
          <w:rFonts w:hint="eastAsia" w:ascii="宋体" w:hAnsi="宋体" w:eastAsia="宋体"/>
          <w:sz w:val="28"/>
          <w:szCs w:val="28"/>
          <w:highlight w:val="none"/>
        </w:rPr>
        <w:t>致招标人：</w:t>
      </w:r>
    </w:p>
    <w:p w14:paraId="431E6E64">
      <w:pPr>
        <w:widowControl/>
        <w:tabs>
          <w:tab w:val="left" w:pos="720"/>
        </w:tabs>
        <w:spacing w:line="500" w:lineRule="exact"/>
        <w:jc w:val="left"/>
        <w:rPr>
          <w:rFonts w:ascii="宋体" w:hAnsi="宋体" w:eastAsia="宋体"/>
          <w:sz w:val="28"/>
          <w:szCs w:val="28"/>
          <w:highlight w:val="none"/>
        </w:rPr>
      </w:pPr>
      <w:r>
        <w:rPr>
          <w:rFonts w:hint="eastAsia" w:ascii="宋体" w:hAnsi="宋体" w:eastAsia="宋体"/>
          <w:sz w:val="28"/>
          <w:szCs w:val="28"/>
          <w:highlight w:val="none"/>
        </w:rPr>
        <w:t xml:space="preserve">    我方已收到</w:t>
      </w:r>
      <w:r>
        <w:rPr>
          <w:rFonts w:hint="eastAsia" w:ascii="宋体" w:hAnsi="宋体" w:eastAsia="宋体"/>
          <w:sz w:val="28"/>
          <w:szCs w:val="28"/>
          <w:highlight w:val="none"/>
          <w:u w:val="single"/>
          <w:lang w:eastAsia="zh-CN"/>
        </w:rPr>
        <w:t>中国大酒店部分客用电梯及相关配套更新</w:t>
      </w:r>
      <w:r>
        <w:rPr>
          <w:rFonts w:hint="eastAsia" w:ascii="宋体" w:hAnsi="宋体" w:eastAsia="宋体"/>
          <w:sz w:val="28"/>
          <w:szCs w:val="28"/>
          <w:highlight w:val="none"/>
        </w:rPr>
        <w:t>的招标电梯轿厢尺寸，现作出以下承诺：若我公司中标，我方提供的产品无条件满足本项目的招标电梯轿厢尺寸要求，我方承诺将按招标文件要求及投标承诺完成供货、安装及相关服务，我方承诺交货期为</w:t>
      </w:r>
      <w:r>
        <w:rPr>
          <w:rFonts w:hint="eastAsia" w:ascii="宋体" w:hAnsi="宋体" w:eastAsia="宋体"/>
          <w:sz w:val="28"/>
          <w:szCs w:val="28"/>
          <w:highlight w:val="none"/>
          <w:u w:val="single"/>
        </w:rPr>
        <w:t>（按招标文件约定）</w:t>
      </w:r>
      <w:r>
        <w:rPr>
          <w:rFonts w:hint="eastAsia" w:ascii="宋体" w:hAnsi="宋体" w:eastAsia="宋体"/>
          <w:sz w:val="28"/>
          <w:szCs w:val="28"/>
          <w:highlight w:val="none"/>
        </w:rPr>
        <w:t>，交货地点为</w:t>
      </w:r>
      <w:r>
        <w:rPr>
          <w:rFonts w:hint="eastAsia" w:ascii="宋体" w:hAnsi="宋体" w:eastAsia="宋体"/>
          <w:sz w:val="28"/>
          <w:szCs w:val="28"/>
          <w:highlight w:val="none"/>
          <w:u w:val="single"/>
        </w:rPr>
        <w:t>（按招标文件约定）</w:t>
      </w:r>
      <w:r>
        <w:rPr>
          <w:rFonts w:hint="eastAsia" w:ascii="宋体" w:hAnsi="宋体" w:eastAsia="宋体"/>
          <w:sz w:val="28"/>
          <w:szCs w:val="28"/>
          <w:highlight w:val="none"/>
        </w:rPr>
        <w:t>。如我司违背上述承诺，我方同意招标人取消我方的中标资格或终止合同事宜。</w:t>
      </w:r>
    </w:p>
    <w:p w14:paraId="5273E90A">
      <w:pPr>
        <w:widowControl/>
        <w:tabs>
          <w:tab w:val="left" w:pos="720"/>
        </w:tabs>
        <w:spacing w:line="500" w:lineRule="exact"/>
        <w:jc w:val="center"/>
        <w:rPr>
          <w:rFonts w:ascii="宋体" w:hAnsi="宋体" w:eastAsia="宋体"/>
          <w:sz w:val="24"/>
          <w:highlight w:val="none"/>
        </w:rPr>
      </w:pPr>
    </w:p>
    <w:p w14:paraId="7D33E25E">
      <w:pPr>
        <w:widowControl/>
        <w:snapToGrid w:val="0"/>
        <w:spacing w:line="360" w:lineRule="auto"/>
        <w:ind w:left="4620" w:leftChars="2200" w:firstLine="360"/>
        <w:jc w:val="left"/>
        <w:rPr>
          <w:rFonts w:ascii="宋体" w:hAnsi="宋体" w:eastAsia="宋体"/>
          <w:kern w:val="0"/>
          <w:sz w:val="28"/>
          <w:szCs w:val="28"/>
          <w:highlight w:val="none"/>
        </w:rPr>
      </w:pPr>
    </w:p>
    <w:p w14:paraId="1F6EDA6C">
      <w:pPr>
        <w:widowControl/>
        <w:snapToGrid w:val="0"/>
        <w:spacing w:line="360" w:lineRule="auto"/>
        <w:ind w:left="4620" w:leftChars="2200" w:firstLine="360"/>
        <w:jc w:val="left"/>
        <w:rPr>
          <w:rFonts w:ascii="宋体" w:hAnsi="宋体" w:eastAsia="宋体"/>
          <w:kern w:val="0"/>
          <w:sz w:val="28"/>
          <w:szCs w:val="28"/>
          <w:highlight w:val="none"/>
        </w:rPr>
      </w:pPr>
    </w:p>
    <w:p w14:paraId="1E7DE69C">
      <w:pPr>
        <w:widowControl/>
        <w:snapToGrid w:val="0"/>
        <w:spacing w:line="360" w:lineRule="auto"/>
        <w:jc w:val="left"/>
        <w:rPr>
          <w:rFonts w:ascii="宋体" w:hAnsi="宋体" w:eastAsia="宋体"/>
          <w:kern w:val="0"/>
          <w:sz w:val="28"/>
          <w:szCs w:val="28"/>
          <w:highlight w:val="none"/>
        </w:rPr>
      </w:pPr>
      <w:r>
        <w:rPr>
          <w:rFonts w:hint="eastAsia" w:ascii="宋体" w:hAnsi="宋体" w:eastAsia="宋体"/>
          <w:kern w:val="0"/>
          <w:sz w:val="28"/>
          <w:szCs w:val="28"/>
          <w:highlight w:val="none"/>
        </w:rPr>
        <w:t xml:space="preserve">投标人（公章）：   </w:t>
      </w:r>
    </w:p>
    <w:p w14:paraId="4C044C45">
      <w:pPr>
        <w:widowControl/>
        <w:snapToGrid w:val="0"/>
        <w:spacing w:line="360" w:lineRule="auto"/>
        <w:ind w:right="1120"/>
        <w:rPr>
          <w:rFonts w:ascii="宋体" w:hAnsi="宋体" w:eastAsia="宋体"/>
          <w:kern w:val="0"/>
          <w:sz w:val="28"/>
          <w:szCs w:val="28"/>
          <w:highlight w:val="none"/>
        </w:rPr>
      </w:pPr>
      <w:r>
        <w:rPr>
          <w:rFonts w:hint="eastAsia" w:ascii="宋体" w:hAnsi="宋体" w:eastAsia="宋体"/>
          <w:kern w:val="0"/>
          <w:sz w:val="28"/>
          <w:szCs w:val="28"/>
          <w:highlight w:val="none"/>
        </w:rPr>
        <w:t>法定代表人（单位负责人）或其授权代理人（签名或盖章）：</w:t>
      </w:r>
    </w:p>
    <w:p w14:paraId="4380FD41">
      <w:pPr>
        <w:widowControl/>
        <w:snapToGrid w:val="0"/>
        <w:spacing w:line="360" w:lineRule="auto"/>
        <w:jc w:val="left"/>
        <w:rPr>
          <w:rFonts w:hint="eastAsia" w:ascii="宋体" w:hAnsi="宋体" w:eastAsia="宋体"/>
          <w:kern w:val="0"/>
          <w:sz w:val="28"/>
          <w:szCs w:val="28"/>
          <w:highlight w:val="none"/>
        </w:rPr>
      </w:pPr>
      <w:r>
        <w:rPr>
          <w:rFonts w:hint="eastAsia" w:ascii="宋体" w:hAnsi="宋体" w:eastAsia="宋体"/>
          <w:kern w:val="0"/>
          <w:sz w:val="28"/>
          <w:szCs w:val="28"/>
          <w:highlight w:val="none"/>
        </w:rPr>
        <w:t>日   期：</w:t>
      </w:r>
    </w:p>
    <w:bookmarkEnd w:id="192"/>
    <w:sectPr>
      <w:pgSz w:w="11906" w:h="16838"/>
      <w:pgMar w:top="1440" w:right="1800" w:bottom="1440"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New Roman Bold">
    <w:altName w:val="Times New Roman"/>
    <w:panose1 w:val="02020803070505020304"/>
    <w:charset w:val="00"/>
    <w:family w:val="roman"/>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611A1">
    <w:pPr>
      <w:pStyle w:val="19"/>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E1918E0">
                          <w:pPr>
                            <w:pStyle w:val="19"/>
                          </w:pPr>
                          <w:r>
                            <w:fldChar w:fldCharType="begin"/>
                          </w:r>
                          <w:r>
                            <w:instrText xml:space="preserve"> PAGE  \* MERGEFORMAT </w:instrText>
                          </w:r>
                          <w:r>
                            <w:fldChar w:fldCharType="separate"/>
                          </w:r>
                          <w:r>
                            <w:t>77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14:paraId="2E1918E0">
                    <w:pPr>
                      <w:pStyle w:val="19"/>
                    </w:pPr>
                    <w:r>
                      <w:fldChar w:fldCharType="begin"/>
                    </w:r>
                    <w:r>
                      <w:instrText xml:space="preserve"> PAGE  \* MERGEFORMAT </w:instrText>
                    </w:r>
                    <w:r>
                      <w:fldChar w:fldCharType="separate"/>
                    </w:r>
                    <w:r>
                      <w:t>77</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B82"/>
    <w:rsid w:val="000E6024"/>
    <w:rsid w:val="003975FF"/>
    <w:rsid w:val="003E4382"/>
    <w:rsid w:val="00430501"/>
    <w:rsid w:val="006C1B0F"/>
    <w:rsid w:val="00E23B82"/>
    <w:rsid w:val="00E50685"/>
    <w:rsid w:val="03FE7EAB"/>
    <w:rsid w:val="077010BF"/>
    <w:rsid w:val="09CB1CAF"/>
    <w:rsid w:val="159D6495"/>
    <w:rsid w:val="16BC1C94"/>
    <w:rsid w:val="1D7A047A"/>
    <w:rsid w:val="21AA5DCD"/>
    <w:rsid w:val="272A498F"/>
    <w:rsid w:val="2A742662"/>
    <w:rsid w:val="2AE102BA"/>
    <w:rsid w:val="35F20645"/>
    <w:rsid w:val="3B0D3C3F"/>
    <w:rsid w:val="4B7452AB"/>
    <w:rsid w:val="4C48697D"/>
    <w:rsid w:val="4C6C6C7D"/>
    <w:rsid w:val="532D161A"/>
    <w:rsid w:val="59356738"/>
    <w:rsid w:val="59443B41"/>
    <w:rsid w:val="5A64198B"/>
    <w:rsid w:val="656F7A72"/>
    <w:rsid w:val="72D83A36"/>
    <w:rsid w:val="754E14C2"/>
    <w:rsid w:val="7DC51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2"/>
      <w:lang w:val="en-US" w:eastAsia="zh-CN" w:bidi="ar-SA"/>
    </w:rPr>
  </w:style>
  <w:style w:type="paragraph" w:styleId="3">
    <w:name w:val="heading 1"/>
    <w:basedOn w:val="1"/>
    <w:next w:val="1"/>
    <w:link w:val="46"/>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2">
    <w:name w:val="heading 2"/>
    <w:basedOn w:val="1"/>
    <w:next w:val="1"/>
    <w:link w:val="47"/>
    <w:qFormat/>
    <w:uiPriority w:val="0"/>
    <w:pPr>
      <w:keepNext/>
      <w:keepLines/>
      <w:tabs>
        <w:tab w:val="left" w:pos="720"/>
      </w:tabs>
      <w:spacing w:before="260" w:after="260" w:line="416" w:lineRule="auto"/>
      <w:outlineLvl w:val="1"/>
    </w:pPr>
    <w:rPr>
      <w:rFonts w:ascii="Arial" w:hAnsi="Arial" w:eastAsia="黑体" w:cs="Times New Roman"/>
      <w:b/>
      <w:bCs/>
      <w:kern w:val="0"/>
      <w:sz w:val="32"/>
      <w:szCs w:val="32"/>
    </w:rPr>
  </w:style>
  <w:style w:type="paragraph" w:styleId="4">
    <w:name w:val="heading 3"/>
    <w:basedOn w:val="1"/>
    <w:next w:val="1"/>
    <w:link w:val="48"/>
    <w:qFormat/>
    <w:uiPriority w:val="0"/>
    <w:pPr>
      <w:keepNext/>
      <w:keepLines/>
      <w:spacing w:before="260" w:after="260" w:line="416" w:lineRule="auto"/>
      <w:outlineLvl w:val="2"/>
    </w:pPr>
    <w:rPr>
      <w:rFonts w:ascii="Calibri" w:hAnsi="Calibri" w:eastAsia="宋体" w:cs="Times New Roman"/>
      <w:b/>
      <w:bCs/>
      <w:kern w:val="0"/>
      <w:sz w:val="32"/>
      <w:szCs w:val="32"/>
    </w:rPr>
  </w:style>
  <w:style w:type="paragraph" w:styleId="5">
    <w:name w:val="heading 4"/>
    <w:basedOn w:val="1"/>
    <w:next w:val="1"/>
    <w:link w:val="49"/>
    <w:qFormat/>
    <w:uiPriority w:val="0"/>
    <w:pPr>
      <w:keepNext/>
      <w:keepLines/>
      <w:widowControl/>
      <w:tabs>
        <w:tab w:val="left" w:pos="864"/>
      </w:tabs>
      <w:spacing w:before="120" w:after="180"/>
      <w:outlineLvl w:val="3"/>
    </w:pPr>
    <w:rPr>
      <w:rFonts w:ascii="Times New Roman Bold" w:hAnsi="Times New Roman Bold" w:eastAsia="宋体" w:cs="Times New Roman"/>
      <w:b/>
      <w:kern w:val="0"/>
      <w:sz w:val="24"/>
      <w:szCs w:val="20"/>
      <w:lang w:val="en-GB" w:eastAsia="en-US"/>
    </w:rPr>
  </w:style>
  <w:style w:type="paragraph" w:styleId="6">
    <w:name w:val="heading 5"/>
    <w:basedOn w:val="1"/>
    <w:next w:val="1"/>
    <w:link w:val="50"/>
    <w:qFormat/>
    <w:uiPriority w:val="0"/>
    <w:pPr>
      <w:keepNext/>
      <w:tabs>
        <w:tab w:val="left" w:pos="1008"/>
      </w:tabs>
      <w:spacing w:line="360" w:lineRule="auto"/>
      <w:outlineLvl w:val="4"/>
    </w:pPr>
    <w:rPr>
      <w:rFonts w:ascii="Arial" w:hAnsi="Arial" w:eastAsia="宋体" w:cs="Times New Roman"/>
      <w:b/>
      <w:bCs/>
      <w:iCs/>
      <w:kern w:val="0"/>
      <w:sz w:val="20"/>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1"/>
    <w:qFormat/>
    <w:uiPriority w:val="0"/>
    <w:pPr>
      <w:ind w:firstLine="420" w:firstLineChars="200"/>
    </w:pPr>
    <w:rPr>
      <w:rFonts w:ascii="Times New Roman" w:hAnsi="Times New Roman" w:eastAsia="宋体" w:cs="Times New Roman"/>
      <w:szCs w:val="24"/>
    </w:rPr>
  </w:style>
  <w:style w:type="paragraph" w:styleId="8">
    <w:name w:val="Document Map"/>
    <w:basedOn w:val="1"/>
    <w:link w:val="52"/>
    <w:qFormat/>
    <w:uiPriority w:val="0"/>
    <w:pPr>
      <w:shd w:val="clear" w:color="auto" w:fill="000080"/>
    </w:pPr>
    <w:rPr>
      <w:rFonts w:ascii="Calibri" w:hAnsi="Calibri" w:eastAsia="宋体" w:cs="Times New Roman"/>
      <w:kern w:val="0"/>
      <w:sz w:val="20"/>
      <w:szCs w:val="20"/>
    </w:rPr>
  </w:style>
  <w:style w:type="paragraph" w:styleId="9">
    <w:name w:val="annotation text"/>
    <w:basedOn w:val="1"/>
    <w:link w:val="53"/>
    <w:qFormat/>
    <w:uiPriority w:val="0"/>
    <w:pPr>
      <w:jc w:val="left"/>
    </w:pPr>
    <w:rPr>
      <w:rFonts w:ascii="Calibri" w:hAnsi="Calibri" w:eastAsia="宋体" w:cs="Times New Roman"/>
      <w:kern w:val="0"/>
      <w:sz w:val="20"/>
      <w:szCs w:val="20"/>
    </w:rPr>
  </w:style>
  <w:style w:type="paragraph" w:styleId="10">
    <w:name w:val="Body Text 3"/>
    <w:basedOn w:val="1"/>
    <w:link w:val="54"/>
    <w:qFormat/>
    <w:uiPriority w:val="0"/>
    <w:pPr>
      <w:spacing w:after="120"/>
    </w:pPr>
    <w:rPr>
      <w:rFonts w:ascii="Calibri" w:hAnsi="Calibri" w:eastAsia="宋体" w:cs="Times New Roman"/>
      <w:kern w:val="0"/>
      <w:sz w:val="16"/>
      <w:szCs w:val="16"/>
    </w:rPr>
  </w:style>
  <w:style w:type="paragraph" w:styleId="11">
    <w:name w:val="Body Text"/>
    <w:basedOn w:val="1"/>
    <w:next w:val="1"/>
    <w:link w:val="55"/>
    <w:qFormat/>
    <w:uiPriority w:val="0"/>
    <w:pPr>
      <w:spacing w:after="120"/>
    </w:pPr>
    <w:rPr>
      <w:rFonts w:ascii="Calibri" w:hAnsi="Calibri" w:eastAsia="宋体" w:cs="Times New Roman"/>
      <w:kern w:val="0"/>
      <w:sz w:val="20"/>
      <w:szCs w:val="20"/>
    </w:rPr>
  </w:style>
  <w:style w:type="paragraph" w:styleId="12">
    <w:name w:val="Body Text Indent"/>
    <w:basedOn w:val="1"/>
    <w:next w:val="13"/>
    <w:link w:val="56"/>
    <w:qFormat/>
    <w:uiPriority w:val="0"/>
    <w:pPr>
      <w:tabs>
        <w:tab w:val="left" w:pos="567"/>
      </w:tabs>
      <w:spacing w:line="360" w:lineRule="auto"/>
      <w:ind w:left="420" w:leftChars="200"/>
    </w:pPr>
    <w:rPr>
      <w:rFonts w:ascii="Calibri" w:hAnsi="Calibri" w:eastAsia="宋体" w:cs="Times New Roman"/>
      <w:kern w:val="0"/>
      <w:sz w:val="20"/>
      <w:szCs w:val="21"/>
    </w:rPr>
  </w:style>
  <w:style w:type="paragraph" w:styleId="13">
    <w:name w:val="envelope return"/>
    <w:basedOn w:val="1"/>
    <w:qFormat/>
    <w:uiPriority w:val="0"/>
    <w:pPr>
      <w:snapToGrid w:val="0"/>
    </w:pPr>
    <w:rPr>
      <w:rFonts w:ascii="Arial" w:hAnsi="Arial" w:eastAsia="宋体" w:cs="Times New Roman"/>
      <w:szCs w:val="24"/>
    </w:rPr>
  </w:style>
  <w:style w:type="paragraph" w:styleId="14">
    <w:name w:val="toc 3"/>
    <w:basedOn w:val="1"/>
    <w:next w:val="1"/>
    <w:qFormat/>
    <w:uiPriority w:val="39"/>
    <w:pPr>
      <w:widowControl/>
      <w:spacing w:after="100" w:line="276" w:lineRule="auto"/>
      <w:ind w:left="440"/>
      <w:jc w:val="left"/>
    </w:pPr>
    <w:rPr>
      <w:rFonts w:ascii="Calibri" w:hAnsi="Calibri" w:eastAsia="宋体" w:cs="Times New Roman"/>
      <w:kern w:val="0"/>
      <w:sz w:val="22"/>
    </w:rPr>
  </w:style>
  <w:style w:type="paragraph" w:styleId="15">
    <w:name w:val="Plain Text"/>
    <w:basedOn w:val="1"/>
    <w:next w:val="1"/>
    <w:link w:val="57"/>
    <w:qFormat/>
    <w:uiPriority w:val="99"/>
    <w:rPr>
      <w:rFonts w:ascii="宋体" w:hAnsi="Courier New" w:eastAsia="宋体" w:cs="Times New Roman"/>
      <w:kern w:val="0"/>
      <w:sz w:val="20"/>
      <w:szCs w:val="21"/>
    </w:rPr>
  </w:style>
  <w:style w:type="paragraph" w:styleId="16">
    <w:name w:val="Date"/>
    <w:basedOn w:val="1"/>
    <w:next w:val="1"/>
    <w:link w:val="58"/>
    <w:qFormat/>
    <w:uiPriority w:val="0"/>
    <w:pPr>
      <w:ind w:left="100" w:leftChars="2500"/>
    </w:pPr>
    <w:rPr>
      <w:rFonts w:ascii="Calibri" w:hAnsi="Calibri" w:eastAsia="宋体" w:cs="Times New Roman"/>
      <w:kern w:val="0"/>
      <w:sz w:val="20"/>
      <w:szCs w:val="24"/>
    </w:rPr>
  </w:style>
  <w:style w:type="paragraph" w:styleId="17">
    <w:name w:val="Body Text Indent 2"/>
    <w:basedOn w:val="1"/>
    <w:link w:val="59"/>
    <w:qFormat/>
    <w:uiPriority w:val="0"/>
    <w:pPr>
      <w:spacing w:after="120" w:line="480" w:lineRule="auto"/>
      <w:ind w:left="420" w:leftChars="200"/>
    </w:pPr>
    <w:rPr>
      <w:rFonts w:ascii="Calibri" w:hAnsi="Calibri" w:eastAsia="宋体" w:cs="Times New Roman"/>
      <w:kern w:val="0"/>
      <w:sz w:val="20"/>
      <w:szCs w:val="24"/>
    </w:rPr>
  </w:style>
  <w:style w:type="paragraph" w:styleId="18">
    <w:name w:val="Balloon Text"/>
    <w:basedOn w:val="1"/>
    <w:link w:val="60"/>
    <w:qFormat/>
    <w:uiPriority w:val="0"/>
    <w:rPr>
      <w:rFonts w:ascii="Calibri" w:hAnsi="Calibri" w:eastAsia="宋体" w:cs="Times New Roman"/>
      <w:kern w:val="0"/>
      <w:sz w:val="18"/>
      <w:szCs w:val="18"/>
    </w:rPr>
  </w:style>
  <w:style w:type="paragraph" w:styleId="19">
    <w:name w:val="footer"/>
    <w:basedOn w:val="1"/>
    <w:link w:val="45"/>
    <w:qFormat/>
    <w:uiPriority w:val="99"/>
    <w:pPr>
      <w:tabs>
        <w:tab w:val="center" w:pos="4153"/>
        <w:tab w:val="right" w:pos="8306"/>
      </w:tabs>
      <w:snapToGrid w:val="0"/>
      <w:jc w:val="left"/>
    </w:pPr>
    <w:rPr>
      <w:sz w:val="18"/>
      <w:szCs w:val="18"/>
    </w:rPr>
  </w:style>
  <w:style w:type="paragraph" w:styleId="20">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widowControl/>
      <w:spacing w:after="100" w:line="276" w:lineRule="auto"/>
      <w:jc w:val="left"/>
    </w:pPr>
    <w:rPr>
      <w:rFonts w:ascii="Calibri" w:hAnsi="Calibri" w:eastAsia="宋体" w:cs="Times New Roman"/>
      <w:kern w:val="0"/>
      <w:sz w:val="22"/>
    </w:rPr>
  </w:style>
  <w:style w:type="paragraph" w:styleId="22">
    <w:name w:val="List"/>
    <w:basedOn w:val="1"/>
    <w:qFormat/>
    <w:uiPriority w:val="0"/>
    <w:pPr>
      <w:ind w:left="200" w:hanging="200" w:hangingChars="200"/>
    </w:pPr>
    <w:rPr>
      <w:rFonts w:ascii="Times New Roman" w:hAnsi="Times New Roman" w:eastAsia="宋体" w:cs="Times New Roman"/>
      <w:szCs w:val="24"/>
    </w:rPr>
  </w:style>
  <w:style w:type="paragraph" w:styleId="23">
    <w:name w:val="toc 6"/>
    <w:basedOn w:val="1"/>
    <w:next w:val="1"/>
    <w:qFormat/>
    <w:uiPriority w:val="0"/>
    <w:pPr>
      <w:ind w:left="2100" w:leftChars="1000"/>
    </w:pPr>
    <w:rPr>
      <w:rFonts w:ascii="Times New Roman" w:hAnsi="Times New Roman" w:eastAsia="宋体" w:cs="Times New Roman"/>
      <w:szCs w:val="24"/>
    </w:rPr>
  </w:style>
  <w:style w:type="paragraph" w:styleId="24">
    <w:name w:val="toc 2"/>
    <w:basedOn w:val="1"/>
    <w:next w:val="1"/>
    <w:qFormat/>
    <w:uiPriority w:val="39"/>
    <w:pPr>
      <w:widowControl/>
      <w:spacing w:after="100" w:line="276" w:lineRule="auto"/>
      <w:ind w:left="220"/>
      <w:jc w:val="left"/>
    </w:pPr>
    <w:rPr>
      <w:rFonts w:ascii="Calibri" w:hAnsi="Calibri" w:eastAsia="宋体" w:cs="Times New Roman"/>
      <w:kern w:val="0"/>
      <w:sz w:val="22"/>
    </w:rPr>
  </w:style>
  <w:style w:type="paragraph" w:styleId="25">
    <w:name w:val="Body Text 2"/>
    <w:basedOn w:val="1"/>
    <w:qFormat/>
    <w:uiPriority w:val="0"/>
    <w:pPr>
      <w:spacing w:after="120" w:line="480" w:lineRule="auto"/>
    </w:pPr>
    <w:rPr>
      <w:rFonts w:ascii="Times New Roman" w:hAnsi="Times New Roman"/>
      <w:kern w:val="0"/>
      <w:sz w:val="20"/>
    </w:rPr>
  </w:style>
  <w:style w:type="paragraph" w:styleId="26">
    <w:name w:val="HTML Preformatted"/>
    <w:basedOn w:val="1"/>
    <w:link w:val="61"/>
    <w:qFormat/>
    <w:uiPriority w:val="99"/>
    <w:rPr>
      <w:rFonts w:ascii="Courier New" w:hAnsi="Courier New" w:eastAsia="宋体" w:cs="Times New Roman"/>
      <w:kern w:val="0"/>
      <w:sz w:val="20"/>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kern w:val="0"/>
      <w:sz w:val="24"/>
      <w:szCs w:val="24"/>
    </w:rPr>
  </w:style>
  <w:style w:type="paragraph" w:styleId="28">
    <w:name w:val="annotation subject"/>
    <w:basedOn w:val="9"/>
    <w:next w:val="9"/>
    <w:link w:val="62"/>
    <w:qFormat/>
    <w:uiPriority w:val="0"/>
    <w:rPr>
      <w:b/>
      <w:bCs/>
    </w:rPr>
  </w:style>
  <w:style w:type="paragraph" w:styleId="29">
    <w:name w:val="Body Text First Indent"/>
    <w:basedOn w:val="11"/>
    <w:link w:val="63"/>
    <w:qFormat/>
    <w:uiPriority w:val="0"/>
    <w:pPr>
      <w:ind w:firstLine="420" w:firstLineChars="100"/>
    </w:pPr>
  </w:style>
  <w:style w:type="paragraph" w:styleId="30">
    <w:name w:val="Body Text First Indent 2"/>
    <w:basedOn w:val="12"/>
    <w:next w:val="11"/>
    <w:link w:val="64"/>
    <w:qFormat/>
    <w:uiPriority w:val="0"/>
    <w:pPr>
      <w:spacing w:after="120" w:line="240" w:lineRule="auto"/>
      <w:ind w:left="200" w:firstLine="200" w:firstLineChars="200"/>
    </w:pPr>
    <w:rPr>
      <w:kern w:val="2"/>
      <w:sz w:val="21"/>
      <w:szCs w:val="24"/>
    </w:rPr>
  </w:style>
  <w:style w:type="table" w:styleId="32">
    <w:name w:val="Table Grid"/>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qFormat/>
    <w:uiPriority w:val="22"/>
    <w:rPr>
      <w:b/>
      <w:bCs/>
    </w:rPr>
  </w:style>
  <w:style w:type="character" w:styleId="35">
    <w:name w:val="page number"/>
    <w:qFormat/>
    <w:uiPriority w:val="0"/>
  </w:style>
  <w:style w:type="character" w:styleId="36">
    <w:name w:val="FollowedHyperlink"/>
    <w:qFormat/>
    <w:uiPriority w:val="99"/>
    <w:rPr>
      <w:color w:val="800080"/>
      <w:u w:val="single"/>
    </w:rPr>
  </w:style>
  <w:style w:type="character" w:styleId="37">
    <w:name w:val="HTML Definition"/>
    <w:basedOn w:val="33"/>
    <w:qFormat/>
    <w:uiPriority w:val="99"/>
    <w:rPr>
      <w:b/>
      <w:i/>
      <w:color w:val="FFFFFF"/>
      <w:sz w:val="18"/>
      <w:szCs w:val="18"/>
      <w:vertAlign w:val="baseline"/>
    </w:rPr>
  </w:style>
  <w:style w:type="character" w:styleId="38">
    <w:name w:val="Hyperlink"/>
    <w:qFormat/>
    <w:uiPriority w:val="99"/>
    <w:rPr>
      <w:color w:val="0000FF"/>
      <w:u w:val="single"/>
    </w:rPr>
  </w:style>
  <w:style w:type="character" w:styleId="39">
    <w:name w:val="HTML Code"/>
    <w:basedOn w:val="33"/>
    <w:qFormat/>
    <w:uiPriority w:val="99"/>
    <w:rPr>
      <w:rFonts w:hint="default" w:ascii="Consolas" w:hAnsi="Consolas" w:eastAsia="Consolas" w:cs="Consolas"/>
      <w:color w:val="C7254E"/>
      <w:sz w:val="21"/>
      <w:szCs w:val="21"/>
      <w:shd w:val="clear" w:color="auto" w:fill="F9F2F4"/>
    </w:rPr>
  </w:style>
  <w:style w:type="character" w:styleId="40">
    <w:name w:val="annotation reference"/>
    <w:qFormat/>
    <w:uiPriority w:val="0"/>
    <w:rPr>
      <w:rFonts w:cs="Times New Roman"/>
      <w:sz w:val="21"/>
    </w:rPr>
  </w:style>
  <w:style w:type="character" w:styleId="41">
    <w:name w:val="HTML Keyboard"/>
    <w:basedOn w:val="33"/>
    <w:qFormat/>
    <w:uiPriority w:val="99"/>
    <w:rPr>
      <w:rFonts w:ascii="Consolas" w:hAnsi="Consolas" w:eastAsia="Consolas" w:cs="Consolas"/>
      <w:color w:val="FFFFFF"/>
      <w:sz w:val="21"/>
      <w:szCs w:val="21"/>
      <w:shd w:val="clear" w:color="auto" w:fill="333333"/>
    </w:rPr>
  </w:style>
  <w:style w:type="character" w:styleId="42">
    <w:name w:val="HTML Sample"/>
    <w:basedOn w:val="33"/>
    <w:qFormat/>
    <w:uiPriority w:val="99"/>
    <w:rPr>
      <w:rFonts w:hint="default" w:ascii="Consolas" w:hAnsi="Consolas" w:eastAsia="Consolas" w:cs="Consolas"/>
      <w:color w:val="5292C6"/>
      <w:sz w:val="21"/>
      <w:szCs w:val="21"/>
      <w:u w:val="none"/>
    </w:rPr>
  </w:style>
  <w:style w:type="paragraph" w:customStyle="1" w:styleId="43">
    <w:name w:val="样式 宋体 行距: 1.5 倍行距"/>
    <w:basedOn w:val="1"/>
    <w:qFormat/>
    <w:uiPriority w:val="0"/>
    <w:pPr>
      <w:jc w:val="center"/>
    </w:pPr>
    <w:rPr>
      <w:b/>
      <w:bCs/>
    </w:rPr>
  </w:style>
  <w:style w:type="character" w:customStyle="1" w:styleId="44">
    <w:name w:val="页眉 字符"/>
    <w:basedOn w:val="33"/>
    <w:link w:val="20"/>
    <w:qFormat/>
    <w:uiPriority w:val="0"/>
    <w:rPr>
      <w:sz w:val="18"/>
      <w:szCs w:val="18"/>
    </w:rPr>
  </w:style>
  <w:style w:type="character" w:customStyle="1" w:styleId="45">
    <w:name w:val="页脚 字符"/>
    <w:basedOn w:val="33"/>
    <w:link w:val="19"/>
    <w:qFormat/>
    <w:uiPriority w:val="99"/>
    <w:rPr>
      <w:sz w:val="18"/>
      <w:szCs w:val="18"/>
    </w:rPr>
  </w:style>
  <w:style w:type="character" w:customStyle="1" w:styleId="46">
    <w:name w:val="标题 1 字符"/>
    <w:basedOn w:val="33"/>
    <w:link w:val="3"/>
    <w:qFormat/>
    <w:uiPriority w:val="0"/>
    <w:rPr>
      <w:rFonts w:ascii="Times New Roman" w:hAnsi="Times New Roman" w:eastAsia="宋体" w:cs="Times New Roman"/>
      <w:b/>
      <w:kern w:val="44"/>
      <w:sz w:val="44"/>
      <w:szCs w:val="20"/>
    </w:rPr>
  </w:style>
  <w:style w:type="character" w:customStyle="1" w:styleId="47">
    <w:name w:val="标题 2 字符"/>
    <w:basedOn w:val="33"/>
    <w:link w:val="2"/>
    <w:qFormat/>
    <w:uiPriority w:val="0"/>
    <w:rPr>
      <w:rFonts w:ascii="Arial" w:hAnsi="Arial" w:eastAsia="黑体" w:cs="Times New Roman"/>
      <w:b/>
      <w:bCs/>
      <w:kern w:val="0"/>
      <w:sz w:val="32"/>
      <w:szCs w:val="32"/>
    </w:rPr>
  </w:style>
  <w:style w:type="character" w:customStyle="1" w:styleId="48">
    <w:name w:val="标题 3 字符"/>
    <w:basedOn w:val="33"/>
    <w:link w:val="4"/>
    <w:qFormat/>
    <w:uiPriority w:val="0"/>
    <w:rPr>
      <w:rFonts w:ascii="Calibri" w:hAnsi="Calibri" w:eastAsia="宋体" w:cs="Times New Roman"/>
      <w:b/>
      <w:bCs/>
      <w:kern w:val="0"/>
      <w:sz w:val="32"/>
      <w:szCs w:val="32"/>
    </w:rPr>
  </w:style>
  <w:style w:type="character" w:customStyle="1" w:styleId="49">
    <w:name w:val="标题 4 字符"/>
    <w:basedOn w:val="33"/>
    <w:link w:val="5"/>
    <w:qFormat/>
    <w:uiPriority w:val="0"/>
    <w:rPr>
      <w:rFonts w:ascii="Times New Roman Bold" w:hAnsi="Times New Roman Bold" w:eastAsia="宋体" w:cs="Times New Roman"/>
      <w:b/>
      <w:kern w:val="0"/>
      <w:sz w:val="24"/>
      <w:szCs w:val="20"/>
      <w:lang w:val="en-GB" w:eastAsia="en-US"/>
    </w:rPr>
  </w:style>
  <w:style w:type="character" w:customStyle="1" w:styleId="50">
    <w:name w:val="标题 5 字符"/>
    <w:basedOn w:val="33"/>
    <w:link w:val="6"/>
    <w:qFormat/>
    <w:uiPriority w:val="0"/>
    <w:rPr>
      <w:rFonts w:ascii="Arial" w:hAnsi="Arial" w:eastAsia="宋体" w:cs="Times New Roman"/>
      <w:b/>
      <w:bCs/>
      <w:iCs/>
      <w:kern w:val="0"/>
      <w:sz w:val="20"/>
      <w:szCs w:val="21"/>
    </w:rPr>
  </w:style>
  <w:style w:type="character" w:customStyle="1" w:styleId="51">
    <w:name w:val="正文缩进 字符"/>
    <w:link w:val="7"/>
    <w:qFormat/>
    <w:uiPriority w:val="0"/>
    <w:rPr>
      <w:rFonts w:ascii="Times New Roman" w:hAnsi="Times New Roman" w:eastAsia="宋体" w:cs="Times New Roman"/>
      <w:szCs w:val="24"/>
    </w:rPr>
  </w:style>
  <w:style w:type="character" w:customStyle="1" w:styleId="52">
    <w:name w:val="文档结构图 字符"/>
    <w:basedOn w:val="33"/>
    <w:link w:val="8"/>
    <w:qFormat/>
    <w:uiPriority w:val="0"/>
    <w:rPr>
      <w:rFonts w:ascii="Calibri" w:hAnsi="Calibri" w:eastAsia="宋体" w:cs="Times New Roman"/>
      <w:kern w:val="0"/>
      <w:sz w:val="20"/>
      <w:szCs w:val="20"/>
      <w:shd w:val="clear" w:color="auto" w:fill="000080"/>
    </w:rPr>
  </w:style>
  <w:style w:type="character" w:customStyle="1" w:styleId="53">
    <w:name w:val="批注文字 字符"/>
    <w:basedOn w:val="33"/>
    <w:link w:val="9"/>
    <w:qFormat/>
    <w:uiPriority w:val="0"/>
    <w:rPr>
      <w:rFonts w:ascii="Calibri" w:hAnsi="Calibri" w:eastAsia="宋体" w:cs="Times New Roman"/>
      <w:kern w:val="0"/>
      <w:sz w:val="20"/>
      <w:szCs w:val="20"/>
    </w:rPr>
  </w:style>
  <w:style w:type="character" w:customStyle="1" w:styleId="54">
    <w:name w:val="正文文本 3 字符"/>
    <w:basedOn w:val="33"/>
    <w:link w:val="10"/>
    <w:qFormat/>
    <w:uiPriority w:val="0"/>
    <w:rPr>
      <w:rFonts w:ascii="Calibri" w:hAnsi="Calibri" w:eastAsia="宋体" w:cs="Times New Roman"/>
      <w:kern w:val="0"/>
      <w:sz w:val="16"/>
      <w:szCs w:val="16"/>
    </w:rPr>
  </w:style>
  <w:style w:type="character" w:customStyle="1" w:styleId="55">
    <w:name w:val="正文文本 字符"/>
    <w:basedOn w:val="33"/>
    <w:link w:val="11"/>
    <w:qFormat/>
    <w:uiPriority w:val="0"/>
    <w:rPr>
      <w:rFonts w:ascii="Calibri" w:hAnsi="Calibri" w:eastAsia="宋体" w:cs="Times New Roman"/>
      <w:kern w:val="0"/>
      <w:sz w:val="20"/>
      <w:szCs w:val="20"/>
    </w:rPr>
  </w:style>
  <w:style w:type="character" w:customStyle="1" w:styleId="56">
    <w:name w:val="正文文本缩进 字符"/>
    <w:basedOn w:val="33"/>
    <w:link w:val="12"/>
    <w:qFormat/>
    <w:uiPriority w:val="0"/>
    <w:rPr>
      <w:rFonts w:ascii="Calibri" w:hAnsi="Calibri" w:eastAsia="宋体" w:cs="Times New Roman"/>
      <w:kern w:val="0"/>
      <w:sz w:val="20"/>
      <w:szCs w:val="21"/>
    </w:rPr>
  </w:style>
  <w:style w:type="character" w:customStyle="1" w:styleId="57">
    <w:name w:val="纯文本 字符"/>
    <w:basedOn w:val="33"/>
    <w:link w:val="15"/>
    <w:qFormat/>
    <w:uiPriority w:val="99"/>
    <w:rPr>
      <w:rFonts w:ascii="宋体" w:hAnsi="Courier New" w:eastAsia="宋体" w:cs="Times New Roman"/>
      <w:kern w:val="0"/>
      <w:sz w:val="20"/>
      <w:szCs w:val="21"/>
    </w:rPr>
  </w:style>
  <w:style w:type="character" w:customStyle="1" w:styleId="58">
    <w:name w:val="日期 字符"/>
    <w:basedOn w:val="33"/>
    <w:link w:val="16"/>
    <w:qFormat/>
    <w:uiPriority w:val="0"/>
    <w:rPr>
      <w:rFonts w:ascii="Calibri" w:hAnsi="Calibri" w:eastAsia="宋体" w:cs="Times New Roman"/>
      <w:kern w:val="0"/>
      <w:sz w:val="20"/>
      <w:szCs w:val="24"/>
    </w:rPr>
  </w:style>
  <w:style w:type="character" w:customStyle="1" w:styleId="59">
    <w:name w:val="正文文本缩进 2 字符"/>
    <w:basedOn w:val="33"/>
    <w:link w:val="17"/>
    <w:qFormat/>
    <w:uiPriority w:val="0"/>
    <w:rPr>
      <w:rFonts w:ascii="Calibri" w:hAnsi="Calibri" w:eastAsia="宋体" w:cs="Times New Roman"/>
      <w:kern w:val="0"/>
      <w:sz w:val="20"/>
      <w:szCs w:val="24"/>
    </w:rPr>
  </w:style>
  <w:style w:type="character" w:customStyle="1" w:styleId="60">
    <w:name w:val="批注框文本 字符"/>
    <w:basedOn w:val="33"/>
    <w:link w:val="18"/>
    <w:qFormat/>
    <w:uiPriority w:val="0"/>
    <w:rPr>
      <w:rFonts w:ascii="Calibri" w:hAnsi="Calibri" w:eastAsia="宋体" w:cs="Times New Roman"/>
      <w:kern w:val="0"/>
      <w:sz w:val="18"/>
      <w:szCs w:val="18"/>
    </w:rPr>
  </w:style>
  <w:style w:type="character" w:customStyle="1" w:styleId="61">
    <w:name w:val="HTML 预设格式 字符"/>
    <w:basedOn w:val="33"/>
    <w:link w:val="26"/>
    <w:qFormat/>
    <w:uiPriority w:val="99"/>
    <w:rPr>
      <w:rFonts w:ascii="Courier New" w:hAnsi="Courier New" w:eastAsia="宋体" w:cs="Times New Roman"/>
      <w:kern w:val="0"/>
      <w:sz w:val="20"/>
      <w:szCs w:val="20"/>
    </w:rPr>
  </w:style>
  <w:style w:type="character" w:customStyle="1" w:styleId="62">
    <w:name w:val="批注主题 字符"/>
    <w:basedOn w:val="53"/>
    <w:link w:val="28"/>
    <w:qFormat/>
    <w:uiPriority w:val="0"/>
    <w:rPr>
      <w:rFonts w:ascii="Calibri" w:hAnsi="Calibri" w:eastAsia="宋体" w:cs="Times New Roman"/>
      <w:b/>
      <w:bCs/>
      <w:kern w:val="0"/>
      <w:sz w:val="20"/>
      <w:szCs w:val="20"/>
    </w:rPr>
  </w:style>
  <w:style w:type="character" w:customStyle="1" w:styleId="63">
    <w:name w:val="正文首行缩进 字符"/>
    <w:basedOn w:val="55"/>
    <w:link w:val="29"/>
    <w:qFormat/>
    <w:uiPriority w:val="0"/>
    <w:rPr>
      <w:rFonts w:ascii="Calibri" w:hAnsi="Calibri" w:eastAsia="宋体" w:cs="Times New Roman"/>
      <w:kern w:val="0"/>
      <w:sz w:val="20"/>
      <w:szCs w:val="20"/>
    </w:rPr>
  </w:style>
  <w:style w:type="character" w:customStyle="1" w:styleId="64">
    <w:name w:val="正文首行缩进 2 字符"/>
    <w:basedOn w:val="56"/>
    <w:link w:val="30"/>
    <w:qFormat/>
    <w:uiPriority w:val="0"/>
    <w:rPr>
      <w:rFonts w:ascii="Calibri" w:hAnsi="Calibri" w:eastAsia="宋体" w:cs="Times New Roman"/>
      <w:kern w:val="0"/>
      <w:sz w:val="20"/>
      <w:szCs w:val="24"/>
    </w:rPr>
  </w:style>
  <w:style w:type="character" w:customStyle="1" w:styleId="65">
    <w:name w:val="Arial 10"/>
    <w:qFormat/>
    <w:uiPriority w:val="0"/>
    <w:rPr>
      <w:rFonts w:ascii="Arial" w:hAnsi="Arial"/>
      <w:sz w:val="20"/>
    </w:rPr>
  </w:style>
  <w:style w:type="character" w:customStyle="1" w:styleId="66">
    <w:name w:val="日期 Char1"/>
    <w:qFormat/>
    <w:uiPriority w:val="0"/>
    <w:rPr>
      <w:rFonts w:ascii="Calibri" w:hAnsi="Calibri"/>
      <w:kern w:val="2"/>
      <w:sz w:val="21"/>
      <w:szCs w:val="22"/>
    </w:rPr>
  </w:style>
  <w:style w:type="character" w:customStyle="1" w:styleId="67">
    <w:name w:val="纯文本 Char"/>
    <w:qFormat/>
    <w:uiPriority w:val="0"/>
    <w:rPr>
      <w:rFonts w:ascii="宋体" w:hAnsi="Courier New" w:cs="Courier New"/>
      <w:szCs w:val="21"/>
    </w:rPr>
  </w:style>
  <w:style w:type="character" w:customStyle="1" w:styleId="68">
    <w:name w:val="HTML 预设格式 Char"/>
    <w:qFormat/>
    <w:uiPriority w:val="0"/>
    <w:rPr>
      <w:rFonts w:ascii="Courier New" w:hAnsi="Courier New" w:cs="Courier New"/>
    </w:rPr>
  </w:style>
  <w:style w:type="character" w:customStyle="1" w:styleId="69">
    <w:name w:val="NormalCharacter"/>
    <w:qFormat/>
    <w:uiPriority w:val="0"/>
  </w:style>
  <w:style w:type="character" w:customStyle="1" w:styleId="70">
    <w:name w:val="日期 Char"/>
    <w:qFormat/>
    <w:uiPriority w:val="0"/>
    <w:rPr>
      <w:szCs w:val="24"/>
    </w:rPr>
  </w:style>
  <w:style w:type="character" w:customStyle="1" w:styleId="71">
    <w:name w:val="正文文本缩进 Char1"/>
    <w:qFormat/>
    <w:uiPriority w:val="0"/>
    <w:rPr>
      <w:rFonts w:ascii="Calibri" w:hAnsi="Calibri"/>
      <w:kern w:val="2"/>
      <w:sz w:val="21"/>
      <w:szCs w:val="22"/>
    </w:rPr>
  </w:style>
  <w:style w:type="character" w:customStyle="1" w:styleId="72">
    <w:name w:val="首行缩进2字符 Char"/>
    <w:link w:val="73"/>
    <w:qFormat/>
    <w:uiPriority w:val="0"/>
    <w:rPr>
      <w:bCs/>
      <w:sz w:val="24"/>
      <w:szCs w:val="24"/>
    </w:rPr>
  </w:style>
  <w:style w:type="paragraph" w:customStyle="1" w:styleId="73">
    <w:name w:val="首行缩进2字符"/>
    <w:basedOn w:val="1"/>
    <w:next w:val="1"/>
    <w:link w:val="72"/>
    <w:qFormat/>
    <w:uiPriority w:val="0"/>
    <w:pPr>
      <w:spacing w:line="360" w:lineRule="auto"/>
      <w:ind w:firstLine="200" w:firstLineChars="200"/>
    </w:pPr>
    <w:rPr>
      <w:bCs/>
      <w:sz w:val="24"/>
      <w:szCs w:val="24"/>
    </w:rPr>
  </w:style>
  <w:style w:type="character" w:customStyle="1" w:styleId="74">
    <w:name w:val="样式 (符号) 宋体 小三 加粗 黑色"/>
    <w:qFormat/>
    <w:uiPriority w:val="0"/>
    <w:rPr>
      <w:b/>
      <w:bCs/>
      <w:color w:val="000000"/>
      <w:sz w:val="30"/>
    </w:rPr>
  </w:style>
  <w:style w:type="character" w:customStyle="1" w:styleId="75">
    <w:name w:val="cucd-0 Char"/>
    <w:qFormat/>
    <w:uiPriority w:val="99"/>
    <w:rPr>
      <w:kern w:val="2"/>
      <w:sz w:val="24"/>
      <w:szCs w:val="24"/>
      <w:lang w:val="en-US" w:eastAsia="zh-CN" w:bidi="ar-SA"/>
    </w:rPr>
  </w:style>
  <w:style w:type="character" w:customStyle="1" w:styleId="76">
    <w:name w:val="正文文本缩进 2 Char"/>
    <w:qFormat/>
    <w:uiPriority w:val="0"/>
    <w:rPr>
      <w:szCs w:val="24"/>
    </w:rPr>
  </w:style>
  <w:style w:type="character" w:customStyle="1" w:styleId="77">
    <w:name w:val="正文文本缩进 Char"/>
    <w:qFormat/>
    <w:uiPriority w:val="0"/>
    <w:rPr>
      <w:szCs w:val="21"/>
    </w:rPr>
  </w:style>
  <w:style w:type="character" w:customStyle="1" w:styleId="78">
    <w:name w:val="批注文字 Char"/>
    <w:qFormat/>
    <w:uiPriority w:val="0"/>
    <w:rPr>
      <w:rFonts w:eastAsia="宋体"/>
    </w:rPr>
  </w:style>
  <w:style w:type="character" w:customStyle="1" w:styleId="79">
    <w:name w:val="Arial 12 Fett"/>
    <w:qFormat/>
    <w:uiPriority w:val="0"/>
    <w:rPr>
      <w:rFonts w:ascii="Arial" w:hAnsi="Arial"/>
      <w:b/>
      <w:sz w:val="24"/>
    </w:rPr>
  </w:style>
  <w:style w:type="character" w:customStyle="1" w:styleId="80">
    <w:name w:val="fontstyle11"/>
    <w:qFormat/>
    <w:uiPriority w:val="0"/>
    <w:rPr>
      <w:rFonts w:hint="default" w:ascii="Times New Roman" w:hAnsi="Times New Roman" w:cs="Times New Roman"/>
      <w:color w:val="000000"/>
      <w:sz w:val="22"/>
      <w:szCs w:val="22"/>
    </w:rPr>
  </w:style>
  <w:style w:type="character" w:customStyle="1" w:styleId="81">
    <w:name w:val="cucd-0 Char Char"/>
    <w:link w:val="82"/>
    <w:qFormat/>
    <w:uiPriority w:val="0"/>
    <w:rPr>
      <w:sz w:val="24"/>
      <w:szCs w:val="24"/>
    </w:rPr>
  </w:style>
  <w:style w:type="paragraph" w:customStyle="1" w:styleId="82">
    <w:name w:val="cucd-0"/>
    <w:link w:val="81"/>
    <w:qFormat/>
    <w:uiPriority w:val="0"/>
    <w:pPr>
      <w:spacing w:line="360" w:lineRule="auto"/>
      <w:ind w:firstLine="480" w:firstLineChars="200"/>
    </w:pPr>
    <w:rPr>
      <w:rFonts w:ascii="等线" w:hAnsi="等线" w:eastAsia="等线" w:cs="宋体"/>
      <w:kern w:val="2"/>
      <w:sz w:val="24"/>
      <w:szCs w:val="24"/>
      <w:lang w:val="en-US" w:eastAsia="zh-CN" w:bidi="ar-SA"/>
    </w:rPr>
  </w:style>
  <w:style w:type="character" w:customStyle="1" w:styleId="83">
    <w:name w:val="HTML 预设格式 Char1"/>
    <w:qFormat/>
    <w:uiPriority w:val="0"/>
    <w:rPr>
      <w:rFonts w:ascii="Courier New" w:hAnsi="Courier New" w:cs="Courier New"/>
      <w:kern w:val="2"/>
    </w:rPr>
  </w:style>
  <w:style w:type="character" w:customStyle="1" w:styleId="84">
    <w:name w:val="fontstyle01"/>
    <w:qFormat/>
    <w:uiPriority w:val="0"/>
    <w:rPr>
      <w:rFonts w:hint="eastAsia" w:ascii="宋体" w:hAnsi="宋体" w:eastAsia="宋体"/>
      <w:color w:val="000000"/>
      <w:sz w:val="22"/>
      <w:szCs w:val="22"/>
    </w:rPr>
  </w:style>
  <w:style w:type="character" w:customStyle="1" w:styleId="85">
    <w:name w:val="正文文本缩进 2 Char1"/>
    <w:qFormat/>
    <w:uiPriority w:val="0"/>
    <w:rPr>
      <w:rFonts w:ascii="Calibri" w:hAnsi="Calibri"/>
      <w:kern w:val="2"/>
      <w:sz w:val="21"/>
      <w:szCs w:val="22"/>
    </w:rPr>
  </w:style>
  <w:style w:type="character" w:customStyle="1" w:styleId="86">
    <w:name w:val="纯文本 Char1"/>
    <w:qFormat/>
    <w:uiPriority w:val="0"/>
    <w:rPr>
      <w:rFonts w:ascii="宋体" w:hAnsi="Courier New" w:cs="Courier New"/>
      <w:kern w:val="2"/>
      <w:sz w:val="21"/>
      <w:szCs w:val="21"/>
    </w:rPr>
  </w:style>
  <w:style w:type="paragraph" w:customStyle="1" w:styleId="87">
    <w:name w:val="cucd-1"/>
    <w:next w:val="88"/>
    <w:qFormat/>
    <w:uiPriority w:val="0"/>
    <w:pPr>
      <w:pageBreakBefore/>
      <w:tabs>
        <w:tab w:val="left" w:pos="3260"/>
      </w:tabs>
      <w:spacing w:afterLines="50" w:line="360" w:lineRule="auto"/>
      <w:outlineLvl w:val="0"/>
    </w:pPr>
    <w:rPr>
      <w:rFonts w:ascii="Calibri" w:hAnsi="Calibri" w:eastAsia="黑体" w:cs="Times New Roman"/>
      <w:b/>
      <w:kern w:val="2"/>
      <w:sz w:val="28"/>
      <w:szCs w:val="28"/>
      <w:lang w:val="en-US" w:eastAsia="zh-CN" w:bidi="ar-SA"/>
    </w:rPr>
  </w:style>
  <w:style w:type="paragraph" w:customStyle="1" w:styleId="88">
    <w:name w:val="cucd-2"/>
    <w:next w:val="89"/>
    <w:qFormat/>
    <w:uiPriority w:val="0"/>
    <w:pPr>
      <w:tabs>
        <w:tab w:val="left" w:pos="567"/>
      </w:tabs>
      <w:spacing w:line="360" w:lineRule="auto"/>
      <w:outlineLvl w:val="1"/>
    </w:pPr>
    <w:rPr>
      <w:rFonts w:ascii="宋体" w:hAnsi="宋体" w:eastAsia="宋体" w:cs="Times New Roman"/>
      <w:b/>
      <w:kern w:val="2"/>
      <w:sz w:val="21"/>
      <w:szCs w:val="21"/>
      <w:lang w:val="en-US" w:eastAsia="zh-CN" w:bidi="ar-SA"/>
    </w:rPr>
  </w:style>
  <w:style w:type="paragraph" w:customStyle="1" w:styleId="89">
    <w:name w:val="cucd-3"/>
    <w:next w:val="1"/>
    <w:qFormat/>
    <w:uiPriority w:val="0"/>
    <w:pPr>
      <w:tabs>
        <w:tab w:val="left" w:pos="1276"/>
      </w:tabs>
      <w:spacing w:line="360" w:lineRule="auto"/>
      <w:outlineLvl w:val="2"/>
    </w:pPr>
    <w:rPr>
      <w:rFonts w:ascii="Calibri" w:hAnsi="Calibri" w:eastAsia="宋体" w:cs="Times New Roman"/>
      <w:kern w:val="2"/>
      <w:sz w:val="21"/>
      <w:szCs w:val="21"/>
      <w:lang w:val="en-US" w:eastAsia="zh-CN" w:bidi="ar-SA"/>
    </w:rPr>
  </w:style>
  <w:style w:type="paragraph" w:customStyle="1" w:styleId="90">
    <w:name w:val="WPSOffice手动目录 1"/>
    <w:qFormat/>
    <w:uiPriority w:val="0"/>
    <w:rPr>
      <w:rFonts w:ascii="Calibri" w:hAnsi="Calibri" w:eastAsia="宋体" w:cs="Times New Roman"/>
      <w:lang w:val="en-US" w:eastAsia="zh-CN" w:bidi="ar-SA"/>
    </w:rPr>
  </w:style>
  <w:style w:type="paragraph" w:customStyle="1" w:styleId="91">
    <w:name w:val="默认段落字体 Para Char"/>
    <w:basedOn w:val="1"/>
    <w:qFormat/>
    <w:uiPriority w:val="0"/>
    <w:rPr>
      <w:rFonts w:ascii="Times New Roman" w:hAnsi="Times New Roman" w:eastAsia="宋体" w:cs="Times New Roman"/>
      <w:szCs w:val="24"/>
    </w:rPr>
  </w:style>
  <w:style w:type="paragraph" w:customStyle="1" w:styleId="92">
    <w:name w:val="TOC 标题11"/>
    <w:basedOn w:val="3"/>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93">
    <w:name w:val="首行缩进"/>
    <w:basedOn w:val="1"/>
    <w:next w:val="1"/>
    <w:qFormat/>
    <w:uiPriority w:val="0"/>
    <w:pPr>
      <w:ind w:firstLine="200" w:firstLineChars="200"/>
    </w:pPr>
    <w:rPr>
      <w:rFonts w:ascii="Times New Roman" w:hAnsi="Times New Roman" w:eastAsia="宋体" w:cs="Times New Roman"/>
      <w:szCs w:val="24"/>
    </w:rPr>
  </w:style>
  <w:style w:type="paragraph" w:customStyle="1" w:styleId="94">
    <w:name w:val="Text7-1 Char"/>
    <w:basedOn w:val="1"/>
    <w:qFormat/>
    <w:uiPriority w:val="0"/>
    <w:pPr>
      <w:adjustRightInd w:val="0"/>
      <w:textAlignment w:val="baseline"/>
    </w:pPr>
    <w:rPr>
      <w:rFonts w:ascii="Times New Roman" w:hAnsi="Times New Roman" w:eastAsia="宋体" w:cs="Times New Roman"/>
      <w:kern w:val="0"/>
      <w:sz w:val="24"/>
      <w:szCs w:val="24"/>
    </w:rPr>
  </w:style>
  <w:style w:type="paragraph" w:customStyle="1" w:styleId="95">
    <w:name w:val="表格1"/>
    <w:basedOn w:val="1"/>
    <w:qFormat/>
    <w:uiPriority w:val="0"/>
    <w:pPr>
      <w:adjustRightInd w:val="0"/>
      <w:textAlignment w:val="baseline"/>
    </w:pPr>
    <w:rPr>
      <w:rFonts w:ascii="Times New Roman" w:hAnsi="Times New Roman" w:eastAsia="宋体" w:cs="Times New Roman"/>
      <w:kern w:val="24"/>
      <w:szCs w:val="21"/>
    </w:rPr>
  </w:style>
  <w:style w:type="paragraph" w:customStyle="1" w:styleId="96">
    <w:name w:val="Default"/>
    <w:qFormat/>
    <w:uiPriority w:val="0"/>
    <w:pPr>
      <w:widowControl w:val="0"/>
      <w:autoSpaceDE w:val="0"/>
      <w:autoSpaceDN w:val="0"/>
      <w:adjustRightInd w:val="0"/>
    </w:pPr>
    <w:rPr>
      <w:rFonts w:ascii="Arial" w:hAnsi="Arial" w:eastAsia="宋体" w:cs="Times New Roman"/>
      <w:color w:val="000000"/>
      <w:sz w:val="24"/>
      <w:lang w:val="en-US" w:eastAsia="zh-CN" w:bidi="ar-SA"/>
    </w:rPr>
  </w:style>
  <w:style w:type="paragraph" w:customStyle="1" w:styleId="97">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98">
    <w:name w:val="列出段落1"/>
    <w:basedOn w:val="1"/>
    <w:qFormat/>
    <w:uiPriority w:val="99"/>
    <w:pPr>
      <w:ind w:firstLine="420" w:firstLineChars="200"/>
    </w:pPr>
    <w:rPr>
      <w:rFonts w:ascii="Calibri" w:hAnsi="Calibri" w:eastAsia="宋体" w:cs="Times New Roman"/>
      <w:szCs w:val="20"/>
    </w:rPr>
  </w:style>
  <w:style w:type="paragraph" w:customStyle="1" w:styleId="99">
    <w:name w:val="Char Char1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00">
    <w:name w:val="表格"/>
    <w:basedOn w:val="1"/>
    <w:qFormat/>
    <w:uiPriority w:val="0"/>
    <w:pPr>
      <w:tabs>
        <w:tab w:val="left" w:pos="737"/>
      </w:tabs>
      <w:adjustRightInd w:val="0"/>
      <w:spacing w:before="60" w:after="60" w:line="240" w:lineRule="atLeast"/>
      <w:jc w:val="center"/>
      <w:textAlignment w:val="bottom"/>
    </w:pPr>
    <w:rPr>
      <w:rFonts w:ascii="Times New Roman" w:hAnsi="Times New Roman" w:eastAsia="宋体" w:cs="Times New Roman"/>
      <w:kern w:val="0"/>
      <w:szCs w:val="21"/>
    </w:rPr>
  </w:style>
  <w:style w:type="paragraph" w:customStyle="1" w:styleId="101">
    <w:name w:val="Char Char2 Char Char Char Char Char Char"/>
    <w:basedOn w:val="1"/>
    <w:qFormat/>
    <w:uiPriority w:val="0"/>
    <w:pPr>
      <w:spacing w:line="360" w:lineRule="auto"/>
    </w:pPr>
    <w:rPr>
      <w:rFonts w:ascii="宋体" w:hAnsi="宋体" w:eastAsia="宋体" w:cs="Times New Roman"/>
      <w:sz w:val="22"/>
      <w:szCs w:val="24"/>
    </w:rPr>
  </w:style>
  <w:style w:type="paragraph" w:customStyle="1" w:styleId="102">
    <w:name w:val="Char"/>
    <w:basedOn w:val="1"/>
    <w:qFormat/>
    <w:uiPriority w:val="0"/>
    <w:rPr>
      <w:rFonts w:ascii="Times New Roman" w:hAnsi="Times New Roman" w:eastAsia="宋体" w:cs="Times New Roman"/>
      <w:szCs w:val="24"/>
    </w:rPr>
  </w:style>
  <w:style w:type="paragraph" w:customStyle="1" w:styleId="103">
    <w:name w:val="Char1"/>
    <w:basedOn w:val="1"/>
    <w:qFormat/>
    <w:uiPriority w:val="0"/>
    <w:rPr>
      <w:rFonts w:ascii="Times New Roman" w:hAnsi="Times New Roman" w:eastAsia="宋体" w:cs="Times New Roman"/>
      <w:szCs w:val="21"/>
    </w:rPr>
  </w:style>
  <w:style w:type="paragraph" w:customStyle="1" w:styleId="104">
    <w:name w:val="修订1"/>
    <w:qFormat/>
    <w:uiPriority w:val="99"/>
    <w:rPr>
      <w:rFonts w:ascii="Calibri" w:hAnsi="Calibri" w:eastAsia="宋体" w:cs="Times New Roman"/>
      <w:kern w:val="2"/>
      <w:sz w:val="21"/>
      <w:szCs w:val="22"/>
      <w:lang w:val="en-US" w:eastAsia="zh-CN" w:bidi="ar-SA"/>
    </w:rPr>
  </w:style>
  <w:style w:type="paragraph" w:customStyle="1" w:styleId="105">
    <w:name w:val="Char Char Char1 Char"/>
    <w:basedOn w:val="8"/>
    <w:qFormat/>
    <w:uiPriority w:val="0"/>
    <w:rPr>
      <w:rFonts w:ascii="Tahoma" w:hAnsi="Tahoma"/>
      <w:sz w:val="24"/>
      <w:szCs w:val="24"/>
    </w:rPr>
  </w:style>
  <w:style w:type="paragraph" w:customStyle="1" w:styleId="106">
    <w:name w:val="默认段落字体 Para Char Char Char Char"/>
    <w:basedOn w:val="1"/>
    <w:qFormat/>
    <w:uiPriority w:val="0"/>
    <w:pPr>
      <w:spacing w:line="480" w:lineRule="exact"/>
      <w:outlineLvl w:val="3"/>
    </w:pPr>
    <w:rPr>
      <w:rFonts w:ascii="Times New Roman" w:hAnsi="Times New Roman" w:eastAsia="宋体" w:cs="Times New Roman"/>
      <w:b/>
      <w:sz w:val="24"/>
      <w:szCs w:val="24"/>
    </w:rPr>
  </w:style>
  <w:style w:type="paragraph" w:customStyle="1" w:styleId="107">
    <w:name w:val="正文1"/>
    <w:qFormat/>
    <w:uiPriority w:val="0"/>
    <w:pPr>
      <w:ind w:firstLine="360"/>
    </w:pPr>
    <w:rPr>
      <w:rFonts w:hint="eastAsia" w:ascii="Calibri" w:hAnsi="Calibri" w:eastAsia="宋体" w:cs="Times New Roman"/>
      <w:sz w:val="22"/>
      <w:lang w:val="en-US" w:eastAsia="en-US" w:bidi="ar-SA"/>
    </w:rPr>
  </w:style>
  <w:style w:type="paragraph" w:customStyle="1" w:styleId="108">
    <w:name w:val="样式1"/>
    <w:basedOn w:val="1"/>
    <w:qFormat/>
    <w:uiPriority w:val="0"/>
    <w:pPr>
      <w:adjustRightInd w:val="0"/>
      <w:spacing w:line="420" w:lineRule="auto"/>
      <w:jc w:val="center"/>
      <w:textAlignment w:val="baseline"/>
    </w:pPr>
    <w:rPr>
      <w:rFonts w:ascii="宋体" w:hAnsi="新宋体" w:eastAsia="新宋体" w:cs="Times New Roman"/>
      <w:kern w:val="0"/>
      <w:sz w:val="24"/>
      <w:szCs w:val="21"/>
    </w:rPr>
  </w:style>
  <w:style w:type="paragraph" w:customStyle="1" w:styleId="109">
    <w:name w:val="Char2"/>
    <w:basedOn w:val="1"/>
    <w:qFormat/>
    <w:uiPriority w:val="0"/>
    <w:rPr>
      <w:rFonts w:ascii="Times New Roman" w:hAnsi="Times New Roman" w:eastAsia="宋体" w:cs="Times New Roman"/>
      <w:szCs w:val="24"/>
    </w:rPr>
  </w:style>
  <w:style w:type="paragraph" w:customStyle="1" w:styleId="110">
    <w:name w:val="Char Char Char Char"/>
    <w:basedOn w:val="1"/>
    <w:qFormat/>
    <w:uiPriority w:val="0"/>
    <w:rPr>
      <w:rFonts w:ascii="Times New Roman" w:hAnsi="Times New Roman" w:eastAsia="宋体" w:cs="Times New Roman"/>
      <w:szCs w:val="21"/>
    </w:rPr>
  </w:style>
  <w:style w:type="paragraph" w:customStyle="1" w:styleId="111">
    <w:name w:val="Table Paragraph"/>
    <w:basedOn w:val="1"/>
    <w:qFormat/>
    <w:uiPriority w:val="0"/>
    <w:pPr>
      <w:autoSpaceDE w:val="0"/>
      <w:autoSpaceDN w:val="0"/>
      <w:adjustRightInd w:val="0"/>
      <w:jc w:val="left"/>
    </w:pPr>
    <w:rPr>
      <w:rFonts w:ascii="Calibri" w:hAnsi="Calibri" w:eastAsia="宋体" w:cs="Times New Roman"/>
      <w:kern w:val="0"/>
      <w:sz w:val="24"/>
      <w:szCs w:val="24"/>
    </w:rPr>
  </w:style>
  <w:style w:type="paragraph" w:styleId="112">
    <w:name w:val="List Paragraph"/>
    <w:basedOn w:val="1"/>
    <w:qFormat/>
    <w:uiPriority w:val="99"/>
    <w:pPr>
      <w:ind w:firstLine="420" w:firstLineChars="200"/>
    </w:pPr>
  </w:style>
  <w:style w:type="character" w:customStyle="1" w:styleId="113">
    <w:name w:val="username"/>
    <w:basedOn w:val="33"/>
    <w:qFormat/>
    <w:uiPriority w:val="0"/>
  </w:style>
  <w:style w:type="character" w:customStyle="1" w:styleId="114">
    <w:name w:val="title24"/>
    <w:basedOn w:val="33"/>
    <w:qFormat/>
    <w:uiPriority w:val="0"/>
  </w:style>
  <w:style w:type="character" w:customStyle="1" w:styleId="115">
    <w:name w:val="title23"/>
    <w:basedOn w:val="33"/>
    <w:qFormat/>
    <w:uiPriority w:val="0"/>
  </w:style>
  <w:style w:type="character" w:customStyle="1" w:styleId="116">
    <w:name w:val="title22"/>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62819D-3969-42FF-94AF-994C94CE0EF0}">
  <ds:schemaRefs/>
</ds:datastoreItem>
</file>

<file path=docProps/app.xml><?xml version="1.0" encoding="utf-8"?>
<Properties xmlns="http://schemas.openxmlformats.org/officeDocument/2006/extended-properties" xmlns:vt="http://schemas.openxmlformats.org/officeDocument/2006/docPropsVTypes">
  <Template>Normal.dotm</Template>
  <Pages>85</Pages>
  <Words>3419</Words>
  <Characters>3828</Characters>
  <Lines>274</Lines>
  <Paragraphs>77</Paragraphs>
  <TotalTime>0</TotalTime>
  <ScaleCrop>false</ScaleCrop>
  <LinksUpToDate>false</LinksUpToDate>
  <CharactersWithSpaces>3964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2024-05-10T09:50:00Z</dcterms:created>
  <dc:creator>EDY</dc:creator>
  <cp:lastModifiedBy>D</cp:lastModifiedBy>
  <dcterms:modified xsi:type="dcterms:W3CDTF">2025-06-13T06:48:06Z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DD274E77B69444A9B22DA4D93F1816CB_13</vt:lpwstr>
  </property>
  <property fmtid="{D5CDD505-2E9C-101B-9397-08002B2CF9AE}" pid="4" name="KSOTemplateDocerSaveRecord">
    <vt:lpwstr>eyJoZGlkIjoiNzUyMjEzY2JkZTRhOWM2NTMyNzVkZDgyZmYxMWE3ZjUiLCJ1c2VySWQiOiI1NzQ1ODI4OTIifQ==</vt:lpwstr>
  </property>
</Properties>
</file>