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AFE9B">
      <w:pPr>
        <w:spacing w:line="360" w:lineRule="auto"/>
        <w:jc w:val="center"/>
        <w:rPr>
          <w:rFonts w:hint="eastAsia" w:ascii="宋体" w:hAnsi="宋体" w:eastAsia="宋体" w:cs="宋体"/>
          <w:b/>
          <w:color w:val="auto"/>
          <w:sz w:val="36"/>
          <w:szCs w:val="32"/>
          <w:highlight w:val="none"/>
          <w:lang w:val="en-US" w:eastAsia="zh-CN"/>
        </w:rPr>
      </w:pPr>
      <w:r>
        <w:rPr>
          <w:rFonts w:hint="eastAsia" w:ascii="宋体" w:hAnsi="宋体" w:eastAsia="宋体" w:cs="宋体"/>
          <w:b/>
          <w:color w:val="auto"/>
          <w:sz w:val="36"/>
          <w:szCs w:val="32"/>
          <w:highlight w:val="none"/>
          <w:lang w:eastAsia="zh-CN"/>
        </w:rPr>
        <w:t>中国大酒店部分客用电梯及相关配套更新（</w:t>
      </w:r>
      <w:r>
        <w:rPr>
          <w:rFonts w:hint="eastAsia" w:ascii="宋体" w:hAnsi="宋体" w:eastAsia="宋体" w:cs="宋体"/>
          <w:b/>
          <w:color w:val="auto"/>
          <w:sz w:val="36"/>
          <w:szCs w:val="32"/>
          <w:highlight w:val="none"/>
          <w:lang w:val="en-US" w:eastAsia="zh-CN"/>
        </w:rPr>
        <w:t>项目编号：JG2025-2364</w:t>
      </w:r>
      <w:r>
        <w:rPr>
          <w:rFonts w:hint="eastAsia" w:ascii="宋体" w:hAnsi="宋体" w:eastAsia="宋体" w:cs="宋体"/>
          <w:b/>
          <w:color w:val="auto"/>
          <w:sz w:val="36"/>
          <w:szCs w:val="32"/>
          <w:highlight w:val="none"/>
          <w:lang w:eastAsia="zh-CN"/>
        </w:rPr>
        <w:t>）</w:t>
      </w:r>
      <w:r>
        <w:rPr>
          <w:rFonts w:hint="eastAsia" w:ascii="宋体" w:hAnsi="宋体" w:eastAsia="宋体" w:cs="宋体"/>
          <w:b/>
          <w:color w:val="auto"/>
          <w:sz w:val="36"/>
          <w:szCs w:val="32"/>
          <w:highlight w:val="none"/>
          <w:lang w:val="en-US" w:eastAsia="zh-CN"/>
        </w:rPr>
        <w:t>补充公告</w:t>
      </w:r>
    </w:p>
    <w:p w14:paraId="40C76FFD">
      <w:pPr>
        <w:pStyle w:val="7"/>
        <w:spacing w:line="360" w:lineRule="auto"/>
        <w:rPr>
          <w:rFonts w:hint="eastAsia" w:ascii="宋体" w:hAnsi="宋体" w:eastAsia="宋体" w:cs="宋体"/>
          <w:color w:val="auto"/>
          <w:lang w:val="en-US" w:eastAsia="zh-CN"/>
        </w:rPr>
      </w:pPr>
    </w:p>
    <w:p w14:paraId="3169982B">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中国大酒店部分客用电梯及相关配套更新（</w:t>
      </w:r>
      <w:r>
        <w:rPr>
          <w:rFonts w:hint="eastAsia" w:ascii="宋体" w:hAnsi="宋体" w:eastAsia="宋体" w:cs="宋体"/>
          <w:b w:val="0"/>
          <w:bCs/>
          <w:color w:val="auto"/>
          <w:sz w:val="22"/>
          <w:szCs w:val="22"/>
          <w:highlight w:val="none"/>
          <w:lang w:val="en-US" w:eastAsia="zh-CN"/>
        </w:rPr>
        <w:t>项目编号：JG2025-2364</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于2025年05月29日在广州公共资源交易中心网站发布招标公告，现对原招标公告和招标文件的相关内容作如下修改:</w:t>
      </w:r>
    </w:p>
    <w:p w14:paraId="7391EBA3">
      <w:pPr>
        <w:pStyle w:val="7"/>
        <w:rPr>
          <w:rFonts w:hint="eastAsia"/>
          <w:b/>
          <w:bCs/>
          <w:color w:val="auto"/>
          <w:lang w:val="en-US"/>
        </w:rPr>
      </w:pPr>
      <w:r>
        <w:rPr>
          <w:rFonts w:hint="eastAsia"/>
          <w:b/>
          <w:bCs/>
          <w:color w:val="auto"/>
          <w:lang w:val="en-US"/>
        </w:rPr>
        <w:t>一、招标公告及招标文件修改如下: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889"/>
        <w:gridCol w:w="5398"/>
        <w:gridCol w:w="5458"/>
      </w:tblGrid>
      <w:tr w14:paraId="5E49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3B965F38">
            <w:pPr>
              <w:jc w:val="center"/>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序号</w:t>
            </w:r>
          </w:p>
        </w:tc>
        <w:tc>
          <w:tcPr>
            <w:tcW w:w="2889" w:type="dxa"/>
            <w:vAlign w:val="center"/>
          </w:tcPr>
          <w:p w14:paraId="772DD5D4">
            <w:pPr>
              <w:jc w:val="center"/>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条款号</w:t>
            </w:r>
          </w:p>
        </w:tc>
        <w:tc>
          <w:tcPr>
            <w:tcW w:w="5398" w:type="dxa"/>
            <w:vAlign w:val="center"/>
          </w:tcPr>
          <w:p w14:paraId="5BABC565">
            <w:pPr>
              <w:jc w:val="center"/>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原文</w:t>
            </w:r>
          </w:p>
        </w:tc>
        <w:tc>
          <w:tcPr>
            <w:tcW w:w="5458" w:type="dxa"/>
            <w:vAlign w:val="center"/>
          </w:tcPr>
          <w:p w14:paraId="691072E4">
            <w:pPr>
              <w:jc w:val="center"/>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现文</w:t>
            </w:r>
          </w:p>
        </w:tc>
      </w:tr>
      <w:tr w14:paraId="68AC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14:paraId="0E278963">
            <w:pPr>
              <w:jc w:val="center"/>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招标公告</w:t>
            </w:r>
          </w:p>
        </w:tc>
      </w:tr>
      <w:tr w14:paraId="3161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4EDE62C9">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547B5ADF">
            <w:pPr>
              <w:numPr>
                <w:ilvl w:val="0"/>
                <w:numId w:val="1"/>
              </w:numPr>
              <w:jc w:val="both"/>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 xml:space="preserve">投标人资格要求  3.1.1资质要求 </w:t>
            </w:r>
          </w:p>
        </w:tc>
        <w:tc>
          <w:tcPr>
            <w:tcW w:w="5398" w:type="dxa"/>
          </w:tcPr>
          <w:p w14:paraId="119261E9">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原文详见原招标公告</w:t>
            </w:r>
          </w:p>
        </w:tc>
        <w:tc>
          <w:tcPr>
            <w:tcW w:w="5458" w:type="dxa"/>
          </w:tcPr>
          <w:p w14:paraId="76D0E479">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增加：</w:t>
            </w:r>
            <w:r>
              <w:rPr>
                <w:rFonts w:hint="eastAsia" w:asciiTheme="majorEastAsia" w:hAnsiTheme="majorEastAsia" w:eastAsiaTheme="majorEastAsia" w:cstheme="majorEastAsia"/>
                <w:color w:val="auto"/>
                <w:sz w:val="21"/>
                <w:szCs w:val="21"/>
                <w:highlight w:val="none"/>
                <w:u w:val="single"/>
                <w:vertAlign w:val="baseline"/>
                <w:lang w:val="en-US" w:eastAsia="zh-CN"/>
              </w:rPr>
              <w:t>③需提供完全满足本项目电梯（含曳引式客梯）规格有效的《特种设备型式试验证书（电梯）》。</w:t>
            </w:r>
          </w:p>
        </w:tc>
      </w:tr>
      <w:tr w14:paraId="1172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73E93A94">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4BD01989">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rPr>
              <w:t>4. 招标文件的获取及招标公告发布</w:t>
            </w:r>
            <w:r>
              <w:rPr>
                <w:rFonts w:hint="eastAsia" w:asciiTheme="majorEastAsia" w:hAnsiTheme="majorEastAsia" w:eastAsiaTheme="majorEastAsia" w:cstheme="majorEastAsia"/>
                <w:color w:val="auto"/>
                <w:sz w:val="21"/>
                <w:szCs w:val="21"/>
                <w:highlight w:val="none"/>
                <w:vertAlign w:val="baseline"/>
                <w:lang w:val="en-US" w:eastAsia="zh-CN"/>
              </w:rPr>
              <w:t xml:space="preserve"> 第</w:t>
            </w:r>
            <w:r>
              <w:rPr>
                <w:rFonts w:hint="eastAsia" w:asciiTheme="majorEastAsia" w:hAnsiTheme="majorEastAsia" w:eastAsiaTheme="majorEastAsia" w:cstheme="majorEastAsia"/>
                <w:color w:val="auto"/>
                <w:kern w:val="0"/>
                <w:sz w:val="21"/>
                <w:szCs w:val="21"/>
                <w:highlight w:val="none"/>
              </w:rPr>
              <w:t>4.2</w:t>
            </w:r>
            <w:r>
              <w:rPr>
                <w:rFonts w:hint="eastAsia" w:asciiTheme="majorEastAsia" w:hAnsiTheme="majorEastAsia" w:eastAsiaTheme="majorEastAsia" w:cstheme="majorEastAsia"/>
                <w:color w:val="auto"/>
                <w:kern w:val="0"/>
                <w:sz w:val="21"/>
                <w:szCs w:val="21"/>
                <w:highlight w:val="none"/>
                <w:lang w:val="en-US" w:eastAsia="zh-CN"/>
              </w:rPr>
              <w:t>条</w:t>
            </w:r>
          </w:p>
        </w:tc>
        <w:tc>
          <w:tcPr>
            <w:tcW w:w="5398" w:type="dxa"/>
            <w:vAlign w:val="center"/>
          </w:tcPr>
          <w:p w14:paraId="13DA4F30">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4.2本项目采用资格后审方式。</w:t>
            </w:r>
          </w:p>
        </w:tc>
        <w:tc>
          <w:tcPr>
            <w:tcW w:w="5458" w:type="dxa"/>
            <w:vAlign w:val="center"/>
          </w:tcPr>
          <w:p w14:paraId="55B4F4F1">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4.2本项目采用资格后审方式，</w:t>
            </w:r>
            <w:r>
              <w:rPr>
                <w:rFonts w:hint="eastAsia" w:asciiTheme="majorEastAsia" w:hAnsiTheme="majorEastAsia" w:eastAsiaTheme="majorEastAsia" w:cstheme="majorEastAsia"/>
                <w:color w:val="auto"/>
                <w:sz w:val="21"/>
                <w:szCs w:val="21"/>
                <w:highlight w:val="none"/>
                <w:u w:val="single"/>
                <w:vertAlign w:val="baseline"/>
                <w:lang w:val="en-US"/>
              </w:rPr>
              <w:t>由评标委员会负责资格审查，投标人不足3名或通过形式评审、资格评审、响应性评审的投标人不足3名时为招标失败。招标人分析招标失败原因，修正招标方案，重新组织招标。</w:t>
            </w:r>
          </w:p>
        </w:tc>
      </w:tr>
      <w:tr w14:paraId="7AB2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6DF83603">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309AD9A7">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7. 联系方式</w:t>
            </w:r>
          </w:p>
        </w:tc>
        <w:tc>
          <w:tcPr>
            <w:tcW w:w="5398" w:type="dxa"/>
            <w:vAlign w:val="center"/>
          </w:tcPr>
          <w:p w14:paraId="7131B4A7">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招标监督机构：广州市越秀区建设工程招投标管理中心</w:t>
            </w:r>
          </w:p>
        </w:tc>
        <w:tc>
          <w:tcPr>
            <w:tcW w:w="5458" w:type="dxa"/>
            <w:vAlign w:val="center"/>
          </w:tcPr>
          <w:p w14:paraId="028B23FE">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招标监督机构：广州市越秀区建设工程招投标管理中心</w:t>
            </w:r>
          </w:p>
          <w:p w14:paraId="3A847676">
            <w:pPr>
              <w:rPr>
                <w:rFonts w:hint="eastAsia" w:asciiTheme="majorEastAsia" w:hAnsiTheme="majorEastAsia" w:eastAsiaTheme="majorEastAsia" w:cstheme="majorEastAsia"/>
                <w:color w:val="auto"/>
                <w:sz w:val="21"/>
                <w:szCs w:val="21"/>
                <w:highlight w:val="none"/>
                <w:u w:val="single"/>
                <w:vertAlign w:val="baseline"/>
                <w:lang w:val="en-US" w:eastAsia="zh-CN"/>
              </w:rPr>
            </w:pPr>
            <w:r>
              <w:rPr>
                <w:rFonts w:hint="eastAsia" w:asciiTheme="majorEastAsia" w:hAnsiTheme="majorEastAsia" w:eastAsiaTheme="majorEastAsia" w:cstheme="majorEastAsia"/>
                <w:color w:val="auto"/>
                <w:sz w:val="21"/>
                <w:szCs w:val="21"/>
                <w:highlight w:val="none"/>
                <w:u w:val="single"/>
                <w:vertAlign w:val="baseline"/>
                <w:lang w:val="en-US" w:eastAsia="zh-CN"/>
              </w:rPr>
              <w:t>联系地址：广州市越秀区东华东路 353 号锦桦荟 336 室</w:t>
            </w:r>
          </w:p>
          <w:p w14:paraId="3F6E7374">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u w:val="single"/>
                <w:vertAlign w:val="baseline"/>
                <w:lang w:val="en-US" w:eastAsia="zh-CN"/>
              </w:rPr>
              <w:t>联系电话：020-37668900</w:t>
            </w:r>
          </w:p>
        </w:tc>
      </w:tr>
      <w:tr w14:paraId="7C54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53BB6E0E">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4A165B55">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招标公告 附件-招标人声明</w:t>
            </w:r>
          </w:p>
        </w:tc>
        <w:tc>
          <w:tcPr>
            <w:tcW w:w="5398" w:type="dxa"/>
            <w:vAlign w:val="center"/>
          </w:tcPr>
          <w:p w14:paraId="7F6CF575">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原文详见原招标公告附件</w:t>
            </w:r>
            <w:r>
              <w:rPr>
                <w:rFonts w:hint="eastAsia" w:asciiTheme="majorEastAsia" w:hAnsiTheme="majorEastAsia" w:eastAsiaTheme="majorEastAsia" w:cstheme="majorEastAsia"/>
                <w:color w:val="auto"/>
                <w:sz w:val="21"/>
                <w:szCs w:val="21"/>
                <w:highlight w:val="none"/>
                <w:vertAlign w:val="baseline"/>
                <w:lang w:val="en-US" w:eastAsia="zh-CN"/>
              </w:rPr>
              <w:t>-</w:t>
            </w:r>
            <w:r>
              <w:rPr>
                <w:rFonts w:hint="eastAsia" w:asciiTheme="majorEastAsia" w:hAnsiTheme="majorEastAsia" w:eastAsiaTheme="majorEastAsia" w:cstheme="majorEastAsia"/>
                <w:color w:val="auto"/>
                <w:sz w:val="21"/>
                <w:szCs w:val="21"/>
                <w:highlight w:val="none"/>
                <w:vertAlign w:val="baseline"/>
                <w:lang w:val="en-US"/>
              </w:rPr>
              <w:t>招标人声明。</w:t>
            </w:r>
          </w:p>
        </w:tc>
        <w:tc>
          <w:tcPr>
            <w:tcW w:w="5458" w:type="dxa"/>
            <w:vAlign w:val="center"/>
          </w:tcPr>
          <w:p w14:paraId="6C8195DC">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aps w:val="0"/>
                <w:color w:val="auto"/>
                <w:spacing w:val="1"/>
                <w:sz w:val="21"/>
                <w:szCs w:val="21"/>
                <w:highlight w:val="none"/>
                <w:u w:val="none"/>
                <w:shd w:val="clear" w:fill="FFFFFF"/>
              </w:rPr>
              <w:t>现文详见本补充公告附件</w:t>
            </w:r>
            <w:r>
              <w:rPr>
                <w:rFonts w:hint="eastAsia" w:asciiTheme="majorEastAsia" w:hAnsiTheme="majorEastAsia" w:eastAsiaTheme="majorEastAsia" w:cstheme="majorEastAsia"/>
                <w:i w:val="0"/>
                <w:iCs w:val="0"/>
                <w:caps w:val="0"/>
                <w:color w:val="auto"/>
                <w:spacing w:val="1"/>
                <w:sz w:val="21"/>
                <w:szCs w:val="21"/>
                <w:highlight w:val="none"/>
                <w:u w:val="none"/>
                <w:shd w:val="clear" w:fill="FFFFFF"/>
                <w:lang w:val="en-US" w:eastAsia="zh-CN"/>
              </w:rPr>
              <w:t>-</w:t>
            </w:r>
            <w:r>
              <w:rPr>
                <w:rFonts w:hint="eastAsia" w:asciiTheme="majorEastAsia" w:hAnsiTheme="majorEastAsia" w:eastAsiaTheme="majorEastAsia" w:cstheme="majorEastAsia"/>
                <w:i w:val="0"/>
                <w:iCs w:val="0"/>
                <w:caps w:val="0"/>
                <w:color w:val="auto"/>
                <w:spacing w:val="1"/>
                <w:sz w:val="21"/>
                <w:szCs w:val="21"/>
                <w:highlight w:val="none"/>
                <w:u w:val="none"/>
                <w:shd w:val="clear" w:fill="FFFFFF"/>
              </w:rPr>
              <w:t>招标人声明。</w:t>
            </w:r>
          </w:p>
        </w:tc>
      </w:tr>
      <w:tr w14:paraId="1049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14:paraId="57C9CB1E">
            <w:pPr>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招标文件</w:t>
            </w:r>
          </w:p>
        </w:tc>
      </w:tr>
      <w:tr w14:paraId="06EE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150F8D68">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2A91D2CE">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第二章投标人须知 2.3.1招标文件修改发出的形式</w:t>
            </w:r>
          </w:p>
        </w:tc>
        <w:tc>
          <w:tcPr>
            <w:tcW w:w="5398" w:type="dxa"/>
            <w:vAlign w:val="center"/>
          </w:tcPr>
          <w:p w14:paraId="670F8572">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以补充公告或项目答疑澄清的方式在广州交易集团有限公司（广州公共资源交易中心）网站发布发布</w:t>
            </w:r>
          </w:p>
        </w:tc>
        <w:tc>
          <w:tcPr>
            <w:tcW w:w="5458" w:type="dxa"/>
            <w:vAlign w:val="center"/>
          </w:tcPr>
          <w:p w14:paraId="791026BE">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以补充公告或项目答疑澄清的方式在广州交易集团有限公司（广州公共资源交易中心）</w:t>
            </w:r>
            <w:r>
              <w:rPr>
                <w:rFonts w:hint="eastAsia" w:asciiTheme="majorEastAsia" w:hAnsiTheme="majorEastAsia" w:eastAsiaTheme="majorEastAsia" w:cstheme="majorEastAsia"/>
                <w:color w:val="auto"/>
                <w:sz w:val="21"/>
                <w:szCs w:val="21"/>
                <w:highlight w:val="none"/>
                <w:u w:val="single"/>
                <w:vertAlign w:val="baseline"/>
                <w:lang w:val="en-US"/>
              </w:rPr>
              <w:t>等</w:t>
            </w:r>
            <w:r>
              <w:rPr>
                <w:rFonts w:hint="eastAsia" w:asciiTheme="majorEastAsia" w:hAnsiTheme="majorEastAsia" w:eastAsiaTheme="majorEastAsia" w:cstheme="majorEastAsia"/>
                <w:color w:val="auto"/>
                <w:sz w:val="21"/>
                <w:szCs w:val="21"/>
                <w:highlight w:val="none"/>
                <w:vertAlign w:val="baseline"/>
                <w:lang w:val="en-US"/>
              </w:rPr>
              <w:t>网站发布发布</w:t>
            </w:r>
          </w:p>
        </w:tc>
      </w:tr>
      <w:tr w14:paraId="2508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2D653BEB">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0C1CEAD4">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第二章投标人须知 3.5资格审查资料的特殊要求</w:t>
            </w:r>
          </w:p>
        </w:tc>
        <w:tc>
          <w:tcPr>
            <w:tcW w:w="5398" w:type="dxa"/>
            <w:vAlign w:val="center"/>
          </w:tcPr>
          <w:p w14:paraId="053954EF">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□无</w:t>
            </w:r>
          </w:p>
          <w:p w14:paraId="2300372B">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■有，具体要求：本招标项目资格审查不要求提供“近年财务状况表”“近年发生的诉讼及仲裁情况”， “正在供货和新承接的项目情况表”，相关内容不作为资格审查内容。</w:t>
            </w:r>
          </w:p>
          <w:p w14:paraId="66627F76">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投标人应按本章第1.4款规定的要求提供资格审查资料。</w:t>
            </w:r>
          </w:p>
        </w:tc>
        <w:tc>
          <w:tcPr>
            <w:tcW w:w="5458" w:type="dxa"/>
            <w:vAlign w:val="center"/>
          </w:tcPr>
          <w:p w14:paraId="7427A0A0">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■无</w:t>
            </w:r>
          </w:p>
          <w:p w14:paraId="5DF9CAD4">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□有</w:t>
            </w:r>
          </w:p>
        </w:tc>
      </w:tr>
      <w:tr w14:paraId="6F61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306643FD">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3B4E95F5">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 xml:space="preserve">第二章投标人须知 </w:t>
            </w:r>
            <w:r>
              <w:rPr>
                <w:rFonts w:hint="eastAsia" w:asciiTheme="majorEastAsia" w:hAnsiTheme="majorEastAsia" w:eastAsiaTheme="majorEastAsia" w:cstheme="majorEastAsia"/>
                <w:color w:val="auto"/>
                <w:sz w:val="21"/>
                <w:szCs w:val="21"/>
                <w:highlight w:val="none"/>
              </w:rPr>
              <w:t>5.2（B）(新增)</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开标程序</w:t>
            </w:r>
          </w:p>
        </w:tc>
        <w:tc>
          <w:tcPr>
            <w:tcW w:w="5398" w:type="dxa"/>
            <w:shd w:val="clear" w:color="auto" w:fill="auto"/>
            <w:vAlign w:val="center"/>
          </w:tcPr>
          <w:p w14:paraId="1397C725">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在投标截止时间后1小时内，投标人通过递交投标文件的交易平台对已递交的电子投标文件进行解密。投标人完成解密后，再由招标人进行解密。解密完成后，公布招标项目名称、投标人名称等相关信息。未在规定时间内解密的投标文件不参与开标、评标。</w:t>
            </w:r>
          </w:p>
          <w:p w14:paraId="3995CF04">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2、截标后，开标开始时间因故推迟的，相关评标信息仍以原定的开标开始时间的信息为准。</w:t>
            </w:r>
          </w:p>
          <w:p w14:paraId="0D4DEF37">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3、备用光盘的读取按10.6的规定执行。</w:t>
            </w:r>
          </w:p>
          <w:p w14:paraId="40494D02">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4ACD254">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投标人选择参加在线开标，具体按照交易平台相关指南进行操作。详见：《建设工程全流程电子化项目操作指南（适用于投标人）》。</w:t>
            </w:r>
          </w:p>
          <w:p w14:paraId="25344320">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6、参加现场开标的投标人对开标结果有异议的，应当在开标现场提出，招标人应当当场作出答复，并制作记录。</w:t>
            </w:r>
          </w:p>
          <w:p w14:paraId="61AEF517">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503F89E">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8、投标人未参加开标或在规定的时间内未提出异议的，视为对开标无异议。</w:t>
            </w:r>
          </w:p>
          <w:p w14:paraId="14F6E975">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9、开标时，两个（含两个）以上的投标人加密打包投标文件电脑机器特征码一致的，不参与下一程序，并由评标委员会否决其投标。</w:t>
            </w:r>
          </w:p>
          <w:p w14:paraId="45624E78">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10、技术文件开标时不得开启，在评标时由交易平台随机编号后开启，交由评标委员会进行评审。编号所对应的投标人在定标结束前不得告知评标委员会、交易平台工作人员、招标人或招标代理机构。</w:t>
            </w:r>
          </w:p>
        </w:tc>
        <w:tc>
          <w:tcPr>
            <w:tcW w:w="5458" w:type="dxa"/>
          </w:tcPr>
          <w:p w14:paraId="212A2632">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1、在投标截止时间后1小时内，投标人通过递交投标文件的交易平台对已递交的电子投标文件进行解密。投标人完成解密后，再由招标人进行解密。解密完成后，公布招标项目名称、投标人名称等相关信息。未在规定时间内解密的投标文件不参与开标、评标。</w:t>
            </w:r>
          </w:p>
          <w:p w14:paraId="7D5C1097">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2、截标后，开标开始时间因故推迟的，相关评标信息仍以原定的开标开始时间的信息为准。</w:t>
            </w:r>
          </w:p>
          <w:p w14:paraId="48F3E83B">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3、备用光盘的读取按10.6的规定执行。</w:t>
            </w:r>
          </w:p>
          <w:p w14:paraId="53359C24">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F86E535">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投标人选择参加在线开标，具体按照交易平台相关指南进行操作。详见：《建设工程全流程电子化项目操作指南（适用于投标人）》。</w:t>
            </w:r>
          </w:p>
          <w:p w14:paraId="1FBB6E23">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6、参加现场开标的投标人对开标结果有异议的，应当在开标现场提出，招标人应当当场作出答复，并制作记录。</w:t>
            </w:r>
          </w:p>
          <w:p w14:paraId="15BDEB85">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EE395F9">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8、投标人未参加开标或在规定的时间内未提出异议的，视为对开标无异议。</w:t>
            </w:r>
          </w:p>
          <w:p w14:paraId="0E9D1C84">
            <w:pPr>
              <w:rPr>
                <w:rFonts w:hint="eastAsia" w:asciiTheme="majorEastAsia" w:hAnsiTheme="majorEastAsia" w:eastAsiaTheme="majorEastAsia" w:cstheme="majorEastAsia"/>
                <w:color w:val="auto"/>
                <w:sz w:val="21"/>
                <w:szCs w:val="21"/>
                <w:highlight w:val="none"/>
                <w:vertAlign w:val="baseline"/>
                <w:lang w:val="en-US"/>
              </w:rPr>
            </w:pPr>
            <w:r>
              <w:rPr>
                <w:rFonts w:hint="eastAsia" w:asciiTheme="majorEastAsia" w:hAnsiTheme="majorEastAsia" w:eastAsiaTheme="majorEastAsia" w:cstheme="majorEastAsia"/>
                <w:color w:val="auto"/>
                <w:sz w:val="21"/>
                <w:szCs w:val="21"/>
                <w:highlight w:val="none"/>
                <w:vertAlign w:val="baseline"/>
                <w:lang w:val="en-US"/>
              </w:rPr>
              <w:t>9、开标时，本项目两个（含两个）以上的投标人加密打包投标文件电脑机器特征码一致的，不参与下一程序，并由评标委员会否决其投标。</w:t>
            </w:r>
          </w:p>
        </w:tc>
      </w:tr>
      <w:tr w14:paraId="14BF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3DD86D87">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7BEA3737">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 xml:space="preserve">第二章投标人须知 </w:t>
            </w:r>
            <w:r>
              <w:rPr>
                <w:rFonts w:hint="eastAsia" w:asciiTheme="majorEastAsia" w:hAnsiTheme="majorEastAsia" w:eastAsiaTheme="majorEastAsia" w:cstheme="majorEastAsia"/>
                <w:color w:val="auto"/>
                <w:sz w:val="21"/>
                <w:szCs w:val="21"/>
                <w:highlight w:val="none"/>
                <w:lang w:val="en-US" w:eastAsia="zh-CN"/>
              </w:rPr>
              <w:t>10.1条  特别提示</w:t>
            </w:r>
          </w:p>
        </w:tc>
        <w:tc>
          <w:tcPr>
            <w:tcW w:w="5398" w:type="dxa"/>
          </w:tcPr>
          <w:p w14:paraId="065DA3EB">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投标人在本项目招标人的工程项目中存在下列行为的，将被拒绝一年内参与我单位后续工程项目投标。（注：拒绝投标时限由招标人视严重程度确定，最低三个月起，自招标人发出通知之日起计）：</w:t>
            </w:r>
          </w:p>
          <w:p w14:paraId="1E81F087">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（1）将中标项目转包或者违法分包的；</w:t>
            </w:r>
          </w:p>
          <w:p w14:paraId="60758BE0">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（2）在中标项目中不执行质量、安全生产相关规定的，造成质量或安全事故的；</w:t>
            </w:r>
          </w:p>
          <w:p w14:paraId="47F704A1">
            <w:pPr>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（3）存在围标或串标情形的；</w:t>
            </w:r>
          </w:p>
          <w:p w14:paraId="7B52672D">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（4）存在弄虚作假骗取中标、行贿情形的；</w:t>
            </w:r>
          </w:p>
        </w:tc>
        <w:tc>
          <w:tcPr>
            <w:tcW w:w="5458" w:type="dxa"/>
          </w:tcPr>
          <w:p w14:paraId="76FB6817">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2E4EA465">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1.将中标工程转包或者违法分包的;</w:t>
            </w:r>
          </w:p>
          <w:p w14:paraId="278323C6">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2.在中标工程中不执行质量、安全生产相关规定的，造成质量或安全事故的；</w:t>
            </w:r>
          </w:p>
          <w:p w14:paraId="0D9066DE">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3.出让投标资格的；</w:t>
            </w:r>
          </w:p>
          <w:p w14:paraId="0993864B">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4.存在围标或串标情形的;</w:t>
            </w:r>
          </w:p>
          <w:p w14:paraId="53E680C1">
            <w:pPr>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5.在投标文件中提供虚假材料的；</w:t>
            </w:r>
          </w:p>
          <w:p w14:paraId="61560C36">
            <w:pPr>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6. 存在少放、不放业绩、奖项等客观评审资料，减少自身竞争力情形的；</w:t>
            </w:r>
          </w:p>
          <w:p w14:paraId="389ABA47">
            <w:pPr>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7.存在行贿情形的;</w:t>
            </w:r>
          </w:p>
          <w:p w14:paraId="7FB532CD">
            <w:pPr>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8.拖欠农民工工资的；</w:t>
            </w:r>
          </w:p>
          <w:p w14:paraId="27BCFBBB">
            <w:pPr>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9.未按照国家、省、市有关建筑施工实名制管理和工人工资支付分账管理的规定执行，被行政监管部门处罚的；</w:t>
            </w:r>
          </w:p>
          <w:p w14:paraId="7430A587">
            <w:p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u w:val="single"/>
              </w:rPr>
              <w:t>10.中标人在项目实施过程中选取的专业分包单位或劳务企业或劳务班组长与投标时不一致的（如有）</w:t>
            </w:r>
            <w:r>
              <w:rPr>
                <w:rFonts w:hint="eastAsia" w:asciiTheme="majorEastAsia" w:hAnsiTheme="majorEastAsia" w:eastAsiaTheme="majorEastAsia" w:cstheme="majorEastAsia"/>
                <w:color w:val="auto"/>
                <w:sz w:val="21"/>
                <w:szCs w:val="21"/>
                <w:highlight w:val="none"/>
                <w:u w:val="single"/>
                <w:lang w:eastAsia="zh-CN"/>
              </w:rPr>
              <w:t>。</w:t>
            </w:r>
          </w:p>
        </w:tc>
      </w:tr>
      <w:tr w14:paraId="0A4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10103EDF">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0780FC4B">
            <w:pPr>
              <w:rPr>
                <w:rFonts w:hint="default"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二、 投标人须知 6.3 评标</w:t>
            </w:r>
          </w:p>
        </w:tc>
        <w:tc>
          <w:tcPr>
            <w:tcW w:w="5398" w:type="dxa"/>
          </w:tcPr>
          <w:p w14:paraId="67307330">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w:t>
            </w:r>
          </w:p>
        </w:tc>
        <w:tc>
          <w:tcPr>
            <w:tcW w:w="5458" w:type="dxa"/>
          </w:tcPr>
          <w:p w14:paraId="73F59793">
            <w:p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6.3.3评标委员会在开始评标前，应了解评标专家的职责及守则，认真阅读附件《评标委员会成员声明》的内容并签名，签字后方可进行评标</w:t>
            </w:r>
            <w:r>
              <w:rPr>
                <w:rFonts w:hint="eastAsia" w:asciiTheme="majorEastAsia" w:hAnsiTheme="majorEastAsia" w:eastAsiaTheme="majorEastAsia" w:cstheme="majorEastAsia"/>
                <w:color w:val="auto"/>
                <w:sz w:val="21"/>
                <w:szCs w:val="21"/>
                <w:highlight w:val="none"/>
                <w:lang w:eastAsia="zh-CN"/>
              </w:rPr>
              <w:t>。</w:t>
            </w:r>
          </w:p>
        </w:tc>
      </w:tr>
      <w:tr w14:paraId="068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4E71449C">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2F529D9E">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第三章评标办法（综合评分法） 2.1.1形式评审标准 投标函签字盖章</w:t>
            </w:r>
          </w:p>
        </w:tc>
        <w:tc>
          <w:tcPr>
            <w:tcW w:w="5398" w:type="dxa"/>
          </w:tcPr>
          <w:p w14:paraId="251FA246">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有法定代表人（单位负责人）或其委托代理人签字</w:t>
            </w:r>
            <w:r>
              <w:rPr>
                <w:rFonts w:hint="eastAsia" w:asciiTheme="majorEastAsia" w:hAnsiTheme="majorEastAsia" w:eastAsiaTheme="majorEastAsia" w:cstheme="majorEastAsia"/>
                <w:color w:val="auto"/>
                <w:sz w:val="21"/>
                <w:szCs w:val="21"/>
                <w:highlight w:val="none"/>
                <w:u w:val="single"/>
              </w:rPr>
              <w:t>（或盖章或签章）并</w:t>
            </w:r>
            <w:r>
              <w:rPr>
                <w:rFonts w:hint="eastAsia" w:asciiTheme="majorEastAsia" w:hAnsiTheme="majorEastAsia" w:eastAsiaTheme="majorEastAsia" w:cstheme="majorEastAsia"/>
                <w:color w:val="auto"/>
                <w:sz w:val="21"/>
                <w:szCs w:val="21"/>
                <w:highlight w:val="none"/>
              </w:rPr>
              <w:t>加盖单位章。由法定代表人（单位负责人）签字</w:t>
            </w:r>
            <w:r>
              <w:rPr>
                <w:rFonts w:hint="eastAsia" w:asciiTheme="majorEastAsia" w:hAnsiTheme="majorEastAsia" w:eastAsiaTheme="majorEastAsia" w:cstheme="majorEastAsia"/>
                <w:color w:val="auto"/>
                <w:sz w:val="21"/>
                <w:szCs w:val="21"/>
                <w:highlight w:val="none"/>
                <w:u w:val="single"/>
              </w:rPr>
              <w:t>（或盖章或签章）</w:t>
            </w:r>
            <w:r>
              <w:rPr>
                <w:rFonts w:hint="eastAsia" w:asciiTheme="majorEastAsia" w:hAnsiTheme="majorEastAsia" w:eastAsiaTheme="majorEastAsia" w:cstheme="majorEastAsia"/>
                <w:color w:val="auto"/>
                <w:sz w:val="21"/>
                <w:szCs w:val="21"/>
                <w:highlight w:val="none"/>
              </w:rPr>
              <w:t>的，应附法定代表人（单位负责人）身份证明，由代理人签字</w:t>
            </w:r>
            <w:r>
              <w:rPr>
                <w:rFonts w:hint="eastAsia" w:asciiTheme="majorEastAsia" w:hAnsiTheme="majorEastAsia" w:eastAsiaTheme="majorEastAsia" w:cstheme="majorEastAsia"/>
                <w:color w:val="auto"/>
                <w:sz w:val="21"/>
                <w:szCs w:val="21"/>
                <w:highlight w:val="none"/>
                <w:u w:val="single"/>
              </w:rPr>
              <w:t>（或盖章或签章）</w:t>
            </w:r>
            <w:r>
              <w:rPr>
                <w:rFonts w:hint="eastAsia" w:asciiTheme="majorEastAsia" w:hAnsiTheme="majorEastAsia" w:eastAsiaTheme="majorEastAsia" w:cstheme="majorEastAsia"/>
                <w:color w:val="auto"/>
                <w:sz w:val="21"/>
                <w:szCs w:val="21"/>
                <w:highlight w:val="none"/>
              </w:rPr>
              <w:t>的，应附授权委托书，身份证明或授权委托书应符合第六章“投标文件格式”的规定。</w:t>
            </w:r>
          </w:p>
        </w:tc>
        <w:tc>
          <w:tcPr>
            <w:tcW w:w="5458" w:type="dxa"/>
          </w:tcPr>
          <w:p w14:paraId="2FB5E219">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法定代表人（单位负责人）或其委托代理人签字（或盖章或签章）并加盖单位章。由法定代表人（单位负责人）签字（或盖章或签章）的，应附法定代表人（单位负责人）身份证明，由代理人签字（或盖章或签章）的，应附授权委托书，身份证明</w:t>
            </w:r>
            <w:r>
              <w:rPr>
                <w:rFonts w:hint="eastAsia" w:asciiTheme="majorEastAsia" w:hAnsiTheme="majorEastAsia" w:eastAsiaTheme="majorEastAsia" w:cstheme="majorEastAsia"/>
                <w:color w:val="auto"/>
                <w:sz w:val="21"/>
                <w:szCs w:val="21"/>
                <w:highlight w:val="none"/>
                <w:u w:val="single"/>
              </w:rPr>
              <w:t>和社保材料</w:t>
            </w:r>
            <w:r>
              <w:rPr>
                <w:rFonts w:hint="eastAsia" w:asciiTheme="majorEastAsia" w:hAnsiTheme="majorEastAsia" w:eastAsiaTheme="majorEastAsia" w:cstheme="majorEastAsia"/>
                <w:color w:val="auto"/>
                <w:sz w:val="21"/>
                <w:szCs w:val="21"/>
                <w:highlight w:val="none"/>
              </w:rPr>
              <w:t>，符合第六章“投标文件格式”的规定。</w:t>
            </w:r>
          </w:p>
        </w:tc>
      </w:tr>
      <w:tr w14:paraId="4561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0ECD90FF">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4E32FBFA">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第三章评标办法（综合评分法） 2.1.3响应性评审标准</w:t>
            </w:r>
          </w:p>
        </w:tc>
        <w:tc>
          <w:tcPr>
            <w:tcW w:w="5398" w:type="dxa"/>
          </w:tcPr>
          <w:p w14:paraId="582EF558">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w:t>
            </w:r>
          </w:p>
        </w:tc>
        <w:tc>
          <w:tcPr>
            <w:tcW w:w="5458" w:type="dxa"/>
          </w:tcPr>
          <w:p w14:paraId="5B1E919D">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增加：</w:t>
            </w:r>
            <w:r>
              <w:rPr>
                <w:rFonts w:hint="eastAsia" w:asciiTheme="majorEastAsia" w:hAnsiTheme="majorEastAsia" w:eastAsiaTheme="majorEastAsia" w:cstheme="majorEastAsia"/>
                <w:color w:val="auto"/>
                <w:sz w:val="21"/>
                <w:szCs w:val="21"/>
                <w:highlight w:val="none"/>
              </w:rPr>
              <w:t>串通投标情形</w:t>
            </w:r>
            <w:r>
              <w:rPr>
                <w:rFonts w:hint="eastAsia" w:asciiTheme="majorEastAsia" w:hAnsiTheme="majorEastAsia" w:eastAsiaTheme="majorEastAsia" w:cstheme="majorEastAsia"/>
                <w:color w:val="auto"/>
                <w:sz w:val="21"/>
                <w:szCs w:val="21"/>
                <w:highlight w:val="none"/>
                <w:lang w:val="en-US" w:eastAsia="zh-CN"/>
              </w:rPr>
              <w:t xml:space="preserve"> 不存在串通投标情形（串通投标情形以《中华人民共和国招标投标法实施条例》、《广东省实施中华人民共和国招标投标法办法》的规定为准）。</w:t>
            </w:r>
          </w:p>
        </w:tc>
      </w:tr>
      <w:tr w14:paraId="2B41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1286032F">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223BD333">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 xml:space="preserve">第三章评标办法（综合评分法） </w:t>
            </w:r>
            <w:r>
              <w:rPr>
                <w:rFonts w:hint="eastAsia" w:asciiTheme="majorEastAsia" w:hAnsiTheme="majorEastAsia" w:eastAsiaTheme="majorEastAsia" w:cstheme="majorEastAsia"/>
                <w:color w:val="auto"/>
                <w:sz w:val="21"/>
                <w:szCs w:val="21"/>
                <w:highlight w:val="none"/>
              </w:rPr>
              <w:t>2.2.4（2）技术评分标准</w:t>
            </w:r>
            <w:r>
              <w:rPr>
                <w:rFonts w:hint="eastAsia" w:asciiTheme="majorEastAsia" w:hAnsiTheme="majorEastAsia" w:eastAsiaTheme="majorEastAsia" w:cstheme="majorEastAsia"/>
                <w:color w:val="auto"/>
                <w:sz w:val="21"/>
                <w:szCs w:val="21"/>
                <w:highlight w:val="none"/>
                <w:lang w:val="en-US" w:eastAsia="zh-CN"/>
              </w:rPr>
              <w:t xml:space="preserve"> 原厂原品牌（3分）</w:t>
            </w:r>
          </w:p>
        </w:tc>
        <w:tc>
          <w:tcPr>
            <w:tcW w:w="5398" w:type="dxa"/>
          </w:tcPr>
          <w:p w14:paraId="5B8C6AE7">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投标产品六大核心部件（曳引机、控制柜、门机、限速器、安全钳、缓冲器）符合原厂原品牌，需提供相关说明书等证明材料。</w:t>
            </w:r>
          </w:p>
          <w:p w14:paraId="7E42A11E">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1.投标产品六大核心部件（曳引机、控制柜、门机、限速器、安全钳、缓冲器）有6项符合原厂原品牌，得3分；</w:t>
            </w:r>
          </w:p>
          <w:p w14:paraId="6260EBD8">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2.投标产品六大核心部件（曳引机、控制柜、门机、限速器、安全钳、缓冲器）有4项或以上符合原厂原品牌，得2分；</w:t>
            </w:r>
          </w:p>
          <w:p w14:paraId="34EDFF4D">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3.投标产品六大核心部件（曳引机、控制柜、门机、限速器、安全钳、缓冲器）有2项或以上符合原厂原品牌，得1分；</w:t>
            </w:r>
          </w:p>
          <w:p w14:paraId="56DD243B">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4. 其他情况不得分。</w:t>
            </w:r>
          </w:p>
        </w:tc>
        <w:tc>
          <w:tcPr>
            <w:tcW w:w="5458" w:type="dxa"/>
            <w:shd w:val="clear" w:color="auto" w:fill="auto"/>
            <w:vAlign w:val="center"/>
          </w:tcPr>
          <w:p w14:paraId="442BE697">
            <w:pPr>
              <w:rPr>
                <w:rFonts w:hint="eastAsia" w:asciiTheme="majorEastAsia" w:hAnsiTheme="majorEastAsia" w:eastAsiaTheme="majorEastAsia" w:cstheme="majorEastAsia"/>
                <w:color w:val="auto"/>
                <w:sz w:val="21"/>
                <w:szCs w:val="21"/>
                <w:highlight w:val="none"/>
              </w:rPr>
            </w:pPr>
            <w:bookmarkStart w:id="0" w:name="_GoBack"/>
            <w:r>
              <w:rPr>
                <w:rFonts w:hint="eastAsia" w:asciiTheme="majorEastAsia" w:hAnsiTheme="majorEastAsia" w:eastAsiaTheme="majorEastAsia" w:cstheme="majorEastAsia"/>
                <w:color w:val="auto"/>
                <w:sz w:val="21"/>
                <w:szCs w:val="21"/>
                <w:highlight w:val="none"/>
              </w:rPr>
              <w:t>投标产品六大核心部件（曳引机、控制柜、门机、限速器、安全钳、缓冲器）符合原厂原品牌，需提供相关说明书等证明材料。</w:t>
            </w:r>
          </w:p>
          <w:p w14:paraId="01FD85BC">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1.投标产品六大核心部件（曳引机、控制柜、门机、限速器、安全钳、缓冲器）</w:t>
            </w:r>
            <w:r>
              <w:rPr>
                <w:rFonts w:hint="eastAsia" w:asciiTheme="majorEastAsia" w:hAnsiTheme="majorEastAsia" w:eastAsiaTheme="majorEastAsia" w:cstheme="majorEastAsia"/>
                <w:color w:val="auto"/>
                <w:sz w:val="21"/>
                <w:szCs w:val="21"/>
                <w:highlight w:val="none"/>
                <w:u w:val="single"/>
              </w:rPr>
              <w:t>有6项或以上</w:t>
            </w:r>
            <w:r>
              <w:rPr>
                <w:rFonts w:hint="eastAsia" w:asciiTheme="majorEastAsia" w:hAnsiTheme="majorEastAsia" w:eastAsiaTheme="majorEastAsia" w:cstheme="majorEastAsia"/>
                <w:color w:val="auto"/>
                <w:sz w:val="21"/>
                <w:szCs w:val="21"/>
                <w:highlight w:val="none"/>
              </w:rPr>
              <w:t>符合原厂原品牌，得3分；</w:t>
            </w:r>
          </w:p>
          <w:p w14:paraId="58164A53">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2.投标产品六大核心部件（曳引机、控制柜、门机、限速器、安全钳、缓冲器）</w:t>
            </w:r>
            <w:r>
              <w:rPr>
                <w:rFonts w:hint="eastAsia" w:asciiTheme="majorEastAsia" w:hAnsiTheme="majorEastAsia" w:eastAsiaTheme="majorEastAsia" w:cstheme="majorEastAsia"/>
                <w:color w:val="auto"/>
                <w:sz w:val="21"/>
                <w:szCs w:val="21"/>
                <w:highlight w:val="none"/>
                <w:u w:val="single"/>
              </w:rPr>
              <w:t>有</w:t>
            </w:r>
            <w:r>
              <w:rPr>
                <w:rFonts w:hint="eastAsia" w:asciiTheme="majorEastAsia" w:hAnsiTheme="majorEastAsia" w:eastAsiaTheme="majorEastAsia" w:cstheme="majorEastAsia"/>
                <w:color w:val="auto"/>
                <w:sz w:val="21"/>
                <w:szCs w:val="21"/>
                <w:highlight w:val="none"/>
                <w:u w:val="single"/>
                <w:lang w:val="en-US" w:eastAsia="zh-CN"/>
              </w:rPr>
              <w:t>[4-5]</w:t>
            </w:r>
            <w:r>
              <w:rPr>
                <w:rFonts w:hint="eastAsia" w:asciiTheme="majorEastAsia" w:hAnsiTheme="majorEastAsia" w:eastAsiaTheme="majorEastAsia" w:cstheme="majorEastAsia"/>
                <w:color w:val="auto"/>
                <w:sz w:val="21"/>
                <w:szCs w:val="21"/>
                <w:highlight w:val="none"/>
                <w:u w:val="single"/>
              </w:rPr>
              <w:t>项</w:t>
            </w:r>
            <w:r>
              <w:rPr>
                <w:rFonts w:hint="eastAsia" w:asciiTheme="majorEastAsia" w:hAnsiTheme="majorEastAsia" w:eastAsiaTheme="majorEastAsia" w:cstheme="majorEastAsia"/>
                <w:color w:val="auto"/>
                <w:sz w:val="21"/>
                <w:szCs w:val="21"/>
                <w:highlight w:val="none"/>
              </w:rPr>
              <w:t>符合原厂原品牌，得2分；</w:t>
            </w:r>
          </w:p>
          <w:p w14:paraId="42AB6AFF">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3.投标产品六大核心部件（曳引机、控制柜、门机、限速器、安全钳、缓冲器）</w:t>
            </w:r>
            <w:r>
              <w:rPr>
                <w:rFonts w:hint="eastAsia" w:asciiTheme="majorEastAsia" w:hAnsiTheme="majorEastAsia" w:eastAsiaTheme="majorEastAsia" w:cstheme="majorEastAsia"/>
                <w:color w:val="auto"/>
                <w:sz w:val="21"/>
                <w:szCs w:val="21"/>
                <w:highlight w:val="none"/>
                <w:u w:val="single"/>
              </w:rPr>
              <w:t>有</w:t>
            </w:r>
            <w:r>
              <w:rPr>
                <w:rFonts w:hint="eastAsia" w:asciiTheme="majorEastAsia" w:hAnsiTheme="majorEastAsia" w:eastAsiaTheme="majorEastAsia" w:cstheme="majorEastAsia"/>
                <w:color w:val="auto"/>
                <w:sz w:val="21"/>
                <w:szCs w:val="21"/>
                <w:highlight w:val="none"/>
                <w:u w:val="single"/>
                <w:lang w:val="en-US" w:eastAsia="zh-CN"/>
              </w:rPr>
              <w:t>[2-3]项</w:t>
            </w:r>
            <w:r>
              <w:rPr>
                <w:rFonts w:hint="eastAsia" w:asciiTheme="majorEastAsia" w:hAnsiTheme="majorEastAsia" w:eastAsiaTheme="majorEastAsia" w:cstheme="majorEastAsia"/>
                <w:color w:val="auto"/>
                <w:sz w:val="21"/>
                <w:szCs w:val="21"/>
                <w:highlight w:val="none"/>
              </w:rPr>
              <w:t>符</w:t>
            </w:r>
            <w:r>
              <w:rPr>
                <w:rFonts w:hint="eastAsia" w:asciiTheme="majorEastAsia" w:hAnsiTheme="majorEastAsia" w:eastAsiaTheme="majorEastAsia" w:cstheme="majorEastAsia"/>
                <w:color w:val="auto"/>
                <w:sz w:val="21"/>
                <w:szCs w:val="21"/>
                <w:highlight w:val="none"/>
              </w:rPr>
              <w:t>合原厂原品牌，得1分；</w:t>
            </w:r>
          </w:p>
          <w:p w14:paraId="00F05C39">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 其他情况不得分。</w:t>
            </w:r>
          </w:p>
          <w:p w14:paraId="74A45FA5">
            <w:pPr>
              <w:rPr>
                <w:rFonts w:hint="eastAsia" w:asciiTheme="majorEastAsia" w:hAnsiTheme="majorEastAsia" w:eastAsiaTheme="majorEastAsia" w:cstheme="majorEastAsia"/>
                <w:color w:val="auto"/>
                <w:sz w:val="21"/>
                <w:szCs w:val="21"/>
                <w:highlight w:val="none"/>
                <w:u w:val="single"/>
                <w:lang w:val="en-US" w:eastAsia="zh-CN"/>
              </w:rPr>
            </w:pPr>
            <w:r>
              <w:rPr>
                <w:rFonts w:hint="eastAsia" w:asciiTheme="majorEastAsia" w:hAnsiTheme="majorEastAsia" w:eastAsiaTheme="majorEastAsia" w:cstheme="majorEastAsia"/>
                <w:color w:val="auto"/>
                <w:sz w:val="21"/>
                <w:szCs w:val="21"/>
                <w:highlight w:val="none"/>
                <w:u w:val="single"/>
                <w:lang w:val="en-US" w:eastAsia="zh-CN"/>
              </w:rPr>
              <w:t>注：1.提供型式试验报告（或证书）或特种设备第三方鉴定机构出具的试验（检验）报告为准。</w:t>
            </w:r>
          </w:p>
          <w:p w14:paraId="27EF398E">
            <w:pP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u w:val="single"/>
                <w:lang w:val="en-US" w:eastAsia="zh-CN"/>
              </w:rPr>
              <w:t>2.原厂是指：电梯制造商型式试验报告（或证书）或特种设备第三方鉴定机构出具的试验（检验）报告上制造单位名称为投标人或投标人集团公司或投标人集团下属的子公司，方为原厂。</w:t>
            </w:r>
            <w:bookmarkEnd w:id="0"/>
          </w:p>
        </w:tc>
      </w:tr>
      <w:tr w14:paraId="5FF2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72821BE0">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6B3AA418">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 xml:space="preserve">第三章评标办法（综合评分法） </w:t>
            </w:r>
            <w:r>
              <w:rPr>
                <w:rFonts w:hint="eastAsia" w:asciiTheme="majorEastAsia" w:hAnsiTheme="majorEastAsia" w:eastAsiaTheme="majorEastAsia" w:cstheme="majorEastAsia"/>
                <w:color w:val="auto"/>
                <w:sz w:val="21"/>
                <w:szCs w:val="21"/>
                <w:highlight w:val="none"/>
              </w:rPr>
              <w:t>2.2.4（2）技术评分标准</w:t>
            </w:r>
            <w:r>
              <w:rPr>
                <w:rFonts w:hint="eastAsia" w:asciiTheme="majorEastAsia" w:hAnsiTheme="majorEastAsia" w:eastAsiaTheme="majorEastAsia" w:cstheme="majorEastAsia"/>
                <w:color w:val="auto"/>
                <w:sz w:val="21"/>
                <w:szCs w:val="21"/>
                <w:highlight w:val="none"/>
                <w:lang w:val="en-US" w:eastAsia="zh-CN"/>
              </w:rPr>
              <w:t xml:space="preserve"> 曳引机防护等级（3分）</w:t>
            </w:r>
          </w:p>
        </w:tc>
        <w:tc>
          <w:tcPr>
            <w:tcW w:w="5398" w:type="dxa"/>
          </w:tcPr>
          <w:p w14:paraId="49D88563">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1.投标产品主机防尘等级达到4级（IP4X）或以上，且防水等级达到3级（IPX3）或以上，得3分；</w:t>
            </w:r>
          </w:p>
          <w:p w14:paraId="6A9A6888">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2.投标产品主机防尘等级达到3级（IP3X）或以上，且防水等级达到2级（IPX2）或以上，得2分；</w:t>
            </w:r>
          </w:p>
          <w:p w14:paraId="1281FCB0">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3.投标产品主机防尘等级达到2级（IP2X），且防水等级达到1级（IPX1）或以上，得1分。</w:t>
            </w:r>
          </w:p>
          <w:p w14:paraId="1B5583B5">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4.其他情况不得分。</w:t>
            </w:r>
          </w:p>
          <w:p w14:paraId="019F96B2">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注：须提供具备CMA和CNAS标识的第三方检测机构出具的检测报告扫描件。未提供或提供的报告不清晰难以辨认的不得分。</w:t>
            </w:r>
          </w:p>
        </w:tc>
        <w:tc>
          <w:tcPr>
            <w:tcW w:w="5458" w:type="dxa"/>
          </w:tcPr>
          <w:p w14:paraId="5EBCCC0B">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1.投标产品主机防尘等级达到4级（IP4X）或以上，且防水等级达到3级（IPX3）或以上，得3分；</w:t>
            </w:r>
          </w:p>
          <w:p w14:paraId="7142BD2F">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2.投标产品主机防尘等级达到3级（IP3X）或以上，且防水等级达到2级（IPX2）或以上，得2分；</w:t>
            </w:r>
          </w:p>
          <w:p w14:paraId="06D34440">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3.投标产品主机防尘等级达到</w:t>
            </w:r>
            <w:r>
              <w:rPr>
                <w:rFonts w:hint="eastAsia" w:asciiTheme="majorEastAsia" w:hAnsiTheme="majorEastAsia" w:eastAsiaTheme="majorEastAsia" w:cstheme="majorEastAsia"/>
                <w:color w:val="auto"/>
                <w:sz w:val="21"/>
                <w:szCs w:val="21"/>
                <w:highlight w:val="none"/>
                <w:u w:val="single"/>
              </w:rPr>
              <w:t>2级（IP2X）或以上</w:t>
            </w:r>
            <w:r>
              <w:rPr>
                <w:rFonts w:hint="eastAsia" w:asciiTheme="majorEastAsia" w:hAnsiTheme="majorEastAsia" w:eastAsiaTheme="majorEastAsia" w:cstheme="majorEastAsia"/>
                <w:color w:val="auto"/>
                <w:sz w:val="21"/>
                <w:szCs w:val="21"/>
                <w:highlight w:val="none"/>
              </w:rPr>
              <w:t>，且防水等级达到1级（IPX1）或以上，得1分。</w:t>
            </w:r>
          </w:p>
          <w:p w14:paraId="0C882ABF">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4.其他情况不得分。</w:t>
            </w:r>
          </w:p>
          <w:p w14:paraId="1A1C12B2">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注：须提供具备CMA和CNAS标识的第三方检测机构出具的检测报告扫描件。未提供或提供的报告不清晰难以辨认的不得分。</w:t>
            </w:r>
          </w:p>
        </w:tc>
      </w:tr>
      <w:tr w14:paraId="40B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502DDB7C">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1EC354CA">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 xml:space="preserve">第三章评标办法（综合评分法） </w:t>
            </w:r>
            <w:r>
              <w:rPr>
                <w:rFonts w:hint="eastAsia" w:asciiTheme="majorEastAsia" w:hAnsiTheme="majorEastAsia" w:eastAsiaTheme="majorEastAsia" w:cstheme="majorEastAsia"/>
                <w:color w:val="auto"/>
                <w:sz w:val="21"/>
                <w:szCs w:val="21"/>
                <w:highlight w:val="none"/>
              </w:rPr>
              <w:t>2.2.4（2）技术评分标准</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bCs/>
                <w:color w:val="auto"/>
                <w:sz w:val="21"/>
                <w:szCs w:val="21"/>
                <w:highlight w:val="none"/>
              </w:rPr>
              <w:t>控制柜（3分）</w:t>
            </w:r>
          </w:p>
        </w:tc>
        <w:tc>
          <w:tcPr>
            <w:tcW w:w="5398" w:type="dxa"/>
          </w:tcPr>
          <w:p w14:paraId="2B45C6FA">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1.控制柜结构合理，技术先进，材质优良。其中客梯满足指标：宽电压设计（380V±15%）及抗雷击电压≥10KV得3分；</w:t>
            </w:r>
          </w:p>
          <w:p w14:paraId="555A29C1">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2.控制柜结构较合理，技术较先进，材质较优良。客梯满足指标：宽电压设计（380V±10%）及抗雷击电压≥6KV，得2分；</w:t>
            </w:r>
          </w:p>
          <w:p w14:paraId="7F00B570">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3.控制柜结构不够合理，技术不够先进，材质不够优良。客梯满足指标：宽电压设计（380V±7%）及未考虑抗雷击电压，得1分。</w:t>
            </w:r>
          </w:p>
          <w:p w14:paraId="593D9235">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4.其他情况不得分。</w:t>
            </w:r>
          </w:p>
          <w:p w14:paraId="70823272">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注：须提供具备CMA和CNAS标识的第三方检测机构出具的检测报告扫描件。未提供或提供的报告不清晰难以辨认的不得分。</w:t>
            </w:r>
          </w:p>
        </w:tc>
        <w:tc>
          <w:tcPr>
            <w:tcW w:w="5458" w:type="dxa"/>
          </w:tcPr>
          <w:p w14:paraId="12B3FCD7">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1.控制柜结构合理，技术先进，材质优良。其中客梯满足指标：宽电压设计（380V±15%）</w:t>
            </w:r>
            <w:r>
              <w:rPr>
                <w:rFonts w:hint="eastAsia" w:asciiTheme="majorEastAsia" w:hAnsiTheme="majorEastAsia" w:eastAsiaTheme="majorEastAsia" w:cstheme="majorEastAsia"/>
                <w:color w:val="auto"/>
                <w:sz w:val="21"/>
                <w:szCs w:val="21"/>
                <w:highlight w:val="none"/>
                <w:u w:val="single"/>
                <w:lang w:val="en-US" w:eastAsia="zh-CN"/>
              </w:rPr>
              <w:t>或以上</w:t>
            </w:r>
            <w:r>
              <w:rPr>
                <w:rFonts w:hint="eastAsia" w:asciiTheme="majorEastAsia" w:hAnsiTheme="majorEastAsia" w:eastAsiaTheme="majorEastAsia" w:cstheme="majorEastAsia"/>
                <w:color w:val="auto"/>
                <w:sz w:val="21"/>
                <w:szCs w:val="21"/>
                <w:highlight w:val="none"/>
              </w:rPr>
              <w:t>及抗雷击电压≥10KV得3分；</w:t>
            </w:r>
          </w:p>
          <w:p w14:paraId="4B66E3DD">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2.控制柜结构较合理，技术较先进，材质较优良。客梯满足指标：宽电压设计（380V±10%）</w:t>
            </w:r>
            <w:r>
              <w:rPr>
                <w:rFonts w:hint="eastAsia" w:asciiTheme="majorEastAsia" w:hAnsiTheme="majorEastAsia" w:eastAsiaTheme="majorEastAsia" w:cstheme="majorEastAsia"/>
                <w:color w:val="auto"/>
                <w:sz w:val="21"/>
                <w:szCs w:val="21"/>
                <w:highlight w:val="none"/>
                <w:u w:val="single"/>
                <w:lang w:val="en-US" w:eastAsia="zh-CN"/>
              </w:rPr>
              <w:t>或以上</w:t>
            </w:r>
            <w:r>
              <w:rPr>
                <w:rFonts w:hint="eastAsia" w:asciiTheme="majorEastAsia" w:hAnsiTheme="majorEastAsia" w:eastAsiaTheme="majorEastAsia" w:cstheme="majorEastAsia"/>
                <w:color w:val="auto"/>
                <w:sz w:val="21"/>
                <w:szCs w:val="21"/>
                <w:highlight w:val="none"/>
              </w:rPr>
              <w:t>及抗雷击电压≥6KV，得2分；</w:t>
            </w:r>
          </w:p>
          <w:p w14:paraId="0D86557F">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3.控制柜结构不够合理，技术不够先进，材质不够优良。客梯满足指标：宽电压设计（380V±7%）</w:t>
            </w:r>
            <w:r>
              <w:rPr>
                <w:rFonts w:hint="eastAsia" w:asciiTheme="majorEastAsia" w:hAnsiTheme="majorEastAsia" w:eastAsiaTheme="majorEastAsia" w:cstheme="majorEastAsia"/>
                <w:color w:val="auto"/>
                <w:sz w:val="21"/>
                <w:szCs w:val="21"/>
                <w:highlight w:val="none"/>
                <w:u w:val="single"/>
                <w:lang w:val="en-US" w:eastAsia="zh-CN"/>
              </w:rPr>
              <w:t>或以上</w:t>
            </w:r>
            <w:r>
              <w:rPr>
                <w:rFonts w:hint="eastAsia" w:asciiTheme="majorEastAsia" w:hAnsiTheme="majorEastAsia" w:eastAsiaTheme="majorEastAsia" w:cstheme="majorEastAsia"/>
                <w:color w:val="auto"/>
                <w:sz w:val="21"/>
                <w:szCs w:val="21"/>
                <w:highlight w:val="none"/>
              </w:rPr>
              <w:t>及未考虑抗雷击电压，得1分。</w:t>
            </w:r>
          </w:p>
          <w:p w14:paraId="0BC19D8C">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4.其他情况不得分。</w:t>
            </w:r>
          </w:p>
          <w:p w14:paraId="53F65243">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注：须提供具备CMA和CNAS标识的第三方检测机构出具的检测报告扫描件。未提供或提供的报告不清晰难以辨认的不得分。</w:t>
            </w:r>
          </w:p>
        </w:tc>
      </w:tr>
      <w:tr w14:paraId="03BB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4E7F5C19">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4498987E">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第六章 投标文件格式 目录</w:t>
            </w:r>
          </w:p>
        </w:tc>
        <w:tc>
          <w:tcPr>
            <w:tcW w:w="5398" w:type="dxa"/>
          </w:tcPr>
          <w:p w14:paraId="12D939C5">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八、近年财务状况表</w:t>
            </w:r>
          </w:p>
        </w:tc>
        <w:tc>
          <w:tcPr>
            <w:tcW w:w="5458" w:type="dxa"/>
          </w:tcPr>
          <w:p w14:paraId="66506EAD">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八、近年财务状况表（如有）</w:t>
            </w:r>
          </w:p>
        </w:tc>
      </w:tr>
      <w:tr w14:paraId="3D98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1441EF31">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6F5D4642">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第六章 投标文件格式 一、投标函及投标函附录</w:t>
            </w:r>
          </w:p>
        </w:tc>
        <w:tc>
          <w:tcPr>
            <w:tcW w:w="5398" w:type="dxa"/>
          </w:tcPr>
          <w:p w14:paraId="5F08E807">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（8）近年财务状况表； </w:t>
            </w:r>
          </w:p>
        </w:tc>
        <w:tc>
          <w:tcPr>
            <w:tcW w:w="5458" w:type="dxa"/>
          </w:tcPr>
          <w:p w14:paraId="6FC1CEA3">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（9）供货</w:t>
            </w:r>
            <w:r>
              <w:rPr>
                <w:rFonts w:hint="eastAsia" w:asciiTheme="majorEastAsia" w:hAnsiTheme="majorEastAsia" w:eastAsiaTheme="majorEastAsia" w:cstheme="majorEastAsia"/>
                <w:color w:val="auto"/>
                <w:sz w:val="21"/>
                <w:szCs w:val="21"/>
                <w:highlight w:val="none"/>
                <w:lang w:val="en-US" w:eastAsia="zh-CN"/>
              </w:rPr>
              <w:t>财务</w:t>
            </w:r>
            <w:r>
              <w:rPr>
                <w:rFonts w:hint="eastAsia" w:asciiTheme="majorEastAsia" w:hAnsiTheme="majorEastAsia" w:eastAsiaTheme="majorEastAsia" w:cstheme="majorEastAsia"/>
                <w:color w:val="auto"/>
                <w:sz w:val="21"/>
                <w:szCs w:val="21"/>
                <w:highlight w:val="none"/>
              </w:rPr>
              <w:t xml:space="preserve">情况表（如有）； </w:t>
            </w:r>
          </w:p>
        </w:tc>
      </w:tr>
      <w:tr w14:paraId="19FE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5796B081">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164DBB79">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第六章 投标文件格式 二、授权委托书</w:t>
            </w:r>
          </w:p>
        </w:tc>
        <w:tc>
          <w:tcPr>
            <w:tcW w:w="5398" w:type="dxa"/>
          </w:tcPr>
          <w:p w14:paraId="0AA3CD02">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原文详见原招标文件</w:t>
            </w:r>
          </w:p>
        </w:tc>
        <w:tc>
          <w:tcPr>
            <w:tcW w:w="5458" w:type="dxa"/>
          </w:tcPr>
          <w:p w14:paraId="150FEE6B">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现文详见本补充公告</w:t>
            </w:r>
            <w:r>
              <w:rPr>
                <w:rFonts w:hint="eastAsia" w:asciiTheme="majorEastAsia" w:hAnsiTheme="majorEastAsia" w:eastAsiaTheme="majorEastAsia" w:cstheme="majorEastAsia"/>
                <w:color w:val="auto"/>
                <w:sz w:val="21"/>
                <w:szCs w:val="21"/>
                <w:highlight w:val="none"/>
                <w:lang w:val="en-US" w:eastAsia="zh-CN"/>
              </w:rPr>
              <w:t>附件-</w:t>
            </w:r>
            <w:r>
              <w:rPr>
                <w:rFonts w:hint="eastAsia" w:asciiTheme="majorEastAsia" w:hAnsiTheme="majorEastAsia" w:eastAsiaTheme="majorEastAsia" w:cstheme="majorEastAsia"/>
                <w:color w:val="auto"/>
                <w:sz w:val="21"/>
                <w:szCs w:val="21"/>
                <w:highlight w:val="none"/>
                <w:vertAlign w:val="baseline"/>
                <w:lang w:val="en-US" w:eastAsia="zh-CN"/>
              </w:rPr>
              <w:t>授权委托书</w:t>
            </w:r>
          </w:p>
        </w:tc>
      </w:tr>
      <w:tr w14:paraId="006D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tcPr>
          <w:p w14:paraId="044742F3">
            <w:pPr>
              <w:rPr>
                <w:rFonts w:hint="eastAsia" w:asciiTheme="majorEastAsia" w:hAnsiTheme="majorEastAsia" w:eastAsiaTheme="majorEastAsia" w:cstheme="majorEastAsia"/>
                <w:color w:val="auto"/>
                <w:sz w:val="21"/>
                <w:szCs w:val="21"/>
                <w:highlight w:val="none"/>
                <w:vertAlign w:val="baseline"/>
                <w:lang w:val="en-US" w:eastAsia="zh-CN"/>
              </w:rPr>
            </w:pPr>
          </w:p>
        </w:tc>
        <w:tc>
          <w:tcPr>
            <w:tcW w:w="2889" w:type="dxa"/>
          </w:tcPr>
          <w:p w14:paraId="08165ACA">
            <w:pP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第六章 投标文件格式 （二）投标人声明</w:t>
            </w:r>
          </w:p>
        </w:tc>
        <w:tc>
          <w:tcPr>
            <w:tcW w:w="5398" w:type="dxa"/>
          </w:tcPr>
          <w:p w14:paraId="51245B9F">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原文详见原招标文件</w:t>
            </w:r>
          </w:p>
        </w:tc>
        <w:tc>
          <w:tcPr>
            <w:tcW w:w="5458" w:type="dxa"/>
          </w:tcPr>
          <w:p w14:paraId="30E6C13D">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现文详见本补充公告</w:t>
            </w:r>
            <w:r>
              <w:rPr>
                <w:rFonts w:hint="eastAsia" w:asciiTheme="majorEastAsia" w:hAnsiTheme="majorEastAsia" w:eastAsiaTheme="majorEastAsia" w:cstheme="majorEastAsia"/>
                <w:color w:val="auto"/>
                <w:sz w:val="21"/>
                <w:szCs w:val="21"/>
                <w:highlight w:val="none"/>
                <w:lang w:val="en-US" w:eastAsia="zh-CN"/>
              </w:rPr>
              <w:t>附件-</w:t>
            </w:r>
            <w:r>
              <w:rPr>
                <w:rFonts w:hint="eastAsia" w:asciiTheme="majorEastAsia" w:hAnsiTheme="majorEastAsia" w:eastAsiaTheme="majorEastAsia" w:cstheme="majorEastAsia"/>
                <w:color w:val="auto"/>
                <w:sz w:val="21"/>
                <w:szCs w:val="21"/>
                <w:highlight w:val="none"/>
                <w:vertAlign w:val="baseline"/>
                <w:lang w:val="en-US" w:eastAsia="zh-CN"/>
              </w:rPr>
              <w:t>投标人声明</w:t>
            </w:r>
          </w:p>
        </w:tc>
      </w:tr>
    </w:tbl>
    <w:p w14:paraId="397D13AA">
      <w:pPr>
        <w:ind w:firstLine="420" w:firstLineChars="200"/>
        <w:rPr>
          <w:rFonts w:hint="eastAsia"/>
          <w:color w:val="auto"/>
          <w:lang w:val="en-US"/>
        </w:rPr>
      </w:pPr>
      <w:r>
        <w:rPr>
          <w:rFonts w:hint="eastAsia"/>
          <w:color w:val="auto"/>
          <w:lang w:val="en-US"/>
        </w:rPr>
        <w:t>原招标公告、招标文件的内容与本补充公告发布的内容不一致之处的，以本补充公告内容为准，本补充公告为招标文件的组成部分，如对同一事项的表述与之前所发出的招标公告、招标文件不符，则以本补充公告为准，原招标公告、招标文件的其他内容与要求不变。详见后附的招标文件和招标公告。</w:t>
      </w:r>
    </w:p>
    <w:p w14:paraId="3BCA578D">
      <w:pPr>
        <w:pStyle w:val="7"/>
        <w:numPr>
          <w:ilvl w:val="0"/>
          <w:numId w:val="2"/>
        </w:numPr>
        <w:rPr>
          <w:rFonts w:hint="eastAsia"/>
          <w:b/>
          <w:bCs/>
          <w:color w:val="auto"/>
          <w:lang w:val="en-US"/>
        </w:rPr>
      </w:pPr>
      <w:r>
        <w:rPr>
          <w:rFonts w:hint="eastAsia"/>
          <w:b/>
          <w:bCs/>
          <w:color w:val="auto"/>
          <w:lang w:val="en-US"/>
        </w:rPr>
        <w:t>本项目日程安排调整如下</w:t>
      </w:r>
    </w:p>
    <w:p w14:paraId="6BD5F902">
      <w:pPr>
        <w:numPr>
          <w:ilvl w:val="0"/>
          <w:numId w:val="0"/>
        </w:numPr>
        <w:ind w:firstLine="420" w:firstLineChars="200"/>
        <w:rPr>
          <w:rFonts w:hint="eastAsia"/>
          <w:color w:val="auto"/>
          <w:lang w:val="en-US" w:eastAsia="zh-CN"/>
        </w:rPr>
      </w:pPr>
      <w:r>
        <w:rPr>
          <w:rFonts w:hint="eastAsia"/>
          <w:color w:val="auto"/>
          <w:lang w:val="en-US"/>
        </w:rPr>
        <w:t>投标登记及递交投标文件及开标时间:请登录广州公共资源交易中心网站首页，点击“建设工程一项目查询(日程安排、答疑纪要)”，输入项目编号即可查询(投标截止时间与开标时间是否有变化，请投标人密切关注本项目在广州公共资源交易中心网的</w:t>
      </w:r>
      <w:r>
        <w:rPr>
          <w:rFonts w:hint="eastAsia"/>
          <w:color w:val="auto"/>
          <w:lang w:val="en-US" w:eastAsia="zh-CN"/>
        </w:rPr>
        <w:t>日程安排，如有变动，以最新安排为准。</w:t>
      </w:r>
    </w:p>
    <w:p w14:paraId="3729E226">
      <w:pPr>
        <w:pStyle w:val="7"/>
        <w:rPr>
          <w:rFonts w:hint="eastAsia"/>
          <w:color w:val="auto"/>
          <w:lang w:val="en-US" w:eastAsia="zh-CN"/>
        </w:rPr>
      </w:pPr>
    </w:p>
    <w:p w14:paraId="5FD05C12">
      <w:pPr>
        <w:pStyle w:val="7"/>
        <w:spacing w:line="480" w:lineRule="auto"/>
        <w:jc w:val="right"/>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招标单位：中国大酒店</w:t>
      </w:r>
    </w:p>
    <w:p w14:paraId="3716860E">
      <w:pPr>
        <w:spacing w:line="480" w:lineRule="auto"/>
        <w:jc w:val="right"/>
        <w:rPr>
          <w:rFonts w:hint="eastAsia" w:asciiTheme="minorHAnsi" w:hAnsiTheme="minorHAnsi" w:eastAsiaTheme="minorEastAsia" w:cstheme="minorBidi"/>
          <w:color w:val="auto"/>
          <w:kern w:val="2"/>
          <w:sz w:val="21"/>
          <w:szCs w:val="22"/>
          <w:lang w:val="en-US" w:eastAsia="zh-CN" w:bidi="ar-SA"/>
        </w:rPr>
      </w:pPr>
      <w:r>
        <w:rPr>
          <w:rFonts w:hint="eastAsia" w:asciiTheme="minorHAnsi" w:hAnsiTheme="minorHAnsi" w:eastAsiaTheme="minorEastAsia" w:cstheme="minorBidi"/>
          <w:color w:val="auto"/>
          <w:kern w:val="2"/>
          <w:sz w:val="21"/>
          <w:szCs w:val="22"/>
          <w:lang w:val="en-US" w:eastAsia="zh-CN" w:bidi="ar-SA"/>
        </w:rPr>
        <w:t>招标代理机构：众意项目管理咨询(广州)有限公司</w:t>
      </w:r>
    </w:p>
    <w:p w14:paraId="6C79F24B">
      <w:pPr>
        <w:pStyle w:val="7"/>
        <w:spacing w:line="480" w:lineRule="auto"/>
        <w:jc w:val="right"/>
        <w:rPr>
          <w:rFonts w:hint="default" w:ascii="宋体" w:hAnsi="宋体" w:eastAsia="宋体" w:cs="宋体"/>
          <w:b/>
          <w:color w:val="auto"/>
          <w:sz w:val="36"/>
          <w:szCs w:val="32"/>
          <w:highlight w:val="none"/>
          <w:lang w:val="en-US" w:eastAsia="zh-CN"/>
        </w:rPr>
      </w:pPr>
      <w:r>
        <w:rPr>
          <w:rFonts w:hint="eastAsia" w:asciiTheme="minorHAnsi" w:hAnsiTheme="minorHAnsi" w:eastAsiaTheme="minorEastAsia" w:cstheme="minorBidi"/>
          <w:color w:val="auto"/>
          <w:kern w:val="2"/>
          <w:sz w:val="21"/>
          <w:szCs w:val="22"/>
          <w:lang w:val="en-US" w:eastAsia="zh-CN" w:bidi="ar-SA"/>
        </w:rPr>
        <w:t>日期：2025年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F5985"/>
    <w:multiLevelType w:val="singleLevel"/>
    <w:tmpl w:val="51DF5985"/>
    <w:lvl w:ilvl="0" w:tentative="0">
      <w:start w:val="2"/>
      <w:numFmt w:val="chineseCounting"/>
      <w:suff w:val="nothing"/>
      <w:lvlText w:val="%1、"/>
      <w:lvlJc w:val="left"/>
      <w:rPr>
        <w:rFonts w:hint="eastAsia"/>
      </w:rPr>
    </w:lvl>
  </w:abstractNum>
  <w:abstractNum w:abstractNumId="1">
    <w:nsid w:val="7AB73B2C"/>
    <w:multiLevelType w:val="singleLevel"/>
    <w:tmpl w:val="7AB73B2C"/>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hkNGVlOTk0MTBiNzRmNTZkYTcyMWIyMGZmNjMifQ=="/>
    <w:docVar w:name="KSO_WPS_MARK_KEY" w:val="fbd87bbc-d3e0-4af2-a496-e0a4999c1291"/>
  </w:docVars>
  <w:rsids>
    <w:rsidRoot w:val="79E24DA2"/>
    <w:rsid w:val="03593735"/>
    <w:rsid w:val="049B394B"/>
    <w:rsid w:val="04F34700"/>
    <w:rsid w:val="06A74175"/>
    <w:rsid w:val="06BD5DFB"/>
    <w:rsid w:val="0753050D"/>
    <w:rsid w:val="079E78EE"/>
    <w:rsid w:val="07ED2710"/>
    <w:rsid w:val="082619FE"/>
    <w:rsid w:val="0ABB50AB"/>
    <w:rsid w:val="0C8C24F7"/>
    <w:rsid w:val="0CCC4FEA"/>
    <w:rsid w:val="0D477AA7"/>
    <w:rsid w:val="0DA72041"/>
    <w:rsid w:val="0F2904D1"/>
    <w:rsid w:val="0FAE56DB"/>
    <w:rsid w:val="0FD132BC"/>
    <w:rsid w:val="114A310B"/>
    <w:rsid w:val="11515ABE"/>
    <w:rsid w:val="11B0086C"/>
    <w:rsid w:val="135857BD"/>
    <w:rsid w:val="13631E11"/>
    <w:rsid w:val="1472059D"/>
    <w:rsid w:val="1A0E727D"/>
    <w:rsid w:val="1A784916"/>
    <w:rsid w:val="1CCC0558"/>
    <w:rsid w:val="1CE912A0"/>
    <w:rsid w:val="1DAD1554"/>
    <w:rsid w:val="1F136AA8"/>
    <w:rsid w:val="1FDE0E64"/>
    <w:rsid w:val="226D64CF"/>
    <w:rsid w:val="25441D55"/>
    <w:rsid w:val="25C62CD7"/>
    <w:rsid w:val="272A15A5"/>
    <w:rsid w:val="280D0539"/>
    <w:rsid w:val="28846321"/>
    <w:rsid w:val="28FC235B"/>
    <w:rsid w:val="2AB676AF"/>
    <w:rsid w:val="2C891334"/>
    <w:rsid w:val="2D460049"/>
    <w:rsid w:val="2E460A02"/>
    <w:rsid w:val="2EAB6E76"/>
    <w:rsid w:val="2EB8678E"/>
    <w:rsid w:val="2F25260C"/>
    <w:rsid w:val="2F8C4439"/>
    <w:rsid w:val="37C93427"/>
    <w:rsid w:val="37DC365D"/>
    <w:rsid w:val="38AE3672"/>
    <w:rsid w:val="39B73AC0"/>
    <w:rsid w:val="3EC83776"/>
    <w:rsid w:val="40047A37"/>
    <w:rsid w:val="424D3EFC"/>
    <w:rsid w:val="42C57F36"/>
    <w:rsid w:val="46C865E1"/>
    <w:rsid w:val="48C13F31"/>
    <w:rsid w:val="4A0D425E"/>
    <w:rsid w:val="4A5B1EE0"/>
    <w:rsid w:val="4A7D35C7"/>
    <w:rsid w:val="4B4340EE"/>
    <w:rsid w:val="4CEA7877"/>
    <w:rsid w:val="4E632830"/>
    <w:rsid w:val="4EAB6D8F"/>
    <w:rsid w:val="538F568A"/>
    <w:rsid w:val="53F00B8B"/>
    <w:rsid w:val="548B2F99"/>
    <w:rsid w:val="553D1BAE"/>
    <w:rsid w:val="568C161D"/>
    <w:rsid w:val="59BC506B"/>
    <w:rsid w:val="5CDE2EED"/>
    <w:rsid w:val="5D896437"/>
    <w:rsid w:val="5EB804F7"/>
    <w:rsid w:val="5F303AA6"/>
    <w:rsid w:val="62061683"/>
    <w:rsid w:val="64F805D3"/>
    <w:rsid w:val="65990A67"/>
    <w:rsid w:val="65DF6900"/>
    <w:rsid w:val="69074555"/>
    <w:rsid w:val="69272577"/>
    <w:rsid w:val="69F05A30"/>
    <w:rsid w:val="69FC69FB"/>
    <w:rsid w:val="6D885538"/>
    <w:rsid w:val="6E1708A3"/>
    <w:rsid w:val="6E204E9F"/>
    <w:rsid w:val="6F123B67"/>
    <w:rsid w:val="700905CB"/>
    <w:rsid w:val="726648F5"/>
    <w:rsid w:val="768135A6"/>
    <w:rsid w:val="79244A67"/>
    <w:rsid w:val="79E24DA2"/>
    <w:rsid w:val="7DA168CE"/>
    <w:rsid w:val="7EF17C29"/>
    <w:rsid w:val="7FFA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tabs>
        <w:tab w:val="left" w:pos="720"/>
      </w:tab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宋体" w:cs="Times New Roman"/>
      <w:kern w:val="0"/>
      <w:sz w:val="20"/>
      <w:szCs w:val="20"/>
    </w:rPr>
  </w:style>
  <w:style w:type="paragraph" w:styleId="4">
    <w:name w:val="Body Text"/>
    <w:basedOn w:val="1"/>
    <w:next w:val="1"/>
    <w:qFormat/>
    <w:uiPriority w:val="0"/>
    <w:pPr>
      <w:spacing w:after="120"/>
    </w:pPr>
    <w:rPr>
      <w:rFonts w:ascii="Calibri" w:hAnsi="Calibri" w:eastAsia="宋体" w:cs="Times New Roman"/>
      <w:kern w:val="0"/>
      <w:sz w:val="20"/>
      <w:szCs w:val="20"/>
    </w:rPr>
  </w:style>
  <w:style w:type="paragraph" w:styleId="5">
    <w:name w:val="Body Text Indent"/>
    <w:basedOn w:val="1"/>
    <w:next w:val="6"/>
    <w:qFormat/>
    <w:uiPriority w:val="0"/>
    <w:pPr>
      <w:tabs>
        <w:tab w:val="left" w:pos="567"/>
      </w:tabs>
      <w:spacing w:line="360" w:lineRule="auto"/>
      <w:ind w:left="420" w:leftChars="200"/>
    </w:pPr>
    <w:rPr>
      <w:rFonts w:ascii="Calibri" w:hAnsi="Calibri" w:eastAsia="宋体" w:cs="Times New Roman"/>
      <w:kern w:val="0"/>
      <w:sz w:val="20"/>
      <w:szCs w:val="21"/>
    </w:rPr>
  </w:style>
  <w:style w:type="paragraph" w:styleId="6">
    <w:name w:val="envelope return"/>
    <w:basedOn w:val="1"/>
    <w:qFormat/>
    <w:uiPriority w:val="0"/>
    <w:pPr>
      <w:snapToGrid w:val="0"/>
    </w:pPr>
    <w:rPr>
      <w:rFonts w:ascii="Arial" w:hAnsi="Arial" w:eastAsia="宋体" w:cs="Times New Roman"/>
      <w:szCs w:val="24"/>
    </w:rPr>
  </w:style>
  <w:style w:type="paragraph" w:styleId="7">
    <w:name w:val="Plain Text"/>
    <w:basedOn w:val="1"/>
    <w:next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4"/>
    <w:qFormat/>
    <w:uiPriority w:val="0"/>
    <w:pPr>
      <w:spacing w:after="120" w:line="240" w:lineRule="auto"/>
      <w:ind w:left="200" w:firstLine="200" w:firstLineChars="200"/>
    </w:pPr>
    <w:rPr>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5152</Words>
  <Characters>5384</Characters>
  <Lines>0</Lines>
  <Paragraphs>0</Paragraphs>
  <TotalTime>1</TotalTime>
  <ScaleCrop>false</ScaleCrop>
  <LinksUpToDate>false</LinksUpToDate>
  <CharactersWithSpaces>5433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2024-08-20T06:09:00Z</dcterms:created>
  <dc:creator>国采</dc:creator>
  <cp:lastModifiedBy>D</cp:lastModifiedBy>
  <dcterms:modified xsi:type="dcterms:W3CDTF">2025-06-10T02:50:27Z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6B1E36024CBA417995CDD4411C413E0C_13</vt:lpwstr>
  </property>
  <property fmtid="{D5CDD505-2E9C-101B-9397-08002B2CF9AE}" pid="4" name="KSOTemplateDocerSaveRecord">
    <vt:lpwstr>eyJoZGlkIjoiNzUyMjEzY2JkZTRhOWM2NTMyNzVkZDgyZmYxMWE3ZjUiLCJ1c2VySWQiOiI1NzQ1ODI4OTIifQ==</vt:lpwstr>
  </property>
</Properties>
</file>