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161DC">
      <w:pPr>
        <w:pStyle w:val="29"/>
        <w:spacing w:before="156" w:beforeLines="50" w:beforeAutospacing="0" w:after="156" w:afterLines="50" w:line="360" w:lineRule="auto"/>
        <w:rPr>
          <w:sz w:val="44"/>
          <w:szCs w:val="44"/>
        </w:rPr>
      </w:pPr>
      <w:bookmarkStart w:id="0" w:name="采光"/>
      <w:bookmarkEnd w:id="0"/>
    </w:p>
    <w:p w14:paraId="446FCB3F">
      <w:pPr>
        <w:pStyle w:val="29"/>
        <w:spacing w:before="156" w:beforeLines="50" w:beforeAutospacing="0" w:after="156" w:afterLines="50" w:line="360" w:lineRule="auto"/>
        <w:rPr>
          <w:sz w:val="44"/>
          <w:szCs w:val="44"/>
        </w:rPr>
      </w:pPr>
      <w:bookmarkStart w:id="531" w:name="_GoBack"/>
      <w:bookmarkEnd w:id="531"/>
      <w:r>
        <w:rPr>
          <w:rFonts w:hint="eastAsia"/>
          <w:sz w:val="44"/>
          <w:szCs w:val="44"/>
          <w:lang w:eastAsia="zh"/>
        </w:rPr>
        <w:t>广州市残疾人托养中心（星安居）项目部分区域装修工程施工专业承包</w:t>
      </w:r>
    </w:p>
    <w:p w14:paraId="528BFA4A">
      <w:pPr>
        <w:pStyle w:val="24"/>
        <w:spacing w:before="156" w:beforeLines="50" w:beforeAutospacing="0" w:after="156" w:afterLines="50" w:line="360" w:lineRule="auto"/>
        <w:ind w:firstLine="496"/>
      </w:pPr>
    </w:p>
    <w:p w14:paraId="2D550D68">
      <w:pPr>
        <w:pStyle w:val="24"/>
        <w:spacing w:before="156" w:beforeLines="50" w:beforeAutospacing="0" w:after="156" w:afterLines="50" w:line="360" w:lineRule="auto"/>
        <w:ind w:firstLine="496"/>
      </w:pPr>
    </w:p>
    <w:p w14:paraId="401611A7">
      <w:pPr>
        <w:pStyle w:val="40"/>
        <w:spacing w:before="156" w:beforeLines="50" w:beforeAutospacing="0" w:after="156" w:afterLines="50" w:line="360" w:lineRule="auto"/>
        <w:rPr>
          <w:sz w:val="72"/>
          <w:szCs w:val="72"/>
        </w:rPr>
      </w:pPr>
      <w:r>
        <w:rPr>
          <w:rFonts w:hint="eastAsia"/>
          <w:sz w:val="72"/>
          <w:szCs w:val="72"/>
        </w:rPr>
        <w:t>招标文件</w:t>
      </w:r>
    </w:p>
    <w:p w14:paraId="19804947">
      <w:pPr>
        <w:pStyle w:val="40"/>
        <w:numPr>
          <w:ilvl w:val="0"/>
          <w:numId w:val="1"/>
        </w:numPr>
        <w:tabs>
          <w:tab w:val="left" w:pos="840"/>
        </w:tabs>
        <w:spacing w:before="156" w:beforeLines="50" w:beforeAutospacing="0" w:after="156" w:afterLines="50" w:line="360" w:lineRule="auto"/>
        <w:outlineLvl w:val="0"/>
        <w:rPr>
          <w:sz w:val="72"/>
          <w:szCs w:val="72"/>
        </w:rPr>
      </w:pPr>
      <w:bookmarkStart w:id="1" w:name="_Toc24001"/>
      <w:bookmarkStart w:id="2" w:name="_Toc19007"/>
      <w:bookmarkStart w:id="3" w:name="_Toc17030"/>
      <w:r>
        <w:rPr>
          <w:rFonts w:hint="eastAsia"/>
          <w:sz w:val="72"/>
          <w:szCs w:val="72"/>
        </w:rPr>
        <w:t>工程量清单</w:t>
      </w:r>
      <w:bookmarkEnd w:id="1"/>
      <w:bookmarkEnd w:id="2"/>
      <w:bookmarkEnd w:id="3"/>
    </w:p>
    <w:p w14:paraId="1B0823F3">
      <w:pPr>
        <w:pStyle w:val="24"/>
        <w:spacing w:before="156" w:beforeLines="50" w:beforeAutospacing="0" w:after="156" w:afterLines="50" w:line="360" w:lineRule="auto"/>
        <w:ind w:firstLine="496"/>
      </w:pPr>
    </w:p>
    <w:p w14:paraId="42750A22">
      <w:pPr>
        <w:pStyle w:val="24"/>
        <w:spacing w:before="156" w:beforeLines="50" w:beforeAutospacing="0" w:after="156" w:afterLines="50" w:line="360" w:lineRule="auto"/>
        <w:ind w:firstLine="496"/>
      </w:pPr>
    </w:p>
    <w:p w14:paraId="503AD269">
      <w:pPr>
        <w:pStyle w:val="24"/>
        <w:spacing w:before="156" w:beforeLines="50" w:beforeAutospacing="0" w:after="156" w:afterLines="50" w:line="360" w:lineRule="auto"/>
        <w:ind w:firstLine="496"/>
      </w:pPr>
    </w:p>
    <w:p w14:paraId="41F282E5">
      <w:pPr>
        <w:pStyle w:val="24"/>
        <w:spacing w:before="156" w:beforeLines="50" w:beforeAutospacing="0" w:after="156" w:afterLines="50" w:line="360" w:lineRule="auto"/>
        <w:ind w:firstLine="496"/>
      </w:pPr>
    </w:p>
    <w:p w14:paraId="4730D943">
      <w:pPr>
        <w:pStyle w:val="24"/>
        <w:spacing w:before="156" w:beforeLines="50" w:beforeAutospacing="0" w:after="156" w:afterLines="50" w:line="360" w:lineRule="auto"/>
        <w:ind w:firstLine="496"/>
      </w:pPr>
    </w:p>
    <w:p w14:paraId="338DB332">
      <w:pPr>
        <w:pStyle w:val="24"/>
        <w:spacing w:before="156" w:beforeLines="50" w:beforeAutospacing="0" w:after="156" w:afterLines="50" w:line="360" w:lineRule="auto"/>
        <w:ind w:firstLine="496"/>
      </w:pPr>
    </w:p>
    <w:p w14:paraId="276FCA29">
      <w:pPr>
        <w:pStyle w:val="36"/>
        <w:spacing w:before="156" w:beforeLines="50" w:beforeAutospacing="0" w:after="156" w:afterLines="50" w:line="360" w:lineRule="auto"/>
        <w:ind w:firstLine="770" w:firstLineChars="250"/>
      </w:pPr>
      <w:r>
        <w:rPr>
          <w:rFonts w:hint="eastAsia"/>
        </w:rPr>
        <w:t>招</w:t>
      </w:r>
      <w:r>
        <w:t xml:space="preserve">  </w:t>
      </w:r>
      <w:r>
        <w:rPr>
          <w:rFonts w:hint="eastAsia"/>
        </w:rPr>
        <w:t>标</w:t>
      </w:r>
      <w:r>
        <w:t xml:space="preserve"> </w:t>
      </w:r>
      <w:r>
        <w:rPr>
          <w:rFonts w:hint="eastAsia"/>
        </w:rPr>
        <w:t>单</w:t>
      </w:r>
      <w:r>
        <w:t xml:space="preserve"> </w:t>
      </w:r>
      <w:r>
        <w:rPr>
          <w:rFonts w:hint="eastAsia"/>
        </w:rPr>
        <w:t>位：广州市重点公共建设项目管理中心</w:t>
      </w:r>
    </w:p>
    <w:p w14:paraId="1C8B9E07">
      <w:pPr>
        <w:pStyle w:val="36"/>
        <w:spacing w:before="156" w:beforeLines="50" w:beforeAutospacing="0" w:after="156" w:afterLines="50" w:line="360" w:lineRule="auto"/>
        <w:ind w:firstLine="770" w:firstLineChars="250"/>
      </w:pPr>
      <w:r>
        <w:rPr>
          <w:rFonts w:hint="eastAsia"/>
        </w:rPr>
        <w:t>造价咨询单位：</w:t>
      </w:r>
      <w:r>
        <w:rPr>
          <w:rFonts w:hint="eastAsia"/>
          <w:lang w:eastAsia="zh"/>
        </w:rPr>
        <w:t>中量工程咨询有限公司</w:t>
      </w:r>
    </w:p>
    <w:p w14:paraId="00F0CA50">
      <w:pPr>
        <w:pStyle w:val="36"/>
        <w:spacing w:before="156" w:beforeLines="50" w:beforeAutospacing="0" w:after="156" w:afterLines="50" w:line="360" w:lineRule="auto"/>
        <w:ind w:firstLine="806" w:firstLineChars="262"/>
      </w:pPr>
      <w:r>
        <w:rPr>
          <w:rFonts w:hint="eastAsia"/>
        </w:rPr>
        <w:t>日</w:t>
      </w:r>
      <w:r>
        <w:t xml:space="preserve">        </w:t>
      </w:r>
      <w:r>
        <w:rPr>
          <w:rFonts w:hint="eastAsia"/>
        </w:rPr>
        <w:t>期：</w:t>
      </w:r>
      <w:r>
        <w:t>20</w:t>
      </w:r>
      <w:r>
        <w:rPr>
          <w:rFonts w:hint="eastAsia"/>
        </w:rPr>
        <w:t>2</w:t>
      </w:r>
      <w:r>
        <w:rPr>
          <w:rFonts w:hint="eastAsia"/>
          <w:lang w:eastAsia="zh"/>
        </w:rPr>
        <w:t>5</w:t>
      </w:r>
      <w:r>
        <w:rPr>
          <w:rFonts w:hint="eastAsia"/>
        </w:rPr>
        <w:t>年</w:t>
      </w:r>
      <w:r>
        <w:rPr>
          <w:rFonts w:hint="eastAsia"/>
          <w:lang w:val="en-US" w:eastAsia="zh-CN"/>
        </w:rPr>
        <w:t>6</w:t>
      </w:r>
      <w:r>
        <w:rPr>
          <w:rFonts w:hint="eastAsia"/>
        </w:rPr>
        <w:t>月</w:t>
      </w:r>
    </w:p>
    <w:p w14:paraId="461C828F">
      <w:pPr>
        <w:pStyle w:val="24"/>
        <w:spacing w:before="156" w:beforeLines="50" w:beforeAutospacing="0" w:after="156" w:afterLines="50" w:line="360" w:lineRule="auto"/>
        <w:ind w:firstLine="496"/>
        <w:jc w:val="center"/>
        <w:rPr>
          <w:rFonts w:ascii="宋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720" w:num="1"/>
          <w:docGrid w:type="lines" w:linePitch="312" w:charSpace="0"/>
        </w:sectPr>
      </w:pPr>
    </w:p>
    <w:p w14:paraId="575E5CAC">
      <w:pPr>
        <w:pStyle w:val="9"/>
        <w:tabs>
          <w:tab w:val="left" w:pos="2896"/>
          <w:tab w:val="right" w:leader="dot" w:pos="9060"/>
        </w:tabs>
        <w:adjustRightInd w:val="0"/>
        <w:snapToGrid w:val="0"/>
        <w:spacing w:before="143" w:beforeLines="50" w:beforeAutospacing="0" w:after="143" w:afterLines="50" w:line="360" w:lineRule="auto"/>
        <w:ind w:firstLine="0" w:firstLineChars="0"/>
        <w:jc w:val="center"/>
        <w:rPr>
          <w:sz w:val="44"/>
          <w:szCs w:val="44"/>
          <w:u w:val="single"/>
        </w:rPr>
      </w:pPr>
      <w:r>
        <w:rPr>
          <w:rStyle w:val="14"/>
          <w:rFonts w:hint="eastAsia"/>
          <w:color w:val="auto"/>
          <w:sz w:val="44"/>
          <w:szCs w:val="44"/>
        </w:rPr>
        <w:t>目录</w:t>
      </w:r>
    </w:p>
    <w:p w14:paraId="0A16873E">
      <w:pPr>
        <w:pStyle w:val="9"/>
        <w:tabs>
          <w:tab w:val="right" w:leader="dot" w:pos="9160"/>
        </w:tabs>
        <w:ind w:firstLine="301"/>
      </w:pPr>
      <w:r>
        <w:fldChar w:fldCharType="begin"/>
      </w:r>
      <w:r>
        <w:instrText xml:space="preserve">TOC \o "1-3" \h \u </w:instrText>
      </w:r>
      <w:r>
        <w:fldChar w:fldCharType="separate"/>
      </w:r>
      <w:r>
        <w:fldChar w:fldCharType="begin"/>
      </w:r>
      <w:r>
        <w:instrText xml:space="preserve"> HYPERLINK \l "_Toc24001" </w:instrText>
      </w:r>
      <w:r>
        <w:fldChar w:fldCharType="separate"/>
      </w:r>
      <w:r>
        <w:rPr>
          <w:szCs w:val="72"/>
        </w:rPr>
        <w:t xml:space="preserve">第七章 </w:t>
      </w:r>
      <w:r>
        <w:rPr>
          <w:rFonts w:hint="eastAsia"/>
          <w:szCs w:val="72"/>
        </w:rPr>
        <w:t>工程量清单</w:t>
      </w:r>
      <w:r>
        <w:tab/>
      </w:r>
      <w:r>
        <w:fldChar w:fldCharType="begin"/>
      </w:r>
      <w:r>
        <w:instrText xml:space="preserve"> PAGEREF _Toc24001 \h </w:instrText>
      </w:r>
      <w:r>
        <w:fldChar w:fldCharType="separate"/>
      </w:r>
      <w:r>
        <w:t>- 1 -</w:t>
      </w:r>
      <w:r>
        <w:fldChar w:fldCharType="end"/>
      </w:r>
      <w:r>
        <w:fldChar w:fldCharType="end"/>
      </w:r>
    </w:p>
    <w:p w14:paraId="71261C8E">
      <w:pPr>
        <w:pStyle w:val="9"/>
        <w:tabs>
          <w:tab w:val="right" w:leader="dot" w:pos="9160"/>
        </w:tabs>
        <w:ind w:firstLine="301"/>
      </w:pPr>
      <w:r>
        <w:fldChar w:fldCharType="begin"/>
      </w:r>
      <w:r>
        <w:instrText xml:space="preserve"> HYPERLINK \l "_Toc25282" </w:instrText>
      </w:r>
      <w:r>
        <w:fldChar w:fldCharType="separate"/>
      </w:r>
      <w:r>
        <w:rPr>
          <w:rFonts w:hint="eastAsia"/>
          <w:kern w:val="44"/>
        </w:rPr>
        <w:t>第一部分</w:t>
      </w:r>
      <w:r>
        <w:rPr>
          <w:kern w:val="44"/>
        </w:rPr>
        <w:t xml:space="preserve">   </w:t>
      </w:r>
      <w:r>
        <w:rPr>
          <w:rFonts w:hint="eastAsia"/>
          <w:kern w:val="44"/>
        </w:rPr>
        <w:t>工程量清单计价须知</w:t>
      </w:r>
      <w:r>
        <w:tab/>
      </w:r>
      <w:r>
        <w:fldChar w:fldCharType="begin"/>
      </w:r>
      <w:r>
        <w:instrText xml:space="preserve"> PAGEREF _Toc25282 \h </w:instrText>
      </w:r>
      <w:r>
        <w:fldChar w:fldCharType="separate"/>
      </w:r>
      <w:r>
        <w:t>- 2 -</w:t>
      </w:r>
      <w:r>
        <w:fldChar w:fldCharType="end"/>
      </w:r>
      <w:r>
        <w:fldChar w:fldCharType="end"/>
      </w:r>
    </w:p>
    <w:p w14:paraId="6029E6EE">
      <w:pPr>
        <w:pStyle w:val="10"/>
        <w:tabs>
          <w:tab w:val="right" w:leader="dot" w:pos="9160"/>
        </w:tabs>
      </w:pPr>
      <w:r>
        <w:fldChar w:fldCharType="begin"/>
      </w:r>
      <w:r>
        <w:instrText xml:space="preserve"> HYPERLINK \l "_Toc27471" </w:instrText>
      </w:r>
      <w:r>
        <w:fldChar w:fldCharType="separate"/>
      </w:r>
      <w:r>
        <w:rPr>
          <w:rFonts w:hint="eastAsia"/>
        </w:rPr>
        <w:t>第一节  工程量清单计价说明</w:t>
      </w:r>
      <w:r>
        <w:tab/>
      </w:r>
      <w:r>
        <w:fldChar w:fldCharType="begin"/>
      </w:r>
      <w:r>
        <w:instrText xml:space="preserve"> PAGEREF _Toc27471 \h </w:instrText>
      </w:r>
      <w:r>
        <w:fldChar w:fldCharType="separate"/>
      </w:r>
      <w:r>
        <w:t>- 2 -</w:t>
      </w:r>
      <w:r>
        <w:fldChar w:fldCharType="end"/>
      </w:r>
      <w:r>
        <w:fldChar w:fldCharType="end"/>
      </w:r>
    </w:p>
    <w:p w14:paraId="424C1E4D">
      <w:pPr>
        <w:pStyle w:val="4"/>
        <w:tabs>
          <w:tab w:val="right" w:leader="dot" w:pos="9160"/>
        </w:tabs>
      </w:pPr>
      <w:r>
        <w:fldChar w:fldCharType="begin"/>
      </w:r>
      <w:r>
        <w:instrText xml:space="preserve"> HYPERLINK \l "_Toc21165" </w:instrText>
      </w:r>
      <w:r>
        <w:fldChar w:fldCharType="separate"/>
      </w:r>
      <w:r>
        <w:rPr>
          <w:rFonts w:hint="eastAsia"/>
        </w:rPr>
        <w:t>一、总说明</w:t>
      </w:r>
      <w:r>
        <w:tab/>
      </w:r>
      <w:r>
        <w:fldChar w:fldCharType="begin"/>
      </w:r>
      <w:r>
        <w:instrText xml:space="preserve"> PAGEREF _Toc21165 \h </w:instrText>
      </w:r>
      <w:r>
        <w:fldChar w:fldCharType="separate"/>
      </w:r>
      <w:r>
        <w:t>- 2 -</w:t>
      </w:r>
      <w:r>
        <w:fldChar w:fldCharType="end"/>
      </w:r>
      <w:r>
        <w:fldChar w:fldCharType="end"/>
      </w:r>
    </w:p>
    <w:p w14:paraId="431D6441">
      <w:pPr>
        <w:pStyle w:val="4"/>
        <w:tabs>
          <w:tab w:val="right" w:leader="dot" w:pos="9160"/>
        </w:tabs>
      </w:pPr>
      <w:r>
        <w:fldChar w:fldCharType="begin"/>
      </w:r>
      <w:r>
        <w:instrText xml:space="preserve"> HYPERLINK \l "_Toc627" </w:instrText>
      </w:r>
      <w:r>
        <w:fldChar w:fldCharType="separate"/>
      </w:r>
      <w:r>
        <w:rPr>
          <w:rFonts w:hint="eastAsia"/>
        </w:rPr>
        <w:t>二、分部分项工程量清单计价说明</w:t>
      </w:r>
      <w:r>
        <w:tab/>
      </w:r>
      <w:r>
        <w:fldChar w:fldCharType="begin"/>
      </w:r>
      <w:r>
        <w:instrText xml:space="preserve"> PAGEREF _Toc627 \h </w:instrText>
      </w:r>
      <w:r>
        <w:fldChar w:fldCharType="separate"/>
      </w:r>
      <w:r>
        <w:t>-</w:t>
      </w:r>
      <w:r>
        <w:rPr>
          <w:rFonts w:hint="eastAsia"/>
          <w:lang w:val="en-US" w:eastAsia="zh-CN"/>
        </w:rPr>
        <w:t>5</w:t>
      </w:r>
      <w:r>
        <w:t xml:space="preserve"> -</w:t>
      </w:r>
      <w:r>
        <w:fldChar w:fldCharType="end"/>
      </w:r>
      <w:r>
        <w:fldChar w:fldCharType="end"/>
      </w:r>
    </w:p>
    <w:p w14:paraId="4C98BB47">
      <w:pPr>
        <w:pStyle w:val="4"/>
        <w:tabs>
          <w:tab w:val="right" w:leader="dot" w:pos="9160"/>
        </w:tabs>
      </w:pPr>
      <w:r>
        <w:fldChar w:fldCharType="begin"/>
      </w:r>
      <w:r>
        <w:instrText xml:space="preserve"> HYPERLINK \l "_Toc18099" </w:instrText>
      </w:r>
      <w:r>
        <w:fldChar w:fldCharType="separate"/>
      </w:r>
      <w:r>
        <w:rPr>
          <w:rFonts w:hint="eastAsia"/>
        </w:rPr>
        <w:t>三、措施项目清单计价说明</w:t>
      </w:r>
      <w:r>
        <w:tab/>
      </w:r>
      <w:r>
        <w:fldChar w:fldCharType="begin"/>
      </w:r>
      <w:r>
        <w:instrText xml:space="preserve"> PAGEREF _Toc18099 \h </w:instrText>
      </w:r>
      <w:r>
        <w:fldChar w:fldCharType="separate"/>
      </w:r>
      <w:r>
        <w:t>- 6 -</w:t>
      </w:r>
      <w:r>
        <w:fldChar w:fldCharType="end"/>
      </w:r>
      <w:r>
        <w:fldChar w:fldCharType="end"/>
      </w:r>
    </w:p>
    <w:p w14:paraId="4BF01DAB">
      <w:pPr>
        <w:pStyle w:val="4"/>
        <w:tabs>
          <w:tab w:val="right" w:leader="dot" w:pos="9160"/>
        </w:tabs>
      </w:pPr>
      <w:r>
        <w:fldChar w:fldCharType="begin"/>
      </w:r>
      <w:r>
        <w:instrText xml:space="preserve"> HYPERLINK \l "_Toc12205" </w:instrText>
      </w:r>
      <w:r>
        <w:fldChar w:fldCharType="separate"/>
      </w:r>
      <w:r>
        <w:rPr>
          <w:rFonts w:hint="eastAsia"/>
        </w:rPr>
        <w:t>四、其他项目清单计价说明</w:t>
      </w:r>
      <w:r>
        <w:tab/>
      </w:r>
      <w:r>
        <w:fldChar w:fldCharType="begin"/>
      </w:r>
      <w:r>
        <w:instrText xml:space="preserve"> PAGEREF _Toc12205 \h </w:instrText>
      </w:r>
      <w:r>
        <w:fldChar w:fldCharType="separate"/>
      </w:r>
      <w:r>
        <w:t xml:space="preserve">- </w:t>
      </w:r>
      <w:r>
        <w:rPr>
          <w:rFonts w:hint="eastAsia"/>
          <w:lang w:val="en-US" w:eastAsia="zh-CN"/>
        </w:rPr>
        <w:t>9</w:t>
      </w:r>
      <w:r>
        <w:t xml:space="preserve"> -</w:t>
      </w:r>
      <w:r>
        <w:fldChar w:fldCharType="end"/>
      </w:r>
      <w:r>
        <w:fldChar w:fldCharType="end"/>
      </w:r>
    </w:p>
    <w:p w14:paraId="4A10BA32">
      <w:pPr>
        <w:pStyle w:val="4"/>
        <w:tabs>
          <w:tab w:val="right" w:leader="dot" w:pos="9160"/>
        </w:tabs>
      </w:pPr>
      <w:r>
        <w:fldChar w:fldCharType="begin"/>
      </w:r>
      <w:r>
        <w:instrText xml:space="preserve"> HYPERLINK \l "_Toc571" </w:instrText>
      </w:r>
      <w:r>
        <w:fldChar w:fldCharType="separate"/>
      </w:r>
      <w:r>
        <w:rPr>
          <w:rFonts w:hint="eastAsia"/>
        </w:rPr>
        <w:t>五、税金计价说明</w:t>
      </w:r>
      <w:r>
        <w:tab/>
      </w:r>
      <w:r>
        <w:fldChar w:fldCharType="begin"/>
      </w:r>
      <w:r>
        <w:instrText xml:space="preserve"> PAGEREF _Toc571 \h </w:instrText>
      </w:r>
      <w:r>
        <w:fldChar w:fldCharType="separate"/>
      </w:r>
      <w:r>
        <w:t xml:space="preserve">- </w:t>
      </w:r>
      <w:r>
        <w:rPr>
          <w:rFonts w:hint="eastAsia"/>
          <w:lang w:val="en-US" w:eastAsia="zh-CN"/>
        </w:rPr>
        <w:t>11</w:t>
      </w:r>
      <w:r>
        <w:t xml:space="preserve"> -</w:t>
      </w:r>
      <w:r>
        <w:fldChar w:fldCharType="end"/>
      </w:r>
      <w:r>
        <w:fldChar w:fldCharType="end"/>
      </w:r>
    </w:p>
    <w:p w14:paraId="7BC71E00">
      <w:pPr>
        <w:pStyle w:val="4"/>
        <w:tabs>
          <w:tab w:val="right" w:leader="dot" w:pos="9160"/>
        </w:tabs>
      </w:pPr>
      <w:r>
        <w:fldChar w:fldCharType="begin"/>
      </w:r>
      <w:r>
        <w:instrText xml:space="preserve"> HYPERLINK \l "_Toc5646" </w:instrText>
      </w:r>
      <w:r>
        <w:fldChar w:fldCharType="separate"/>
      </w:r>
      <w:r>
        <w:rPr>
          <w:rFonts w:hint="eastAsia"/>
        </w:rPr>
        <w:t>六、其它说明</w:t>
      </w:r>
      <w:r>
        <w:rPr>
          <w:rFonts w:hint="eastAsia" w:ascii="宋体" w:hAnsi="宋体" w:cs="宋体"/>
          <w:bCs/>
        </w:rPr>
        <w:t>（结合项目实际调整）</w:t>
      </w:r>
      <w:r>
        <w:tab/>
      </w:r>
      <w:r>
        <w:fldChar w:fldCharType="begin"/>
      </w:r>
      <w:r>
        <w:instrText xml:space="preserve"> PAGEREF _Toc5646 \h </w:instrText>
      </w:r>
      <w:r>
        <w:fldChar w:fldCharType="separate"/>
      </w:r>
      <w:r>
        <w:t xml:space="preserve">- </w:t>
      </w:r>
      <w:r>
        <w:rPr>
          <w:rFonts w:hint="eastAsia"/>
          <w:lang w:val="en-US" w:eastAsia="zh-CN"/>
        </w:rPr>
        <w:t>11</w:t>
      </w:r>
      <w:r>
        <w:t xml:space="preserve"> -</w:t>
      </w:r>
      <w:r>
        <w:fldChar w:fldCharType="end"/>
      </w:r>
      <w:r>
        <w:fldChar w:fldCharType="end"/>
      </w:r>
    </w:p>
    <w:p w14:paraId="672DF245">
      <w:pPr>
        <w:pStyle w:val="10"/>
        <w:tabs>
          <w:tab w:val="right" w:leader="dot" w:pos="9160"/>
        </w:tabs>
      </w:pPr>
      <w:r>
        <w:fldChar w:fldCharType="begin"/>
      </w:r>
      <w:r>
        <w:instrText xml:space="preserve"> HYPERLINK \l "_Toc23633" </w:instrText>
      </w:r>
      <w:r>
        <w:fldChar w:fldCharType="separate"/>
      </w:r>
      <w:r>
        <w:rPr>
          <w:rFonts w:hint="eastAsia"/>
        </w:rPr>
        <w:t>第二节 工程量清单计价补充规定</w:t>
      </w:r>
      <w:r>
        <w:tab/>
      </w:r>
      <w:r>
        <w:fldChar w:fldCharType="begin"/>
      </w:r>
      <w:r>
        <w:instrText xml:space="preserve"> PAGEREF _Toc23633 \h </w:instrText>
      </w:r>
      <w:r>
        <w:fldChar w:fldCharType="separate"/>
      </w:r>
      <w:r>
        <w:t xml:space="preserve">- </w:t>
      </w:r>
      <w:r>
        <w:rPr>
          <w:rFonts w:hint="eastAsia"/>
          <w:lang w:val="en-US" w:eastAsia="zh-CN"/>
        </w:rPr>
        <w:t>12</w:t>
      </w:r>
      <w:r>
        <w:t xml:space="preserve"> -</w:t>
      </w:r>
      <w:r>
        <w:fldChar w:fldCharType="end"/>
      </w:r>
      <w:r>
        <w:fldChar w:fldCharType="end"/>
      </w:r>
    </w:p>
    <w:p w14:paraId="4A43C13C">
      <w:pPr>
        <w:pStyle w:val="9"/>
        <w:tabs>
          <w:tab w:val="right" w:leader="dot" w:pos="9160"/>
        </w:tabs>
        <w:ind w:firstLine="301"/>
      </w:pPr>
      <w:r>
        <w:fldChar w:fldCharType="begin"/>
      </w:r>
      <w:r>
        <w:instrText xml:space="preserve"> HYPERLINK \l "_Toc22462" </w:instrText>
      </w:r>
      <w:r>
        <w:fldChar w:fldCharType="separate"/>
      </w:r>
      <w:r>
        <w:rPr>
          <w:rFonts w:hint="eastAsia"/>
          <w:kern w:val="44"/>
        </w:rPr>
        <w:t>第二部分</w:t>
      </w:r>
      <w:r>
        <w:rPr>
          <w:kern w:val="44"/>
        </w:rPr>
        <w:t xml:space="preserve">   </w:t>
      </w:r>
      <w:r>
        <w:rPr>
          <w:rFonts w:hint="eastAsia"/>
          <w:kern w:val="44"/>
        </w:rPr>
        <w:t>工程量清单填报须知</w:t>
      </w:r>
      <w:r>
        <w:tab/>
      </w:r>
      <w:r>
        <w:fldChar w:fldCharType="begin"/>
      </w:r>
      <w:r>
        <w:instrText xml:space="preserve"> PAGEREF _Toc22462 \h </w:instrText>
      </w:r>
      <w:r>
        <w:fldChar w:fldCharType="separate"/>
      </w:r>
      <w:r>
        <w:t xml:space="preserve">- </w:t>
      </w:r>
      <w:r>
        <w:rPr>
          <w:rFonts w:hint="eastAsia"/>
          <w:lang w:val="en-US" w:eastAsia="zh-CN"/>
        </w:rPr>
        <w:t>23</w:t>
      </w:r>
      <w:r>
        <w:t xml:space="preserve"> -</w:t>
      </w:r>
      <w:r>
        <w:fldChar w:fldCharType="end"/>
      </w:r>
      <w:r>
        <w:fldChar w:fldCharType="end"/>
      </w:r>
    </w:p>
    <w:p w14:paraId="3C484C2F">
      <w:pPr>
        <w:pStyle w:val="9"/>
        <w:tabs>
          <w:tab w:val="right" w:leader="dot" w:pos="9160"/>
        </w:tabs>
        <w:ind w:firstLine="301"/>
      </w:pPr>
      <w:r>
        <w:fldChar w:fldCharType="begin"/>
      </w:r>
      <w:r>
        <w:instrText xml:space="preserve"> HYPERLINK \l "_Toc16518" </w:instrText>
      </w:r>
      <w:r>
        <w:fldChar w:fldCharType="separate"/>
      </w:r>
      <w:r>
        <w:rPr>
          <w:rFonts w:hint="eastAsia"/>
          <w:kern w:val="44"/>
        </w:rPr>
        <w:t>第三部分</w:t>
      </w:r>
      <w:r>
        <w:rPr>
          <w:kern w:val="44"/>
        </w:rPr>
        <w:t xml:space="preserve">   </w:t>
      </w:r>
      <w:r>
        <w:rPr>
          <w:rFonts w:hint="eastAsia"/>
          <w:kern w:val="44"/>
        </w:rPr>
        <w:t>工程量清单</w:t>
      </w:r>
      <w:r>
        <w:tab/>
      </w:r>
      <w:r>
        <w:fldChar w:fldCharType="begin"/>
      </w:r>
      <w:r>
        <w:instrText xml:space="preserve"> PAGEREF _Toc16518 \h </w:instrText>
      </w:r>
      <w:r>
        <w:fldChar w:fldCharType="separate"/>
      </w:r>
      <w:r>
        <w:t xml:space="preserve">- </w:t>
      </w:r>
      <w:r>
        <w:rPr>
          <w:rFonts w:hint="eastAsia"/>
          <w:lang w:val="en-US" w:eastAsia="zh-CN"/>
        </w:rPr>
        <w:t>25</w:t>
      </w:r>
      <w:r>
        <w:t xml:space="preserve"> -</w:t>
      </w:r>
      <w:r>
        <w:fldChar w:fldCharType="end"/>
      </w:r>
      <w:r>
        <w:fldChar w:fldCharType="end"/>
      </w:r>
    </w:p>
    <w:p w14:paraId="0173580B">
      <w:pPr>
        <w:spacing w:before="143" w:beforeLines="50" w:after="143" w:afterLines="50" w:line="360" w:lineRule="auto"/>
      </w:pPr>
      <w:r>
        <w:fldChar w:fldCharType="end"/>
      </w:r>
    </w:p>
    <w:p w14:paraId="2B390331">
      <w:pPr>
        <w:spacing w:before="143" w:beforeLines="50" w:after="143" w:afterLines="50" w:line="360" w:lineRule="auto"/>
      </w:pPr>
    </w:p>
    <w:p w14:paraId="5E2503CA">
      <w:pPr>
        <w:spacing w:before="143" w:beforeLines="50" w:after="143" w:afterLines="50" w:line="360" w:lineRule="auto"/>
      </w:pPr>
    </w:p>
    <w:p w14:paraId="4CA330A7">
      <w:pPr>
        <w:spacing w:before="143" w:beforeLines="50" w:after="143" w:afterLines="50" w:line="360" w:lineRule="auto"/>
      </w:pPr>
    </w:p>
    <w:p w14:paraId="458CB04B">
      <w:pPr>
        <w:spacing w:before="143" w:beforeLines="50" w:after="143" w:afterLines="50" w:line="360" w:lineRule="auto"/>
      </w:pPr>
    </w:p>
    <w:p w14:paraId="4F53E173">
      <w:pPr>
        <w:spacing w:before="143" w:beforeLines="50" w:after="143" w:afterLines="50" w:line="360" w:lineRule="auto"/>
      </w:pPr>
    </w:p>
    <w:p w14:paraId="0634BA2F">
      <w:pPr>
        <w:spacing w:before="143" w:beforeLines="50" w:after="143" w:afterLines="50" w:line="360" w:lineRule="auto"/>
      </w:pPr>
    </w:p>
    <w:p w14:paraId="0D817FCF">
      <w:pPr>
        <w:spacing w:before="143" w:beforeLines="50" w:after="143" w:afterLines="50" w:line="360" w:lineRule="auto"/>
      </w:pPr>
    </w:p>
    <w:p w14:paraId="383EF222">
      <w:pPr>
        <w:spacing w:before="143" w:beforeLines="50" w:after="143" w:afterLines="50" w:line="360" w:lineRule="auto"/>
        <w:rPr>
          <w:highlight w:val="none"/>
        </w:rPr>
      </w:pPr>
    </w:p>
    <w:p w14:paraId="56C873BE">
      <w:pPr>
        <w:spacing w:before="143" w:beforeLines="50" w:after="143" w:afterLines="50" w:line="360" w:lineRule="auto"/>
        <w:rPr>
          <w:highlight w:val="none"/>
        </w:rPr>
      </w:pPr>
    </w:p>
    <w:p w14:paraId="2AAE6C3E">
      <w:pPr>
        <w:spacing w:before="143" w:beforeLines="50" w:after="143" w:afterLines="50" w:line="360" w:lineRule="auto"/>
        <w:rPr>
          <w:highlight w:val="none"/>
        </w:rPr>
      </w:pPr>
    </w:p>
    <w:p w14:paraId="757F4D34">
      <w:pPr>
        <w:spacing w:before="143" w:beforeLines="50" w:after="143" w:afterLines="50" w:line="360" w:lineRule="auto"/>
        <w:rPr>
          <w:highlight w:val="none"/>
        </w:rPr>
      </w:pPr>
    </w:p>
    <w:p w14:paraId="29EF7F07">
      <w:pPr>
        <w:spacing w:before="143" w:beforeLines="50" w:after="143" w:afterLines="50" w:line="360" w:lineRule="auto"/>
        <w:rPr>
          <w:highlight w:val="none"/>
        </w:rPr>
      </w:pPr>
    </w:p>
    <w:p w14:paraId="6798799A">
      <w:pPr>
        <w:spacing w:before="143" w:beforeLines="50" w:after="143" w:afterLines="50" w:line="360" w:lineRule="auto"/>
        <w:rPr>
          <w:highlight w:val="none"/>
        </w:rPr>
      </w:pPr>
    </w:p>
    <w:p w14:paraId="4C5A9455">
      <w:pPr>
        <w:pStyle w:val="38"/>
        <w:spacing w:before="143" w:beforeAutospacing="0" w:after="143" w:line="360" w:lineRule="auto"/>
        <w:rPr>
          <w:color w:val="auto"/>
          <w:kern w:val="44"/>
          <w:highlight w:val="none"/>
        </w:rPr>
      </w:pPr>
      <w:bookmarkStart w:id="4" w:name="_Toc28940"/>
      <w:bookmarkStart w:id="5" w:name="_Toc529298695"/>
      <w:bookmarkStart w:id="6" w:name="_Toc3072"/>
      <w:bookmarkStart w:id="7" w:name="_Toc7566"/>
      <w:bookmarkStart w:id="8" w:name="_Toc11194"/>
      <w:bookmarkStart w:id="9" w:name="_Toc3511"/>
      <w:bookmarkStart w:id="10" w:name="_Toc7917"/>
      <w:bookmarkStart w:id="11" w:name="_Toc16739_WPSOffice_Level1"/>
      <w:bookmarkStart w:id="12" w:name="_Toc23927"/>
      <w:bookmarkStart w:id="13" w:name="_Toc25282"/>
      <w:bookmarkStart w:id="14" w:name="_Toc26079"/>
      <w:bookmarkStart w:id="15" w:name="_Toc14224"/>
      <w:bookmarkStart w:id="16" w:name="_Toc32382"/>
      <w:r>
        <w:rPr>
          <w:rFonts w:hint="eastAsia"/>
          <w:color w:val="auto"/>
          <w:kern w:val="44"/>
          <w:highlight w:val="none"/>
        </w:rPr>
        <w:t>第一部分</w:t>
      </w:r>
      <w:r>
        <w:rPr>
          <w:color w:val="auto"/>
          <w:kern w:val="44"/>
          <w:highlight w:val="none"/>
        </w:rPr>
        <w:t xml:space="preserve">   </w:t>
      </w:r>
      <w:r>
        <w:rPr>
          <w:rFonts w:hint="eastAsia"/>
          <w:color w:val="auto"/>
          <w:kern w:val="44"/>
          <w:highlight w:val="none"/>
        </w:rPr>
        <w:t>工程量清单计价须知</w:t>
      </w:r>
      <w:bookmarkEnd w:id="4"/>
      <w:bookmarkEnd w:id="5"/>
      <w:bookmarkEnd w:id="6"/>
      <w:bookmarkEnd w:id="7"/>
      <w:bookmarkEnd w:id="8"/>
      <w:bookmarkEnd w:id="9"/>
      <w:bookmarkEnd w:id="10"/>
      <w:bookmarkEnd w:id="11"/>
      <w:bookmarkEnd w:id="12"/>
      <w:bookmarkEnd w:id="13"/>
      <w:bookmarkEnd w:id="14"/>
      <w:bookmarkEnd w:id="15"/>
      <w:bookmarkEnd w:id="16"/>
    </w:p>
    <w:p w14:paraId="60D132F8">
      <w:pPr>
        <w:pStyle w:val="34"/>
        <w:spacing w:before="143" w:beforeAutospacing="0" w:after="143" w:line="360" w:lineRule="auto"/>
        <w:rPr>
          <w:color w:val="auto"/>
          <w:highlight w:val="none"/>
        </w:rPr>
      </w:pPr>
      <w:bookmarkStart w:id="17" w:name="_Toc505776015"/>
      <w:bookmarkStart w:id="18" w:name="_Toc194486378"/>
      <w:bookmarkStart w:id="19" w:name="_Toc14117"/>
      <w:bookmarkStart w:id="20" w:name="_Toc6690"/>
      <w:bookmarkStart w:id="21" w:name="_Toc6731"/>
      <w:bookmarkStart w:id="22" w:name="_Toc24890"/>
      <w:bookmarkStart w:id="23" w:name="_Toc28622_WPSOffice_Level2"/>
      <w:bookmarkStart w:id="24" w:name="_Toc529298696"/>
      <w:bookmarkStart w:id="25" w:name="_Toc7322"/>
      <w:bookmarkStart w:id="26" w:name="_Toc16726"/>
      <w:bookmarkStart w:id="27" w:name="_Toc27471"/>
      <w:bookmarkStart w:id="28" w:name="_Toc2526"/>
      <w:bookmarkStart w:id="29" w:name="_Toc4562"/>
      <w:bookmarkStart w:id="30" w:name="_Toc17429"/>
      <w:bookmarkStart w:id="31" w:name="_Toc16589"/>
      <w:bookmarkStart w:id="32" w:name="_Toc6848"/>
      <w:bookmarkStart w:id="33" w:name="_Toc22773"/>
      <w:bookmarkStart w:id="34" w:name="_Toc1219"/>
      <w:bookmarkStart w:id="35" w:name="_Toc31108"/>
      <w:bookmarkStart w:id="36" w:name="_Toc11475"/>
      <w:bookmarkStart w:id="37" w:name="_Toc27330"/>
      <w:bookmarkStart w:id="38" w:name="_Toc392516205"/>
      <w:bookmarkStart w:id="39" w:name="_Toc13180"/>
      <w:r>
        <w:rPr>
          <w:rFonts w:hint="eastAsia"/>
          <w:color w:val="auto"/>
          <w:highlight w:val="none"/>
        </w:rPr>
        <w:t>第一节  工程量清单计价说明</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7EE5003E">
      <w:pPr>
        <w:pStyle w:val="27"/>
        <w:spacing w:before="143" w:after="143" w:line="360" w:lineRule="auto"/>
        <w:ind w:firstLine="498" w:firstLineChars="200"/>
        <w:rPr>
          <w:color w:val="auto"/>
          <w:highlight w:val="none"/>
        </w:rPr>
      </w:pPr>
      <w:bookmarkStart w:id="40" w:name="_Toc32421"/>
      <w:bookmarkStart w:id="41" w:name="_Toc11682"/>
      <w:bookmarkStart w:id="42" w:name="_Toc3208"/>
      <w:bookmarkStart w:id="43" w:name="_Toc25609"/>
      <w:bookmarkStart w:id="44" w:name="_Toc24300"/>
      <w:bookmarkStart w:id="45" w:name="_Toc21165"/>
      <w:bookmarkStart w:id="46" w:name="_Toc8693"/>
      <w:bookmarkStart w:id="47" w:name="_Toc13302"/>
      <w:bookmarkStart w:id="48" w:name="_Toc17464"/>
      <w:bookmarkStart w:id="49" w:name="_Toc29525"/>
      <w:bookmarkStart w:id="50" w:name="_Toc9361"/>
      <w:bookmarkStart w:id="51" w:name="_Toc14717"/>
      <w:bookmarkStart w:id="52" w:name="_Toc529298697"/>
      <w:bookmarkStart w:id="53" w:name="_Toc7790"/>
      <w:bookmarkStart w:id="54" w:name="_Toc505776016"/>
      <w:bookmarkStart w:id="55" w:name="_Toc22075"/>
      <w:bookmarkStart w:id="56" w:name="_Toc14405"/>
      <w:bookmarkStart w:id="57" w:name="_Toc9607_WPSOffice_Level3"/>
      <w:bookmarkStart w:id="58" w:name="_Toc25357"/>
      <w:bookmarkStart w:id="59" w:name="_Toc28985"/>
      <w:bookmarkStart w:id="60" w:name="_Toc5"/>
      <w:r>
        <w:rPr>
          <w:rFonts w:hint="eastAsia"/>
          <w:color w:val="auto"/>
          <w:highlight w:val="none"/>
        </w:rPr>
        <w:t>一、总说明</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B9DF873">
      <w:pPr>
        <w:pStyle w:val="24"/>
        <w:spacing w:before="143" w:beforeLines="50" w:beforeAutospacing="0" w:after="143" w:afterLines="50" w:line="360" w:lineRule="auto"/>
        <w:ind w:firstLine="496"/>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、本项目执行《建设工程工程量清单计价规范（</w:t>
      </w:r>
      <w:r>
        <w:rPr>
          <w:rFonts w:ascii="宋体" w:hAnsi="宋体" w:cs="宋体"/>
          <w:color w:val="auto"/>
          <w:highlight w:val="none"/>
        </w:rPr>
        <w:t>GB50500-2013</w:t>
      </w:r>
      <w:r>
        <w:rPr>
          <w:rFonts w:hint="eastAsia" w:ascii="宋体" w:hAnsi="宋体" w:cs="宋体"/>
          <w:color w:val="auto"/>
          <w:highlight w:val="none"/>
        </w:rPr>
        <w:t>）》、《广东省建设工程计价依据的通知（</w:t>
      </w:r>
      <w:r>
        <w:rPr>
          <w:rFonts w:ascii="宋体" w:hAnsi="宋体" w:cs="宋体"/>
          <w:color w:val="auto"/>
          <w:highlight w:val="none"/>
        </w:rPr>
        <w:t>2018</w:t>
      </w:r>
      <w:r>
        <w:rPr>
          <w:rFonts w:hint="eastAsia" w:ascii="宋体" w:hAnsi="宋体" w:cs="宋体"/>
          <w:color w:val="auto"/>
          <w:highlight w:val="none"/>
        </w:rPr>
        <w:t>）》（粤建市〔</w:t>
      </w:r>
      <w:r>
        <w:rPr>
          <w:rFonts w:ascii="宋体" w:hAnsi="宋体" w:cs="宋体"/>
          <w:color w:val="auto"/>
          <w:highlight w:val="none"/>
        </w:rPr>
        <w:t>2019</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号）的相关规定。国家及广东省、广州市有最新规定的，从其规定。</w:t>
      </w:r>
    </w:p>
    <w:p w14:paraId="39DF2913">
      <w:pPr>
        <w:pStyle w:val="24"/>
        <w:spacing w:before="143" w:beforeLines="50" w:beforeAutospacing="0" w:after="143" w:afterLines="50" w:line="360" w:lineRule="auto"/>
        <w:ind w:firstLine="496"/>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、凡在本说明中已明确的须按本说明执行。本说明与工程量清单互为补充、解释，当两者有矛盾时，解释顺序以清单优先于说明。</w:t>
      </w:r>
    </w:p>
    <w:p w14:paraId="1A10B623">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3、清单项目特征中综合考虑的内容，不因设计变更等原因调整价款。</w:t>
      </w:r>
    </w:p>
    <w:p w14:paraId="41F717D9">
      <w:pPr>
        <w:pStyle w:val="24"/>
        <w:keepNext w:val="0"/>
        <w:keepLines w:val="0"/>
        <w:widowControl/>
        <w:suppressLineNumbers w:val="0"/>
        <w:spacing w:before="143" w:beforeLines="50" w:beforeAutospacing="0" w:after="143" w:afterLines="50" w:afterAutospacing="0" w:line="360" w:lineRule="auto"/>
        <w:ind w:left="0" w:right="0" w:firstLine="496"/>
        <w:jc w:val="left"/>
        <w:rPr>
          <w:rFonts w:hint="eastAsia" w:ascii="宋体" w:hAnsi="宋体" w:eastAsia="宋体" w:cs="宋体"/>
          <w:color w:val="auto"/>
          <w:highlight w:val="none"/>
          <w:lang w:eastAsia="zh"/>
        </w:rPr>
      </w:pPr>
      <w:r>
        <w:rPr>
          <w:rFonts w:hint="eastAsia" w:ascii="宋体" w:hAnsi="宋体" w:eastAsia="宋体" w:cs="宋体"/>
          <w:color w:val="auto"/>
          <w:highlight w:val="none"/>
        </w:rPr>
        <w:t>4、</w:t>
      </w:r>
      <w:r>
        <w:rPr>
          <w:rFonts w:hint="eastAsia" w:ascii="宋体" w:hAnsi="宋体" w:eastAsia="宋体" w:cs="宋体"/>
          <w:b w:val="0"/>
          <w:bCs w:val="0"/>
          <w:i w:val="0"/>
          <w:iCs w:val="0"/>
          <w:color w:val="auto"/>
          <w:spacing w:val="4"/>
          <w:w w:val="100"/>
          <w:sz w:val="24"/>
          <w:szCs w:val="20"/>
          <w:highlight w:val="none"/>
          <w:vertAlign w:val="baseline"/>
        </w:rPr>
        <w:t>工程总报价由分部分项工程量清单报价、措施项目清单报价、其他项目清单报价和增值税销项税额四部分组成，其中分部分项工程量清单报价、措施项目清单报价、其他项目清单报价均为不包含进项税额的报价。同时，工程总报价应包含按《广州市建筑业职工参加工伤保险实施办法》（穗人社发〔2015〕73号）规定缴纳的建筑职工工伤保险费。报价应结合现场踏勘情况，充分考虑工程施工管理和施工组织设计涉及的内容，不允许报价与工程施工管理和施工组织严重脱节或工程量清单各项单价存在严重不合理报价。</w:t>
      </w:r>
      <w:r>
        <w:rPr>
          <w:rFonts w:hint="eastAsia" w:ascii="宋体" w:hAnsi="宋体" w:eastAsia="宋体" w:cs="宋体"/>
          <w:b w:val="0"/>
          <w:bCs w:val="0"/>
          <w:i w:val="0"/>
          <w:iCs w:val="0"/>
          <w:color w:val="auto"/>
          <w:spacing w:val="4"/>
          <w:w w:val="100"/>
          <w:sz w:val="24"/>
          <w:szCs w:val="20"/>
          <w:highlight w:val="none"/>
          <w:vertAlign w:val="baseline"/>
          <w:lang w:eastAsia="zh"/>
        </w:rPr>
        <w:t xml:space="preserve"> </w:t>
      </w:r>
    </w:p>
    <w:p w14:paraId="1A0ED7F0">
      <w:pPr>
        <w:pStyle w:val="24"/>
        <w:spacing w:before="143" w:beforeLines="50" w:beforeAutospacing="0" w:after="143" w:afterLines="50" w:line="360" w:lineRule="auto"/>
        <w:ind w:firstLine="496"/>
        <w:rPr>
          <w:rFonts w:ascii="宋体" w:cs="宋体"/>
          <w:color w:val="auto"/>
          <w:highlight w:val="none"/>
        </w:rPr>
      </w:pPr>
      <w:r>
        <w:rPr>
          <w:rFonts w:hint="eastAsia" w:ascii="宋体" w:hAnsi="宋体" w:cs="宋体"/>
          <w:color w:val="auto"/>
          <w:highlight w:val="none"/>
        </w:rPr>
        <w:t>5、工程量清单项目中“项目特征”的描述须与本说明和规定共同使用。工程量清单项目中的综合单价除包括上述内容外，还应结合招标文件、招标文件所附合同条款、图纸等技术文件、有关技术规范及标准、现场施工条件、施工组织设计及施工方案等阅读、理解并进行报价。</w:t>
      </w:r>
    </w:p>
    <w:p w14:paraId="24774B58">
      <w:pPr>
        <w:pStyle w:val="24"/>
        <w:spacing w:before="143" w:beforeLines="50" w:beforeAutospacing="0" w:after="143" w:afterLines="50" w:line="360" w:lineRule="auto"/>
        <w:ind w:firstLine="496"/>
        <w:rPr>
          <w:rFonts w:ascii="宋体" w:cs="宋体"/>
          <w:color w:val="auto"/>
          <w:highlight w:val="none"/>
        </w:rPr>
      </w:pPr>
      <w:r>
        <w:rPr>
          <w:rFonts w:hint="eastAsia" w:ascii="宋体" w:hAnsi="宋体" w:cs="宋体"/>
          <w:color w:val="auto"/>
          <w:highlight w:val="none"/>
        </w:rPr>
        <w:t>6、投标人认为招标文件工程量清单没有开列的项目或认为清单及清单工程量描述有误时，投标人应以书面形式提出，经招标人以答疑纪要或澄清文件方式确认后可增列或修正。</w:t>
      </w:r>
    </w:p>
    <w:p w14:paraId="0027B337">
      <w:pPr>
        <w:pStyle w:val="24"/>
        <w:spacing w:before="143" w:beforeLines="50" w:beforeAutospacing="0" w:after="143" w:afterLines="50" w:line="360" w:lineRule="auto"/>
        <w:ind w:firstLine="496"/>
        <w:rPr>
          <w:rFonts w:ascii="宋体" w:cs="宋体"/>
          <w:color w:val="auto"/>
          <w:highlight w:val="none"/>
        </w:rPr>
      </w:pPr>
      <w:r>
        <w:rPr>
          <w:rFonts w:hint="eastAsia" w:ascii="宋体" w:hAnsi="宋体" w:cs="宋体"/>
          <w:color w:val="auto"/>
          <w:highlight w:val="none"/>
        </w:rPr>
        <w:t>7、工程量报价清单内的每一清单项目均需填报单价和合价</w:t>
      </w:r>
      <w:r>
        <w:rPr>
          <w:rFonts w:ascii="宋体" w:cs="宋体"/>
          <w:color w:val="auto"/>
          <w:highlight w:val="none"/>
        </w:rPr>
        <w:t>,</w:t>
      </w:r>
      <w:r>
        <w:rPr>
          <w:rFonts w:hint="eastAsia" w:ascii="宋体" w:hAnsi="宋体" w:cs="宋体"/>
          <w:color w:val="auto"/>
          <w:highlight w:val="none"/>
        </w:rPr>
        <w:t>对没有填报或填报为“</w:t>
      </w:r>
      <w:r>
        <w:rPr>
          <w:rFonts w:ascii="宋体" w:cs="宋体"/>
          <w:color w:val="auto"/>
          <w:highlight w:val="none"/>
        </w:rPr>
        <w:t>0</w:t>
      </w:r>
      <w:r>
        <w:rPr>
          <w:rFonts w:hint="eastAsia" w:ascii="宋体" w:hAnsi="宋体" w:cs="宋体"/>
          <w:color w:val="auto"/>
          <w:highlight w:val="none"/>
        </w:rPr>
        <w:t>”的单价与合价项目</w:t>
      </w:r>
      <w:r>
        <w:rPr>
          <w:rFonts w:ascii="宋体" w:cs="宋体"/>
          <w:color w:val="auto"/>
          <w:highlight w:val="none"/>
        </w:rPr>
        <w:t>,</w:t>
      </w:r>
      <w:r>
        <w:rPr>
          <w:rFonts w:hint="eastAsia" w:ascii="宋体" w:hAnsi="宋体" w:cs="宋体"/>
          <w:color w:val="auto"/>
          <w:highlight w:val="none"/>
        </w:rPr>
        <w:t>则视为该项费用已含在其他工程量报价清单中的综合单价与综合合价内。</w:t>
      </w:r>
    </w:p>
    <w:p w14:paraId="7AA7AB2A">
      <w:pPr>
        <w:pStyle w:val="24"/>
        <w:spacing w:before="143" w:beforeLines="50" w:beforeAutospacing="0" w:after="143" w:afterLines="50" w:line="360" w:lineRule="auto"/>
        <w:ind w:firstLine="496"/>
        <w:rPr>
          <w:rFonts w:ascii="宋体" w:cs="宋体"/>
          <w:color w:val="auto"/>
          <w:highlight w:val="none"/>
        </w:rPr>
      </w:pPr>
      <w:r>
        <w:rPr>
          <w:rFonts w:hint="eastAsia" w:ascii="宋体" w:hAnsi="宋体" w:cs="宋体"/>
          <w:color w:val="auto"/>
          <w:highlight w:val="none"/>
        </w:rPr>
        <w:t>8、工程量清单中的主材若属招标人推荐品牌范围的，则按招标人推荐的供货厂家进行报价。</w:t>
      </w:r>
    </w:p>
    <w:p w14:paraId="02A43E4B">
      <w:pPr>
        <w:pStyle w:val="24"/>
        <w:spacing w:before="143" w:beforeLines="50" w:beforeAutospacing="0" w:after="143" w:afterLines="50" w:line="360" w:lineRule="auto"/>
        <w:ind w:firstLine="496"/>
        <w:rPr>
          <w:rFonts w:ascii="宋体" w:cs="宋体"/>
          <w:color w:val="auto"/>
          <w:highlight w:val="none"/>
        </w:rPr>
      </w:pPr>
      <w:r>
        <w:rPr>
          <w:rFonts w:hint="eastAsia" w:ascii="宋体" w:hAnsi="宋体" w:cs="宋体"/>
          <w:color w:val="auto"/>
          <w:highlight w:val="none"/>
        </w:rPr>
        <w:t>9、投标人所报的材料及设备单价均为到工地结算价（不包含进项税额），即包含原价、采购费、运杂费及运输损耗、仓储保管费、装卸费、吊装费及场内二次转运费等。</w:t>
      </w:r>
    </w:p>
    <w:p w14:paraId="4182C65A">
      <w:pPr>
        <w:pStyle w:val="24"/>
        <w:spacing w:before="143" w:beforeLines="50" w:beforeAutospacing="0" w:after="143" w:afterLines="50" w:line="360" w:lineRule="auto"/>
        <w:ind w:firstLine="496"/>
        <w:rPr>
          <w:rFonts w:ascii="宋体" w:cs="宋体"/>
          <w:color w:val="auto"/>
          <w:highlight w:val="none"/>
        </w:rPr>
      </w:pPr>
      <w:r>
        <w:rPr>
          <w:rFonts w:hint="eastAsia" w:ascii="宋体" w:hAnsi="宋体" w:cs="宋体"/>
          <w:color w:val="auto"/>
          <w:highlight w:val="none"/>
        </w:rPr>
        <w:t>10、投标人填报工程量清单时，对招标人提供的工程量清单数据及内容、表格格式除招标文件另有约定和单（合）价分析表中可插入行以外，均不得改动并严格按招标文件工程量清单中的项目顺序填写，如有改动因此所造成的责任及后果由投标人自已承担。</w:t>
      </w:r>
    </w:p>
    <w:p w14:paraId="1B9FBDAB">
      <w:pPr>
        <w:pStyle w:val="24"/>
        <w:spacing w:before="143" w:beforeLines="50" w:beforeAutospacing="0" w:after="143" w:afterLines="50" w:line="360" w:lineRule="auto"/>
        <w:ind w:firstLine="496"/>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1、投标人所提供的电子文件必须能够打开，电子文件的内容必须按招标文件的要求格式填报，不得擅自调整格式及顺序，同时电子文件内容必须与纸质投标文件正本内容一致。</w:t>
      </w:r>
    </w:p>
    <w:p w14:paraId="64E107A9">
      <w:pPr>
        <w:pStyle w:val="24"/>
        <w:spacing w:before="143" w:beforeLines="50" w:beforeAutospacing="0" w:after="143" w:afterLines="50" w:line="360" w:lineRule="auto"/>
        <w:ind w:firstLine="496"/>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2、所有报价的币种均为人民币；工程数量、单价、合价保留两位小数，第三位小数四舍五入。</w:t>
      </w:r>
    </w:p>
    <w:p w14:paraId="2EFB2FD8">
      <w:pPr>
        <w:pStyle w:val="24"/>
        <w:spacing w:before="143" w:beforeLines="50" w:beforeAutospacing="0" w:after="143" w:afterLines="50" w:line="360" w:lineRule="auto"/>
        <w:ind w:firstLine="496"/>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3、对于工程实施过程中某清单项目或清单项目中的某一项（或某几项）工作内容若实际未发生的，则在结算时应扣除未发生的清单项目或清单项目中未发生部分工程内容的相应费用。</w:t>
      </w:r>
    </w:p>
    <w:p w14:paraId="3E60954F">
      <w:pPr>
        <w:adjustRightInd w:val="0"/>
        <w:snapToGrid w:val="0"/>
        <w:spacing w:before="143" w:beforeLines="50" w:after="143" w:afterLines="50"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4、合价包干类措施的投入若能满足施工组织和验收要求，则按合同全额支付和结算（招标人统一调配的除外）；若不能满足施工组织和验收要求且经整改</w:t>
      </w:r>
      <w:r>
        <w:rPr>
          <w:rFonts w:ascii="宋体" w:hAnsi="宋体" w:cs="宋体"/>
          <w:color w:val="auto"/>
          <w:sz w:val="24"/>
          <w:szCs w:val="24"/>
          <w:highlight w:val="none"/>
        </w:rPr>
        <w:t>10</w:t>
      </w:r>
      <w:r>
        <w:rPr>
          <w:rFonts w:hint="eastAsia" w:ascii="宋体" w:hAnsi="宋体" w:cs="宋体"/>
          <w:color w:val="auto"/>
          <w:sz w:val="24"/>
          <w:szCs w:val="24"/>
          <w:highlight w:val="none"/>
        </w:rPr>
        <w:t>天仍不满足要求的，则由发包人有权另行委托队伍施工，所发生的费用不管有无超过合同中该项目的合价，均全部由承包人负责并在其结算中扣除；经整改后仍不满足要求，此类事件每发生一次，在其相应措施项目结算中扣除人民币伍万元。</w:t>
      </w:r>
    </w:p>
    <w:p w14:paraId="5ECEA96A">
      <w:pPr>
        <w:adjustRightInd w:val="0"/>
        <w:snapToGrid w:val="0"/>
        <w:spacing w:before="143" w:beforeLines="50" w:after="143" w:afterLines="50"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5、不合理报价的处理</w:t>
      </w:r>
    </w:p>
    <w:p w14:paraId="3C61C462">
      <w:pPr>
        <w:pStyle w:val="24"/>
        <w:spacing w:before="143" w:beforeLines="50" w:beforeAutospacing="0" w:after="143" w:afterLines="50" w:line="360" w:lineRule="auto"/>
        <w:ind w:firstLine="496"/>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）开标后签订合同前或整个合同执行期间，在保持中标总价不变的情况下，招标人将对经济标投标报价文件进行算术校核和修正。</w:t>
      </w:r>
    </w:p>
    <w:p w14:paraId="10C6286D">
      <w:pPr>
        <w:pStyle w:val="24"/>
        <w:spacing w:before="143" w:beforeLines="50" w:beforeAutospacing="0" w:after="143" w:afterLines="50" w:line="360" w:lineRule="auto"/>
        <w:ind w:firstLine="496"/>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）不合理报价的算术性校核和修正办法如下：</w:t>
      </w:r>
    </w:p>
    <w:p w14:paraId="48B38193">
      <w:pPr>
        <w:pStyle w:val="24"/>
        <w:spacing w:before="143" w:beforeLines="50" w:beforeAutospacing="0" w:after="143" w:afterLines="50" w:line="360" w:lineRule="auto"/>
        <w:ind w:firstLine="496"/>
        <w:rPr>
          <w:rFonts w:ascii="宋体" w:cs="宋体"/>
          <w:color w:val="auto"/>
          <w:highlight w:val="none"/>
        </w:rPr>
      </w:pPr>
      <w:r>
        <w:rPr>
          <w:rFonts w:hint="eastAsia" w:ascii="宋体" w:hAnsi="宋体" w:cs="宋体"/>
          <w:color w:val="auto"/>
          <w:highlight w:val="none"/>
        </w:rPr>
        <w:t>①按招标文件开标、评标及定标办法相关约定执行；</w:t>
      </w:r>
    </w:p>
    <w:p w14:paraId="665E51F4">
      <w:pPr>
        <w:pStyle w:val="24"/>
        <w:spacing w:before="143" w:beforeLines="50" w:beforeAutospacing="0" w:after="143" w:afterLines="50" w:line="360" w:lineRule="auto"/>
        <w:ind w:firstLine="496"/>
        <w:rPr>
          <w:rFonts w:ascii="宋体" w:cs="宋体"/>
          <w:color w:val="auto"/>
          <w:highlight w:val="none"/>
        </w:rPr>
      </w:pPr>
      <w:r>
        <w:rPr>
          <w:rFonts w:hint="eastAsia" w:ascii="宋体" w:hAnsi="宋体" w:cs="宋体"/>
          <w:color w:val="auto"/>
          <w:highlight w:val="none"/>
        </w:rPr>
        <w:t>②投标文件综合单（合）价分析表中凡出现费率的必须填报，费率的数据由投标人根据企业自身实力自行填报。投标人在相同专业工程的单（合）价分析表中的费率必须填报一致，否则，评标时以其投标时的报价进行评审，结算时以组成中标价的费率计算。在确定合同换算综合单价及合同外新增项目综合单价时，以低费率进行计算。如报为</w:t>
      </w:r>
      <w:r>
        <w:rPr>
          <w:rFonts w:ascii="宋体" w:cs="宋体"/>
          <w:color w:val="auto"/>
          <w:highlight w:val="none"/>
        </w:rPr>
        <w:t>0</w:t>
      </w:r>
      <w:r>
        <w:rPr>
          <w:rFonts w:hint="eastAsia" w:ascii="宋体" w:hAnsi="宋体" w:cs="宋体"/>
          <w:color w:val="auto"/>
          <w:highlight w:val="none"/>
        </w:rPr>
        <w:t>或不填报者则视为</w:t>
      </w:r>
      <w:r>
        <w:rPr>
          <w:rFonts w:ascii="宋体" w:cs="宋体"/>
          <w:color w:val="auto"/>
          <w:highlight w:val="none"/>
        </w:rPr>
        <w:t>0</w:t>
      </w:r>
      <w:r>
        <w:rPr>
          <w:rFonts w:hint="eastAsia" w:ascii="宋体" w:hAnsi="宋体" w:cs="宋体"/>
          <w:color w:val="auto"/>
          <w:highlight w:val="none"/>
        </w:rPr>
        <w:t>。</w:t>
      </w:r>
    </w:p>
    <w:p w14:paraId="2E9718D3">
      <w:pPr>
        <w:pStyle w:val="24"/>
        <w:spacing w:before="143" w:beforeLines="50" w:beforeAutospacing="0" w:after="143" w:afterLines="50" w:line="360" w:lineRule="auto"/>
        <w:ind w:firstLine="496"/>
        <w:rPr>
          <w:rFonts w:ascii="宋体" w:cs="宋体"/>
          <w:color w:val="auto"/>
          <w:highlight w:val="none"/>
        </w:rPr>
      </w:pPr>
      <w:r>
        <w:rPr>
          <w:rFonts w:hint="eastAsia" w:ascii="宋体" w:hAnsi="宋体" w:cs="宋体"/>
          <w:color w:val="auto"/>
          <w:highlight w:val="none"/>
        </w:rPr>
        <w:t>③投标文件综合单（合）价分析表中，若填报的材料设备价格与分部分项工程量清单中的主材费价格或《主要材料设备价格表》中相应材料设备价格不一致，按组成中标价的综合单价对应的主材费价格或材料设备价格作为合同换算综合单价及合同外新增项目综合单价主材价格确定的依据。</w:t>
      </w:r>
    </w:p>
    <w:p w14:paraId="1FC99918">
      <w:pPr>
        <w:pStyle w:val="24"/>
        <w:spacing w:before="143" w:beforeLines="50" w:beforeAutospacing="0" w:after="143" w:afterLines="50" w:line="360" w:lineRule="auto"/>
        <w:ind w:firstLine="496"/>
        <w:rPr>
          <w:rFonts w:ascii="宋体" w:cs="宋体"/>
          <w:color w:val="auto"/>
          <w:highlight w:val="none"/>
        </w:rPr>
      </w:pPr>
      <w:r>
        <w:rPr>
          <w:rFonts w:hint="eastAsia" w:ascii="宋体" w:hAnsi="宋体" w:cs="宋体"/>
          <w:color w:val="auto"/>
          <w:highlight w:val="none"/>
        </w:rPr>
        <w:t>④相同清单项目【</w:t>
      </w:r>
      <w:r>
        <w:rPr>
          <w:rFonts w:hint="eastAsia" w:ascii="宋体" w:hAnsi="宋体"/>
          <w:color w:val="auto"/>
          <w:highlight w:val="none"/>
        </w:rPr>
        <w:t>指专业类别、清单项目名称、项目特征、工作内容、施工部位（如同为地下工程、地上工程、同一栋）、计量单位都相同的清单项目，下同】</w:t>
      </w:r>
      <w:r>
        <w:rPr>
          <w:rFonts w:hint="eastAsia" w:ascii="宋体" w:hAnsi="宋体" w:cs="宋体"/>
          <w:color w:val="auto"/>
          <w:highlight w:val="none"/>
        </w:rPr>
        <w:t>只需填报一个综合单价分析表，工程量清单计价表中的综合单价须与综合单价分析表中的综合单价对应一致，否则结算时以组成中标价的综合单价计算。</w:t>
      </w:r>
    </w:p>
    <w:p w14:paraId="15E5E034">
      <w:pPr>
        <w:pStyle w:val="24"/>
        <w:spacing w:before="143" w:beforeLines="50" w:beforeAutospacing="0" w:after="143" w:afterLines="50" w:line="360" w:lineRule="auto"/>
        <w:ind w:firstLine="496"/>
        <w:rPr>
          <w:rFonts w:ascii="宋体" w:cs="宋体"/>
          <w:color w:val="auto"/>
          <w:highlight w:val="none"/>
        </w:rPr>
      </w:pPr>
      <w:r>
        <w:rPr>
          <w:rFonts w:hint="eastAsia" w:ascii="宋体" w:hAnsi="宋体" w:cs="宋体"/>
          <w:color w:val="auto"/>
          <w:highlight w:val="none"/>
        </w:rPr>
        <w:t>⑤相同清单项目只能有一个投标单价，若相同清单项目出现两个或两个以上投标单价，结算时原合同数量的综合单价以组成中标总价的相应投标单价计算；超出原合同清单数量外的新增数量，其综合单价按以上相应投标单价中的最低值计取。同一主材只能有一个投标单价，若相同主材出现两个或两个以上投标单价，结算时原合同数量的主材单价以组成中标总价的相应投标单价计算；超出原合同清单数量外的新增数量，其综合单价按以上相应主材投标单价中的最低值计取。</w:t>
      </w:r>
    </w:p>
    <w:p w14:paraId="5CC2B95B">
      <w:pPr>
        <w:pStyle w:val="24"/>
        <w:spacing w:before="143" w:beforeLines="50" w:beforeAutospacing="0" w:after="143" w:afterLines="50" w:line="360" w:lineRule="auto"/>
        <w:ind w:firstLine="496"/>
        <w:rPr>
          <w:color w:val="auto"/>
          <w:highlight w:val="none"/>
        </w:rPr>
      </w:pPr>
      <w:r>
        <w:rPr>
          <w:rFonts w:hint="eastAsia" w:ascii="宋体" w:hAnsi="宋体" w:cs="宋体"/>
          <w:color w:val="auto"/>
          <w:highlight w:val="none"/>
        </w:rPr>
        <w:t>⑥招标文件（含招标控制价）规定的成本参考价，是指招标人为项目管理的需要，对部分综合单价、合价或主材单价设定成本参考价。如投标人的报价低于成本参考价的，应提供能证明此部分单价来源的相关资料，中标后必须承诺按不低于成本参考价的标准实施；实施过程需严格按照招标人的相关管理办法进行看样定板，招标人将按不低于成本参考价对应的材料质量档次进行看样定板，承包人不得因此提出调价要求。如投标人的报价低于相应成本参考价的，如相应工程内容不实施，除相应费用不计取外，还应在结算金额中扣减相应的价差【价差扣减金额</w:t>
      </w:r>
      <w:r>
        <w:rPr>
          <w:rFonts w:ascii="宋体" w:hAnsi="宋体" w:cs="宋体"/>
          <w:color w:val="auto"/>
          <w:highlight w:val="none"/>
        </w:rPr>
        <w:t>=</w:t>
      </w:r>
      <w:r>
        <w:rPr>
          <w:rFonts w:hint="eastAsia" w:ascii="宋体" w:hAnsi="宋体" w:cs="宋体"/>
          <w:color w:val="auto"/>
          <w:highlight w:val="none"/>
        </w:rPr>
        <w:t>（招标控制价组成明细中的综合单价</w:t>
      </w:r>
      <w:r>
        <w:rPr>
          <w:rFonts w:ascii="宋体" w:cs="宋体"/>
          <w:color w:val="auto"/>
          <w:highlight w:val="none"/>
        </w:rPr>
        <w:t>-</w:t>
      </w:r>
      <w:r>
        <w:rPr>
          <w:rFonts w:hint="eastAsia" w:ascii="宋体" w:hAnsi="宋体" w:cs="宋体"/>
          <w:color w:val="auto"/>
          <w:highlight w:val="none"/>
        </w:rPr>
        <w:t>中标综合单价）×合同清单工程量】。（注：招标控制价如招标无公布明细，则应按市造价站备案的控制价为准，以下同）</w:t>
      </w:r>
      <w:r>
        <w:rPr>
          <w:rFonts w:hint="eastAsia"/>
          <w:color w:val="auto"/>
          <w:highlight w:val="none"/>
        </w:rPr>
        <w:t>成本参考价不作为评标阶段的符合性审查内容。</w:t>
      </w:r>
    </w:p>
    <w:p w14:paraId="009EAB04">
      <w:pPr>
        <w:pStyle w:val="24"/>
        <w:spacing w:before="143" w:beforeLines="50" w:beforeAutospacing="0" w:after="143" w:afterLines="50" w:line="360" w:lineRule="auto"/>
        <w:ind w:firstLine="496"/>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6、非承包人原因引起的分部分项工程量变化，其综合单价的调整原则：</w:t>
      </w:r>
    </w:p>
    <w:p w14:paraId="42D97E90">
      <w:pPr>
        <w:pStyle w:val="24"/>
        <w:spacing w:before="143" w:beforeLines="50" w:beforeAutospacing="0" w:after="143" w:afterLines="50" w:line="360" w:lineRule="auto"/>
        <w:ind w:firstLine="496"/>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）对任一分部分项工程的清单项目，如结算工程量与招标工程量相比变化幅度在</w:t>
      </w:r>
      <w:r>
        <w:rPr>
          <w:rFonts w:ascii="宋体" w:hAnsi="宋体" w:cs="宋体"/>
          <w:color w:val="auto"/>
          <w:highlight w:val="none"/>
        </w:rPr>
        <w:t>10%</w:t>
      </w:r>
      <w:r>
        <w:rPr>
          <w:rFonts w:hint="eastAsia" w:ascii="宋体" w:hAnsi="宋体" w:cs="宋体"/>
          <w:color w:val="auto"/>
          <w:highlight w:val="none"/>
        </w:rPr>
        <w:t>以内时，其综合单价不做调整，执行原有合同综合单价。</w:t>
      </w:r>
    </w:p>
    <w:p w14:paraId="7D11C53D">
      <w:pPr>
        <w:pStyle w:val="24"/>
        <w:spacing w:before="143" w:beforeLines="50" w:beforeAutospacing="0" w:after="143" w:afterLines="50" w:line="360" w:lineRule="auto"/>
        <w:ind w:firstLine="496"/>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）对任一分部分项工程的清单项目，如结算工程量与招标工程量相比变化幅度在</w:t>
      </w:r>
      <w:r>
        <w:rPr>
          <w:rFonts w:ascii="宋体" w:hAnsi="宋体" w:cs="宋体"/>
          <w:color w:val="auto"/>
          <w:highlight w:val="none"/>
        </w:rPr>
        <w:t>10%</w:t>
      </w:r>
      <w:r>
        <w:rPr>
          <w:rFonts w:hint="eastAsia" w:ascii="宋体" w:hAnsi="宋体" w:cs="宋体"/>
          <w:color w:val="auto"/>
          <w:highlight w:val="none"/>
        </w:rPr>
        <w:t>以外，且该清单项目原综合单价＞</w:t>
      </w:r>
      <w:r>
        <w:rPr>
          <w:rFonts w:ascii="宋体" w:hAnsi="宋体" w:cs="宋体"/>
          <w:color w:val="auto"/>
          <w:highlight w:val="none"/>
        </w:rPr>
        <w:t>(1+</w:t>
      </w:r>
      <w:r>
        <w:rPr>
          <w:rFonts w:hint="eastAsia" w:ascii="宋体" w:hAnsi="宋体" w:cs="宋体"/>
          <w:color w:val="auto"/>
          <w:highlight w:val="none"/>
        </w:rPr>
        <w:t>5</w:t>
      </w:r>
      <w:r>
        <w:rPr>
          <w:rFonts w:ascii="宋体" w:hAnsi="宋体" w:cs="宋体"/>
          <w:color w:val="auto"/>
          <w:highlight w:val="none"/>
        </w:rPr>
        <w:t>0%)</w:t>
      </w:r>
      <w:r>
        <w:rPr>
          <w:rFonts w:hint="eastAsia" w:ascii="宋体" w:hAnsi="宋体" w:cs="宋体"/>
          <w:color w:val="auto"/>
          <w:highlight w:val="none"/>
        </w:rPr>
        <w:t>×基准价（基准价指以合同约定的合同外新增项目计价规定核算的综合单价，下同），或原综合单价＜</w:t>
      </w:r>
      <w:r>
        <w:rPr>
          <w:rFonts w:ascii="宋体" w:hAnsi="宋体" w:cs="宋体"/>
          <w:color w:val="auto"/>
          <w:highlight w:val="none"/>
        </w:rPr>
        <w:t>(1-50%)</w:t>
      </w:r>
      <w:r>
        <w:rPr>
          <w:rFonts w:hint="eastAsia" w:ascii="宋体" w:hAnsi="宋体" w:cs="宋体"/>
          <w:color w:val="auto"/>
          <w:highlight w:val="none"/>
        </w:rPr>
        <w:t>×基准价，对超过招标工程量</w:t>
      </w:r>
      <w:r>
        <w:rPr>
          <w:rFonts w:ascii="宋体" w:hAnsi="宋体" w:cs="宋体"/>
          <w:color w:val="auto"/>
          <w:highlight w:val="none"/>
        </w:rPr>
        <w:t>10%</w:t>
      </w:r>
      <w:r>
        <w:rPr>
          <w:rFonts w:hint="eastAsia" w:ascii="宋体" w:hAnsi="宋体" w:cs="宋体"/>
          <w:color w:val="auto"/>
          <w:highlight w:val="none"/>
        </w:rPr>
        <w:t>以外部分（如超过</w:t>
      </w:r>
      <w:r>
        <w:rPr>
          <w:rFonts w:ascii="宋体" w:hAnsi="宋体" w:cs="宋体"/>
          <w:color w:val="auto"/>
          <w:highlight w:val="none"/>
        </w:rPr>
        <w:t>11%</w:t>
      </w:r>
      <w:r>
        <w:rPr>
          <w:rFonts w:hint="eastAsia" w:ascii="宋体" w:hAnsi="宋体" w:cs="宋体"/>
          <w:color w:val="auto"/>
          <w:highlight w:val="none"/>
        </w:rPr>
        <w:t>，只对</w:t>
      </w:r>
      <w:r>
        <w:rPr>
          <w:rFonts w:ascii="宋体" w:hAnsi="宋体" w:cs="宋体"/>
          <w:color w:val="auto"/>
          <w:highlight w:val="none"/>
        </w:rPr>
        <w:t>1%</w:t>
      </w:r>
      <w:r>
        <w:rPr>
          <w:rFonts w:hint="eastAsia" w:ascii="宋体" w:hAnsi="宋体" w:cs="宋体"/>
          <w:color w:val="auto"/>
          <w:highlight w:val="none"/>
        </w:rPr>
        <w:t>的部分进行调整）其综合单价按基准价进行调整和结算。</w:t>
      </w:r>
    </w:p>
    <w:p w14:paraId="2222BDD8">
      <w:pPr>
        <w:pStyle w:val="24"/>
        <w:spacing w:before="143" w:beforeLines="50" w:beforeAutospacing="0" w:after="143" w:afterLines="50" w:line="360" w:lineRule="auto"/>
        <w:ind w:firstLine="496"/>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）不满足上述第（</w:t>
      </w:r>
      <w:r>
        <w:rPr>
          <w:rFonts w:ascii="宋体" w:hAnsi="宋体" w:cs="宋体"/>
          <w:color w:val="auto"/>
          <w:highlight w:val="none"/>
        </w:rPr>
        <w:t>2</w:t>
      </w:r>
      <w:r>
        <w:rPr>
          <w:rFonts w:hint="eastAsia" w:ascii="宋体" w:hAnsi="宋体" w:cs="宋体"/>
          <w:color w:val="auto"/>
          <w:highlight w:val="none"/>
        </w:rPr>
        <w:t>）点的，综合单价不做调整，执行原有合同综合单价。</w:t>
      </w:r>
    </w:p>
    <w:p w14:paraId="30F9B1C5">
      <w:pPr>
        <w:pStyle w:val="24"/>
        <w:spacing w:before="143" w:beforeLines="50" w:beforeAutospacing="0" w:after="143" w:afterLines="50" w:line="360" w:lineRule="auto"/>
        <w:ind w:firstLine="496"/>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7、投标文件有漏项的，</w:t>
      </w:r>
      <w:r>
        <w:rPr>
          <w:rFonts w:hint="eastAsia"/>
          <w:color w:val="auto"/>
          <w:highlight w:val="none"/>
        </w:rPr>
        <w:t>则该漏项费用视为已分配在其他项目中，招标人不因此另行增加合同费用；</w:t>
      </w:r>
      <w:r>
        <w:rPr>
          <w:rFonts w:hint="eastAsia" w:ascii="宋体" w:hAnsi="宋体" w:cs="宋体"/>
          <w:color w:val="auto"/>
          <w:highlight w:val="none"/>
        </w:rPr>
        <w:t>在工程结算时，按施工实际工程数量减漏项项目招标工程数量计算增减工程量，增减工程量乘以漏项项目综合单价作为漏项项目结算款，漏项项目综合单价</w:t>
      </w:r>
      <w:r>
        <w:rPr>
          <w:rFonts w:hint="eastAsia" w:ascii="宋体" w:hAnsi="宋体" w:cs="宋体"/>
          <w:color w:val="auto"/>
          <w:szCs w:val="24"/>
          <w:highlight w:val="none"/>
        </w:rPr>
        <w:t>按该项目（第2、3名中标候选人）相应投标单价平均值计列</w:t>
      </w:r>
      <w:r>
        <w:rPr>
          <w:rFonts w:hint="eastAsia" w:ascii="宋体" w:hAnsi="宋体" w:cs="宋体"/>
          <w:color w:val="auto"/>
          <w:highlight w:val="none"/>
        </w:rPr>
        <w:t>。</w:t>
      </w:r>
    </w:p>
    <w:p w14:paraId="27CE5787">
      <w:pPr>
        <w:pStyle w:val="27"/>
        <w:spacing w:before="143" w:after="143" w:line="360" w:lineRule="auto"/>
        <w:ind w:firstLine="498" w:firstLineChars="200"/>
        <w:rPr>
          <w:color w:val="auto"/>
          <w:highlight w:val="none"/>
        </w:rPr>
      </w:pPr>
      <w:bookmarkStart w:id="61" w:name="_Toc627"/>
      <w:bookmarkStart w:id="62" w:name="_Toc24352_WPSOffice_Level3"/>
      <w:bookmarkStart w:id="63" w:name="_Toc529298699"/>
      <w:bookmarkStart w:id="64" w:name="_Toc412808038"/>
      <w:bookmarkStart w:id="65" w:name="_Toc15129"/>
      <w:bookmarkStart w:id="66" w:name="_Toc1426"/>
      <w:bookmarkStart w:id="67" w:name="_Toc6797"/>
      <w:bookmarkStart w:id="68" w:name="_Toc396917839"/>
      <w:bookmarkStart w:id="69" w:name="_Toc1582"/>
      <w:bookmarkStart w:id="70" w:name="_Toc12543"/>
      <w:bookmarkStart w:id="71" w:name="_Toc6511"/>
      <w:bookmarkStart w:id="72" w:name="_Toc30754"/>
      <w:bookmarkStart w:id="73" w:name="_Toc6913"/>
      <w:bookmarkStart w:id="74" w:name="_Toc20216"/>
      <w:bookmarkStart w:id="75" w:name="_Toc10996"/>
      <w:bookmarkStart w:id="76" w:name="_Toc11358"/>
      <w:bookmarkStart w:id="77" w:name="_Toc32208"/>
      <w:bookmarkStart w:id="78" w:name="_Toc14555"/>
      <w:bookmarkStart w:id="79" w:name="_Toc11095"/>
      <w:bookmarkStart w:id="80" w:name="_Toc505776018"/>
      <w:bookmarkStart w:id="81" w:name="_Toc19302"/>
      <w:bookmarkStart w:id="82" w:name="_Toc6627"/>
      <w:bookmarkStart w:id="83" w:name="_Toc9636"/>
      <w:r>
        <w:rPr>
          <w:rFonts w:hint="eastAsia"/>
          <w:color w:val="auto"/>
          <w:highlight w:val="none"/>
        </w:rPr>
        <w:t>二、分部分项工程量清单计价说明</w:t>
      </w:r>
      <w:bookmarkEnd w:id="61"/>
    </w:p>
    <w:p w14:paraId="04801E63">
      <w:pPr>
        <w:pStyle w:val="24"/>
        <w:spacing w:before="143" w:beforeLines="50" w:beforeAutospacing="0" w:after="143" w:afterLines="50" w:line="360" w:lineRule="auto"/>
        <w:ind w:firstLine="496"/>
        <w:rPr>
          <w:color w:val="auto"/>
          <w:highlight w:val="none"/>
        </w:rPr>
      </w:pPr>
      <w:r>
        <w:rPr>
          <w:rFonts w:hint="eastAsia"/>
          <w:color w:val="auto"/>
          <w:highlight w:val="none"/>
        </w:rPr>
        <w:t>分部分项工程量清单：指根据招标文件、图纸、国家规范、技术文件标准等内容，采取综合单价包干计价的项目。综合单价是指完成工程量清单中规定计量单位项目全部工作内容所需的所有相关费用，包括人工费、材料费、施工机具使用费、管理费、利润、不可预见费、夜间施工增加费、混凝土泵送增加费、</w:t>
      </w:r>
      <w:r>
        <w:rPr>
          <w:rFonts w:hint="eastAsia" w:ascii="Times New Roman" w:hAnsi="Times New Roman"/>
          <w:color w:val="auto"/>
          <w:highlight w:val="none"/>
          <w:u w:val="none"/>
        </w:rPr>
        <w:t>建筑物超高增加人工、机具费</w:t>
      </w:r>
      <w:r>
        <w:rPr>
          <w:rFonts w:hint="eastAsia" w:ascii="Times New Roman" w:hAnsi="Times New Roman" w:cs="Times New Roman"/>
          <w:color w:val="auto"/>
          <w:highlight w:val="none"/>
        </w:rPr>
        <w:t>，在洞内、地下室内、库内或暗室内（需要照明）进行施工增加费（机电安装工程另计）</w:t>
      </w:r>
      <w:r>
        <w:rPr>
          <w:rFonts w:hint="eastAsia"/>
          <w:color w:val="auto"/>
          <w:highlight w:val="none"/>
        </w:rPr>
        <w:t>等。综合单价包干的项目，除合同、招标文件另有约定和政府针对本项目的文件规定可以调整外，无论施工条件或施工图纸是否发生变化，在合同执行期内综合单价固定不变。各费用定义如下：</w:t>
      </w:r>
    </w:p>
    <w:p w14:paraId="6210BD6B">
      <w:pPr>
        <w:pStyle w:val="24"/>
        <w:spacing w:before="143" w:beforeLines="50" w:beforeAutospacing="0" w:after="143" w:afterLines="50" w:line="360" w:lineRule="auto"/>
        <w:ind w:firstLine="496"/>
        <w:rPr>
          <w:color w:val="auto"/>
          <w:highlight w:val="none"/>
        </w:rPr>
      </w:pPr>
      <w:r>
        <w:rPr>
          <w:color w:val="auto"/>
          <w:highlight w:val="none"/>
        </w:rPr>
        <w:t>1</w:t>
      </w:r>
      <w:r>
        <w:rPr>
          <w:rFonts w:hint="eastAsia"/>
          <w:color w:val="auto"/>
          <w:highlight w:val="none"/>
        </w:rPr>
        <w:t>、人工、材料、机具费、管理费和利润的定义按《广东省建设工程计价依据的通知（</w:t>
      </w:r>
      <w:r>
        <w:rPr>
          <w:color w:val="auto"/>
          <w:highlight w:val="none"/>
        </w:rPr>
        <w:t>2018</w:t>
      </w:r>
      <w:r>
        <w:rPr>
          <w:rFonts w:hint="eastAsia"/>
          <w:color w:val="auto"/>
          <w:highlight w:val="none"/>
        </w:rPr>
        <w:t>）》（粤建市〔</w:t>
      </w:r>
      <w:r>
        <w:rPr>
          <w:color w:val="auto"/>
          <w:highlight w:val="none"/>
        </w:rPr>
        <w:t>2019</w:t>
      </w:r>
      <w:r>
        <w:rPr>
          <w:rFonts w:hint="eastAsia"/>
          <w:color w:val="auto"/>
          <w:highlight w:val="none"/>
        </w:rPr>
        <w:t>〕</w:t>
      </w:r>
      <w:r>
        <w:rPr>
          <w:color w:val="auto"/>
          <w:highlight w:val="none"/>
        </w:rPr>
        <w:t>6</w:t>
      </w:r>
      <w:r>
        <w:rPr>
          <w:rFonts w:hint="eastAsia"/>
          <w:color w:val="auto"/>
          <w:highlight w:val="none"/>
        </w:rPr>
        <w:t>号）的规定执行。</w:t>
      </w:r>
    </w:p>
    <w:p w14:paraId="4D85D44F">
      <w:pPr>
        <w:pStyle w:val="24"/>
        <w:spacing w:before="143" w:beforeLines="50" w:beforeAutospacing="0" w:after="143" w:afterLines="50" w:line="360" w:lineRule="auto"/>
        <w:ind w:firstLine="496"/>
        <w:rPr>
          <w:color w:val="auto"/>
          <w:highlight w:val="none"/>
        </w:rPr>
      </w:pPr>
      <w:r>
        <w:rPr>
          <w:color w:val="auto"/>
          <w:highlight w:val="none"/>
        </w:rPr>
        <w:t>2</w:t>
      </w:r>
      <w:r>
        <w:rPr>
          <w:rFonts w:hint="eastAsia"/>
          <w:color w:val="auto"/>
          <w:highlight w:val="none"/>
        </w:rPr>
        <w:t>、不可预见费指市场物价的不稳定因素、政府部门颁发的各项调价文件、气候等自然条件的不利影响（不可抗力除外）、技术经济条件发生变化（如资源、劳力、交通条件等）、国家宏观经济调控政策的影响所产生的额外一切费用（项目建设所必须、政府专门针对本项目的文件规定除外）。</w:t>
      </w:r>
    </w:p>
    <w:p w14:paraId="09E255F5">
      <w:pPr>
        <w:pStyle w:val="24"/>
        <w:spacing w:before="143" w:beforeLines="50" w:beforeAutospacing="0" w:after="143" w:afterLines="50" w:line="360" w:lineRule="auto"/>
        <w:ind w:firstLine="496"/>
        <w:rPr>
          <w:color w:val="auto"/>
          <w:highlight w:val="none"/>
        </w:rPr>
      </w:pPr>
      <w:r>
        <w:rPr>
          <w:rFonts w:eastAsia="Times New Roman"/>
          <w:color w:val="auto"/>
          <w:highlight w:val="none"/>
        </w:rPr>
        <w:t>3</w:t>
      </w:r>
      <w:r>
        <w:rPr>
          <w:rFonts w:hint="eastAsia" w:ascii="宋体" w:hAnsi="宋体" w:cs="宋体"/>
          <w:color w:val="auto"/>
          <w:highlight w:val="none"/>
        </w:rPr>
        <w:t>、夜间施工增加费</w:t>
      </w:r>
      <w:r>
        <w:rPr>
          <w:rFonts w:hint="eastAsia"/>
          <w:color w:val="auto"/>
          <w:highlight w:val="none"/>
        </w:rPr>
        <w:t>：指因夜间施工所发生的夜班补助费、夜间施工降效、夜间施工照明设备摊销及照明用电等费用。</w:t>
      </w:r>
    </w:p>
    <w:p w14:paraId="7A2C8B73">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4、在洞内、地下室内、库内或暗室内（需要照明）进行施工增加费（机电安装工程另计）：指机电安装工程以外的项目，在洞内、地下室内、库内或暗室内（需要照明）进行施工人工降效及照明等费用，机电安装工程另计。</w:t>
      </w:r>
    </w:p>
    <w:p w14:paraId="6235021A">
      <w:pPr>
        <w:pStyle w:val="24"/>
        <w:spacing w:before="157" w:after="157" w:line="360" w:lineRule="auto"/>
        <w:ind w:firstLine="496"/>
        <w:rPr>
          <w:color w:val="auto"/>
          <w:highlight w:val="none"/>
        </w:rPr>
      </w:pPr>
      <w:r>
        <w:rPr>
          <w:rFonts w:hint="eastAsia" w:ascii="宋体" w:hAnsi="宋体" w:cs="宋体"/>
          <w:color w:val="auto"/>
          <w:highlight w:val="none"/>
        </w:rPr>
        <w:t>5、房屋建筑与装饰工程超高增加人工、机具费：指建筑物高度20m以上人工、机具降效包括工人上下班降低工效、上下楼及自然休息增加的时间、垂直运输影响的时间以及由于人工降效引起的机械降效等费用。机电安装工程超高增加费</w:t>
      </w:r>
      <w:r>
        <w:rPr>
          <w:rFonts w:hint="eastAsia" w:ascii="宋体" w:hAnsi="宋体"/>
          <w:color w:val="auto"/>
          <w:szCs w:val="22"/>
          <w:highlight w:val="none"/>
        </w:rPr>
        <w:t>指各专业安装工程操作物距离楼地面一定高度时，人工、机具降效、材料垂直运输等增加的相关费用。</w:t>
      </w:r>
    </w:p>
    <w:p w14:paraId="57403FD4">
      <w:pPr>
        <w:pStyle w:val="27"/>
        <w:spacing w:before="143" w:after="143" w:line="360" w:lineRule="auto"/>
        <w:ind w:firstLine="498" w:firstLineChars="200"/>
        <w:rPr>
          <w:color w:val="auto"/>
          <w:highlight w:val="none"/>
        </w:rPr>
      </w:pPr>
      <w:bookmarkStart w:id="84" w:name="_Toc18099"/>
      <w:r>
        <w:rPr>
          <w:rFonts w:hint="eastAsia"/>
          <w:color w:val="auto"/>
          <w:highlight w:val="none"/>
        </w:rPr>
        <w:t>三、</w:t>
      </w:r>
      <w:bookmarkEnd w:id="62"/>
      <w:bookmarkEnd w:id="63"/>
      <w:bookmarkStart w:id="85" w:name="_Toc529298700"/>
      <w:bookmarkStart w:id="86" w:name="_Toc903_WPSOffice_Level3"/>
      <w:r>
        <w:rPr>
          <w:rFonts w:hint="eastAsia"/>
          <w:color w:val="auto"/>
          <w:highlight w:val="none"/>
        </w:rPr>
        <w:t>措施项目清单计价说明</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6C76FA14">
      <w:pPr>
        <w:pStyle w:val="24"/>
        <w:spacing w:before="143" w:beforeLines="50" w:beforeAutospacing="0" w:after="143" w:afterLines="50" w:line="360" w:lineRule="auto"/>
        <w:ind w:firstLine="496"/>
        <w:rPr>
          <w:rFonts w:ascii="宋体" w:hAnsi="宋体"/>
          <w:color w:val="auto"/>
          <w:highlight w:val="none"/>
        </w:rPr>
      </w:pPr>
      <w:r>
        <w:rPr>
          <w:rFonts w:hint="eastAsia" w:ascii="宋体" w:hAnsi="宋体"/>
          <w:color w:val="auto"/>
          <w:highlight w:val="none"/>
        </w:rPr>
        <w:t>措施项目</w:t>
      </w:r>
      <w:r>
        <w:rPr>
          <w:rFonts w:hint="eastAsia" w:ascii="宋体" w:hAnsi="宋体"/>
          <w:strike/>
          <w:color w:val="auto"/>
          <w:highlight w:val="none"/>
        </w:rPr>
        <w:t>费</w:t>
      </w:r>
      <w:r>
        <w:rPr>
          <w:rFonts w:hint="eastAsia" w:ascii="宋体" w:hAnsi="宋体"/>
          <w:color w:val="auto"/>
          <w:highlight w:val="none"/>
        </w:rPr>
        <w:t>是指为完成工程项目施工，发生于施工准备和施工及验收过程中的技术、生活、安全生产、环境保护等方面的项目。其发生的费用为措施项目费，指根据招标文件、图纸、国家规范、技术文件标准等内容，完成本招标项目施工，发生于该招标项目承包期内非工程实体项目费用。措施项目的实施须满足政府职能部门及发包人制定的相关规定要求。</w:t>
      </w:r>
    </w:p>
    <w:p w14:paraId="0AC880B6">
      <w:pPr>
        <w:pStyle w:val="24"/>
        <w:spacing w:before="143" w:beforeLines="50" w:beforeAutospacing="0" w:after="143" w:afterLines="50" w:line="360" w:lineRule="auto"/>
        <w:ind w:firstLine="496"/>
        <w:rPr>
          <w:rFonts w:ascii="宋体" w:hAnsi="宋体"/>
          <w:color w:val="auto"/>
          <w:highlight w:val="none"/>
        </w:rPr>
      </w:pPr>
      <w:r>
        <w:rPr>
          <w:rFonts w:hint="eastAsia" w:ascii="宋体" w:hAnsi="宋体"/>
          <w:color w:val="auto"/>
          <w:highlight w:val="none"/>
        </w:rPr>
        <w:t>招标人提出的措施项目清单是根据一般情况所列，因此投标人在报价时，应结合现场踏勘情况，根据本企业的实际情况和拟采用的施工方案，详细分析其所含的项目特征和工程内容，自行报价。投标人没有计算或少计算的费用，视为已包括在其他相关费用内。</w:t>
      </w:r>
    </w:p>
    <w:p w14:paraId="6B337C5B">
      <w:pPr>
        <w:pStyle w:val="24"/>
        <w:spacing w:before="143" w:beforeLines="50" w:beforeAutospacing="0" w:after="143" w:afterLines="50" w:line="360" w:lineRule="auto"/>
        <w:ind w:left="459" w:firstLine="496" w:firstLineChars="0"/>
        <w:outlineLvl w:val="4"/>
        <w:rPr>
          <w:rFonts w:hint="eastAsia" w:ascii="宋体" w:hAnsi="宋体" w:eastAsia="宋体"/>
          <w:color w:val="auto"/>
          <w:highlight w:val="none"/>
          <w:lang w:eastAsia="zh"/>
        </w:rPr>
      </w:pPr>
      <w:bookmarkStart w:id="87" w:name="_Toc5166"/>
      <w:bookmarkStart w:id="88" w:name="_Toc32372"/>
      <w:bookmarkStart w:id="89" w:name="_Toc1866"/>
      <w:bookmarkStart w:id="90" w:name="_Toc20831"/>
      <w:bookmarkStart w:id="91" w:name="_Toc12572"/>
      <w:bookmarkStart w:id="92" w:name="_Toc20455"/>
      <w:bookmarkStart w:id="93" w:name="_Toc26567"/>
      <w:bookmarkStart w:id="94" w:name="_Toc8292043"/>
      <w:bookmarkStart w:id="95" w:name="_Toc16530"/>
      <w:r>
        <w:rPr>
          <w:rFonts w:ascii="宋体" w:hAnsi="宋体"/>
          <w:color w:val="auto"/>
          <w:highlight w:val="none"/>
        </w:rPr>
        <w:t>1、</w:t>
      </w:r>
      <w:r>
        <w:rPr>
          <w:rFonts w:hint="eastAsia" w:ascii="宋体" w:hAnsi="宋体"/>
          <w:color w:val="auto"/>
          <w:highlight w:val="none"/>
        </w:rPr>
        <w:t>绿色施工安全防护措施费</w:t>
      </w:r>
      <w:bookmarkEnd w:id="87"/>
      <w:bookmarkEnd w:id="88"/>
      <w:bookmarkEnd w:id="89"/>
      <w:bookmarkEnd w:id="90"/>
      <w:bookmarkEnd w:id="91"/>
      <w:bookmarkEnd w:id="92"/>
      <w:bookmarkEnd w:id="93"/>
      <w:bookmarkEnd w:id="94"/>
      <w:bookmarkEnd w:id="95"/>
      <w:r>
        <w:rPr>
          <w:rFonts w:hint="eastAsia" w:ascii="宋体" w:hAnsi="宋体"/>
          <w:color w:val="auto"/>
          <w:highlight w:val="none"/>
          <w:lang w:eastAsia="zh"/>
        </w:rPr>
        <w:t>（包含智慧工地费用）</w:t>
      </w:r>
    </w:p>
    <w:p w14:paraId="72585046">
      <w:pPr>
        <w:pStyle w:val="24"/>
        <w:spacing w:before="143" w:beforeLines="50" w:beforeAutospacing="0" w:after="143" w:afterLines="50" w:line="360" w:lineRule="auto"/>
        <w:ind w:firstLine="496"/>
        <w:rPr>
          <w:rFonts w:ascii="宋体" w:hAnsi="宋体"/>
          <w:color w:val="auto"/>
          <w:highlight w:val="none"/>
        </w:rPr>
      </w:pPr>
      <w:r>
        <w:rPr>
          <w:rFonts w:hint="eastAsia" w:ascii="宋体" w:hAnsi="宋体"/>
          <w:color w:val="auto"/>
          <w:highlight w:val="none"/>
        </w:rPr>
        <w:t>指按照国家现行的建筑施工安全、施工现场环境与卫生标准和有关规定，购置和更新施工安全防护用具及设施、保证和改善安全生产条件及作业环境所需要的费用。依据《广东省建筑与装饰工程综合定额</w:t>
      </w:r>
      <w:r>
        <w:rPr>
          <w:rFonts w:ascii="宋体" w:hAnsi="宋体"/>
          <w:color w:val="auto"/>
          <w:highlight w:val="none"/>
        </w:rPr>
        <w:t>(2018)</w:t>
      </w:r>
      <w:r>
        <w:rPr>
          <w:rFonts w:hint="eastAsia" w:ascii="宋体" w:hAnsi="宋体"/>
          <w:color w:val="auto"/>
          <w:highlight w:val="none"/>
        </w:rPr>
        <w:t>》，绿色施工安全防护措施费由两部分组成，第一部分为按子目计算部分，包括：综合脚手架、靠脚手架安全挡板、</w:t>
      </w:r>
      <w:r>
        <w:rPr>
          <w:rFonts w:hint="eastAsia" w:ascii="宋体" w:hAnsi="宋体"/>
          <w:bCs/>
          <w:strike/>
          <w:color w:val="auto"/>
          <w:szCs w:val="21"/>
          <w:highlight w:val="none"/>
          <w:bdr w:val="single" w:color="auto" w:sz="4" w:space="0"/>
        </w:rPr>
        <w:t>√</w:t>
      </w:r>
      <w:r>
        <w:rPr>
          <w:rFonts w:hint="eastAsia" w:ascii="宋体" w:hAnsi="宋体"/>
          <w:color w:val="auto"/>
          <w:highlight w:val="none"/>
        </w:rPr>
        <w:t>金属防护网、围尼龙编织布、模板的支架（钢支撑）、施工现场围挡和临时占地围挡、施工围挡照明、临时钢管架通道、独立安全防护挡板、吊装设备基础、防尘降噪绿色施工防护棚、施工便道、样板引路；第二部分为按系数计算部分，包括绿色施工（含扬尘控制）、临时设施、安全施工、用工实名制、视频监控装置安装费用和网络接入及运行维护费用等。绿色施工安全防护措施费作为非竞争性费用，不低于依据省市工程造价管理机构规定费率计算所需费用总额，所有投标人按招标人公布的固定金额填报。绿色施工安全防护措施费专款专用，要求在承包人财务管理中单独列出安全防护、文明施工措施项目费用清单备查。在中标后，承包人须针对安全防护及文明施工向招标人提交详细的施工组织设计，安全防护及文明施工的实施以招标人批准的施工组织进行，但绿色施工安全防护措施费的总价不变。合同另有约定的除外。</w:t>
      </w:r>
    </w:p>
    <w:p w14:paraId="3B46C66F">
      <w:pPr>
        <w:pStyle w:val="24"/>
        <w:numPr>
          <w:ilvl w:val="0"/>
          <w:numId w:val="2"/>
        </w:numPr>
        <w:spacing w:before="143" w:beforeLines="50" w:beforeAutospacing="0" w:after="143" w:afterLines="50" w:line="360" w:lineRule="auto"/>
        <w:ind w:firstLine="496" w:firstLineChars="0"/>
        <w:rPr>
          <w:rFonts w:hint="eastAsia" w:ascii="宋体" w:hAnsi="宋体"/>
          <w:strike/>
          <w:color w:val="auto"/>
          <w:highlight w:val="none"/>
          <w:lang w:eastAsia="zh"/>
        </w:rPr>
      </w:pPr>
      <w:r>
        <w:rPr>
          <w:rFonts w:hint="eastAsia" w:ascii="宋体" w:hAnsi="宋体"/>
          <w:strike w:val="0"/>
          <w:color w:val="auto"/>
          <w:highlight w:val="none"/>
          <w:lang w:eastAsia="zh"/>
        </w:rPr>
        <w:t>智慧工地费用</w:t>
      </w:r>
    </w:p>
    <w:p w14:paraId="521B408B">
      <w:pPr>
        <w:pStyle w:val="11"/>
        <w:spacing w:before="157" w:beforeLines="50" w:beforeAutospacing="0" w:after="157" w:afterLines="50" w:line="23" w:lineRule="atLeast"/>
        <w:ind w:firstLine="420" w:firstLineChars="0"/>
        <w:rPr>
          <w:rFonts w:hint="eastAsia" w:ascii="宋体" w:hAnsi="宋体" w:eastAsia="宋体"/>
          <w:strike w:val="0"/>
          <w:snapToGrid w:val="0"/>
          <w:color w:val="auto"/>
          <w:spacing w:val="4"/>
          <w:szCs w:val="20"/>
          <w:highlight w:val="none"/>
          <w:lang w:eastAsia="zh-CN"/>
        </w:rPr>
      </w:pPr>
      <w:r>
        <w:rPr>
          <w:rFonts w:hint="eastAsia" w:ascii="宋体" w:hAnsi="宋体" w:eastAsia="宋体" w:cs="Times New Roman"/>
          <w:b w:val="0"/>
          <w:bCs w:val="0"/>
          <w:i w:val="0"/>
          <w:iCs w:val="0"/>
          <w:snapToGrid w:val="0"/>
          <w:color w:val="auto"/>
          <w:spacing w:val="4"/>
          <w:w w:val="100"/>
          <w:sz w:val="24"/>
          <w:szCs w:val="20"/>
          <w:highlight w:val="none"/>
          <w:vertAlign w:val="baseline"/>
        </w:rPr>
        <w:t>是指根据广州市住建局文件《关于进一步推进全市房屋建筑工程智慧工地建设的通知（试行）》（穗建质〔2023〕683号）及招标文件要求配置智慧工地所发生的费用。本项目属于新建、改造、扩建工程，需创建 一 星级智慧工地，并采用考勤管理系统、鹰眼摄像机监控、AI摄像机监控、安全和质量管理系统、进度管理系统、基础配套设备系统、劳务实名制、现场施工环境综合监测系统、视频监控（6路）、实名制AI识别、渣土车识别系统、塔吊监测系统、塔吊驾驶室监控、施工升降机监测等，为保证智慧工地平台实用性与接入能力，云平台必须支持与第三方应用系统或设备进行数据交换，提供各子系统项目版数据接入的标准接口，不得设立技术壁垒，其余要求详见招标文件及其附件。其中：</w:t>
      </w:r>
    </w:p>
    <w:p w14:paraId="3E0DF114">
      <w:pPr>
        <w:pStyle w:val="11"/>
        <w:spacing w:before="143" w:beforeLines="50" w:beforeAutospacing="0" w:after="143" w:afterLines="50" w:afterAutospacing="0" w:line="360" w:lineRule="auto"/>
        <w:ind w:firstLine="480" w:firstLineChars="200"/>
        <w:rPr>
          <w:rFonts w:ascii="宋体" w:hAnsi="宋体"/>
          <w:color w:val="auto"/>
          <w:highlight w:val="none"/>
        </w:rPr>
      </w:pPr>
      <w:r>
        <w:rPr>
          <w:rFonts w:hint="eastAsia" w:ascii="宋体" w:hAnsi="宋体" w:cs="宋体"/>
          <w:color w:val="auto"/>
          <w:szCs w:val="24"/>
          <w:highlight w:val="none"/>
          <w:lang w:bidi="ar"/>
        </w:rPr>
        <w:t>视频监控装置安装费用和网络接入及运行维护费用是指根据《广州市建委关于广州市建筑工地安装视频监控装置的通知》（穗建筑〔2006〕551号）、《关于全面启动广州市社会治安视频监控系统建设有关问题的通知》（穗视频建字〔2006〕1号）和《广州市住房和城乡建设委员会关于全市建设工地纳入视频监管的通知》（穗建质〔2017〕1166号）的要求和确保工地状况、安全防护、文明施工、质量验收、隐蔽工程和关键工序施工过程等现场文字、视频、声像资料能通过INTERNET实时传输到政府主管部门，包括视频监控装置安装费用和网络接入及运行维护费用。</w:t>
      </w:r>
    </w:p>
    <w:p w14:paraId="273C4629">
      <w:pPr>
        <w:pStyle w:val="24"/>
        <w:spacing w:before="143" w:beforeLines="50" w:beforeAutospacing="0" w:after="143" w:afterLines="50" w:line="360" w:lineRule="auto"/>
        <w:ind w:firstLine="496"/>
        <w:rPr>
          <w:rFonts w:hint="eastAsia" w:ascii="宋体" w:hAnsi="宋体"/>
          <w:color w:val="auto"/>
          <w:highlight w:val="none"/>
        </w:rPr>
      </w:pPr>
      <w:r>
        <w:rPr>
          <w:rFonts w:hint="eastAsia" w:ascii="宋体" w:hAnsi="宋体"/>
          <w:color w:val="auto"/>
          <w:highlight w:val="none"/>
        </w:rPr>
        <w:t>项目实施时中标人须在工地设立</w:t>
      </w:r>
      <w:r>
        <w:rPr>
          <w:rFonts w:ascii="宋体" w:hAnsi="宋体"/>
          <w:color w:val="auto"/>
          <w:highlight w:val="none"/>
        </w:rPr>
        <w:t>1</w:t>
      </w:r>
      <w:r>
        <w:rPr>
          <w:rFonts w:hint="eastAsia" w:ascii="宋体" w:hAnsi="宋体"/>
          <w:color w:val="auto"/>
          <w:highlight w:val="none"/>
        </w:rPr>
        <w:t>个现场施工监督工作组，并委派本单位纪委部门或负责宣传教育工作的专人担任组长（廉洁责任人），同时应明确一名组员（联系人）。并需开展现场廉政文化宣传工作，相关实施内容包括制作宣传栏、宣传展板、挂画、横幅、喷画等，以上宣传工作内容相应费用在安全防护、文明施工措施费中综合考虑，不再另行支付。</w:t>
      </w:r>
    </w:p>
    <w:p w14:paraId="22F2CC65">
      <w:pPr>
        <w:pStyle w:val="24"/>
        <w:numPr>
          <w:ilvl w:val="0"/>
          <w:numId w:val="3"/>
        </w:numPr>
        <w:spacing w:before="143" w:beforeLines="50" w:beforeAutospacing="0" w:after="143" w:afterLines="50" w:line="360" w:lineRule="auto"/>
        <w:ind w:left="459" w:firstLine="496" w:firstLineChars="0"/>
        <w:outlineLvl w:val="4"/>
        <w:rPr>
          <w:rFonts w:hint="eastAsia" w:ascii="宋体" w:hAnsi="宋体"/>
          <w:color w:val="auto"/>
          <w:highlight w:val="none"/>
        </w:rPr>
      </w:pPr>
      <w:r>
        <w:rPr>
          <w:rFonts w:hint="eastAsia" w:ascii="宋体" w:hAnsi="宋体"/>
          <w:color w:val="auto"/>
          <w:highlight w:val="none"/>
        </w:rPr>
        <w:t>混凝土及钢筋混凝土模板及支架费</w:t>
      </w:r>
    </w:p>
    <w:p w14:paraId="02A5707E">
      <w:pPr>
        <w:pStyle w:val="24"/>
        <w:spacing w:before="143" w:beforeLines="50" w:beforeAutospacing="0" w:after="143" w:afterLines="50" w:line="360" w:lineRule="auto"/>
        <w:ind w:firstLine="496"/>
        <w:rPr>
          <w:rFonts w:hint="eastAsia" w:ascii="宋体" w:hAnsi="宋体"/>
          <w:color w:val="auto"/>
          <w:highlight w:val="none"/>
        </w:rPr>
      </w:pPr>
      <w:r>
        <w:rPr>
          <w:rFonts w:hint="eastAsia" w:ascii="宋体" w:hAnsi="宋体"/>
          <w:color w:val="auto"/>
          <w:highlight w:val="none"/>
        </w:rPr>
        <w:t>指混凝土及钢筋混凝土施工过程中需要的各种钢模板、铝模板、木模板、支架等的支、拆、运输费用及模板、支架的摊销(或租赁)及因防火需要为模板支架淋水的费用，并充分考虑大空间、大体积混凝土所需增加的费用(不含绿色施工安全防护措施费中模板的支架费用)。结算时，按合同专用条款第 33.2条规定执行，其中支模砼不含使用砖模板的砼。</w:t>
      </w:r>
    </w:p>
    <w:p w14:paraId="40B61196">
      <w:pPr>
        <w:pStyle w:val="24"/>
        <w:spacing w:before="143" w:beforeLines="50" w:beforeAutospacing="0" w:after="143" w:afterLines="50" w:line="360" w:lineRule="auto"/>
        <w:ind w:left="459" w:firstLine="496" w:firstLineChars="0"/>
        <w:outlineLvl w:val="4"/>
        <w:rPr>
          <w:rFonts w:ascii="宋体"/>
          <w:color w:val="auto"/>
          <w:highlight w:val="none"/>
        </w:rPr>
      </w:pPr>
      <w:bookmarkStart w:id="96" w:name="_Toc28724"/>
      <w:bookmarkStart w:id="97" w:name="_Toc3752"/>
      <w:bookmarkStart w:id="98" w:name="_Toc5521"/>
      <w:bookmarkStart w:id="99" w:name="_Toc26010"/>
      <w:bookmarkStart w:id="100" w:name="_Toc23919"/>
      <w:bookmarkStart w:id="101" w:name="_Toc16169"/>
      <w:bookmarkStart w:id="102" w:name="_Toc16135"/>
      <w:bookmarkStart w:id="103" w:name="_Toc8441"/>
      <w:bookmarkStart w:id="104" w:name="_Toc7143"/>
      <w:bookmarkStart w:id="105" w:name="_Toc973"/>
      <w:bookmarkStart w:id="106" w:name="_Toc25798"/>
      <w:bookmarkStart w:id="107" w:name="_Toc412808048"/>
      <w:bookmarkStart w:id="108" w:name="_Toc396917849"/>
      <w:bookmarkStart w:id="109" w:name="_Toc505776028"/>
      <w:bookmarkStart w:id="110" w:name="_Toc7302"/>
      <w:bookmarkStart w:id="111" w:name="_Toc31085"/>
      <w:bookmarkStart w:id="112" w:name="_Toc529298705"/>
      <w:bookmarkStart w:id="113" w:name="_Toc9317"/>
      <w:bookmarkStart w:id="114" w:name="_Toc11427"/>
      <w:r>
        <w:rPr>
          <w:rFonts w:hint="eastAsia" w:ascii="宋体"/>
          <w:color w:val="auto"/>
          <w:highlight w:val="none"/>
          <w:lang w:val="en-US" w:eastAsia="zh-CN"/>
        </w:rPr>
        <w:t>3</w:t>
      </w:r>
      <w:r>
        <w:rPr>
          <w:rFonts w:ascii="宋体"/>
          <w:color w:val="auto"/>
          <w:highlight w:val="none"/>
        </w:rPr>
        <w:t>、</w:t>
      </w:r>
      <w:r>
        <w:rPr>
          <w:rFonts w:hint="eastAsia" w:ascii="宋体" w:hAnsi="宋体"/>
          <w:color w:val="auto"/>
          <w:highlight w:val="none"/>
        </w:rPr>
        <w:t>脚手架搭拆及摊销费</w:t>
      </w:r>
      <w:bookmarkEnd w:id="96"/>
      <w:bookmarkEnd w:id="97"/>
      <w:bookmarkEnd w:id="98"/>
      <w:bookmarkEnd w:id="99"/>
      <w:bookmarkEnd w:id="100"/>
      <w:bookmarkEnd w:id="101"/>
      <w:bookmarkEnd w:id="102"/>
      <w:bookmarkEnd w:id="103"/>
    </w:p>
    <w:p w14:paraId="749B45BB">
      <w:pPr>
        <w:pStyle w:val="24"/>
        <w:spacing w:before="143" w:beforeLines="50" w:beforeAutospacing="0" w:after="143" w:afterLines="50" w:line="360" w:lineRule="auto"/>
        <w:ind w:firstLine="496"/>
        <w:rPr>
          <w:rFonts w:ascii="宋体" w:hAnsi="宋体"/>
          <w:color w:val="auto"/>
          <w:highlight w:val="none"/>
        </w:rPr>
      </w:pPr>
      <w:r>
        <w:rPr>
          <w:rFonts w:hint="eastAsia" w:ascii="宋体" w:hAnsi="宋体"/>
          <w:color w:val="auto"/>
          <w:highlight w:val="none"/>
        </w:rPr>
        <w:t>指施工（含拆除）需要的各种脚手架搭、拆、运输费用及脚手架的摊销（或租赁）费用或高空作业车（不含绿色施工安全防护措施费中的脚手架费用）。另外，脚手架的搭设必须考虑到各专业工程施工的交叉协调，由于脚手架的搭设不当而影响其他专业正常施工时，承包人须进行整改，承包人进行调整和修改及因防火需要为脚手架淋水费用不予增加，承包人不按时整改，发包人有权委托其它单位进行整改搭设，所需费用从承包人工程款中扣除。该费用合价包干</w:t>
      </w:r>
      <w:r>
        <w:rPr>
          <w:rFonts w:hint="eastAsia" w:ascii="宋体" w:hAnsi="宋体"/>
          <w:color w:val="auto"/>
          <w:szCs w:val="22"/>
          <w:highlight w:val="none"/>
        </w:rPr>
        <w:t>，除合同另有约定外，结算时不作调整</w:t>
      </w:r>
      <w:r>
        <w:rPr>
          <w:rFonts w:hint="eastAsia" w:ascii="宋体" w:hAnsi="宋体"/>
          <w:color w:val="auto"/>
          <w:highlight w:val="none"/>
        </w:rPr>
        <w:t>。</w:t>
      </w:r>
    </w:p>
    <w:p w14:paraId="1B55A461">
      <w:pPr>
        <w:pStyle w:val="24"/>
        <w:spacing w:before="143" w:beforeLines="50" w:beforeAutospacing="0" w:after="143" w:afterLines="50" w:line="360" w:lineRule="auto"/>
        <w:ind w:left="459" w:firstLine="496" w:firstLineChars="0"/>
        <w:outlineLvl w:val="4"/>
        <w:rPr>
          <w:rFonts w:ascii="宋体"/>
          <w:color w:val="auto"/>
          <w:highlight w:val="none"/>
        </w:rPr>
      </w:pPr>
      <w:bookmarkStart w:id="115" w:name="_Toc20807"/>
      <w:bookmarkStart w:id="116" w:name="_Toc25906"/>
      <w:bookmarkStart w:id="117" w:name="_Toc17387"/>
      <w:bookmarkStart w:id="118" w:name="_Toc2319"/>
      <w:bookmarkStart w:id="119" w:name="_Toc23926"/>
      <w:bookmarkStart w:id="120" w:name="_Toc23429"/>
      <w:bookmarkStart w:id="121" w:name="_Toc6305"/>
      <w:bookmarkStart w:id="122" w:name="_Toc1287"/>
      <w:r>
        <w:rPr>
          <w:rFonts w:hint="eastAsia" w:ascii="宋体"/>
          <w:color w:val="auto"/>
          <w:highlight w:val="none"/>
          <w:lang w:val="en-US" w:eastAsia="zh-CN"/>
        </w:rPr>
        <w:t>4</w:t>
      </w:r>
      <w:r>
        <w:rPr>
          <w:rFonts w:ascii="宋体"/>
          <w:color w:val="auto"/>
          <w:highlight w:val="none"/>
        </w:rPr>
        <w:t>、</w:t>
      </w:r>
      <w:r>
        <w:rPr>
          <w:rFonts w:hint="eastAsia" w:ascii="宋体" w:hAnsi="宋体"/>
          <w:color w:val="auto"/>
          <w:highlight w:val="none"/>
        </w:rPr>
        <w:t>垂直运输费</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01B8FBD6">
      <w:pPr>
        <w:pStyle w:val="24"/>
        <w:spacing w:before="143" w:beforeLines="50" w:beforeAutospacing="0" w:after="143" w:afterLines="50" w:line="360" w:lineRule="auto"/>
        <w:ind w:firstLine="496"/>
        <w:rPr>
          <w:rFonts w:hint="eastAsia" w:ascii="宋体" w:hAnsi="宋体"/>
          <w:color w:val="auto"/>
          <w:highlight w:val="none"/>
        </w:rPr>
      </w:pPr>
      <w:bookmarkStart w:id="123" w:name="_Toc412808049"/>
      <w:bookmarkStart w:id="124" w:name="_Toc396917850"/>
      <w:r>
        <w:rPr>
          <w:rFonts w:hint="eastAsia" w:ascii="宋体" w:hAnsi="宋体"/>
          <w:color w:val="auto"/>
          <w:szCs w:val="22"/>
          <w:highlight w:val="none"/>
        </w:rPr>
        <w:t>指建（构）筑物施工中为了将施工物料、机具、人工等自地面运送至所需高度或自其它高度运送至地面而发生的费用，该费用综合考虑运输方式、运输途径、运输路线等，包括塔吊及其基础、塔吊与墙体等建（构）筑物间的拉结连接、吊机行走线路、卷扬机、外用电梯及配合机具费用和其它运输装置等。该费用合价包干</w:t>
      </w:r>
      <w:r>
        <w:rPr>
          <w:rFonts w:hint="eastAsia" w:ascii="宋体" w:hAnsi="宋体"/>
          <w:color w:val="auto"/>
          <w:highlight w:val="none"/>
        </w:rPr>
        <w:t>，除合同另有约定外，结算时不作调整。</w:t>
      </w:r>
    </w:p>
    <w:p w14:paraId="428CA98C">
      <w:pPr>
        <w:pStyle w:val="24"/>
        <w:spacing w:before="143" w:beforeLines="50" w:beforeAutospacing="0" w:after="143" w:afterLines="50" w:line="360" w:lineRule="auto"/>
        <w:ind w:left="459" w:firstLine="496" w:firstLineChars="0"/>
        <w:outlineLvl w:val="4"/>
        <w:rPr>
          <w:rFonts w:hint="eastAsia" w:ascii="宋体" w:hAnsi="Times New Roman"/>
          <w:color w:val="auto"/>
          <w:highlight w:val="none"/>
        </w:rPr>
      </w:pPr>
      <w:bookmarkStart w:id="125" w:name="_Toc9115"/>
      <w:bookmarkStart w:id="126" w:name="_Toc31875"/>
      <w:bookmarkStart w:id="127" w:name="_Toc30878"/>
      <w:bookmarkStart w:id="128" w:name="_Toc22140"/>
      <w:bookmarkStart w:id="129" w:name="_Toc3369"/>
      <w:bookmarkStart w:id="130" w:name="_Toc32500"/>
      <w:bookmarkStart w:id="131" w:name="_Toc16482"/>
      <w:bookmarkStart w:id="132" w:name="_Toc21662"/>
      <w:r>
        <w:rPr>
          <w:rFonts w:hint="eastAsia" w:ascii="宋体" w:hAnsi="Times New Roman"/>
          <w:color w:val="auto"/>
          <w:highlight w:val="none"/>
          <w:lang w:val="en-US" w:eastAsia="zh-CN"/>
        </w:rPr>
        <w:t>5</w:t>
      </w:r>
      <w:r>
        <w:rPr>
          <w:rFonts w:hint="eastAsia" w:ascii="宋体" w:hAnsi="Times New Roman"/>
          <w:color w:val="auto"/>
          <w:highlight w:val="none"/>
        </w:rPr>
        <w:t>、高层建筑增加费（机电安装工程）</w:t>
      </w:r>
      <w:bookmarkEnd w:id="125"/>
      <w:bookmarkEnd w:id="126"/>
      <w:bookmarkEnd w:id="127"/>
      <w:bookmarkEnd w:id="128"/>
      <w:bookmarkEnd w:id="129"/>
      <w:bookmarkEnd w:id="130"/>
      <w:bookmarkEnd w:id="131"/>
      <w:bookmarkEnd w:id="132"/>
    </w:p>
    <w:p w14:paraId="5B5EFC56">
      <w:pPr>
        <w:pStyle w:val="24"/>
        <w:spacing w:before="143" w:beforeLines="50" w:beforeAutospacing="0" w:after="143" w:afterLines="50" w:line="360" w:lineRule="auto"/>
        <w:ind w:firstLine="496"/>
        <w:rPr>
          <w:rFonts w:hint="eastAsia" w:ascii="宋体" w:hAnsi="宋体"/>
          <w:color w:val="auto"/>
          <w:szCs w:val="22"/>
          <w:highlight w:val="none"/>
        </w:rPr>
      </w:pPr>
      <w:r>
        <w:rPr>
          <w:rFonts w:hint="eastAsia" w:ascii="宋体" w:hAnsi="宋体"/>
          <w:color w:val="auto"/>
          <w:szCs w:val="22"/>
          <w:highlight w:val="none"/>
        </w:rPr>
        <w:t>指高度在20m以上的工业与民用建筑，人工、机具降效、材料垂直运输等增加的相关费用。该费用属合价包干项目，除合同另有约定外，结算时不作调整。</w:t>
      </w:r>
    </w:p>
    <w:bookmarkEnd w:id="123"/>
    <w:bookmarkEnd w:id="124"/>
    <w:p w14:paraId="09576AC3">
      <w:pPr>
        <w:pStyle w:val="24"/>
        <w:spacing w:before="143" w:beforeLines="50" w:beforeAutospacing="0" w:after="143" w:afterLines="50" w:line="360" w:lineRule="auto"/>
        <w:ind w:left="459" w:firstLine="496" w:firstLineChars="0"/>
        <w:outlineLvl w:val="4"/>
        <w:rPr>
          <w:rFonts w:ascii="宋体"/>
          <w:color w:val="auto"/>
          <w:highlight w:val="none"/>
        </w:rPr>
      </w:pPr>
      <w:bookmarkStart w:id="133" w:name="_Toc529298709"/>
      <w:bookmarkStart w:id="134" w:name="_Toc18249"/>
      <w:bookmarkStart w:id="135" w:name="_Toc21056"/>
      <w:bookmarkStart w:id="136" w:name="_Toc7681"/>
      <w:bookmarkStart w:id="137" w:name="_Toc396917847"/>
      <w:bookmarkStart w:id="138" w:name="_Toc9182"/>
      <w:bookmarkStart w:id="139" w:name="_Toc29678"/>
      <w:bookmarkStart w:id="140" w:name="_Toc8434"/>
      <w:bookmarkStart w:id="141" w:name="_Toc1264"/>
      <w:bookmarkStart w:id="142" w:name="_Toc4924"/>
      <w:bookmarkStart w:id="143" w:name="_Toc15910"/>
      <w:bookmarkStart w:id="144" w:name="_Toc9894"/>
      <w:bookmarkStart w:id="145" w:name="_Toc11778"/>
      <w:bookmarkStart w:id="146" w:name="_Toc505776025"/>
      <w:bookmarkStart w:id="147" w:name="_Toc2366"/>
      <w:bookmarkStart w:id="148" w:name="_Toc412808045"/>
      <w:bookmarkStart w:id="149" w:name="_Toc3940"/>
      <w:r>
        <w:rPr>
          <w:rFonts w:hint="eastAsia" w:ascii="宋体"/>
          <w:color w:val="auto"/>
          <w:highlight w:val="none"/>
          <w:lang w:val="en-US" w:eastAsia="zh-CN"/>
        </w:rPr>
        <w:t>6</w:t>
      </w:r>
      <w:r>
        <w:rPr>
          <w:rFonts w:ascii="宋体"/>
          <w:color w:val="auto"/>
          <w:highlight w:val="none"/>
        </w:rPr>
        <w:t>、</w:t>
      </w:r>
      <w:r>
        <w:rPr>
          <w:rFonts w:hint="eastAsia" w:ascii="宋体" w:hAnsi="宋体"/>
          <w:color w:val="auto"/>
          <w:highlight w:val="none"/>
        </w:rPr>
        <w:t>为配合第三方检测所发生的费用</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496D9A8">
      <w:pPr>
        <w:pStyle w:val="24"/>
        <w:spacing w:before="143" w:beforeLines="50" w:beforeAutospacing="0" w:after="143" w:afterLines="50" w:line="360" w:lineRule="auto"/>
        <w:ind w:firstLine="496"/>
        <w:rPr>
          <w:rFonts w:ascii="宋体" w:hAnsi="宋体"/>
          <w:strike/>
          <w:color w:val="auto"/>
          <w:highlight w:val="none"/>
        </w:rPr>
      </w:pPr>
      <w:r>
        <w:rPr>
          <w:rFonts w:hint="eastAsia" w:ascii="宋体" w:hAnsi="宋体"/>
          <w:color w:val="auto"/>
          <w:szCs w:val="22"/>
          <w:highlight w:val="none"/>
        </w:rPr>
        <w:t>指承包人配合发包人委托第三方检测所发生的人工、材料（如送检材料样品）、机械及配合费用及对检测造成的孔洞等由承包人按技术要求采用合格材料修补恢复的费用。该费用合价包干，除合同另有约定外，结算时不作调整。发包人委托第三方检测费用不含在投标报价内，其检测费用由发包人另行支付给第三方检测单位。由发包人委托第三方检测的项目，如果检测一次或数次不合格，其检测费用由承包人承担，发包人只承担检测合格时的检测费用，检测不合格的工程项目承包人须免费返工到合格为止。该费用统一在</w:t>
      </w:r>
      <w:r>
        <w:rPr>
          <w:rFonts w:hint="eastAsia" w:ascii="宋体" w:hAnsi="宋体"/>
          <w:color w:val="auto"/>
          <w:highlight w:val="none"/>
        </w:rPr>
        <w:t>“广州市残疾人托养中心(星安居)项目部分区域装修工程-标识工程”的措施其他项目</w:t>
      </w:r>
      <w:r>
        <w:rPr>
          <w:rFonts w:hint="eastAsia" w:ascii="宋体" w:hAnsi="宋体"/>
          <w:color w:val="auto"/>
          <w:szCs w:val="22"/>
          <w:highlight w:val="none"/>
        </w:rPr>
        <w:t>中填报。</w:t>
      </w:r>
    </w:p>
    <w:p w14:paraId="53EF7C62">
      <w:pPr>
        <w:pStyle w:val="24"/>
        <w:spacing w:before="143" w:beforeLines="50" w:beforeAutospacing="0" w:after="143" w:afterLines="50" w:line="360" w:lineRule="auto"/>
        <w:ind w:left="459" w:firstLine="496" w:firstLineChars="0"/>
        <w:outlineLvl w:val="4"/>
        <w:rPr>
          <w:rFonts w:ascii="宋体"/>
          <w:color w:val="auto"/>
          <w:highlight w:val="none"/>
        </w:rPr>
      </w:pPr>
      <w:bookmarkStart w:id="150" w:name="_Toc9071"/>
      <w:bookmarkStart w:id="151" w:name="_Toc13844"/>
      <w:bookmarkStart w:id="152" w:name="_Toc21180"/>
      <w:bookmarkStart w:id="153" w:name="_Toc6302"/>
      <w:bookmarkStart w:id="154" w:name="_Toc10780"/>
      <w:bookmarkStart w:id="155" w:name="_Toc18723"/>
      <w:bookmarkStart w:id="156" w:name="_Toc20502"/>
      <w:bookmarkStart w:id="157" w:name="_Toc22295"/>
      <w:r>
        <w:rPr>
          <w:rFonts w:hint="eastAsia" w:ascii="宋体"/>
          <w:color w:val="auto"/>
          <w:highlight w:val="none"/>
          <w:lang w:val="en-US" w:eastAsia="zh-CN"/>
        </w:rPr>
        <w:t>7</w:t>
      </w:r>
      <w:r>
        <w:rPr>
          <w:rFonts w:ascii="宋体"/>
          <w:color w:val="auto"/>
          <w:highlight w:val="none"/>
        </w:rPr>
        <w:t>、</w:t>
      </w:r>
      <w:r>
        <w:rPr>
          <w:rFonts w:hint="eastAsia" w:ascii="宋体" w:hAnsi="宋体"/>
          <w:color w:val="auto"/>
          <w:highlight w:val="none"/>
        </w:rPr>
        <w:t>已完工建筑及设备保护费用</w:t>
      </w:r>
      <w:bookmarkEnd w:id="150"/>
      <w:bookmarkEnd w:id="151"/>
      <w:bookmarkEnd w:id="152"/>
      <w:bookmarkEnd w:id="153"/>
      <w:bookmarkEnd w:id="154"/>
      <w:bookmarkEnd w:id="155"/>
      <w:bookmarkEnd w:id="156"/>
      <w:bookmarkEnd w:id="157"/>
    </w:p>
    <w:p w14:paraId="31E8FB02">
      <w:pPr>
        <w:pStyle w:val="24"/>
        <w:spacing w:before="143" w:beforeLines="50" w:beforeAutospacing="0" w:after="143" w:afterLines="50" w:line="360" w:lineRule="auto"/>
        <w:ind w:firstLine="496"/>
        <w:rPr>
          <w:rFonts w:ascii="宋体" w:hAnsi="宋体"/>
          <w:color w:val="auto"/>
          <w:szCs w:val="22"/>
          <w:highlight w:val="none"/>
        </w:rPr>
      </w:pPr>
      <w:r>
        <w:rPr>
          <w:rFonts w:hint="eastAsia" w:ascii="宋体" w:hAnsi="宋体"/>
          <w:color w:val="auto"/>
          <w:szCs w:val="22"/>
          <w:highlight w:val="none"/>
        </w:rPr>
        <w:t>指承包人在施工过程中需要采取各种安全措施、保护措施对</w:t>
      </w:r>
      <w:r>
        <w:rPr>
          <w:rFonts w:hint="eastAsia" w:ascii="宋体" w:hAnsi="宋体"/>
          <w:color w:val="auto"/>
          <w:szCs w:val="22"/>
          <w:highlight w:val="none"/>
          <w:lang w:val="en-US" w:eastAsia="zh-CN"/>
        </w:rPr>
        <w:t>已完工</w:t>
      </w:r>
      <w:r>
        <w:rPr>
          <w:rFonts w:hint="eastAsia" w:ascii="宋体" w:hAnsi="宋体"/>
          <w:color w:val="auto"/>
          <w:szCs w:val="22"/>
          <w:highlight w:val="none"/>
        </w:rPr>
        <w:t>建筑结构、装饰装修面、设施设备所进行的保护发生的费用。包括但不限于：设置地面保护措施（大堂、走廊、电梯、楼梯、阅览室和各房间的地面保护）；路面保护（如石材路面钢板保护）。该费用属合价包干项目，除合同另有约定外，结算时不作调整。</w:t>
      </w:r>
      <w:r>
        <w:rPr>
          <w:rFonts w:hint="eastAsia" w:ascii="宋体" w:hAnsi="宋体"/>
          <w:color w:val="auto"/>
          <w:highlight w:val="none"/>
        </w:rPr>
        <w:t>该费用统一在“</w:t>
      </w:r>
      <w:r>
        <w:rPr>
          <w:rFonts w:hint="eastAsia" w:ascii="宋体" w:hAnsi="宋体"/>
          <w:color w:val="auto"/>
          <w:szCs w:val="22"/>
          <w:highlight w:val="none"/>
          <w:lang w:eastAsia="zh"/>
        </w:rPr>
        <w:t>广州市残疾人托养中心(星安居)项目部分区域装修工程-托康楼装修工程</w:t>
      </w:r>
      <w:r>
        <w:rPr>
          <w:rFonts w:hint="eastAsia" w:ascii="宋体" w:hAnsi="宋体"/>
          <w:color w:val="auto"/>
          <w:highlight w:val="none"/>
        </w:rPr>
        <w:t>”的措施其他项目</w:t>
      </w:r>
      <w:r>
        <w:rPr>
          <w:rFonts w:hint="eastAsia" w:ascii="宋体" w:hAnsi="宋体"/>
          <w:color w:val="auto"/>
          <w:szCs w:val="22"/>
          <w:highlight w:val="none"/>
        </w:rPr>
        <w:t>中填报。</w:t>
      </w:r>
    </w:p>
    <w:p w14:paraId="4A107C1F">
      <w:pPr>
        <w:pStyle w:val="24"/>
        <w:spacing w:before="143" w:beforeLines="50" w:beforeAutospacing="0" w:after="143" w:afterLines="50" w:line="360" w:lineRule="auto"/>
        <w:ind w:left="459" w:firstLine="496" w:firstLineChars="0"/>
        <w:outlineLvl w:val="4"/>
        <w:rPr>
          <w:rFonts w:hint="eastAsia" w:ascii="宋体" w:hAnsi="宋体"/>
          <w:b w:val="0"/>
          <w:bCs w:val="0"/>
          <w:color w:val="auto"/>
          <w:highlight w:val="none"/>
        </w:rPr>
      </w:pPr>
      <w:bookmarkStart w:id="158" w:name="_Toc26641"/>
      <w:bookmarkStart w:id="159" w:name="_Toc15665"/>
      <w:bookmarkStart w:id="160" w:name="_Toc26324"/>
      <w:bookmarkStart w:id="161" w:name="_Toc8923"/>
      <w:bookmarkStart w:id="162" w:name="_Toc9737"/>
      <w:bookmarkStart w:id="163" w:name="_Toc3167"/>
      <w:bookmarkStart w:id="164" w:name="_Toc21080"/>
      <w:bookmarkStart w:id="165" w:name="_Toc28502"/>
      <w:r>
        <w:rPr>
          <w:rFonts w:hint="eastAsia" w:ascii="宋体" w:hAnsi="宋体"/>
          <w:b w:val="0"/>
          <w:bCs w:val="0"/>
          <w:color w:val="auto"/>
          <w:highlight w:val="none"/>
          <w:lang w:val="en-US" w:eastAsia="zh-CN"/>
        </w:rPr>
        <w:t>8</w:t>
      </w:r>
      <w:r>
        <w:rPr>
          <w:rFonts w:hint="eastAsia" w:ascii="宋体" w:hAnsi="宋体"/>
          <w:b w:val="0"/>
          <w:bCs w:val="0"/>
          <w:color w:val="auto"/>
          <w:highlight w:val="none"/>
        </w:rPr>
        <w:t>、其他措施费用</w:t>
      </w:r>
      <w:bookmarkEnd w:id="158"/>
      <w:bookmarkEnd w:id="159"/>
      <w:bookmarkEnd w:id="160"/>
      <w:bookmarkEnd w:id="161"/>
      <w:bookmarkEnd w:id="162"/>
      <w:bookmarkEnd w:id="163"/>
      <w:bookmarkEnd w:id="164"/>
      <w:bookmarkEnd w:id="165"/>
    </w:p>
    <w:p w14:paraId="01EA9FA1">
      <w:pPr>
        <w:pStyle w:val="26"/>
        <w:spacing w:before="143" w:after="143" w:line="360" w:lineRule="auto"/>
        <w:ind w:firstLine="480"/>
        <w:rPr>
          <w:color w:val="auto"/>
          <w:szCs w:val="24"/>
          <w:highlight w:val="none"/>
        </w:rPr>
      </w:pPr>
      <w:r>
        <w:rPr>
          <w:rFonts w:hint="eastAsia"/>
          <w:color w:val="auto"/>
          <w:szCs w:val="24"/>
          <w:highlight w:val="none"/>
        </w:rPr>
        <w:t>以上措施项目没有体现的，施工中又必须发生或者投标人认为为完成本工程项目将会发生的其他措施费用。工程内容及其报价由投标人自列，并附单价分析。该费用合价包干。</w:t>
      </w:r>
    </w:p>
    <w:p w14:paraId="269AC454">
      <w:pPr>
        <w:pStyle w:val="27"/>
        <w:spacing w:before="143" w:after="143" w:line="360" w:lineRule="auto"/>
        <w:ind w:firstLine="498" w:firstLineChars="200"/>
        <w:rPr>
          <w:color w:val="auto"/>
          <w:highlight w:val="none"/>
        </w:rPr>
      </w:pPr>
      <w:bookmarkStart w:id="166" w:name="_Toc19927"/>
      <w:bookmarkStart w:id="167" w:name="_Toc27498"/>
      <w:bookmarkStart w:id="168" w:name="_Toc11418"/>
      <w:bookmarkStart w:id="169" w:name="_Toc13567"/>
      <w:bookmarkStart w:id="170" w:name="_Toc12205"/>
      <w:bookmarkStart w:id="171" w:name="_Toc32626"/>
      <w:bookmarkStart w:id="172" w:name="_Toc2453"/>
      <w:bookmarkStart w:id="173" w:name="_Toc31531"/>
      <w:bookmarkStart w:id="174" w:name="_Toc23632"/>
      <w:bookmarkStart w:id="175" w:name="_Toc6094"/>
      <w:bookmarkStart w:id="176" w:name="_Toc11917"/>
      <w:r>
        <w:rPr>
          <w:rFonts w:hint="eastAsia"/>
          <w:color w:val="auto"/>
          <w:highlight w:val="none"/>
        </w:rPr>
        <w:t>四、其他项目清单计价说明</w:t>
      </w:r>
      <w:bookmarkEnd w:id="166"/>
      <w:bookmarkEnd w:id="167"/>
      <w:bookmarkEnd w:id="168"/>
      <w:bookmarkEnd w:id="169"/>
      <w:bookmarkEnd w:id="170"/>
      <w:bookmarkEnd w:id="171"/>
      <w:bookmarkEnd w:id="172"/>
      <w:bookmarkEnd w:id="173"/>
      <w:bookmarkEnd w:id="174"/>
      <w:bookmarkEnd w:id="175"/>
      <w:bookmarkEnd w:id="176"/>
    </w:p>
    <w:p w14:paraId="55B05FC5">
      <w:pPr>
        <w:pStyle w:val="26"/>
        <w:spacing w:before="143" w:after="143" w:line="360" w:lineRule="auto"/>
        <w:ind w:firstLine="480"/>
        <w:rPr>
          <w:color w:val="auto"/>
          <w:szCs w:val="24"/>
          <w:highlight w:val="none"/>
        </w:rPr>
      </w:pPr>
      <w:r>
        <w:rPr>
          <w:rFonts w:hint="eastAsia"/>
          <w:color w:val="auto"/>
          <w:szCs w:val="24"/>
          <w:highlight w:val="none"/>
        </w:rPr>
        <w:t>其他项目清单报价除合同约定和政府针对本项目的文件规定可以调整的以外，合同执行期内固定不变。</w:t>
      </w:r>
    </w:p>
    <w:p w14:paraId="5CA0C5F8">
      <w:pPr>
        <w:pStyle w:val="24"/>
        <w:spacing w:before="143" w:beforeLines="50" w:beforeAutospacing="0" w:after="143" w:afterLines="50" w:line="360" w:lineRule="auto"/>
        <w:ind w:firstLine="496" w:firstLineChars="0"/>
        <w:outlineLvl w:val="4"/>
        <w:rPr>
          <w:rFonts w:ascii="宋体"/>
          <w:color w:val="auto"/>
          <w:highlight w:val="none"/>
        </w:rPr>
      </w:pPr>
      <w:bookmarkStart w:id="177" w:name="_Toc16970"/>
      <w:bookmarkStart w:id="178" w:name="_Toc4274"/>
      <w:bookmarkStart w:id="179" w:name="_Toc505776042"/>
      <w:bookmarkStart w:id="180" w:name="_Toc21216"/>
      <w:bookmarkStart w:id="181" w:name="_Toc13827"/>
      <w:bookmarkStart w:id="182" w:name="_Toc24517"/>
      <w:bookmarkStart w:id="183" w:name="_Toc2225"/>
      <w:bookmarkStart w:id="184" w:name="_Toc21858"/>
      <w:bookmarkStart w:id="185" w:name="_Toc12328"/>
      <w:bookmarkStart w:id="186" w:name="_Toc29877"/>
      <w:bookmarkStart w:id="187" w:name="_Toc412808059"/>
      <w:bookmarkStart w:id="188" w:name="_Toc1148"/>
      <w:bookmarkStart w:id="189" w:name="_Toc20207"/>
      <w:bookmarkStart w:id="190" w:name="_Toc24237"/>
      <w:bookmarkStart w:id="191" w:name="_Toc14003"/>
      <w:bookmarkStart w:id="192" w:name="_Toc24803"/>
      <w:bookmarkStart w:id="193" w:name="_Toc529298714"/>
      <w:bookmarkStart w:id="194" w:name="_Toc15844"/>
      <w:bookmarkStart w:id="195" w:name="_Toc396917858"/>
      <w:r>
        <w:rPr>
          <w:rFonts w:ascii="宋体"/>
          <w:color w:val="auto"/>
          <w:highlight w:val="none"/>
        </w:rPr>
        <w:t>1、</w:t>
      </w:r>
      <w:r>
        <w:rPr>
          <w:rFonts w:hint="eastAsia" w:ascii="宋体" w:hAnsi="宋体"/>
          <w:color w:val="auto"/>
          <w:highlight w:val="none"/>
        </w:rPr>
        <w:t>暂列金额</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DB08C05">
      <w:pPr>
        <w:pStyle w:val="26"/>
        <w:spacing w:before="143" w:after="143" w:line="360" w:lineRule="auto"/>
        <w:ind w:firstLine="480"/>
        <w:rPr>
          <w:color w:val="auto"/>
          <w:szCs w:val="24"/>
          <w:highlight w:val="none"/>
        </w:rPr>
      </w:pPr>
      <w:r>
        <w:rPr>
          <w:rFonts w:hint="eastAsia"/>
          <w:color w:val="auto"/>
          <w:szCs w:val="24"/>
          <w:highlight w:val="none"/>
        </w:rPr>
        <w:t>指招标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暂列金额在投标报价时，以招标人正式公布的固定金额进行填报，计量支付时，以合同计列的暂列金额为限额，按合同约定和承包人实际完成的工作量依据合同变更计价原则计量支付，未使用部分仍归发包人所有。</w:t>
      </w:r>
    </w:p>
    <w:p w14:paraId="614BF70B">
      <w:pPr>
        <w:pStyle w:val="24"/>
        <w:spacing w:before="143" w:beforeLines="50" w:beforeAutospacing="0" w:after="143" w:afterLines="50" w:line="360" w:lineRule="auto"/>
        <w:ind w:firstLine="496" w:firstLineChars="0"/>
        <w:outlineLvl w:val="4"/>
        <w:rPr>
          <w:rFonts w:ascii="宋体"/>
          <w:color w:val="auto"/>
          <w:highlight w:val="none"/>
        </w:rPr>
      </w:pPr>
      <w:bookmarkStart w:id="196" w:name="_Toc7609"/>
      <w:bookmarkStart w:id="197" w:name="_Toc28543"/>
      <w:bookmarkStart w:id="198" w:name="_Toc9408"/>
      <w:bookmarkStart w:id="199" w:name="_Toc24801"/>
      <w:bookmarkStart w:id="200" w:name="_Toc30197"/>
      <w:bookmarkStart w:id="201" w:name="_Toc15412"/>
      <w:bookmarkStart w:id="202" w:name="_Toc396917860"/>
      <w:bookmarkStart w:id="203" w:name="_Toc12540"/>
      <w:bookmarkStart w:id="204" w:name="_Toc22082"/>
      <w:bookmarkStart w:id="205" w:name="_Toc1085"/>
      <w:bookmarkStart w:id="206" w:name="_Toc24556"/>
      <w:bookmarkStart w:id="207" w:name="_Toc10639"/>
      <w:bookmarkStart w:id="208" w:name="_Toc3410"/>
      <w:bookmarkStart w:id="209" w:name="_Toc505776043"/>
      <w:bookmarkStart w:id="210" w:name="_Toc532"/>
      <w:bookmarkStart w:id="211" w:name="_Toc412808061"/>
      <w:bookmarkStart w:id="212" w:name="_Toc529298715"/>
      <w:bookmarkStart w:id="213" w:name="_Toc18807"/>
      <w:bookmarkStart w:id="214" w:name="_Toc31000"/>
      <w:r>
        <w:rPr>
          <w:rFonts w:ascii="宋体"/>
          <w:color w:val="auto"/>
          <w:highlight w:val="none"/>
        </w:rPr>
        <w:t>2、</w:t>
      </w:r>
      <w:r>
        <w:rPr>
          <w:rFonts w:hint="eastAsia" w:ascii="宋体" w:hAnsi="宋体"/>
          <w:color w:val="auto"/>
          <w:highlight w:val="none"/>
        </w:rPr>
        <w:t>预算包干费</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6594C909">
      <w:pPr>
        <w:pStyle w:val="26"/>
        <w:spacing w:before="143" w:after="143" w:line="360" w:lineRule="auto"/>
        <w:ind w:firstLine="480"/>
        <w:rPr>
          <w:color w:val="auto"/>
          <w:szCs w:val="24"/>
          <w:highlight w:val="none"/>
        </w:rPr>
      </w:pPr>
      <w:r>
        <w:rPr>
          <w:rFonts w:hint="eastAsia"/>
          <w:color w:val="auto"/>
          <w:szCs w:val="24"/>
          <w:highlight w:val="none"/>
        </w:rPr>
        <w:t>包括以下内容：施工雨（污）水的排除；因地形、施工组织影响等因素造成的二次运输（包括场内外料具的多次搬迁）；</w:t>
      </w:r>
      <w:r>
        <w:rPr>
          <w:color w:val="auto"/>
          <w:szCs w:val="24"/>
          <w:highlight w:val="none"/>
        </w:rPr>
        <w:t>20m</w:t>
      </w:r>
      <w:r>
        <w:rPr>
          <w:rFonts w:hint="eastAsia"/>
          <w:color w:val="auto"/>
          <w:szCs w:val="24"/>
          <w:highlight w:val="none"/>
        </w:rPr>
        <w:t>高以下的工程用水加压措施；场地清理及其垃圾外运；施工材料堆放场地的整理；机电安装后的补洞（槽）工料费；施工材料堆放场地租赁费（含办理用地手续费的费用）；补洞工料费；工程半成品、成品保护费；施工中的临时停水停电；日间施工照明增加费；基础埋深</w:t>
      </w:r>
      <w:r>
        <w:rPr>
          <w:color w:val="auto"/>
          <w:szCs w:val="24"/>
          <w:highlight w:val="none"/>
        </w:rPr>
        <w:t>2m</w:t>
      </w:r>
      <w:r>
        <w:rPr>
          <w:rFonts w:hint="eastAsia"/>
          <w:color w:val="auto"/>
          <w:szCs w:val="24"/>
          <w:highlight w:val="none"/>
        </w:rPr>
        <w:t>以内挖土方的塌方。场地清理及垃圾外运项若承包人未按规定及时进行清运则由发包人另行委托队伍进行清运，实际清运费用由承包人承担。若专业工程承包人产生的垃圾与总承包管理单位产生的垃圾责任划分不清且不按规定及时进行清运则由发包人另行委托队伍进行清运，实际清运费用按专业工程承包单位与总承包单位各自合同造价占总合同造价的比例分摊。补洞工料费（含各时期各类设计变更引起的补洞工料）指孔洞的修补、塞洞补洞、塞缝和恢复费用等，补洞工作（含机电安装后的补洞）指孔洞的修补、塞洞补洞、塞缝和恢复等。预算包干费属合价包干项目，除合同另有约定外，结算时不作调整。</w:t>
      </w:r>
    </w:p>
    <w:p w14:paraId="5EF7CA1B">
      <w:pPr>
        <w:pStyle w:val="24"/>
        <w:spacing w:before="143" w:beforeLines="50" w:beforeAutospacing="0" w:after="143" w:afterLines="50" w:line="360" w:lineRule="auto"/>
        <w:ind w:firstLine="496" w:firstLineChars="0"/>
        <w:outlineLvl w:val="4"/>
        <w:rPr>
          <w:rFonts w:ascii="宋体"/>
          <w:color w:val="auto"/>
          <w:highlight w:val="none"/>
        </w:rPr>
      </w:pPr>
      <w:bookmarkStart w:id="215" w:name="_Toc355"/>
      <w:bookmarkStart w:id="216" w:name="_Toc19478"/>
      <w:bookmarkStart w:id="217" w:name="_Toc21436"/>
      <w:bookmarkStart w:id="218" w:name="_Toc9187"/>
      <w:bookmarkStart w:id="219" w:name="_Toc13249"/>
      <w:bookmarkStart w:id="220" w:name="_Toc13072"/>
      <w:bookmarkStart w:id="221" w:name="_Toc4535"/>
      <w:bookmarkStart w:id="222" w:name="_Toc29757"/>
      <w:r>
        <w:rPr>
          <w:rFonts w:hint="eastAsia" w:ascii="宋体"/>
          <w:color w:val="auto"/>
          <w:highlight w:val="none"/>
          <w:lang w:eastAsia="zh"/>
        </w:rPr>
        <w:t>3</w:t>
      </w:r>
      <w:r>
        <w:rPr>
          <w:rFonts w:ascii="宋体"/>
          <w:color w:val="auto"/>
          <w:highlight w:val="none"/>
        </w:rPr>
        <w:t>、</w:t>
      </w:r>
      <w:r>
        <w:rPr>
          <w:rFonts w:hint="eastAsia" w:ascii="宋体" w:hAnsi="宋体"/>
          <w:color w:val="auto"/>
          <w:highlight w:val="none"/>
        </w:rPr>
        <w:t>工程保险费</w:t>
      </w:r>
      <w:bookmarkEnd w:id="215"/>
      <w:bookmarkEnd w:id="216"/>
      <w:bookmarkEnd w:id="217"/>
      <w:bookmarkEnd w:id="218"/>
      <w:bookmarkEnd w:id="219"/>
      <w:bookmarkEnd w:id="220"/>
      <w:bookmarkEnd w:id="221"/>
      <w:bookmarkEnd w:id="222"/>
    </w:p>
    <w:p w14:paraId="54E6C594">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是指发包人与承包人在本项目中约定，由发包人委托承包人</w:t>
      </w:r>
      <w:r>
        <w:rPr>
          <w:rFonts w:hint="eastAsia" w:ascii="宋体" w:hAnsi="宋体" w:cs="宋体"/>
          <w:color w:val="auto"/>
          <w:highlight w:val="none"/>
          <w:u w:val="single"/>
        </w:rPr>
        <w:t>为本项目各工程</w:t>
      </w:r>
      <w:r>
        <w:rPr>
          <w:rFonts w:hint="eastAsia" w:ascii="宋体" w:hAnsi="宋体" w:cs="宋体"/>
          <w:color w:val="auto"/>
          <w:highlight w:val="none"/>
        </w:rPr>
        <w:t>购买的</w:t>
      </w:r>
      <w:r>
        <w:rPr>
          <w:rFonts w:hint="eastAsia" w:ascii="宋体" w:hAnsi="宋体" w:cs="宋体"/>
          <w:color w:val="auto"/>
          <w:highlight w:val="none"/>
          <w:u w:val="single"/>
        </w:rPr>
        <w:t>建筑（安装）工程一切险、安全生产责任险中的第三者人身伤亡和财产损失、赔偿以及因此造成的事故抢险救援、医疗救护、事故鉴定、法律服务和诉讼等相关保险、及其他保险</w:t>
      </w:r>
      <w:r>
        <w:rPr>
          <w:rFonts w:hint="eastAsia" w:ascii="宋体" w:hAnsi="宋体" w:cs="宋体"/>
          <w:color w:val="auto"/>
          <w:highlight w:val="none"/>
        </w:rPr>
        <w:t>（为运至施工场地内用于工程的材料和待安装工程设备办理），不包含承包人为转移自身安全责任风险所发生的费用。该费用在投标报价时，以招标人正式公布的固定金额进行填报，计量支付、结算时，以合同计列的工程保险费为限额，按实际保费单据计量支付、结算。该费用统一在“</w:t>
      </w:r>
      <w:r>
        <w:rPr>
          <w:rFonts w:hint="eastAsia" w:ascii="宋体" w:hAnsi="宋体" w:cs="宋体"/>
          <w:color w:val="auto"/>
          <w:highlight w:val="none"/>
          <w:lang w:eastAsia="zh"/>
        </w:rPr>
        <w:t>广州市残疾人托养中心(星安居)项目部分区域装修工程-标识工程</w:t>
      </w:r>
      <w:r>
        <w:rPr>
          <w:rFonts w:hint="eastAsia" w:ascii="宋体" w:hAnsi="宋体" w:cs="宋体"/>
          <w:color w:val="auto"/>
          <w:highlight w:val="none"/>
        </w:rPr>
        <w:t>”的其他项目清单中填报。</w:t>
      </w:r>
    </w:p>
    <w:p w14:paraId="2E60B6C2">
      <w:pPr>
        <w:pStyle w:val="24"/>
        <w:spacing w:before="143" w:beforeLines="50" w:beforeAutospacing="0" w:after="143" w:afterLines="50" w:line="360" w:lineRule="auto"/>
        <w:ind w:firstLine="496"/>
        <w:rPr>
          <w:color w:val="auto"/>
          <w:highlight w:val="none"/>
        </w:rPr>
      </w:pPr>
      <w:r>
        <w:rPr>
          <w:rFonts w:ascii="宋体" w:hAnsi="宋体" w:cs="宋体"/>
          <w:color w:val="auto"/>
          <w:highlight w:val="none"/>
        </w:rPr>
        <w:t>属于承包人为转移自身安全责任风险所发生的费用</w:t>
      </w:r>
      <w:r>
        <w:rPr>
          <w:rFonts w:hint="eastAsia" w:ascii="宋体" w:hAnsi="宋体" w:cs="宋体"/>
          <w:color w:val="auto"/>
          <w:highlight w:val="none"/>
        </w:rPr>
        <w:t>在投标报价中综合考虑。</w:t>
      </w:r>
    </w:p>
    <w:p w14:paraId="699B606A">
      <w:pPr>
        <w:pStyle w:val="24"/>
        <w:spacing w:before="143" w:beforeLines="50" w:beforeAutospacing="0" w:after="143" w:afterLines="50" w:line="360" w:lineRule="auto"/>
        <w:ind w:left="18" w:firstLine="560" w:firstLineChars="226"/>
        <w:outlineLvl w:val="4"/>
        <w:rPr>
          <w:rFonts w:ascii="宋体" w:hAnsi="宋体"/>
          <w:color w:val="auto"/>
          <w:highlight w:val="none"/>
        </w:rPr>
      </w:pPr>
      <w:r>
        <w:rPr>
          <w:rFonts w:hint="eastAsia" w:ascii="宋体" w:hAnsi="宋体"/>
          <w:color w:val="auto"/>
          <w:highlight w:val="none"/>
          <w:lang w:val="en-US" w:eastAsia="zh-CN"/>
        </w:rPr>
        <w:t>4</w:t>
      </w:r>
      <w:r>
        <w:rPr>
          <w:rFonts w:ascii="宋体" w:hAnsi="宋体"/>
          <w:color w:val="auto"/>
          <w:highlight w:val="none"/>
        </w:rPr>
        <w:t>、</w:t>
      </w:r>
      <w:r>
        <w:rPr>
          <w:rFonts w:hint="eastAsia" w:ascii="宋体" w:hAnsi="宋体"/>
          <w:color w:val="auto"/>
          <w:highlight w:val="none"/>
        </w:rPr>
        <w:t>深度开荒保洁费用</w:t>
      </w:r>
    </w:p>
    <w:p w14:paraId="2E87B91C">
      <w:pPr>
        <w:pStyle w:val="26"/>
        <w:spacing w:before="143" w:after="143" w:line="360" w:lineRule="auto"/>
        <w:ind w:firstLine="480"/>
        <w:rPr>
          <w:rFonts w:ascii="宋体"/>
          <w:color w:val="auto"/>
          <w:szCs w:val="24"/>
          <w:highlight w:val="none"/>
        </w:rPr>
      </w:pPr>
      <w:r>
        <w:rPr>
          <w:rFonts w:hint="eastAsia" w:ascii="宋体" w:hAnsi="宋体" w:cs="宋体"/>
          <w:color w:val="auto"/>
          <w:szCs w:val="24"/>
          <w:highlight w:val="none"/>
        </w:rPr>
        <w:t>是指预算包干费之外，由承包人负责委托具有专业资质的保洁公司进行深度开荒保洁的费用。保洁公司负责天面、地面、墙面、门窗、家具等的清洁并对外墙进行一次保洁（已单独开列清单项目除外）。该费用统一在“</w:t>
      </w:r>
      <w:r>
        <w:rPr>
          <w:rFonts w:hint="eastAsia" w:ascii="宋体" w:hAnsi="宋体" w:cs="宋体"/>
          <w:color w:val="auto"/>
          <w:szCs w:val="24"/>
          <w:highlight w:val="none"/>
          <w:lang w:eastAsia="zh"/>
        </w:rPr>
        <w:t>广州市残疾人托养中心(星安居)项目部分区域装修工程-标识工程</w:t>
      </w:r>
      <w:r>
        <w:rPr>
          <w:rFonts w:hint="eastAsia" w:ascii="宋体" w:hAnsi="宋体" w:cs="宋体"/>
          <w:color w:val="auto"/>
          <w:szCs w:val="24"/>
          <w:highlight w:val="none"/>
        </w:rPr>
        <w:t>”的其他项目清单中填报。</w:t>
      </w:r>
    </w:p>
    <w:p w14:paraId="002E688D">
      <w:pPr>
        <w:pStyle w:val="24"/>
        <w:spacing w:before="143" w:beforeLines="50" w:beforeAutospacing="0" w:after="143" w:afterLines="50" w:line="360" w:lineRule="auto"/>
        <w:ind w:left="420" w:leftChars="200" w:firstLine="248" w:firstLineChars="100"/>
        <w:outlineLvl w:val="4"/>
        <w:rPr>
          <w:rFonts w:ascii="宋体"/>
          <w:color w:val="auto"/>
          <w:highlight w:val="none"/>
        </w:rPr>
      </w:pPr>
      <w:bookmarkStart w:id="223" w:name="_Toc4191"/>
      <w:bookmarkStart w:id="224" w:name="_Toc16654"/>
      <w:bookmarkStart w:id="225" w:name="_Toc13987"/>
      <w:bookmarkStart w:id="226" w:name="_Toc19877"/>
      <w:bookmarkStart w:id="227" w:name="_Toc19951"/>
      <w:bookmarkStart w:id="228" w:name="_Toc19089"/>
      <w:bookmarkStart w:id="229" w:name="_Toc28739"/>
      <w:bookmarkStart w:id="230" w:name="_Toc25333"/>
      <w:r>
        <w:rPr>
          <w:rFonts w:hint="eastAsia" w:ascii="宋体" w:hAnsi="宋体"/>
          <w:color w:val="auto"/>
          <w:highlight w:val="none"/>
          <w:lang w:val="en-US" w:eastAsia="zh-CN"/>
        </w:rPr>
        <w:t>5</w:t>
      </w:r>
      <w:r>
        <w:rPr>
          <w:rFonts w:hint="eastAsia" w:ascii="宋体" w:hAnsi="宋体"/>
          <w:color w:val="auto"/>
          <w:highlight w:val="none"/>
        </w:rPr>
        <w:t>、其他费用</w:t>
      </w:r>
      <w:bookmarkEnd w:id="223"/>
      <w:bookmarkEnd w:id="224"/>
      <w:bookmarkEnd w:id="225"/>
      <w:bookmarkEnd w:id="226"/>
      <w:bookmarkEnd w:id="227"/>
      <w:bookmarkEnd w:id="228"/>
      <w:bookmarkEnd w:id="229"/>
      <w:bookmarkEnd w:id="230"/>
    </w:p>
    <w:p w14:paraId="61870AAF">
      <w:pPr>
        <w:pStyle w:val="24"/>
        <w:spacing w:before="143" w:beforeLines="50" w:beforeAutospacing="0" w:after="143" w:afterLines="50" w:line="360" w:lineRule="auto"/>
        <w:ind w:firstLine="496"/>
        <w:rPr>
          <w:color w:val="auto"/>
          <w:highlight w:val="none"/>
        </w:rPr>
      </w:pPr>
      <w:r>
        <w:rPr>
          <w:rFonts w:hint="eastAsia"/>
          <w:color w:val="auto"/>
          <w:highlight w:val="none"/>
        </w:rPr>
        <w:t>以上其他项目没有体现的，施工中又必须发生或者投标人认为为完成本工程项目将会发生的其他项目费用。工程内容及其报价由投标人自列，并附单价分析。该费用属合价包干项目，除合同另有约定外，结算时不作调整。</w:t>
      </w:r>
    </w:p>
    <w:p w14:paraId="6A939EE0">
      <w:pPr>
        <w:pStyle w:val="27"/>
        <w:spacing w:before="143" w:after="143" w:line="360" w:lineRule="auto"/>
        <w:ind w:firstLine="249" w:firstLineChars="100"/>
        <w:rPr>
          <w:color w:val="auto"/>
          <w:highlight w:val="none"/>
        </w:rPr>
      </w:pPr>
      <w:bookmarkStart w:id="231" w:name="_Toc26007"/>
      <w:bookmarkStart w:id="232" w:name="_Toc30992"/>
      <w:bookmarkStart w:id="233" w:name="_Toc32633"/>
      <w:bookmarkStart w:id="234" w:name="_Toc571"/>
      <w:bookmarkStart w:id="235" w:name="_Toc17177"/>
      <w:bookmarkStart w:id="236" w:name="_Toc10439"/>
      <w:bookmarkStart w:id="237" w:name="_Toc11043"/>
      <w:bookmarkStart w:id="238" w:name="_Toc11794"/>
      <w:bookmarkStart w:id="239" w:name="_Toc7815"/>
      <w:bookmarkStart w:id="240" w:name="_Toc17323"/>
      <w:bookmarkStart w:id="241" w:name="_Toc17768"/>
      <w:r>
        <w:rPr>
          <w:rFonts w:hint="eastAsia"/>
          <w:color w:val="auto"/>
          <w:highlight w:val="none"/>
        </w:rPr>
        <w:t>五</w:t>
      </w:r>
      <w:bookmarkStart w:id="242" w:name="_Toc396917863"/>
      <w:bookmarkStart w:id="243" w:name="_Toc412808064"/>
      <w:bookmarkStart w:id="244" w:name="_Toc23548"/>
      <w:bookmarkStart w:id="245" w:name="_Toc3960_WPSOffice_Level3"/>
      <w:bookmarkStart w:id="246" w:name="_Toc529298716"/>
      <w:bookmarkStart w:id="247" w:name="_Toc7345"/>
      <w:bookmarkStart w:id="248" w:name="_Toc505776045"/>
      <w:bookmarkStart w:id="249" w:name="_Toc30189"/>
      <w:bookmarkStart w:id="250" w:name="_Toc24502"/>
      <w:bookmarkStart w:id="251" w:name="_Toc22077"/>
      <w:bookmarkStart w:id="252" w:name="_Toc17236"/>
      <w:bookmarkStart w:id="253" w:name="_Toc29312"/>
      <w:r>
        <w:rPr>
          <w:rFonts w:hint="eastAsia"/>
          <w:color w:val="auto"/>
          <w:highlight w:val="none"/>
        </w:rPr>
        <w:t>、</w:t>
      </w:r>
      <w:bookmarkEnd w:id="242"/>
      <w:bookmarkEnd w:id="243"/>
      <w:r>
        <w:rPr>
          <w:rFonts w:hint="eastAsia"/>
          <w:color w:val="auto"/>
          <w:highlight w:val="none"/>
        </w:rPr>
        <w:t>税金计价说明</w:t>
      </w:r>
      <w:bookmarkEnd w:id="231"/>
      <w:bookmarkEnd w:id="232"/>
      <w:bookmarkEnd w:id="233"/>
      <w:bookmarkEnd w:id="234"/>
      <w:bookmarkEnd w:id="235"/>
      <w:bookmarkEnd w:id="236"/>
      <w:bookmarkEnd w:id="237"/>
      <w:bookmarkEnd w:id="238"/>
      <w:bookmarkEnd w:id="239"/>
      <w:bookmarkEnd w:id="240"/>
      <w:bookmarkEnd w:id="241"/>
      <w:bookmarkEnd w:id="244"/>
      <w:bookmarkEnd w:id="245"/>
      <w:bookmarkEnd w:id="246"/>
      <w:bookmarkEnd w:id="247"/>
      <w:bookmarkEnd w:id="248"/>
      <w:bookmarkEnd w:id="249"/>
      <w:bookmarkEnd w:id="250"/>
      <w:bookmarkEnd w:id="251"/>
      <w:bookmarkEnd w:id="252"/>
      <w:bookmarkEnd w:id="253"/>
    </w:p>
    <w:p w14:paraId="5CE16367">
      <w:pPr>
        <w:pStyle w:val="26"/>
        <w:spacing w:before="143" w:after="143" w:line="360" w:lineRule="auto"/>
        <w:ind w:firstLine="480"/>
        <w:rPr>
          <w:color w:val="auto"/>
          <w:highlight w:val="none"/>
        </w:rPr>
      </w:pPr>
      <w:r>
        <w:rPr>
          <w:rFonts w:hint="eastAsia"/>
          <w:color w:val="auto"/>
          <w:highlight w:val="none"/>
        </w:rPr>
        <w:t>增值税销项税额：招标当期根据《广东省住房和城乡建设厅关于调整广东省建设工程计价依据增值税税率的通知》（粤建标函</w:t>
      </w:r>
      <w:r>
        <w:rPr>
          <w:rFonts w:hint="eastAsia" w:ascii="宋体" w:hAnsi="宋体" w:cs="宋体"/>
          <w:color w:val="auto"/>
          <w:highlight w:val="none"/>
        </w:rPr>
        <w:t>〔</w:t>
      </w:r>
      <w:r>
        <w:rPr>
          <w:color w:val="auto"/>
          <w:highlight w:val="none"/>
        </w:rPr>
        <w:t>2019</w:t>
      </w:r>
      <w:r>
        <w:rPr>
          <w:rFonts w:hint="eastAsia" w:ascii="宋体" w:hAnsi="宋体" w:cs="宋体"/>
          <w:color w:val="auto"/>
          <w:highlight w:val="none"/>
        </w:rPr>
        <w:t>〕</w:t>
      </w:r>
      <w:r>
        <w:rPr>
          <w:color w:val="auto"/>
          <w:highlight w:val="none"/>
        </w:rPr>
        <w:t>819</w:t>
      </w:r>
      <w:r>
        <w:rPr>
          <w:rFonts w:hint="eastAsia"/>
          <w:color w:val="auto"/>
          <w:highlight w:val="none"/>
        </w:rPr>
        <w:t>号）和广州地区税务部门有关规定计算，增值税销项税额按税前工程造价的</w:t>
      </w:r>
      <w:r>
        <w:rPr>
          <w:color w:val="auto"/>
          <w:highlight w:val="none"/>
        </w:rPr>
        <w:t>9%</w:t>
      </w:r>
      <w:r>
        <w:rPr>
          <w:rFonts w:hint="eastAsia"/>
          <w:color w:val="auto"/>
          <w:highlight w:val="none"/>
        </w:rPr>
        <w:t>计取。</w:t>
      </w:r>
      <w:r>
        <w:rPr>
          <w:rFonts w:hint="eastAsia" w:ascii="宋体" w:hAnsi="宋体" w:cs="宋体"/>
          <w:color w:val="auto"/>
          <w:highlight w:val="none"/>
        </w:rPr>
        <w:t>国家及广东省、广州市有最新规定的，从其规定。</w:t>
      </w:r>
    </w:p>
    <w:p w14:paraId="1DCCB152">
      <w:pPr>
        <w:pStyle w:val="27"/>
        <w:spacing w:before="143" w:after="143" w:line="360" w:lineRule="auto"/>
        <w:ind w:firstLine="249" w:firstLineChars="100"/>
        <w:rPr>
          <w:rFonts w:ascii="宋体" w:hAnsi="宋体" w:eastAsia="宋体" w:cs="宋体"/>
          <w:b w:val="0"/>
          <w:bCs/>
          <w:color w:val="auto"/>
          <w:highlight w:val="none"/>
        </w:rPr>
      </w:pPr>
      <w:bookmarkStart w:id="254" w:name="_Toc5646"/>
      <w:bookmarkStart w:id="255" w:name="_Toc9854"/>
      <w:bookmarkStart w:id="256" w:name="_Toc27416"/>
      <w:bookmarkStart w:id="257" w:name="_Toc12210"/>
      <w:bookmarkStart w:id="258" w:name="_Toc17481"/>
      <w:bookmarkStart w:id="259" w:name="_Toc32539"/>
      <w:bookmarkStart w:id="260" w:name="_Toc28974"/>
      <w:bookmarkStart w:id="261" w:name="_Toc6602"/>
      <w:bookmarkStart w:id="262" w:name="_Toc14628"/>
      <w:bookmarkStart w:id="263" w:name="_Toc11424"/>
      <w:bookmarkStart w:id="264" w:name="_Toc22695"/>
      <w:r>
        <w:rPr>
          <w:rFonts w:hint="eastAsia"/>
          <w:color w:val="auto"/>
          <w:highlight w:val="none"/>
        </w:rPr>
        <w:t>六、其它说明</w:t>
      </w:r>
      <w:bookmarkEnd w:id="254"/>
      <w:bookmarkEnd w:id="255"/>
      <w:bookmarkEnd w:id="256"/>
      <w:bookmarkEnd w:id="257"/>
      <w:bookmarkEnd w:id="258"/>
      <w:bookmarkEnd w:id="259"/>
      <w:bookmarkEnd w:id="260"/>
      <w:bookmarkEnd w:id="261"/>
      <w:bookmarkEnd w:id="262"/>
      <w:bookmarkEnd w:id="263"/>
      <w:bookmarkEnd w:id="264"/>
    </w:p>
    <w:p w14:paraId="6FC864D3">
      <w:pPr>
        <w:pStyle w:val="26"/>
        <w:spacing w:before="143" w:after="143" w:line="360" w:lineRule="auto"/>
        <w:ind w:firstLine="480"/>
        <w:rPr>
          <w:color w:val="auto"/>
          <w:highlight w:val="none"/>
        </w:rPr>
      </w:pPr>
      <w:r>
        <w:rPr>
          <w:rFonts w:hint="eastAsia"/>
          <w:color w:val="auto"/>
          <w:highlight w:val="none"/>
        </w:rPr>
        <w:t>（一）工程量清单及投标报价表《分部分项工程量清单与计价表》中主材设备代码为材料文本或建材清单或技术要求或技术需求书中的代码或编码。</w:t>
      </w:r>
    </w:p>
    <w:p w14:paraId="6ED875C5">
      <w:pPr>
        <w:pStyle w:val="26"/>
        <w:spacing w:before="143" w:after="143" w:line="360" w:lineRule="auto"/>
        <w:ind w:firstLine="480"/>
        <w:rPr>
          <w:color w:val="auto"/>
          <w:highlight w:val="none"/>
        </w:rPr>
      </w:pPr>
      <w:r>
        <w:rPr>
          <w:rFonts w:hint="eastAsia"/>
          <w:color w:val="auto"/>
          <w:highlight w:val="none"/>
        </w:rPr>
        <w:t>（二）投标人需结合招标文件第五章《技术条件（工程建设标准）》，充分考虑相应风险。</w:t>
      </w:r>
    </w:p>
    <w:p w14:paraId="2A9FB6A2">
      <w:pPr>
        <w:pStyle w:val="26"/>
        <w:spacing w:before="143" w:after="143"/>
        <w:ind w:firstLine="480"/>
        <w:outlineLvl w:val="9"/>
        <w:rPr>
          <w:color w:val="auto"/>
          <w:highlight w:val="none"/>
        </w:rPr>
      </w:pPr>
      <w:r>
        <w:rPr>
          <w:rFonts w:hint="eastAsia"/>
          <w:color w:val="auto"/>
          <w:highlight w:val="none"/>
        </w:rPr>
        <w:t>（三）投标人需对现场进行勘察，清楚了解现场施工条件，投标人对现场的使用需满足基坑支护设计图纸的要求，所有因现场条件限制（如基坑周围堆载限制等）而导致实际施工成本的增加，由承包人在清单项目综合单价中综合考虑，中标人不得另外要求计取任何费用。</w:t>
      </w:r>
    </w:p>
    <w:p w14:paraId="3B8DF3B2">
      <w:pPr>
        <w:pStyle w:val="24"/>
        <w:spacing w:before="143" w:beforeLines="50" w:beforeAutospacing="0" w:after="143" w:afterLines="50" w:line="360" w:lineRule="auto"/>
        <w:ind w:firstLine="0" w:firstLineChars="0"/>
        <w:rPr>
          <w:color w:val="auto"/>
          <w:highlight w:val="none"/>
        </w:rPr>
      </w:pPr>
      <w:bookmarkStart w:id="265" w:name="_Toc19528"/>
      <w:bookmarkStart w:id="266" w:name="_Toc13144"/>
      <w:bookmarkStart w:id="267" w:name="_Toc26788"/>
      <w:bookmarkStart w:id="268" w:name="_Toc19107"/>
      <w:bookmarkStart w:id="269" w:name="_Toc15038"/>
      <w:bookmarkStart w:id="270" w:name="_Toc27488"/>
      <w:bookmarkStart w:id="271" w:name="_Toc3945"/>
      <w:bookmarkStart w:id="272" w:name="_Toc13804"/>
      <w:bookmarkStart w:id="273" w:name="_Toc28711"/>
    </w:p>
    <w:p w14:paraId="490E31CF">
      <w:pPr>
        <w:pStyle w:val="33"/>
        <w:numPr>
          <w:ilvl w:val="0"/>
          <w:numId w:val="4"/>
        </w:numPr>
        <w:spacing w:before="143" w:after="143" w:line="360" w:lineRule="auto"/>
        <w:rPr>
          <w:color w:val="auto"/>
          <w:highlight w:val="none"/>
        </w:rPr>
      </w:pPr>
      <w:bookmarkStart w:id="274" w:name="_Toc27016"/>
      <w:bookmarkStart w:id="275" w:name="_Toc4965"/>
      <w:r>
        <w:rPr>
          <w:rFonts w:hint="eastAsia"/>
          <w:color w:val="auto"/>
          <w:highlight w:val="none"/>
        </w:rPr>
        <w:t xml:space="preserve">  </w:t>
      </w:r>
      <w:bookmarkStart w:id="276" w:name="_Toc23633"/>
      <w:r>
        <w:rPr>
          <w:rFonts w:hint="eastAsia"/>
          <w:color w:val="auto"/>
          <w:highlight w:val="none"/>
        </w:rPr>
        <w:t>工程量清单计价补充规定</w:t>
      </w:r>
      <w:bookmarkEnd w:id="274"/>
      <w:bookmarkEnd w:id="275"/>
      <w:bookmarkEnd w:id="276"/>
    </w:p>
    <w:p w14:paraId="1EE817A1">
      <w:pPr>
        <w:pStyle w:val="24"/>
        <w:spacing w:before="143" w:beforeLines="50" w:beforeAutospacing="0" w:after="143" w:afterLines="50" w:line="360" w:lineRule="auto"/>
        <w:ind w:firstLine="0" w:firstLineChars="0"/>
        <w:rPr>
          <w:color w:val="auto"/>
          <w:highlight w:val="none"/>
        </w:rPr>
      </w:pPr>
    </w:p>
    <w:p w14:paraId="3CF22017">
      <w:pPr>
        <w:pStyle w:val="24"/>
        <w:spacing w:before="143" w:beforeLines="50" w:beforeAutospacing="0" w:after="143" w:afterLines="50" w:line="360" w:lineRule="auto"/>
        <w:ind w:firstLine="496"/>
        <w:rPr>
          <w:rFonts w:ascii="宋体" w:hAnsi="宋体" w:cs="宋体"/>
          <w:color w:val="auto"/>
          <w:highlight w:val="none"/>
        </w:rPr>
      </w:pPr>
      <w:r>
        <w:rPr>
          <w:rFonts w:ascii="宋体" w:hAnsi="宋体"/>
          <w:color w:val="auto"/>
          <w:highlight w:val="none"/>
        </w:rPr>
        <w:t>凡在</w:t>
      </w:r>
      <w:r>
        <w:rPr>
          <w:rFonts w:hint="eastAsia" w:ascii="宋体" w:hAnsi="宋体"/>
          <w:color w:val="auto"/>
          <w:highlight w:val="none"/>
        </w:rPr>
        <w:t>本说明</w:t>
      </w:r>
      <w:r>
        <w:rPr>
          <w:rFonts w:ascii="宋体" w:hAnsi="宋体"/>
          <w:color w:val="auto"/>
          <w:highlight w:val="none"/>
        </w:rPr>
        <w:t>中已明确的须按本</w:t>
      </w:r>
      <w:r>
        <w:rPr>
          <w:rFonts w:hint="eastAsia" w:ascii="宋体" w:hAnsi="宋体"/>
          <w:color w:val="auto"/>
          <w:highlight w:val="none"/>
        </w:rPr>
        <w:t>说明</w:t>
      </w:r>
      <w:r>
        <w:rPr>
          <w:rFonts w:ascii="宋体" w:hAnsi="宋体"/>
          <w:color w:val="auto"/>
          <w:highlight w:val="none"/>
        </w:rPr>
        <w:t>执行；在本</w:t>
      </w:r>
      <w:r>
        <w:rPr>
          <w:rFonts w:hint="eastAsia" w:ascii="宋体" w:hAnsi="宋体"/>
          <w:color w:val="auto"/>
          <w:highlight w:val="none"/>
        </w:rPr>
        <w:t>说明</w:t>
      </w:r>
      <w:r>
        <w:rPr>
          <w:rFonts w:ascii="宋体" w:hAnsi="宋体"/>
          <w:color w:val="auto"/>
          <w:highlight w:val="none"/>
        </w:rPr>
        <w:t>中未明确的则按</w:t>
      </w:r>
      <w:r>
        <w:rPr>
          <w:rFonts w:hint="eastAsia" w:ascii="宋体" w:hAnsi="宋体"/>
          <w:color w:val="auto"/>
          <w:highlight w:val="none"/>
        </w:rPr>
        <w:t>《关于实施&lt;房屋建筑与装饰工程工程量计算规范&gt;(GB50854-2013)等的若干意见》（</w:t>
      </w:r>
      <w:r>
        <w:rPr>
          <w:rFonts w:ascii="宋体" w:hAnsi="宋体"/>
          <w:color w:val="auto"/>
          <w:highlight w:val="none"/>
        </w:rPr>
        <w:t>粤建造发〔2013〕4号</w:t>
      </w:r>
      <w:r>
        <w:rPr>
          <w:rFonts w:hint="eastAsia" w:ascii="宋体" w:hAnsi="宋体"/>
          <w:color w:val="auto"/>
          <w:highlight w:val="none"/>
        </w:rPr>
        <w:t>）、《广东省建设工程计价依据(2018)》</w:t>
      </w:r>
      <w:r>
        <w:rPr>
          <w:rFonts w:ascii="宋体" w:hAnsi="宋体"/>
          <w:color w:val="auto"/>
          <w:highlight w:val="none"/>
        </w:rPr>
        <w:t>的规定执行；在本</w:t>
      </w:r>
      <w:r>
        <w:rPr>
          <w:rFonts w:hint="eastAsia" w:ascii="宋体" w:hAnsi="宋体"/>
          <w:color w:val="auto"/>
          <w:highlight w:val="none"/>
        </w:rPr>
        <w:t>说明</w:t>
      </w:r>
      <w:r>
        <w:rPr>
          <w:rFonts w:ascii="宋体" w:hAnsi="宋体"/>
          <w:color w:val="auto"/>
          <w:highlight w:val="none"/>
        </w:rPr>
        <w:t>及</w:t>
      </w:r>
      <w:r>
        <w:rPr>
          <w:rFonts w:hint="eastAsia" w:ascii="宋体" w:hAnsi="宋体"/>
          <w:color w:val="auto"/>
          <w:highlight w:val="none"/>
        </w:rPr>
        <w:t>《关于实施&lt;房屋建筑与装饰工程工程量计算规范&gt;(GB50854-2013)等的若干意见》（</w:t>
      </w:r>
      <w:r>
        <w:rPr>
          <w:rFonts w:ascii="宋体" w:hAnsi="宋体"/>
          <w:color w:val="auto"/>
          <w:highlight w:val="none"/>
        </w:rPr>
        <w:t>粤建造发〔2013〕4号</w:t>
      </w:r>
      <w:r>
        <w:rPr>
          <w:rFonts w:hint="eastAsia" w:ascii="宋体" w:hAnsi="宋体"/>
          <w:color w:val="auto"/>
          <w:highlight w:val="none"/>
        </w:rPr>
        <w:t>）《广东省建设工程计价依据(2018)》</w:t>
      </w:r>
      <w:r>
        <w:rPr>
          <w:rFonts w:ascii="宋体" w:hAnsi="宋体"/>
          <w:color w:val="auto"/>
          <w:highlight w:val="none"/>
        </w:rPr>
        <w:t>中均未明确的</w:t>
      </w:r>
      <w:r>
        <w:rPr>
          <w:rFonts w:hint="eastAsia" w:ascii="宋体" w:hAnsi="宋体"/>
          <w:color w:val="auto"/>
          <w:highlight w:val="none"/>
        </w:rPr>
        <w:t>，</w:t>
      </w:r>
      <w:r>
        <w:rPr>
          <w:rFonts w:ascii="宋体" w:hAnsi="宋体"/>
          <w:color w:val="auto"/>
          <w:highlight w:val="none"/>
        </w:rPr>
        <w:t>则按《房屋建筑与装饰工程工程量计算规范（GB50854-2013）》、《通用安装工程工程量计算规范（GB50856-2013）》、《市政工程工程量计算规范（GB50857-2013）》、《</w:t>
      </w:r>
      <w:r>
        <w:rPr>
          <w:rFonts w:hint="eastAsia" w:ascii="宋体" w:hAnsi="宋体"/>
          <w:color w:val="auto"/>
          <w:highlight w:val="none"/>
        </w:rPr>
        <w:t>建设工程工程量清单计价规范</w:t>
      </w:r>
      <w:r>
        <w:rPr>
          <w:rFonts w:ascii="宋体" w:hAnsi="宋体"/>
          <w:color w:val="auto"/>
          <w:highlight w:val="none"/>
        </w:rPr>
        <w:t>（GB50</w:t>
      </w:r>
      <w:r>
        <w:rPr>
          <w:rFonts w:hint="eastAsia" w:ascii="宋体" w:hAnsi="宋体"/>
          <w:color w:val="auto"/>
          <w:highlight w:val="none"/>
        </w:rPr>
        <w:t>500</w:t>
      </w:r>
      <w:r>
        <w:rPr>
          <w:rFonts w:ascii="宋体" w:hAnsi="宋体"/>
          <w:color w:val="auto"/>
          <w:highlight w:val="none"/>
        </w:rPr>
        <w:t>-2013）》等</w:t>
      </w:r>
      <w:r>
        <w:rPr>
          <w:rFonts w:hint="eastAsia" w:ascii="宋体" w:hAnsi="宋体"/>
          <w:color w:val="auto"/>
          <w:highlight w:val="none"/>
        </w:rPr>
        <w:t>国标</w:t>
      </w:r>
      <w:r>
        <w:rPr>
          <w:rFonts w:ascii="宋体" w:hAnsi="宋体"/>
          <w:color w:val="auto"/>
          <w:highlight w:val="none"/>
        </w:rPr>
        <w:t>规范的规定执行</w:t>
      </w:r>
      <w:r>
        <w:rPr>
          <w:rFonts w:hint="eastAsia" w:ascii="宋体" w:hAnsi="宋体"/>
          <w:color w:val="auto"/>
          <w:highlight w:val="none"/>
        </w:rPr>
        <w:t>；以上均未</w:t>
      </w:r>
      <w:r>
        <w:rPr>
          <w:rFonts w:ascii="宋体" w:hAnsi="宋体"/>
          <w:color w:val="auto"/>
          <w:highlight w:val="none"/>
        </w:rPr>
        <w:t>明确的则按</w:t>
      </w:r>
      <w:r>
        <w:rPr>
          <w:rFonts w:hint="eastAsia" w:ascii="宋体" w:hAnsi="宋体"/>
          <w:color w:val="auto"/>
          <w:highlight w:val="none"/>
        </w:rPr>
        <w:t>广东省建设工程计价依据(2018)</w:t>
      </w:r>
      <w:r>
        <w:rPr>
          <w:rFonts w:hint="eastAsia" w:ascii="宋体" w:hAnsi="宋体"/>
          <w:strike w:val="0"/>
          <w:color w:val="auto"/>
          <w:highlight w:val="none"/>
        </w:rPr>
        <w:t>《广东省房屋建筑与装饰工程综合定额(2018)》、《广东省通用安装工程综合定额(2018)》、《广东省市政工程综合定额(2018)》</w:t>
      </w:r>
      <w:r>
        <w:rPr>
          <w:rFonts w:hint="eastAsia" w:ascii="宋体" w:hAnsi="宋体"/>
          <w:color w:val="auto"/>
          <w:highlight w:val="none"/>
        </w:rPr>
        <w:t>等</w:t>
      </w:r>
      <w:r>
        <w:rPr>
          <w:rFonts w:ascii="宋体" w:hAnsi="宋体"/>
          <w:color w:val="auto"/>
          <w:highlight w:val="none"/>
        </w:rPr>
        <w:t>专业定额的规定执行</w:t>
      </w:r>
      <w:r>
        <w:rPr>
          <w:rFonts w:hint="eastAsia" w:ascii="宋体" w:hAnsi="宋体"/>
          <w:color w:val="auto"/>
          <w:highlight w:val="none"/>
        </w:rPr>
        <w:t>。</w:t>
      </w:r>
    </w:p>
    <w:p w14:paraId="43A7D3C8">
      <w:pPr>
        <w:pStyle w:val="27"/>
        <w:numPr>
          <w:ilvl w:val="-1"/>
          <w:numId w:val="0"/>
        </w:numPr>
        <w:spacing w:before="143" w:beforeLines="50" w:after="143" w:afterLines="50"/>
        <w:ind w:left="0" w:firstLine="0"/>
        <w:jc w:val="left"/>
        <w:outlineLvl w:val="3"/>
        <w:rPr>
          <w:rFonts w:hint="eastAsia" w:ascii="宋体" w:hAnsi="宋体"/>
          <w:b/>
          <w:strike/>
          <w:color w:val="auto"/>
          <w:sz w:val="24"/>
          <w:szCs w:val="24"/>
          <w:highlight w:val="none"/>
        </w:rPr>
      </w:pPr>
      <w:r>
        <w:rPr>
          <w:rFonts w:hint="eastAsia"/>
          <w:color w:val="auto"/>
          <w:highlight w:val="none"/>
        </w:rPr>
        <w:t>本计价补充规定套用顺序：通用项目有明确的按通用项目执行；通用项目没有明确的，按其图纸所属专业优先套用相应专业清单项目，相应专业清单项目没有可套用的则参考其他专业清单项目。</w:t>
      </w:r>
      <w:bookmarkEnd w:id="265"/>
    </w:p>
    <w:p w14:paraId="03C540AA">
      <w:pPr>
        <w:pStyle w:val="24"/>
        <w:spacing w:before="143" w:beforeLines="50" w:after="143" w:afterLines="50"/>
        <w:jc w:val="left"/>
        <w:rPr>
          <w:rFonts w:ascii="Times New Roman" w:hAnsi="Times New Roman"/>
          <w:b w:val="0"/>
          <w:color w:val="auto"/>
          <w:sz w:val="24"/>
          <w:szCs w:val="20"/>
          <w:highlight w:val="none"/>
        </w:rPr>
      </w:pPr>
    </w:p>
    <w:p w14:paraId="414D5955">
      <w:pPr>
        <w:spacing w:before="143" w:beforeLines="50" w:after="143" w:afterLines="50" w:line="360" w:lineRule="auto"/>
        <w:jc w:val="left"/>
        <w:outlineLvl w:val="4"/>
        <w:rPr>
          <w:rFonts w:ascii="宋体" w:hAnsi="宋体"/>
          <w:b/>
          <w:color w:val="auto"/>
          <w:sz w:val="28"/>
          <w:szCs w:val="28"/>
          <w:highlight w:val="none"/>
        </w:rPr>
      </w:pPr>
      <w:bookmarkStart w:id="277" w:name="_Toc6381"/>
      <w:bookmarkStart w:id="278" w:name="_Toc403031687"/>
      <w:bookmarkStart w:id="279" w:name="_Toc31214"/>
      <w:bookmarkStart w:id="280" w:name="_Toc400614621"/>
      <w:bookmarkStart w:id="281" w:name="_Toc17923"/>
      <w:r>
        <w:rPr>
          <w:rFonts w:hint="eastAsia" w:ascii="宋体" w:hAnsi="宋体"/>
          <w:b/>
          <w:color w:val="auto"/>
          <w:sz w:val="28"/>
          <w:szCs w:val="28"/>
          <w:highlight w:val="none"/>
        </w:rPr>
        <w:t>L.楼地面装饰工程</w:t>
      </w:r>
      <w:bookmarkEnd w:id="277"/>
      <w:bookmarkEnd w:id="278"/>
      <w:bookmarkEnd w:id="279"/>
      <w:bookmarkEnd w:id="280"/>
      <w:bookmarkEnd w:id="281"/>
    </w:p>
    <w:p w14:paraId="3CBE873E">
      <w:pPr>
        <w:pStyle w:val="24"/>
        <w:spacing w:before="143" w:beforeLines="50" w:beforeAutospacing="0" w:after="143" w:afterLines="50" w:line="360" w:lineRule="auto"/>
        <w:ind w:firstLine="0" w:firstLineChars="0"/>
        <w:rPr>
          <w:color w:val="auto"/>
          <w:highlight w:val="none"/>
        </w:rPr>
      </w:pPr>
      <w:bookmarkStart w:id="282" w:name="_Toc400614622"/>
      <w:r>
        <w:rPr>
          <w:rFonts w:hint="eastAsia"/>
          <w:color w:val="auto"/>
          <w:highlight w:val="none"/>
        </w:rPr>
        <w:t>共性问题说明：因各类管线施工致使找平层及结合层厚度变化而增减的费用均不作调整。计价综合</w:t>
      </w:r>
      <w:r>
        <w:rPr>
          <w:color w:val="auto"/>
          <w:highlight w:val="none"/>
        </w:rPr>
        <w:t>考虑</w:t>
      </w:r>
      <w:r>
        <w:rPr>
          <w:rFonts w:hint="eastAsia"/>
          <w:color w:val="auto"/>
          <w:highlight w:val="none"/>
        </w:rPr>
        <w:t>砂浆种类、配合比、厚度，砂浆种类不包括保温砂浆、防水砂浆。因工序搭接、预留孔洞所需的开槽、开孔费用含在相应清单费用内，不另行计算。材料的切割、磨边费用已含在相应清单费用内，不另行计算。相关超高降效、暗室增加已含在相应清单费用内，不另行计算。</w:t>
      </w:r>
    </w:p>
    <w:p w14:paraId="0FA071D3">
      <w:pPr>
        <w:spacing w:before="143" w:beforeLines="50" w:after="143" w:afterLines="50" w:line="360" w:lineRule="auto"/>
        <w:jc w:val="left"/>
        <w:outlineLvl w:val="5"/>
        <w:rPr>
          <w:rFonts w:ascii="宋体" w:hAnsi="宋体"/>
          <w:b/>
          <w:color w:val="auto"/>
          <w:sz w:val="28"/>
          <w:szCs w:val="28"/>
          <w:highlight w:val="none"/>
        </w:rPr>
      </w:pPr>
      <w:bookmarkStart w:id="283" w:name="_Toc8159"/>
      <w:bookmarkStart w:id="284" w:name="_Toc403031688"/>
      <w:bookmarkStart w:id="285" w:name="_Toc30282"/>
      <w:bookmarkStart w:id="286" w:name="_Toc2613"/>
      <w:r>
        <w:rPr>
          <w:rFonts w:hint="eastAsia" w:ascii="宋体" w:hAnsi="宋体"/>
          <w:b/>
          <w:color w:val="auto"/>
          <w:sz w:val="28"/>
          <w:szCs w:val="28"/>
          <w:highlight w:val="none"/>
        </w:rPr>
        <w:t>L.1（整体面层及找平层）</w:t>
      </w:r>
      <w:bookmarkEnd w:id="282"/>
      <w:bookmarkEnd w:id="283"/>
      <w:bookmarkEnd w:id="284"/>
      <w:bookmarkEnd w:id="285"/>
      <w:bookmarkEnd w:id="286"/>
    </w:p>
    <w:p w14:paraId="63AA2E76">
      <w:pPr>
        <w:spacing w:before="143" w:beforeLines="50" w:after="143" w:afterLines="50" w:line="360" w:lineRule="auto"/>
        <w:jc w:val="left"/>
        <w:outlineLvl w:val="6"/>
        <w:rPr>
          <w:rFonts w:ascii="宋体" w:hAnsi="宋体"/>
          <w:b/>
          <w:color w:val="auto"/>
          <w:sz w:val="28"/>
          <w:szCs w:val="28"/>
          <w:highlight w:val="none"/>
        </w:rPr>
      </w:pPr>
      <w:bookmarkStart w:id="287" w:name="_Toc16527"/>
      <w:bookmarkStart w:id="288" w:name="_Toc22946"/>
      <w:bookmarkStart w:id="289" w:name="_Toc12333"/>
      <w:bookmarkStart w:id="290" w:name="_Toc400614623"/>
      <w:bookmarkStart w:id="291" w:name="_Toc403031689"/>
      <w:r>
        <w:rPr>
          <w:rFonts w:hint="eastAsia" w:ascii="宋体" w:hAnsi="宋体"/>
          <w:b/>
          <w:color w:val="auto"/>
          <w:sz w:val="28"/>
          <w:szCs w:val="28"/>
          <w:highlight w:val="none"/>
        </w:rPr>
        <w:t>1.水泥砂浆楼地面</w:t>
      </w:r>
      <w:bookmarkEnd w:id="287"/>
      <w:bookmarkEnd w:id="288"/>
      <w:bookmarkEnd w:id="289"/>
      <w:bookmarkEnd w:id="290"/>
      <w:bookmarkEnd w:id="291"/>
    </w:p>
    <w:p w14:paraId="4FD36E81">
      <w:pPr>
        <w:pStyle w:val="24"/>
        <w:spacing w:before="143" w:beforeLines="50" w:beforeAutospacing="0" w:after="143" w:afterLines="50" w:line="360" w:lineRule="auto"/>
        <w:ind w:firstLine="496"/>
        <w:rPr>
          <w:color w:val="auto"/>
          <w:highlight w:val="none"/>
        </w:rPr>
      </w:pPr>
      <w:r>
        <w:rPr>
          <w:rFonts w:hint="eastAsia"/>
          <w:color w:val="auto"/>
          <w:highlight w:val="none"/>
        </w:rPr>
        <w:t>（1）计价综合</w:t>
      </w:r>
      <w:r>
        <w:rPr>
          <w:color w:val="auto"/>
          <w:highlight w:val="none"/>
        </w:rPr>
        <w:t>考虑</w:t>
      </w:r>
      <w:r>
        <w:rPr>
          <w:rFonts w:hint="eastAsia"/>
          <w:color w:val="auto"/>
          <w:highlight w:val="none"/>
        </w:rPr>
        <w:t>砂浆种类、配合比、厚度、基底类型</w:t>
      </w:r>
      <w:r>
        <w:rPr>
          <w:rFonts w:hint="eastAsia"/>
          <w:color w:val="auto"/>
          <w:highlight w:val="none"/>
          <w:lang w:eastAsia="zh-CN"/>
        </w:rPr>
        <w:t>、压实抹光</w:t>
      </w:r>
      <w:r>
        <w:rPr>
          <w:rFonts w:hint="eastAsia"/>
          <w:color w:val="auto"/>
          <w:highlight w:val="none"/>
        </w:rPr>
        <w:t>。</w:t>
      </w:r>
    </w:p>
    <w:p w14:paraId="7E05B496">
      <w:pPr>
        <w:pStyle w:val="24"/>
        <w:spacing w:before="143" w:beforeLines="50" w:beforeAutospacing="0" w:after="143" w:afterLines="50" w:line="360" w:lineRule="auto"/>
        <w:ind w:firstLine="496"/>
        <w:rPr>
          <w:color w:val="auto"/>
          <w:highlight w:val="none"/>
        </w:rPr>
      </w:pPr>
      <w:r>
        <w:rPr>
          <w:rFonts w:hint="eastAsia"/>
          <w:color w:val="auto"/>
          <w:highlight w:val="none"/>
        </w:rPr>
        <w:t>（2）计价包括基层处理、找平层、面层、分格缝制作、嵌缝、材料运输等相关费用。</w:t>
      </w:r>
    </w:p>
    <w:p w14:paraId="04349840">
      <w:pPr>
        <w:pStyle w:val="24"/>
        <w:spacing w:before="143" w:beforeLines="50" w:beforeAutospacing="0" w:after="143" w:afterLines="50" w:line="360" w:lineRule="auto"/>
        <w:ind w:firstLine="496"/>
        <w:rPr>
          <w:color w:val="auto"/>
          <w:highlight w:val="none"/>
        </w:rPr>
      </w:pPr>
      <w:r>
        <w:rPr>
          <w:rFonts w:hint="eastAsia"/>
          <w:color w:val="auto"/>
          <w:highlight w:val="none"/>
        </w:rPr>
        <w:t>（3）计量按设计图示尺寸以面积计算。扣除凸出地面构筑物、设备基础、室内铁道、地沟等所占面积，不扣除间壁墙及≤0.3㎡以内的柱、跺、附墙烟囱及孔洞所占面积。门洞、空圈、暖气包槽、壁龛的开口部分不增加面积。</w:t>
      </w:r>
    </w:p>
    <w:p w14:paraId="1F391FA0">
      <w:pPr>
        <w:spacing w:before="143" w:beforeLines="50" w:after="143" w:afterLines="50" w:line="360" w:lineRule="auto"/>
        <w:jc w:val="left"/>
        <w:outlineLvl w:val="6"/>
        <w:rPr>
          <w:rFonts w:ascii="宋体" w:hAnsi="宋体"/>
          <w:b/>
          <w:color w:val="auto"/>
          <w:sz w:val="28"/>
          <w:szCs w:val="28"/>
          <w:highlight w:val="none"/>
        </w:rPr>
      </w:pPr>
      <w:bookmarkStart w:id="292" w:name="_Toc15273"/>
      <w:bookmarkStart w:id="293" w:name="_Toc400614625"/>
      <w:bookmarkStart w:id="294" w:name="_Toc31430"/>
      <w:bookmarkStart w:id="295" w:name="_Toc403031691"/>
      <w:bookmarkStart w:id="296" w:name="_Toc19700"/>
      <w:r>
        <w:rPr>
          <w:rFonts w:hint="eastAsia" w:ascii="宋体" w:hAnsi="宋体"/>
          <w:b/>
          <w:color w:val="auto"/>
          <w:sz w:val="28"/>
          <w:szCs w:val="28"/>
          <w:highlight w:val="none"/>
          <w:lang w:eastAsia="zh"/>
        </w:rPr>
        <w:t>2</w:t>
      </w:r>
      <w:r>
        <w:rPr>
          <w:rFonts w:hint="eastAsia" w:ascii="宋体" w:hAnsi="宋体"/>
          <w:b/>
          <w:color w:val="auto"/>
          <w:sz w:val="28"/>
          <w:szCs w:val="28"/>
          <w:highlight w:val="none"/>
        </w:rPr>
        <w:t>.细石砼楼地面</w:t>
      </w:r>
      <w:bookmarkEnd w:id="292"/>
      <w:bookmarkEnd w:id="293"/>
      <w:bookmarkEnd w:id="294"/>
      <w:bookmarkEnd w:id="295"/>
      <w:bookmarkEnd w:id="296"/>
    </w:p>
    <w:p w14:paraId="48AB6877">
      <w:pPr>
        <w:pStyle w:val="24"/>
        <w:spacing w:before="143" w:beforeLines="50" w:beforeAutospacing="0" w:after="143" w:afterLines="50" w:line="360" w:lineRule="auto"/>
        <w:ind w:firstLine="496"/>
        <w:rPr>
          <w:color w:val="auto"/>
          <w:highlight w:val="none"/>
        </w:rPr>
      </w:pPr>
      <w:r>
        <w:rPr>
          <w:rFonts w:hint="eastAsia"/>
          <w:color w:val="auto"/>
          <w:highlight w:val="none"/>
        </w:rPr>
        <w:t>（1）计价综合</w:t>
      </w:r>
      <w:r>
        <w:rPr>
          <w:color w:val="auto"/>
          <w:highlight w:val="none"/>
        </w:rPr>
        <w:t>考虑</w:t>
      </w:r>
      <w:r>
        <w:rPr>
          <w:rFonts w:hint="eastAsia"/>
          <w:color w:val="auto"/>
          <w:highlight w:val="none"/>
        </w:rPr>
        <w:t>砂浆种类、配合比、厚度、基底类型。</w:t>
      </w:r>
    </w:p>
    <w:p w14:paraId="4BD6FF05">
      <w:pPr>
        <w:pStyle w:val="24"/>
        <w:spacing w:before="143" w:beforeLines="50" w:beforeAutospacing="0" w:after="143" w:afterLines="50" w:line="360" w:lineRule="auto"/>
        <w:ind w:firstLine="496"/>
        <w:rPr>
          <w:color w:val="auto"/>
          <w:highlight w:val="none"/>
        </w:rPr>
      </w:pPr>
      <w:r>
        <w:rPr>
          <w:rFonts w:hint="eastAsia"/>
          <w:color w:val="auto"/>
          <w:highlight w:val="none"/>
        </w:rPr>
        <w:t>（2）计价包括基层处理、找平层、面层、混凝土制作、浇捣、养护、砂浆制作、摊铺、材料运输等相关费用。</w:t>
      </w:r>
    </w:p>
    <w:p w14:paraId="027BD17D">
      <w:pPr>
        <w:pStyle w:val="24"/>
        <w:spacing w:before="143" w:beforeLines="50" w:beforeAutospacing="0" w:after="143" w:afterLines="50" w:line="360" w:lineRule="auto"/>
        <w:ind w:firstLine="496"/>
        <w:rPr>
          <w:color w:val="auto"/>
          <w:highlight w:val="none"/>
        </w:rPr>
      </w:pPr>
      <w:r>
        <w:rPr>
          <w:rFonts w:hint="eastAsia"/>
          <w:color w:val="auto"/>
          <w:highlight w:val="none"/>
        </w:rPr>
        <w:t>（3）计量分砼等级、砼厚度按设计图示尺寸以面积计。扣除凸出地面构筑物、设备基础、室内铁道、地沟等所占面积，不扣除间壁墙及≤0.3㎡以内的柱、跺、附墙烟囱及孔洞所占面积。门洞、空圈、暖气包槽、壁龛的开口部分不增加面积。</w:t>
      </w:r>
    </w:p>
    <w:p w14:paraId="3FB9C054">
      <w:pPr>
        <w:pStyle w:val="24"/>
        <w:spacing w:before="143" w:beforeLines="50" w:beforeAutospacing="0" w:after="143" w:afterLines="50" w:line="360" w:lineRule="auto"/>
        <w:ind w:firstLine="496"/>
        <w:rPr>
          <w:color w:val="auto"/>
          <w:highlight w:val="none"/>
        </w:rPr>
      </w:pPr>
      <w:r>
        <w:rPr>
          <w:rFonts w:hint="eastAsia"/>
          <w:color w:val="auto"/>
          <w:highlight w:val="none"/>
        </w:rPr>
        <w:t>（4）当砼等级、砼厚度发生变化时，调整面层材料的价差。</w:t>
      </w:r>
    </w:p>
    <w:p w14:paraId="15026C27">
      <w:pPr>
        <w:spacing w:before="143" w:beforeLines="50" w:after="143" w:afterLines="50" w:line="360" w:lineRule="auto"/>
        <w:jc w:val="left"/>
        <w:outlineLvl w:val="6"/>
        <w:rPr>
          <w:rFonts w:ascii="宋体" w:hAnsi="宋体"/>
          <w:b/>
          <w:color w:val="auto"/>
          <w:sz w:val="28"/>
          <w:szCs w:val="28"/>
          <w:highlight w:val="none"/>
        </w:rPr>
      </w:pPr>
      <w:bookmarkStart w:id="297" w:name="_Toc400614627"/>
      <w:bookmarkStart w:id="298" w:name="_Toc22903"/>
      <w:bookmarkStart w:id="299" w:name="_Toc25776"/>
      <w:bookmarkStart w:id="300" w:name="_Toc32620"/>
      <w:bookmarkStart w:id="301" w:name="_Toc403031693"/>
      <w:r>
        <w:rPr>
          <w:rFonts w:hint="eastAsia" w:ascii="宋体" w:hAnsi="宋体"/>
          <w:b/>
          <w:color w:val="auto"/>
          <w:sz w:val="28"/>
          <w:szCs w:val="28"/>
          <w:highlight w:val="none"/>
          <w:lang w:eastAsia="zh"/>
        </w:rPr>
        <w:t>3</w:t>
      </w:r>
      <w:r>
        <w:rPr>
          <w:rFonts w:hint="eastAsia" w:ascii="宋体" w:hAnsi="宋体"/>
          <w:b/>
          <w:color w:val="auto"/>
          <w:sz w:val="28"/>
          <w:szCs w:val="28"/>
          <w:highlight w:val="none"/>
        </w:rPr>
        <w:t>.平面砂浆找平层</w:t>
      </w:r>
      <w:bookmarkEnd w:id="297"/>
      <w:bookmarkEnd w:id="298"/>
      <w:bookmarkEnd w:id="299"/>
      <w:bookmarkEnd w:id="300"/>
      <w:bookmarkEnd w:id="301"/>
    </w:p>
    <w:p w14:paraId="0A4FD1D1">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（1）计价综合考虑砂浆种类、配合比、厚度。</w:t>
      </w:r>
    </w:p>
    <w:p w14:paraId="6D57383C">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（2）计价包括基层处理、砂浆制作、抹找平层、压实、材料运输等相关费用。</w:t>
      </w:r>
    </w:p>
    <w:p w14:paraId="2FBB18AC">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（3）计量按设计图示尺寸以面积计算。</w:t>
      </w:r>
    </w:p>
    <w:p w14:paraId="17326C3F">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（4）平面砂浆找平层适用于仅做找平层的平面抹灰及防水部位的找平层。</w:t>
      </w:r>
    </w:p>
    <w:p w14:paraId="0917FFBE">
      <w:pPr>
        <w:spacing w:before="143" w:beforeLines="50" w:after="143" w:afterLines="50" w:line="360" w:lineRule="auto"/>
        <w:jc w:val="left"/>
        <w:outlineLvl w:val="5"/>
        <w:rPr>
          <w:rFonts w:ascii="宋体" w:hAnsi="宋体"/>
          <w:b/>
          <w:color w:val="auto"/>
          <w:sz w:val="28"/>
          <w:szCs w:val="28"/>
          <w:highlight w:val="none"/>
        </w:rPr>
      </w:pPr>
      <w:bookmarkStart w:id="302" w:name="_Toc403031694"/>
      <w:bookmarkStart w:id="303" w:name="_Toc12608"/>
      <w:bookmarkStart w:id="304" w:name="_Toc400614628"/>
      <w:bookmarkStart w:id="305" w:name="_Toc18233"/>
      <w:bookmarkStart w:id="306" w:name="_Toc361"/>
      <w:r>
        <w:rPr>
          <w:rFonts w:hint="eastAsia" w:ascii="宋体" w:hAnsi="宋体"/>
          <w:b/>
          <w:color w:val="auto"/>
          <w:sz w:val="28"/>
          <w:szCs w:val="28"/>
          <w:highlight w:val="none"/>
        </w:rPr>
        <w:t>L.2（块料面层）</w:t>
      </w:r>
      <w:bookmarkEnd w:id="302"/>
      <w:bookmarkEnd w:id="303"/>
      <w:bookmarkEnd w:id="304"/>
      <w:bookmarkEnd w:id="305"/>
      <w:bookmarkEnd w:id="306"/>
    </w:p>
    <w:p w14:paraId="1581CDF6">
      <w:pPr>
        <w:spacing w:before="143" w:beforeLines="50" w:after="143" w:afterLines="50" w:line="360" w:lineRule="auto"/>
        <w:jc w:val="left"/>
        <w:outlineLvl w:val="6"/>
        <w:rPr>
          <w:rFonts w:ascii="宋体" w:hAnsi="宋体"/>
          <w:b/>
          <w:color w:val="auto"/>
          <w:sz w:val="28"/>
          <w:szCs w:val="28"/>
          <w:highlight w:val="none"/>
        </w:rPr>
      </w:pPr>
      <w:bookmarkStart w:id="307" w:name="_Toc403031695"/>
      <w:bookmarkStart w:id="308" w:name="_Toc23415"/>
      <w:bookmarkStart w:id="309" w:name="_Toc2388"/>
      <w:bookmarkStart w:id="310" w:name="_Toc400614629"/>
      <w:bookmarkStart w:id="311" w:name="_Toc4931"/>
      <w:r>
        <w:rPr>
          <w:rFonts w:hint="eastAsia" w:ascii="宋体" w:hAnsi="宋体"/>
          <w:b/>
          <w:color w:val="auto"/>
          <w:sz w:val="28"/>
          <w:szCs w:val="28"/>
          <w:highlight w:val="none"/>
        </w:rPr>
        <w:t>1.石材楼地面</w:t>
      </w:r>
      <w:bookmarkEnd w:id="307"/>
      <w:bookmarkEnd w:id="308"/>
      <w:bookmarkEnd w:id="309"/>
      <w:bookmarkEnd w:id="310"/>
      <w:bookmarkEnd w:id="311"/>
    </w:p>
    <w:p w14:paraId="005403B5">
      <w:pPr>
        <w:pStyle w:val="24"/>
        <w:spacing w:before="143" w:beforeLines="50" w:beforeAutospacing="0" w:after="143" w:afterLines="50" w:line="360" w:lineRule="auto"/>
        <w:ind w:firstLine="496"/>
        <w:rPr>
          <w:color w:val="auto"/>
          <w:highlight w:val="none"/>
        </w:rPr>
      </w:pPr>
      <w:r>
        <w:rPr>
          <w:rFonts w:hint="eastAsia"/>
          <w:color w:val="auto"/>
          <w:highlight w:val="none"/>
        </w:rPr>
        <w:t>（1）计价综合考虑砂浆种类、配合比、厚度、嵌缝材料种类、防护材料种类、酸洗、打蜡要求等。</w:t>
      </w:r>
    </w:p>
    <w:p w14:paraId="208FABC0">
      <w:pPr>
        <w:pStyle w:val="24"/>
        <w:spacing w:before="143" w:beforeLines="50" w:beforeAutospacing="0" w:after="143" w:afterLines="50" w:line="360" w:lineRule="auto"/>
        <w:ind w:firstLine="496"/>
        <w:rPr>
          <w:color w:val="auto"/>
          <w:highlight w:val="none"/>
        </w:rPr>
      </w:pPr>
      <w:r>
        <w:rPr>
          <w:rFonts w:hint="eastAsia"/>
          <w:color w:val="auto"/>
          <w:highlight w:val="none"/>
        </w:rPr>
        <w:t>（2）计价包括基层处理、找平层、结合层、面层、磨边、嵌缝、刷防护材料、酸洗、打蜡、材料运输等相关费用。</w:t>
      </w:r>
    </w:p>
    <w:p w14:paraId="7C98C8B2">
      <w:pPr>
        <w:pStyle w:val="24"/>
        <w:spacing w:before="143" w:beforeLines="50" w:beforeAutospacing="0" w:after="143" w:afterLines="50" w:line="360" w:lineRule="auto"/>
        <w:ind w:firstLine="496"/>
        <w:rPr>
          <w:color w:val="auto"/>
          <w:highlight w:val="none"/>
        </w:rPr>
      </w:pPr>
      <w:r>
        <w:rPr>
          <w:rFonts w:hint="eastAsia"/>
          <w:color w:val="auto"/>
          <w:highlight w:val="none"/>
        </w:rPr>
        <w:t>（3）计量分石材种类、石材规格（按每块周长2.4m以内、2.4m~3.2m、3.2m以上划分）、石材厚度按设计图示尺寸以面积计算。门洞、空圈、暖气包槽、壁龛的开口部分并入相应的工程量内。</w:t>
      </w:r>
    </w:p>
    <w:p w14:paraId="3026CF6E">
      <w:pPr>
        <w:pStyle w:val="24"/>
        <w:spacing w:before="143" w:beforeLines="50" w:beforeAutospacing="0" w:after="143" w:afterLines="50" w:line="360" w:lineRule="auto"/>
        <w:ind w:firstLine="496"/>
        <w:rPr>
          <w:color w:val="auto"/>
          <w:highlight w:val="none"/>
        </w:rPr>
      </w:pPr>
      <w:r>
        <w:rPr>
          <w:rFonts w:hint="eastAsia"/>
          <w:color w:val="auto"/>
          <w:highlight w:val="none"/>
        </w:rPr>
        <w:t>（4）当石材种类、石材规格、石材厚度发生变更时，调整石材材料的价差。对部分石材下面有做防水卷材的地方，防水保护层已作为找平层的，找平层不另计。</w:t>
      </w:r>
    </w:p>
    <w:p w14:paraId="1055902E">
      <w:pPr>
        <w:spacing w:before="143" w:beforeLines="50" w:after="143" w:afterLines="50" w:line="360" w:lineRule="auto"/>
        <w:jc w:val="left"/>
        <w:outlineLvl w:val="6"/>
        <w:rPr>
          <w:rFonts w:ascii="宋体" w:hAnsi="宋体"/>
          <w:b/>
          <w:color w:val="auto"/>
          <w:sz w:val="28"/>
          <w:szCs w:val="28"/>
          <w:highlight w:val="none"/>
        </w:rPr>
      </w:pPr>
      <w:bookmarkStart w:id="312" w:name="_Toc28926"/>
      <w:bookmarkStart w:id="313" w:name="_Toc29784"/>
      <w:bookmarkStart w:id="314" w:name="_Toc403031696"/>
      <w:bookmarkStart w:id="315" w:name="_Toc400614630"/>
      <w:bookmarkStart w:id="316" w:name="_Toc31673"/>
      <w:r>
        <w:rPr>
          <w:rFonts w:hint="eastAsia" w:ascii="宋体" w:hAnsi="宋体"/>
          <w:b/>
          <w:color w:val="auto"/>
          <w:sz w:val="28"/>
          <w:szCs w:val="28"/>
          <w:highlight w:val="none"/>
        </w:rPr>
        <w:t>2.陶瓷块料楼地面</w:t>
      </w:r>
      <w:bookmarkEnd w:id="312"/>
      <w:bookmarkEnd w:id="313"/>
      <w:bookmarkEnd w:id="314"/>
      <w:bookmarkEnd w:id="315"/>
      <w:bookmarkEnd w:id="316"/>
    </w:p>
    <w:p w14:paraId="62B88C15">
      <w:pPr>
        <w:pStyle w:val="24"/>
        <w:spacing w:before="143" w:beforeLines="50" w:beforeAutospacing="0" w:after="143" w:afterLines="50" w:line="360" w:lineRule="auto"/>
        <w:ind w:firstLine="496"/>
        <w:rPr>
          <w:color w:val="auto"/>
          <w:highlight w:val="none"/>
        </w:rPr>
      </w:pPr>
      <w:r>
        <w:rPr>
          <w:rFonts w:hint="eastAsia"/>
          <w:color w:val="auto"/>
          <w:highlight w:val="none"/>
        </w:rPr>
        <w:t>（1）计价综合考虑砂浆种类、配合比、厚度、块料颜色、嵌缝材料种类、防护材料种类、酸洗、打蜡要求等。</w:t>
      </w:r>
    </w:p>
    <w:p w14:paraId="0FE5EF46">
      <w:pPr>
        <w:pStyle w:val="24"/>
        <w:spacing w:before="143" w:beforeLines="50" w:beforeAutospacing="0" w:after="143" w:afterLines="50" w:line="360" w:lineRule="auto"/>
        <w:ind w:firstLine="496"/>
        <w:rPr>
          <w:color w:val="auto"/>
          <w:highlight w:val="none"/>
        </w:rPr>
      </w:pPr>
      <w:r>
        <w:rPr>
          <w:rFonts w:hint="eastAsia"/>
          <w:color w:val="auto"/>
          <w:highlight w:val="none"/>
        </w:rPr>
        <w:t>（2）计价包括基层处理、找平层、结合层、面层、嵌缝、嵌防滑条、刷防护材料、酸洗、打蜡、材料运输等相关费用。</w:t>
      </w:r>
    </w:p>
    <w:p w14:paraId="0CE7CC5A">
      <w:pPr>
        <w:pStyle w:val="24"/>
        <w:spacing w:before="143" w:beforeLines="50" w:beforeAutospacing="0" w:after="143" w:afterLines="50" w:line="360" w:lineRule="auto"/>
        <w:ind w:firstLine="496"/>
        <w:rPr>
          <w:color w:val="auto"/>
          <w:highlight w:val="none"/>
        </w:rPr>
      </w:pPr>
      <w:r>
        <w:rPr>
          <w:rFonts w:hint="eastAsia"/>
          <w:color w:val="auto"/>
          <w:highlight w:val="none"/>
        </w:rPr>
        <w:t>（3）计量分块料种类、块料规格按设计图示尺寸以面积计算。门洞、空圈、暖气包槽、壁龛的开口部分并入相应工程量内。</w:t>
      </w:r>
    </w:p>
    <w:p w14:paraId="2ABA6CCB">
      <w:pPr>
        <w:pStyle w:val="24"/>
        <w:spacing w:before="143" w:beforeLines="50" w:beforeAutospacing="0" w:after="143" w:afterLines="50" w:line="360" w:lineRule="auto"/>
        <w:ind w:firstLine="496"/>
        <w:rPr>
          <w:color w:val="auto"/>
          <w:highlight w:val="none"/>
        </w:rPr>
      </w:pPr>
      <w:r>
        <w:rPr>
          <w:rFonts w:hint="eastAsia"/>
          <w:color w:val="auto"/>
          <w:highlight w:val="none"/>
        </w:rPr>
        <w:t>（4）当块料种类、块料规格发生变更时，调整块料材料的价差。</w:t>
      </w:r>
    </w:p>
    <w:p w14:paraId="07A211E5">
      <w:pPr>
        <w:spacing w:before="143" w:beforeLines="50" w:beforeAutospacing="0" w:after="143" w:afterLines="50"/>
        <w:outlineLvl w:val="5"/>
        <w:rPr>
          <w:rFonts w:hint="eastAsia"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L.3(橡塑面层)</w:t>
      </w:r>
    </w:p>
    <w:p w14:paraId="2A9BC214">
      <w:pPr>
        <w:pStyle w:val="24"/>
        <w:spacing w:before="143" w:beforeLines="50" w:beforeAutospacing="0" w:after="143" w:afterLines="50" w:line="360" w:lineRule="auto"/>
        <w:ind w:firstLine="496"/>
        <w:rPr>
          <w:rFonts w:hint="eastAsia" w:eastAsia="宋体"/>
          <w:color w:val="auto"/>
          <w:highlight w:val="none"/>
          <w:lang w:eastAsia="zh-CN"/>
        </w:rPr>
      </w:pPr>
      <w:r>
        <w:rPr>
          <w:rFonts w:hint="eastAsia"/>
          <w:color w:val="auto"/>
          <w:highlight w:val="none"/>
          <w:lang w:val="en-US" w:eastAsia="zh-CN"/>
        </w:rPr>
        <w:t>1.</w:t>
      </w:r>
      <w:r>
        <w:rPr>
          <w:rFonts w:hint="eastAsia" w:eastAsia="宋体"/>
          <w:color w:val="auto"/>
          <w:highlight w:val="none"/>
          <w:lang w:eastAsia="zh-CN"/>
        </w:rPr>
        <w:t>橡胶板楼地面、橡胶板卷材楼地面、塑料板楼地面、塑料卷材楼地面</w:t>
      </w:r>
    </w:p>
    <w:p w14:paraId="43E29A09">
      <w:pPr>
        <w:pStyle w:val="24"/>
        <w:spacing w:before="143" w:beforeLines="50" w:beforeAutospacing="0" w:after="143" w:afterLines="50" w:line="360" w:lineRule="auto"/>
        <w:ind w:firstLine="496"/>
        <w:rPr>
          <w:rFonts w:hint="eastAsia" w:eastAsia="宋体"/>
          <w:color w:val="auto"/>
          <w:highlight w:val="none"/>
          <w:lang w:eastAsia="zh-CN"/>
        </w:rPr>
      </w:pPr>
      <w:r>
        <w:rPr>
          <w:rFonts w:hint="eastAsia" w:eastAsia="宋体"/>
          <w:color w:val="auto"/>
          <w:highlight w:val="none"/>
          <w:lang w:eastAsia="zh-CN"/>
        </w:rPr>
        <w:t>(1)计价综合考虑粘结层种类、厚度，压条材料种类，面层铺贴方式，材料颜色.规格等。</w:t>
      </w:r>
    </w:p>
    <w:p w14:paraId="53CED4B5">
      <w:pPr>
        <w:pStyle w:val="24"/>
        <w:spacing w:before="143" w:beforeLines="50" w:beforeAutospacing="0" w:after="143" w:afterLines="50" w:line="360" w:lineRule="auto"/>
        <w:ind w:firstLine="496"/>
        <w:rPr>
          <w:rFonts w:hint="eastAsia" w:eastAsia="宋体"/>
          <w:color w:val="auto"/>
          <w:highlight w:val="none"/>
          <w:lang w:eastAsia="zh-CN"/>
        </w:rPr>
      </w:pPr>
      <w:r>
        <w:rPr>
          <w:rFonts w:hint="eastAsia" w:eastAsia="宋体"/>
          <w:color w:val="auto"/>
          <w:highlight w:val="none"/>
          <w:lang w:eastAsia="zh-CN"/>
        </w:rPr>
        <w:t>(2)计价包括基层处理、面层、压条、材料运输等相关费用。</w:t>
      </w:r>
    </w:p>
    <w:p w14:paraId="7F759AA2">
      <w:pPr>
        <w:pStyle w:val="24"/>
        <w:spacing w:before="143" w:beforeLines="50" w:beforeAutospacing="0" w:after="143" w:afterLines="50" w:line="360" w:lineRule="auto"/>
        <w:ind w:firstLine="496"/>
        <w:rPr>
          <w:rFonts w:hint="eastAsia" w:eastAsia="宋体"/>
          <w:color w:val="auto"/>
          <w:highlight w:val="none"/>
          <w:lang w:eastAsia="zh-CN"/>
        </w:rPr>
      </w:pPr>
      <w:r>
        <w:rPr>
          <w:rFonts w:hint="eastAsia" w:eastAsia="宋体"/>
          <w:color w:val="auto"/>
          <w:highlight w:val="none"/>
          <w:lang w:eastAsia="zh-CN"/>
        </w:rPr>
        <w:t>(3)计量分面层材料种类、规格按设计图示尺寸以面积计算。门洞、空圈、暖气包槽、壁意的开口部分并入相应工程量内。</w:t>
      </w:r>
    </w:p>
    <w:p w14:paraId="609E854F">
      <w:pPr>
        <w:pStyle w:val="24"/>
        <w:spacing w:before="143" w:beforeLines="50" w:beforeAutospacing="0" w:after="143" w:afterLines="50" w:line="360" w:lineRule="auto"/>
        <w:ind w:firstLine="496"/>
        <w:rPr>
          <w:rFonts w:hint="eastAsia" w:eastAsia="宋体"/>
          <w:color w:val="auto"/>
          <w:highlight w:val="none"/>
          <w:lang w:eastAsia="zh-CN"/>
        </w:rPr>
      </w:pPr>
      <w:r>
        <w:rPr>
          <w:rFonts w:hint="eastAsia" w:eastAsia="宋体"/>
          <w:color w:val="auto"/>
          <w:highlight w:val="none"/>
          <w:lang w:eastAsia="zh-CN"/>
        </w:rPr>
        <w:t>(4)当面层材料种类、规格发生变更时，调整面料的价差</w:t>
      </w:r>
    </w:p>
    <w:p w14:paraId="6A5C8A72">
      <w:pPr>
        <w:pStyle w:val="24"/>
        <w:spacing w:before="143" w:beforeLines="50" w:beforeAutospacing="0" w:after="143" w:afterLines="50" w:line="360" w:lineRule="auto"/>
        <w:ind w:firstLine="496"/>
        <w:rPr>
          <w:rFonts w:hint="eastAsia" w:eastAsia="宋体"/>
          <w:color w:val="auto"/>
          <w:highlight w:val="none"/>
          <w:lang w:eastAsia="zh-CN"/>
        </w:rPr>
      </w:pPr>
      <w:r>
        <w:rPr>
          <w:rFonts w:hint="eastAsia" w:eastAsia="宋体"/>
          <w:color w:val="auto"/>
          <w:highlight w:val="none"/>
          <w:lang w:eastAsia="zh-CN"/>
        </w:rPr>
        <w:t>(5)找平层另按清单计价规范开列清单项目。</w:t>
      </w:r>
    </w:p>
    <w:p w14:paraId="546637A9">
      <w:pPr>
        <w:spacing w:before="143" w:beforeLines="50" w:after="143" w:afterLines="50" w:line="360" w:lineRule="auto"/>
        <w:jc w:val="left"/>
        <w:outlineLvl w:val="5"/>
        <w:rPr>
          <w:rFonts w:ascii="宋体" w:hAnsi="宋体"/>
          <w:b/>
          <w:strike/>
          <w:color w:val="auto"/>
          <w:sz w:val="28"/>
          <w:szCs w:val="28"/>
          <w:highlight w:val="none"/>
        </w:rPr>
      </w:pPr>
      <w:r>
        <w:rPr>
          <w:rFonts w:hint="eastAsia" w:ascii="宋体" w:hAnsi="宋体"/>
          <w:b/>
          <w:strike w:val="0"/>
          <w:color w:val="auto"/>
          <w:sz w:val="28"/>
          <w:szCs w:val="28"/>
          <w:highlight w:val="none"/>
        </w:rPr>
        <w:t>L.</w:t>
      </w:r>
      <w:r>
        <w:rPr>
          <w:rFonts w:hint="eastAsia" w:ascii="宋体" w:hAnsi="宋体"/>
          <w:b/>
          <w:strike w:val="0"/>
          <w:color w:val="auto"/>
          <w:sz w:val="28"/>
          <w:szCs w:val="28"/>
          <w:highlight w:val="none"/>
          <w:lang w:val="en-US" w:eastAsia="zh-CN"/>
        </w:rPr>
        <w:t>4</w:t>
      </w:r>
      <w:r>
        <w:rPr>
          <w:rFonts w:hint="eastAsia" w:ascii="宋体" w:hAnsi="宋体"/>
          <w:b/>
          <w:strike w:val="0"/>
          <w:color w:val="auto"/>
          <w:sz w:val="28"/>
          <w:szCs w:val="28"/>
          <w:highlight w:val="none"/>
        </w:rPr>
        <w:t>（其他材料面层）</w:t>
      </w:r>
    </w:p>
    <w:p w14:paraId="68FD55E8">
      <w:pPr>
        <w:spacing w:before="143" w:beforeLines="50" w:after="143" w:afterLines="50" w:line="360" w:lineRule="auto"/>
        <w:jc w:val="left"/>
        <w:outlineLvl w:val="6"/>
        <w:rPr>
          <w:rFonts w:ascii="宋体" w:hAnsi="宋体"/>
          <w:b/>
          <w:color w:val="auto"/>
          <w:sz w:val="28"/>
          <w:szCs w:val="28"/>
          <w:highlight w:val="none"/>
        </w:rPr>
      </w:pPr>
      <w:r>
        <w:rPr>
          <w:rFonts w:hint="eastAsia" w:ascii="宋体" w:hAnsi="宋体"/>
          <w:b/>
          <w:color w:val="auto"/>
          <w:sz w:val="28"/>
          <w:szCs w:val="28"/>
          <w:highlight w:val="none"/>
          <w:lang w:eastAsia="zh"/>
        </w:rPr>
        <w:t>1</w:t>
      </w:r>
      <w:r>
        <w:rPr>
          <w:rFonts w:hint="eastAsia" w:ascii="宋体" w:hAnsi="宋体"/>
          <w:b/>
          <w:color w:val="auto"/>
          <w:sz w:val="28"/>
          <w:szCs w:val="28"/>
          <w:highlight w:val="none"/>
        </w:rPr>
        <w:t>.竹、木（复合）地板、金属复合地板楼地面</w:t>
      </w:r>
    </w:p>
    <w:p w14:paraId="0054CD2B">
      <w:pPr>
        <w:pStyle w:val="24"/>
        <w:spacing w:before="143" w:beforeLines="50" w:beforeAutospacing="0" w:after="143" w:afterLines="50" w:line="360" w:lineRule="auto"/>
        <w:ind w:firstLine="496"/>
        <w:rPr>
          <w:color w:val="auto"/>
          <w:highlight w:val="none"/>
        </w:rPr>
      </w:pPr>
      <w:r>
        <w:rPr>
          <w:rFonts w:hint="eastAsia"/>
          <w:color w:val="auto"/>
          <w:highlight w:val="none"/>
        </w:rPr>
        <w:t>（1）计价综合考虑面层铺贴方式、材料规格、颜色；基层材料种类、规格；骨架材料种类、规格、铺设间距；压条材料种类、油漆、防护材料种类等。</w:t>
      </w:r>
    </w:p>
    <w:p w14:paraId="467D4458">
      <w:pPr>
        <w:pStyle w:val="24"/>
        <w:spacing w:before="143" w:beforeLines="50" w:beforeAutospacing="0" w:after="143" w:afterLines="50" w:line="360" w:lineRule="auto"/>
        <w:ind w:firstLine="496"/>
        <w:rPr>
          <w:color w:val="auto"/>
          <w:highlight w:val="none"/>
        </w:rPr>
      </w:pPr>
      <w:r>
        <w:rPr>
          <w:rFonts w:hint="eastAsia"/>
          <w:color w:val="auto"/>
          <w:highlight w:val="none"/>
        </w:rPr>
        <w:t>（2）计价包括基层处理、龙骨、面层、压条、刷养护液或保护液、油漆、材料运输等相关费用。</w:t>
      </w:r>
    </w:p>
    <w:p w14:paraId="0E936B49">
      <w:pPr>
        <w:pStyle w:val="24"/>
        <w:spacing w:before="143" w:beforeLines="50" w:beforeAutospacing="0" w:after="143" w:afterLines="50" w:line="360" w:lineRule="auto"/>
        <w:ind w:firstLine="496"/>
        <w:rPr>
          <w:color w:val="auto"/>
          <w:highlight w:val="none"/>
        </w:rPr>
      </w:pPr>
      <w:r>
        <w:rPr>
          <w:rFonts w:hint="eastAsia"/>
          <w:color w:val="auto"/>
          <w:highlight w:val="none"/>
        </w:rPr>
        <w:t>（3）计量分面层材料种按设计图示尺寸以面积计算。门洞、空圈、暖气包槽、壁龛的开口部分并入相应的工程量内。</w:t>
      </w:r>
    </w:p>
    <w:p w14:paraId="7E0C83DD">
      <w:pPr>
        <w:pStyle w:val="24"/>
        <w:spacing w:before="143" w:beforeLines="50" w:beforeAutospacing="0" w:after="143" w:afterLines="50" w:line="360" w:lineRule="auto"/>
        <w:ind w:firstLine="496"/>
        <w:rPr>
          <w:rFonts w:hint="eastAsia"/>
          <w:color w:val="auto"/>
          <w:highlight w:val="none"/>
        </w:rPr>
      </w:pPr>
      <w:r>
        <w:rPr>
          <w:rFonts w:hint="eastAsia"/>
          <w:color w:val="auto"/>
          <w:highlight w:val="none"/>
        </w:rPr>
        <w:t>（4）当面层材料种类发生变更时，调整面层材料的价差。</w:t>
      </w:r>
    </w:p>
    <w:p w14:paraId="7CCFB4C4">
      <w:pPr>
        <w:pStyle w:val="24"/>
        <w:spacing w:before="143" w:beforeLines="50" w:beforeAutospacing="0" w:after="143" w:afterLines="50" w:line="360" w:lineRule="auto"/>
        <w:ind w:firstLine="496"/>
        <w:rPr>
          <w:rFonts w:hint="eastAsia" w:eastAsia="宋体"/>
          <w:color w:val="auto"/>
          <w:highlight w:val="none"/>
          <w:lang w:eastAsia="zh-CN"/>
        </w:rPr>
      </w:pPr>
    </w:p>
    <w:p w14:paraId="10D7E618">
      <w:pPr>
        <w:spacing w:before="143" w:beforeLines="50" w:after="143" w:afterLines="50" w:line="360" w:lineRule="auto"/>
        <w:jc w:val="left"/>
        <w:outlineLvl w:val="4"/>
        <w:rPr>
          <w:rFonts w:ascii="宋体" w:hAnsi="宋体"/>
          <w:b/>
          <w:color w:val="auto"/>
          <w:sz w:val="28"/>
          <w:szCs w:val="28"/>
          <w:highlight w:val="none"/>
        </w:rPr>
      </w:pPr>
      <w:bookmarkStart w:id="317" w:name="_Toc2891"/>
      <w:bookmarkStart w:id="318" w:name="_Toc400614637"/>
      <w:bookmarkStart w:id="319" w:name="_Toc17091"/>
      <w:bookmarkStart w:id="320" w:name="_Toc403031703"/>
      <w:bookmarkStart w:id="321" w:name="_Toc22214"/>
      <w:r>
        <w:rPr>
          <w:rFonts w:hint="eastAsia" w:ascii="宋体" w:hAnsi="宋体"/>
          <w:b/>
          <w:color w:val="auto"/>
          <w:sz w:val="28"/>
          <w:szCs w:val="28"/>
          <w:highlight w:val="none"/>
        </w:rPr>
        <w:t>L.</w:t>
      </w:r>
      <w:r>
        <w:rPr>
          <w:rFonts w:hint="eastAsia" w:ascii="宋体" w:hAnsi="宋体"/>
          <w:b/>
          <w:color w:val="auto"/>
          <w:sz w:val="28"/>
          <w:szCs w:val="28"/>
          <w:highlight w:val="none"/>
          <w:lang w:val="en-US" w:eastAsia="zh-CN"/>
        </w:rPr>
        <w:t>5</w:t>
      </w:r>
      <w:r>
        <w:rPr>
          <w:rFonts w:hint="eastAsia" w:ascii="宋体" w:hAnsi="宋体"/>
          <w:b/>
          <w:color w:val="auto"/>
          <w:sz w:val="28"/>
          <w:szCs w:val="28"/>
          <w:highlight w:val="none"/>
        </w:rPr>
        <w:t>踢脚线</w:t>
      </w:r>
      <w:bookmarkEnd w:id="317"/>
      <w:bookmarkEnd w:id="318"/>
      <w:bookmarkEnd w:id="319"/>
      <w:bookmarkEnd w:id="320"/>
      <w:bookmarkEnd w:id="321"/>
    </w:p>
    <w:p w14:paraId="5698C934">
      <w:pPr>
        <w:spacing w:before="143" w:beforeLines="50" w:after="143" w:afterLines="50" w:line="360" w:lineRule="auto"/>
        <w:jc w:val="left"/>
        <w:outlineLvl w:val="6"/>
        <w:rPr>
          <w:rFonts w:ascii="宋体" w:hAnsi="宋体"/>
          <w:b/>
          <w:color w:val="auto"/>
          <w:sz w:val="28"/>
          <w:szCs w:val="28"/>
          <w:highlight w:val="none"/>
        </w:rPr>
      </w:pPr>
      <w:bookmarkStart w:id="322" w:name="_Toc403031704"/>
      <w:bookmarkStart w:id="323" w:name="_Toc400614638"/>
      <w:bookmarkStart w:id="324" w:name="_Toc27632"/>
      <w:bookmarkStart w:id="325" w:name="_Toc12407"/>
      <w:bookmarkStart w:id="326" w:name="_Toc28002"/>
      <w:r>
        <w:rPr>
          <w:rFonts w:hint="eastAsia" w:ascii="宋体" w:hAnsi="宋体"/>
          <w:b/>
          <w:color w:val="auto"/>
          <w:sz w:val="28"/>
          <w:szCs w:val="28"/>
          <w:highlight w:val="none"/>
        </w:rPr>
        <w:t>1.水泥砂浆踢脚线、石材踢脚线、块料踢脚线、木质踢脚线、金属踢脚线</w:t>
      </w:r>
      <w:bookmarkEnd w:id="322"/>
      <w:bookmarkEnd w:id="323"/>
      <w:bookmarkEnd w:id="324"/>
      <w:bookmarkEnd w:id="325"/>
      <w:bookmarkEnd w:id="326"/>
    </w:p>
    <w:p w14:paraId="076629DE">
      <w:pPr>
        <w:pStyle w:val="24"/>
        <w:spacing w:before="143" w:beforeLines="50" w:beforeAutospacing="0" w:after="143" w:afterLines="50" w:line="360" w:lineRule="auto"/>
        <w:ind w:firstLine="496"/>
        <w:rPr>
          <w:color w:val="auto"/>
          <w:highlight w:val="none"/>
        </w:rPr>
      </w:pPr>
      <w:r>
        <w:rPr>
          <w:rFonts w:hint="eastAsia"/>
          <w:color w:val="auto"/>
          <w:highlight w:val="none"/>
        </w:rPr>
        <w:t>（1）计价综合考虑面层规格、颜色；砂浆种类、配合比、厚度；底层做法；防护材料种类。</w:t>
      </w:r>
    </w:p>
    <w:p w14:paraId="547BF165">
      <w:pPr>
        <w:pStyle w:val="24"/>
        <w:spacing w:before="143" w:beforeLines="50" w:beforeAutospacing="0" w:after="143" w:afterLines="50" w:line="360" w:lineRule="auto"/>
        <w:ind w:firstLine="496"/>
        <w:rPr>
          <w:color w:val="auto"/>
          <w:highlight w:val="none"/>
        </w:rPr>
      </w:pPr>
      <w:r>
        <w:rPr>
          <w:rFonts w:hint="eastAsia"/>
          <w:color w:val="auto"/>
          <w:highlight w:val="none"/>
        </w:rPr>
        <w:t>（2）计价包括底层、面层、防护、材料运输等相关费用。</w:t>
      </w:r>
    </w:p>
    <w:p w14:paraId="1C8E89A0">
      <w:pPr>
        <w:pStyle w:val="24"/>
        <w:spacing w:before="143" w:beforeLines="50" w:beforeAutospacing="0" w:after="143" w:afterLines="50" w:line="360" w:lineRule="auto"/>
        <w:ind w:firstLine="496"/>
        <w:rPr>
          <w:color w:val="auto"/>
          <w:highlight w:val="none"/>
        </w:rPr>
      </w:pPr>
      <w:r>
        <w:rPr>
          <w:rFonts w:hint="eastAsia"/>
          <w:color w:val="auto"/>
          <w:highlight w:val="none"/>
        </w:rPr>
        <w:t>（3）计量分面层材料种类按设计图示以面积计算。</w:t>
      </w:r>
    </w:p>
    <w:p w14:paraId="1360DD7A">
      <w:pPr>
        <w:pStyle w:val="24"/>
        <w:spacing w:before="143" w:beforeLines="50" w:beforeAutospacing="0" w:after="143" w:afterLines="50" w:line="360" w:lineRule="auto"/>
        <w:ind w:firstLine="496"/>
        <w:rPr>
          <w:color w:val="auto"/>
          <w:highlight w:val="none"/>
        </w:rPr>
      </w:pPr>
      <w:r>
        <w:rPr>
          <w:rFonts w:hint="eastAsia"/>
          <w:color w:val="auto"/>
          <w:highlight w:val="none"/>
        </w:rPr>
        <w:t>（4）当面层材料种类发生变更时，调整面层材料的价差。</w:t>
      </w:r>
    </w:p>
    <w:p w14:paraId="1ED435B0">
      <w:pPr>
        <w:spacing w:before="143" w:beforeLines="50" w:after="143" w:afterLines="50" w:line="360" w:lineRule="auto"/>
        <w:jc w:val="left"/>
        <w:outlineLvl w:val="4"/>
        <w:rPr>
          <w:rFonts w:ascii="宋体" w:hAnsi="宋体"/>
          <w:b/>
          <w:color w:val="auto"/>
          <w:sz w:val="28"/>
          <w:szCs w:val="28"/>
          <w:highlight w:val="none"/>
        </w:rPr>
      </w:pPr>
      <w:bookmarkStart w:id="327" w:name="_Toc403031705"/>
      <w:bookmarkStart w:id="328" w:name="_Toc9803"/>
      <w:bookmarkStart w:id="329" w:name="_Toc400614639"/>
      <w:bookmarkStart w:id="330" w:name="_Toc19630"/>
      <w:bookmarkStart w:id="331" w:name="_Toc24688"/>
      <w:r>
        <w:rPr>
          <w:rFonts w:hint="eastAsia" w:ascii="宋体" w:hAnsi="宋体"/>
          <w:b/>
          <w:color w:val="auto"/>
          <w:sz w:val="28"/>
          <w:szCs w:val="28"/>
          <w:highlight w:val="none"/>
        </w:rPr>
        <w:t>L.</w:t>
      </w:r>
      <w:r>
        <w:rPr>
          <w:rFonts w:hint="eastAsia" w:ascii="宋体" w:hAnsi="宋体"/>
          <w:b/>
          <w:color w:val="auto"/>
          <w:sz w:val="28"/>
          <w:szCs w:val="28"/>
          <w:highlight w:val="none"/>
          <w:lang w:eastAsia="zh"/>
        </w:rPr>
        <w:t>6</w:t>
      </w:r>
      <w:r>
        <w:rPr>
          <w:rFonts w:hint="eastAsia" w:ascii="宋体" w:hAnsi="宋体"/>
          <w:b/>
          <w:color w:val="auto"/>
          <w:sz w:val="28"/>
          <w:szCs w:val="28"/>
          <w:highlight w:val="none"/>
        </w:rPr>
        <w:t>楼梯面层</w:t>
      </w:r>
      <w:bookmarkEnd w:id="327"/>
      <w:bookmarkEnd w:id="328"/>
      <w:bookmarkEnd w:id="329"/>
      <w:bookmarkEnd w:id="330"/>
      <w:bookmarkEnd w:id="331"/>
    </w:p>
    <w:p w14:paraId="1D26195B">
      <w:pPr>
        <w:spacing w:before="143" w:beforeLines="50" w:after="143" w:afterLines="50" w:line="360" w:lineRule="auto"/>
        <w:jc w:val="left"/>
        <w:outlineLvl w:val="6"/>
        <w:rPr>
          <w:rFonts w:ascii="宋体" w:hAnsi="宋体"/>
          <w:b/>
          <w:color w:val="auto"/>
          <w:sz w:val="28"/>
          <w:szCs w:val="28"/>
          <w:highlight w:val="none"/>
        </w:rPr>
      </w:pPr>
      <w:bookmarkStart w:id="332" w:name="_Toc403031706"/>
      <w:bookmarkStart w:id="333" w:name="_Toc400614640"/>
      <w:bookmarkStart w:id="334" w:name="_Toc63"/>
      <w:bookmarkStart w:id="335" w:name="_Toc31013"/>
      <w:bookmarkStart w:id="336" w:name="_Toc4981"/>
      <w:r>
        <w:rPr>
          <w:rFonts w:hint="eastAsia" w:ascii="宋体" w:hAnsi="宋体"/>
          <w:b/>
          <w:color w:val="auto"/>
          <w:sz w:val="28"/>
          <w:szCs w:val="28"/>
          <w:highlight w:val="none"/>
        </w:rPr>
        <w:t>1.水泥砂浆楼梯面层</w:t>
      </w:r>
      <w:bookmarkEnd w:id="332"/>
      <w:bookmarkEnd w:id="333"/>
      <w:bookmarkEnd w:id="334"/>
      <w:bookmarkEnd w:id="335"/>
      <w:bookmarkEnd w:id="336"/>
    </w:p>
    <w:p w14:paraId="0A491B03">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（1）计价综合砂浆种类、配合比、厚度、基底类型。</w:t>
      </w:r>
    </w:p>
    <w:p w14:paraId="55E0FBF8">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（2）计价包括基层处理、找平层、面层、防滑条、材料运输等相关费用。</w:t>
      </w:r>
    </w:p>
    <w:p w14:paraId="41AB65FB">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（3）计量按设计图示尺寸以楼梯（包括踏步、休息平台及≤500mm的楼梯井）水平投影面积计算。楼梯与楼地面相连时，算至梯口梁侧边沿；无梯口梁着算至最上一层踏步边沿加300mm。</w:t>
      </w:r>
    </w:p>
    <w:p w14:paraId="162C83CD">
      <w:pPr>
        <w:spacing w:before="143" w:beforeLines="50" w:after="143" w:afterLines="50" w:line="360" w:lineRule="auto"/>
        <w:jc w:val="left"/>
        <w:outlineLvl w:val="6"/>
        <w:rPr>
          <w:rFonts w:ascii="宋体" w:hAnsi="宋体"/>
          <w:b/>
          <w:color w:val="auto"/>
          <w:sz w:val="28"/>
          <w:szCs w:val="28"/>
          <w:highlight w:val="none"/>
        </w:rPr>
      </w:pPr>
      <w:bookmarkStart w:id="337" w:name="_Toc403031709"/>
      <w:bookmarkStart w:id="338" w:name="_Toc400614643"/>
      <w:bookmarkStart w:id="339" w:name="_Toc26559"/>
      <w:bookmarkStart w:id="340" w:name="_Toc891"/>
      <w:bookmarkStart w:id="341" w:name="_Toc27412"/>
      <w:r>
        <w:rPr>
          <w:rFonts w:hint="eastAsia" w:ascii="宋体" w:hAnsi="宋体"/>
          <w:b/>
          <w:color w:val="auto"/>
          <w:sz w:val="28"/>
          <w:szCs w:val="28"/>
          <w:highlight w:val="none"/>
          <w:lang w:eastAsia="zh"/>
        </w:rPr>
        <w:t>2</w:t>
      </w:r>
      <w:r>
        <w:rPr>
          <w:rFonts w:hint="eastAsia" w:ascii="宋体" w:hAnsi="宋体"/>
          <w:b/>
          <w:color w:val="auto"/>
          <w:sz w:val="28"/>
          <w:szCs w:val="28"/>
          <w:highlight w:val="none"/>
        </w:rPr>
        <w:t>.陶瓷块料楼梯面层</w:t>
      </w:r>
      <w:bookmarkEnd w:id="337"/>
      <w:bookmarkEnd w:id="338"/>
      <w:bookmarkEnd w:id="339"/>
      <w:bookmarkEnd w:id="340"/>
      <w:bookmarkEnd w:id="341"/>
    </w:p>
    <w:p w14:paraId="17DA4F35">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（1）计价综合考虑找平层及结合层砂浆种类、配合比、厚度，防滑条材料种类、防护材料种类、酸洗、打蜡要求等。</w:t>
      </w:r>
    </w:p>
    <w:p w14:paraId="3698A5D8">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（2）计价包括基层处理、找平层、结合层、面层、防滑条、防护、酸洗、打蜡、材料运输等相关费用。</w:t>
      </w:r>
    </w:p>
    <w:p w14:paraId="61882E0B">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（3）计量分块料种类、块料规格按设计图示尺寸以楼梯（包括踏步、休息平台及≤500mm的楼梯井）水平投影面积计算。楼梯与楼地面相连时，算至梯口梁侧边沿；无梯口梁着算至最上一层踏步边沿加300mm。</w:t>
      </w:r>
    </w:p>
    <w:p w14:paraId="13BDEB46">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（4）当块料种类、块料规格发生变更时，调整块料材料的价差。</w:t>
      </w:r>
    </w:p>
    <w:p w14:paraId="7D4D7CA1">
      <w:pPr>
        <w:spacing w:before="143" w:beforeLines="50" w:after="143" w:afterLines="50" w:line="360" w:lineRule="auto"/>
        <w:jc w:val="left"/>
        <w:outlineLvl w:val="4"/>
        <w:rPr>
          <w:rFonts w:ascii="宋体" w:hAnsi="宋体"/>
          <w:b/>
          <w:color w:val="auto"/>
          <w:sz w:val="28"/>
          <w:szCs w:val="28"/>
          <w:highlight w:val="none"/>
        </w:rPr>
      </w:pPr>
      <w:bookmarkStart w:id="342" w:name="_Toc19476"/>
      <w:bookmarkStart w:id="343" w:name="_Toc28412"/>
      <w:bookmarkStart w:id="344" w:name="_Toc21082"/>
      <w:bookmarkStart w:id="345" w:name="_Toc400614646"/>
      <w:bookmarkStart w:id="346" w:name="_Toc403031712"/>
      <w:r>
        <w:rPr>
          <w:rFonts w:hint="eastAsia" w:ascii="宋体" w:hAnsi="宋体"/>
          <w:b/>
          <w:color w:val="auto"/>
          <w:sz w:val="28"/>
          <w:szCs w:val="28"/>
          <w:highlight w:val="none"/>
        </w:rPr>
        <w:t>M.墙、柱面装饰与隔断、幕墙工程</w:t>
      </w:r>
      <w:bookmarkEnd w:id="342"/>
      <w:bookmarkEnd w:id="343"/>
      <w:bookmarkEnd w:id="344"/>
      <w:bookmarkEnd w:id="345"/>
      <w:bookmarkEnd w:id="346"/>
    </w:p>
    <w:p w14:paraId="4C7BC0BC">
      <w:pPr>
        <w:spacing w:before="143" w:beforeLines="50" w:after="143" w:afterLines="50" w:line="360" w:lineRule="auto"/>
        <w:jc w:val="left"/>
        <w:outlineLvl w:val="5"/>
        <w:rPr>
          <w:rFonts w:ascii="宋体" w:hAnsi="宋体"/>
          <w:b/>
          <w:color w:val="auto"/>
          <w:sz w:val="28"/>
          <w:szCs w:val="28"/>
          <w:highlight w:val="none"/>
        </w:rPr>
      </w:pPr>
      <w:bookmarkStart w:id="347" w:name="_Toc4841"/>
      <w:bookmarkStart w:id="348" w:name="_Toc10151"/>
      <w:bookmarkStart w:id="349" w:name="_Toc31715"/>
      <w:bookmarkStart w:id="350" w:name="_Toc400614647"/>
      <w:bookmarkStart w:id="351" w:name="_Toc403031713"/>
      <w:r>
        <w:rPr>
          <w:rFonts w:hint="eastAsia" w:ascii="宋体" w:hAnsi="宋体"/>
          <w:b/>
          <w:color w:val="auto"/>
          <w:sz w:val="28"/>
          <w:szCs w:val="28"/>
          <w:highlight w:val="none"/>
        </w:rPr>
        <w:t>M.4（墙面块料面层）、M.5（柱、梁面镶贴块料）、M.6（镶贴零星块料）</w:t>
      </w:r>
      <w:bookmarkEnd w:id="347"/>
      <w:bookmarkEnd w:id="348"/>
      <w:bookmarkEnd w:id="349"/>
      <w:bookmarkEnd w:id="350"/>
      <w:bookmarkEnd w:id="351"/>
    </w:p>
    <w:p w14:paraId="57BB4952">
      <w:pPr>
        <w:pStyle w:val="24"/>
        <w:spacing w:before="143" w:beforeLines="50" w:beforeAutospacing="0" w:after="143" w:afterLines="50" w:line="360" w:lineRule="auto"/>
        <w:ind w:firstLine="0" w:firstLineChars="0"/>
        <w:rPr>
          <w:color w:val="auto"/>
          <w:highlight w:val="none"/>
        </w:rPr>
      </w:pPr>
      <w:r>
        <w:rPr>
          <w:rFonts w:hint="eastAsia"/>
          <w:color w:val="auto"/>
          <w:highlight w:val="none"/>
        </w:rPr>
        <w:t>共性问题说明：因各类管线施工致使找平层及结合层厚度变化而增减的费用均不作调整。计价综合</w:t>
      </w:r>
      <w:r>
        <w:rPr>
          <w:color w:val="auto"/>
          <w:highlight w:val="none"/>
        </w:rPr>
        <w:t>考虑</w:t>
      </w:r>
      <w:r>
        <w:rPr>
          <w:rFonts w:hint="eastAsia"/>
          <w:color w:val="auto"/>
          <w:highlight w:val="none"/>
        </w:rPr>
        <w:t>砂浆种类、配合比、厚度，砂浆种类不包括保温砂浆、防水砂浆。相关超高降效、暗室增加已含在相应清单费用内，不另行计算。</w:t>
      </w:r>
    </w:p>
    <w:p w14:paraId="52CE780F">
      <w:pPr>
        <w:spacing w:before="143" w:beforeLines="50" w:after="143" w:afterLines="50" w:line="360" w:lineRule="auto"/>
        <w:jc w:val="left"/>
        <w:outlineLvl w:val="6"/>
        <w:rPr>
          <w:rFonts w:ascii="宋体" w:hAnsi="宋体"/>
          <w:b/>
          <w:color w:val="auto"/>
          <w:sz w:val="28"/>
          <w:szCs w:val="28"/>
          <w:highlight w:val="none"/>
        </w:rPr>
      </w:pPr>
      <w:bookmarkStart w:id="352" w:name="_Toc24696"/>
      <w:bookmarkStart w:id="353" w:name="_Toc31827"/>
      <w:bookmarkStart w:id="354" w:name="_Toc30494"/>
      <w:bookmarkStart w:id="355" w:name="_Toc403031714"/>
      <w:bookmarkStart w:id="356" w:name="_Toc400614648"/>
      <w:r>
        <w:rPr>
          <w:rFonts w:hint="eastAsia" w:ascii="宋体" w:hAnsi="宋体"/>
          <w:b/>
          <w:color w:val="auto"/>
          <w:sz w:val="28"/>
          <w:szCs w:val="28"/>
          <w:highlight w:val="none"/>
        </w:rPr>
        <w:t>1.墙面一般抹灰</w:t>
      </w:r>
      <w:bookmarkEnd w:id="352"/>
      <w:bookmarkEnd w:id="353"/>
      <w:bookmarkEnd w:id="354"/>
      <w:bookmarkEnd w:id="355"/>
      <w:bookmarkEnd w:id="356"/>
    </w:p>
    <w:p w14:paraId="3DBECC58">
      <w:pPr>
        <w:pStyle w:val="24"/>
        <w:spacing w:before="143" w:beforeLines="50" w:beforeAutospacing="0" w:after="143" w:afterLines="50" w:line="360" w:lineRule="auto"/>
        <w:ind w:firstLine="496"/>
        <w:rPr>
          <w:rFonts w:ascii="宋体" w:hAnsi="宋体"/>
          <w:color w:val="auto"/>
          <w:highlight w:val="none"/>
        </w:rPr>
      </w:pPr>
      <w:r>
        <w:rPr>
          <w:rFonts w:hint="eastAsia" w:ascii="宋体" w:hAnsi="宋体"/>
          <w:color w:val="auto"/>
          <w:highlight w:val="none"/>
        </w:rPr>
        <w:t>（1）计价综合</w:t>
      </w:r>
      <w:r>
        <w:rPr>
          <w:rFonts w:ascii="宋体" w:hAnsi="宋体"/>
          <w:color w:val="auto"/>
          <w:highlight w:val="none"/>
        </w:rPr>
        <w:t>考虑</w:t>
      </w:r>
      <w:r>
        <w:rPr>
          <w:rFonts w:hint="eastAsia"/>
          <w:color w:val="auto"/>
          <w:highlight w:val="none"/>
        </w:rPr>
        <w:t>砂浆种类、配合比、厚度</w:t>
      </w:r>
      <w:r>
        <w:rPr>
          <w:rFonts w:hint="eastAsia" w:ascii="宋体" w:hAnsi="宋体"/>
          <w:color w:val="auto"/>
          <w:highlight w:val="none"/>
        </w:rPr>
        <w:t>、墙体类型。</w:t>
      </w:r>
    </w:p>
    <w:p w14:paraId="04BED27B">
      <w:pPr>
        <w:pStyle w:val="24"/>
        <w:spacing w:before="143" w:beforeLines="50" w:beforeAutospacing="0" w:after="143" w:afterLines="50" w:line="360" w:lineRule="auto"/>
        <w:ind w:firstLine="496"/>
        <w:rPr>
          <w:rFonts w:ascii="宋体" w:hAnsi="宋体"/>
          <w:color w:val="auto"/>
          <w:highlight w:val="none"/>
        </w:rPr>
      </w:pPr>
      <w:r>
        <w:rPr>
          <w:rFonts w:hint="eastAsia" w:ascii="宋体" w:hAnsi="宋体"/>
          <w:color w:val="auto"/>
          <w:highlight w:val="none"/>
        </w:rPr>
        <w:t>（2）计价包括基层处理、找平层、面层、分格缝制作、材料运输等相关费用。</w:t>
      </w:r>
    </w:p>
    <w:p w14:paraId="7958FF2D">
      <w:pPr>
        <w:pStyle w:val="24"/>
        <w:spacing w:before="143" w:beforeLines="50" w:beforeAutospacing="0" w:after="143" w:afterLines="50" w:line="360" w:lineRule="auto"/>
        <w:ind w:firstLine="496"/>
        <w:rPr>
          <w:rFonts w:hint="eastAsia" w:ascii="宋体" w:hAnsi="宋体"/>
          <w:color w:val="auto"/>
          <w:highlight w:val="none"/>
        </w:rPr>
      </w:pPr>
      <w:r>
        <w:rPr>
          <w:rFonts w:hint="eastAsia" w:ascii="宋体" w:hAnsi="宋体"/>
          <w:color w:val="auto"/>
          <w:highlight w:val="none"/>
        </w:rPr>
        <w:t>（3）计量按设计图示尺寸以面积计算。扣除墙裙、门窗洞口及单个＞0.3㎡的孔洞面积，不扣除踢脚线、挂镜线和墙与构件交界处的面积。附墙柱、梁、垛、烟窗侧壁并入相应的墙面面积内。外墙抹灰面积按外墙垂直投影面积计算；外墙裙抹灰面积按其长度乘以高度计算；内墙抹灰面积按主墙间的净长乘以高度计算。</w:t>
      </w:r>
    </w:p>
    <w:p w14:paraId="79FC5D42">
      <w:pPr>
        <w:spacing w:before="143" w:beforeLines="50" w:beforeAutospacing="0" w:after="143" w:afterLines="50"/>
        <w:outlineLvl w:val="6"/>
        <w:rPr>
          <w:rFonts w:hint="eastAsia" w:ascii="宋体" w:hAnsi="宋体"/>
          <w:b/>
          <w:color w:val="auto"/>
          <w:sz w:val="28"/>
          <w:szCs w:val="28"/>
          <w:highlight w:val="none"/>
          <w:lang w:eastAsia="zh"/>
        </w:rPr>
      </w:pPr>
      <w:r>
        <w:rPr>
          <w:rFonts w:hint="eastAsia" w:ascii="宋体" w:hAnsi="宋体"/>
          <w:b/>
          <w:color w:val="auto"/>
          <w:sz w:val="28"/>
          <w:szCs w:val="28"/>
          <w:highlight w:val="none"/>
          <w:lang w:eastAsia="zh"/>
        </w:rPr>
        <w:t>2.墙、柱面钉挂网清单项目</w:t>
      </w:r>
    </w:p>
    <w:p w14:paraId="10E138AE">
      <w:pPr>
        <w:pStyle w:val="24"/>
        <w:spacing w:before="143" w:beforeLines="50" w:beforeAutospacing="0" w:after="143" w:afterLines="50" w:line="360" w:lineRule="auto"/>
        <w:ind w:firstLine="496"/>
        <w:rPr>
          <w:rFonts w:hint="eastAsia" w:ascii="宋体" w:hAnsi="宋体"/>
          <w:color w:val="auto"/>
          <w:highlight w:val="none"/>
        </w:rPr>
      </w:pPr>
      <w:r>
        <w:rPr>
          <w:rFonts w:hint="eastAsia" w:ascii="宋体" w:hAnsi="宋体"/>
          <w:color w:val="auto"/>
          <w:highlight w:val="none"/>
        </w:rPr>
        <w:t>(1)计价综合考虑规格、厚度。</w:t>
      </w:r>
    </w:p>
    <w:p w14:paraId="402EAE25">
      <w:pPr>
        <w:pStyle w:val="24"/>
        <w:spacing w:before="143" w:beforeLines="50" w:beforeAutospacing="0" w:after="143" w:afterLines="50" w:line="360" w:lineRule="auto"/>
        <w:ind w:firstLine="496"/>
        <w:rPr>
          <w:rFonts w:hint="eastAsia" w:ascii="宋体" w:hAnsi="宋体"/>
          <w:color w:val="auto"/>
          <w:highlight w:val="none"/>
        </w:rPr>
      </w:pPr>
      <w:r>
        <w:rPr>
          <w:rFonts w:hint="eastAsia" w:ascii="宋体" w:hAnsi="宋体"/>
          <w:color w:val="auto"/>
          <w:highlight w:val="none"/>
        </w:rPr>
        <w:t>(2)计价包括剪钢(铁)网、安装、安膨胀螺栓、运输等一切相关费用。</w:t>
      </w:r>
    </w:p>
    <w:p w14:paraId="477200F1">
      <w:pPr>
        <w:pStyle w:val="24"/>
        <w:spacing w:before="143" w:beforeLines="50" w:beforeAutospacing="0" w:after="143" w:afterLines="50" w:line="360" w:lineRule="auto"/>
        <w:ind w:firstLine="496"/>
        <w:rPr>
          <w:rFonts w:hint="eastAsia" w:ascii="宋体" w:hAnsi="宋体"/>
          <w:color w:val="auto"/>
          <w:highlight w:val="none"/>
        </w:rPr>
      </w:pPr>
      <w:r>
        <w:rPr>
          <w:rFonts w:hint="eastAsia" w:ascii="宋体" w:hAnsi="宋体"/>
          <w:color w:val="auto"/>
          <w:highlight w:val="none"/>
        </w:rPr>
        <w:t>(3)计量按设计图示尺寸面积以平方米计量。</w:t>
      </w:r>
    </w:p>
    <w:p w14:paraId="21204F48">
      <w:pPr>
        <w:pStyle w:val="24"/>
        <w:spacing w:before="143" w:beforeLines="50" w:beforeAutospacing="0" w:after="143" w:afterLines="50" w:line="360" w:lineRule="auto"/>
        <w:ind w:firstLine="496"/>
        <w:rPr>
          <w:rFonts w:hint="eastAsia" w:ascii="宋体" w:hAnsi="宋体" w:eastAsia="宋体"/>
          <w:color w:val="auto"/>
          <w:highlight w:val="none"/>
          <w:lang w:eastAsia="zh-CN"/>
        </w:rPr>
      </w:pPr>
      <w:r>
        <w:rPr>
          <w:rFonts w:hint="eastAsia" w:ascii="宋体" w:hAnsi="宋体"/>
          <w:color w:val="auto"/>
          <w:highlight w:val="none"/>
        </w:rPr>
        <w:t>(4)当材质发生变更时，只调整材料价差</w:t>
      </w:r>
      <w:r>
        <w:rPr>
          <w:rFonts w:hint="eastAsia" w:ascii="宋体" w:hAnsi="宋体"/>
          <w:color w:val="auto"/>
          <w:highlight w:val="none"/>
          <w:lang w:eastAsia="zh-CN"/>
        </w:rPr>
        <w:t>。</w:t>
      </w:r>
    </w:p>
    <w:p w14:paraId="23CAFA40">
      <w:pPr>
        <w:spacing w:before="143" w:beforeLines="50" w:after="143" w:afterLines="50" w:line="360" w:lineRule="auto"/>
        <w:jc w:val="left"/>
        <w:outlineLvl w:val="6"/>
        <w:rPr>
          <w:rFonts w:ascii="宋体" w:hAnsi="宋体"/>
          <w:b/>
          <w:color w:val="auto"/>
          <w:sz w:val="28"/>
          <w:szCs w:val="28"/>
          <w:highlight w:val="none"/>
        </w:rPr>
      </w:pPr>
      <w:bookmarkStart w:id="357" w:name="_Toc1995"/>
      <w:bookmarkStart w:id="358" w:name="_Toc403031716"/>
      <w:bookmarkStart w:id="359" w:name="_Toc26381"/>
      <w:bookmarkStart w:id="360" w:name="_Toc29443"/>
      <w:bookmarkStart w:id="361" w:name="_Toc400614650"/>
      <w:r>
        <w:rPr>
          <w:rFonts w:hint="eastAsia" w:ascii="宋体" w:hAnsi="宋体"/>
          <w:b/>
          <w:color w:val="auto"/>
          <w:sz w:val="28"/>
          <w:szCs w:val="28"/>
          <w:highlight w:val="none"/>
          <w:lang w:val="en-US" w:eastAsia="zh-CN"/>
        </w:rPr>
        <w:t>3</w:t>
      </w:r>
      <w:r>
        <w:rPr>
          <w:rFonts w:hint="eastAsia" w:ascii="宋体" w:hAnsi="宋体"/>
          <w:b/>
          <w:color w:val="auto"/>
          <w:sz w:val="28"/>
          <w:szCs w:val="28"/>
          <w:highlight w:val="none"/>
        </w:rPr>
        <w:t>.墙、柱、梁面、零星项目陶瓷块料</w:t>
      </w:r>
      <w:bookmarkEnd w:id="357"/>
      <w:bookmarkEnd w:id="358"/>
      <w:bookmarkEnd w:id="359"/>
      <w:bookmarkEnd w:id="360"/>
      <w:bookmarkEnd w:id="361"/>
    </w:p>
    <w:p w14:paraId="1268F17A">
      <w:pPr>
        <w:pStyle w:val="24"/>
        <w:spacing w:before="143" w:beforeLines="50" w:beforeAutospacing="0" w:after="143" w:afterLines="50" w:line="360" w:lineRule="auto"/>
        <w:ind w:firstLine="496"/>
        <w:rPr>
          <w:color w:val="auto"/>
          <w:highlight w:val="none"/>
        </w:rPr>
      </w:pPr>
      <w:r>
        <w:rPr>
          <w:rFonts w:hint="eastAsia"/>
          <w:color w:val="auto"/>
          <w:highlight w:val="none"/>
        </w:rPr>
        <w:t>（1）计价综合考虑圆、弧、锯齿等不规则墙面、铺贴样式，块料颜色、嵌缝材料种类、缝宽、砂浆种类、配合比、厚度、磨光、酸洗、打蜡、防护材料种类等。</w:t>
      </w:r>
    </w:p>
    <w:p w14:paraId="150927E6">
      <w:pPr>
        <w:pStyle w:val="24"/>
        <w:spacing w:before="143" w:beforeLines="50" w:beforeAutospacing="0" w:after="143" w:afterLines="50" w:line="360" w:lineRule="auto"/>
        <w:ind w:firstLine="496"/>
        <w:rPr>
          <w:color w:val="auto"/>
          <w:highlight w:val="none"/>
        </w:rPr>
      </w:pPr>
      <w:r>
        <w:rPr>
          <w:rFonts w:hint="eastAsia"/>
          <w:color w:val="auto"/>
          <w:highlight w:val="none"/>
        </w:rPr>
        <w:t>（2）计价包括基层清理、找平层、结合层、面层、磨光、酸洗、打蜡、嵌缝、防护、材料运输等相关一切费用。</w:t>
      </w:r>
    </w:p>
    <w:p w14:paraId="5BB6F2E6">
      <w:pPr>
        <w:pStyle w:val="24"/>
        <w:spacing w:before="143" w:beforeLines="50" w:beforeAutospacing="0" w:after="143" w:afterLines="50" w:line="360" w:lineRule="auto"/>
        <w:ind w:firstLine="496"/>
        <w:rPr>
          <w:color w:val="auto"/>
          <w:highlight w:val="none"/>
        </w:rPr>
      </w:pPr>
      <w:r>
        <w:rPr>
          <w:rFonts w:hint="eastAsia"/>
          <w:color w:val="auto"/>
          <w:highlight w:val="none"/>
        </w:rPr>
        <w:t>（3）计量分材料种类、规格按镶贴表面积计算。</w:t>
      </w:r>
    </w:p>
    <w:p w14:paraId="2BDFB0EA">
      <w:pPr>
        <w:pStyle w:val="24"/>
        <w:spacing w:before="143" w:beforeLines="50" w:beforeAutospacing="0" w:after="143" w:afterLines="50" w:line="360" w:lineRule="auto"/>
        <w:ind w:firstLine="496"/>
        <w:rPr>
          <w:color w:val="auto"/>
          <w:highlight w:val="none"/>
        </w:rPr>
      </w:pPr>
      <w:r>
        <w:rPr>
          <w:rFonts w:hint="eastAsia"/>
          <w:color w:val="auto"/>
          <w:highlight w:val="none"/>
        </w:rPr>
        <w:t>（4）当陶瓷块料种类、陶瓷块料规格发生变更时，调整陶瓷块料的价差。对部分块料下面有做防水卷材的地方，防水保护层已作为找平层的，找平层不另计。</w:t>
      </w:r>
    </w:p>
    <w:p w14:paraId="2D2E2371">
      <w:pPr>
        <w:spacing w:before="143" w:beforeLines="50" w:after="143" w:afterLines="50" w:line="360" w:lineRule="auto"/>
        <w:jc w:val="left"/>
        <w:outlineLvl w:val="4"/>
        <w:rPr>
          <w:rFonts w:ascii="宋体" w:hAnsi="宋体"/>
          <w:b/>
          <w:color w:val="auto"/>
          <w:sz w:val="28"/>
          <w:szCs w:val="28"/>
          <w:highlight w:val="none"/>
        </w:rPr>
      </w:pPr>
      <w:bookmarkStart w:id="362" w:name="_Toc32707"/>
      <w:bookmarkStart w:id="363" w:name="_Toc19450"/>
      <w:bookmarkStart w:id="364" w:name="_Toc400614657"/>
      <w:bookmarkStart w:id="365" w:name="_Toc25707"/>
      <w:bookmarkStart w:id="366" w:name="_Toc403031723"/>
      <w:r>
        <w:rPr>
          <w:rFonts w:hint="eastAsia" w:ascii="宋体" w:hAnsi="宋体"/>
          <w:b/>
          <w:color w:val="auto"/>
          <w:sz w:val="28"/>
          <w:szCs w:val="28"/>
          <w:highlight w:val="none"/>
        </w:rPr>
        <w:t>N.天棚工程</w:t>
      </w:r>
      <w:bookmarkEnd w:id="362"/>
      <w:bookmarkEnd w:id="363"/>
      <w:bookmarkEnd w:id="364"/>
      <w:bookmarkEnd w:id="365"/>
      <w:bookmarkEnd w:id="366"/>
    </w:p>
    <w:p w14:paraId="4922F074">
      <w:pPr>
        <w:spacing w:before="143" w:beforeLines="50" w:after="143" w:afterLines="50" w:line="360" w:lineRule="auto"/>
        <w:jc w:val="left"/>
        <w:outlineLvl w:val="5"/>
        <w:rPr>
          <w:rFonts w:ascii="宋体" w:hAnsi="宋体"/>
          <w:b/>
          <w:color w:val="auto"/>
          <w:sz w:val="28"/>
          <w:szCs w:val="28"/>
          <w:highlight w:val="none"/>
        </w:rPr>
      </w:pPr>
      <w:bookmarkStart w:id="367" w:name="_Toc5222"/>
      <w:bookmarkStart w:id="368" w:name="_Toc403031724"/>
      <w:bookmarkStart w:id="369" w:name="_Toc21252"/>
      <w:bookmarkStart w:id="370" w:name="_Toc400614658"/>
      <w:bookmarkStart w:id="371" w:name="_Toc5246"/>
      <w:r>
        <w:rPr>
          <w:rFonts w:hint="eastAsia" w:ascii="宋体" w:hAnsi="宋体"/>
          <w:b/>
          <w:color w:val="auto"/>
          <w:sz w:val="28"/>
          <w:szCs w:val="28"/>
          <w:highlight w:val="none"/>
        </w:rPr>
        <w:t>N.1天棚抹灰</w:t>
      </w:r>
      <w:bookmarkEnd w:id="367"/>
      <w:bookmarkEnd w:id="368"/>
      <w:bookmarkEnd w:id="369"/>
      <w:bookmarkEnd w:id="370"/>
      <w:bookmarkEnd w:id="371"/>
    </w:p>
    <w:p w14:paraId="497EDBFC">
      <w:pPr>
        <w:numPr>
          <w:ilvl w:val="0"/>
          <w:numId w:val="5"/>
        </w:numPr>
        <w:spacing w:before="143" w:beforeLines="50" w:after="143" w:afterLines="50" w:line="360" w:lineRule="auto"/>
        <w:ind w:left="105" w:leftChars="50"/>
        <w:jc w:val="left"/>
        <w:outlineLvl w:val="5"/>
        <w:rPr>
          <w:rFonts w:ascii="宋体" w:hAnsi="宋体"/>
          <w:b/>
          <w:color w:val="auto"/>
          <w:sz w:val="28"/>
          <w:szCs w:val="28"/>
          <w:highlight w:val="none"/>
        </w:rPr>
      </w:pPr>
      <w:bookmarkStart w:id="372" w:name="_Toc403031725"/>
      <w:bookmarkStart w:id="373" w:name="_Toc400614659"/>
      <w:bookmarkStart w:id="374" w:name="_Toc21221"/>
      <w:bookmarkStart w:id="375" w:name="_Toc18540"/>
      <w:bookmarkStart w:id="376" w:name="_Toc22908"/>
      <w:r>
        <w:rPr>
          <w:rFonts w:hint="eastAsia" w:ascii="宋体" w:hAnsi="宋体"/>
          <w:b/>
          <w:color w:val="auto"/>
          <w:sz w:val="28"/>
          <w:szCs w:val="28"/>
          <w:highlight w:val="none"/>
        </w:rPr>
        <w:t>抹灰天棚</w:t>
      </w:r>
      <w:bookmarkEnd w:id="372"/>
      <w:bookmarkEnd w:id="373"/>
      <w:bookmarkEnd w:id="374"/>
      <w:bookmarkEnd w:id="375"/>
      <w:bookmarkEnd w:id="376"/>
    </w:p>
    <w:p w14:paraId="0049CDDE">
      <w:pPr>
        <w:adjustRightInd w:val="0"/>
        <w:snapToGrid w:val="0"/>
        <w:spacing w:before="143" w:beforeLines="50" w:after="143" w:afterLines="50" w:line="360" w:lineRule="auto"/>
        <w:ind w:left="105" w:leftChars="50" w:firstLine="480" w:firstLineChars="200"/>
        <w:outlineLvl w:val="5"/>
        <w:rPr>
          <w:rFonts w:ascii="宋体" w:hAnsi="宋体" w:cs="宋体"/>
          <w:color w:val="auto"/>
          <w:sz w:val="24"/>
          <w:szCs w:val="24"/>
          <w:highlight w:val="none"/>
        </w:rPr>
      </w:pPr>
      <w:r>
        <w:rPr>
          <w:rFonts w:hint="eastAsia" w:ascii="宋体" w:hAnsi="宋体" w:cs="宋体"/>
          <w:color w:val="auto"/>
          <w:sz w:val="24"/>
          <w:szCs w:val="24"/>
          <w:highlight w:val="none"/>
        </w:rPr>
        <w:t>（1）计价综合考虑砂浆种类、配合比、厚度、基底类型。砂浆种类不包括保温砂浆、防水砂浆。</w:t>
      </w:r>
    </w:p>
    <w:p w14:paraId="0014B6CF">
      <w:pPr>
        <w:adjustRightInd w:val="0"/>
        <w:snapToGrid w:val="0"/>
        <w:spacing w:before="143" w:beforeLines="50" w:after="143" w:afterLines="50" w:line="360" w:lineRule="auto"/>
        <w:ind w:left="105" w:leftChars="50" w:firstLine="480" w:firstLineChars="200"/>
        <w:outlineLvl w:val="5"/>
        <w:rPr>
          <w:rFonts w:ascii="宋体" w:hAnsi="宋体" w:cs="宋体"/>
          <w:color w:val="auto"/>
          <w:sz w:val="24"/>
          <w:szCs w:val="24"/>
          <w:highlight w:val="none"/>
        </w:rPr>
      </w:pPr>
      <w:r>
        <w:rPr>
          <w:rFonts w:hint="eastAsia" w:ascii="宋体" w:hAnsi="宋体" w:cs="宋体"/>
          <w:color w:val="auto"/>
          <w:sz w:val="24"/>
          <w:szCs w:val="24"/>
          <w:highlight w:val="none"/>
        </w:rPr>
        <w:t>（2）计价包括基层处理、底层抹灰、面层、材料运输等相关费用。</w:t>
      </w:r>
    </w:p>
    <w:p w14:paraId="3C13FB30">
      <w:pPr>
        <w:adjustRightInd w:val="0"/>
        <w:snapToGrid w:val="0"/>
        <w:spacing w:before="143" w:beforeLines="50" w:after="143" w:afterLines="50" w:line="360" w:lineRule="auto"/>
        <w:ind w:left="105" w:leftChars="50" w:firstLine="480" w:firstLineChars="200"/>
        <w:outlineLvl w:val="5"/>
        <w:rPr>
          <w:rFonts w:ascii="宋体" w:hAnsi="宋体" w:cs="宋体"/>
          <w:color w:val="auto"/>
          <w:sz w:val="24"/>
          <w:szCs w:val="24"/>
          <w:highlight w:val="none"/>
        </w:rPr>
      </w:pPr>
      <w:r>
        <w:rPr>
          <w:rFonts w:hint="eastAsia" w:ascii="宋体" w:hAnsi="宋体" w:cs="宋体"/>
          <w:color w:val="auto"/>
          <w:sz w:val="24"/>
          <w:szCs w:val="24"/>
          <w:highlight w:val="none"/>
        </w:rPr>
        <w:t>（3）计量按设计图示尺寸以水平投影面积计算。不扣除间壁墙、跺、柱、附墙烟囱、检查口及管道所占面积，带梁天棚的梁两侧抹灰面积并入天棚面积内，板式楼梯底面抹灰按斜面积计算，锯齿形楼梯底板抹灰按展开面积计算。</w:t>
      </w:r>
    </w:p>
    <w:p w14:paraId="0E88B03D">
      <w:pPr>
        <w:spacing w:before="143" w:beforeLines="50" w:after="143" w:afterLines="50" w:line="360" w:lineRule="auto"/>
        <w:jc w:val="left"/>
        <w:outlineLvl w:val="5"/>
        <w:rPr>
          <w:rFonts w:ascii="宋体" w:hAnsi="宋体"/>
          <w:b/>
          <w:color w:val="auto"/>
          <w:sz w:val="28"/>
          <w:szCs w:val="28"/>
          <w:highlight w:val="none"/>
        </w:rPr>
      </w:pPr>
      <w:bookmarkStart w:id="377" w:name="_Toc6490"/>
      <w:bookmarkStart w:id="378" w:name="_Toc403031726"/>
      <w:bookmarkStart w:id="379" w:name="_Toc400614660"/>
      <w:bookmarkStart w:id="380" w:name="_Toc10302"/>
      <w:r>
        <w:rPr>
          <w:rFonts w:hint="eastAsia" w:ascii="宋体" w:hAnsi="宋体"/>
          <w:b/>
          <w:color w:val="auto"/>
          <w:sz w:val="28"/>
          <w:szCs w:val="28"/>
          <w:highlight w:val="none"/>
        </w:rPr>
        <w:t>N.2天棚吊顶</w:t>
      </w:r>
      <w:bookmarkEnd w:id="377"/>
      <w:bookmarkEnd w:id="378"/>
      <w:bookmarkEnd w:id="379"/>
      <w:bookmarkEnd w:id="380"/>
    </w:p>
    <w:p w14:paraId="253ADC23">
      <w:pPr>
        <w:spacing w:before="143" w:beforeLines="50" w:after="143" w:afterLines="50" w:line="360" w:lineRule="auto"/>
        <w:jc w:val="left"/>
        <w:outlineLvl w:val="6"/>
        <w:rPr>
          <w:rFonts w:ascii="宋体" w:hAnsi="宋体"/>
          <w:b/>
          <w:color w:val="auto"/>
          <w:sz w:val="28"/>
          <w:szCs w:val="28"/>
          <w:highlight w:val="none"/>
        </w:rPr>
      </w:pPr>
      <w:bookmarkStart w:id="381" w:name="_Toc19110"/>
      <w:bookmarkStart w:id="382" w:name="_Toc10348"/>
      <w:bookmarkStart w:id="383" w:name="_Toc6827"/>
      <w:bookmarkStart w:id="384" w:name="_Toc400614661"/>
      <w:bookmarkStart w:id="385" w:name="_Toc403031727"/>
      <w:r>
        <w:rPr>
          <w:rFonts w:hint="eastAsia" w:ascii="宋体" w:hAnsi="宋体"/>
          <w:b/>
          <w:color w:val="auto"/>
          <w:sz w:val="28"/>
          <w:szCs w:val="28"/>
          <w:highlight w:val="none"/>
        </w:rPr>
        <w:t>1.天棚吊顶清单项目</w:t>
      </w:r>
      <w:bookmarkEnd w:id="381"/>
      <w:bookmarkEnd w:id="382"/>
      <w:bookmarkEnd w:id="383"/>
      <w:bookmarkEnd w:id="384"/>
      <w:bookmarkEnd w:id="385"/>
    </w:p>
    <w:p w14:paraId="16D61113">
      <w:pPr>
        <w:adjustRightInd w:val="0"/>
        <w:snapToGrid w:val="0"/>
        <w:spacing w:before="143" w:beforeLines="50" w:after="143" w:afterLines="50" w:line="360" w:lineRule="auto"/>
        <w:ind w:firstLine="496" w:firstLineChars="200"/>
        <w:jc w:val="left"/>
        <w:rPr>
          <w:rFonts w:ascii="宋体" w:hAnsi="宋体" w:cs="宋体"/>
          <w:snapToGrid w:val="0"/>
          <w:color w:val="auto"/>
          <w:spacing w:val="4"/>
          <w:kern w:val="0"/>
          <w:sz w:val="24"/>
          <w:szCs w:val="24"/>
          <w:highlight w:val="none"/>
        </w:rPr>
      </w:pPr>
      <w:bookmarkStart w:id="386" w:name="_Toc400614662"/>
      <w:bookmarkStart w:id="387" w:name="_Toc403031728"/>
      <w:r>
        <w:rPr>
          <w:rFonts w:hint="eastAsia" w:ascii="宋体" w:hAnsi="宋体" w:cs="宋体"/>
          <w:snapToGrid w:val="0"/>
          <w:color w:val="auto"/>
          <w:spacing w:val="4"/>
          <w:kern w:val="0"/>
          <w:sz w:val="24"/>
          <w:szCs w:val="24"/>
          <w:highlight w:val="none"/>
        </w:rPr>
        <w:t>（1）计价综合考虑基层板的材质、厚度、规格；龙骨的中距、规格；施工安装高度；照明、消防、通风空调、弱电等工程所需开槽、孔洞的恢复整理费用；以及吊顶的吊杆、吊件、配件等可能因安装各类管线的原因需要调整所发生的费用等。龙骨、基层采用符合规范的难燃材料、交接位及沿边的收口、封板的制作安装均应包含在综合单价中，不再另行计量。</w:t>
      </w:r>
    </w:p>
    <w:p w14:paraId="3C43CA44">
      <w:pPr>
        <w:adjustRightInd w:val="0"/>
        <w:snapToGrid w:val="0"/>
        <w:spacing w:before="143" w:beforeLines="50" w:after="143" w:afterLines="50" w:line="360" w:lineRule="auto"/>
        <w:ind w:firstLine="496" w:firstLineChars="200"/>
        <w:jc w:val="left"/>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（2）计价包括基层清理、龙骨制作、安装、基层板铺贴、基层油漆、面层铺贴、嵌缝、刷防护材料等。</w:t>
      </w:r>
    </w:p>
    <w:p w14:paraId="06921F3D">
      <w:pPr>
        <w:adjustRightInd w:val="0"/>
        <w:snapToGrid w:val="0"/>
        <w:spacing w:before="143" w:beforeLines="50" w:after="143" w:afterLines="50" w:line="360" w:lineRule="auto"/>
        <w:ind w:firstLine="496" w:firstLineChars="200"/>
        <w:jc w:val="left"/>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3）平面天棚计量按设计图示尺寸以水平投影面积计算；跌级天棚和艺术造型天棚按设计图示尺寸以展开面积计算；不扣除间壁墙、检查洞、附墙烟囱、柱垛和管道所占面积，但均应扣除单个0.3m2以上的孔洞、独立柱及与天棚相连的窗帘盒所占面积。</w:t>
      </w:r>
      <w:r>
        <w:rPr>
          <w:rFonts w:hint="eastAsia" w:ascii="宋体" w:hAnsi="宋体" w:cs="宋体"/>
          <w:color w:val="auto"/>
          <w:sz w:val="24"/>
          <w:szCs w:val="24"/>
          <w:highlight w:val="none"/>
        </w:rPr>
        <w:t>天棚若为成品配套材料的，结算时扣除规格与龙骨尺寸相符的灯盘所占面积的面层材料费。</w:t>
      </w:r>
    </w:p>
    <w:p w14:paraId="0B27BA8B">
      <w:pPr>
        <w:adjustRightInd w:val="0"/>
        <w:snapToGrid w:val="0"/>
        <w:spacing w:before="143" w:beforeLines="50" w:after="143" w:afterLines="50" w:line="360" w:lineRule="auto"/>
        <w:ind w:firstLine="496" w:firstLineChars="200"/>
        <w:jc w:val="left"/>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（4）当面层材料品种、规格、厚度、龙骨材质发生变更时，调整面层材料、龙骨的价差。</w:t>
      </w:r>
    </w:p>
    <w:bookmarkEnd w:id="386"/>
    <w:bookmarkEnd w:id="387"/>
    <w:p w14:paraId="0F6BF38A">
      <w:pPr>
        <w:spacing w:before="143" w:beforeLines="50" w:after="143" w:afterLines="50" w:line="360" w:lineRule="auto"/>
        <w:jc w:val="left"/>
        <w:outlineLvl w:val="4"/>
        <w:rPr>
          <w:rFonts w:ascii="宋体" w:hAnsi="宋体"/>
          <w:b/>
          <w:color w:val="auto"/>
          <w:sz w:val="28"/>
          <w:szCs w:val="28"/>
          <w:highlight w:val="none"/>
        </w:rPr>
      </w:pPr>
      <w:bookmarkStart w:id="388" w:name="_Toc25303"/>
      <w:bookmarkStart w:id="389" w:name="_Toc17287"/>
      <w:bookmarkStart w:id="390" w:name="_Toc4300"/>
      <w:bookmarkStart w:id="391" w:name="_Toc400614664"/>
      <w:bookmarkStart w:id="392" w:name="_Toc403031730"/>
      <w:r>
        <w:rPr>
          <w:rFonts w:hint="eastAsia" w:ascii="宋体" w:hAnsi="宋体"/>
          <w:b/>
          <w:color w:val="auto"/>
          <w:sz w:val="28"/>
          <w:szCs w:val="28"/>
          <w:highlight w:val="none"/>
        </w:rPr>
        <w:t>P.油漆、涂料、裱糊工程</w:t>
      </w:r>
      <w:bookmarkEnd w:id="388"/>
      <w:bookmarkEnd w:id="389"/>
      <w:bookmarkEnd w:id="390"/>
      <w:bookmarkEnd w:id="391"/>
      <w:bookmarkEnd w:id="392"/>
    </w:p>
    <w:p w14:paraId="5CF46BF9">
      <w:pPr>
        <w:spacing w:before="143" w:beforeLines="50" w:after="143" w:afterLines="50" w:line="360" w:lineRule="auto"/>
        <w:jc w:val="left"/>
        <w:outlineLvl w:val="5"/>
        <w:rPr>
          <w:rFonts w:ascii="宋体" w:hAnsi="宋体"/>
          <w:b/>
          <w:color w:val="auto"/>
          <w:sz w:val="28"/>
          <w:szCs w:val="28"/>
          <w:highlight w:val="none"/>
        </w:rPr>
      </w:pPr>
      <w:bookmarkStart w:id="393" w:name="_Toc403031731"/>
      <w:bookmarkStart w:id="394" w:name="_Toc1150"/>
      <w:bookmarkStart w:id="395" w:name="_Toc28916"/>
      <w:bookmarkStart w:id="396" w:name="_Toc400614665"/>
      <w:bookmarkStart w:id="397" w:name="_Toc972"/>
      <w:r>
        <w:rPr>
          <w:rFonts w:hint="eastAsia" w:ascii="宋体" w:hAnsi="宋体"/>
          <w:b/>
          <w:color w:val="auto"/>
          <w:sz w:val="28"/>
          <w:szCs w:val="28"/>
          <w:highlight w:val="none"/>
        </w:rPr>
        <w:t>P.5（金属面油漆）、P.6（抹灰面）、P.7（喷刷涂料）、P.8（裱糊）</w:t>
      </w:r>
      <w:bookmarkEnd w:id="393"/>
      <w:bookmarkEnd w:id="394"/>
      <w:bookmarkEnd w:id="395"/>
      <w:bookmarkEnd w:id="396"/>
      <w:bookmarkEnd w:id="397"/>
    </w:p>
    <w:p w14:paraId="42532FCC">
      <w:pPr>
        <w:spacing w:before="143" w:beforeLines="50" w:after="143" w:afterLines="50" w:line="360" w:lineRule="auto"/>
        <w:jc w:val="left"/>
        <w:outlineLvl w:val="6"/>
        <w:rPr>
          <w:rFonts w:ascii="宋体" w:hAnsi="宋体"/>
          <w:b/>
          <w:color w:val="auto"/>
          <w:sz w:val="28"/>
          <w:szCs w:val="28"/>
          <w:highlight w:val="none"/>
        </w:rPr>
      </w:pPr>
      <w:bookmarkStart w:id="398" w:name="_Toc24725"/>
      <w:bookmarkStart w:id="399" w:name="_Toc403031732"/>
      <w:bookmarkStart w:id="400" w:name="_Toc9631"/>
      <w:bookmarkStart w:id="401" w:name="_Toc800"/>
      <w:bookmarkStart w:id="402" w:name="_Toc400614666"/>
      <w:r>
        <w:rPr>
          <w:rFonts w:hint="eastAsia" w:ascii="宋体" w:hAnsi="宋体"/>
          <w:b/>
          <w:color w:val="auto"/>
          <w:sz w:val="28"/>
          <w:szCs w:val="28"/>
          <w:highlight w:val="none"/>
        </w:rPr>
        <w:t>1.油漆、涂料、糊裱清单项目</w:t>
      </w:r>
      <w:bookmarkEnd w:id="398"/>
      <w:bookmarkEnd w:id="399"/>
      <w:bookmarkEnd w:id="400"/>
      <w:bookmarkEnd w:id="401"/>
      <w:bookmarkEnd w:id="402"/>
    </w:p>
    <w:p w14:paraId="2DFDA2F1">
      <w:pPr>
        <w:pStyle w:val="24"/>
        <w:spacing w:before="143" w:beforeLines="50" w:beforeAutospacing="0" w:after="143" w:afterLines="50" w:line="360" w:lineRule="auto"/>
        <w:ind w:firstLine="496"/>
        <w:rPr>
          <w:color w:val="auto"/>
          <w:highlight w:val="none"/>
        </w:rPr>
      </w:pPr>
      <w:r>
        <w:rPr>
          <w:rFonts w:hint="eastAsia"/>
          <w:color w:val="auto"/>
          <w:highlight w:val="none"/>
        </w:rPr>
        <w:t>（1）计价综合考虑遍数、腻子种类；基底类型、防护材料种类。</w:t>
      </w:r>
    </w:p>
    <w:p w14:paraId="4E9CCBA0">
      <w:pPr>
        <w:pStyle w:val="24"/>
        <w:spacing w:before="143" w:beforeLines="50" w:beforeAutospacing="0" w:after="143" w:afterLines="50" w:line="360" w:lineRule="auto"/>
        <w:ind w:firstLine="496"/>
        <w:rPr>
          <w:color w:val="auto"/>
          <w:highlight w:val="none"/>
        </w:rPr>
      </w:pPr>
      <w:r>
        <w:rPr>
          <w:rFonts w:hint="eastAsia"/>
          <w:color w:val="auto"/>
          <w:highlight w:val="none"/>
        </w:rPr>
        <w:t>（2）计价包括基层、面层、刮腻子、油漆、涂料、裱糊、材料运输等相关费用。</w:t>
      </w:r>
    </w:p>
    <w:p w14:paraId="18D14CF0">
      <w:pPr>
        <w:pStyle w:val="24"/>
        <w:spacing w:before="143" w:beforeLines="50" w:beforeAutospacing="0" w:after="143" w:afterLines="50" w:line="360" w:lineRule="auto"/>
        <w:ind w:firstLine="496"/>
        <w:rPr>
          <w:color w:val="auto"/>
          <w:highlight w:val="none"/>
        </w:rPr>
      </w:pPr>
      <w:r>
        <w:rPr>
          <w:rFonts w:hint="eastAsia"/>
          <w:color w:val="auto"/>
          <w:highlight w:val="none"/>
        </w:rPr>
        <w:t>（3）计量分材料种类按图示尺寸以平方米计算。</w:t>
      </w:r>
    </w:p>
    <w:p w14:paraId="70B56A2A">
      <w:pPr>
        <w:pStyle w:val="24"/>
        <w:spacing w:before="143" w:beforeLines="50" w:beforeAutospacing="0" w:after="143" w:afterLines="50" w:line="360" w:lineRule="auto"/>
        <w:ind w:firstLine="496"/>
        <w:rPr>
          <w:color w:val="auto"/>
          <w:highlight w:val="none"/>
        </w:rPr>
      </w:pPr>
      <w:r>
        <w:rPr>
          <w:rFonts w:hint="eastAsia"/>
          <w:color w:val="auto"/>
          <w:highlight w:val="none"/>
        </w:rPr>
        <w:t>（4）当油漆、涂料、裱糊种类发生变更时，调整油漆、涂料、裱糊材料价差。</w:t>
      </w:r>
    </w:p>
    <w:p w14:paraId="7B86371B">
      <w:pPr>
        <w:spacing w:before="143" w:beforeLines="50" w:after="143" w:afterLines="50" w:line="360" w:lineRule="auto"/>
        <w:jc w:val="left"/>
        <w:outlineLvl w:val="4"/>
        <w:rPr>
          <w:rFonts w:ascii="宋体" w:hAnsi="宋体"/>
          <w:b/>
          <w:strike w:val="0"/>
          <w:color w:val="auto"/>
          <w:sz w:val="28"/>
          <w:szCs w:val="28"/>
          <w:highlight w:val="none"/>
        </w:rPr>
      </w:pPr>
      <w:bookmarkStart w:id="403" w:name="_Toc23325"/>
      <w:bookmarkStart w:id="404" w:name="_Toc3570"/>
      <w:bookmarkStart w:id="405" w:name="_Toc6880"/>
      <w:bookmarkStart w:id="406" w:name="_Toc403031733"/>
      <w:bookmarkStart w:id="407" w:name="_Toc400614667"/>
      <w:r>
        <w:rPr>
          <w:rFonts w:hint="eastAsia" w:ascii="宋体" w:hAnsi="宋体"/>
          <w:b/>
          <w:strike w:val="0"/>
          <w:color w:val="auto"/>
          <w:sz w:val="28"/>
          <w:szCs w:val="28"/>
          <w:highlight w:val="none"/>
        </w:rPr>
        <w:t>Q.其他装饰工程</w:t>
      </w:r>
      <w:bookmarkEnd w:id="403"/>
      <w:bookmarkEnd w:id="404"/>
      <w:bookmarkEnd w:id="405"/>
      <w:bookmarkEnd w:id="406"/>
      <w:bookmarkEnd w:id="407"/>
    </w:p>
    <w:p w14:paraId="507C7809">
      <w:pPr>
        <w:spacing w:before="143" w:beforeLines="50" w:after="143" w:afterLines="50" w:line="360" w:lineRule="auto"/>
        <w:jc w:val="left"/>
        <w:outlineLvl w:val="6"/>
        <w:rPr>
          <w:rFonts w:ascii="宋体" w:hAnsi="宋体"/>
          <w:b/>
          <w:color w:val="auto"/>
          <w:sz w:val="28"/>
          <w:szCs w:val="28"/>
          <w:highlight w:val="none"/>
        </w:rPr>
      </w:pPr>
      <w:bookmarkStart w:id="408" w:name="_Toc28949"/>
      <w:bookmarkStart w:id="409" w:name="_Toc3630"/>
      <w:bookmarkStart w:id="410" w:name="_Toc400614674"/>
      <w:bookmarkStart w:id="411" w:name="_Toc10494"/>
      <w:bookmarkStart w:id="412" w:name="_Toc403031740"/>
      <w:r>
        <w:rPr>
          <w:rFonts w:hint="eastAsia" w:ascii="宋体" w:hAnsi="宋体"/>
          <w:b/>
          <w:color w:val="auto"/>
          <w:sz w:val="28"/>
          <w:szCs w:val="28"/>
          <w:highlight w:val="none"/>
          <w:lang w:eastAsia="zh"/>
        </w:rPr>
        <w:t>1</w:t>
      </w:r>
      <w:r>
        <w:rPr>
          <w:rFonts w:hint="eastAsia" w:ascii="宋体" w:hAnsi="宋体"/>
          <w:b/>
          <w:color w:val="auto"/>
          <w:sz w:val="28"/>
          <w:szCs w:val="28"/>
          <w:highlight w:val="none"/>
        </w:rPr>
        <w:t>.镜面玻璃项目</w:t>
      </w:r>
      <w:bookmarkEnd w:id="408"/>
      <w:bookmarkEnd w:id="409"/>
      <w:bookmarkEnd w:id="410"/>
      <w:bookmarkEnd w:id="411"/>
      <w:bookmarkEnd w:id="412"/>
    </w:p>
    <w:p w14:paraId="409479EB">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（1）计价综合考虑镜框规格、饰面、花纹，镜底衬板材质、厚度，防雾贴种类、镜面玻璃磨边、倒角，固定配件、小五金，油漆，安装方式、高度，防护材料种类等。</w:t>
      </w:r>
    </w:p>
    <w:p w14:paraId="3777F649">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（2）计价包括镜框、镜底衬板、防雾贴、油漆、镜面玻璃、镜面清理；防护、运输等相关费用。</w:t>
      </w:r>
    </w:p>
    <w:p w14:paraId="4A9D88F1">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（3）计量分镜框材质、镜面厚度、种类，按镜框外围图示尺寸以平方米计算。</w:t>
      </w:r>
    </w:p>
    <w:p w14:paraId="00D71AC8">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（4）当镜框材质，镜面玻璃厚度、种类发生变更时，调整镜框及镜面材料的价差。</w:t>
      </w:r>
    </w:p>
    <w:p w14:paraId="7A0733BD">
      <w:pPr>
        <w:pStyle w:val="24"/>
        <w:spacing w:before="143" w:beforeLines="50" w:beforeAutospacing="0" w:after="143" w:afterLines="50" w:line="360" w:lineRule="auto"/>
        <w:ind w:firstLine="496"/>
        <w:rPr>
          <w:color w:val="auto"/>
          <w:highlight w:val="none"/>
        </w:rPr>
      </w:pPr>
    </w:p>
    <w:p w14:paraId="56DC2BE5">
      <w:pPr>
        <w:pStyle w:val="24"/>
        <w:spacing w:before="143" w:beforeLines="50" w:beforeAutospacing="0" w:after="143" w:afterLines="50" w:line="360" w:lineRule="auto"/>
        <w:ind w:firstLine="496"/>
        <w:rPr>
          <w:color w:val="auto"/>
          <w:highlight w:val="none"/>
        </w:rPr>
      </w:pPr>
      <w:r>
        <w:rPr>
          <w:rFonts w:hint="eastAsia"/>
          <w:color w:val="auto"/>
          <w:highlight w:val="none"/>
        </w:rPr>
        <w:br w:type="page"/>
      </w:r>
    </w:p>
    <w:p w14:paraId="03A5FF87">
      <w:pPr>
        <w:pStyle w:val="27"/>
        <w:numPr>
          <w:ilvl w:val="-1"/>
          <w:numId w:val="0"/>
        </w:numPr>
        <w:spacing w:before="143" w:after="143" w:line="360" w:lineRule="auto"/>
        <w:ind w:left="0" w:firstLine="0"/>
        <w:jc w:val="center"/>
        <w:outlineLvl w:val="3"/>
        <w:rPr>
          <w:color w:val="auto"/>
          <w:sz w:val="28"/>
          <w:szCs w:val="28"/>
          <w:highlight w:val="none"/>
        </w:rPr>
      </w:pPr>
      <w:bookmarkStart w:id="413" w:name="_Toc8381"/>
      <w:bookmarkStart w:id="414" w:name="_Toc298"/>
      <w:bookmarkStart w:id="415" w:name="_Toc3096"/>
      <w:bookmarkStart w:id="416" w:name="_Toc6937"/>
      <w:bookmarkStart w:id="417" w:name="_Toc28128"/>
      <w:bookmarkStart w:id="418" w:name="_Toc15460"/>
      <w:bookmarkStart w:id="419" w:name="_Toc25109"/>
      <w:bookmarkStart w:id="420" w:name="_Toc439060629"/>
      <w:r>
        <w:rPr>
          <w:rFonts w:hint="eastAsia"/>
          <w:color w:val="auto"/>
          <w:sz w:val="28"/>
          <w:szCs w:val="28"/>
          <w:highlight w:val="none"/>
          <w:lang w:eastAsia="zh"/>
        </w:rPr>
        <w:t>二、</w:t>
      </w:r>
      <w:r>
        <w:rPr>
          <w:rFonts w:hint="eastAsia"/>
          <w:color w:val="auto"/>
          <w:sz w:val="28"/>
          <w:szCs w:val="28"/>
          <w:highlight w:val="none"/>
        </w:rPr>
        <w:t>通用安装工程计价补充说明</w:t>
      </w:r>
      <w:bookmarkEnd w:id="413"/>
      <w:bookmarkEnd w:id="414"/>
      <w:bookmarkEnd w:id="415"/>
      <w:bookmarkEnd w:id="416"/>
      <w:bookmarkEnd w:id="417"/>
      <w:bookmarkEnd w:id="418"/>
      <w:bookmarkEnd w:id="419"/>
      <w:bookmarkEnd w:id="420"/>
    </w:p>
    <w:p w14:paraId="2EDCA0DD">
      <w:pPr>
        <w:widowControl/>
        <w:spacing w:before="143" w:beforeLines="50" w:after="143" w:afterLines="50" w:line="360" w:lineRule="auto"/>
        <w:ind w:firstLine="480" w:firstLineChars="200"/>
        <w:rPr>
          <w:rFonts w:ascii="宋体" w:hAnsi="宋体" w:cs="宋体"/>
          <w:strike w:val="0"/>
          <w:color w:val="auto"/>
          <w:kern w:val="0"/>
          <w:sz w:val="24"/>
          <w:highlight w:val="none"/>
        </w:rPr>
      </w:pPr>
      <w:r>
        <w:rPr>
          <w:rFonts w:hint="eastAsia" w:ascii="宋体" w:hAnsi="宋体" w:cs="宋体"/>
          <w:strike w:val="0"/>
          <w:color w:val="auto"/>
          <w:kern w:val="0"/>
          <w:sz w:val="24"/>
          <w:highlight w:val="none"/>
        </w:rPr>
        <w:t>凡在本说明中已明确的须按本说明执行；在本说明中未明确的则按《关于贯彻《通用安装工程工程量计算规范》（</w:t>
      </w:r>
      <w:r>
        <w:rPr>
          <w:rFonts w:ascii="宋体" w:hAnsi="宋体" w:cs="宋体"/>
          <w:strike w:val="0"/>
          <w:color w:val="auto"/>
          <w:kern w:val="0"/>
          <w:sz w:val="24"/>
          <w:highlight w:val="none"/>
        </w:rPr>
        <w:t>GB50856-2013）的实施意见（</w:t>
      </w:r>
      <w:r>
        <w:rPr>
          <w:rFonts w:ascii="宋体" w:hAnsi="宋体" w:cs="Tahoma"/>
          <w:strike w:val="0"/>
          <w:color w:val="auto"/>
          <w:kern w:val="0"/>
          <w:sz w:val="24"/>
          <w:highlight w:val="none"/>
        </w:rPr>
        <w:t>粤建造发〔2014〕4号</w:t>
      </w:r>
      <w:r>
        <w:rPr>
          <w:rFonts w:hint="eastAsia" w:ascii="宋体" w:hAnsi="宋体" w:cs="Tahoma"/>
          <w:strike w:val="0"/>
          <w:color w:val="auto"/>
          <w:kern w:val="0"/>
          <w:sz w:val="24"/>
          <w:highlight w:val="none"/>
        </w:rPr>
        <w:t>）</w:t>
      </w:r>
      <w:r>
        <w:rPr>
          <w:rFonts w:ascii="宋体" w:hAnsi="宋体" w:cs="宋体"/>
          <w:strike w:val="0"/>
          <w:color w:val="auto"/>
          <w:kern w:val="0"/>
          <w:sz w:val="24"/>
          <w:highlight w:val="none"/>
        </w:rPr>
        <w:t>》</w:t>
      </w:r>
      <w:r>
        <w:rPr>
          <w:rFonts w:hint="eastAsia" w:ascii="宋体" w:hAnsi="宋体" w:cs="Tahoma"/>
          <w:strike w:val="0"/>
          <w:color w:val="auto"/>
          <w:kern w:val="0"/>
          <w:sz w:val="24"/>
          <w:highlight w:val="none"/>
        </w:rPr>
        <w:t>、</w:t>
      </w:r>
      <w:r>
        <w:rPr>
          <w:rFonts w:hint="eastAsia" w:ascii="宋体" w:hAnsi="宋体" w:cs="宋体"/>
          <w:strike w:val="0"/>
          <w:color w:val="auto"/>
          <w:kern w:val="0"/>
          <w:sz w:val="24"/>
          <w:highlight w:val="none"/>
        </w:rPr>
        <w:t>《广东省建设工程工程量清单计价指引》（粤建造发〔</w:t>
      </w:r>
      <w:r>
        <w:rPr>
          <w:rFonts w:ascii="宋体" w:hAnsi="宋体" w:cs="宋体"/>
          <w:strike w:val="0"/>
          <w:color w:val="auto"/>
          <w:kern w:val="0"/>
          <w:sz w:val="24"/>
          <w:highlight w:val="none"/>
        </w:rPr>
        <w:t>2013〕6号）、</w:t>
      </w:r>
      <w:r>
        <w:rPr>
          <w:rFonts w:hint="eastAsia" w:ascii="宋体" w:hAnsi="宋体" w:cs="宋体"/>
          <w:strike w:val="0"/>
          <w:color w:val="auto"/>
          <w:kern w:val="0"/>
          <w:sz w:val="24"/>
          <w:highlight w:val="none"/>
        </w:rPr>
        <w:t>《广东省建设工程计价依据</w:t>
      </w:r>
      <w:r>
        <w:rPr>
          <w:rFonts w:ascii="宋体" w:hAnsi="宋体" w:cs="宋体"/>
          <w:strike w:val="0"/>
          <w:color w:val="auto"/>
          <w:kern w:val="0"/>
          <w:sz w:val="24"/>
          <w:highlight w:val="none"/>
        </w:rPr>
        <w:t>(2018)》的规定执行；在本须知及</w:t>
      </w:r>
      <w:r>
        <w:rPr>
          <w:rFonts w:hint="eastAsia" w:ascii="宋体" w:hAnsi="宋体" w:cs="宋体"/>
          <w:strike w:val="0"/>
          <w:color w:val="auto"/>
          <w:kern w:val="0"/>
          <w:sz w:val="24"/>
          <w:highlight w:val="none"/>
        </w:rPr>
        <w:t>《关于贯彻《通用安装工程工程量计算规范》（</w:t>
      </w:r>
      <w:r>
        <w:rPr>
          <w:rFonts w:ascii="宋体" w:hAnsi="宋体" w:cs="宋体"/>
          <w:strike w:val="0"/>
          <w:color w:val="auto"/>
          <w:kern w:val="0"/>
          <w:sz w:val="24"/>
          <w:highlight w:val="none"/>
        </w:rPr>
        <w:t>GB50856-2013）的实施意见（</w:t>
      </w:r>
      <w:r>
        <w:rPr>
          <w:rFonts w:ascii="宋体" w:hAnsi="宋体" w:cs="Tahoma"/>
          <w:strike w:val="0"/>
          <w:color w:val="auto"/>
          <w:kern w:val="0"/>
          <w:sz w:val="24"/>
          <w:highlight w:val="none"/>
        </w:rPr>
        <w:t>粤建造发〔2014〕4号</w:t>
      </w:r>
      <w:r>
        <w:rPr>
          <w:rFonts w:hint="eastAsia" w:ascii="宋体" w:hAnsi="宋体" w:cs="Tahoma"/>
          <w:strike w:val="0"/>
          <w:color w:val="auto"/>
          <w:kern w:val="0"/>
          <w:sz w:val="24"/>
          <w:highlight w:val="none"/>
        </w:rPr>
        <w:t>）</w:t>
      </w:r>
      <w:r>
        <w:rPr>
          <w:rFonts w:ascii="宋体" w:hAnsi="宋体" w:cs="宋体"/>
          <w:strike w:val="0"/>
          <w:color w:val="auto"/>
          <w:kern w:val="0"/>
          <w:sz w:val="24"/>
          <w:highlight w:val="none"/>
        </w:rPr>
        <w:t>》</w:t>
      </w:r>
      <w:r>
        <w:rPr>
          <w:rFonts w:hint="eastAsia" w:ascii="宋体" w:hAnsi="宋体" w:cs="宋体"/>
          <w:strike w:val="0"/>
          <w:color w:val="auto"/>
          <w:kern w:val="0"/>
          <w:sz w:val="24"/>
          <w:highlight w:val="none"/>
        </w:rPr>
        <w:t>、《广东省建设工程工程量清单计价指引》（粤建造发〔</w:t>
      </w:r>
      <w:r>
        <w:rPr>
          <w:rFonts w:ascii="宋体" w:hAnsi="宋体" w:cs="宋体"/>
          <w:strike w:val="0"/>
          <w:color w:val="auto"/>
          <w:kern w:val="0"/>
          <w:sz w:val="24"/>
          <w:highlight w:val="none"/>
        </w:rPr>
        <w:t>2013〕6号）、</w:t>
      </w:r>
      <w:r>
        <w:rPr>
          <w:rFonts w:hint="eastAsia" w:ascii="宋体" w:hAnsi="宋体" w:cs="宋体"/>
          <w:strike w:val="0"/>
          <w:color w:val="auto"/>
          <w:kern w:val="0"/>
          <w:sz w:val="24"/>
          <w:highlight w:val="none"/>
        </w:rPr>
        <w:t>《广东省建设工程计价依据</w:t>
      </w:r>
      <w:r>
        <w:rPr>
          <w:rFonts w:ascii="宋体" w:hAnsi="宋体" w:cs="宋体"/>
          <w:strike w:val="0"/>
          <w:color w:val="auto"/>
          <w:kern w:val="0"/>
          <w:sz w:val="24"/>
          <w:highlight w:val="none"/>
        </w:rPr>
        <w:t>(2018)》中均未明确的</w:t>
      </w:r>
      <w:r>
        <w:rPr>
          <w:rFonts w:hint="eastAsia" w:ascii="宋体" w:hAnsi="宋体" w:cs="宋体"/>
          <w:strike w:val="0"/>
          <w:color w:val="auto"/>
          <w:kern w:val="0"/>
          <w:sz w:val="24"/>
          <w:highlight w:val="none"/>
        </w:rPr>
        <w:t>，</w:t>
      </w:r>
      <w:r>
        <w:rPr>
          <w:rFonts w:ascii="宋体" w:hAnsi="宋体" w:cs="宋体"/>
          <w:strike w:val="0"/>
          <w:color w:val="auto"/>
          <w:kern w:val="0"/>
          <w:sz w:val="24"/>
          <w:highlight w:val="none"/>
        </w:rPr>
        <w:t>则按《通用安装工程工程量计算规范（GB50856-2013）》、《房屋建筑与装饰工程工程量计算规范（GB50854-2013）》</w:t>
      </w:r>
      <w:r>
        <w:rPr>
          <w:rFonts w:hint="eastAsia" w:ascii="宋体" w:hAnsi="宋体" w:cs="宋体"/>
          <w:strike w:val="0"/>
          <w:color w:val="auto"/>
          <w:kern w:val="0"/>
          <w:sz w:val="24"/>
          <w:highlight w:val="none"/>
        </w:rPr>
        <w:t>、</w:t>
      </w:r>
      <w:r>
        <w:rPr>
          <w:rFonts w:ascii="宋体" w:hAnsi="宋体" w:cs="宋体"/>
          <w:strike w:val="0"/>
          <w:color w:val="auto"/>
          <w:kern w:val="0"/>
          <w:sz w:val="24"/>
          <w:highlight w:val="none"/>
        </w:rPr>
        <w:t>《市政工程工程量计算规范（GB50857-2013）》、</w:t>
      </w:r>
      <w:r>
        <w:rPr>
          <w:rFonts w:hint="eastAsia" w:ascii="宋体" w:hAnsi="宋体" w:cs="宋体"/>
          <w:strike w:val="0"/>
          <w:color w:val="auto"/>
          <w:kern w:val="0"/>
          <w:sz w:val="24"/>
          <w:highlight w:val="none"/>
        </w:rPr>
        <w:t>《建设工程工程量清单计价规范（</w:t>
      </w:r>
      <w:r>
        <w:rPr>
          <w:rFonts w:ascii="宋体" w:hAnsi="宋体" w:cs="宋体"/>
          <w:strike w:val="0"/>
          <w:color w:val="auto"/>
          <w:kern w:val="0"/>
          <w:sz w:val="24"/>
          <w:highlight w:val="none"/>
        </w:rPr>
        <w:t>GB50500-2013）》等国标规范的规定执行；以上均未明确的则按</w:t>
      </w:r>
      <w:r>
        <w:rPr>
          <w:rFonts w:hint="eastAsia" w:ascii="宋体" w:hAnsi="宋体" w:cs="宋体"/>
          <w:strike w:val="0"/>
          <w:color w:val="auto"/>
          <w:kern w:val="0"/>
          <w:sz w:val="24"/>
          <w:highlight w:val="none"/>
        </w:rPr>
        <w:t>《广东省通用安装工程综合定额</w:t>
      </w:r>
      <w:r>
        <w:rPr>
          <w:rFonts w:ascii="宋体" w:hAnsi="宋体" w:cs="宋体"/>
          <w:strike w:val="0"/>
          <w:color w:val="auto"/>
          <w:kern w:val="0"/>
          <w:sz w:val="24"/>
          <w:highlight w:val="none"/>
        </w:rPr>
        <w:t>(2018)》、《广东省房屋建筑与装饰工程综合定额(2018)》、《广东省市政工程综合定额(2018)》等专业定额的规定执行。</w:t>
      </w:r>
    </w:p>
    <w:p w14:paraId="5DE8B6D9">
      <w:pPr>
        <w:numPr>
          <w:ilvl w:val="3"/>
          <w:numId w:val="0"/>
        </w:numPr>
        <w:spacing w:before="143" w:beforeLines="50" w:after="143" w:afterLines="50" w:line="360" w:lineRule="auto"/>
        <w:ind w:left="1680" w:hanging="1680"/>
        <w:outlineLvl w:val="6"/>
        <w:rPr>
          <w:rFonts w:ascii="宋体" w:hAnsi="宋体"/>
          <w:b/>
          <w:color w:val="auto"/>
          <w:sz w:val="28"/>
          <w:szCs w:val="28"/>
          <w:highlight w:val="none"/>
        </w:rPr>
      </w:pPr>
      <w:bookmarkStart w:id="421" w:name="_Toc439060656"/>
      <w:bookmarkStart w:id="422" w:name="_Toc228524070"/>
      <w:r>
        <w:rPr>
          <w:rFonts w:hint="eastAsia" w:ascii="宋体" w:hAnsi="宋体"/>
          <w:b/>
          <w:color w:val="auto"/>
          <w:sz w:val="28"/>
          <w:szCs w:val="28"/>
          <w:highlight w:val="none"/>
          <w:lang w:eastAsia="zh"/>
        </w:rPr>
        <w:t>1</w:t>
      </w:r>
      <w:r>
        <w:rPr>
          <w:rFonts w:hint="eastAsia" w:ascii="宋体" w:hAnsi="宋体"/>
          <w:b/>
          <w:color w:val="auto"/>
          <w:sz w:val="28"/>
          <w:szCs w:val="28"/>
          <w:highlight w:val="none"/>
        </w:rPr>
        <w:t>.普通灯具</w:t>
      </w:r>
      <w:bookmarkEnd w:id="421"/>
      <w:bookmarkStart w:id="423" w:name="_Toc439060657"/>
    </w:p>
    <w:p w14:paraId="1451D02A">
      <w:pPr>
        <w:adjustRightInd w:val="0"/>
        <w:snapToGrid w:val="0"/>
        <w:spacing w:before="143" w:beforeLines="50" w:after="143"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（1）普通灯具包括装饰灯、荧光灯、吸顶灯、射灯等。</w:t>
      </w:r>
    </w:p>
    <w:p w14:paraId="0C5819AD">
      <w:pPr>
        <w:adjustRightInd w:val="0"/>
        <w:snapToGrid w:val="0"/>
        <w:spacing w:before="143" w:beforeLines="50" w:after="143"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计量包括</w:t>
      </w:r>
      <w:r>
        <w:rPr>
          <w:rFonts w:hint="eastAsia" w:ascii="宋体" w:hAnsi="宋体"/>
          <w:color w:val="auto"/>
          <w:sz w:val="24"/>
          <w:szCs w:val="24"/>
          <w:highlight w:val="none"/>
        </w:rPr>
        <w:t>成套</w:t>
      </w:r>
      <w:r>
        <w:rPr>
          <w:rFonts w:ascii="宋体" w:hAnsi="宋体"/>
          <w:color w:val="auto"/>
          <w:sz w:val="24"/>
          <w:szCs w:val="24"/>
          <w:highlight w:val="none"/>
        </w:rPr>
        <w:t>灯具</w:t>
      </w:r>
      <w:r>
        <w:rPr>
          <w:rFonts w:hint="eastAsia" w:ascii="宋体" w:hAnsi="宋体"/>
          <w:color w:val="auto"/>
          <w:sz w:val="24"/>
          <w:szCs w:val="24"/>
          <w:highlight w:val="none"/>
        </w:rPr>
        <w:t>及配件</w:t>
      </w:r>
      <w:r>
        <w:rPr>
          <w:rFonts w:ascii="宋体" w:hAnsi="宋体"/>
          <w:color w:val="auto"/>
          <w:sz w:val="24"/>
          <w:szCs w:val="24"/>
          <w:highlight w:val="none"/>
        </w:rPr>
        <w:t>（包括吊杆、吊链、吊钩、底座、</w:t>
      </w:r>
      <w:r>
        <w:rPr>
          <w:rFonts w:hint="eastAsia" w:ascii="宋体" w:hAnsi="宋体"/>
          <w:color w:val="auto"/>
          <w:sz w:val="24"/>
          <w:szCs w:val="24"/>
          <w:highlight w:val="none"/>
        </w:rPr>
        <w:t>灯盘、灯头、</w:t>
      </w:r>
      <w:r>
        <w:rPr>
          <w:rFonts w:ascii="宋体" w:hAnsi="宋体"/>
          <w:color w:val="auto"/>
          <w:sz w:val="24"/>
          <w:szCs w:val="24"/>
          <w:highlight w:val="none"/>
        </w:rPr>
        <w:t>光源、轨道</w:t>
      </w:r>
      <w:r>
        <w:rPr>
          <w:rFonts w:hint="eastAsia" w:ascii="宋体" w:hAnsi="宋体"/>
          <w:color w:val="auto"/>
          <w:sz w:val="24"/>
          <w:szCs w:val="24"/>
          <w:highlight w:val="none"/>
        </w:rPr>
        <w:t>、电气控制装置及安装附件</w:t>
      </w:r>
      <w:r>
        <w:rPr>
          <w:rFonts w:ascii="宋体" w:hAnsi="宋体"/>
          <w:color w:val="auto"/>
          <w:sz w:val="24"/>
          <w:szCs w:val="24"/>
          <w:highlight w:val="none"/>
        </w:rPr>
        <w:t>）</w:t>
      </w:r>
      <w:r>
        <w:rPr>
          <w:rFonts w:hint="eastAsia" w:ascii="宋体" w:hAnsi="宋体"/>
          <w:color w:val="auto"/>
          <w:sz w:val="24"/>
          <w:szCs w:val="24"/>
          <w:highlight w:val="none"/>
        </w:rPr>
        <w:t>分不同用途、类型、规格、型号，不分安装方式，以“套”为计量单位计算。</w:t>
      </w:r>
    </w:p>
    <w:p w14:paraId="34CD2619">
      <w:pPr>
        <w:adjustRightInd w:val="0"/>
        <w:snapToGrid w:val="0"/>
        <w:spacing w:before="143" w:beforeLines="50" w:after="143"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）计价包括灯具（含光源）及配件安装、接线、接地、</w:t>
      </w:r>
      <w:r>
        <w:rPr>
          <w:rFonts w:hint="eastAsia" w:ascii="宋体" w:hAnsi="宋体"/>
          <w:color w:val="auto"/>
          <w:sz w:val="24"/>
          <w:szCs w:val="24"/>
          <w:highlight w:val="none"/>
        </w:rPr>
        <w:t>焊（压）接线端子、支架、调试等相关费用。</w:t>
      </w:r>
    </w:p>
    <w:p w14:paraId="03969EFB">
      <w:pPr>
        <w:spacing w:before="143" w:beforeLines="50" w:beforeAutospacing="0" w:after="143" w:afterLines="50"/>
        <w:ind w:firstLine="480" w:firstLineChars="200"/>
        <w:rPr>
          <w:rFonts w:hint="eastAsia" w:ascii="宋体" w:hAnsi="宋体"/>
          <w:color w:val="auto"/>
          <w:sz w:val="24"/>
          <w:szCs w:val="24"/>
          <w:highlight w:val="none"/>
        </w:rPr>
      </w:pPr>
    </w:p>
    <w:bookmarkEnd w:id="422"/>
    <w:bookmarkEnd w:id="423"/>
    <w:p w14:paraId="21E90891">
      <w:pPr>
        <w:pStyle w:val="27"/>
        <w:spacing w:before="143" w:after="143" w:line="360" w:lineRule="auto"/>
        <w:jc w:val="center"/>
        <w:outlineLvl w:val="3"/>
        <w:rPr>
          <w:color w:val="auto"/>
          <w:sz w:val="28"/>
          <w:szCs w:val="21"/>
          <w:highlight w:val="none"/>
        </w:rPr>
      </w:pPr>
      <w:bookmarkStart w:id="424" w:name="_Toc8798"/>
      <w:bookmarkStart w:id="425" w:name="_Toc11724"/>
      <w:r>
        <w:rPr>
          <w:rFonts w:hint="eastAsia"/>
          <w:color w:val="auto"/>
          <w:sz w:val="28"/>
          <w:szCs w:val="21"/>
          <w:highlight w:val="none"/>
        </w:rPr>
        <w:t>三、市政工程计价补充说明</w:t>
      </w:r>
      <w:bookmarkEnd w:id="424"/>
      <w:bookmarkEnd w:id="425"/>
    </w:p>
    <w:p w14:paraId="320C0A30">
      <w:pPr>
        <w:pStyle w:val="24"/>
        <w:spacing w:before="143" w:beforeLines="50" w:beforeAutospacing="0" w:after="143" w:afterLines="50" w:line="360" w:lineRule="auto"/>
        <w:ind w:firstLine="496"/>
        <w:rPr>
          <w:rFonts w:ascii="宋体" w:hAnsi="宋体" w:cs="宋体"/>
          <w:color w:val="auto"/>
          <w:szCs w:val="24"/>
          <w:highlight w:val="none"/>
        </w:rPr>
      </w:pPr>
      <w:r>
        <w:rPr>
          <w:rFonts w:hint="eastAsia" w:ascii="宋体" w:hAnsi="宋体" w:cs="宋体"/>
          <w:color w:val="auto"/>
          <w:szCs w:val="24"/>
          <w:highlight w:val="none"/>
        </w:rPr>
        <w:t>凡在本说明中已明确的须按本说明执行；在本说明中未明确的则按《关于贯彻&lt;市政工程工程量计算规范&gt;(GB50857-2013)的实施意见》（粤建造发〔2013〕3号）、</w:t>
      </w:r>
      <w:r>
        <w:rPr>
          <w:rFonts w:hint="eastAsia" w:ascii="宋体" w:hAnsi="宋体" w:cs="宋体"/>
          <w:strike w:val="0"/>
          <w:color w:val="auto"/>
          <w:szCs w:val="24"/>
          <w:highlight w:val="none"/>
        </w:rPr>
        <w:t>《广东省建设工程工程量清单计价指引》（粤建造发〔2013〕6号）、</w:t>
      </w:r>
      <w:r>
        <w:rPr>
          <w:rFonts w:hint="eastAsia" w:ascii="宋体" w:hAnsi="宋体"/>
          <w:strike w:val="0"/>
          <w:color w:val="auto"/>
          <w:highlight w:val="none"/>
        </w:rPr>
        <w:t>《</w:t>
      </w:r>
      <w:r>
        <w:rPr>
          <w:rFonts w:hint="eastAsia" w:ascii="宋体" w:hAnsi="宋体"/>
          <w:color w:val="auto"/>
          <w:highlight w:val="none"/>
        </w:rPr>
        <w:t>广东省建设工程计价依据(2018)》</w:t>
      </w:r>
      <w:r>
        <w:rPr>
          <w:rFonts w:hint="eastAsia" w:ascii="宋体" w:hAnsi="宋体" w:cs="宋体"/>
          <w:color w:val="auto"/>
          <w:szCs w:val="24"/>
          <w:highlight w:val="none"/>
        </w:rPr>
        <w:t>的规定执行；在本说明及《关于贯彻&lt;市政工程工程量计算规范&gt;(GB50857-2013)的实施意见》（粤建造发〔2013〕3号）、</w:t>
      </w:r>
      <w:r>
        <w:rPr>
          <w:rFonts w:hint="eastAsia" w:ascii="宋体" w:hAnsi="宋体" w:cs="宋体"/>
          <w:strike w:val="0"/>
          <w:color w:val="auto"/>
          <w:szCs w:val="24"/>
          <w:highlight w:val="none"/>
        </w:rPr>
        <w:t>《广东省建设工程工程量清单计价指引》（粤建造发〔2013〕6号）、</w:t>
      </w:r>
      <w:r>
        <w:rPr>
          <w:rFonts w:hint="eastAsia" w:ascii="宋体" w:hAnsi="宋体"/>
          <w:color w:val="auto"/>
          <w:highlight w:val="none"/>
        </w:rPr>
        <w:t>《广东省建设工程计价依据(2018)》</w:t>
      </w:r>
      <w:r>
        <w:rPr>
          <w:rFonts w:hint="eastAsia" w:ascii="宋体" w:hAnsi="宋体" w:cs="宋体"/>
          <w:color w:val="auto"/>
          <w:szCs w:val="24"/>
          <w:highlight w:val="none"/>
        </w:rPr>
        <w:t>中均未明确的，则按《市政工程工程量计算规范（GB50857-2013）》、《房屋建筑与装饰工程工程量计算规范（GB50854-2013）》、《通用安装工程工程量计算规范（GB50856-2013）》等国标计算规范的规定执行；以上均未明确的则按</w:t>
      </w:r>
      <w:r>
        <w:rPr>
          <w:rFonts w:hint="eastAsia" w:ascii="宋体" w:hAnsi="宋体"/>
          <w:color w:val="auto"/>
          <w:highlight w:val="none"/>
        </w:rPr>
        <w:t>《广东省市政工程综合定额(2018)》、《广州市市政工程补充综合定额(2019)》、《广东省房屋建筑与装饰工程综合定额(2018)》、《广东省通用安装工程综合定额(2018)》</w:t>
      </w:r>
      <w:r>
        <w:rPr>
          <w:rFonts w:hint="eastAsia" w:ascii="宋体" w:hAnsi="宋体" w:cs="宋体"/>
          <w:color w:val="auto"/>
          <w:szCs w:val="24"/>
          <w:highlight w:val="none"/>
        </w:rPr>
        <w:t>等专业定额的规定执行。</w:t>
      </w:r>
    </w:p>
    <w:p w14:paraId="6EDBFD38">
      <w:pPr>
        <w:pStyle w:val="32"/>
        <w:spacing w:before="143" w:beforeAutospacing="0" w:after="143" w:line="360" w:lineRule="auto"/>
        <w:jc w:val="center"/>
        <w:outlineLvl w:val="4"/>
        <w:rPr>
          <w:rFonts w:ascii="宋体" w:eastAsia="宋体"/>
          <w:color w:val="auto"/>
          <w:sz w:val="28"/>
          <w:szCs w:val="28"/>
          <w:highlight w:val="none"/>
        </w:rPr>
      </w:pPr>
      <w:bookmarkStart w:id="426" w:name="_Toc9143"/>
      <w:bookmarkStart w:id="427" w:name="_Toc440291785"/>
      <w:bookmarkStart w:id="428" w:name="_Toc9046"/>
      <w:bookmarkStart w:id="429" w:name="_Toc24580"/>
      <w:r>
        <w:rPr>
          <w:rFonts w:hint="eastAsia" w:ascii="宋体" w:eastAsia="宋体"/>
          <w:color w:val="auto"/>
          <w:sz w:val="28"/>
          <w:szCs w:val="28"/>
          <w:highlight w:val="none"/>
        </w:rPr>
        <w:t>一、通用项目</w:t>
      </w:r>
      <w:bookmarkEnd w:id="426"/>
      <w:bookmarkEnd w:id="427"/>
      <w:bookmarkEnd w:id="428"/>
      <w:bookmarkEnd w:id="429"/>
    </w:p>
    <w:p w14:paraId="373FAD76">
      <w:pPr>
        <w:pStyle w:val="32"/>
        <w:spacing w:before="143" w:beforeAutospacing="0" w:after="143" w:line="360" w:lineRule="auto"/>
        <w:outlineLvl w:val="5"/>
        <w:rPr>
          <w:rFonts w:ascii="宋体" w:eastAsia="宋体"/>
          <w:color w:val="auto"/>
          <w:sz w:val="28"/>
          <w:szCs w:val="28"/>
          <w:highlight w:val="none"/>
        </w:rPr>
      </w:pPr>
      <w:bookmarkStart w:id="430" w:name="_Toc3361"/>
      <w:bookmarkStart w:id="431" w:name="_Toc383175588"/>
      <w:bookmarkStart w:id="432" w:name="_Toc30882"/>
      <w:bookmarkStart w:id="433" w:name="_Toc20995"/>
      <w:bookmarkStart w:id="434" w:name="_Toc440291818"/>
      <w:bookmarkStart w:id="435" w:name="_Toc248304997"/>
      <w:r>
        <w:rPr>
          <w:rFonts w:hint="eastAsia" w:ascii="宋体" w:eastAsia="宋体"/>
          <w:color w:val="auto"/>
          <w:sz w:val="28"/>
          <w:szCs w:val="28"/>
          <w:highlight w:val="none"/>
        </w:rPr>
        <w:t>B.5 交通管理设施</w:t>
      </w:r>
      <w:bookmarkEnd w:id="430"/>
      <w:bookmarkEnd w:id="431"/>
      <w:bookmarkEnd w:id="432"/>
      <w:bookmarkEnd w:id="433"/>
      <w:bookmarkEnd w:id="434"/>
    </w:p>
    <w:p w14:paraId="2D67D534">
      <w:pPr>
        <w:pStyle w:val="32"/>
        <w:spacing w:before="143" w:beforeAutospacing="0" w:after="143" w:line="360" w:lineRule="auto"/>
        <w:outlineLvl w:val="6"/>
        <w:rPr>
          <w:rFonts w:ascii="宋体" w:eastAsia="宋体"/>
          <w:color w:val="auto"/>
          <w:sz w:val="28"/>
          <w:szCs w:val="28"/>
          <w:highlight w:val="none"/>
        </w:rPr>
      </w:pPr>
      <w:bookmarkStart w:id="436" w:name="_Toc5202"/>
      <w:bookmarkStart w:id="437" w:name="_Toc15126"/>
      <w:bookmarkStart w:id="438" w:name="_Toc4458"/>
      <w:bookmarkStart w:id="439" w:name="_Toc440291819"/>
      <w:bookmarkStart w:id="440" w:name="_Toc377630833"/>
      <w:r>
        <w:rPr>
          <w:rFonts w:hint="eastAsia" w:ascii="宋体" w:eastAsia="宋体"/>
          <w:color w:val="auto"/>
          <w:sz w:val="28"/>
          <w:szCs w:val="28"/>
          <w:highlight w:val="none"/>
        </w:rPr>
        <w:t>1.标杆</w:t>
      </w:r>
      <w:bookmarkEnd w:id="436"/>
      <w:bookmarkEnd w:id="437"/>
      <w:bookmarkEnd w:id="438"/>
      <w:bookmarkEnd w:id="439"/>
      <w:bookmarkEnd w:id="440"/>
    </w:p>
    <w:p w14:paraId="46F74631">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（1）计价综合考虑基础、垫层材料品种及厚度、除锈、防腐、油漆、底座、法兰加劲板、雨帽板、基础预埋件、土方挖填及</w:t>
      </w:r>
      <w:r>
        <w:rPr>
          <w:rFonts w:hint="eastAsia" w:ascii="宋体" w:hAnsi="宋体" w:cs="宋体"/>
          <w:color w:val="auto"/>
          <w:highlight w:val="none"/>
          <w:lang w:eastAsia="zh"/>
        </w:rPr>
        <w:t>场内外运距、消纳费</w:t>
      </w:r>
      <w:r>
        <w:rPr>
          <w:rFonts w:hint="eastAsia" w:ascii="宋体" w:hAnsi="宋体" w:cs="宋体"/>
          <w:color w:val="auto"/>
          <w:highlight w:val="none"/>
        </w:rPr>
        <w:t>等。</w:t>
      </w:r>
    </w:p>
    <w:p w14:paraId="28C4AE71">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（2）计价包括基础、垫层铺筑、制作、喷漆或镀锌、底盘、拉盘、卡盘及杆件安装、材料及材料运输等一切相关费用。</w:t>
      </w:r>
    </w:p>
    <w:p w14:paraId="04182185">
      <w:pPr>
        <w:pStyle w:val="24"/>
        <w:spacing w:before="143" w:beforeLines="50" w:beforeAutospacing="0" w:after="143" w:afterLines="50" w:line="360" w:lineRule="auto"/>
        <w:ind w:firstLine="496"/>
        <w:rPr>
          <w:rFonts w:hint="eastAsia" w:ascii="宋体" w:hAnsi="宋体" w:cs="宋体"/>
          <w:color w:val="auto"/>
          <w:highlight w:val="none"/>
        </w:rPr>
      </w:pPr>
      <w:r>
        <w:rPr>
          <w:rFonts w:hint="eastAsia" w:ascii="宋体" w:hAnsi="宋体" w:cs="宋体"/>
          <w:color w:val="auto"/>
          <w:highlight w:val="none"/>
        </w:rPr>
        <w:t>（3）计量分标杆类型、材质，按设计图示数量，以根计算。</w:t>
      </w:r>
    </w:p>
    <w:p w14:paraId="50A9F96F">
      <w:pPr>
        <w:pStyle w:val="24"/>
        <w:spacing w:before="143" w:beforeLines="50" w:beforeAutospacing="0" w:after="143" w:afterLines="50" w:line="360" w:lineRule="auto"/>
        <w:ind w:firstLine="496"/>
        <w:rPr>
          <w:rFonts w:ascii="宋体" w:hAnsi="宋体" w:cs="宋体"/>
        </w:rPr>
      </w:pPr>
      <w:r>
        <w:rPr>
          <w:rFonts w:hint="eastAsia" w:ascii="宋体" w:hAnsi="宋体" w:cs="宋体"/>
        </w:rPr>
        <w:t>（4）当标杆类型发生变更时，按重量比进行换算。</w:t>
      </w:r>
    </w:p>
    <w:bookmarkEnd w:id="435"/>
    <w:p w14:paraId="15A68174">
      <w:pPr>
        <w:pStyle w:val="32"/>
        <w:spacing w:before="143" w:beforeAutospacing="0" w:after="143" w:line="360" w:lineRule="auto"/>
        <w:outlineLvl w:val="6"/>
        <w:rPr>
          <w:rFonts w:ascii="宋体" w:eastAsia="宋体"/>
          <w:color w:val="auto"/>
          <w:sz w:val="28"/>
          <w:szCs w:val="28"/>
          <w:highlight w:val="none"/>
        </w:rPr>
      </w:pPr>
      <w:bookmarkStart w:id="441" w:name="_Toc25236"/>
      <w:bookmarkStart w:id="442" w:name="_Toc336"/>
      <w:bookmarkStart w:id="443" w:name="_Toc440291820"/>
      <w:bookmarkStart w:id="444" w:name="_Toc28634"/>
      <w:r>
        <w:rPr>
          <w:rFonts w:hint="eastAsia" w:ascii="宋体" w:eastAsia="宋体"/>
          <w:color w:val="auto"/>
          <w:sz w:val="28"/>
          <w:szCs w:val="28"/>
          <w:highlight w:val="none"/>
        </w:rPr>
        <w:t>2.标志</w:t>
      </w:r>
      <w:r>
        <w:rPr>
          <w:rFonts w:hint="eastAsia" w:ascii="宋体" w:eastAsia="宋体"/>
          <w:color w:val="auto"/>
          <w:sz w:val="28"/>
          <w:szCs w:val="28"/>
          <w:highlight w:val="none"/>
          <w:lang w:eastAsia="zh"/>
        </w:rPr>
        <w:t>牌</w:t>
      </w:r>
      <w:bookmarkEnd w:id="441"/>
      <w:bookmarkEnd w:id="442"/>
      <w:bookmarkEnd w:id="443"/>
      <w:bookmarkEnd w:id="444"/>
    </w:p>
    <w:p w14:paraId="2F11B80C">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（1）计价综合考虑安装部位、高度等。</w:t>
      </w:r>
    </w:p>
    <w:p w14:paraId="4E457B67">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（2）计价包括制作、安装、材料及材料运输等一切相关费用。</w:t>
      </w:r>
    </w:p>
    <w:p w14:paraId="6186CC28">
      <w:pPr>
        <w:pStyle w:val="24"/>
        <w:spacing w:before="143" w:beforeLines="50" w:beforeAutospacing="0" w:after="143" w:afterLines="50" w:line="360" w:lineRule="auto"/>
        <w:ind w:firstLine="496"/>
        <w:rPr>
          <w:rFonts w:hint="eastAsia" w:ascii="宋体" w:hAnsi="宋体" w:cs="宋体"/>
          <w:color w:val="auto"/>
          <w:highlight w:val="none"/>
        </w:rPr>
      </w:pPr>
      <w:r>
        <w:rPr>
          <w:rFonts w:hint="eastAsia" w:ascii="宋体" w:hAnsi="宋体" w:cs="宋体"/>
          <w:color w:val="auto"/>
          <w:highlight w:val="none"/>
        </w:rPr>
        <w:t>（3）计量分不同材质、规格尺寸、反光膜等级，以块计算。</w:t>
      </w:r>
    </w:p>
    <w:p w14:paraId="5DE8B634">
      <w:pPr>
        <w:pStyle w:val="24"/>
        <w:spacing w:before="143" w:beforeLines="50" w:beforeAutospacing="0" w:after="143" w:afterLines="50" w:line="360" w:lineRule="auto"/>
        <w:ind w:firstLine="496"/>
        <w:rPr>
          <w:rFonts w:hint="eastAsia" w:ascii="宋体" w:hAnsi="宋体" w:cs="宋体"/>
          <w:color w:val="auto"/>
          <w:highlight w:val="none"/>
        </w:rPr>
      </w:pPr>
      <w:r>
        <w:rPr>
          <w:rFonts w:hint="eastAsia" w:ascii="宋体" w:hAnsi="宋体" w:cs="宋体"/>
        </w:rPr>
        <w:t>（4）当标志</w:t>
      </w:r>
      <w:r>
        <w:rPr>
          <w:rFonts w:hint="eastAsia" w:ascii="宋体" w:hAnsi="宋体" w:cs="宋体"/>
          <w:lang w:val="en-US" w:eastAsia="zh-CN"/>
        </w:rPr>
        <w:t>牌</w:t>
      </w:r>
      <w:r>
        <w:rPr>
          <w:rFonts w:hint="eastAsia" w:ascii="宋体" w:hAnsi="宋体" w:cs="宋体"/>
        </w:rPr>
        <w:t>材质、反光膜等级发生变更时，只调整材料的价差；当标志</w:t>
      </w:r>
      <w:r>
        <w:rPr>
          <w:rFonts w:hint="eastAsia" w:ascii="宋体" w:hAnsi="宋体" w:cs="宋体"/>
          <w:lang w:val="en-US" w:eastAsia="zh-CN"/>
        </w:rPr>
        <w:t>牌</w:t>
      </w:r>
      <w:r>
        <w:rPr>
          <w:rFonts w:hint="eastAsia" w:ascii="宋体" w:hAnsi="宋体" w:cs="宋体"/>
        </w:rPr>
        <w:t>规格尺寸发生变更时，按标志</w:t>
      </w:r>
      <w:r>
        <w:rPr>
          <w:rFonts w:hint="eastAsia" w:ascii="宋体" w:hAnsi="宋体" w:cs="宋体"/>
          <w:lang w:val="en-US" w:eastAsia="zh-CN"/>
        </w:rPr>
        <w:t>牌</w:t>
      </w:r>
      <w:r>
        <w:rPr>
          <w:rFonts w:hint="eastAsia" w:ascii="宋体" w:hAnsi="宋体" w:cs="宋体"/>
        </w:rPr>
        <w:t>面积比进行换算。</w:t>
      </w:r>
    </w:p>
    <w:p w14:paraId="0EF6E8C6">
      <w:pPr>
        <w:pStyle w:val="32"/>
        <w:spacing w:before="143" w:beforeAutospacing="0" w:after="143" w:line="360" w:lineRule="auto"/>
        <w:outlineLvl w:val="6"/>
        <w:rPr>
          <w:rFonts w:ascii="宋体" w:eastAsia="宋体"/>
          <w:color w:val="auto"/>
          <w:sz w:val="28"/>
          <w:szCs w:val="28"/>
          <w:highlight w:val="none"/>
        </w:rPr>
      </w:pPr>
      <w:bookmarkStart w:id="445" w:name="_Toc21332"/>
      <w:bookmarkStart w:id="446" w:name="_Toc440291821"/>
      <w:bookmarkStart w:id="447" w:name="_Toc17873"/>
      <w:bookmarkStart w:id="448" w:name="_Toc15117"/>
      <w:r>
        <w:rPr>
          <w:rFonts w:hint="eastAsia" w:ascii="宋体" w:eastAsia="宋体"/>
          <w:color w:val="auto"/>
          <w:sz w:val="28"/>
          <w:szCs w:val="28"/>
          <w:highlight w:val="none"/>
        </w:rPr>
        <w:t>3.标线</w:t>
      </w:r>
      <w:bookmarkEnd w:id="445"/>
      <w:bookmarkEnd w:id="446"/>
      <w:bookmarkEnd w:id="447"/>
      <w:bookmarkEnd w:id="448"/>
    </w:p>
    <w:p w14:paraId="01B3017E">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（1）计价综合考虑线型、涂料厚度、材料运距等。</w:t>
      </w:r>
    </w:p>
    <w:p w14:paraId="2D270E66">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（2）计价包括清扫、放样、画线、护线、材料及材料运输等一切相关费用。</w:t>
      </w:r>
    </w:p>
    <w:p w14:paraId="0BB759D9">
      <w:pPr>
        <w:pStyle w:val="24"/>
        <w:spacing w:before="143" w:beforeLines="50" w:beforeAutospacing="0" w:after="143" w:afterLines="50" w:line="360" w:lineRule="auto"/>
        <w:ind w:firstLine="496"/>
        <w:rPr>
          <w:rFonts w:hint="eastAsia" w:ascii="宋体" w:hAnsi="宋体" w:cs="宋体"/>
          <w:color w:val="auto"/>
          <w:highlight w:val="none"/>
        </w:rPr>
      </w:pPr>
      <w:r>
        <w:rPr>
          <w:rFonts w:hint="eastAsia" w:ascii="宋体" w:hAnsi="宋体" w:cs="宋体"/>
          <w:color w:val="auto"/>
          <w:highlight w:val="none"/>
        </w:rPr>
        <w:t>（3）计量分不同材料品种、涂刷工艺，按设计图示尺寸以平方米计算。</w:t>
      </w:r>
    </w:p>
    <w:p w14:paraId="7FFA8067">
      <w:pPr>
        <w:pStyle w:val="24"/>
        <w:spacing w:before="143" w:beforeLines="50" w:beforeAutospacing="0" w:after="143" w:afterLines="50" w:line="360" w:lineRule="auto"/>
        <w:ind w:firstLine="496"/>
        <w:rPr>
          <w:rFonts w:hint="eastAsia" w:ascii="宋体" w:hAnsi="宋体" w:cs="宋体"/>
          <w:color w:val="auto"/>
          <w:highlight w:val="none"/>
        </w:rPr>
      </w:pPr>
      <w:r>
        <w:rPr>
          <w:rFonts w:hint="eastAsia" w:ascii="宋体" w:hAnsi="宋体" w:cs="宋体"/>
        </w:rPr>
        <w:t>（4）当标线材料品种发生变更时，只调整材料的价差。</w:t>
      </w:r>
    </w:p>
    <w:bookmarkEnd w:id="266"/>
    <w:bookmarkEnd w:id="267"/>
    <w:bookmarkEnd w:id="268"/>
    <w:bookmarkEnd w:id="269"/>
    <w:bookmarkEnd w:id="270"/>
    <w:bookmarkEnd w:id="271"/>
    <w:bookmarkEnd w:id="272"/>
    <w:bookmarkEnd w:id="273"/>
    <w:p w14:paraId="6EE4FBBF">
      <w:pPr>
        <w:adjustRightInd w:val="0"/>
        <w:snapToGrid w:val="0"/>
        <w:spacing w:before="143" w:beforeLines="50" w:after="143" w:afterLines="50" w:line="360" w:lineRule="auto"/>
        <w:ind w:firstLine="0" w:firstLineChars="0"/>
        <w:rPr>
          <w:rFonts w:ascii="宋体" w:hAnsi="宋体"/>
          <w:color w:val="auto"/>
          <w:sz w:val="24"/>
          <w:szCs w:val="24"/>
          <w:highlight w:val="none"/>
        </w:rPr>
      </w:pPr>
      <w:bookmarkStart w:id="449" w:name="_Toc243070783"/>
      <w:bookmarkStart w:id="450" w:name="_Toc243458109"/>
      <w:bookmarkStart w:id="451" w:name="_Toc17276"/>
      <w:bookmarkStart w:id="452" w:name="_Toc316916410"/>
      <w:bookmarkStart w:id="453" w:name="_Toc7387"/>
      <w:bookmarkStart w:id="454" w:name="_Toc578"/>
      <w:bookmarkStart w:id="455" w:name="_Toc505776047"/>
      <w:bookmarkStart w:id="456" w:name="_Toc353782578"/>
      <w:bookmarkStart w:id="457" w:name="_Toc6929"/>
      <w:bookmarkStart w:id="458" w:name="_Toc294031077"/>
      <w:bookmarkStart w:id="459" w:name="_Toc17248"/>
      <w:bookmarkStart w:id="460" w:name="_Toc20735"/>
      <w:bookmarkStart w:id="461" w:name="_Toc392516311"/>
      <w:bookmarkStart w:id="462" w:name="_Toc529298718"/>
      <w:bookmarkStart w:id="463" w:name="_Toc10718"/>
      <w:bookmarkStart w:id="464" w:name="_Toc314044190"/>
    </w:p>
    <w:p w14:paraId="25BF09A2">
      <w:pPr>
        <w:pStyle w:val="27"/>
        <w:spacing w:before="143" w:after="143" w:line="360" w:lineRule="auto"/>
        <w:ind w:firstLine="578" w:firstLineChars="200"/>
        <w:jc w:val="center"/>
        <w:outlineLvl w:val="3"/>
        <w:rPr>
          <w:color w:val="auto"/>
          <w:sz w:val="28"/>
          <w:szCs w:val="28"/>
          <w:highlight w:val="none"/>
        </w:rPr>
      </w:pPr>
      <w:bookmarkStart w:id="465" w:name="_Toc387416555"/>
      <w:r>
        <w:rPr>
          <w:rFonts w:hint="eastAsia"/>
          <w:color w:val="auto"/>
          <w:sz w:val="28"/>
          <w:szCs w:val="28"/>
          <w:highlight w:val="none"/>
        </w:rPr>
        <w:t>六、标识系统工程计量计价原则</w:t>
      </w:r>
    </w:p>
    <w:p w14:paraId="400B4104">
      <w:pPr>
        <w:adjustRightInd w:val="0"/>
        <w:snapToGrid w:val="0"/>
        <w:spacing w:before="143" w:beforeLines="50" w:after="143" w:afterLines="50" w:line="360" w:lineRule="auto"/>
        <w:ind w:right="-53" w:firstLine="480" w:firstLineChars="200"/>
        <w:rPr>
          <w:rFonts w:ascii="宋体" w:hAnsi="宋体"/>
          <w:color w:val="auto"/>
          <w:sz w:val="24"/>
          <w:szCs w:val="24"/>
          <w:highlight w:val="none"/>
        </w:rPr>
      </w:pPr>
      <w:r>
        <w:rPr>
          <w:rFonts w:hint="eastAsia" w:ascii="宋体" w:hAnsi="宋体"/>
          <w:color w:val="auto"/>
          <w:sz w:val="24"/>
          <w:szCs w:val="24"/>
          <w:highlight w:val="none"/>
        </w:rPr>
        <w:t>标识系统计价包括标识系统的深化设计、制造、包装、仓储、运输(包括装卸)、安装及其他相关工作内容。</w:t>
      </w:r>
    </w:p>
    <w:p w14:paraId="1635470F">
      <w:pPr>
        <w:adjustRightInd w:val="0"/>
        <w:snapToGrid w:val="0"/>
        <w:spacing w:before="143" w:beforeLines="50" w:after="143" w:afterLines="50" w:line="360" w:lineRule="auto"/>
        <w:ind w:right="-53" w:firstLine="482" w:firstLineChars="200"/>
        <w:outlineLvl w:val="4"/>
        <w:rPr>
          <w:rFonts w:ascii="宋体" w:hAnsi="宋体"/>
          <w:b/>
          <w:bCs/>
          <w:color w:val="auto"/>
          <w:sz w:val="24"/>
          <w:szCs w:val="24"/>
          <w:highlight w:val="none"/>
        </w:rPr>
      </w:pPr>
      <w:bookmarkStart w:id="466" w:name="_Toc447098082"/>
      <w:bookmarkStart w:id="467" w:name="_Toc447284747"/>
      <w:bookmarkStart w:id="468" w:name="_Toc447098686"/>
      <w:r>
        <w:rPr>
          <w:rFonts w:hint="eastAsia" w:ascii="宋体" w:hAnsi="宋体"/>
          <w:b/>
          <w:bCs/>
          <w:color w:val="auto"/>
          <w:sz w:val="24"/>
          <w:szCs w:val="24"/>
          <w:highlight w:val="none"/>
        </w:rPr>
        <w:t>1.户外标识系统清单项目</w:t>
      </w:r>
      <w:bookmarkEnd w:id="466"/>
      <w:bookmarkEnd w:id="467"/>
      <w:bookmarkEnd w:id="468"/>
    </w:p>
    <w:p w14:paraId="508E3781">
      <w:pPr>
        <w:adjustRightInd w:val="0"/>
        <w:snapToGrid w:val="0"/>
        <w:spacing w:before="143" w:beforeLines="50" w:after="143"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（1）计价需综合考虑安装现场定点、安装方式及安装部位、道路开挖及回填、土方外运、建筑</w:t>
      </w:r>
      <w:r>
        <w:rPr>
          <w:rFonts w:ascii="宋体" w:hAnsi="宋体"/>
          <w:color w:val="auto"/>
          <w:sz w:val="24"/>
          <w:szCs w:val="24"/>
          <w:highlight w:val="none"/>
        </w:rPr>
        <w:t>垃圾处置费</w:t>
      </w:r>
      <w:r>
        <w:rPr>
          <w:rFonts w:hint="eastAsia" w:ascii="宋体" w:hAnsi="宋体"/>
          <w:color w:val="auto"/>
          <w:sz w:val="24"/>
          <w:szCs w:val="24"/>
          <w:highlight w:val="none"/>
        </w:rPr>
        <w:t>、地基制作（含挖混凝土基础、钢筋、螺栓、预埋铁件等）、悬挂配件、骨架、灯箱、光源、标识牌等。</w:t>
      </w:r>
    </w:p>
    <w:p w14:paraId="4D12A06A">
      <w:pPr>
        <w:adjustRightInd w:val="0"/>
        <w:snapToGrid w:val="0"/>
        <w:spacing w:before="143" w:beforeLines="50" w:after="143"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（2）标识牌计量不同类型、材质、规格，以“件”</w:t>
      </w:r>
      <w:r>
        <w:rPr>
          <w:rFonts w:hint="eastAsia" w:ascii="宋体" w:hAnsi="宋体"/>
          <w:color w:val="auto"/>
          <w:sz w:val="24"/>
          <w:szCs w:val="24"/>
          <w:highlight w:val="none"/>
          <w:lang w:eastAsia="zh"/>
        </w:rPr>
        <w:t>、“套”</w:t>
      </w:r>
      <w:r>
        <w:rPr>
          <w:rFonts w:hint="eastAsia" w:ascii="宋体" w:hAnsi="宋体"/>
          <w:color w:val="auto"/>
          <w:sz w:val="24"/>
          <w:szCs w:val="24"/>
          <w:highlight w:val="none"/>
          <w:lang w:eastAsia="zh-CN"/>
        </w:rPr>
        <w:t>、</w:t>
      </w:r>
      <w:r>
        <w:rPr>
          <w:rFonts w:hint="eastAsia" w:ascii="宋体" w:hAnsi="宋体"/>
          <w:color w:val="auto"/>
          <w:sz w:val="24"/>
          <w:szCs w:val="24"/>
          <w:highlight w:val="none"/>
          <w:lang w:eastAsia="zh"/>
        </w:rPr>
        <w:t>“</w:t>
      </w:r>
      <w:r>
        <w:rPr>
          <w:rFonts w:hint="eastAsia" w:ascii="宋体" w:hAnsi="宋体"/>
          <w:color w:val="auto"/>
          <w:sz w:val="24"/>
          <w:szCs w:val="24"/>
          <w:highlight w:val="none"/>
          <w:lang w:val="en-US" w:eastAsia="zh-CN"/>
        </w:rPr>
        <w:t>m2</w:t>
      </w:r>
      <w:r>
        <w:rPr>
          <w:rFonts w:hint="eastAsia" w:ascii="宋体" w:hAnsi="宋体"/>
          <w:color w:val="auto"/>
          <w:sz w:val="24"/>
          <w:szCs w:val="24"/>
          <w:highlight w:val="none"/>
          <w:lang w:eastAsia="zh"/>
        </w:rPr>
        <w:t>”</w:t>
      </w:r>
      <w:r>
        <w:rPr>
          <w:rFonts w:hint="eastAsia" w:ascii="宋体" w:hAnsi="宋体"/>
          <w:color w:val="auto"/>
          <w:sz w:val="24"/>
          <w:szCs w:val="24"/>
          <w:highlight w:val="none"/>
        </w:rPr>
        <w:t>为单位。</w:t>
      </w:r>
    </w:p>
    <w:p w14:paraId="2C14E97D">
      <w:pPr>
        <w:adjustRightInd w:val="0"/>
        <w:snapToGrid w:val="0"/>
        <w:spacing w:before="143" w:beforeLines="50" w:after="143" w:afterLines="50" w:line="360" w:lineRule="auto"/>
        <w:ind w:right="-53" w:firstLine="482" w:firstLineChars="200"/>
        <w:outlineLvl w:val="4"/>
        <w:rPr>
          <w:rFonts w:ascii="宋体" w:hAnsi="宋体"/>
          <w:b/>
          <w:bCs/>
          <w:color w:val="auto"/>
          <w:sz w:val="24"/>
          <w:szCs w:val="24"/>
          <w:highlight w:val="none"/>
        </w:rPr>
      </w:pPr>
      <w:bookmarkStart w:id="469" w:name="_Toc447098687"/>
      <w:bookmarkStart w:id="470" w:name="_Toc447284748"/>
      <w:bookmarkStart w:id="471" w:name="_Toc447098083"/>
      <w:r>
        <w:rPr>
          <w:rFonts w:hint="eastAsia" w:ascii="宋体" w:hAnsi="宋体"/>
          <w:b/>
          <w:bCs/>
          <w:color w:val="auto"/>
          <w:sz w:val="24"/>
          <w:szCs w:val="24"/>
          <w:highlight w:val="none"/>
        </w:rPr>
        <w:t>2.室内标识系统清单项目</w:t>
      </w:r>
      <w:bookmarkEnd w:id="469"/>
      <w:bookmarkEnd w:id="470"/>
      <w:bookmarkEnd w:id="471"/>
    </w:p>
    <w:p w14:paraId="172C01B2">
      <w:pPr>
        <w:adjustRightInd w:val="0"/>
        <w:snapToGrid w:val="0"/>
        <w:spacing w:before="143" w:beforeLines="50" w:after="143"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（1）计价综合考虑安装现场定点、安装方式及安装部位、骨架、悬挂配件、灯箱、光源、标识牌安装及因安装需要而对已完工建（构）筑物墙面、天花、地面等开凿、移动、破损及修复等相关费用。</w:t>
      </w:r>
    </w:p>
    <w:p w14:paraId="15616B93">
      <w:pPr>
        <w:adjustRightInd w:val="0"/>
        <w:snapToGrid w:val="0"/>
        <w:spacing w:before="143" w:beforeLines="50" w:after="143"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（2）标识牌计量不同类型、材质、规格，以“个”、</w:t>
      </w:r>
      <w:r>
        <w:rPr>
          <w:rFonts w:hint="eastAsia" w:ascii="宋体" w:hAnsi="宋体"/>
          <w:color w:val="auto"/>
          <w:sz w:val="24"/>
          <w:szCs w:val="24"/>
          <w:highlight w:val="none"/>
          <w:lang w:eastAsia="zh"/>
        </w:rPr>
        <w:t>“块”</w:t>
      </w:r>
      <w:r>
        <w:rPr>
          <w:rFonts w:hint="eastAsia" w:ascii="宋体" w:hAnsi="宋体"/>
          <w:color w:val="auto"/>
          <w:sz w:val="24"/>
          <w:szCs w:val="24"/>
          <w:highlight w:val="none"/>
          <w:lang w:eastAsia="zh-CN"/>
        </w:rPr>
        <w:t>、</w:t>
      </w:r>
      <w:r>
        <w:rPr>
          <w:rFonts w:hint="eastAsia" w:ascii="宋体" w:hAnsi="宋体"/>
          <w:color w:val="auto"/>
          <w:sz w:val="24"/>
          <w:szCs w:val="24"/>
          <w:highlight w:val="none"/>
          <w:lang w:eastAsia="zh"/>
        </w:rPr>
        <w:t>“</w:t>
      </w:r>
      <w:r>
        <w:rPr>
          <w:rFonts w:hint="eastAsia" w:ascii="宋体" w:hAnsi="宋体"/>
          <w:color w:val="auto"/>
          <w:sz w:val="24"/>
          <w:szCs w:val="24"/>
          <w:highlight w:val="none"/>
          <w:lang w:val="en-US" w:eastAsia="zh-CN"/>
        </w:rPr>
        <w:t>m2</w:t>
      </w:r>
      <w:r>
        <w:rPr>
          <w:rFonts w:hint="eastAsia" w:ascii="宋体" w:hAnsi="宋体"/>
          <w:color w:val="auto"/>
          <w:sz w:val="24"/>
          <w:szCs w:val="24"/>
          <w:highlight w:val="none"/>
          <w:lang w:eastAsia="zh"/>
        </w:rPr>
        <w:t>”</w:t>
      </w:r>
      <w:r>
        <w:rPr>
          <w:rFonts w:hint="eastAsia" w:ascii="宋体" w:hAnsi="宋体"/>
          <w:color w:val="auto"/>
          <w:sz w:val="24"/>
          <w:szCs w:val="24"/>
          <w:highlight w:val="none"/>
        </w:rPr>
        <w:t>为计量单位。</w:t>
      </w:r>
    </w:p>
    <w:p w14:paraId="2AFC3F2A">
      <w:pPr>
        <w:adjustRightInd w:val="0"/>
        <w:snapToGrid w:val="0"/>
        <w:spacing w:before="143" w:beforeLines="50" w:after="143"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 室内标志字体综合考虑字体宽度，分不同高度开列清单项。</w:t>
      </w:r>
    </w:p>
    <w:p w14:paraId="08E8B15E">
      <w:pPr>
        <w:adjustRightInd w:val="0"/>
        <w:snapToGrid w:val="0"/>
        <w:spacing w:before="143" w:beforeLines="50" w:after="143"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)车库墙柱面涂装计量综合考虑油漆类型，颜色，遍数，图等，相应以“m2为计量单位。</w:t>
      </w:r>
    </w:p>
    <w:p w14:paraId="1002FC7C">
      <w:pPr>
        <w:adjustRightInd w:val="0"/>
        <w:snapToGrid w:val="0"/>
        <w:spacing w:before="143" w:beforeLines="50" w:after="143" w:afterLines="50" w:line="360" w:lineRule="auto"/>
        <w:ind w:right="-53" w:firstLine="482" w:firstLineChars="200"/>
        <w:outlineLvl w:val="4"/>
        <w:rPr>
          <w:rFonts w:hint="eastAsia" w:ascii="宋体" w:hAnsi="宋体"/>
          <w:b/>
          <w:bCs/>
          <w:color w:val="auto"/>
          <w:sz w:val="24"/>
          <w:szCs w:val="24"/>
          <w:highlight w:val="none"/>
        </w:rPr>
      </w:pPr>
      <w:r>
        <w:rPr>
          <w:rFonts w:hint="eastAsia" w:ascii="宋体" w:hAnsi="宋体"/>
          <w:b/>
          <w:bCs/>
          <w:color w:val="auto"/>
          <w:sz w:val="24"/>
          <w:szCs w:val="24"/>
          <w:highlight w:val="none"/>
        </w:rPr>
        <w:t>3.尺寸变化时的调整原则</w:t>
      </w:r>
    </w:p>
    <w:p w14:paraId="1A2F8A1D">
      <w:pPr>
        <w:adjustRightInd w:val="0"/>
        <w:snapToGrid w:val="0"/>
        <w:spacing w:before="143" w:beforeLines="50" w:after="143" w:afterLines="50" w:line="360" w:lineRule="auto"/>
        <w:ind w:right="0" w:firstLine="480" w:firstLineChars="200"/>
        <w:outlineLvl w:val="9"/>
        <w:rPr>
          <w:rFonts w:hint="eastAsia" w:ascii="宋体" w:hAnsi="宋体"/>
          <w:b/>
          <w:bCs/>
          <w:color w:val="auto"/>
          <w:sz w:val="24"/>
          <w:szCs w:val="24"/>
          <w:highlight w:val="none"/>
        </w:rPr>
      </w:pPr>
      <w:r>
        <w:rPr>
          <w:rFonts w:hint="eastAsia" w:ascii="宋体" w:hAnsi="宋体"/>
          <w:sz w:val="24"/>
          <w:szCs w:val="24"/>
        </w:rPr>
        <w:t>（1）平面标识</w:t>
      </w:r>
    </w:p>
    <w:p w14:paraId="3A773405">
      <w:pPr>
        <w:adjustRightInd w:val="0"/>
        <w:snapToGrid w:val="0"/>
        <w:spacing w:before="143" w:beforeLines="50" w:after="143" w:afterLines="50" w:line="360" w:lineRule="auto"/>
        <w:ind w:firstLine="480" w:firstLineChars="200"/>
        <w:rPr>
          <w:rFonts w:ascii="宋体" w:hAnsi="宋体"/>
          <w:sz w:val="24"/>
          <w:szCs w:val="24"/>
        </w:rPr>
      </w:pPr>
      <w:r>
        <w:rPr>
          <w:rFonts w:hint="eastAsia" w:ascii="宋体" w:hAnsi="宋体"/>
          <w:sz w:val="24"/>
          <w:szCs w:val="24"/>
        </w:rPr>
        <w:t>当标识尺寸发生变化时，则以原清单的综合单价为基准价，按平面面积换算。</w:t>
      </w:r>
    </w:p>
    <w:p w14:paraId="74B640A4">
      <w:pPr>
        <w:adjustRightInd w:val="0"/>
        <w:snapToGrid w:val="0"/>
        <w:spacing w:before="143" w:beforeLines="50" w:after="143" w:afterLines="50" w:line="360" w:lineRule="auto"/>
        <w:ind w:firstLine="480" w:firstLineChars="200"/>
        <w:rPr>
          <w:rFonts w:ascii="宋体" w:hAnsi="宋体"/>
          <w:sz w:val="24"/>
          <w:szCs w:val="24"/>
        </w:rPr>
      </w:pPr>
      <w:r>
        <w:rPr>
          <w:rFonts w:hint="eastAsia" w:ascii="宋体" w:hAnsi="宋体"/>
          <w:sz w:val="24"/>
          <w:szCs w:val="24"/>
        </w:rPr>
        <w:t>（2）立体标识</w:t>
      </w:r>
    </w:p>
    <w:p w14:paraId="0D4982BC">
      <w:pPr>
        <w:adjustRightInd w:val="0"/>
        <w:snapToGrid w:val="0"/>
        <w:spacing w:before="143" w:beforeLines="50" w:after="143" w:afterLines="50" w:line="360" w:lineRule="auto"/>
        <w:ind w:firstLine="480" w:firstLineChars="200"/>
        <w:rPr>
          <w:rFonts w:ascii="宋体" w:hAnsi="宋体"/>
          <w:sz w:val="24"/>
          <w:szCs w:val="24"/>
        </w:rPr>
      </w:pPr>
      <w:r>
        <w:rPr>
          <w:rFonts w:hint="eastAsia" w:ascii="宋体" w:hAnsi="宋体"/>
          <w:sz w:val="24"/>
          <w:szCs w:val="24"/>
        </w:rPr>
        <w:t>当标识尺寸发生变化时，则以原清单的综合单价为基准价，按展开面积换算。</w:t>
      </w:r>
    </w:p>
    <w:p w14:paraId="1E03ED49">
      <w:pPr>
        <w:adjustRightInd w:val="0"/>
        <w:snapToGrid w:val="0"/>
        <w:spacing w:before="143" w:beforeLines="50" w:after="143" w:afterLines="50" w:line="360" w:lineRule="auto"/>
        <w:ind w:firstLine="480" w:firstLineChars="200"/>
        <w:rPr>
          <w:rFonts w:ascii="宋体" w:hAnsi="宋体"/>
          <w:sz w:val="24"/>
          <w:szCs w:val="24"/>
        </w:rPr>
      </w:pPr>
      <w:r>
        <w:rPr>
          <w:rFonts w:hint="eastAsia" w:ascii="宋体" w:hAnsi="宋体"/>
          <w:sz w:val="24"/>
          <w:szCs w:val="24"/>
        </w:rPr>
        <w:t>（3）若标识只是标识信息（包括文字（中英文）、箭头、图形、排版、颜色及图案的凹凸等）有变化，则该标识的综合单价不予调整。</w:t>
      </w:r>
    </w:p>
    <w:p w14:paraId="0605D433">
      <w:pPr>
        <w:adjustRightInd w:val="0"/>
        <w:snapToGrid w:val="0"/>
        <w:spacing w:before="143" w:beforeLines="50" w:after="143" w:afterLines="50" w:line="360" w:lineRule="auto"/>
        <w:ind w:firstLine="480" w:firstLineChars="200"/>
        <w:rPr>
          <w:rFonts w:hint="eastAsia" w:ascii="宋体" w:hAnsi="宋体"/>
          <w:sz w:val="24"/>
          <w:szCs w:val="24"/>
        </w:rPr>
      </w:pPr>
      <w:r>
        <w:rPr>
          <w:rFonts w:hint="eastAsia" w:ascii="宋体" w:hAnsi="宋体"/>
          <w:sz w:val="24"/>
          <w:szCs w:val="24"/>
        </w:rPr>
        <w:t>（4）楼号、楼层号、洗手间C-01的高度变化，则以原清单的合同单价为基准价，按高度比换算。</w:t>
      </w:r>
    </w:p>
    <w:bookmarkEnd w:id="465"/>
    <w:p w14:paraId="189B24B1">
      <w:pPr>
        <w:pStyle w:val="27"/>
        <w:numPr>
          <w:ilvl w:val="0"/>
          <w:numId w:val="6"/>
        </w:numPr>
        <w:spacing w:before="143" w:after="143" w:line="360" w:lineRule="auto"/>
        <w:outlineLvl w:val="3"/>
        <w:rPr>
          <w:color w:val="auto"/>
          <w:highlight w:val="none"/>
        </w:rPr>
      </w:pPr>
      <w:bookmarkStart w:id="472" w:name="_Toc356301347"/>
      <w:bookmarkStart w:id="473" w:name="_Toc353782577"/>
      <w:bookmarkStart w:id="474" w:name="_Toc333307544"/>
      <w:r>
        <w:rPr>
          <w:rFonts w:hint="eastAsia"/>
          <w:color w:val="auto"/>
          <w:sz w:val="28"/>
          <w:szCs w:val="28"/>
          <w:highlight w:val="none"/>
        </w:rPr>
        <w:t>机电安装工程各系统申报新增主材、综合单价，主材费、安装费界定表如下（其中主材的损耗含在相应的综合单价中）：</w:t>
      </w:r>
      <w:bookmarkEnd w:id="472"/>
      <w:bookmarkEnd w:id="473"/>
    </w:p>
    <w:p w14:paraId="09351E14">
      <w:pPr>
        <w:pStyle w:val="24"/>
        <w:ind w:firstLine="0" w:firstLineChars="0"/>
        <w:rPr>
          <w:color w:val="auto"/>
          <w:highlight w:val="none"/>
        </w:rPr>
      </w:pPr>
    </w:p>
    <w:p w14:paraId="09366BA7">
      <w:pPr>
        <w:pStyle w:val="24"/>
        <w:ind w:firstLine="0" w:firstLineChars="0"/>
        <w:rPr>
          <w:color w:val="auto"/>
          <w:highlight w:val="none"/>
        </w:rPr>
      </w:pPr>
    </w:p>
    <w:tbl>
      <w:tblPr>
        <w:tblStyle w:val="12"/>
        <w:tblW w:w="9380" w:type="dxa"/>
        <w:tblInd w:w="93" w:type="dxa"/>
        <w:tblLayout w:type="autofit"/>
        <w:tblCellMar>
          <w:top w:w="0" w:type="dxa"/>
          <w:left w:w="108" w:type="dxa"/>
          <w:bottom w:w="0" w:type="dxa"/>
          <w:right w:w="108" w:type="dxa"/>
        </w:tblCellMar>
      </w:tblPr>
      <w:tblGrid>
        <w:gridCol w:w="840"/>
        <w:gridCol w:w="1712"/>
        <w:gridCol w:w="2762"/>
        <w:gridCol w:w="4066"/>
      </w:tblGrid>
      <w:tr w14:paraId="48D9CC4F">
        <w:tblPrEx>
          <w:tblCellMar>
            <w:top w:w="0" w:type="dxa"/>
            <w:left w:w="108" w:type="dxa"/>
            <w:bottom w:w="0" w:type="dxa"/>
            <w:right w:w="108" w:type="dxa"/>
          </w:tblCellMar>
        </w:tblPrEx>
        <w:trPr>
          <w:trHeight w:val="570" w:hRule="atLeast"/>
        </w:trPr>
        <w:tc>
          <w:tcPr>
            <w:tcW w:w="840" w:type="dxa"/>
            <w:tcBorders>
              <w:top w:val="single" w:color="auto" w:sz="4" w:space="0"/>
              <w:left w:val="single" w:color="auto" w:sz="4" w:space="0"/>
              <w:bottom w:val="single" w:color="auto" w:sz="4" w:space="0"/>
              <w:right w:val="single" w:color="auto" w:sz="4" w:space="0"/>
            </w:tcBorders>
            <w:vAlign w:val="center"/>
          </w:tcPr>
          <w:p w14:paraId="72B9A8E0">
            <w:pPr>
              <w:widowControl/>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712" w:type="dxa"/>
            <w:tcBorders>
              <w:top w:val="single" w:color="auto" w:sz="4" w:space="0"/>
              <w:left w:val="nil"/>
              <w:bottom w:val="single" w:color="auto" w:sz="4" w:space="0"/>
              <w:right w:val="single" w:color="auto" w:sz="4" w:space="0"/>
            </w:tcBorders>
            <w:vAlign w:val="center"/>
          </w:tcPr>
          <w:p w14:paraId="01F48D06">
            <w:pPr>
              <w:widowControl/>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项名名称</w:t>
            </w:r>
          </w:p>
        </w:tc>
        <w:tc>
          <w:tcPr>
            <w:tcW w:w="2762" w:type="dxa"/>
            <w:tcBorders>
              <w:top w:val="single" w:color="auto" w:sz="4" w:space="0"/>
              <w:left w:val="nil"/>
              <w:bottom w:val="single" w:color="auto" w:sz="4" w:space="0"/>
              <w:right w:val="single" w:color="auto" w:sz="4" w:space="0"/>
            </w:tcBorders>
            <w:vAlign w:val="center"/>
          </w:tcPr>
          <w:p w14:paraId="3781FFBA">
            <w:pPr>
              <w:widowControl/>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主材费内容（不含损耗）</w:t>
            </w:r>
          </w:p>
        </w:tc>
        <w:tc>
          <w:tcPr>
            <w:tcW w:w="4066" w:type="dxa"/>
            <w:tcBorders>
              <w:top w:val="single" w:color="auto" w:sz="4" w:space="0"/>
              <w:left w:val="nil"/>
              <w:bottom w:val="single" w:color="auto" w:sz="4" w:space="0"/>
              <w:right w:val="single" w:color="auto" w:sz="4" w:space="0"/>
            </w:tcBorders>
            <w:vAlign w:val="center"/>
          </w:tcPr>
          <w:p w14:paraId="21300A33">
            <w:pPr>
              <w:widowControl/>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安装费内容</w:t>
            </w:r>
            <w:r>
              <w:rPr>
                <w:rFonts w:ascii="Calibri" w:hAnsi="Calibri"/>
                <w:color w:val="auto"/>
                <w:kern w:val="0"/>
                <w:sz w:val="24"/>
                <w:highlight w:val="none"/>
              </w:rPr>
              <w:t>(</w:t>
            </w:r>
            <w:r>
              <w:rPr>
                <w:rFonts w:hint="eastAsia" w:ascii="宋体" w:hAnsi="宋体" w:cs="宋体"/>
                <w:color w:val="auto"/>
                <w:kern w:val="0"/>
                <w:sz w:val="24"/>
                <w:highlight w:val="none"/>
              </w:rPr>
              <w:t>包括但不限于以下</w:t>
            </w:r>
            <w:r>
              <w:rPr>
                <w:rFonts w:ascii="Calibri" w:hAnsi="Calibri"/>
                <w:color w:val="auto"/>
                <w:kern w:val="0"/>
                <w:sz w:val="24"/>
                <w:highlight w:val="none"/>
              </w:rPr>
              <w:t>)</w:t>
            </w:r>
          </w:p>
        </w:tc>
      </w:tr>
      <w:tr w14:paraId="7E7CE297">
        <w:tblPrEx>
          <w:tblCellMar>
            <w:top w:w="0" w:type="dxa"/>
            <w:left w:w="108" w:type="dxa"/>
            <w:bottom w:w="0" w:type="dxa"/>
            <w:right w:w="108" w:type="dxa"/>
          </w:tblCellMar>
        </w:tblPrEx>
        <w:trPr>
          <w:trHeight w:val="1320" w:hRule="atLeast"/>
        </w:trPr>
        <w:tc>
          <w:tcPr>
            <w:tcW w:w="840" w:type="dxa"/>
            <w:vMerge w:val="continue"/>
            <w:tcBorders>
              <w:top w:val="nil"/>
              <w:left w:val="single" w:color="auto" w:sz="4" w:space="0"/>
              <w:bottom w:val="single" w:color="000000" w:sz="4" w:space="0"/>
              <w:right w:val="single" w:color="auto" w:sz="4" w:space="0"/>
            </w:tcBorders>
            <w:vAlign w:val="center"/>
          </w:tcPr>
          <w:p w14:paraId="174C169F">
            <w:pPr>
              <w:widowControl/>
              <w:adjustRightInd w:val="0"/>
              <w:snapToGrid w:val="0"/>
              <w:jc w:val="left"/>
              <w:rPr>
                <w:rFonts w:ascii="宋体" w:hAnsi="宋体" w:cs="宋体"/>
                <w:color w:val="auto"/>
                <w:kern w:val="0"/>
                <w:sz w:val="24"/>
                <w:highlight w:val="none"/>
              </w:rPr>
            </w:pPr>
          </w:p>
        </w:tc>
        <w:tc>
          <w:tcPr>
            <w:tcW w:w="1712" w:type="dxa"/>
            <w:tcBorders>
              <w:top w:val="nil"/>
              <w:left w:val="nil"/>
              <w:bottom w:val="single" w:color="auto" w:sz="4" w:space="0"/>
              <w:right w:val="single" w:color="auto" w:sz="4" w:space="0"/>
            </w:tcBorders>
            <w:vAlign w:val="center"/>
          </w:tcPr>
          <w:p w14:paraId="7FD80ACE">
            <w:pPr>
              <w:widowControl/>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灯具</w:t>
            </w:r>
          </w:p>
        </w:tc>
        <w:tc>
          <w:tcPr>
            <w:tcW w:w="2762" w:type="dxa"/>
            <w:tcBorders>
              <w:top w:val="nil"/>
              <w:left w:val="nil"/>
              <w:bottom w:val="single" w:color="auto" w:sz="4" w:space="0"/>
              <w:right w:val="single" w:color="auto" w:sz="4" w:space="0"/>
            </w:tcBorders>
            <w:vAlign w:val="center"/>
          </w:tcPr>
          <w:p w14:paraId="107502BB">
            <w:pPr>
              <w:widowControl/>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灯具及配件</w:t>
            </w:r>
            <w:r>
              <w:rPr>
                <w:rFonts w:ascii="Calibri" w:hAnsi="Calibri"/>
                <w:color w:val="auto"/>
                <w:kern w:val="0"/>
                <w:sz w:val="24"/>
                <w:highlight w:val="none"/>
              </w:rPr>
              <w:t>(</w:t>
            </w:r>
            <w:r>
              <w:rPr>
                <w:rFonts w:hint="eastAsia" w:ascii="宋体" w:hAnsi="宋体" w:cs="宋体"/>
                <w:color w:val="auto"/>
                <w:kern w:val="0"/>
                <w:sz w:val="24"/>
                <w:highlight w:val="none"/>
              </w:rPr>
              <w:t>含光源</w:t>
            </w:r>
            <w:r>
              <w:rPr>
                <w:rFonts w:ascii="Calibri" w:hAnsi="Calibri"/>
                <w:color w:val="auto"/>
                <w:kern w:val="0"/>
                <w:sz w:val="24"/>
                <w:highlight w:val="none"/>
              </w:rPr>
              <w:t>)</w:t>
            </w:r>
          </w:p>
        </w:tc>
        <w:tc>
          <w:tcPr>
            <w:tcW w:w="4066" w:type="dxa"/>
            <w:tcBorders>
              <w:top w:val="nil"/>
              <w:left w:val="nil"/>
              <w:bottom w:val="single" w:color="auto" w:sz="4" w:space="0"/>
              <w:right w:val="single" w:color="auto" w:sz="4" w:space="0"/>
            </w:tcBorders>
            <w:vAlign w:val="center"/>
          </w:tcPr>
          <w:p w14:paraId="7301BC04">
            <w:pPr>
              <w:widowControl/>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灯具及配件</w:t>
            </w:r>
            <w:r>
              <w:rPr>
                <w:rFonts w:ascii="Calibri" w:hAnsi="Calibri"/>
                <w:color w:val="auto"/>
                <w:kern w:val="0"/>
                <w:sz w:val="24"/>
                <w:highlight w:val="none"/>
              </w:rPr>
              <w:t>(</w:t>
            </w:r>
            <w:r>
              <w:rPr>
                <w:rFonts w:hint="eastAsia" w:ascii="宋体" w:hAnsi="宋体" w:cs="宋体"/>
                <w:color w:val="auto"/>
                <w:kern w:val="0"/>
                <w:sz w:val="24"/>
                <w:highlight w:val="none"/>
              </w:rPr>
              <w:t>含应急装置、光源</w:t>
            </w:r>
            <w:r>
              <w:rPr>
                <w:rFonts w:ascii="Calibri" w:hAnsi="Calibri"/>
                <w:color w:val="auto"/>
                <w:kern w:val="0"/>
                <w:sz w:val="24"/>
                <w:highlight w:val="none"/>
              </w:rPr>
              <w:t>)</w:t>
            </w:r>
            <w:r>
              <w:rPr>
                <w:rFonts w:hint="eastAsia" w:ascii="宋体" w:hAnsi="宋体" w:cs="宋体"/>
                <w:color w:val="auto"/>
                <w:kern w:val="0"/>
                <w:sz w:val="24"/>
                <w:highlight w:val="none"/>
              </w:rPr>
              <w:t>安装；各类预埋件留设；底盒安装；金属软管；接线、接地；焊压接线端子；支架；调试等工作内容。</w:t>
            </w:r>
          </w:p>
        </w:tc>
      </w:tr>
      <w:tr w14:paraId="66096BC7">
        <w:tblPrEx>
          <w:tblCellMar>
            <w:top w:w="0" w:type="dxa"/>
            <w:left w:w="108" w:type="dxa"/>
            <w:bottom w:w="0" w:type="dxa"/>
            <w:right w:w="108" w:type="dxa"/>
          </w:tblCellMar>
        </w:tblPrEx>
        <w:trPr>
          <w:trHeight w:val="1047" w:hRule="atLeast"/>
        </w:trPr>
        <w:tc>
          <w:tcPr>
            <w:tcW w:w="840" w:type="dxa"/>
            <w:tcBorders>
              <w:top w:val="single" w:color="auto" w:sz="4" w:space="0"/>
              <w:left w:val="single" w:color="auto" w:sz="4" w:space="0"/>
              <w:bottom w:val="single" w:color="000000" w:sz="4" w:space="0"/>
              <w:right w:val="single" w:color="auto" w:sz="4" w:space="0"/>
            </w:tcBorders>
            <w:vAlign w:val="center"/>
          </w:tcPr>
          <w:p w14:paraId="01EC4B21">
            <w:pPr>
              <w:widowControl/>
              <w:adjustRightInd w:val="0"/>
              <w:snapToGrid w:val="0"/>
              <w:ind w:left="0" w:leftChars="0" w:firstLine="0" w:firstLineChars="0"/>
              <w:jc w:val="left"/>
              <w:rPr>
                <w:rFonts w:ascii="宋体" w:hAnsi="宋体" w:cs="宋体"/>
                <w:color w:val="auto"/>
                <w:kern w:val="0"/>
                <w:szCs w:val="21"/>
                <w:highlight w:val="none"/>
              </w:rPr>
            </w:pPr>
          </w:p>
        </w:tc>
        <w:tc>
          <w:tcPr>
            <w:tcW w:w="1712" w:type="dxa"/>
            <w:tcBorders>
              <w:top w:val="nil"/>
              <w:left w:val="nil"/>
              <w:bottom w:val="single" w:color="auto" w:sz="4" w:space="0"/>
              <w:right w:val="single" w:color="auto" w:sz="4" w:space="0"/>
            </w:tcBorders>
            <w:vAlign w:val="center"/>
          </w:tcPr>
          <w:p w14:paraId="53FA8F73">
            <w:pPr>
              <w:widowControl/>
              <w:adjustRightInd w:val="0"/>
              <w:snapToGrid w:val="0"/>
              <w:ind w:left="0" w:leftChars="0" w:firstLine="0" w:firstLineChars="0"/>
              <w:rPr>
                <w:rFonts w:hint="eastAsia" w:ascii="宋体" w:hAnsi="宋体" w:cs="宋体"/>
                <w:strike/>
                <w:color w:val="auto"/>
                <w:kern w:val="0"/>
                <w:sz w:val="24"/>
                <w:highlight w:val="none"/>
              </w:rPr>
            </w:pPr>
          </w:p>
        </w:tc>
        <w:tc>
          <w:tcPr>
            <w:tcW w:w="2762" w:type="dxa"/>
            <w:tcBorders>
              <w:top w:val="nil"/>
              <w:left w:val="single" w:color="auto" w:sz="4" w:space="0"/>
              <w:bottom w:val="single" w:color="auto" w:sz="4" w:space="0"/>
              <w:right w:val="single" w:color="auto" w:sz="4" w:space="0"/>
            </w:tcBorders>
            <w:vAlign w:val="center"/>
          </w:tcPr>
          <w:p w14:paraId="1DCEBC9C">
            <w:pPr>
              <w:widowControl/>
              <w:adjustRightInd w:val="0"/>
              <w:snapToGrid w:val="0"/>
              <w:ind w:left="0" w:leftChars="0" w:firstLine="0" w:firstLineChars="0"/>
              <w:jc w:val="left"/>
              <w:rPr>
                <w:rFonts w:hint="eastAsia" w:ascii="宋体" w:hAnsi="宋体" w:cs="宋体"/>
                <w:strike/>
                <w:color w:val="auto"/>
                <w:kern w:val="0"/>
                <w:sz w:val="24"/>
                <w:highlight w:val="none"/>
              </w:rPr>
            </w:pPr>
          </w:p>
        </w:tc>
        <w:tc>
          <w:tcPr>
            <w:tcW w:w="4066" w:type="dxa"/>
            <w:tcBorders>
              <w:top w:val="nil"/>
              <w:left w:val="single" w:color="auto" w:sz="4" w:space="0"/>
              <w:bottom w:val="single" w:color="auto" w:sz="4" w:space="0"/>
              <w:right w:val="single" w:color="auto" w:sz="4" w:space="0"/>
            </w:tcBorders>
            <w:vAlign w:val="center"/>
          </w:tcPr>
          <w:p w14:paraId="5EBCE5F1">
            <w:pPr>
              <w:widowControl/>
              <w:adjustRightInd w:val="0"/>
              <w:snapToGrid w:val="0"/>
              <w:ind w:left="0" w:leftChars="0" w:firstLine="0" w:firstLineChars="0"/>
              <w:rPr>
                <w:rFonts w:hint="eastAsia" w:ascii="宋体" w:hAnsi="宋体" w:cs="宋体"/>
                <w:strike/>
                <w:color w:val="auto"/>
                <w:kern w:val="0"/>
                <w:sz w:val="24"/>
                <w:highlight w:val="none"/>
              </w:rPr>
            </w:pPr>
          </w:p>
        </w:tc>
      </w:tr>
    </w:tbl>
    <w:p w14:paraId="5E35A9CC">
      <w:pPr>
        <w:pStyle w:val="24"/>
        <w:ind w:firstLine="0" w:firstLineChars="0"/>
        <w:rPr>
          <w:color w:val="auto"/>
          <w:highlight w:val="none"/>
        </w:rPr>
      </w:pPr>
    </w:p>
    <w:p w14:paraId="657C5CE4">
      <w:pPr>
        <w:pStyle w:val="24"/>
        <w:ind w:firstLine="496"/>
        <w:rPr>
          <w:color w:val="auto"/>
          <w:highlight w:val="none"/>
        </w:rPr>
      </w:pPr>
      <w:r>
        <w:rPr>
          <w:rFonts w:hint="eastAsia"/>
          <w:color w:val="auto"/>
          <w:highlight w:val="none"/>
        </w:rPr>
        <w:t>有类似的主材可参考上述的界定方式，其余按照广东省定额和广州市补充定额的相关规定界定。</w:t>
      </w:r>
      <w:bookmarkEnd w:id="474"/>
    </w:p>
    <w:p w14:paraId="1F20DE46">
      <w:pPr>
        <w:spacing w:before="143" w:beforeLines="50" w:after="143" w:afterLines="50" w:line="360" w:lineRule="auto"/>
        <w:ind w:firstLine="578"/>
        <w:rPr>
          <w:rFonts w:ascii="宋体" w:hAnsi="宋体"/>
          <w:color w:val="auto"/>
          <w:sz w:val="24"/>
          <w:szCs w:val="24"/>
          <w:highlight w:val="none"/>
        </w:rPr>
        <w:sectPr>
          <w:footerReference r:id="rId9" w:type="default"/>
          <w:pgSz w:w="11906" w:h="16838"/>
          <w:pgMar w:top="1418" w:right="1328" w:bottom="1134" w:left="1418" w:header="284" w:footer="284" w:gutter="0"/>
          <w:pgNumType w:fmt="numberInDash" w:start="1"/>
          <w:cols w:space="720" w:num="1"/>
          <w:docGrid w:type="lines" w:linePitch="287" w:charSpace="-3879"/>
        </w:sectPr>
      </w:pPr>
    </w:p>
    <w:p w14:paraId="29E1D02D">
      <w:pPr>
        <w:pStyle w:val="38"/>
        <w:spacing w:before="143" w:beforeAutospacing="0" w:after="143" w:line="360" w:lineRule="auto"/>
        <w:rPr>
          <w:color w:val="auto"/>
          <w:kern w:val="44"/>
          <w:highlight w:val="none"/>
        </w:rPr>
      </w:pPr>
      <w:bookmarkStart w:id="475" w:name="_Toc32670"/>
      <w:bookmarkStart w:id="476" w:name="_Toc32039"/>
      <w:bookmarkStart w:id="477" w:name="_Toc19722"/>
      <w:bookmarkStart w:id="478" w:name="_Toc20652"/>
      <w:bookmarkStart w:id="479" w:name="_Toc22462"/>
      <w:bookmarkStart w:id="480" w:name="_Toc15195"/>
      <w:bookmarkStart w:id="481" w:name="_Toc14729"/>
      <w:bookmarkStart w:id="482" w:name="_Toc20024"/>
      <w:bookmarkStart w:id="483" w:name="_Toc6003_WPSOffice_Level1"/>
      <w:bookmarkStart w:id="484" w:name="_Toc26726"/>
      <w:bookmarkStart w:id="485" w:name="_Toc5216"/>
      <w:bookmarkStart w:id="486" w:name="_Toc21951"/>
      <w:r>
        <w:rPr>
          <w:rFonts w:hint="eastAsia"/>
          <w:color w:val="auto"/>
          <w:kern w:val="44"/>
          <w:highlight w:val="none"/>
        </w:rPr>
        <w:t>第二部分</w:t>
      </w:r>
      <w:r>
        <w:rPr>
          <w:color w:val="auto"/>
          <w:kern w:val="44"/>
          <w:highlight w:val="none"/>
        </w:rPr>
        <w:t xml:space="preserve">   </w:t>
      </w:r>
      <w:r>
        <w:rPr>
          <w:rFonts w:hint="eastAsia"/>
          <w:color w:val="auto"/>
          <w:kern w:val="44"/>
          <w:highlight w:val="none"/>
        </w:rPr>
        <w:t>工程量清单</w:t>
      </w:r>
      <w:bookmarkEnd w:id="449"/>
      <w:bookmarkEnd w:id="450"/>
      <w:r>
        <w:rPr>
          <w:rFonts w:hint="eastAsia"/>
          <w:color w:val="auto"/>
          <w:kern w:val="44"/>
          <w:highlight w:val="none"/>
        </w:rPr>
        <w:t>填报须知</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75"/>
      <w:bookmarkEnd w:id="476"/>
      <w:bookmarkEnd w:id="477"/>
      <w:bookmarkEnd w:id="478"/>
      <w:bookmarkEnd w:id="479"/>
      <w:bookmarkEnd w:id="480"/>
      <w:bookmarkEnd w:id="481"/>
      <w:bookmarkEnd w:id="482"/>
      <w:bookmarkEnd w:id="483"/>
      <w:bookmarkEnd w:id="484"/>
      <w:bookmarkEnd w:id="485"/>
      <w:bookmarkEnd w:id="486"/>
    </w:p>
    <w:p w14:paraId="2F0BCFDC">
      <w:pPr>
        <w:pStyle w:val="24"/>
        <w:spacing w:before="143" w:beforeLines="50" w:beforeAutospacing="0" w:after="143" w:afterLines="50" w:line="360" w:lineRule="auto"/>
        <w:ind w:firstLine="496"/>
        <w:rPr>
          <w:rFonts w:ascii="宋体" w:hAnsi="宋体" w:cs="宋体"/>
          <w:color w:val="auto"/>
          <w:highlight w:val="none"/>
        </w:rPr>
      </w:pPr>
      <w:bookmarkStart w:id="487" w:name="_Toc5861"/>
      <w:bookmarkStart w:id="488" w:name="_Toc5709"/>
      <w:bookmarkStart w:id="489" w:name="_Toc20816"/>
      <w:bookmarkStart w:id="490" w:name="_Toc316916412"/>
      <w:bookmarkStart w:id="491" w:name="_Toc4268"/>
      <w:bookmarkStart w:id="492" w:name="_Toc392516312"/>
      <w:bookmarkStart w:id="493" w:name="_Toc4939"/>
      <w:bookmarkStart w:id="494" w:name="_Toc1844"/>
      <w:bookmarkStart w:id="495" w:name="_Toc30260"/>
      <w:bookmarkStart w:id="496" w:name="_Toc314044191"/>
      <w:bookmarkStart w:id="497" w:name="_Toc505776048"/>
      <w:bookmarkStart w:id="498" w:name="_Toc353782579"/>
      <w:bookmarkStart w:id="499" w:name="_Toc294031078"/>
      <w:r>
        <w:rPr>
          <w:rFonts w:hint="eastAsia" w:ascii="宋体" w:hAnsi="宋体" w:cs="宋体"/>
          <w:color w:val="auto"/>
          <w:highlight w:val="none"/>
        </w:rPr>
        <w:t>1.本项目分部分项人工费总额为</w:t>
      </w:r>
      <w:r>
        <w:rPr>
          <w:rFonts w:ascii="宋体" w:hAnsi="宋体" w:eastAsia="宋体" w:cs="宋体"/>
          <w:sz w:val="24"/>
          <w:szCs w:val="24"/>
        </w:rPr>
        <w:t>3</w:t>
      </w:r>
      <w:r>
        <w:rPr>
          <w:rFonts w:hint="eastAsia" w:ascii="宋体" w:hAnsi="宋体" w:cs="宋体"/>
          <w:sz w:val="24"/>
          <w:szCs w:val="24"/>
          <w:lang w:val="en-US" w:eastAsia="zh-CN"/>
        </w:rPr>
        <w:t>,</w:t>
      </w:r>
      <w:r>
        <w:rPr>
          <w:rFonts w:ascii="宋体" w:hAnsi="宋体" w:eastAsia="宋体" w:cs="宋体"/>
          <w:sz w:val="24"/>
          <w:szCs w:val="24"/>
        </w:rPr>
        <w:t>702</w:t>
      </w:r>
      <w:r>
        <w:rPr>
          <w:rFonts w:hint="eastAsia" w:ascii="宋体" w:hAnsi="宋体" w:cs="宋体"/>
          <w:sz w:val="24"/>
          <w:szCs w:val="24"/>
          <w:lang w:val="en-US" w:eastAsia="zh-CN"/>
        </w:rPr>
        <w:t>,</w:t>
      </w:r>
      <w:r>
        <w:rPr>
          <w:rFonts w:ascii="宋体" w:hAnsi="宋体" w:eastAsia="宋体" w:cs="宋体"/>
          <w:sz w:val="24"/>
          <w:szCs w:val="24"/>
        </w:rPr>
        <w:t>596.85</w:t>
      </w:r>
      <w:r>
        <w:rPr>
          <w:rFonts w:hint="eastAsia" w:ascii="宋体" w:hAnsi="宋体" w:cs="宋体"/>
          <w:color w:val="auto"/>
          <w:highlight w:val="none"/>
        </w:rPr>
        <w:t>元，为本工程分部分项最高人工费总额。</w:t>
      </w:r>
      <w:bookmarkStart w:id="500" w:name="OLE_LINK1"/>
      <w:r>
        <w:rPr>
          <w:rFonts w:hint="eastAsia" w:ascii="宋体" w:hAnsi="宋体" w:cs="宋体"/>
          <w:color w:val="auto"/>
          <w:highlight w:val="none"/>
        </w:rPr>
        <w:t>此价不作为否决其投标的条款。</w:t>
      </w:r>
      <w:bookmarkEnd w:id="500"/>
    </w:p>
    <w:p w14:paraId="0CFB1C74">
      <w:pPr>
        <w:pStyle w:val="24"/>
        <w:spacing w:before="143" w:beforeLines="50" w:beforeAutospacing="0" w:after="143" w:afterLines="50" w:line="360" w:lineRule="auto"/>
        <w:ind w:firstLine="496"/>
        <w:rPr>
          <w:rFonts w:ascii="宋体" w:hAnsi="宋体" w:cs="宋体"/>
          <w:color w:val="auto"/>
          <w:highlight w:val="none"/>
        </w:rPr>
      </w:pPr>
    </w:p>
    <w:p w14:paraId="784AC90B">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rPr>
        <w:t>2.投标人需按下表格式，在投标文件“投标人认为应提供的资料”处，提交投标报价总表。</w:t>
      </w:r>
    </w:p>
    <w:p w14:paraId="49022D74">
      <w:pPr>
        <w:pStyle w:val="24"/>
        <w:spacing w:before="143" w:beforeLines="50" w:beforeAutospacing="0" w:after="143" w:afterLines="50" w:line="360" w:lineRule="auto"/>
        <w:ind w:firstLine="296" w:firstLineChars="80"/>
        <w:jc w:val="center"/>
        <w:outlineLvl w:val="6"/>
        <w:rPr>
          <w:rFonts w:ascii="黑体" w:hAnsi="黑体" w:eastAsia="黑体"/>
          <w:b/>
          <w:color w:val="auto"/>
          <w:sz w:val="36"/>
          <w:szCs w:val="36"/>
          <w:highlight w:val="none"/>
        </w:rPr>
      </w:pPr>
      <w:bookmarkStart w:id="501" w:name="_Toc29750"/>
      <w:bookmarkStart w:id="502" w:name="_Toc28440"/>
      <w:bookmarkStart w:id="503" w:name="_Toc14927"/>
      <w:bookmarkStart w:id="504" w:name="_Toc21373"/>
      <w:bookmarkStart w:id="505" w:name="_Toc11458"/>
      <w:bookmarkStart w:id="506" w:name="_Toc20568"/>
      <w:bookmarkStart w:id="507" w:name="_Toc28161"/>
      <w:bookmarkStart w:id="508" w:name="_Toc26655"/>
      <w:r>
        <w:rPr>
          <w:rFonts w:hint="eastAsia" w:ascii="黑体" w:hAnsi="黑体" w:eastAsia="黑体"/>
          <w:b/>
          <w:color w:val="auto"/>
          <w:sz w:val="36"/>
          <w:szCs w:val="36"/>
          <w:highlight w:val="none"/>
        </w:rPr>
        <w:t>投标报价总表</w:t>
      </w:r>
      <w:bookmarkEnd w:id="501"/>
      <w:bookmarkEnd w:id="502"/>
      <w:bookmarkEnd w:id="503"/>
      <w:bookmarkEnd w:id="504"/>
      <w:bookmarkEnd w:id="505"/>
      <w:bookmarkEnd w:id="506"/>
      <w:bookmarkEnd w:id="507"/>
      <w:bookmarkEnd w:id="508"/>
    </w:p>
    <w:p w14:paraId="14154082">
      <w:pPr>
        <w:pStyle w:val="24"/>
        <w:spacing w:before="143" w:beforeLines="50" w:beforeAutospacing="0" w:after="143" w:afterLines="50"/>
        <w:ind w:firstLine="0" w:firstLineChars="0"/>
        <w:rPr>
          <w:color w:val="auto"/>
          <w:szCs w:val="24"/>
          <w:highlight w:val="none"/>
        </w:rPr>
      </w:pPr>
      <w:r>
        <w:rPr>
          <w:rFonts w:hint="eastAsia"/>
          <w:b/>
          <w:color w:val="auto"/>
          <w:szCs w:val="24"/>
          <w:highlight w:val="none"/>
        </w:rPr>
        <w:t>工程名称：</w:t>
      </w:r>
    </w:p>
    <w:tbl>
      <w:tblPr>
        <w:tblStyle w:val="12"/>
        <w:tblW w:w="0" w:type="auto"/>
        <w:tblInd w:w="0" w:type="dxa"/>
        <w:tblLayout w:type="fixed"/>
        <w:tblCellMar>
          <w:top w:w="0" w:type="dxa"/>
          <w:left w:w="0" w:type="dxa"/>
          <w:bottom w:w="0" w:type="dxa"/>
          <w:right w:w="0" w:type="dxa"/>
        </w:tblCellMar>
      </w:tblPr>
      <w:tblGrid>
        <w:gridCol w:w="659"/>
        <w:gridCol w:w="3568"/>
        <w:gridCol w:w="2355"/>
        <w:gridCol w:w="2431"/>
      </w:tblGrid>
      <w:tr w14:paraId="3038EEC3">
        <w:tblPrEx>
          <w:tblCellMar>
            <w:top w:w="0" w:type="dxa"/>
            <w:left w:w="0" w:type="dxa"/>
            <w:bottom w:w="0" w:type="dxa"/>
            <w:right w:w="0" w:type="dxa"/>
          </w:tblCellMar>
        </w:tblPrEx>
        <w:trPr>
          <w:trHeight w:val="567" w:hRule="exact"/>
        </w:trPr>
        <w:tc>
          <w:tcPr>
            <w:tcW w:w="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99DBC">
            <w:pPr>
              <w:widowControl/>
              <w:spacing w:before="143" w:beforeLines="50" w:after="143" w:afterLines="50" w:line="360" w:lineRule="auto"/>
              <w:jc w:val="center"/>
              <w:textAlignment w:val="center"/>
              <w:rPr>
                <w:rFonts w:ascii="宋体" w:hAnsi="Calibri" w:cs="宋体"/>
                <w:color w:val="auto"/>
                <w:sz w:val="20"/>
                <w:szCs w:val="20"/>
                <w:highlight w:val="none"/>
              </w:rPr>
            </w:pPr>
            <w:r>
              <w:rPr>
                <w:rFonts w:hint="eastAsia" w:ascii="宋体" w:hAnsi="宋体" w:cs="宋体"/>
                <w:color w:val="auto"/>
                <w:kern w:val="0"/>
                <w:sz w:val="20"/>
                <w:szCs w:val="20"/>
                <w:highlight w:val="none"/>
              </w:rPr>
              <w:t>序号</w:t>
            </w:r>
          </w:p>
        </w:tc>
        <w:tc>
          <w:tcPr>
            <w:tcW w:w="3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E2DD3">
            <w:pPr>
              <w:widowControl/>
              <w:spacing w:before="143" w:beforeLines="50" w:after="143" w:afterLines="50" w:line="360" w:lineRule="auto"/>
              <w:jc w:val="center"/>
              <w:textAlignment w:val="center"/>
              <w:rPr>
                <w:rFonts w:ascii="宋体" w:hAnsi="Calibri" w:cs="宋体"/>
                <w:color w:val="auto"/>
                <w:sz w:val="20"/>
                <w:szCs w:val="20"/>
                <w:highlight w:val="none"/>
              </w:rPr>
            </w:pPr>
            <w:r>
              <w:rPr>
                <w:rFonts w:hint="eastAsia" w:ascii="宋体" w:hAnsi="宋体" w:cs="宋体"/>
                <w:color w:val="auto"/>
                <w:kern w:val="0"/>
                <w:sz w:val="20"/>
                <w:szCs w:val="20"/>
                <w:highlight w:val="none"/>
              </w:rPr>
              <w:t>项</w:t>
            </w:r>
            <w:r>
              <w:rPr>
                <w:rStyle w:val="21"/>
                <w:rFonts w:hint="eastAsia"/>
                <w:color w:val="auto"/>
                <w:highlight w:val="none"/>
              </w:rPr>
              <w:t>目名称</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4E9F6">
            <w:pPr>
              <w:widowControl/>
              <w:spacing w:before="143" w:beforeLines="50" w:after="143" w:afterLines="50" w:line="360" w:lineRule="auto"/>
              <w:jc w:val="center"/>
              <w:textAlignment w:val="center"/>
              <w:rPr>
                <w:rFonts w:ascii="宋体" w:hAnsi="Calibri" w:cs="宋体"/>
                <w:color w:val="auto"/>
                <w:sz w:val="18"/>
                <w:szCs w:val="18"/>
                <w:highlight w:val="none"/>
              </w:rPr>
            </w:pPr>
            <w:r>
              <w:rPr>
                <w:rFonts w:hint="eastAsia" w:ascii="宋体" w:hAnsi="宋体" w:cs="宋体"/>
                <w:color w:val="auto"/>
                <w:kern w:val="0"/>
                <w:sz w:val="18"/>
                <w:szCs w:val="18"/>
                <w:highlight w:val="none"/>
              </w:rPr>
              <w:t>金额（元）</w:t>
            </w:r>
          </w:p>
        </w:tc>
        <w:tc>
          <w:tcPr>
            <w:tcW w:w="2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C20B8">
            <w:pPr>
              <w:widowControl/>
              <w:spacing w:before="143" w:beforeLines="50" w:after="143" w:afterLines="50" w:line="360" w:lineRule="auto"/>
              <w:jc w:val="center"/>
              <w:textAlignment w:val="center"/>
              <w:rPr>
                <w:rFonts w:ascii="宋体" w:hAnsi="Calibri" w:cs="宋体"/>
                <w:color w:val="auto"/>
                <w:sz w:val="20"/>
                <w:szCs w:val="20"/>
                <w:highlight w:val="none"/>
              </w:rPr>
            </w:pPr>
            <w:r>
              <w:rPr>
                <w:rFonts w:hint="eastAsia" w:ascii="宋体" w:hAnsi="宋体" w:cs="宋体"/>
                <w:color w:val="auto"/>
                <w:kern w:val="0"/>
                <w:sz w:val="20"/>
                <w:szCs w:val="20"/>
                <w:highlight w:val="none"/>
              </w:rPr>
              <w:t>备注</w:t>
            </w:r>
          </w:p>
        </w:tc>
      </w:tr>
      <w:tr w14:paraId="73BF747B">
        <w:tblPrEx>
          <w:tblCellMar>
            <w:top w:w="0" w:type="dxa"/>
            <w:left w:w="0" w:type="dxa"/>
            <w:bottom w:w="0" w:type="dxa"/>
            <w:right w:w="0" w:type="dxa"/>
          </w:tblCellMar>
        </w:tblPrEx>
        <w:trPr>
          <w:trHeight w:val="567" w:hRule="exact"/>
        </w:trPr>
        <w:tc>
          <w:tcPr>
            <w:tcW w:w="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5D6E6">
            <w:pPr>
              <w:widowControl/>
              <w:spacing w:before="143" w:beforeLines="50" w:after="143" w:afterLines="50" w:line="360" w:lineRule="auto"/>
              <w:jc w:val="center"/>
              <w:textAlignment w:val="center"/>
              <w:rPr>
                <w:rFonts w:ascii="宋体" w:hAnsi="Calibri" w:cs="宋体"/>
                <w:color w:val="auto"/>
                <w:sz w:val="20"/>
                <w:szCs w:val="20"/>
                <w:highlight w:val="none"/>
              </w:rPr>
            </w:pPr>
            <w:r>
              <w:rPr>
                <w:rFonts w:hint="eastAsia" w:ascii="宋体" w:hAnsi="宋体" w:cs="宋体"/>
                <w:color w:val="auto"/>
                <w:kern w:val="0"/>
                <w:sz w:val="20"/>
                <w:szCs w:val="20"/>
                <w:highlight w:val="none"/>
              </w:rPr>
              <w:t>一</w:t>
            </w:r>
          </w:p>
        </w:tc>
        <w:tc>
          <w:tcPr>
            <w:tcW w:w="3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05E14">
            <w:pPr>
              <w:widowControl/>
              <w:spacing w:before="143" w:beforeLines="50" w:after="143" w:afterLines="50" w:line="360" w:lineRule="auto"/>
              <w:jc w:val="both"/>
              <w:textAlignment w:val="center"/>
              <w:rPr>
                <w:rFonts w:ascii="宋体" w:hAnsi="Calibri" w:cs="宋体"/>
                <w:color w:val="auto"/>
                <w:sz w:val="20"/>
                <w:szCs w:val="20"/>
                <w:highlight w:val="none"/>
              </w:rPr>
            </w:pPr>
            <w:r>
              <w:rPr>
                <w:rFonts w:hint="eastAsia" w:ascii="宋体" w:hAnsi="宋体" w:cs="宋体"/>
                <w:color w:val="auto"/>
                <w:kern w:val="0"/>
                <w:sz w:val="20"/>
                <w:szCs w:val="20"/>
                <w:highlight w:val="none"/>
              </w:rPr>
              <w:t>分部分项工程量清单计价汇总合计</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3E56D">
            <w:pPr>
              <w:spacing w:before="143" w:beforeLines="50" w:after="143" w:afterLines="50" w:line="360" w:lineRule="auto"/>
              <w:jc w:val="center"/>
              <w:rPr>
                <w:rFonts w:ascii="宋体" w:hAnsi="Calibri"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4B61D">
            <w:pPr>
              <w:tabs>
                <w:tab w:val="left" w:pos="3629"/>
              </w:tabs>
              <w:spacing w:before="143" w:beforeLines="50" w:after="143" w:afterLines="50" w:line="360" w:lineRule="auto"/>
              <w:ind w:left="-178" w:leftChars="-85" w:right="1077" w:rightChars="513" w:firstLine="178" w:firstLineChars="89"/>
              <w:jc w:val="center"/>
              <w:rPr>
                <w:rFonts w:ascii="宋体" w:hAnsi="Calibri" w:cs="宋体"/>
                <w:color w:val="auto"/>
                <w:sz w:val="20"/>
                <w:szCs w:val="20"/>
                <w:highlight w:val="none"/>
              </w:rPr>
            </w:pPr>
          </w:p>
        </w:tc>
      </w:tr>
      <w:tr w14:paraId="36DDEBD2">
        <w:tblPrEx>
          <w:tblCellMar>
            <w:top w:w="0" w:type="dxa"/>
            <w:left w:w="0" w:type="dxa"/>
            <w:bottom w:w="0" w:type="dxa"/>
            <w:right w:w="0" w:type="dxa"/>
          </w:tblCellMar>
        </w:tblPrEx>
        <w:trPr>
          <w:trHeight w:val="567" w:hRule="exact"/>
        </w:trPr>
        <w:tc>
          <w:tcPr>
            <w:tcW w:w="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A3383">
            <w:pPr>
              <w:widowControl/>
              <w:spacing w:before="143" w:beforeLines="50" w:after="143" w:afterLines="50" w:line="360" w:lineRule="auto"/>
              <w:jc w:val="center"/>
              <w:textAlignment w:val="center"/>
              <w:rPr>
                <w:rFonts w:ascii="宋体" w:hAnsi="Calibri" w:cs="宋体"/>
                <w:color w:val="auto"/>
                <w:sz w:val="20"/>
                <w:szCs w:val="20"/>
                <w:highlight w:val="none"/>
              </w:rPr>
            </w:pPr>
            <w:r>
              <w:rPr>
                <w:rFonts w:hint="eastAsia" w:ascii="宋体" w:hAnsi="宋体" w:cs="宋体"/>
                <w:color w:val="auto"/>
                <w:kern w:val="0"/>
                <w:sz w:val="20"/>
                <w:szCs w:val="20"/>
                <w:highlight w:val="none"/>
              </w:rPr>
              <w:t>二</w:t>
            </w:r>
          </w:p>
        </w:tc>
        <w:tc>
          <w:tcPr>
            <w:tcW w:w="3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7707F">
            <w:pPr>
              <w:widowControl/>
              <w:spacing w:before="143" w:beforeLines="50" w:after="143" w:afterLines="50" w:line="360" w:lineRule="auto"/>
              <w:jc w:val="both"/>
              <w:textAlignment w:val="center"/>
              <w:rPr>
                <w:rFonts w:ascii="宋体" w:hAnsi="Calibri" w:cs="宋体"/>
                <w:color w:val="auto"/>
                <w:sz w:val="20"/>
                <w:szCs w:val="20"/>
                <w:highlight w:val="none"/>
              </w:rPr>
            </w:pPr>
            <w:r>
              <w:rPr>
                <w:rFonts w:hint="eastAsia" w:ascii="宋体" w:hAnsi="宋体" w:cs="宋体"/>
                <w:color w:val="auto"/>
                <w:kern w:val="0"/>
                <w:sz w:val="20"/>
                <w:szCs w:val="20"/>
                <w:highlight w:val="none"/>
              </w:rPr>
              <w:t>措施项目清单计价汇总合计</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3DAD2">
            <w:pPr>
              <w:spacing w:before="143" w:beforeLines="50" w:after="143" w:afterLines="50" w:line="360" w:lineRule="auto"/>
              <w:jc w:val="center"/>
              <w:rPr>
                <w:rFonts w:ascii="宋体" w:hAnsi="Calibri"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531820">
            <w:pPr>
              <w:spacing w:before="143" w:beforeLines="50" w:after="143" w:afterLines="50" w:line="360" w:lineRule="auto"/>
              <w:jc w:val="center"/>
              <w:rPr>
                <w:rFonts w:ascii="宋体" w:hAnsi="Calibri" w:cs="宋体"/>
                <w:color w:val="auto"/>
                <w:sz w:val="20"/>
                <w:szCs w:val="20"/>
                <w:highlight w:val="none"/>
              </w:rPr>
            </w:pPr>
          </w:p>
        </w:tc>
      </w:tr>
      <w:tr w14:paraId="0E298D5F">
        <w:tblPrEx>
          <w:tblCellMar>
            <w:top w:w="0" w:type="dxa"/>
            <w:left w:w="0" w:type="dxa"/>
            <w:bottom w:w="0" w:type="dxa"/>
            <w:right w:w="0" w:type="dxa"/>
          </w:tblCellMar>
        </w:tblPrEx>
        <w:trPr>
          <w:trHeight w:val="567" w:hRule="exact"/>
        </w:trPr>
        <w:tc>
          <w:tcPr>
            <w:tcW w:w="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4450B">
            <w:pPr>
              <w:widowControl/>
              <w:spacing w:before="143" w:beforeLines="50" w:after="143" w:afterLines="50" w:line="360" w:lineRule="auto"/>
              <w:jc w:val="center"/>
              <w:textAlignment w:val="center"/>
              <w:rPr>
                <w:rFonts w:ascii="宋体" w:hAnsi="Calibri" w:cs="宋体"/>
                <w:color w:val="auto"/>
                <w:sz w:val="20"/>
                <w:szCs w:val="20"/>
                <w:highlight w:val="none"/>
              </w:rPr>
            </w:pPr>
            <w:r>
              <w:rPr>
                <w:rFonts w:hint="eastAsia" w:ascii="宋体" w:hAnsi="宋体" w:cs="宋体"/>
                <w:color w:val="auto"/>
                <w:kern w:val="0"/>
                <w:sz w:val="20"/>
                <w:szCs w:val="20"/>
                <w:highlight w:val="none"/>
              </w:rPr>
              <w:t>三</w:t>
            </w:r>
          </w:p>
        </w:tc>
        <w:tc>
          <w:tcPr>
            <w:tcW w:w="3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B150E">
            <w:pPr>
              <w:widowControl/>
              <w:spacing w:before="143" w:beforeLines="50" w:after="143" w:afterLines="50" w:line="360" w:lineRule="auto"/>
              <w:jc w:val="both"/>
              <w:textAlignment w:val="center"/>
              <w:rPr>
                <w:rFonts w:ascii="宋体" w:hAnsi="Calibri" w:cs="宋体"/>
                <w:color w:val="auto"/>
                <w:sz w:val="20"/>
                <w:szCs w:val="20"/>
                <w:highlight w:val="none"/>
              </w:rPr>
            </w:pPr>
            <w:r>
              <w:rPr>
                <w:rFonts w:hint="eastAsia" w:ascii="宋体" w:hAnsi="宋体" w:cs="宋体"/>
                <w:color w:val="auto"/>
                <w:kern w:val="0"/>
                <w:sz w:val="20"/>
                <w:szCs w:val="20"/>
                <w:highlight w:val="none"/>
              </w:rPr>
              <w:t>其它项目清单计价汇总合计</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68DEB">
            <w:pPr>
              <w:spacing w:before="143" w:beforeLines="50" w:after="143" w:afterLines="50" w:line="360" w:lineRule="auto"/>
              <w:jc w:val="center"/>
              <w:rPr>
                <w:rFonts w:ascii="宋体" w:hAnsi="Calibri"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CCF06">
            <w:pPr>
              <w:spacing w:before="143" w:beforeLines="50" w:after="143" w:afterLines="50" w:line="360" w:lineRule="auto"/>
              <w:jc w:val="center"/>
              <w:rPr>
                <w:rFonts w:ascii="宋体" w:hAnsi="Calibri" w:cs="宋体"/>
                <w:color w:val="auto"/>
                <w:sz w:val="20"/>
                <w:szCs w:val="20"/>
                <w:highlight w:val="none"/>
              </w:rPr>
            </w:pPr>
          </w:p>
        </w:tc>
      </w:tr>
      <w:tr w14:paraId="1A546FEA">
        <w:tblPrEx>
          <w:tblCellMar>
            <w:top w:w="0" w:type="dxa"/>
            <w:left w:w="0" w:type="dxa"/>
            <w:bottom w:w="0" w:type="dxa"/>
            <w:right w:w="0" w:type="dxa"/>
          </w:tblCellMar>
        </w:tblPrEx>
        <w:trPr>
          <w:trHeight w:val="567" w:hRule="exact"/>
        </w:trPr>
        <w:tc>
          <w:tcPr>
            <w:tcW w:w="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C27E2B">
            <w:pPr>
              <w:widowControl/>
              <w:spacing w:before="143" w:beforeLines="50" w:after="143" w:afterLines="50" w:line="360" w:lineRule="auto"/>
              <w:jc w:val="center"/>
              <w:textAlignment w:val="center"/>
              <w:rPr>
                <w:rFonts w:ascii="宋体" w:hAnsi="Calibri" w:cs="宋体"/>
                <w:color w:val="auto"/>
                <w:sz w:val="20"/>
                <w:szCs w:val="20"/>
                <w:highlight w:val="none"/>
              </w:rPr>
            </w:pPr>
            <w:r>
              <w:rPr>
                <w:rFonts w:hint="eastAsia" w:ascii="宋体" w:hAnsi="宋体" w:cs="宋体"/>
                <w:color w:val="auto"/>
                <w:kern w:val="0"/>
                <w:sz w:val="20"/>
                <w:szCs w:val="20"/>
                <w:highlight w:val="none"/>
              </w:rPr>
              <w:t>四</w:t>
            </w:r>
          </w:p>
        </w:tc>
        <w:tc>
          <w:tcPr>
            <w:tcW w:w="3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9D5EC">
            <w:pPr>
              <w:widowControl/>
              <w:spacing w:before="143" w:beforeLines="50" w:after="143" w:afterLines="50" w:line="360" w:lineRule="auto"/>
              <w:jc w:val="both"/>
              <w:textAlignment w:val="center"/>
              <w:rPr>
                <w:rFonts w:ascii="宋体" w:hAnsi="Calibri" w:cs="宋体"/>
                <w:color w:val="auto"/>
                <w:sz w:val="20"/>
                <w:szCs w:val="20"/>
                <w:highlight w:val="none"/>
              </w:rPr>
            </w:pPr>
            <w:r>
              <w:rPr>
                <w:rFonts w:hint="eastAsia" w:ascii="宋体" w:hAnsi="宋体" w:cs="宋体"/>
                <w:color w:val="auto"/>
                <w:kern w:val="0"/>
                <w:sz w:val="20"/>
                <w:szCs w:val="20"/>
                <w:highlight w:val="none"/>
              </w:rPr>
              <w:t>税金计价汇总合计</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C45F91">
            <w:pPr>
              <w:spacing w:before="143" w:beforeLines="50" w:after="143" w:afterLines="50" w:line="360" w:lineRule="auto"/>
              <w:jc w:val="center"/>
              <w:rPr>
                <w:rFonts w:ascii="宋体" w:hAnsi="Calibri"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DA282">
            <w:pPr>
              <w:spacing w:before="143" w:beforeLines="50" w:after="143" w:afterLines="50" w:line="360" w:lineRule="auto"/>
              <w:jc w:val="center"/>
              <w:rPr>
                <w:rFonts w:ascii="宋体" w:hAnsi="Calibri" w:cs="宋体"/>
                <w:color w:val="auto"/>
                <w:sz w:val="20"/>
                <w:szCs w:val="20"/>
                <w:highlight w:val="none"/>
              </w:rPr>
            </w:pPr>
          </w:p>
        </w:tc>
      </w:tr>
      <w:tr w14:paraId="672355C6">
        <w:tblPrEx>
          <w:tblCellMar>
            <w:top w:w="0" w:type="dxa"/>
            <w:left w:w="0" w:type="dxa"/>
            <w:bottom w:w="0" w:type="dxa"/>
            <w:right w:w="0" w:type="dxa"/>
          </w:tblCellMar>
        </w:tblPrEx>
        <w:trPr>
          <w:trHeight w:val="567" w:hRule="exact"/>
        </w:trPr>
        <w:tc>
          <w:tcPr>
            <w:tcW w:w="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C4652">
            <w:pPr>
              <w:widowControl/>
              <w:spacing w:before="143" w:beforeLines="50" w:after="143" w:afterLines="50" w:line="360" w:lineRule="auto"/>
              <w:jc w:val="center"/>
              <w:textAlignment w:val="center"/>
              <w:rPr>
                <w:rFonts w:ascii="宋体" w:hAnsi="Calibri" w:cs="宋体"/>
                <w:color w:val="auto"/>
                <w:sz w:val="20"/>
                <w:szCs w:val="20"/>
                <w:highlight w:val="none"/>
              </w:rPr>
            </w:pPr>
            <w:r>
              <w:rPr>
                <w:rFonts w:hint="eastAsia" w:ascii="宋体" w:hAnsi="宋体" w:cs="宋体"/>
                <w:color w:val="auto"/>
                <w:kern w:val="0"/>
                <w:sz w:val="20"/>
                <w:szCs w:val="20"/>
                <w:highlight w:val="none"/>
              </w:rPr>
              <w:t>五</w:t>
            </w:r>
          </w:p>
        </w:tc>
        <w:tc>
          <w:tcPr>
            <w:tcW w:w="3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669C2">
            <w:pPr>
              <w:widowControl/>
              <w:spacing w:before="143" w:beforeLines="50" w:after="143" w:afterLines="50" w:line="360" w:lineRule="auto"/>
              <w:jc w:val="both"/>
              <w:textAlignment w:val="center"/>
              <w:rPr>
                <w:rFonts w:ascii="宋体" w:hAnsi="Calibri" w:cs="宋体"/>
                <w:color w:val="auto"/>
                <w:sz w:val="20"/>
                <w:szCs w:val="20"/>
                <w:highlight w:val="none"/>
              </w:rPr>
            </w:pPr>
            <w:r>
              <w:rPr>
                <w:rFonts w:hint="eastAsia" w:ascii="宋体" w:hAnsi="宋体" w:cs="宋体"/>
                <w:color w:val="auto"/>
                <w:kern w:val="0"/>
                <w:sz w:val="20"/>
                <w:szCs w:val="20"/>
                <w:highlight w:val="none"/>
              </w:rPr>
              <w:t>投标总报价</w:t>
            </w:r>
            <w:r>
              <w:rPr>
                <w:rFonts w:ascii="宋体" w:hAnsi="宋体" w:cs="宋体"/>
                <w:color w:val="auto"/>
                <w:kern w:val="0"/>
                <w:sz w:val="20"/>
                <w:szCs w:val="20"/>
                <w:highlight w:val="none"/>
              </w:rPr>
              <w:t>(</w:t>
            </w:r>
            <w:r>
              <w:rPr>
                <w:rFonts w:hint="eastAsia" w:ascii="宋体" w:hAnsi="宋体" w:cs="宋体"/>
                <w:color w:val="auto"/>
                <w:kern w:val="0"/>
                <w:sz w:val="20"/>
                <w:szCs w:val="20"/>
                <w:highlight w:val="none"/>
              </w:rPr>
              <w:t>一</w:t>
            </w:r>
            <w:r>
              <w:rPr>
                <w:rFonts w:ascii="宋体" w:hAnsi="宋体" w:cs="宋体"/>
                <w:color w:val="auto"/>
                <w:kern w:val="0"/>
                <w:sz w:val="20"/>
                <w:szCs w:val="20"/>
                <w:highlight w:val="none"/>
              </w:rPr>
              <w:t>+</w:t>
            </w:r>
            <w:r>
              <w:rPr>
                <w:rFonts w:hint="eastAsia" w:ascii="宋体" w:hAnsi="宋体" w:cs="宋体"/>
                <w:color w:val="auto"/>
                <w:kern w:val="0"/>
                <w:sz w:val="20"/>
                <w:szCs w:val="20"/>
                <w:highlight w:val="none"/>
              </w:rPr>
              <w:t>二</w:t>
            </w:r>
            <w:r>
              <w:rPr>
                <w:rFonts w:ascii="宋体" w:hAnsi="宋体" w:cs="宋体"/>
                <w:color w:val="auto"/>
                <w:kern w:val="0"/>
                <w:sz w:val="20"/>
                <w:szCs w:val="20"/>
                <w:highlight w:val="none"/>
              </w:rPr>
              <w:t>+</w:t>
            </w:r>
            <w:r>
              <w:rPr>
                <w:rFonts w:hint="eastAsia" w:ascii="宋体" w:hAnsi="宋体" w:cs="宋体"/>
                <w:color w:val="auto"/>
                <w:kern w:val="0"/>
                <w:sz w:val="20"/>
                <w:szCs w:val="20"/>
                <w:highlight w:val="none"/>
              </w:rPr>
              <w:t>三</w:t>
            </w:r>
            <w:r>
              <w:rPr>
                <w:rFonts w:ascii="宋体" w:hAnsi="宋体" w:cs="宋体"/>
                <w:color w:val="auto"/>
                <w:kern w:val="0"/>
                <w:sz w:val="20"/>
                <w:szCs w:val="20"/>
                <w:highlight w:val="none"/>
              </w:rPr>
              <w:t>+</w:t>
            </w:r>
            <w:r>
              <w:rPr>
                <w:rFonts w:hint="eastAsia" w:ascii="宋体" w:hAnsi="宋体" w:cs="宋体"/>
                <w:color w:val="auto"/>
                <w:kern w:val="0"/>
                <w:sz w:val="20"/>
                <w:szCs w:val="20"/>
                <w:highlight w:val="none"/>
              </w:rPr>
              <w:t>四</w:t>
            </w:r>
            <w:r>
              <w:rPr>
                <w:rFonts w:ascii="宋体" w:hAnsi="宋体" w:cs="宋体"/>
                <w:color w:val="auto"/>
                <w:kern w:val="0"/>
                <w:sz w:val="20"/>
                <w:szCs w:val="20"/>
                <w:highlight w:val="none"/>
              </w:rPr>
              <w:t>)</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2B7BC">
            <w:pPr>
              <w:spacing w:before="143" w:beforeLines="50" w:after="143" w:afterLines="50" w:line="360" w:lineRule="auto"/>
              <w:jc w:val="center"/>
              <w:rPr>
                <w:rFonts w:ascii="宋体" w:hAnsi="Calibri"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40488">
            <w:pPr>
              <w:spacing w:before="143" w:beforeLines="50" w:after="143" w:afterLines="50" w:line="360" w:lineRule="auto"/>
              <w:jc w:val="center"/>
              <w:rPr>
                <w:rFonts w:ascii="宋体" w:hAnsi="Calibri" w:cs="宋体"/>
                <w:color w:val="auto"/>
                <w:sz w:val="20"/>
                <w:szCs w:val="20"/>
                <w:highlight w:val="none"/>
              </w:rPr>
            </w:pPr>
          </w:p>
        </w:tc>
      </w:tr>
      <w:tr w14:paraId="6293F785">
        <w:tblPrEx>
          <w:tblCellMar>
            <w:top w:w="0" w:type="dxa"/>
            <w:left w:w="0" w:type="dxa"/>
            <w:bottom w:w="0" w:type="dxa"/>
            <w:right w:w="0" w:type="dxa"/>
          </w:tblCellMar>
        </w:tblPrEx>
        <w:trPr>
          <w:trHeight w:val="567" w:hRule="exact"/>
        </w:trPr>
        <w:tc>
          <w:tcPr>
            <w:tcW w:w="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B9ED3">
            <w:pPr>
              <w:spacing w:before="143" w:beforeLines="50" w:after="143" w:afterLines="50" w:line="360" w:lineRule="auto"/>
              <w:jc w:val="center"/>
              <w:rPr>
                <w:rFonts w:ascii="宋体" w:hAnsi="Calibri" w:cs="宋体"/>
                <w:color w:val="auto"/>
                <w:sz w:val="20"/>
                <w:szCs w:val="20"/>
                <w:highlight w:val="none"/>
              </w:rPr>
            </w:pPr>
          </w:p>
        </w:tc>
        <w:tc>
          <w:tcPr>
            <w:tcW w:w="3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DE1FA">
            <w:pPr>
              <w:widowControl/>
              <w:spacing w:before="143" w:beforeLines="50" w:after="143" w:afterLines="50" w:line="360" w:lineRule="auto"/>
              <w:jc w:val="both"/>
              <w:textAlignment w:val="center"/>
              <w:rPr>
                <w:rFonts w:ascii="宋体" w:hAnsi="Calibri" w:cs="宋体"/>
                <w:color w:val="auto"/>
                <w:sz w:val="20"/>
                <w:szCs w:val="20"/>
                <w:highlight w:val="none"/>
              </w:rPr>
            </w:pPr>
            <w:r>
              <w:rPr>
                <w:rFonts w:hint="eastAsia" w:ascii="宋体" w:hAnsi="宋体" w:cs="宋体"/>
                <w:color w:val="auto"/>
                <w:kern w:val="0"/>
                <w:sz w:val="20"/>
                <w:szCs w:val="20"/>
                <w:highlight w:val="none"/>
              </w:rPr>
              <w:t>其中：</w:t>
            </w: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.绿色施工安全防护措施费</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CE1E1">
            <w:pPr>
              <w:spacing w:before="143" w:beforeLines="50" w:after="143" w:afterLines="50" w:line="360" w:lineRule="auto"/>
              <w:jc w:val="center"/>
              <w:rPr>
                <w:rFonts w:hint="eastAsia" w:ascii="宋体" w:hAnsi="Calibri" w:cs="宋体"/>
                <w:color w:val="auto"/>
                <w:sz w:val="20"/>
                <w:szCs w:val="20"/>
                <w:highlight w:val="none"/>
                <w:lang w:eastAsia="zh"/>
              </w:rPr>
            </w:pPr>
          </w:p>
        </w:tc>
        <w:tc>
          <w:tcPr>
            <w:tcW w:w="2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26E1A">
            <w:pPr>
              <w:widowControl/>
              <w:spacing w:before="143" w:beforeLines="50" w:after="143" w:afterLines="50" w:line="360" w:lineRule="auto"/>
              <w:jc w:val="center"/>
              <w:textAlignment w:val="center"/>
              <w:rPr>
                <w:rFonts w:ascii="宋体" w:hAnsi="Calibri" w:cs="宋体"/>
                <w:color w:val="auto"/>
                <w:sz w:val="20"/>
                <w:szCs w:val="20"/>
                <w:highlight w:val="none"/>
              </w:rPr>
            </w:pPr>
            <w:r>
              <w:rPr>
                <w:rFonts w:hint="eastAsia" w:ascii="宋体" w:hAnsi="宋体" w:cs="宋体"/>
                <w:color w:val="auto"/>
                <w:kern w:val="0"/>
                <w:sz w:val="20"/>
                <w:szCs w:val="20"/>
                <w:highlight w:val="none"/>
              </w:rPr>
              <w:t>固定金额</w:t>
            </w:r>
          </w:p>
        </w:tc>
      </w:tr>
      <w:tr w14:paraId="2E869661">
        <w:tblPrEx>
          <w:tblCellMar>
            <w:top w:w="0" w:type="dxa"/>
            <w:left w:w="0" w:type="dxa"/>
            <w:bottom w:w="0" w:type="dxa"/>
            <w:right w:w="0" w:type="dxa"/>
          </w:tblCellMar>
        </w:tblPrEx>
        <w:trPr>
          <w:trHeight w:val="567" w:hRule="exact"/>
        </w:trPr>
        <w:tc>
          <w:tcPr>
            <w:tcW w:w="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B4EE6">
            <w:pPr>
              <w:spacing w:before="143" w:beforeLines="50" w:after="143" w:afterLines="50" w:line="360" w:lineRule="auto"/>
              <w:jc w:val="center"/>
              <w:rPr>
                <w:rFonts w:ascii="宋体" w:hAnsi="Calibri" w:cs="宋体"/>
                <w:color w:val="auto"/>
                <w:sz w:val="20"/>
                <w:szCs w:val="20"/>
                <w:highlight w:val="none"/>
              </w:rPr>
            </w:pPr>
          </w:p>
        </w:tc>
        <w:tc>
          <w:tcPr>
            <w:tcW w:w="3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1AF43">
            <w:pPr>
              <w:widowControl/>
              <w:spacing w:before="143" w:beforeLines="50" w:after="143" w:afterLines="50" w:line="360" w:lineRule="auto"/>
              <w:jc w:val="both"/>
              <w:textAlignment w:val="center"/>
              <w:rPr>
                <w:rFonts w:ascii="宋体" w:hAnsi="Calibri" w:cs="宋体"/>
                <w:color w:val="auto"/>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.暂列金额</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4C4134">
            <w:pPr>
              <w:spacing w:before="143" w:beforeLines="50" w:after="143" w:afterLines="50" w:line="360" w:lineRule="auto"/>
              <w:jc w:val="center"/>
              <w:rPr>
                <w:rFonts w:hint="eastAsia" w:ascii="宋体" w:hAnsi="Calibri" w:cs="宋体"/>
                <w:color w:val="auto"/>
                <w:sz w:val="20"/>
                <w:szCs w:val="20"/>
                <w:highlight w:val="none"/>
                <w:lang w:eastAsia="zh"/>
              </w:rPr>
            </w:pPr>
          </w:p>
        </w:tc>
        <w:tc>
          <w:tcPr>
            <w:tcW w:w="2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49E2F">
            <w:pPr>
              <w:widowControl/>
              <w:spacing w:before="143" w:beforeLines="50" w:after="143" w:afterLines="50" w:line="360" w:lineRule="auto"/>
              <w:jc w:val="center"/>
              <w:textAlignment w:val="center"/>
              <w:rPr>
                <w:rFonts w:ascii="宋体" w:hAnsi="Calibri" w:cs="宋体"/>
                <w:color w:val="auto"/>
                <w:sz w:val="20"/>
                <w:szCs w:val="20"/>
                <w:highlight w:val="none"/>
              </w:rPr>
            </w:pPr>
            <w:r>
              <w:rPr>
                <w:rFonts w:hint="eastAsia" w:ascii="宋体" w:hAnsi="宋体" w:cs="宋体"/>
                <w:color w:val="auto"/>
                <w:kern w:val="0"/>
                <w:sz w:val="20"/>
                <w:szCs w:val="20"/>
                <w:highlight w:val="none"/>
              </w:rPr>
              <w:t>固定金额</w:t>
            </w:r>
          </w:p>
        </w:tc>
      </w:tr>
      <w:tr w14:paraId="6A926EFD">
        <w:tblPrEx>
          <w:tblCellMar>
            <w:top w:w="0" w:type="dxa"/>
            <w:left w:w="0" w:type="dxa"/>
            <w:bottom w:w="0" w:type="dxa"/>
            <w:right w:w="0" w:type="dxa"/>
          </w:tblCellMar>
        </w:tblPrEx>
        <w:trPr>
          <w:trHeight w:val="567" w:hRule="exact"/>
        </w:trPr>
        <w:tc>
          <w:tcPr>
            <w:tcW w:w="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69F16">
            <w:pPr>
              <w:spacing w:before="143" w:beforeLines="50" w:after="143" w:afterLines="50" w:line="360" w:lineRule="auto"/>
              <w:jc w:val="center"/>
              <w:rPr>
                <w:rFonts w:ascii="宋体" w:hAnsi="Calibri" w:cs="宋体"/>
                <w:color w:val="auto"/>
                <w:sz w:val="20"/>
                <w:szCs w:val="20"/>
                <w:highlight w:val="none"/>
              </w:rPr>
            </w:pPr>
          </w:p>
        </w:tc>
        <w:tc>
          <w:tcPr>
            <w:tcW w:w="3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EF3D1">
            <w:pPr>
              <w:widowControl/>
              <w:spacing w:before="143" w:beforeLines="50" w:after="143" w:afterLines="50" w:line="360" w:lineRule="auto"/>
              <w:ind w:firstLine="0" w:firstLineChars="0"/>
              <w:jc w:val="both"/>
              <w:textAlignment w:val="center"/>
              <w:rPr>
                <w:rFonts w:ascii="宋体" w:hAnsi="Calibri" w:cs="宋体"/>
                <w:color w:val="auto"/>
                <w:sz w:val="20"/>
                <w:szCs w:val="20"/>
                <w:highlight w:val="none"/>
              </w:rPr>
            </w:pPr>
            <w:r>
              <w:rPr>
                <w:rFonts w:hint="eastAsia" w:ascii="宋体" w:hAnsi="宋体" w:cs="宋体"/>
                <w:color w:val="auto"/>
                <w:kern w:val="0"/>
                <w:sz w:val="20"/>
                <w:szCs w:val="20"/>
                <w:highlight w:val="none"/>
              </w:rPr>
              <w:t>3.工程保险费</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1F097">
            <w:pPr>
              <w:spacing w:before="143" w:beforeLines="50" w:after="143" w:afterLines="50" w:line="360" w:lineRule="auto"/>
              <w:jc w:val="center"/>
              <w:rPr>
                <w:rFonts w:hint="eastAsia" w:ascii="宋体" w:hAnsi="Calibri" w:cs="宋体"/>
                <w:color w:val="auto"/>
                <w:sz w:val="20"/>
                <w:szCs w:val="20"/>
                <w:highlight w:val="none"/>
                <w:lang w:eastAsia="zh"/>
              </w:rPr>
            </w:pPr>
          </w:p>
        </w:tc>
        <w:tc>
          <w:tcPr>
            <w:tcW w:w="2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33E29">
            <w:pPr>
              <w:widowControl/>
              <w:spacing w:before="143" w:beforeLines="50" w:after="143" w:afterLines="50" w:line="360" w:lineRule="auto"/>
              <w:jc w:val="center"/>
              <w:textAlignment w:val="center"/>
              <w:rPr>
                <w:rFonts w:ascii="宋体" w:hAnsi="Calibri" w:cs="宋体"/>
                <w:color w:val="auto"/>
                <w:sz w:val="20"/>
                <w:szCs w:val="20"/>
                <w:highlight w:val="none"/>
              </w:rPr>
            </w:pPr>
            <w:r>
              <w:rPr>
                <w:rFonts w:hint="eastAsia" w:ascii="宋体" w:hAnsi="宋体" w:cs="宋体"/>
                <w:color w:val="auto"/>
                <w:kern w:val="0"/>
                <w:sz w:val="20"/>
                <w:szCs w:val="20"/>
                <w:highlight w:val="none"/>
              </w:rPr>
              <w:t>固定金额</w:t>
            </w:r>
          </w:p>
        </w:tc>
      </w:tr>
      <w:tr w14:paraId="029EAA4F">
        <w:tblPrEx>
          <w:tblCellMar>
            <w:top w:w="0" w:type="dxa"/>
            <w:left w:w="0" w:type="dxa"/>
            <w:bottom w:w="0" w:type="dxa"/>
            <w:right w:w="0" w:type="dxa"/>
          </w:tblCellMar>
        </w:tblPrEx>
        <w:trPr>
          <w:trHeight w:val="567" w:hRule="exact"/>
        </w:trPr>
        <w:tc>
          <w:tcPr>
            <w:tcW w:w="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82DE3">
            <w:pPr>
              <w:spacing w:before="143" w:beforeLines="50" w:after="143" w:afterLines="50" w:line="360" w:lineRule="auto"/>
              <w:jc w:val="center"/>
              <w:rPr>
                <w:rFonts w:ascii="宋体" w:hAnsi="Calibri" w:cs="宋体"/>
                <w:color w:val="auto"/>
                <w:sz w:val="20"/>
                <w:szCs w:val="20"/>
                <w:highlight w:val="none"/>
              </w:rPr>
            </w:pPr>
          </w:p>
        </w:tc>
        <w:tc>
          <w:tcPr>
            <w:tcW w:w="3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38CC4">
            <w:pPr>
              <w:widowControl/>
              <w:spacing w:before="143" w:beforeLines="50" w:after="143" w:afterLines="50" w:line="360" w:lineRule="auto"/>
              <w:jc w:val="both"/>
              <w:textAlignment w:val="center"/>
              <w:rPr>
                <w:rFonts w:ascii="宋体" w:hAnsi="Calibri" w:cs="宋体"/>
                <w:color w:val="auto"/>
                <w:sz w:val="20"/>
                <w:szCs w:val="20"/>
                <w:highlight w:val="none"/>
              </w:rPr>
            </w:pPr>
            <w:r>
              <w:rPr>
                <w:rFonts w:hint="eastAsia" w:ascii="宋体" w:hAnsi="宋体" w:cs="宋体"/>
                <w:color w:val="auto"/>
                <w:kern w:val="0"/>
                <w:sz w:val="20"/>
                <w:szCs w:val="20"/>
                <w:highlight w:val="none"/>
              </w:rPr>
              <w:t>4.分部分项人工费</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49FDB">
            <w:pPr>
              <w:spacing w:before="143" w:beforeLines="50" w:after="143" w:afterLines="50" w:line="360" w:lineRule="auto"/>
              <w:jc w:val="center"/>
              <w:rPr>
                <w:rFonts w:hint="eastAsia" w:ascii="宋体" w:hAnsi="Calibri" w:cs="宋体"/>
                <w:color w:val="auto"/>
                <w:sz w:val="20"/>
                <w:szCs w:val="20"/>
                <w:highlight w:val="none"/>
                <w:lang w:eastAsia="zh"/>
              </w:rPr>
            </w:pPr>
          </w:p>
        </w:tc>
        <w:tc>
          <w:tcPr>
            <w:tcW w:w="2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34EDD">
            <w:pPr>
              <w:widowControl/>
              <w:spacing w:before="143" w:beforeLines="50" w:after="143" w:afterLines="50" w:line="360" w:lineRule="auto"/>
              <w:jc w:val="center"/>
              <w:textAlignment w:val="center"/>
              <w:rPr>
                <w:rFonts w:ascii="宋体" w:hAnsi="Calibri" w:cs="宋体"/>
                <w:color w:val="auto"/>
                <w:sz w:val="20"/>
                <w:szCs w:val="20"/>
                <w:highlight w:val="none"/>
              </w:rPr>
            </w:pPr>
          </w:p>
        </w:tc>
      </w:tr>
      <w:tr w14:paraId="02C29C3A">
        <w:tblPrEx>
          <w:tblCellMar>
            <w:top w:w="0" w:type="dxa"/>
            <w:left w:w="0" w:type="dxa"/>
            <w:bottom w:w="0" w:type="dxa"/>
            <w:right w:w="0" w:type="dxa"/>
          </w:tblCellMar>
        </w:tblPrEx>
        <w:trPr>
          <w:trHeight w:val="521" w:hRule="exact"/>
        </w:trPr>
        <w:tc>
          <w:tcPr>
            <w:tcW w:w="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9100A">
            <w:pPr>
              <w:spacing w:before="143" w:beforeLines="50" w:after="143" w:afterLines="50" w:line="360" w:lineRule="auto"/>
              <w:jc w:val="center"/>
              <w:rPr>
                <w:rFonts w:ascii="宋体" w:hAnsi="Calibri" w:cs="宋体"/>
                <w:color w:val="auto"/>
                <w:sz w:val="20"/>
                <w:szCs w:val="20"/>
                <w:highlight w:val="none"/>
              </w:rPr>
            </w:pPr>
          </w:p>
        </w:tc>
        <w:tc>
          <w:tcPr>
            <w:tcW w:w="3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476E94">
            <w:pPr>
              <w:widowControl/>
              <w:spacing w:before="143" w:beforeLines="50" w:after="143" w:afterLines="50" w:line="360" w:lineRule="auto"/>
              <w:jc w:val="both"/>
              <w:textAlignment w:val="center"/>
              <w:rPr>
                <w:rFonts w:ascii="宋体" w:hAnsi="Calibri" w:cs="宋体"/>
                <w:color w:val="auto"/>
                <w:sz w:val="20"/>
                <w:szCs w:val="20"/>
                <w:highlight w:val="none"/>
              </w:rPr>
            </w:pPr>
            <w:r>
              <w:rPr>
                <w:rFonts w:hint="eastAsia" w:ascii="宋体" w:hAnsi="宋体" w:cs="宋体"/>
                <w:color w:val="auto"/>
                <w:kern w:val="0"/>
                <w:sz w:val="20"/>
                <w:szCs w:val="20"/>
                <w:highlight w:val="none"/>
              </w:rPr>
              <w:t>5.总人工费</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2A940">
            <w:pPr>
              <w:spacing w:before="143" w:beforeLines="50" w:after="143" w:afterLines="50" w:line="360" w:lineRule="auto"/>
              <w:jc w:val="center"/>
              <w:rPr>
                <w:rFonts w:hint="default" w:ascii="宋体" w:hAnsi="Calibri" w:eastAsia="宋体" w:cs="宋体"/>
                <w:color w:val="auto"/>
                <w:sz w:val="20"/>
                <w:szCs w:val="20"/>
                <w:highlight w:val="none"/>
                <w:lang w:val="en-US" w:eastAsia="zh-CN"/>
              </w:rPr>
            </w:pPr>
          </w:p>
        </w:tc>
        <w:tc>
          <w:tcPr>
            <w:tcW w:w="2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BBBAA">
            <w:pPr>
              <w:widowControl/>
              <w:spacing w:before="143" w:beforeLines="50" w:after="143" w:afterLines="50" w:line="360" w:lineRule="auto"/>
              <w:jc w:val="center"/>
              <w:textAlignment w:val="center"/>
              <w:rPr>
                <w:rFonts w:ascii="宋体" w:hAnsi="Calibri" w:cs="宋体"/>
                <w:color w:val="auto"/>
                <w:sz w:val="20"/>
                <w:szCs w:val="20"/>
                <w:highlight w:val="none"/>
              </w:rPr>
            </w:pPr>
            <w:r>
              <w:rPr>
                <w:rFonts w:hint="eastAsia" w:ascii="宋体" w:hAnsi="宋体" w:cs="宋体"/>
                <w:color w:val="auto"/>
                <w:kern w:val="0"/>
                <w:sz w:val="20"/>
                <w:szCs w:val="20"/>
                <w:highlight w:val="none"/>
              </w:rPr>
              <w:t>含分部分项、措施项目</w:t>
            </w:r>
          </w:p>
        </w:tc>
      </w:tr>
    </w:tbl>
    <w:p w14:paraId="5CDFFC71">
      <w:pPr>
        <w:pStyle w:val="24"/>
        <w:spacing w:before="143" w:beforeLines="50" w:beforeAutospacing="0" w:after="143" w:afterLines="50" w:line="360" w:lineRule="auto"/>
        <w:ind w:firstLine="0" w:firstLineChars="0"/>
        <w:rPr>
          <w:rFonts w:hint="default" w:eastAsia="宋体"/>
          <w:color w:val="auto"/>
          <w:highlight w:val="none"/>
          <w:lang w:val="en-US" w:eastAsia="zh-CN"/>
        </w:rPr>
      </w:pPr>
    </w:p>
    <w:p w14:paraId="239A2F62">
      <w:pPr>
        <w:widowControl/>
        <w:spacing w:before="143" w:beforeLines="50" w:after="143" w:afterLines="50" w:line="360" w:lineRule="auto"/>
        <w:jc w:val="left"/>
        <w:rPr>
          <w:snapToGrid w:val="0"/>
          <w:color w:val="auto"/>
          <w:spacing w:val="4"/>
          <w:kern w:val="0"/>
          <w:sz w:val="24"/>
          <w:szCs w:val="24"/>
          <w:highlight w:val="none"/>
        </w:rPr>
      </w:pPr>
      <w:r>
        <w:rPr>
          <w:color w:val="auto"/>
          <w:highlight w:val="none"/>
        </w:rPr>
        <w:br w:type="page"/>
      </w:r>
    </w:p>
    <w:p w14:paraId="3A73DEBC">
      <w:pPr>
        <w:pStyle w:val="24"/>
        <w:spacing w:before="143" w:beforeLines="50" w:beforeAutospacing="0" w:after="143" w:afterLines="50" w:line="360" w:lineRule="auto"/>
        <w:ind w:firstLine="496"/>
        <w:rPr>
          <w:rFonts w:ascii="宋体" w:hAnsi="宋体" w:cs="宋体"/>
          <w:color w:val="auto"/>
          <w:highlight w:val="none"/>
        </w:rPr>
      </w:pPr>
      <w:r>
        <w:rPr>
          <w:rFonts w:hint="eastAsia" w:ascii="宋体" w:hAnsi="宋体" w:cs="宋体"/>
          <w:color w:val="auto"/>
          <w:highlight w:val="none"/>
          <w:lang w:eastAsia="zh"/>
        </w:rPr>
        <w:t>3</w:t>
      </w:r>
      <w:r>
        <w:rPr>
          <w:rFonts w:hint="eastAsia" w:ascii="宋体" w:hAnsi="宋体" w:cs="宋体"/>
          <w:color w:val="auto"/>
          <w:highlight w:val="none"/>
        </w:rPr>
        <w:t>.中标单位在中标公示后，签订合同前，须提供与所递交投标电子标书内容一致且加盖单位公章的纸质文件四套及电子文件二套（不用生成投标书；包括用Microsoft Excel 软件或广州公共资源交易中心提供的投标书制作软件制作的工程量清单报价表和单价分析表，用Microsoft Word软件或广州公共资源交易中心提供的投标书制作软件制作的经济投标文件其他部分；以及与所递交投标电子标书内容一致的投标版计价软件及XML投标版cos文件；补齐遗漏表格及相关内容或者无条件接受招标人给出的表格及相关内容。电子文件介质使用CD-R光盘，所有电子文件不能采用压缩处理）给招标人。</w:t>
      </w:r>
    </w:p>
    <w:p w14:paraId="71B5ECCC">
      <w:pPr>
        <w:pStyle w:val="24"/>
        <w:spacing w:before="143" w:beforeLines="50" w:beforeAutospacing="0" w:after="143" w:afterLines="50" w:line="360" w:lineRule="auto"/>
        <w:ind w:firstLine="198" w:firstLineChars="80"/>
        <w:rPr>
          <w:rFonts w:ascii="宋体" w:hAnsi="宋体" w:cs="宋体"/>
          <w:color w:val="auto"/>
          <w:highlight w:val="none"/>
        </w:rPr>
      </w:pPr>
    </w:p>
    <w:p w14:paraId="6E13994C">
      <w:pPr>
        <w:pStyle w:val="26"/>
        <w:spacing w:before="143" w:after="143" w:line="360" w:lineRule="auto"/>
        <w:ind w:firstLine="480"/>
        <w:rPr>
          <w:rFonts w:ascii="宋体" w:hAnsi="宋体" w:cs="宋体"/>
          <w:color w:val="auto"/>
          <w:highlight w:val="none"/>
        </w:rPr>
        <w:sectPr>
          <w:pgSz w:w="11906" w:h="16838"/>
          <w:pgMar w:top="1418" w:right="1418" w:bottom="1134" w:left="1418" w:header="284" w:footer="284" w:gutter="0"/>
          <w:pgNumType w:fmt="numberInDash"/>
          <w:cols w:space="720" w:num="1"/>
          <w:docGrid w:type="lines" w:linePitch="287" w:charSpace="-3879"/>
        </w:sectPr>
      </w:pPr>
    </w:p>
    <w:p w14:paraId="67CA0164">
      <w:pPr>
        <w:pStyle w:val="38"/>
        <w:spacing w:beforeAutospacing="0" w:line="360" w:lineRule="auto"/>
        <w:rPr>
          <w:color w:val="auto"/>
          <w:kern w:val="44"/>
          <w:highlight w:val="none"/>
        </w:rPr>
      </w:pPr>
      <w:bookmarkStart w:id="509" w:name="_Toc4377"/>
      <w:bookmarkStart w:id="510" w:name="_Toc24587"/>
      <w:bookmarkStart w:id="511" w:name="_Toc6897"/>
      <w:bookmarkStart w:id="512" w:name="_Toc24031_WPSOffice_Level1"/>
      <w:bookmarkStart w:id="513" w:name="_Toc14704"/>
      <w:bookmarkStart w:id="514" w:name="_Toc462"/>
      <w:bookmarkStart w:id="515" w:name="_Toc11709"/>
      <w:bookmarkStart w:id="516" w:name="_Toc11199"/>
      <w:bookmarkStart w:id="517" w:name="_Toc16518"/>
      <w:bookmarkStart w:id="518" w:name="_Toc28135"/>
      <w:bookmarkStart w:id="519" w:name="_Toc5269"/>
      <w:bookmarkStart w:id="520" w:name="_Toc529298719"/>
      <w:bookmarkStart w:id="521" w:name="_Toc11584"/>
      <w:r>
        <w:rPr>
          <w:rFonts w:hint="eastAsia"/>
          <w:color w:val="auto"/>
          <w:kern w:val="44"/>
          <w:highlight w:val="none"/>
        </w:rPr>
        <w:t>第三部分</w:t>
      </w:r>
      <w:r>
        <w:rPr>
          <w:color w:val="auto"/>
          <w:kern w:val="44"/>
          <w:highlight w:val="none"/>
        </w:rPr>
        <w:t xml:space="preserve">   </w:t>
      </w:r>
      <w:r>
        <w:rPr>
          <w:rFonts w:hint="eastAsia"/>
          <w:color w:val="auto"/>
          <w:kern w:val="44"/>
          <w:highlight w:val="none"/>
        </w:rPr>
        <w:t>工程量清单</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9"/>
      <w:bookmarkEnd w:id="510"/>
      <w:bookmarkEnd w:id="511"/>
      <w:bookmarkEnd w:id="512"/>
      <w:bookmarkEnd w:id="513"/>
      <w:bookmarkEnd w:id="514"/>
      <w:bookmarkEnd w:id="515"/>
      <w:bookmarkEnd w:id="516"/>
      <w:bookmarkEnd w:id="517"/>
      <w:bookmarkEnd w:id="518"/>
      <w:bookmarkEnd w:id="519"/>
      <w:bookmarkEnd w:id="520"/>
      <w:bookmarkEnd w:id="521"/>
    </w:p>
    <w:p w14:paraId="05F2C306">
      <w:pPr>
        <w:pStyle w:val="24"/>
        <w:spacing w:before="156" w:beforeLines="50" w:beforeAutospacing="0" w:after="156" w:afterLines="50" w:line="360" w:lineRule="auto"/>
        <w:ind w:firstLine="0" w:firstLineChars="0"/>
        <w:jc w:val="center"/>
        <w:rPr>
          <w:rFonts w:ascii="宋体"/>
          <w:color w:val="auto"/>
          <w:highlight w:val="none"/>
        </w:rPr>
      </w:pPr>
      <w:bookmarkStart w:id="522" w:name="_Toc17558"/>
      <w:bookmarkStart w:id="523" w:name="_Toc8336"/>
      <w:bookmarkStart w:id="524" w:name="_Toc7462"/>
      <w:bookmarkStart w:id="525" w:name="_Toc20130_WPSOffice_Level1"/>
      <w:bookmarkStart w:id="526" w:name="_Toc23080"/>
      <w:bookmarkStart w:id="527" w:name="_Toc4640"/>
      <w:bookmarkStart w:id="528" w:name="_Toc2644"/>
      <w:bookmarkStart w:id="529" w:name="_Toc30037"/>
      <w:bookmarkStart w:id="530" w:name="_Toc4529"/>
      <w:r>
        <w:rPr>
          <w:rFonts w:hint="eastAsia" w:ascii="宋体" w:hAnsi="宋体"/>
          <w:color w:val="auto"/>
          <w:highlight w:val="none"/>
        </w:rPr>
        <w:t>详见招标文件（</w:t>
      </w:r>
      <w:r>
        <w:rPr>
          <w:rFonts w:ascii="宋体" w:hAnsi="宋体"/>
          <w:color w:val="auto"/>
          <w:highlight w:val="none"/>
        </w:rPr>
        <w:t>GZZF</w:t>
      </w:r>
      <w:r>
        <w:rPr>
          <w:rFonts w:hint="eastAsia" w:ascii="宋体" w:hAnsi="宋体"/>
          <w:color w:val="auto"/>
          <w:highlight w:val="none"/>
        </w:rPr>
        <w:t>格式）工程量清单。</w:t>
      </w:r>
      <w:bookmarkEnd w:id="522"/>
      <w:bookmarkEnd w:id="523"/>
      <w:bookmarkEnd w:id="524"/>
      <w:bookmarkEnd w:id="525"/>
      <w:bookmarkEnd w:id="526"/>
      <w:bookmarkEnd w:id="527"/>
      <w:bookmarkEnd w:id="528"/>
      <w:bookmarkEnd w:id="529"/>
      <w:bookmarkEnd w:id="530"/>
    </w:p>
    <w:p w14:paraId="66B166FF">
      <w:pPr>
        <w:spacing w:before="156" w:beforeLines="50" w:after="156" w:afterLines="50" w:line="360" w:lineRule="auto"/>
        <w:rPr>
          <w:color w:val="auto"/>
        </w:rPr>
      </w:pPr>
      <w:r>
        <w:rPr>
          <w:rFonts w:hint="eastAsia"/>
          <w:color w:val="auto"/>
        </w:rPr>
        <w:t xml:space="preserve"> </w:t>
      </w:r>
    </w:p>
    <w:sectPr>
      <w:pgSz w:w="11906" w:h="16838"/>
      <w:pgMar w:top="1440" w:right="1706"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1646D">
    <w:pPr>
      <w:pStyle w:val="7"/>
      <w:ind w:firstLine="4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EA092">
    <w:pPr>
      <w:pStyle w:val="7"/>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55615">
    <w:pPr>
      <w:pStyle w:val="7"/>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1587D">
    <w:pPr>
      <w:pStyle w:val="7"/>
      <w:ind w:firstLine="42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63245" cy="597535"/>
              <wp:effectExtent l="0" t="0" r="0" b="0"/>
              <wp:wrapNone/>
              <wp:docPr id="1" name="文本框 3"/>
              <wp:cNvGraphicFramePr/>
              <a:graphic xmlns:a="http://schemas.openxmlformats.org/drawingml/2006/main">
                <a:graphicData uri="http://schemas.microsoft.com/office/word/2010/wordprocessingShape">
                  <wps:wsp>
                    <wps:cNvSpPr txBox="1"/>
                    <wps:spPr>
                      <a:xfrm>
                        <a:off x="0" y="0"/>
                        <a:ext cx="563245" cy="597535"/>
                      </a:xfrm>
                      <a:prstGeom prst="rect">
                        <a:avLst/>
                      </a:prstGeom>
                      <a:noFill/>
                      <a:ln>
                        <a:noFill/>
                      </a:ln>
                    </wps:spPr>
                    <wps:txbx>
                      <w:txbxContent>
                        <w:p w14:paraId="0A281686">
                          <w:pPr>
                            <w:pStyle w:val="7"/>
                            <w:ind w:firstLine="420"/>
                          </w:pPr>
                          <w:r>
                            <w:rPr>
                              <w:rFonts w:hint="eastAsia"/>
                            </w:rPr>
                            <w:fldChar w:fldCharType="begin"/>
                          </w:r>
                          <w:r>
                            <w:rPr>
                              <w:rFonts w:hint="eastAsia"/>
                            </w:rPr>
                            <w:instrText xml:space="preserve"> PAGE  \* MERGEFORMAT </w:instrText>
                          </w:r>
                          <w:r>
                            <w:rPr>
                              <w:rFonts w:hint="eastAsia"/>
                            </w:rPr>
                            <w:fldChar w:fldCharType="separate"/>
                          </w:r>
                          <w:r>
                            <w:t>- 28 -</w:t>
                          </w:r>
                          <w:r>
                            <w:rPr>
                              <w:rFonts w:hint="eastAsia"/>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47.05pt;width:44.35pt;mso-position-horizontal:outside;mso-position-horizontal-relative:margin;mso-wrap-style:none;z-index:251659264;mso-width-relative:page;mso-height-relative:page;" filled="f" stroked="f" coordsize="21600,21600" o:gfxdata="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3PIbXRAAAAAwEAAA8AAAAAAAAAAQAgAAAAIgAAAGRycy9kb3ducmV2Lnht&#10;bFBLAQIUABQAAAAIAIdO4kC9lH9wxwEAAIsDAAAOAAAAAAAAAAEAIAAAACABAABkcnMvZTJvRG9j&#10;LnhtbFBLBQYAAAAABgAGAFkBAABZBQAAAAA=&#10;">
              <v:fill on="f" focussize="0,0"/>
              <v:stroke on="f"/>
              <v:imagedata o:title=""/>
              <o:lock v:ext="edit" aspectratio="f"/>
              <v:textbox inset="0mm,0mm,0mm,0mm" style="mso-fit-shape-to-text:t;">
                <w:txbxContent>
                  <w:p w14:paraId="0A281686">
                    <w:pPr>
                      <w:pStyle w:val="7"/>
                      <w:ind w:firstLine="420"/>
                    </w:pPr>
                    <w:r>
                      <w:rPr>
                        <w:rFonts w:hint="eastAsia"/>
                      </w:rPr>
                      <w:fldChar w:fldCharType="begin"/>
                    </w:r>
                    <w:r>
                      <w:rPr>
                        <w:rFonts w:hint="eastAsia"/>
                      </w:rPr>
                      <w:instrText xml:space="preserve"> PAGE  \* MERGEFORMAT </w:instrText>
                    </w:r>
                    <w:r>
                      <w:rPr>
                        <w:rFonts w:hint="eastAsia"/>
                      </w:rPr>
                      <w:fldChar w:fldCharType="separate"/>
                    </w:r>
                    <w:r>
                      <w:t>- 28 -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2DD8A">
    <w:pPr>
      <w:pStyle w:val="8"/>
      <w:pBdr>
        <w:bottom w:val="none" w:color="auto" w:sz="0" w:space="0"/>
      </w:pBdr>
      <w:ind w:firstLine="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8C04B">
    <w:pPr>
      <w:pStyle w:val="8"/>
      <w:ind w:firstLine="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B48DF">
    <w:pPr>
      <w:pStyle w:val="8"/>
      <w:ind w:firstLine="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1C5E3"/>
    <w:multiLevelType w:val="singleLevel"/>
    <w:tmpl w:val="8621C5E3"/>
    <w:lvl w:ilvl="0" w:tentative="0">
      <w:start w:val="2"/>
      <w:numFmt w:val="decimal"/>
      <w:suff w:val="nothing"/>
      <w:lvlText w:val="%1、"/>
      <w:lvlJc w:val="left"/>
    </w:lvl>
  </w:abstractNum>
  <w:abstractNum w:abstractNumId="1">
    <w:nsid w:val="B0097B3D"/>
    <w:multiLevelType w:val="singleLevel"/>
    <w:tmpl w:val="B0097B3D"/>
    <w:lvl w:ilvl="0" w:tentative="0">
      <w:start w:val="2"/>
      <w:numFmt w:val="chineseCounting"/>
      <w:suff w:val="space"/>
      <w:lvlText w:val="第%1节"/>
      <w:lvlJc w:val="left"/>
      <w:rPr>
        <w:rFonts w:hint="eastAsia"/>
      </w:rPr>
    </w:lvl>
  </w:abstractNum>
  <w:abstractNum w:abstractNumId="2">
    <w:nsid w:val="CD68BD65"/>
    <w:multiLevelType w:val="singleLevel"/>
    <w:tmpl w:val="CD68BD65"/>
    <w:lvl w:ilvl="0" w:tentative="0">
      <w:start w:val="1"/>
      <w:numFmt w:val="decimal"/>
      <w:lvlText w:val="%1."/>
      <w:lvlJc w:val="left"/>
      <w:pPr>
        <w:tabs>
          <w:tab w:val="left" w:pos="312"/>
        </w:tabs>
      </w:pPr>
    </w:lvl>
  </w:abstractNum>
  <w:abstractNum w:abstractNumId="3">
    <w:nsid w:val="DBFF566B"/>
    <w:multiLevelType w:val="singleLevel"/>
    <w:tmpl w:val="DBFF566B"/>
    <w:lvl w:ilvl="0" w:tentative="0">
      <w:start w:val="1"/>
      <w:numFmt w:val="decimal"/>
      <w:suff w:val="nothing"/>
      <w:lvlText w:val="（%1）"/>
      <w:lvlJc w:val="left"/>
      <w:rPr>
        <w:rFonts w:hint="default"/>
        <w:strike w:val="0"/>
        <w:dstrike w:val="0"/>
      </w:rPr>
    </w:lvl>
  </w:abstractNum>
  <w:abstractNum w:abstractNumId="4">
    <w:nsid w:val="FF5FA156"/>
    <w:multiLevelType w:val="singleLevel"/>
    <w:tmpl w:val="FF5FA156"/>
    <w:lvl w:ilvl="0" w:tentative="0">
      <w:start w:val="7"/>
      <w:numFmt w:val="chineseCounting"/>
      <w:suff w:val="nothing"/>
      <w:lvlText w:val="%1、"/>
      <w:lvlJc w:val="left"/>
      <w:rPr>
        <w:rFonts w:hint="eastAsia"/>
      </w:rPr>
    </w:lvl>
  </w:abstractNum>
  <w:abstractNum w:abstractNumId="5">
    <w:nsid w:val="0000000B"/>
    <w:multiLevelType w:val="multilevel"/>
    <w:tmpl w:val="0000000B"/>
    <w:lvl w:ilvl="0" w:tentative="0">
      <w:start w:val="7"/>
      <w:numFmt w:val="japaneseCounting"/>
      <w:lvlText w:val="第%1章"/>
      <w:lvlJc w:val="left"/>
      <w:pPr>
        <w:tabs>
          <w:tab w:val="left" w:pos="2925"/>
        </w:tabs>
        <w:ind w:left="2925" w:hanging="2925"/>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ZmNlNGNkNzZiMzY1MWNlODY0Y2YzNDQ3MzY1MDYifQ=="/>
  </w:docVars>
  <w:rsids>
    <w:rsidRoot w:val="00172A27"/>
    <w:rsid w:val="00000B77"/>
    <w:rsid w:val="00020FFE"/>
    <w:rsid w:val="00024870"/>
    <w:rsid w:val="00027CE1"/>
    <w:rsid w:val="00031F72"/>
    <w:rsid w:val="0004710E"/>
    <w:rsid w:val="00066D26"/>
    <w:rsid w:val="000721AF"/>
    <w:rsid w:val="000724DF"/>
    <w:rsid w:val="000B5B18"/>
    <w:rsid w:val="000C5D72"/>
    <w:rsid w:val="000E1B52"/>
    <w:rsid w:val="000F2591"/>
    <w:rsid w:val="001056E7"/>
    <w:rsid w:val="0011213F"/>
    <w:rsid w:val="00172A27"/>
    <w:rsid w:val="00175A87"/>
    <w:rsid w:val="001774C3"/>
    <w:rsid w:val="001806AD"/>
    <w:rsid w:val="0018315F"/>
    <w:rsid w:val="001A09BA"/>
    <w:rsid w:val="001D0BE8"/>
    <w:rsid w:val="001D7E4D"/>
    <w:rsid w:val="001E17D8"/>
    <w:rsid w:val="00224957"/>
    <w:rsid w:val="0026130D"/>
    <w:rsid w:val="00285725"/>
    <w:rsid w:val="002C4E14"/>
    <w:rsid w:val="002D0D7D"/>
    <w:rsid w:val="003066B8"/>
    <w:rsid w:val="003102DC"/>
    <w:rsid w:val="00311525"/>
    <w:rsid w:val="00392949"/>
    <w:rsid w:val="003A302F"/>
    <w:rsid w:val="003C1423"/>
    <w:rsid w:val="003C1610"/>
    <w:rsid w:val="003C3199"/>
    <w:rsid w:val="00405D9B"/>
    <w:rsid w:val="0042591B"/>
    <w:rsid w:val="00427244"/>
    <w:rsid w:val="0045136F"/>
    <w:rsid w:val="004765CF"/>
    <w:rsid w:val="004C670C"/>
    <w:rsid w:val="004C7F9F"/>
    <w:rsid w:val="004E1702"/>
    <w:rsid w:val="00510765"/>
    <w:rsid w:val="005348B1"/>
    <w:rsid w:val="00550380"/>
    <w:rsid w:val="00575688"/>
    <w:rsid w:val="00582BF9"/>
    <w:rsid w:val="005C3E8F"/>
    <w:rsid w:val="005D52AA"/>
    <w:rsid w:val="00606666"/>
    <w:rsid w:val="0061096E"/>
    <w:rsid w:val="00614063"/>
    <w:rsid w:val="00614A99"/>
    <w:rsid w:val="0062794C"/>
    <w:rsid w:val="006334F6"/>
    <w:rsid w:val="006637C8"/>
    <w:rsid w:val="006638B7"/>
    <w:rsid w:val="006672D1"/>
    <w:rsid w:val="00682EB4"/>
    <w:rsid w:val="006C7361"/>
    <w:rsid w:val="006E3DB9"/>
    <w:rsid w:val="007014BB"/>
    <w:rsid w:val="00712A2C"/>
    <w:rsid w:val="00725E92"/>
    <w:rsid w:val="00737F84"/>
    <w:rsid w:val="007424AC"/>
    <w:rsid w:val="0075024E"/>
    <w:rsid w:val="00750FEC"/>
    <w:rsid w:val="00752930"/>
    <w:rsid w:val="0078492A"/>
    <w:rsid w:val="00785C0E"/>
    <w:rsid w:val="007B4EED"/>
    <w:rsid w:val="007C1E64"/>
    <w:rsid w:val="007C30F0"/>
    <w:rsid w:val="007C7FC1"/>
    <w:rsid w:val="007F427D"/>
    <w:rsid w:val="007F6ACB"/>
    <w:rsid w:val="007F6EB7"/>
    <w:rsid w:val="008129A9"/>
    <w:rsid w:val="008969FD"/>
    <w:rsid w:val="008A3EAE"/>
    <w:rsid w:val="009017BE"/>
    <w:rsid w:val="00931784"/>
    <w:rsid w:val="00931A4C"/>
    <w:rsid w:val="00960A6A"/>
    <w:rsid w:val="00962190"/>
    <w:rsid w:val="00965218"/>
    <w:rsid w:val="00967916"/>
    <w:rsid w:val="009712B8"/>
    <w:rsid w:val="00973539"/>
    <w:rsid w:val="009A5FD5"/>
    <w:rsid w:val="009D0EA3"/>
    <w:rsid w:val="009E513A"/>
    <w:rsid w:val="009E54B1"/>
    <w:rsid w:val="009E7AB1"/>
    <w:rsid w:val="00A31BB2"/>
    <w:rsid w:val="00A33C2B"/>
    <w:rsid w:val="00A50125"/>
    <w:rsid w:val="00A6744B"/>
    <w:rsid w:val="00A77FB0"/>
    <w:rsid w:val="00A82A3E"/>
    <w:rsid w:val="00AB23C1"/>
    <w:rsid w:val="00AB4116"/>
    <w:rsid w:val="00AB71EA"/>
    <w:rsid w:val="00AC4D2A"/>
    <w:rsid w:val="00AE419F"/>
    <w:rsid w:val="00B067E1"/>
    <w:rsid w:val="00B25DBD"/>
    <w:rsid w:val="00B55496"/>
    <w:rsid w:val="00B65A70"/>
    <w:rsid w:val="00BB3314"/>
    <w:rsid w:val="00BC231A"/>
    <w:rsid w:val="00BE79AB"/>
    <w:rsid w:val="00C2120D"/>
    <w:rsid w:val="00C71563"/>
    <w:rsid w:val="00C72288"/>
    <w:rsid w:val="00C72D95"/>
    <w:rsid w:val="00CA558C"/>
    <w:rsid w:val="00CB578A"/>
    <w:rsid w:val="00CC57B7"/>
    <w:rsid w:val="00CC57BF"/>
    <w:rsid w:val="00CD7FCF"/>
    <w:rsid w:val="00D007A7"/>
    <w:rsid w:val="00D16FD9"/>
    <w:rsid w:val="00D25FB8"/>
    <w:rsid w:val="00D2742A"/>
    <w:rsid w:val="00D574E9"/>
    <w:rsid w:val="00D63F1F"/>
    <w:rsid w:val="00D6540F"/>
    <w:rsid w:val="00D73032"/>
    <w:rsid w:val="00D74A4A"/>
    <w:rsid w:val="00D872EF"/>
    <w:rsid w:val="00DD0F2A"/>
    <w:rsid w:val="00DD773A"/>
    <w:rsid w:val="00DE3DEE"/>
    <w:rsid w:val="00E007E5"/>
    <w:rsid w:val="00E318D4"/>
    <w:rsid w:val="00E373AE"/>
    <w:rsid w:val="00E701F9"/>
    <w:rsid w:val="00E72629"/>
    <w:rsid w:val="00E72A7E"/>
    <w:rsid w:val="00EA507E"/>
    <w:rsid w:val="00EA5B51"/>
    <w:rsid w:val="00EC02E4"/>
    <w:rsid w:val="00EC79E4"/>
    <w:rsid w:val="00EE3F1D"/>
    <w:rsid w:val="00F12571"/>
    <w:rsid w:val="00F40703"/>
    <w:rsid w:val="00F503EC"/>
    <w:rsid w:val="00F50858"/>
    <w:rsid w:val="00F56AD2"/>
    <w:rsid w:val="00F73593"/>
    <w:rsid w:val="00FC1B55"/>
    <w:rsid w:val="00FC2D92"/>
    <w:rsid w:val="00FD0D1C"/>
    <w:rsid w:val="00FD41B7"/>
    <w:rsid w:val="00FD4A71"/>
    <w:rsid w:val="00FF6044"/>
    <w:rsid w:val="018A4EE2"/>
    <w:rsid w:val="020820DC"/>
    <w:rsid w:val="021F4637"/>
    <w:rsid w:val="02401057"/>
    <w:rsid w:val="0246069D"/>
    <w:rsid w:val="026F769B"/>
    <w:rsid w:val="028C33A0"/>
    <w:rsid w:val="02C32E43"/>
    <w:rsid w:val="02DA7F65"/>
    <w:rsid w:val="03465822"/>
    <w:rsid w:val="038C1235"/>
    <w:rsid w:val="03AE7123"/>
    <w:rsid w:val="03BB1D6C"/>
    <w:rsid w:val="03E72B61"/>
    <w:rsid w:val="03EC2B7B"/>
    <w:rsid w:val="044273C0"/>
    <w:rsid w:val="044C0C16"/>
    <w:rsid w:val="046D64A6"/>
    <w:rsid w:val="048246C2"/>
    <w:rsid w:val="04B51F87"/>
    <w:rsid w:val="04DB11CB"/>
    <w:rsid w:val="04F17F71"/>
    <w:rsid w:val="053F4967"/>
    <w:rsid w:val="054D302C"/>
    <w:rsid w:val="058009FC"/>
    <w:rsid w:val="05876D69"/>
    <w:rsid w:val="058A0780"/>
    <w:rsid w:val="05AA74A2"/>
    <w:rsid w:val="05E202EF"/>
    <w:rsid w:val="05F45A09"/>
    <w:rsid w:val="06C835FA"/>
    <w:rsid w:val="07000AFB"/>
    <w:rsid w:val="075A189C"/>
    <w:rsid w:val="07675561"/>
    <w:rsid w:val="077F5B82"/>
    <w:rsid w:val="07872474"/>
    <w:rsid w:val="0796437E"/>
    <w:rsid w:val="07B25F19"/>
    <w:rsid w:val="08334FD0"/>
    <w:rsid w:val="08880391"/>
    <w:rsid w:val="08D15B8E"/>
    <w:rsid w:val="08E758D5"/>
    <w:rsid w:val="08ED5B86"/>
    <w:rsid w:val="0904405E"/>
    <w:rsid w:val="09D6469B"/>
    <w:rsid w:val="09F03A1A"/>
    <w:rsid w:val="0A1D552E"/>
    <w:rsid w:val="0A347499"/>
    <w:rsid w:val="0A4C2D93"/>
    <w:rsid w:val="0A5C6A87"/>
    <w:rsid w:val="0A652A31"/>
    <w:rsid w:val="0A671249"/>
    <w:rsid w:val="0A690774"/>
    <w:rsid w:val="0A742C74"/>
    <w:rsid w:val="0AA74CD1"/>
    <w:rsid w:val="0AF05BB1"/>
    <w:rsid w:val="0AF53DB5"/>
    <w:rsid w:val="0AFA4ADF"/>
    <w:rsid w:val="0B12675B"/>
    <w:rsid w:val="0B391F9B"/>
    <w:rsid w:val="0B462D56"/>
    <w:rsid w:val="0B5E6F7F"/>
    <w:rsid w:val="0B60380B"/>
    <w:rsid w:val="0BBF4CFF"/>
    <w:rsid w:val="0BD922FD"/>
    <w:rsid w:val="0C033E63"/>
    <w:rsid w:val="0C605BA6"/>
    <w:rsid w:val="0C65636D"/>
    <w:rsid w:val="0CA31396"/>
    <w:rsid w:val="0CA35A93"/>
    <w:rsid w:val="0CA710DF"/>
    <w:rsid w:val="0D1262D1"/>
    <w:rsid w:val="0D336E17"/>
    <w:rsid w:val="0D9735F1"/>
    <w:rsid w:val="0DDF3C8F"/>
    <w:rsid w:val="0DEE6B37"/>
    <w:rsid w:val="0E027FD4"/>
    <w:rsid w:val="0E2A1FC8"/>
    <w:rsid w:val="0E2A2CAE"/>
    <w:rsid w:val="0E304A8C"/>
    <w:rsid w:val="0E540149"/>
    <w:rsid w:val="0E584AA2"/>
    <w:rsid w:val="0E6A6703"/>
    <w:rsid w:val="0E840A01"/>
    <w:rsid w:val="0EB22ABA"/>
    <w:rsid w:val="0EB65F51"/>
    <w:rsid w:val="0EBE1C4D"/>
    <w:rsid w:val="0F0E18EA"/>
    <w:rsid w:val="0F264D2E"/>
    <w:rsid w:val="0F5D2FC2"/>
    <w:rsid w:val="0F6E7B77"/>
    <w:rsid w:val="0F711651"/>
    <w:rsid w:val="0F735BF1"/>
    <w:rsid w:val="0F96368D"/>
    <w:rsid w:val="0FDB7A4A"/>
    <w:rsid w:val="0FF575FE"/>
    <w:rsid w:val="10236847"/>
    <w:rsid w:val="103E7DE6"/>
    <w:rsid w:val="10425E2E"/>
    <w:rsid w:val="1045758D"/>
    <w:rsid w:val="1051431B"/>
    <w:rsid w:val="10581BF8"/>
    <w:rsid w:val="10663BAC"/>
    <w:rsid w:val="109C53F5"/>
    <w:rsid w:val="10B405B4"/>
    <w:rsid w:val="10B42151"/>
    <w:rsid w:val="10EE58BA"/>
    <w:rsid w:val="11072A94"/>
    <w:rsid w:val="11472E91"/>
    <w:rsid w:val="116701A0"/>
    <w:rsid w:val="11CC03BE"/>
    <w:rsid w:val="120E7E53"/>
    <w:rsid w:val="120F0DC9"/>
    <w:rsid w:val="121730FB"/>
    <w:rsid w:val="121864F1"/>
    <w:rsid w:val="126F08F1"/>
    <w:rsid w:val="1270144E"/>
    <w:rsid w:val="128C22B3"/>
    <w:rsid w:val="131275DF"/>
    <w:rsid w:val="13410DF3"/>
    <w:rsid w:val="13645F7C"/>
    <w:rsid w:val="13914897"/>
    <w:rsid w:val="139A199E"/>
    <w:rsid w:val="13AC4C74"/>
    <w:rsid w:val="140C7724"/>
    <w:rsid w:val="142D47E4"/>
    <w:rsid w:val="14415FE0"/>
    <w:rsid w:val="145E1F3F"/>
    <w:rsid w:val="14731F34"/>
    <w:rsid w:val="14E07A3B"/>
    <w:rsid w:val="14EF3F6B"/>
    <w:rsid w:val="14F17923"/>
    <w:rsid w:val="14FF685E"/>
    <w:rsid w:val="15063C07"/>
    <w:rsid w:val="15094BDE"/>
    <w:rsid w:val="15962639"/>
    <w:rsid w:val="15F674C0"/>
    <w:rsid w:val="15FD6214"/>
    <w:rsid w:val="164A07B8"/>
    <w:rsid w:val="168F30F7"/>
    <w:rsid w:val="16D056D6"/>
    <w:rsid w:val="16E3365C"/>
    <w:rsid w:val="16FE3FF2"/>
    <w:rsid w:val="172732C7"/>
    <w:rsid w:val="172B5F11"/>
    <w:rsid w:val="1750749B"/>
    <w:rsid w:val="175C6358"/>
    <w:rsid w:val="18427999"/>
    <w:rsid w:val="185D743E"/>
    <w:rsid w:val="18813D03"/>
    <w:rsid w:val="188618EE"/>
    <w:rsid w:val="188C71AF"/>
    <w:rsid w:val="18B55F4F"/>
    <w:rsid w:val="18C671CB"/>
    <w:rsid w:val="19671CD1"/>
    <w:rsid w:val="19762565"/>
    <w:rsid w:val="197A2D0D"/>
    <w:rsid w:val="19D53F3B"/>
    <w:rsid w:val="1A004525"/>
    <w:rsid w:val="1A4777A8"/>
    <w:rsid w:val="1A8A7532"/>
    <w:rsid w:val="1AC46917"/>
    <w:rsid w:val="1AF87F47"/>
    <w:rsid w:val="1B1F1783"/>
    <w:rsid w:val="1B481CDF"/>
    <w:rsid w:val="1B7900EB"/>
    <w:rsid w:val="1BBFA078"/>
    <w:rsid w:val="1C23743A"/>
    <w:rsid w:val="1C42001A"/>
    <w:rsid w:val="1C6963B1"/>
    <w:rsid w:val="1D6848BB"/>
    <w:rsid w:val="1E0A7063"/>
    <w:rsid w:val="1E924BC2"/>
    <w:rsid w:val="1EB720C0"/>
    <w:rsid w:val="1ED33FB6"/>
    <w:rsid w:val="1EE6637E"/>
    <w:rsid w:val="1FB76B75"/>
    <w:rsid w:val="1FEF1FED"/>
    <w:rsid w:val="200F0074"/>
    <w:rsid w:val="202569D7"/>
    <w:rsid w:val="20642209"/>
    <w:rsid w:val="20662F4F"/>
    <w:rsid w:val="20895274"/>
    <w:rsid w:val="20D02EA3"/>
    <w:rsid w:val="20DF5D20"/>
    <w:rsid w:val="213C00B3"/>
    <w:rsid w:val="21426901"/>
    <w:rsid w:val="216A3453"/>
    <w:rsid w:val="21967768"/>
    <w:rsid w:val="220B7F0B"/>
    <w:rsid w:val="22325497"/>
    <w:rsid w:val="22DD18A7"/>
    <w:rsid w:val="22E03145"/>
    <w:rsid w:val="22E8440B"/>
    <w:rsid w:val="22FE2635"/>
    <w:rsid w:val="237B69CA"/>
    <w:rsid w:val="237D53A0"/>
    <w:rsid w:val="23CA7C3A"/>
    <w:rsid w:val="23F116C1"/>
    <w:rsid w:val="24582C0B"/>
    <w:rsid w:val="24C148B0"/>
    <w:rsid w:val="24DA1539"/>
    <w:rsid w:val="252668A5"/>
    <w:rsid w:val="252C08C4"/>
    <w:rsid w:val="25973F8F"/>
    <w:rsid w:val="25B4699C"/>
    <w:rsid w:val="25EE20FE"/>
    <w:rsid w:val="262B4D16"/>
    <w:rsid w:val="263B71C2"/>
    <w:rsid w:val="26461511"/>
    <w:rsid w:val="265328B2"/>
    <w:rsid w:val="26775526"/>
    <w:rsid w:val="26A326E8"/>
    <w:rsid w:val="26A94E63"/>
    <w:rsid w:val="26D7059A"/>
    <w:rsid w:val="26E1123A"/>
    <w:rsid w:val="26FFE5CE"/>
    <w:rsid w:val="27156B88"/>
    <w:rsid w:val="27307A5A"/>
    <w:rsid w:val="27355C95"/>
    <w:rsid w:val="27401CFB"/>
    <w:rsid w:val="2766512B"/>
    <w:rsid w:val="27AC7069"/>
    <w:rsid w:val="27B36C49"/>
    <w:rsid w:val="28357D92"/>
    <w:rsid w:val="283E175A"/>
    <w:rsid w:val="28537F15"/>
    <w:rsid w:val="287468C6"/>
    <w:rsid w:val="28A904E9"/>
    <w:rsid w:val="28BB18D6"/>
    <w:rsid w:val="293935AF"/>
    <w:rsid w:val="293E2974"/>
    <w:rsid w:val="29615F07"/>
    <w:rsid w:val="2967011C"/>
    <w:rsid w:val="29B228E2"/>
    <w:rsid w:val="29B91CA7"/>
    <w:rsid w:val="29C56BF1"/>
    <w:rsid w:val="29ED63CF"/>
    <w:rsid w:val="2A2826A2"/>
    <w:rsid w:val="2A2E29E8"/>
    <w:rsid w:val="2A556BA5"/>
    <w:rsid w:val="2B632B65"/>
    <w:rsid w:val="2BCC070B"/>
    <w:rsid w:val="2C071743"/>
    <w:rsid w:val="2C300C99"/>
    <w:rsid w:val="2C394CD9"/>
    <w:rsid w:val="2C952267"/>
    <w:rsid w:val="2CA12162"/>
    <w:rsid w:val="2CB1385F"/>
    <w:rsid w:val="2CC63526"/>
    <w:rsid w:val="2CCB6C14"/>
    <w:rsid w:val="2CCF04B2"/>
    <w:rsid w:val="2DF7362C"/>
    <w:rsid w:val="2DFB7085"/>
    <w:rsid w:val="2E3440DF"/>
    <w:rsid w:val="2E732264"/>
    <w:rsid w:val="2E967E6D"/>
    <w:rsid w:val="2EA074C9"/>
    <w:rsid w:val="2EAB719E"/>
    <w:rsid w:val="2EDA4EED"/>
    <w:rsid w:val="2F8E7D69"/>
    <w:rsid w:val="2F9741F9"/>
    <w:rsid w:val="30536D05"/>
    <w:rsid w:val="305D7B83"/>
    <w:rsid w:val="30980BBB"/>
    <w:rsid w:val="309B183F"/>
    <w:rsid w:val="310A2931"/>
    <w:rsid w:val="311F55C7"/>
    <w:rsid w:val="3145661B"/>
    <w:rsid w:val="314C13DF"/>
    <w:rsid w:val="31EE3D4D"/>
    <w:rsid w:val="31FA5672"/>
    <w:rsid w:val="32193F7E"/>
    <w:rsid w:val="32222E32"/>
    <w:rsid w:val="330864CC"/>
    <w:rsid w:val="334B79D5"/>
    <w:rsid w:val="335F25EA"/>
    <w:rsid w:val="33843462"/>
    <w:rsid w:val="33C46C09"/>
    <w:rsid w:val="33E10ACB"/>
    <w:rsid w:val="34125129"/>
    <w:rsid w:val="346723B9"/>
    <w:rsid w:val="346E05B1"/>
    <w:rsid w:val="348773BC"/>
    <w:rsid w:val="34AA2125"/>
    <w:rsid w:val="34BB57F0"/>
    <w:rsid w:val="34CB2B48"/>
    <w:rsid w:val="34FF0CA1"/>
    <w:rsid w:val="358739AA"/>
    <w:rsid w:val="35CC203D"/>
    <w:rsid w:val="35F26FC0"/>
    <w:rsid w:val="3612648F"/>
    <w:rsid w:val="367C506C"/>
    <w:rsid w:val="369307B2"/>
    <w:rsid w:val="36C73FA8"/>
    <w:rsid w:val="36DF1FC3"/>
    <w:rsid w:val="36EA0C8A"/>
    <w:rsid w:val="36ED2995"/>
    <w:rsid w:val="371C1013"/>
    <w:rsid w:val="374745EE"/>
    <w:rsid w:val="37560C7A"/>
    <w:rsid w:val="378B697D"/>
    <w:rsid w:val="3791014C"/>
    <w:rsid w:val="37A31AD7"/>
    <w:rsid w:val="37D26EAE"/>
    <w:rsid w:val="37EA829B"/>
    <w:rsid w:val="38033FE9"/>
    <w:rsid w:val="38123949"/>
    <w:rsid w:val="38741F0E"/>
    <w:rsid w:val="388D20F1"/>
    <w:rsid w:val="38AC6C9B"/>
    <w:rsid w:val="38D0661F"/>
    <w:rsid w:val="38D92FC0"/>
    <w:rsid w:val="39365415"/>
    <w:rsid w:val="394D1DA7"/>
    <w:rsid w:val="39561225"/>
    <w:rsid w:val="396E52A8"/>
    <w:rsid w:val="399C7B64"/>
    <w:rsid w:val="39B70C73"/>
    <w:rsid w:val="39E80CB8"/>
    <w:rsid w:val="3A0646A2"/>
    <w:rsid w:val="3A184B1B"/>
    <w:rsid w:val="3A49689B"/>
    <w:rsid w:val="3A59585F"/>
    <w:rsid w:val="3A9248CD"/>
    <w:rsid w:val="3AC47A56"/>
    <w:rsid w:val="3B21062D"/>
    <w:rsid w:val="3B9A2442"/>
    <w:rsid w:val="3BA824A6"/>
    <w:rsid w:val="3BDD426E"/>
    <w:rsid w:val="3C0325A5"/>
    <w:rsid w:val="3C1C4D96"/>
    <w:rsid w:val="3C7C3A87"/>
    <w:rsid w:val="3CA07775"/>
    <w:rsid w:val="3CBD3698"/>
    <w:rsid w:val="3CC650FE"/>
    <w:rsid w:val="3CD218F9"/>
    <w:rsid w:val="3D1C0200"/>
    <w:rsid w:val="3D58485D"/>
    <w:rsid w:val="3D8175A7"/>
    <w:rsid w:val="3DA22D0F"/>
    <w:rsid w:val="3DD3100E"/>
    <w:rsid w:val="3E506ABA"/>
    <w:rsid w:val="3E662A02"/>
    <w:rsid w:val="3E7C0A75"/>
    <w:rsid w:val="3E9A12CF"/>
    <w:rsid w:val="3EC9387B"/>
    <w:rsid w:val="3F402B4A"/>
    <w:rsid w:val="3F9B3455"/>
    <w:rsid w:val="3FAEA5F1"/>
    <w:rsid w:val="3FC01EDD"/>
    <w:rsid w:val="3FD17C46"/>
    <w:rsid w:val="3FDF05B5"/>
    <w:rsid w:val="3FDF5158"/>
    <w:rsid w:val="3FE17E8C"/>
    <w:rsid w:val="3FE391E9"/>
    <w:rsid w:val="3FF43477"/>
    <w:rsid w:val="3FFBF447"/>
    <w:rsid w:val="4013200C"/>
    <w:rsid w:val="40410B73"/>
    <w:rsid w:val="40533F4D"/>
    <w:rsid w:val="406A73A8"/>
    <w:rsid w:val="40760DF2"/>
    <w:rsid w:val="416A6AFE"/>
    <w:rsid w:val="41D67795"/>
    <w:rsid w:val="41F14E69"/>
    <w:rsid w:val="428C600D"/>
    <w:rsid w:val="42912926"/>
    <w:rsid w:val="42980BB9"/>
    <w:rsid w:val="43374301"/>
    <w:rsid w:val="435A42B8"/>
    <w:rsid w:val="435B2E87"/>
    <w:rsid w:val="43833C1E"/>
    <w:rsid w:val="440913B2"/>
    <w:rsid w:val="445B21D4"/>
    <w:rsid w:val="447D214A"/>
    <w:rsid w:val="449A0F4E"/>
    <w:rsid w:val="449F0635"/>
    <w:rsid w:val="44A845B6"/>
    <w:rsid w:val="44F74795"/>
    <w:rsid w:val="4545710C"/>
    <w:rsid w:val="45514A65"/>
    <w:rsid w:val="4574354D"/>
    <w:rsid w:val="45C93721"/>
    <w:rsid w:val="45DD46C5"/>
    <w:rsid w:val="460F073B"/>
    <w:rsid w:val="466C691A"/>
    <w:rsid w:val="4670640B"/>
    <w:rsid w:val="46787030"/>
    <w:rsid w:val="46A66D0F"/>
    <w:rsid w:val="46BE3F70"/>
    <w:rsid w:val="46C611EF"/>
    <w:rsid w:val="46CF509C"/>
    <w:rsid w:val="46DB784C"/>
    <w:rsid w:val="46E376CB"/>
    <w:rsid w:val="46F91A41"/>
    <w:rsid w:val="47291522"/>
    <w:rsid w:val="474B4248"/>
    <w:rsid w:val="48174E30"/>
    <w:rsid w:val="487873CB"/>
    <w:rsid w:val="489F153B"/>
    <w:rsid w:val="48B958BE"/>
    <w:rsid w:val="48C02F72"/>
    <w:rsid w:val="48ED1565"/>
    <w:rsid w:val="48FC3346"/>
    <w:rsid w:val="49DB245C"/>
    <w:rsid w:val="4A185994"/>
    <w:rsid w:val="4A720F03"/>
    <w:rsid w:val="4ACB3A3E"/>
    <w:rsid w:val="4B602D44"/>
    <w:rsid w:val="4B750990"/>
    <w:rsid w:val="4C1B0BC7"/>
    <w:rsid w:val="4C2C2DD4"/>
    <w:rsid w:val="4C947039"/>
    <w:rsid w:val="4CB35C30"/>
    <w:rsid w:val="4CFD651E"/>
    <w:rsid w:val="4D896004"/>
    <w:rsid w:val="4D8C1650"/>
    <w:rsid w:val="4DB40903"/>
    <w:rsid w:val="4DCA5C07"/>
    <w:rsid w:val="4E4143CE"/>
    <w:rsid w:val="4E4252FA"/>
    <w:rsid w:val="4E8A629A"/>
    <w:rsid w:val="4E9749B3"/>
    <w:rsid w:val="4EBB3A00"/>
    <w:rsid w:val="4ED7762F"/>
    <w:rsid w:val="4EE92773"/>
    <w:rsid w:val="4F054E34"/>
    <w:rsid w:val="4F302BDB"/>
    <w:rsid w:val="4F71473A"/>
    <w:rsid w:val="4FCD4C3E"/>
    <w:rsid w:val="5066262C"/>
    <w:rsid w:val="506B2515"/>
    <w:rsid w:val="506E1893"/>
    <w:rsid w:val="507C1E50"/>
    <w:rsid w:val="508834F3"/>
    <w:rsid w:val="50A86769"/>
    <w:rsid w:val="50FB664F"/>
    <w:rsid w:val="51004707"/>
    <w:rsid w:val="51153A4F"/>
    <w:rsid w:val="512527B9"/>
    <w:rsid w:val="51612946"/>
    <w:rsid w:val="521F2DEA"/>
    <w:rsid w:val="528C58A8"/>
    <w:rsid w:val="529369ED"/>
    <w:rsid w:val="52E45075"/>
    <w:rsid w:val="53794DF5"/>
    <w:rsid w:val="53934FA0"/>
    <w:rsid w:val="53A55C08"/>
    <w:rsid w:val="53AC47FA"/>
    <w:rsid w:val="53DB6E8D"/>
    <w:rsid w:val="53DF77EE"/>
    <w:rsid w:val="54071BD3"/>
    <w:rsid w:val="54085ED4"/>
    <w:rsid w:val="544F4A68"/>
    <w:rsid w:val="548624A8"/>
    <w:rsid w:val="549A2D39"/>
    <w:rsid w:val="54A656ED"/>
    <w:rsid w:val="54BB6065"/>
    <w:rsid w:val="556829A3"/>
    <w:rsid w:val="55A466F0"/>
    <w:rsid w:val="55AA4D69"/>
    <w:rsid w:val="55AD0C36"/>
    <w:rsid w:val="55D30991"/>
    <w:rsid w:val="55E5223F"/>
    <w:rsid w:val="561D1FC3"/>
    <w:rsid w:val="56312D95"/>
    <w:rsid w:val="568E6439"/>
    <w:rsid w:val="56C02A96"/>
    <w:rsid w:val="571068B8"/>
    <w:rsid w:val="57401A2B"/>
    <w:rsid w:val="576126CC"/>
    <w:rsid w:val="579C7024"/>
    <w:rsid w:val="57B57CAB"/>
    <w:rsid w:val="57C25C85"/>
    <w:rsid w:val="57EA58F1"/>
    <w:rsid w:val="58166888"/>
    <w:rsid w:val="5822508B"/>
    <w:rsid w:val="58367C09"/>
    <w:rsid w:val="58616165"/>
    <w:rsid w:val="586B3150"/>
    <w:rsid w:val="587663DD"/>
    <w:rsid w:val="58C21518"/>
    <w:rsid w:val="590D17E5"/>
    <w:rsid w:val="591B2945"/>
    <w:rsid w:val="59202131"/>
    <w:rsid w:val="5937287A"/>
    <w:rsid w:val="59A109A3"/>
    <w:rsid w:val="59B21A73"/>
    <w:rsid w:val="59CE5EA5"/>
    <w:rsid w:val="59D10B16"/>
    <w:rsid w:val="59D94E6A"/>
    <w:rsid w:val="5A153D34"/>
    <w:rsid w:val="5A3B0ADB"/>
    <w:rsid w:val="5A47473A"/>
    <w:rsid w:val="5A582493"/>
    <w:rsid w:val="5A5D365A"/>
    <w:rsid w:val="5A70032F"/>
    <w:rsid w:val="5ABC17C7"/>
    <w:rsid w:val="5B111A56"/>
    <w:rsid w:val="5B403C30"/>
    <w:rsid w:val="5B5F1C66"/>
    <w:rsid w:val="5B8A71CF"/>
    <w:rsid w:val="5B8B1199"/>
    <w:rsid w:val="5BE03293"/>
    <w:rsid w:val="5BFF2E02"/>
    <w:rsid w:val="5C157FAC"/>
    <w:rsid w:val="5C4855C1"/>
    <w:rsid w:val="5CA16EC6"/>
    <w:rsid w:val="5CEB04D9"/>
    <w:rsid w:val="5D150B96"/>
    <w:rsid w:val="5D2A0063"/>
    <w:rsid w:val="5D497FBE"/>
    <w:rsid w:val="5DAD5E5A"/>
    <w:rsid w:val="5DC05C3D"/>
    <w:rsid w:val="5E150F45"/>
    <w:rsid w:val="5E6F4DA2"/>
    <w:rsid w:val="5E727EC6"/>
    <w:rsid w:val="5E7A2598"/>
    <w:rsid w:val="5EBF022A"/>
    <w:rsid w:val="5EC155FD"/>
    <w:rsid w:val="5ED35331"/>
    <w:rsid w:val="5F180F96"/>
    <w:rsid w:val="5F1D3778"/>
    <w:rsid w:val="5F1D76E0"/>
    <w:rsid w:val="5F9F03B7"/>
    <w:rsid w:val="5FA502B7"/>
    <w:rsid w:val="5FA82319"/>
    <w:rsid w:val="5FBE7D8F"/>
    <w:rsid w:val="5FC55CFD"/>
    <w:rsid w:val="5FD0361E"/>
    <w:rsid w:val="5FEA2932"/>
    <w:rsid w:val="5FF5052D"/>
    <w:rsid w:val="6008100A"/>
    <w:rsid w:val="60A94E0E"/>
    <w:rsid w:val="61046A56"/>
    <w:rsid w:val="6147663E"/>
    <w:rsid w:val="6162474A"/>
    <w:rsid w:val="61926B64"/>
    <w:rsid w:val="61D73854"/>
    <w:rsid w:val="61E46AF3"/>
    <w:rsid w:val="61F24F72"/>
    <w:rsid w:val="62095A92"/>
    <w:rsid w:val="620F042E"/>
    <w:rsid w:val="622B2D1C"/>
    <w:rsid w:val="62430B0C"/>
    <w:rsid w:val="62882710"/>
    <w:rsid w:val="62920C6F"/>
    <w:rsid w:val="629A0CEC"/>
    <w:rsid w:val="62CA6DE2"/>
    <w:rsid w:val="62DB0C58"/>
    <w:rsid w:val="63302D52"/>
    <w:rsid w:val="6330599C"/>
    <w:rsid w:val="63415817"/>
    <w:rsid w:val="63A76616"/>
    <w:rsid w:val="63DC07E4"/>
    <w:rsid w:val="63E94CAF"/>
    <w:rsid w:val="64163F14"/>
    <w:rsid w:val="642D5AD0"/>
    <w:rsid w:val="644A5F50"/>
    <w:rsid w:val="644D05D1"/>
    <w:rsid w:val="64A34349"/>
    <w:rsid w:val="64E24D6C"/>
    <w:rsid w:val="65110A9C"/>
    <w:rsid w:val="651B281B"/>
    <w:rsid w:val="657B3D82"/>
    <w:rsid w:val="65A235C1"/>
    <w:rsid w:val="65A41639"/>
    <w:rsid w:val="65CB6D62"/>
    <w:rsid w:val="65F41B13"/>
    <w:rsid w:val="66292968"/>
    <w:rsid w:val="664D09A9"/>
    <w:rsid w:val="664F4836"/>
    <w:rsid w:val="66593116"/>
    <w:rsid w:val="666B782C"/>
    <w:rsid w:val="66943F42"/>
    <w:rsid w:val="66E04A8F"/>
    <w:rsid w:val="66E67E8F"/>
    <w:rsid w:val="6719319A"/>
    <w:rsid w:val="677D5B81"/>
    <w:rsid w:val="678D23CA"/>
    <w:rsid w:val="686B0388"/>
    <w:rsid w:val="688E1276"/>
    <w:rsid w:val="68920561"/>
    <w:rsid w:val="689E6996"/>
    <w:rsid w:val="68CF3463"/>
    <w:rsid w:val="68FD7931"/>
    <w:rsid w:val="69205616"/>
    <w:rsid w:val="696B601D"/>
    <w:rsid w:val="697D7477"/>
    <w:rsid w:val="69F745C9"/>
    <w:rsid w:val="6A190AAA"/>
    <w:rsid w:val="6A3273AF"/>
    <w:rsid w:val="6A5E0F74"/>
    <w:rsid w:val="6A9142E6"/>
    <w:rsid w:val="6A9F2028"/>
    <w:rsid w:val="6AC96E88"/>
    <w:rsid w:val="6ACA16EF"/>
    <w:rsid w:val="6AEF34F2"/>
    <w:rsid w:val="6B1940CB"/>
    <w:rsid w:val="6B703E7E"/>
    <w:rsid w:val="6BC0197D"/>
    <w:rsid w:val="6BD42718"/>
    <w:rsid w:val="6BEA7E15"/>
    <w:rsid w:val="6C0134DD"/>
    <w:rsid w:val="6C045B48"/>
    <w:rsid w:val="6C136D6D"/>
    <w:rsid w:val="6C254DA3"/>
    <w:rsid w:val="6C507FC1"/>
    <w:rsid w:val="6C6C16B7"/>
    <w:rsid w:val="6C73141F"/>
    <w:rsid w:val="6CA6688A"/>
    <w:rsid w:val="6CD848DE"/>
    <w:rsid w:val="6CDD38FE"/>
    <w:rsid w:val="6CEE044F"/>
    <w:rsid w:val="6CFC1AD9"/>
    <w:rsid w:val="6D584914"/>
    <w:rsid w:val="6D7767EF"/>
    <w:rsid w:val="6DAA462E"/>
    <w:rsid w:val="6DE24C48"/>
    <w:rsid w:val="6DF43D84"/>
    <w:rsid w:val="6E2C05BA"/>
    <w:rsid w:val="6E7B7440"/>
    <w:rsid w:val="6E957B94"/>
    <w:rsid w:val="6EC24A7A"/>
    <w:rsid w:val="6EE72F9E"/>
    <w:rsid w:val="6EF773F4"/>
    <w:rsid w:val="6F2F78B8"/>
    <w:rsid w:val="6F347F03"/>
    <w:rsid w:val="6F435BBB"/>
    <w:rsid w:val="6F6D2D47"/>
    <w:rsid w:val="6F9A11EF"/>
    <w:rsid w:val="6FAFEA4C"/>
    <w:rsid w:val="6FB645DF"/>
    <w:rsid w:val="6FC26D8C"/>
    <w:rsid w:val="700D2F95"/>
    <w:rsid w:val="701E3F32"/>
    <w:rsid w:val="702357B1"/>
    <w:rsid w:val="703161B1"/>
    <w:rsid w:val="703B2907"/>
    <w:rsid w:val="70447562"/>
    <w:rsid w:val="7053007F"/>
    <w:rsid w:val="70860455"/>
    <w:rsid w:val="70950698"/>
    <w:rsid w:val="71845F40"/>
    <w:rsid w:val="718671D9"/>
    <w:rsid w:val="719170B1"/>
    <w:rsid w:val="71D945B4"/>
    <w:rsid w:val="71EC6731"/>
    <w:rsid w:val="71EF64AF"/>
    <w:rsid w:val="71F01AA6"/>
    <w:rsid w:val="72CB65F3"/>
    <w:rsid w:val="72F53B13"/>
    <w:rsid w:val="72F860C2"/>
    <w:rsid w:val="73815910"/>
    <w:rsid w:val="739B4A7E"/>
    <w:rsid w:val="742C1313"/>
    <w:rsid w:val="748317D6"/>
    <w:rsid w:val="74D06143"/>
    <w:rsid w:val="74D774D1"/>
    <w:rsid w:val="74D83194"/>
    <w:rsid w:val="74E854D9"/>
    <w:rsid w:val="74FD513F"/>
    <w:rsid w:val="75AB4D14"/>
    <w:rsid w:val="75E31A68"/>
    <w:rsid w:val="75E33C54"/>
    <w:rsid w:val="75E735B2"/>
    <w:rsid w:val="75FE0A11"/>
    <w:rsid w:val="75FF7364"/>
    <w:rsid w:val="765C7127"/>
    <w:rsid w:val="766A2A06"/>
    <w:rsid w:val="768023AC"/>
    <w:rsid w:val="76973DCE"/>
    <w:rsid w:val="76A038F3"/>
    <w:rsid w:val="76FA2396"/>
    <w:rsid w:val="77640DC4"/>
    <w:rsid w:val="777C74F2"/>
    <w:rsid w:val="779076BE"/>
    <w:rsid w:val="77B47451"/>
    <w:rsid w:val="77BE5BDB"/>
    <w:rsid w:val="77F60D85"/>
    <w:rsid w:val="77FD59F0"/>
    <w:rsid w:val="781243CF"/>
    <w:rsid w:val="783D09F4"/>
    <w:rsid w:val="78401E84"/>
    <w:rsid w:val="78807FCC"/>
    <w:rsid w:val="788E22F0"/>
    <w:rsid w:val="788F1E71"/>
    <w:rsid w:val="78A43B6E"/>
    <w:rsid w:val="78DD7C7D"/>
    <w:rsid w:val="79091C23"/>
    <w:rsid w:val="790F4F76"/>
    <w:rsid w:val="79351706"/>
    <w:rsid w:val="79392582"/>
    <w:rsid w:val="79902D6C"/>
    <w:rsid w:val="79DFA065"/>
    <w:rsid w:val="7A100D8F"/>
    <w:rsid w:val="7A1572B2"/>
    <w:rsid w:val="7A4343F9"/>
    <w:rsid w:val="7A454EDD"/>
    <w:rsid w:val="7A4B3747"/>
    <w:rsid w:val="7AA5772A"/>
    <w:rsid w:val="7AC56F99"/>
    <w:rsid w:val="7B551150"/>
    <w:rsid w:val="7BAD2EC7"/>
    <w:rsid w:val="7BFEC78E"/>
    <w:rsid w:val="7C1E325F"/>
    <w:rsid w:val="7C5035AE"/>
    <w:rsid w:val="7CE037D8"/>
    <w:rsid w:val="7D015980"/>
    <w:rsid w:val="7D1671FB"/>
    <w:rsid w:val="7D64409A"/>
    <w:rsid w:val="7D6CC97E"/>
    <w:rsid w:val="7D8F683A"/>
    <w:rsid w:val="7DD51CD0"/>
    <w:rsid w:val="7DE844FD"/>
    <w:rsid w:val="7E0C73E6"/>
    <w:rsid w:val="7E352FA9"/>
    <w:rsid w:val="7E5F5D63"/>
    <w:rsid w:val="7E75675D"/>
    <w:rsid w:val="7E97201A"/>
    <w:rsid w:val="7EBD67E2"/>
    <w:rsid w:val="7EF14F62"/>
    <w:rsid w:val="7EF33B1E"/>
    <w:rsid w:val="7EF667A6"/>
    <w:rsid w:val="7EF7D618"/>
    <w:rsid w:val="7EFC18E2"/>
    <w:rsid w:val="7F0FAC33"/>
    <w:rsid w:val="7F800CD8"/>
    <w:rsid w:val="7FBC652D"/>
    <w:rsid w:val="7FD1268B"/>
    <w:rsid w:val="7FE378DD"/>
    <w:rsid w:val="7FF048F5"/>
    <w:rsid w:val="7FF4DB43"/>
    <w:rsid w:val="7FFF66EA"/>
    <w:rsid w:val="7FFFF88D"/>
    <w:rsid w:val="83EE7BA4"/>
    <w:rsid w:val="96FCB51D"/>
    <w:rsid w:val="9EF97663"/>
    <w:rsid w:val="A97FFDE6"/>
    <w:rsid w:val="A9EDAF33"/>
    <w:rsid w:val="AFB38360"/>
    <w:rsid w:val="B5BD0B6E"/>
    <w:rsid w:val="B77558EC"/>
    <w:rsid w:val="B9B0082B"/>
    <w:rsid w:val="BBA5FFE4"/>
    <w:rsid w:val="BBF78AC3"/>
    <w:rsid w:val="BF9E584E"/>
    <w:rsid w:val="BF9F491D"/>
    <w:rsid w:val="BFED4189"/>
    <w:rsid w:val="C7F56A02"/>
    <w:rsid w:val="C7FFA564"/>
    <w:rsid w:val="CBF18834"/>
    <w:rsid w:val="D0D93AA4"/>
    <w:rsid w:val="DBFF5052"/>
    <w:rsid w:val="DFC765B0"/>
    <w:rsid w:val="DFFF5720"/>
    <w:rsid w:val="E577CE85"/>
    <w:rsid w:val="E7DF6F12"/>
    <w:rsid w:val="EEEAA07E"/>
    <w:rsid w:val="EEF78D54"/>
    <w:rsid w:val="F53E89D8"/>
    <w:rsid w:val="F67EB2C4"/>
    <w:rsid w:val="F7F3B88B"/>
    <w:rsid w:val="F7F62126"/>
    <w:rsid w:val="FBEC84B5"/>
    <w:rsid w:val="FEA2BCA4"/>
    <w:rsid w:val="FEDE5100"/>
    <w:rsid w:val="FEEB3293"/>
    <w:rsid w:val="FEF52448"/>
    <w:rsid w:val="FF3F99FC"/>
    <w:rsid w:val="FF5CD268"/>
    <w:rsid w:val="FFFB8D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qFormat/>
    <w:uiPriority w:val="0"/>
    <w:rPr>
      <w:rFonts w:ascii="宋体"/>
      <w:sz w:val="18"/>
      <w:szCs w:val="18"/>
    </w:r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Plain Text"/>
    <w:basedOn w:val="1"/>
    <w:qFormat/>
    <w:uiPriority w:val="0"/>
    <w:rPr>
      <w:rFonts w:ascii="宋体" w:hAnsi="Courier New"/>
    </w:rPr>
  </w:style>
  <w:style w:type="paragraph" w:styleId="6">
    <w:name w:val="Balloon Text"/>
    <w:basedOn w:val="1"/>
    <w:link w:val="17"/>
    <w:qFormat/>
    <w:uiPriority w:val="0"/>
    <w:rPr>
      <w:sz w:val="18"/>
      <w:szCs w:val="20"/>
    </w:rPr>
  </w:style>
  <w:style w:type="paragraph" w:styleId="7">
    <w:name w:val="footer"/>
    <w:basedOn w:val="1"/>
    <w:link w:val="18"/>
    <w:qFormat/>
    <w:uiPriority w:val="0"/>
    <w:pPr>
      <w:tabs>
        <w:tab w:val="center" w:pos="4153"/>
        <w:tab w:val="right" w:pos="8306"/>
      </w:tabs>
      <w:snapToGrid w:val="0"/>
      <w:jc w:val="left"/>
    </w:pPr>
    <w:rPr>
      <w:kern w:val="0"/>
      <w:sz w:val="28"/>
      <w:szCs w:val="20"/>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qFormat/>
    <w:uiPriority w:val="0"/>
    <w:pPr>
      <w:widowControl/>
      <w:spacing w:before="100" w:beforeAutospacing="1" w:after="200" w:line="276" w:lineRule="auto"/>
      <w:ind w:firstLine="150" w:firstLineChars="150"/>
      <w:jc w:val="left"/>
    </w:pPr>
    <w:rPr>
      <w:b/>
      <w:bCs/>
      <w:caps/>
      <w:kern w:val="0"/>
      <w:sz w:val="20"/>
      <w:szCs w:val="20"/>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Hyperlink"/>
    <w:qFormat/>
    <w:uiPriority w:val="0"/>
    <w:rPr>
      <w:rFonts w:cs="Times New Roman"/>
      <w:color w:val="0000FF"/>
      <w:u w:val="single"/>
    </w:rPr>
  </w:style>
  <w:style w:type="character" w:styleId="15">
    <w:name w:val="annotation reference"/>
    <w:basedOn w:val="13"/>
    <w:qFormat/>
    <w:uiPriority w:val="0"/>
    <w:rPr>
      <w:sz w:val="21"/>
      <w:szCs w:val="21"/>
    </w:rPr>
  </w:style>
  <w:style w:type="character" w:customStyle="1" w:styleId="16">
    <w:name w:val="文档结构图 Char"/>
    <w:link w:val="2"/>
    <w:qFormat/>
    <w:uiPriority w:val="0"/>
    <w:rPr>
      <w:rFonts w:ascii="宋体" w:cs="Times New Roman"/>
      <w:kern w:val="2"/>
      <w:sz w:val="18"/>
      <w:szCs w:val="18"/>
    </w:rPr>
  </w:style>
  <w:style w:type="character" w:customStyle="1" w:styleId="17">
    <w:name w:val="批注框文本 Char"/>
    <w:link w:val="6"/>
    <w:qFormat/>
    <w:uiPriority w:val="0"/>
    <w:rPr>
      <w:kern w:val="2"/>
      <w:sz w:val="18"/>
    </w:rPr>
  </w:style>
  <w:style w:type="character" w:customStyle="1" w:styleId="18">
    <w:name w:val="页脚 Char"/>
    <w:link w:val="7"/>
    <w:qFormat/>
    <w:uiPriority w:val="0"/>
    <w:rPr>
      <w:rFonts w:eastAsia="宋体"/>
      <w:sz w:val="28"/>
    </w:rPr>
  </w:style>
  <w:style w:type="character" w:customStyle="1" w:styleId="19">
    <w:name w:val="页眉 Char"/>
    <w:link w:val="8"/>
    <w:qFormat/>
    <w:uiPriority w:val="0"/>
    <w:rPr>
      <w:sz w:val="18"/>
      <w:szCs w:val="18"/>
    </w:rPr>
  </w:style>
  <w:style w:type="character" w:customStyle="1" w:styleId="20">
    <w:name w:val="页脚 Char1"/>
    <w:qFormat/>
    <w:uiPriority w:val="0"/>
    <w:rPr>
      <w:sz w:val="18"/>
    </w:rPr>
  </w:style>
  <w:style w:type="character" w:customStyle="1" w:styleId="21">
    <w:name w:val="font51"/>
    <w:qFormat/>
    <w:uiPriority w:val="0"/>
    <w:rPr>
      <w:rFonts w:ascii="宋体" w:hAnsi="宋体" w:eastAsia="宋体" w:cs="宋体"/>
      <w:color w:val="000000"/>
      <w:sz w:val="20"/>
      <w:szCs w:val="20"/>
      <w:u w:val="none"/>
    </w:rPr>
  </w:style>
  <w:style w:type="character" w:customStyle="1" w:styleId="22">
    <w:name w:val="font61"/>
    <w:qFormat/>
    <w:uiPriority w:val="0"/>
    <w:rPr>
      <w:rFonts w:ascii="Times New Roman" w:hAnsi="Times New Roman" w:cs="Times New Roman"/>
      <w:color w:val="000000"/>
      <w:sz w:val="20"/>
      <w:szCs w:val="20"/>
      <w:u w:val="none"/>
    </w:rPr>
  </w:style>
  <w:style w:type="character" w:customStyle="1" w:styleId="23">
    <w:name w:val="文一 Char Char"/>
    <w:link w:val="24"/>
    <w:qFormat/>
    <w:uiPriority w:val="0"/>
    <w:rPr>
      <w:rFonts w:eastAsia="宋体"/>
      <w:snapToGrid w:val="0"/>
      <w:spacing w:val="4"/>
      <w:sz w:val="24"/>
    </w:rPr>
  </w:style>
  <w:style w:type="paragraph" w:customStyle="1" w:styleId="24">
    <w:name w:val="文一"/>
    <w:basedOn w:val="1"/>
    <w:link w:val="23"/>
    <w:qFormat/>
    <w:uiPriority w:val="0"/>
    <w:pPr>
      <w:widowControl/>
      <w:topLinePunct/>
      <w:adjustRightInd w:val="0"/>
      <w:snapToGrid w:val="0"/>
      <w:spacing w:before="100" w:beforeAutospacing="1" w:after="200"/>
      <w:ind w:firstLine="200" w:firstLineChars="200"/>
      <w:jc w:val="left"/>
    </w:pPr>
    <w:rPr>
      <w:snapToGrid w:val="0"/>
      <w:spacing w:val="4"/>
      <w:kern w:val="0"/>
      <w:sz w:val="24"/>
      <w:szCs w:val="20"/>
    </w:rPr>
  </w:style>
  <w:style w:type="character" w:customStyle="1" w:styleId="25">
    <w:name w:val="页脚 Char Char"/>
    <w:qFormat/>
    <w:uiPriority w:val="0"/>
    <w:rPr>
      <w:sz w:val="18"/>
      <w:szCs w:val="18"/>
    </w:rPr>
  </w:style>
  <w:style w:type="paragraph" w:customStyle="1" w:styleId="26">
    <w:name w:val="真正文"/>
    <w:basedOn w:val="1"/>
    <w:qFormat/>
    <w:uiPriority w:val="0"/>
    <w:pPr>
      <w:widowControl/>
      <w:spacing w:before="156" w:beforeLines="50" w:after="156" w:afterLines="50"/>
      <w:ind w:firstLine="899" w:firstLineChars="200"/>
      <w:jc w:val="left"/>
    </w:pPr>
    <w:rPr>
      <w:kern w:val="0"/>
      <w:sz w:val="24"/>
      <w:szCs w:val="20"/>
    </w:rPr>
  </w:style>
  <w:style w:type="paragraph" w:customStyle="1" w:styleId="27">
    <w:name w:val="三、"/>
    <w:basedOn w:val="24"/>
    <w:next w:val="24"/>
    <w:qFormat/>
    <w:uiPriority w:val="0"/>
    <w:pPr>
      <w:spacing w:before="156" w:beforeLines="50" w:beforeAutospacing="0" w:after="156" w:afterLines="50"/>
      <w:ind w:firstLine="0" w:firstLineChars="0"/>
      <w:outlineLvl w:val="2"/>
    </w:pPr>
    <w:rPr>
      <w:rFonts w:ascii="黑体" w:hAnsi="黑体" w:eastAsia="黑体"/>
      <w:b/>
    </w:rPr>
  </w:style>
  <w:style w:type="paragraph" w:customStyle="1" w:styleId="28">
    <w:name w:val="WPSOffice手动目录 2"/>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29">
    <w:name w:val="封二"/>
    <w:basedOn w:val="24"/>
    <w:next w:val="24"/>
    <w:qFormat/>
    <w:uiPriority w:val="0"/>
    <w:pPr>
      <w:ind w:firstLine="0" w:firstLineChars="0"/>
      <w:jc w:val="center"/>
    </w:pPr>
    <w:rPr>
      <w:rFonts w:eastAsia="黑体"/>
      <w:b/>
      <w:sz w:val="36"/>
      <w:szCs w:val="36"/>
    </w:rPr>
  </w:style>
  <w:style w:type="paragraph" w:customStyle="1" w:styleId="30">
    <w:name w:val="4、"/>
    <w:basedOn w:val="24"/>
    <w:next w:val="26"/>
    <w:qFormat/>
    <w:uiPriority w:val="0"/>
    <w:pPr>
      <w:spacing w:before="156" w:beforeLines="50" w:beforeAutospacing="0" w:after="156" w:afterLines="50"/>
      <w:outlineLvl w:val="3"/>
    </w:pPr>
  </w:style>
  <w:style w:type="paragraph" w:customStyle="1" w:styleId="31">
    <w:name w:val="（5）"/>
    <w:basedOn w:val="30"/>
    <w:next w:val="26"/>
    <w:qFormat/>
    <w:uiPriority w:val="0"/>
    <w:pPr>
      <w:outlineLvl w:val="4"/>
    </w:pPr>
  </w:style>
  <w:style w:type="paragraph" w:customStyle="1" w:styleId="32">
    <w:name w:val="章节三"/>
    <w:basedOn w:val="24"/>
    <w:next w:val="24"/>
    <w:qFormat/>
    <w:uiPriority w:val="0"/>
    <w:pPr>
      <w:spacing w:before="156" w:beforeLines="50" w:after="156" w:afterLines="50"/>
      <w:ind w:firstLine="0" w:firstLineChars="0"/>
      <w:outlineLvl w:val="2"/>
    </w:pPr>
    <w:rPr>
      <w:rFonts w:ascii="黑体" w:hAnsi="宋体" w:eastAsia="黑体"/>
      <w:b/>
    </w:rPr>
  </w:style>
  <w:style w:type="paragraph" w:customStyle="1" w:styleId="33">
    <w:name w:val="章节二"/>
    <w:basedOn w:val="24"/>
    <w:next w:val="24"/>
    <w:qFormat/>
    <w:uiPriority w:val="0"/>
    <w:pPr>
      <w:spacing w:before="156" w:beforeLines="50" w:beforeAutospacing="0" w:after="156" w:afterLines="50"/>
      <w:ind w:firstLine="0" w:firstLineChars="0"/>
      <w:jc w:val="center"/>
      <w:outlineLvl w:val="1"/>
    </w:pPr>
    <w:rPr>
      <w:rFonts w:eastAsia="黑体"/>
      <w:b/>
      <w:sz w:val="30"/>
      <w:szCs w:val="30"/>
    </w:rPr>
  </w:style>
  <w:style w:type="paragraph" w:customStyle="1" w:styleId="34">
    <w:name w:val="第二节"/>
    <w:basedOn w:val="24"/>
    <w:next w:val="24"/>
    <w:qFormat/>
    <w:uiPriority w:val="0"/>
    <w:pPr>
      <w:spacing w:before="156" w:beforeLines="50" w:after="156" w:afterLines="50"/>
      <w:ind w:firstLine="0" w:firstLineChars="0"/>
      <w:jc w:val="center"/>
      <w:outlineLvl w:val="1"/>
    </w:pPr>
    <w:rPr>
      <w:rFonts w:eastAsia="黑体"/>
      <w:b/>
      <w:sz w:val="30"/>
      <w:szCs w:val="30"/>
    </w:rPr>
  </w:style>
  <w:style w:type="paragraph" w:customStyle="1" w:styleId="35">
    <w:name w:val="WPSOffice手动目录 3"/>
    <w:qFormat/>
    <w:uiPriority w:val="0"/>
    <w:pPr>
      <w:spacing w:line="360" w:lineRule="auto"/>
      <w:ind w:left="400" w:leftChars="400"/>
    </w:pPr>
    <w:rPr>
      <w:rFonts w:ascii="Times New Roman" w:hAnsi="Times New Roman" w:eastAsia="宋体" w:cs="Times New Roman"/>
      <w:lang w:val="en-US" w:eastAsia="zh-CN" w:bidi="ar-SA"/>
    </w:rPr>
  </w:style>
  <w:style w:type="paragraph" w:customStyle="1" w:styleId="36">
    <w:name w:val="封四"/>
    <w:basedOn w:val="24"/>
    <w:next w:val="24"/>
    <w:qFormat/>
    <w:uiPriority w:val="0"/>
    <w:rPr>
      <w:sz w:val="30"/>
      <w:szCs w:val="30"/>
    </w:rPr>
  </w:style>
  <w:style w:type="paragraph" w:customStyle="1" w:styleId="37">
    <w:name w:val="WPSOffice手动目录 1"/>
    <w:qFormat/>
    <w:uiPriority w:val="0"/>
    <w:pPr>
      <w:spacing w:line="360" w:lineRule="auto"/>
    </w:pPr>
    <w:rPr>
      <w:rFonts w:ascii="Times New Roman" w:hAnsi="Times New Roman" w:eastAsia="宋体" w:cs="Times New Roman"/>
      <w:lang w:val="en-US" w:eastAsia="zh-CN" w:bidi="ar-SA"/>
    </w:rPr>
  </w:style>
  <w:style w:type="paragraph" w:customStyle="1" w:styleId="38">
    <w:name w:val="第一部分"/>
    <w:basedOn w:val="24"/>
    <w:next w:val="24"/>
    <w:qFormat/>
    <w:uiPriority w:val="0"/>
    <w:pPr>
      <w:spacing w:before="156" w:beforeLines="50" w:after="156" w:afterLines="50"/>
      <w:ind w:firstLine="0" w:firstLineChars="0"/>
      <w:jc w:val="center"/>
      <w:outlineLvl w:val="0"/>
    </w:pPr>
    <w:rPr>
      <w:rFonts w:eastAsia="黑体"/>
      <w:b/>
      <w:sz w:val="36"/>
      <w:szCs w:val="36"/>
    </w:rPr>
  </w:style>
  <w:style w:type="paragraph" w:customStyle="1" w:styleId="39">
    <w:name w:val="p0"/>
    <w:basedOn w:val="1"/>
    <w:qFormat/>
    <w:uiPriority w:val="0"/>
    <w:pPr>
      <w:widowControl/>
      <w:jc w:val="left"/>
    </w:pPr>
    <w:rPr>
      <w:kern w:val="0"/>
      <w:szCs w:val="21"/>
    </w:rPr>
  </w:style>
  <w:style w:type="paragraph" w:customStyle="1" w:styleId="40">
    <w:name w:val="封一"/>
    <w:basedOn w:val="24"/>
    <w:next w:val="24"/>
    <w:qFormat/>
    <w:uiPriority w:val="0"/>
    <w:pPr>
      <w:ind w:firstLine="0" w:firstLineChars="0"/>
      <w:jc w:val="center"/>
    </w:pPr>
    <w:rPr>
      <w:rFonts w:eastAsia="黑体"/>
      <w:b/>
      <w:sz w:val="84"/>
      <w:szCs w:val="8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广州市重点公共建设项目管理中心</Company>
  <Pages>26</Pages>
  <Words>15113</Words>
  <Characters>15721</Characters>
  <Lines>1</Lines>
  <Paragraphs>1</Paragraphs>
  <TotalTime>5</TotalTime>
  <ScaleCrop>false</ScaleCrop>
  <LinksUpToDate>false</LinksUpToDate>
  <CharactersWithSpaces>15804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2023-06-01T23:35:00Z</dcterms:created>
  <dc:creator>造价审核部</dc:creator>
  <cp:lastModifiedBy>A</cp:lastModifiedBy>
  <cp:lastPrinted>2020-08-27T18:45:00Z</cp:lastPrinted>
  <dcterms:modified xsi:type="dcterms:W3CDTF">2025-06-13T02:33:28Z</dcterms:modified>
  <dc:title>工程量清单计价补充说明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43812CCBCE1748B9957D349C2841A436_13</vt:lpwstr>
  </property>
  <property fmtid="{D5CDD505-2E9C-101B-9397-08002B2CF9AE}" pid="4" name="KSOTemplateDocerSaveRecord">
    <vt:lpwstr>eyJoZGlkIjoiMmFmNjNlY2Y0NzdiMTI3YWIwZjIwMDZhZjg0NmFmMjEiLCJ1c2VySWQiOiI0MTA1NDcwMTYifQ==</vt:lpwstr>
  </property>
</Properties>
</file>