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240" w:lineRule="atLeast"/>
        <w:jc w:val="center"/>
        <w:rPr>
          <w:color w:val="auto"/>
        </w:rPr>
      </w:pPr>
      <w:bookmarkStart w:id="0" w:name="_Toc510172705"/>
      <w:bookmarkStart w:id="1" w:name="_Toc501257053"/>
      <w:bookmarkStart w:id="2" w:name="_Toc509959059"/>
      <w:bookmarkStart w:id="3" w:name="_Toc510089792"/>
      <w:bookmarkStart w:id="4" w:name="_Toc509962300"/>
      <w:bookmarkStart w:id="5" w:name="_Toc234832863"/>
      <w:bookmarkStart w:id="6" w:name="_Hlk66709490"/>
      <w:r>
        <w:rPr>
          <w:rFonts w:eastAsia="黑体"/>
          <w:color w:val="auto"/>
          <w:sz w:val="28"/>
          <w:szCs w:val="28"/>
        </w:rPr>
        <w:t>附录1  资格审查条件（资质最低要求）</w:t>
      </w:r>
      <w:bookmarkEnd w:id="0"/>
      <w:bookmarkEnd w:id="1"/>
      <w:bookmarkEnd w:id="2"/>
      <w:bookmarkEnd w:id="3"/>
      <w:bookmarkEnd w:id="4"/>
      <w:bookmarkEnd w:id="5"/>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color w:val="auto"/>
                <w:szCs w:val="21"/>
              </w:rPr>
            </w:pPr>
            <w:r>
              <w:rPr>
                <w:color w:val="auto"/>
                <w:szCs w:val="21"/>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708" w:type="dxa"/>
            <w:noWrap w:val="0"/>
            <w:vAlign w:val="center"/>
          </w:tcPr>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numPr>
                <w:ilvl w:val="0"/>
                <w:numId w:val="1"/>
              </w:numPr>
              <w:adjustRightInd w:val="0"/>
              <w:snapToGrid w:val="0"/>
              <w:spacing w:line="400" w:lineRule="atLeast"/>
              <w:ind w:firstLine="480"/>
              <w:rPr>
                <w:color w:val="auto"/>
                <w:sz w:val="24"/>
              </w:rPr>
            </w:pPr>
            <w:r>
              <w:rPr>
                <w:color w:val="auto"/>
                <w:sz w:val="24"/>
              </w:rPr>
              <w:t>中华人民共和国国内注册成立的独立企业法人。</w:t>
            </w:r>
          </w:p>
          <w:p>
            <w:pPr>
              <w:adjustRightInd w:val="0"/>
              <w:snapToGrid w:val="0"/>
              <w:spacing w:line="400" w:lineRule="atLeast"/>
              <w:rPr>
                <w:color w:val="auto"/>
                <w:sz w:val="24"/>
              </w:rPr>
            </w:pPr>
          </w:p>
          <w:p>
            <w:pPr>
              <w:numPr>
                <w:ilvl w:val="0"/>
                <w:numId w:val="1"/>
              </w:numPr>
              <w:adjustRightInd w:val="0"/>
              <w:snapToGrid w:val="0"/>
              <w:spacing w:line="400" w:lineRule="atLeast"/>
              <w:ind w:firstLine="480"/>
              <w:rPr>
                <w:rFonts w:hint="eastAsia"/>
                <w:color w:val="auto"/>
                <w:sz w:val="24"/>
              </w:rPr>
            </w:pPr>
            <w:r>
              <w:rPr>
                <w:rFonts w:hint="eastAsia" w:ascii="宋体" w:hAnsi="宋体" w:cs="宋体"/>
                <w:color w:val="auto"/>
                <w:kern w:val="0"/>
                <w:sz w:val="24"/>
              </w:rPr>
              <w:t>同时</w:t>
            </w:r>
            <w:r>
              <w:rPr>
                <w:rFonts w:ascii="宋体" w:hAnsi="宋体" w:cs="宋体"/>
                <w:color w:val="auto"/>
                <w:kern w:val="0"/>
                <w:sz w:val="24"/>
              </w:rPr>
              <w:t>具备建设行政主管部门核发的</w:t>
            </w:r>
            <w:r>
              <w:rPr>
                <w:rFonts w:hint="eastAsia" w:ascii="宋体" w:hAnsi="宋体" w:cs="宋体"/>
                <w:color w:val="auto"/>
                <w:kern w:val="0"/>
                <w:sz w:val="24"/>
              </w:rPr>
              <w:t>公路工程施工总承包三级（或以上）资质</w:t>
            </w:r>
            <w:r>
              <w:rPr>
                <w:rFonts w:hint="eastAsia"/>
                <w:color w:val="auto"/>
                <w:sz w:val="24"/>
              </w:rPr>
              <w:t>。</w:t>
            </w:r>
          </w:p>
          <w:p>
            <w:pPr>
              <w:adjustRightInd w:val="0"/>
              <w:snapToGrid w:val="0"/>
              <w:spacing w:line="400" w:lineRule="atLeast"/>
              <w:ind w:left="420" w:leftChars="200"/>
              <w:rPr>
                <w:rFonts w:hint="eastAsia"/>
                <w:color w:val="auto"/>
                <w:sz w:val="24"/>
              </w:rPr>
            </w:pPr>
          </w:p>
          <w:p>
            <w:pPr>
              <w:adjustRightInd w:val="0"/>
              <w:snapToGrid w:val="0"/>
              <w:spacing w:line="400" w:lineRule="atLeast"/>
              <w:ind w:firstLine="480" w:firstLineChars="200"/>
              <w:rPr>
                <w:color w:val="auto"/>
                <w:szCs w:val="21"/>
              </w:rPr>
            </w:pPr>
            <w:r>
              <w:rPr>
                <w:color w:val="auto"/>
                <w:sz w:val="24"/>
              </w:rPr>
              <w:t>3、具有有效的安全生产许可证。</w:t>
            </w: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tc>
      </w:tr>
    </w:tbl>
    <w:p>
      <w:pPr>
        <w:adjustRightInd w:val="0"/>
        <w:snapToGrid w:val="0"/>
        <w:spacing w:line="300" w:lineRule="exact"/>
        <w:rPr>
          <w:rFonts w:eastAsia="隶书"/>
          <w:b/>
          <w:color w:val="auto"/>
          <w:sz w:val="32"/>
        </w:rPr>
      </w:pPr>
    </w:p>
    <w:p>
      <w:pPr>
        <w:adjustRightInd w:val="0"/>
        <w:snapToGrid w:val="0"/>
        <w:spacing w:line="300" w:lineRule="exact"/>
        <w:rPr>
          <w:rFonts w:eastAsia="隶书"/>
          <w:b/>
          <w:color w:val="auto"/>
          <w:sz w:val="32"/>
        </w:rPr>
      </w:pPr>
    </w:p>
    <w:p>
      <w:pPr>
        <w:pStyle w:val="2"/>
        <w:spacing w:before="240" w:after="240" w:line="240" w:lineRule="atLeast"/>
        <w:jc w:val="center"/>
        <w:rPr>
          <w:rFonts w:eastAsia="黑体"/>
          <w:color w:val="auto"/>
          <w:sz w:val="28"/>
          <w:szCs w:val="28"/>
        </w:rPr>
      </w:pPr>
      <w:bookmarkStart w:id="7" w:name="_Toc501257054"/>
      <w:bookmarkStart w:id="8" w:name="_Toc509962301"/>
      <w:bookmarkStart w:id="9" w:name="_Toc510089793"/>
      <w:bookmarkStart w:id="10" w:name="_Toc234832864"/>
      <w:bookmarkStart w:id="11" w:name="_Toc509959060"/>
      <w:bookmarkStart w:id="12" w:name="_Toc510172706"/>
      <w:r>
        <w:rPr>
          <w:rFonts w:eastAsia="黑体"/>
          <w:color w:val="auto"/>
          <w:sz w:val="28"/>
          <w:szCs w:val="28"/>
        </w:rPr>
        <w:t>附录2  资格审查条件（财务最低要求）</w:t>
      </w:r>
      <w:bookmarkEnd w:id="7"/>
      <w:bookmarkEnd w:id="8"/>
      <w:bookmarkEnd w:id="9"/>
      <w:bookmarkEnd w:id="10"/>
      <w:bookmarkEnd w:id="11"/>
      <w:bookmarkEnd w:id="1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806" w:type="dxa"/>
            <w:noWrap w:val="0"/>
            <w:vAlign w:val="center"/>
          </w:tcPr>
          <w:p>
            <w:pPr>
              <w:adjustRightInd w:val="0"/>
              <w:snapToGrid w:val="0"/>
              <w:spacing w:line="400" w:lineRule="atLeast"/>
              <w:jc w:val="center"/>
              <w:rPr>
                <w:color w:val="auto"/>
                <w:szCs w:val="21"/>
              </w:rPr>
            </w:pPr>
            <w:r>
              <w:rPr>
                <w:color w:val="auto"/>
                <w:szCs w:val="21"/>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0" w:hRule="atLeast"/>
          <w:jc w:val="center"/>
        </w:trPr>
        <w:tc>
          <w:tcPr>
            <w:tcW w:w="8806" w:type="dxa"/>
            <w:noWrap w:val="0"/>
            <w:vAlign w:val="center"/>
          </w:tcPr>
          <w:p>
            <w:pPr>
              <w:adjustRightInd w:val="0"/>
              <w:snapToGrid w:val="0"/>
              <w:spacing w:line="400" w:lineRule="atLeast"/>
              <w:jc w:val="center"/>
              <w:rPr>
                <w:color w:val="auto"/>
                <w:szCs w:val="21"/>
              </w:rPr>
            </w:pPr>
          </w:p>
          <w:p>
            <w:pPr>
              <w:adjustRightInd w:val="0"/>
              <w:snapToGrid w:val="0"/>
              <w:spacing w:line="400" w:lineRule="atLeast"/>
              <w:rPr>
                <w:color w:val="auto"/>
                <w:sz w:val="24"/>
              </w:rPr>
            </w:pPr>
          </w:p>
          <w:p>
            <w:pPr>
              <w:adjustRightInd w:val="0"/>
              <w:snapToGrid w:val="0"/>
              <w:spacing w:line="400" w:lineRule="atLeast"/>
              <w:rPr>
                <w:color w:val="auto"/>
                <w:sz w:val="24"/>
              </w:rPr>
            </w:pPr>
          </w:p>
          <w:p>
            <w:pPr>
              <w:adjustRightInd w:val="0"/>
              <w:snapToGrid w:val="0"/>
              <w:spacing w:line="400" w:lineRule="atLeast"/>
              <w:rPr>
                <w:color w:val="auto"/>
                <w:sz w:val="24"/>
              </w:rPr>
            </w:pPr>
          </w:p>
          <w:p>
            <w:pPr>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rPr>
            </w:pPr>
            <w:r>
              <w:rPr>
                <w:rFonts w:hint="eastAsia"/>
                <w:color w:val="auto"/>
                <w:sz w:val="24"/>
              </w:rPr>
              <w:t>1、近一年（20</w:t>
            </w:r>
            <w:r>
              <w:rPr>
                <w:color w:val="auto"/>
                <w:sz w:val="24"/>
              </w:rPr>
              <w:t>2</w:t>
            </w:r>
            <w:r>
              <w:rPr>
                <w:rFonts w:hint="eastAsia"/>
                <w:color w:val="auto"/>
                <w:sz w:val="24"/>
                <w:lang w:val="en-US" w:eastAsia="zh-CN"/>
              </w:rPr>
              <w:t>1</w:t>
            </w:r>
            <w:r>
              <w:rPr>
                <w:rFonts w:hint="eastAsia"/>
                <w:color w:val="auto"/>
                <w:sz w:val="24"/>
              </w:rPr>
              <w:t>年），营运资金（流动资产－流动负债）不少于</w:t>
            </w:r>
            <w:r>
              <w:rPr>
                <w:rFonts w:hint="eastAsia"/>
                <w:color w:val="auto"/>
                <w:sz w:val="24"/>
                <w:lang w:val="en-US" w:eastAsia="zh-CN"/>
              </w:rPr>
              <w:t>1000</w:t>
            </w:r>
            <w:r>
              <w:rPr>
                <w:rFonts w:hint="eastAsia"/>
                <w:color w:val="auto"/>
                <w:sz w:val="24"/>
              </w:rPr>
              <w:t>万元人民币；</w:t>
            </w:r>
          </w:p>
          <w:p>
            <w:pPr>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rPr>
            </w:pPr>
            <w:r>
              <w:rPr>
                <w:rFonts w:hint="eastAsia"/>
                <w:color w:val="auto"/>
                <w:sz w:val="24"/>
              </w:rPr>
              <w:t>2、最近三个年度（201</w:t>
            </w:r>
            <w:r>
              <w:rPr>
                <w:rFonts w:hint="eastAsia"/>
                <w:color w:val="auto"/>
                <w:sz w:val="24"/>
                <w:lang w:val="en-US" w:eastAsia="zh-CN"/>
              </w:rPr>
              <w:t>9</w:t>
            </w:r>
            <w:r>
              <w:rPr>
                <w:rFonts w:hint="eastAsia"/>
                <w:color w:val="auto"/>
                <w:sz w:val="24"/>
              </w:rPr>
              <w:t>年至20</w:t>
            </w:r>
            <w:r>
              <w:rPr>
                <w:color w:val="auto"/>
                <w:sz w:val="24"/>
              </w:rPr>
              <w:t>2</w:t>
            </w:r>
            <w:r>
              <w:rPr>
                <w:rFonts w:hint="eastAsia"/>
                <w:color w:val="auto"/>
                <w:sz w:val="24"/>
                <w:lang w:val="en-US" w:eastAsia="zh-CN"/>
              </w:rPr>
              <w:t>1</w:t>
            </w:r>
            <w:r>
              <w:rPr>
                <w:rFonts w:hint="eastAsia"/>
                <w:color w:val="auto"/>
                <w:sz w:val="24"/>
              </w:rPr>
              <w:t>年）的平均营业总收入不少于</w:t>
            </w:r>
            <w:r>
              <w:rPr>
                <w:rFonts w:hint="eastAsia"/>
                <w:color w:val="auto"/>
                <w:sz w:val="24"/>
                <w:lang w:val="en-US" w:eastAsia="zh-CN"/>
              </w:rPr>
              <w:t>3000</w:t>
            </w:r>
            <w:r>
              <w:rPr>
                <w:rFonts w:hint="eastAsia"/>
                <w:color w:val="auto"/>
                <w:sz w:val="24"/>
              </w:rPr>
              <w:t>万元人民币；</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sz w:val="24"/>
              </w:rPr>
            </w:pPr>
            <w:r>
              <w:rPr>
                <w:rFonts w:hint="eastAsia"/>
                <w:color w:val="auto"/>
                <w:sz w:val="24"/>
              </w:rPr>
              <w:t>3、最近三个年度（201</w:t>
            </w:r>
            <w:r>
              <w:rPr>
                <w:rFonts w:hint="eastAsia"/>
                <w:color w:val="auto"/>
                <w:sz w:val="24"/>
                <w:lang w:val="en-US" w:eastAsia="zh-CN"/>
              </w:rPr>
              <w:t>9</w:t>
            </w:r>
            <w:r>
              <w:rPr>
                <w:rFonts w:hint="eastAsia"/>
                <w:color w:val="auto"/>
                <w:sz w:val="24"/>
              </w:rPr>
              <w:t>年至202</w:t>
            </w:r>
            <w:r>
              <w:rPr>
                <w:rFonts w:hint="eastAsia"/>
                <w:color w:val="auto"/>
                <w:sz w:val="24"/>
                <w:lang w:val="en-US" w:eastAsia="zh-CN"/>
              </w:rPr>
              <w:t>1</w:t>
            </w:r>
            <w:r>
              <w:rPr>
                <w:rFonts w:hint="eastAsia"/>
                <w:color w:val="auto"/>
                <w:sz w:val="24"/>
              </w:rPr>
              <w:t>年）每年均盈利（若投标人成立不足三年的，则每年盈利）；</w:t>
            </w:r>
          </w:p>
          <w:p>
            <w:pPr>
              <w:adjustRightInd w:val="0"/>
              <w:snapToGrid w:val="0"/>
              <w:spacing w:line="400" w:lineRule="atLeast"/>
              <w:jc w:val="both"/>
              <w:rPr>
                <w:color w:val="auto"/>
                <w:szCs w:val="21"/>
              </w:rPr>
            </w:pPr>
            <w:r>
              <w:rPr>
                <w:rFonts w:hint="eastAsia"/>
                <w:b w:val="0"/>
                <w:bCs w:val="0"/>
                <w:color w:val="auto"/>
                <w:sz w:val="24"/>
              </w:rPr>
              <w:t>4、近一年（202</w:t>
            </w:r>
            <w:r>
              <w:rPr>
                <w:rFonts w:hint="eastAsia"/>
                <w:b w:val="0"/>
                <w:bCs w:val="0"/>
                <w:color w:val="auto"/>
                <w:sz w:val="24"/>
                <w:lang w:val="en-US" w:eastAsia="zh-CN"/>
              </w:rPr>
              <w:t>1</w:t>
            </w:r>
            <w:r>
              <w:rPr>
                <w:rFonts w:hint="eastAsia"/>
                <w:b w:val="0"/>
                <w:bCs w:val="0"/>
                <w:color w:val="auto"/>
                <w:sz w:val="24"/>
              </w:rPr>
              <w:t>年），资产负债率小于</w:t>
            </w:r>
            <w:r>
              <w:rPr>
                <w:rFonts w:hint="eastAsia"/>
                <w:b w:val="0"/>
                <w:bCs w:val="0"/>
                <w:color w:val="auto"/>
                <w:sz w:val="24"/>
                <w:lang w:val="en-US" w:eastAsia="zh-CN"/>
              </w:rPr>
              <w:t>50</w:t>
            </w:r>
            <w:r>
              <w:rPr>
                <w:rFonts w:hint="eastAsia"/>
                <w:b w:val="0"/>
                <w:bCs w:val="0"/>
                <w:color w:val="auto"/>
                <w:sz w:val="24"/>
              </w:rPr>
              <w:t>%。</w:t>
            </w: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pStyle w:val="2"/>
              <w:adjustRightInd w:val="0"/>
              <w:snapToGrid w:val="0"/>
              <w:spacing w:before="240" w:after="240" w:line="400" w:lineRule="exact"/>
              <w:rPr>
                <w:b w:val="0"/>
                <w:color w:val="auto"/>
                <w:sz w:val="21"/>
                <w:szCs w:val="21"/>
              </w:rPr>
            </w:pPr>
          </w:p>
        </w:tc>
      </w:tr>
    </w:tbl>
    <w:p>
      <w:pPr>
        <w:pStyle w:val="2"/>
        <w:spacing w:before="240" w:after="240" w:line="240" w:lineRule="atLeast"/>
        <w:jc w:val="left"/>
        <w:rPr>
          <w:b w:val="0"/>
          <w:bCs w:val="0"/>
          <w:color w:val="auto"/>
          <w:kern w:val="2"/>
          <w:sz w:val="21"/>
          <w:szCs w:val="21"/>
        </w:rPr>
      </w:pPr>
      <w:bookmarkStart w:id="13" w:name="_Toc501257055"/>
      <w:bookmarkStart w:id="14" w:name="_Toc509959061"/>
      <w:bookmarkStart w:id="15" w:name="_Toc234832865"/>
      <w:bookmarkStart w:id="16" w:name="_Toc510089794"/>
      <w:bookmarkStart w:id="17" w:name="_Toc509962302"/>
      <w:bookmarkStart w:id="18" w:name="_Toc510172707"/>
      <w:r>
        <w:rPr>
          <w:rFonts w:hint="eastAsia"/>
          <w:b w:val="0"/>
          <w:bCs w:val="0"/>
          <w:color w:val="auto"/>
          <w:kern w:val="2"/>
          <w:sz w:val="21"/>
          <w:szCs w:val="21"/>
        </w:rPr>
        <w:t>注：1、如投标人成立不足三年的，则财务信息以成立后的计算，比如投标人只有20</w:t>
      </w:r>
      <w:r>
        <w:rPr>
          <w:rFonts w:hint="eastAsia"/>
          <w:b w:val="0"/>
          <w:bCs w:val="0"/>
          <w:color w:val="auto"/>
          <w:kern w:val="2"/>
          <w:sz w:val="21"/>
          <w:szCs w:val="21"/>
          <w:lang w:val="en-US" w:eastAsia="zh-CN"/>
        </w:rPr>
        <w:t>20</w:t>
      </w:r>
      <w:r>
        <w:rPr>
          <w:rFonts w:hint="eastAsia"/>
          <w:b w:val="0"/>
          <w:bCs w:val="0"/>
          <w:color w:val="auto"/>
          <w:kern w:val="2"/>
          <w:sz w:val="21"/>
          <w:szCs w:val="21"/>
        </w:rPr>
        <w:t>年和20</w:t>
      </w:r>
      <w:r>
        <w:rPr>
          <w:rFonts w:hint="eastAsia"/>
          <w:b w:val="0"/>
          <w:bCs w:val="0"/>
          <w:color w:val="auto"/>
          <w:kern w:val="2"/>
          <w:sz w:val="21"/>
          <w:szCs w:val="21"/>
          <w:lang w:val="en-US" w:eastAsia="zh-CN"/>
        </w:rPr>
        <w:t>21</w:t>
      </w:r>
      <w:r>
        <w:rPr>
          <w:rFonts w:hint="eastAsia"/>
          <w:b w:val="0"/>
          <w:bCs w:val="0"/>
          <w:color w:val="auto"/>
          <w:kern w:val="2"/>
          <w:sz w:val="21"/>
          <w:szCs w:val="21"/>
        </w:rPr>
        <w:t xml:space="preserve"> 年财务信息，则平均营业总收入按20</w:t>
      </w:r>
      <w:r>
        <w:rPr>
          <w:rFonts w:hint="eastAsia"/>
          <w:b w:val="0"/>
          <w:bCs w:val="0"/>
          <w:color w:val="auto"/>
          <w:kern w:val="2"/>
          <w:sz w:val="21"/>
          <w:szCs w:val="21"/>
          <w:lang w:val="en-US" w:eastAsia="zh-CN"/>
        </w:rPr>
        <w:t>20</w:t>
      </w:r>
      <w:r>
        <w:rPr>
          <w:rFonts w:hint="eastAsia"/>
          <w:b w:val="0"/>
          <w:bCs w:val="0"/>
          <w:color w:val="auto"/>
          <w:kern w:val="2"/>
          <w:sz w:val="21"/>
          <w:szCs w:val="21"/>
        </w:rPr>
        <w:t>年和20</w:t>
      </w:r>
      <w:r>
        <w:rPr>
          <w:rFonts w:hint="eastAsia"/>
          <w:b w:val="0"/>
          <w:bCs w:val="0"/>
          <w:color w:val="auto"/>
          <w:kern w:val="2"/>
          <w:sz w:val="21"/>
          <w:szCs w:val="21"/>
          <w:lang w:val="en-US" w:eastAsia="zh-CN"/>
        </w:rPr>
        <w:t>21</w:t>
      </w:r>
      <w:r>
        <w:rPr>
          <w:rFonts w:hint="eastAsia"/>
          <w:b w:val="0"/>
          <w:bCs w:val="0"/>
          <w:color w:val="auto"/>
          <w:kern w:val="2"/>
          <w:sz w:val="21"/>
          <w:szCs w:val="21"/>
        </w:rPr>
        <w:t>年的营业总收入的平均值，盈利以20</w:t>
      </w:r>
      <w:r>
        <w:rPr>
          <w:rFonts w:hint="eastAsia"/>
          <w:b w:val="0"/>
          <w:bCs w:val="0"/>
          <w:color w:val="auto"/>
          <w:kern w:val="2"/>
          <w:sz w:val="21"/>
          <w:szCs w:val="21"/>
          <w:lang w:val="en-US" w:eastAsia="zh-CN"/>
        </w:rPr>
        <w:t>20</w:t>
      </w:r>
      <w:r>
        <w:rPr>
          <w:rFonts w:hint="eastAsia"/>
          <w:b w:val="0"/>
          <w:bCs w:val="0"/>
          <w:color w:val="auto"/>
          <w:kern w:val="2"/>
          <w:sz w:val="21"/>
          <w:szCs w:val="21"/>
        </w:rPr>
        <w:t>年和20</w:t>
      </w:r>
      <w:r>
        <w:rPr>
          <w:rFonts w:hint="eastAsia"/>
          <w:b w:val="0"/>
          <w:bCs w:val="0"/>
          <w:color w:val="auto"/>
          <w:kern w:val="2"/>
          <w:sz w:val="21"/>
          <w:szCs w:val="21"/>
          <w:lang w:val="en-US" w:eastAsia="zh-CN"/>
        </w:rPr>
        <w:t>21</w:t>
      </w:r>
      <w:r>
        <w:rPr>
          <w:rFonts w:hint="eastAsia"/>
          <w:b w:val="0"/>
          <w:bCs w:val="0"/>
          <w:color w:val="auto"/>
          <w:kern w:val="2"/>
          <w:sz w:val="21"/>
          <w:szCs w:val="21"/>
        </w:rPr>
        <w:t xml:space="preserve"> 年是否盈利计算。</w:t>
      </w:r>
    </w:p>
    <w:p>
      <w:pPr>
        <w:rPr>
          <w:rFonts w:hint="eastAsia"/>
          <w:color w:val="auto"/>
        </w:rPr>
      </w:pPr>
    </w:p>
    <w:p>
      <w:pPr>
        <w:pStyle w:val="2"/>
        <w:spacing w:before="240" w:after="240" w:line="240" w:lineRule="atLeast"/>
        <w:jc w:val="center"/>
        <w:rPr>
          <w:rFonts w:eastAsia="黑体"/>
          <w:color w:val="auto"/>
          <w:sz w:val="28"/>
          <w:szCs w:val="28"/>
        </w:rPr>
      </w:pPr>
    </w:p>
    <w:p>
      <w:pPr>
        <w:pStyle w:val="2"/>
        <w:spacing w:before="240" w:after="240" w:line="240" w:lineRule="atLeast"/>
        <w:jc w:val="center"/>
        <w:rPr>
          <w:rFonts w:hint="eastAsia" w:eastAsia="黑体"/>
          <w:color w:val="auto"/>
          <w:sz w:val="28"/>
          <w:szCs w:val="28"/>
        </w:rPr>
      </w:pPr>
    </w:p>
    <w:p>
      <w:pPr>
        <w:rPr>
          <w:rFonts w:hint="eastAsia"/>
          <w:color w:val="auto"/>
        </w:rPr>
      </w:pPr>
    </w:p>
    <w:p>
      <w:pPr>
        <w:rPr>
          <w:rFonts w:hint="eastAsia"/>
          <w:color w:val="auto"/>
        </w:rPr>
      </w:pPr>
    </w:p>
    <w:p>
      <w:pPr>
        <w:pStyle w:val="2"/>
        <w:spacing w:before="240" w:after="240" w:line="240" w:lineRule="atLeast"/>
        <w:jc w:val="center"/>
        <w:rPr>
          <w:rFonts w:eastAsia="黑体"/>
          <w:color w:val="auto"/>
          <w:sz w:val="28"/>
          <w:szCs w:val="28"/>
        </w:rPr>
      </w:pPr>
      <w:r>
        <w:rPr>
          <w:rFonts w:eastAsia="黑体"/>
          <w:color w:val="auto"/>
          <w:sz w:val="28"/>
          <w:szCs w:val="28"/>
        </w:rPr>
        <w:t>附录3  资格审查条件（业绩最低要求）</w:t>
      </w:r>
      <w:bookmarkEnd w:id="13"/>
      <w:bookmarkEnd w:id="14"/>
      <w:bookmarkEnd w:id="15"/>
      <w:bookmarkEnd w:id="16"/>
      <w:bookmarkEnd w:id="17"/>
      <w:bookmarkEnd w:id="1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color w:val="auto"/>
                <w:szCs w:val="21"/>
              </w:rPr>
            </w:pPr>
            <w:r>
              <w:rPr>
                <w:color w:val="auto"/>
                <w:szCs w:val="21"/>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2" w:hRule="atLeast"/>
          <w:jc w:val="center"/>
        </w:trPr>
        <w:tc>
          <w:tcPr>
            <w:tcW w:w="8708" w:type="dxa"/>
            <w:noWrap w:val="0"/>
            <w:vAlign w:val="center"/>
          </w:tcPr>
          <w:p>
            <w:pPr>
              <w:adjustRightInd w:val="0"/>
              <w:snapToGrid w:val="0"/>
              <w:spacing w:line="400" w:lineRule="atLeast"/>
              <w:ind w:firstLine="360" w:firstLineChars="150"/>
              <w:rPr>
                <w:color w:val="auto"/>
                <w:sz w:val="24"/>
              </w:rPr>
            </w:pPr>
            <w:r>
              <w:rPr>
                <w:rFonts w:hint="eastAsia"/>
                <w:color w:val="auto"/>
                <w:sz w:val="24"/>
              </w:rPr>
              <w:t>近五年内（2017年</w:t>
            </w:r>
            <w:r>
              <w:rPr>
                <w:rFonts w:hint="eastAsia"/>
                <w:color w:val="auto"/>
                <w:sz w:val="24"/>
                <w:lang w:val="en-US" w:eastAsia="zh-CN"/>
              </w:rPr>
              <w:t>10</w:t>
            </w:r>
            <w:r>
              <w:rPr>
                <w:rFonts w:hint="eastAsia"/>
                <w:color w:val="auto"/>
                <w:sz w:val="24"/>
              </w:rPr>
              <w:t>月1日至投标截止日）</w:t>
            </w:r>
            <w:r>
              <w:rPr>
                <w:rFonts w:hint="eastAsia"/>
                <w:color w:val="auto"/>
                <w:sz w:val="24"/>
                <w:lang w:eastAsia="zh-CN"/>
              </w:rPr>
              <w:t>独立</w:t>
            </w:r>
            <w:r>
              <w:rPr>
                <w:rFonts w:hint="eastAsia"/>
                <w:color w:val="auto"/>
                <w:sz w:val="24"/>
              </w:rPr>
              <w:t>成功完成过</w:t>
            </w:r>
            <w:r>
              <w:rPr>
                <w:rFonts w:hint="eastAsia"/>
                <w:color w:val="auto"/>
                <w:sz w:val="24"/>
                <w:lang w:eastAsia="zh-CN"/>
              </w:rPr>
              <w:t>一项</w:t>
            </w:r>
            <w:r>
              <w:rPr>
                <w:rFonts w:hint="eastAsia"/>
                <w:color w:val="auto"/>
                <w:sz w:val="24"/>
              </w:rPr>
              <w:t>四级公路或以上的</w:t>
            </w:r>
            <w:r>
              <w:rPr>
                <w:rFonts w:hint="eastAsia"/>
                <w:color w:val="auto"/>
                <w:sz w:val="24"/>
                <w:lang w:eastAsia="zh-CN"/>
              </w:rPr>
              <w:t>公路</w:t>
            </w:r>
            <w:r>
              <w:rPr>
                <w:rFonts w:hint="eastAsia"/>
                <w:color w:val="auto"/>
                <w:sz w:val="24"/>
              </w:rPr>
              <w:t>路面施工业绩</w:t>
            </w:r>
            <w:r>
              <w:rPr>
                <w:rFonts w:hint="eastAsia"/>
                <w:color w:val="auto"/>
                <w:sz w:val="24"/>
                <w:lang w:eastAsia="zh-CN"/>
              </w:rPr>
              <w:t>，</w:t>
            </w:r>
            <w:r>
              <w:rPr>
                <w:rFonts w:hint="eastAsia"/>
                <w:color w:val="auto"/>
                <w:sz w:val="24"/>
              </w:rPr>
              <w:t>施工内容须同时包含</w:t>
            </w:r>
            <w:r>
              <w:rPr>
                <w:rFonts w:hint="eastAsia"/>
                <w:color w:val="auto"/>
                <w:sz w:val="24"/>
                <w:lang w:eastAsia="zh-CN"/>
              </w:rPr>
              <w:t>混凝土</w:t>
            </w:r>
            <w:r>
              <w:rPr>
                <w:rFonts w:hint="eastAsia"/>
                <w:color w:val="auto"/>
                <w:sz w:val="24"/>
              </w:rPr>
              <w:t>挡土墙、</w:t>
            </w:r>
            <w:r>
              <w:rPr>
                <w:rFonts w:hint="eastAsia"/>
                <w:color w:val="auto"/>
                <w:sz w:val="24"/>
                <w:lang w:eastAsia="zh-CN"/>
              </w:rPr>
              <w:t>水泥混凝土路面、圆管涵、平面交叉工程等</w:t>
            </w:r>
            <w:r>
              <w:rPr>
                <w:rFonts w:hint="eastAsia"/>
                <w:color w:val="auto"/>
                <w:sz w:val="24"/>
              </w:rPr>
              <w:t>。</w:t>
            </w:r>
          </w:p>
        </w:tc>
      </w:tr>
    </w:tbl>
    <w:p>
      <w:pPr>
        <w:adjustRightInd w:val="0"/>
        <w:snapToGrid w:val="0"/>
        <w:spacing w:line="300" w:lineRule="exact"/>
        <w:rPr>
          <w:rFonts w:hint="eastAsia" w:ascii="宋体" w:hAnsi="宋体" w:eastAsia="宋体" w:cs="宋体"/>
          <w:color w:val="auto"/>
          <w:szCs w:val="21"/>
        </w:rPr>
      </w:pPr>
      <w:bookmarkStart w:id="19" w:name="_Toc509959062"/>
      <w:bookmarkStart w:id="20" w:name="_Toc501257056"/>
      <w:bookmarkStart w:id="21" w:name="_Toc509962303"/>
      <w:bookmarkStart w:id="22" w:name="_Toc234832866"/>
      <w:bookmarkStart w:id="23" w:name="_Toc510172708"/>
      <w:bookmarkStart w:id="24" w:name="_Toc510089795"/>
      <w:r>
        <w:rPr>
          <w:rFonts w:hint="eastAsia" w:ascii="宋体" w:hAnsi="宋体" w:eastAsia="宋体" w:cs="宋体"/>
          <w:color w:val="auto"/>
          <w:szCs w:val="21"/>
        </w:rPr>
        <w:t>注：</w:t>
      </w:r>
      <w:r>
        <w:rPr>
          <w:rFonts w:hint="eastAsia" w:ascii="宋体" w:hAnsi="宋体" w:eastAsia="宋体" w:cs="宋体"/>
          <w:bCs/>
          <w:color w:val="auto"/>
          <w:szCs w:val="21"/>
        </w:rPr>
        <w:t xml:space="preserve"> </w:t>
      </w:r>
      <w:r>
        <w:rPr>
          <w:rFonts w:hint="eastAsia" w:ascii="宋体" w:hAnsi="宋体" w:eastAsia="宋体" w:cs="宋体"/>
          <w:color w:val="auto"/>
          <w:szCs w:val="21"/>
        </w:rPr>
        <w:t>1、本表要求业绩指由投标人独立承接并完成的业绩（不含以联合体形式承担的工程项目）；机构总部（如总公司、集团公司、局等）与其下属机构或专业单位的施工业绩经验不予认定。业绩计算时间以此期间通过交工验收或未交工一次竣工验收的时间为准。</w:t>
      </w:r>
    </w:p>
    <w:p>
      <w:pPr>
        <w:adjustRightInd w:val="0"/>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 xml:space="preserve">     2、“完成过”指工程完工并交工验收评定合格，或竣工验收经交通运输工程质量监督部门评定为质量合格。</w:t>
      </w:r>
    </w:p>
    <w:p>
      <w:pPr>
        <w:adjustRightInd w:val="0"/>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 xml:space="preserve">     3、除特别说明外，近5年指自2017年</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月1日至投标截止日。</w:t>
      </w:r>
    </w:p>
    <w:p>
      <w:pPr>
        <w:adjustRightInd w:val="0"/>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b/>
          <w:bCs/>
          <w:color w:val="auto"/>
          <w:szCs w:val="21"/>
        </w:rPr>
        <w:t xml:space="preserve"> </w:t>
      </w:r>
      <w:r>
        <w:rPr>
          <w:rFonts w:hint="eastAsia" w:ascii="宋体" w:hAnsi="宋体" w:eastAsia="宋体" w:cs="宋体"/>
          <w:bCs/>
          <w:color w:val="auto"/>
          <w:szCs w:val="21"/>
        </w:rPr>
        <w:t xml:space="preserve"> </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、若投标人提供的业绩证明为联合体业绩，则按交通运输部“全国公路建设市场信用信息管理系统”业绩信息的网页截图）体现其完成的工作量认定，无法界定其完成的工作量，此业绩不予认定。</w:t>
      </w:r>
    </w:p>
    <w:p>
      <w:pPr>
        <w:rPr>
          <w:color w:val="auto"/>
        </w:rPr>
      </w:pPr>
    </w:p>
    <w:p>
      <w:pPr>
        <w:pStyle w:val="7"/>
        <w:rPr>
          <w:color w:val="auto"/>
        </w:rPr>
      </w:pPr>
    </w:p>
    <w:p>
      <w:pPr>
        <w:pStyle w:val="7"/>
        <w:rPr>
          <w:color w:val="auto"/>
        </w:rPr>
      </w:pPr>
    </w:p>
    <w:p>
      <w:pPr>
        <w:rPr>
          <w:rFonts w:hint="eastAsia"/>
          <w:color w:val="auto"/>
        </w:rPr>
      </w:pPr>
    </w:p>
    <w:p>
      <w:pPr>
        <w:pStyle w:val="2"/>
        <w:spacing w:before="240" w:after="240" w:line="240" w:lineRule="atLeast"/>
        <w:jc w:val="center"/>
        <w:rPr>
          <w:rFonts w:eastAsia="黑体"/>
          <w:color w:val="auto"/>
          <w:sz w:val="28"/>
          <w:szCs w:val="28"/>
        </w:rPr>
      </w:pPr>
      <w:r>
        <w:rPr>
          <w:rFonts w:eastAsia="黑体"/>
          <w:color w:val="auto"/>
          <w:sz w:val="28"/>
          <w:szCs w:val="28"/>
        </w:rPr>
        <w:t>附录4  资格审查条件（信誉最低要求）</w:t>
      </w:r>
      <w:bookmarkEnd w:id="19"/>
      <w:bookmarkEnd w:id="20"/>
      <w:bookmarkEnd w:id="21"/>
      <w:bookmarkEnd w:id="22"/>
      <w:bookmarkEnd w:id="23"/>
      <w:bookmarkEnd w:id="24"/>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color w:val="auto"/>
                <w:szCs w:val="21"/>
              </w:rPr>
            </w:pPr>
            <w:r>
              <w:rPr>
                <w:color w:val="auto"/>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0" w:hRule="atLeast"/>
          <w:jc w:val="center"/>
        </w:trPr>
        <w:tc>
          <w:tcPr>
            <w:tcW w:w="8708" w:type="dxa"/>
            <w:noWrap w:val="0"/>
            <w:vAlign w:val="center"/>
          </w:tcPr>
          <w:p>
            <w:pPr>
              <w:adjustRightInd w:val="0"/>
              <w:snapToGrid w:val="0"/>
              <w:spacing w:line="400" w:lineRule="atLeast"/>
              <w:rPr>
                <w:color w:val="auto"/>
                <w:sz w:val="24"/>
              </w:rPr>
            </w:pPr>
            <w:r>
              <w:rPr>
                <w:rFonts w:hint="eastAsia"/>
                <w:color w:val="auto"/>
                <w:sz w:val="24"/>
              </w:rPr>
              <w:t>最新年度在广东省公路工程施工企业信用评价中，信用等级未被评为</w:t>
            </w:r>
            <w:r>
              <w:rPr>
                <w:color w:val="auto"/>
                <w:sz w:val="24"/>
              </w:rPr>
              <w:t xml:space="preserve">D </w:t>
            </w:r>
            <w:r>
              <w:rPr>
                <w:rFonts w:hint="eastAsia"/>
                <w:color w:val="auto"/>
                <w:sz w:val="24"/>
              </w:rPr>
              <w:t>级，初次进入且无广东省最新年度信用评价等级的，且在最新一年度的全国综合评价结果中未被评为</w:t>
            </w:r>
            <w:r>
              <w:rPr>
                <w:color w:val="auto"/>
                <w:sz w:val="24"/>
              </w:rPr>
              <w:t xml:space="preserve">D </w:t>
            </w:r>
            <w:r>
              <w:rPr>
                <w:rFonts w:hint="eastAsia"/>
                <w:color w:val="auto"/>
                <w:sz w:val="24"/>
              </w:rPr>
              <w:t>级。</w:t>
            </w:r>
          </w:p>
          <w:p>
            <w:pPr>
              <w:adjustRightInd w:val="0"/>
              <w:snapToGrid w:val="0"/>
              <w:spacing w:line="400" w:lineRule="atLeast"/>
              <w:rPr>
                <w:color w:val="auto"/>
                <w:sz w:val="24"/>
              </w:rPr>
            </w:pPr>
          </w:p>
          <w:p>
            <w:pPr>
              <w:adjustRightInd w:val="0"/>
              <w:snapToGrid w:val="0"/>
              <w:spacing w:line="400" w:lineRule="atLeast"/>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p>
            <w:pPr>
              <w:adjustRightInd w:val="0"/>
              <w:snapToGrid w:val="0"/>
              <w:spacing w:line="400" w:lineRule="atLeast"/>
              <w:jc w:val="center"/>
              <w:rPr>
                <w:color w:val="auto"/>
                <w:szCs w:val="21"/>
              </w:rPr>
            </w:pPr>
          </w:p>
        </w:tc>
      </w:tr>
    </w:tbl>
    <w:p>
      <w:pPr>
        <w:pStyle w:val="2"/>
        <w:spacing w:before="240" w:after="240" w:line="240" w:lineRule="atLeast"/>
        <w:rPr>
          <w:b w:val="0"/>
          <w:color w:val="auto"/>
          <w:sz w:val="21"/>
          <w:szCs w:val="21"/>
        </w:rPr>
      </w:pPr>
      <w:bookmarkStart w:id="25" w:name="_Toc510089796"/>
      <w:bookmarkStart w:id="26" w:name="_Toc510172709"/>
      <w:bookmarkStart w:id="27" w:name="_Toc509962304"/>
      <w:bookmarkStart w:id="28" w:name="_Toc501257057"/>
      <w:bookmarkStart w:id="29" w:name="_Toc509959063"/>
      <w:bookmarkStart w:id="30" w:name="_Toc234832867"/>
      <w:r>
        <w:rPr>
          <w:b w:val="0"/>
          <w:color w:val="auto"/>
          <w:sz w:val="21"/>
          <w:szCs w:val="21"/>
        </w:rPr>
        <w:t>注：信用等级应按照广东省交通运输厅最新公布的信用等级结果进行认定，具体信息可在广东省交通运输公众网（www.gdcd.gov.cn）或广东省交通建设市场信用管理系统（http://121.33.200.110:8088/）查询。</w:t>
      </w:r>
      <w:bookmarkEnd w:id="25"/>
      <w:bookmarkEnd w:id="26"/>
    </w:p>
    <w:p>
      <w:pPr>
        <w:rPr>
          <w:color w:val="auto"/>
        </w:rPr>
      </w:pPr>
    </w:p>
    <w:p>
      <w:pPr>
        <w:rPr>
          <w:color w:val="auto"/>
        </w:rPr>
      </w:pPr>
    </w:p>
    <w:p>
      <w:pPr>
        <w:rPr>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p>
      <w:pPr>
        <w:pStyle w:val="2"/>
        <w:spacing w:before="240" w:after="240" w:line="240" w:lineRule="atLeast"/>
        <w:jc w:val="center"/>
        <w:rPr>
          <w:rFonts w:eastAsia="黑体"/>
          <w:color w:val="auto"/>
          <w:sz w:val="28"/>
          <w:szCs w:val="28"/>
        </w:rPr>
      </w:pPr>
      <w:bookmarkStart w:id="31" w:name="_Toc510089797"/>
      <w:bookmarkStart w:id="32" w:name="_Toc510172710"/>
      <w:r>
        <w:rPr>
          <w:rFonts w:eastAsia="黑体"/>
          <w:color w:val="auto"/>
          <w:sz w:val="28"/>
          <w:szCs w:val="28"/>
        </w:rPr>
        <w:t>附录5  资格审查条件（项目经理和项目总工最低要求）</w:t>
      </w:r>
      <w:bookmarkEnd w:id="27"/>
      <w:bookmarkEnd w:id="28"/>
      <w:bookmarkEnd w:id="29"/>
      <w:bookmarkEnd w:id="30"/>
      <w:bookmarkEnd w:id="31"/>
      <w:bookmarkEnd w:id="3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540"/>
        <w:gridCol w:w="2852"/>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49" w:type="dxa"/>
            <w:noWrap w:val="0"/>
            <w:vAlign w:val="center"/>
          </w:tcPr>
          <w:p>
            <w:pPr>
              <w:adjustRightInd w:val="0"/>
              <w:snapToGrid w:val="0"/>
              <w:spacing w:line="300" w:lineRule="auto"/>
              <w:jc w:val="center"/>
              <w:rPr>
                <w:color w:val="auto"/>
                <w:szCs w:val="21"/>
              </w:rPr>
            </w:pPr>
            <w:r>
              <w:rPr>
                <w:color w:val="auto"/>
                <w:szCs w:val="21"/>
              </w:rPr>
              <w:t>人  员</w:t>
            </w:r>
          </w:p>
        </w:tc>
        <w:tc>
          <w:tcPr>
            <w:tcW w:w="1540" w:type="dxa"/>
            <w:noWrap w:val="0"/>
            <w:vAlign w:val="center"/>
          </w:tcPr>
          <w:p>
            <w:pPr>
              <w:adjustRightInd w:val="0"/>
              <w:snapToGrid w:val="0"/>
              <w:spacing w:line="300" w:lineRule="auto"/>
              <w:jc w:val="center"/>
              <w:rPr>
                <w:color w:val="auto"/>
                <w:szCs w:val="21"/>
              </w:rPr>
            </w:pPr>
            <w:r>
              <w:rPr>
                <w:color w:val="auto"/>
                <w:szCs w:val="21"/>
              </w:rPr>
              <w:t>数  量</w:t>
            </w:r>
          </w:p>
        </w:tc>
        <w:tc>
          <w:tcPr>
            <w:tcW w:w="2852" w:type="dxa"/>
            <w:noWrap w:val="0"/>
            <w:vAlign w:val="center"/>
          </w:tcPr>
          <w:p>
            <w:pPr>
              <w:adjustRightInd w:val="0"/>
              <w:snapToGrid w:val="0"/>
              <w:spacing w:line="300" w:lineRule="auto"/>
              <w:jc w:val="center"/>
              <w:rPr>
                <w:color w:val="auto"/>
                <w:szCs w:val="21"/>
              </w:rPr>
            </w:pPr>
            <w:r>
              <w:rPr>
                <w:color w:val="auto"/>
                <w:szCs w:val="21"/>
              </w:rPr>
              <w:t>资 格 要 求</w:t>
            </w:r>
          </w:p>
        </w:tc>
        <w:tc>
          <w:tcPr>
            <w:tcW w:w="2850" w:type="dxa"/>
            <w:noWrap w:val="0"/>
            <w:vAlign w:val="center"/>
          </w:tcPr>
          <w:p>
            <w:pPr>
              <w:adjustRightInd w:val="0"/>
              <w:snapToGrid w:val="0"/>
              <w:spacing w:line="300" w:lineRule="auto"/>
              <w:jc w:val="center"/>
              <w:rPr>
                <w:color w:val="auto"/>
                <w:szCs w:val="21"/>
              </w:rPr>
            </w:pPr>
            <w:r>
              <w:rPr>
                <w:color w:val="auto"/>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1649" w:type="dxa"/>
            <w:noWrap w:val="0"/>
            <w:vAlign w:val="center"/>
          </w:tcPr>
          <w:p>
            <w:pPr>
              <w:spacing w:line="300" w:lineRule="auto"/>
              <w:jc w:val="center"/>
              <w:rPr>
                <w:color w:val="auto"/>
                <w:szCs w:val="21"/>
              </w:rPr>
            </w:pPr>
            <w:r>
              <w:rPr>
                <w:color w:val="auto"/>
                <w:szCs w:val="21"/>
              </w:rPr>
              <w:t>项目经理</w:t>
            </w:r>
          </w:p>
        </w:tc>
        <w:tc>
          <w:tcPr>
            <w:tcW w:w="1540" w:type="dxa"/>
            <w:noWrap w:val="0"/>
            <w:vAlign w:val="center"/>
          </w:tcPr>
          <w:p>
            <w:pPr>
              <w:adjustRightInd w:val="0"/>
              <w:snapToGrid w:val="0"/>
              <w:spacing w:line="300" w:lineRule="auto"/>
              <w:jc w:val="center"/>
              <w:rPr>
                <w:color w:val="auto"/>
                <w:szCs w:val="21"/>
              </w:rPr>
            </w:pPr>
            <w:r>
              <w:rPr>
                <w:color w:val="auto"/>
                <w:sz w:val="24"/>
              </w:rPr>
              <w:t>1</w:t>
            </w:r>
          </w:p>
        </w:tc>
        <w:tc>
          <w:tcPr>
            <w:tcW w:w="2852" w:type="dxa"/>
            <w:noWrap w:val="0"/>
            <w:vAlign w:val="center"/>
          </w:tcPr>
          <w:p>
            <w:pPr>
              <w:adjustRightInd w:val="0"/>
              <w:snapToGrid w:val="0"/>
              <w:spacing w:line="300" w:lineRule="auto"/>
              <w:rPr>
                <w:color w:val="auto"/>
                <w:szCs w:val="21"/>
              </w:rPr>
            </w:pPr>
            <w:r>
              <w:rPr>
                <w:rFonts w:hint="eastAsia"/>
                <w:color w:val="auto"/>
                <w:szCs w:val="21"/>
                <w:lang w:eastAsia="zh-CN"/>
              </w:rPr>
              <w:t>路桥</w:t>
            </w:r>
            <w:r>
              <w:rPr>
                <w:rFonts w:hint="eastAsia"/>
                <w:color w:val="auto"/>
                <w:szCs w:val="21"/>
              </w:rPr>
              <w:t>相关专业工程师或以上职称，持有有效的公路工程专业二级（或以上）建造师注册证书（不含临时资格证书，广东省外的投标人拟派项目经理需持有公路工程专业一级注册建造师注册证书），担任类似工程施工项目经理岗位累计不少于60个月，具有交通运输主管部门颁发的有效安全生产“三类人员”B 类证书，年龄不超过55岁。</w:t>
            </w:r>
          </w:p>
        </w:tc>
        <w:tc>
          <w:tcPr>
            <w:tcW w:w="2850" w:type="dxa"/>
            <w:vMerge w:val="restart"/>
            <w:noWrap w:val="0"/>
            <w:vAlign w:val="center"/>
          </w:tcPr>
          <w:p>
            <w:pPr>
              <w:adjustRightInd w:val="0"/>
              <w:snapToGrid w:val="0"/>
              <w:spacing w:line="300" w:lineRule="auto"/>
              <w:rPr>
                <w:color w:val="auto"/>
                <w:szCs w:val="21"/>
              </w:rPr>
            </w:pPr>
            <w:r>
              <w:rPr>
                <w:color w:val="auto"/>
              </w:rPr>
              <w:t>无在岗项目（指目前未在其他项目上任职，或虽在其他项目</w:t>
            </w:r>
            <w:r>
              <w:rPr>
                <w:color w:val="auto"/>
                <w:szCs w:val="21"/>
              </w:rPr>
              <w:t>上</w:t>
            </w:r>
            <w:r>
              <w:rPr>
                <w:color w:val="auto"/>
              </w:rPr>
              <w:t>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1649" w:type="dxa"/>
            <w:noWrap w:val="0"/>
            <w:vAlign w:val="center"/>
          </w:tcPr>
          <w:p>
            <w:pPr>
              <w:spacing w:line="300" w:lineRule="auto"/>
              <w:jc w:val="center"/>
              <w:rPr>
                <w:color w:val="auto"/>
                <w:szCs w:val="21"/>
              </w:rPr>
            </w:pPr>
            <w:r>
              <w:rPr>
                <w:color w:val="auto"/>
                <w:szCs w:val="21"/>
              </w:rPr>
              <w:t>项目总工</w:t>
            </w:r>
          </w:p>
        </w:tc>
        <w:tc>
          <w:tcPr>
            <w:tcW w:w="1540" w:type="dxa"/>
            <w:noWrap w:val="0"/>
            <w:vAlign w:val="center"/>
          </w:tcPr>
          <w:p>
            <w:pPr>
              <w:adjustRightInd w:val="0"/>
              <w:snapToGrid w:val="0"/>
              <w:spacing w:line="300" w:lineRule="auto"/>
              <w:jc w:val="center"/>
              <w:rPr>
                <w:color w:val="auto"/>
                <w:szCs w:val="21"/>
              </w:rPr>
            </w:pPr>
            <w:r>
              <w:rPr>
                <w:color w:val="auto"/>
                <w:sz w:val="24"/>
              </w:rPr>
              <w:t>1</w:t>
            </w:r>
          </w:p>
        </w:tc>
        <w:tc>
          <w:tcPr>
            <w:tcW w:w="2852" w:type="dxa"/>
            <w:noWrap w:val="0"/>
            <w:vAlign w:val="center"/>
          </w:tcPr>
          <w:p>
            <w:pPr>
              <w:adjustRightInd w:val="0"/>
              <w:snapToGrid w:val="0"/>
              <w:spacing w:line="300" w:lineRule="auto"/>
              <w:rPr>
                <w:color w:val="auto"/>
                <w:szCs w:val="21"/>
              </w:rPr>
            </w:pPr>
            <w:r>
              <w:rPr>
                <w:rFonts w:hint="eastAsia"/>
                <w:color w:val="auto"/>
                <w:szCs w:val="21"/>
                <w:lang w:eastAsia="zh-CN"/>
              </w:rPr>
              <w:t>路桥</w:t>
            </w:r>
            <w:r>
              <w:rPr>
                <w:rFonts w:hint="eastAsia"/>
                <w:color w:val="auto"/>
                <w:szCs w:val="21"/>
              </w:rPr>
              <w:t>相关专业工程师或以上职称，担任类似工程施工主管技术工作岗位累计不少于60个月，具有交通运输主管部门颁发的有效安全生产“三类人员”B 类证书，年龄不超过55岁。</w:t>
            </w:r>
          </w:p>
        </w:tc>
        <w:tc>
          <w:tcPr>
            <w:tcW w:w="2850" w:type="dxa"/>
            <w:vMerge w:val="continue"/>
            <w:noWrap w:val="0"/>
            <w:vAlign w:val="center"/>
          </w:tcPr>
          <w:p>
            <w:pPr>
              <w:adjustRightInd w:val="0"/>
              <w:snapToGrid w:val="0"/>
              <w:spacing w:line="300" w:lineRule="auto"/>
              <w:rPr>
                <w:color w:val="auto"/>
                <w:szCs w:val="21"/>
              </w:rPr>
            </w:pPr>
          </w:p>
        </w:tc>
      </w:tr>
    </w:tbl>
    <w:p>
      <w:pPr>
        <w:adjustRightInd w:val="0"/>
        <w:snapToGrid w:val="0"/>
        <w:spacing w:line="240" w:lineRule="exact"/>
        <w:rPr>
          <w:rFonts w:eastAsia="隶书"/>
          <w:b/>
          <w:bCs/>
          <w:color w:val="auto"/>
          <w:sz w:val="32"/>
          <w:szCs w:val="32"/>
        </w:rPr>
      </w:pPr>
    </w:p>
    <w:bookmarkEnd w:id="6"/>
    <w:p>
      <w:pPr>
        <w:adjustRightInd w:val="0"/>
        <w:snapToGrid w:val="0"/>
        <w:spacing w:line="240" w:lineRule="exact"/>
        <w:rPr>
          <w:bCs/>
          <w:color w:val="auto"/>
          <w:szCs w:val="21"/>
        </w:rPr>
      </w:pPr>
      <w:r>
        <w:rPr>
          <w:rFonts w:hAnsi="宋体"/>
          <w:bCs/>
          <w:color w:val="auto"/>
          <w:szCs w:val="21"/>
        </w:rPr>
        <w:t>注：</w:t>
      </w:r>
      <w:r>
        <w:rPr>
          <w:bCs/>
          <w:color w:val="auto"/>
          <w:szCs w:val="21"/>
        </w:rPr>
        <w:t>1</w:t>
      </w:r>
      <w:r>
        <w:rPr>
          <w:rFonts w:hAnsi="宋体"/>
          <w:bCs/>
          <w:color w:val="auto"/>
          <w:szCs w:val="21"/>
        </w:rPr>
        <w:t>、资格要求的人员建造师注册证书、安全生产</w:t>
      </w:r>
      <w:r>
        <w:rPr>
          <w:bCs/>
          <w:color w:val="auto"/>
          <w:szCs w:val="21"/>
        </w:rPr>
        <w:t>“</w:t>
      </w:r>
      <w:r>
        <w:rPr>
          <w:rFonts w:hAnsi="宋体"/>
          <w:bCs/>
          <w:color w:val="auto"/>
          <w:szCs w:val="21"/>
        </w:rPr>
        <w:t>三类人员</w:t>
      </w:r>
      <w:r>
        <w:rPr>
          <w:bCs/>
          <w:color w:val="auto"/>
          <w:szCs w:val="21"/>
        </w:rPr>
        <w:t xml:space="preserve">”B </w:t>
      </w:r>
      <w:r>
        <w:rPr>
          <w:rFonts w:hAnsi="宋体"/>
          <w:bCs/>
          <w:color w:val="auto"/>
          <w:szCs w:val="21"/>
        </w:rPr>
        <w:t>类证书均应在</w:t>
      </w:r>
      <w:r>
        <w:rPr>
          <w:rFonts w:hint="eastAsia" w:hAnsi="宋体"/>
          <w:bCs/>
          <w:color w:val="auto"/>
          <w:szCs w:val="21"/>
        </w:rPr>
        <w:t>投标</w:t>
      </w:r>
      <w:r>
        <w:rPr>
          <w:rFonts w:hAnsi="宋体"/>
          <w:bCs/>
          <w:color w:val="auto"/>
          <w:szCs w:val="21"/>
        </w:rPr>
        <w:t>人所在单位，否则视为无效。</w:t>
      </w:r>
    </w:p>
    <w:p>
      <w:pPr>
        <w:adjustRightInd w:val="0"/>
        <w:snapToGrid w:val="0"/>
        <w:spacing w:line="240" w:lineRule="exact"/>
        <w:ind w:firstLine="420" w:firstLineChars="200"/>
        <w:rPr>
          <w:bCs/>
          <w:color w:val="auto"/>
          <w:szCs w:val="21"/>
        </w:rPr>
      </w:pPr>
      <w:r>
        <w:rPr>
          <w:rFonts w:hint="eastAsia" w:hAnsi="宋体"/>
          <w:bCs/>
          <w:color w:val="auto"/>
          <w:szCs w:val="21"/>
        </w:rPr>
        <w:t>2、主管技术工作指：担任过项目经理、项目副经理、总工程师、副总工程师、质检部门负责人、工程部门负责人。担任类似工程项目经理（或项目副经理或项目总工）岗位经验累计时间、主管类似工程技术工作岗位经验累计时间统计至月，计算时尾数如不少于 15 天的按1个月计，不足15 天部分不计。岗位工作经历以“全国公路建设市场信用信息管理系统”中“个人业绩”的“起始日期”和“截止日期”。</w:t>
      </w:r>
    </w:p>
    <w:p>
      <w:pPr>
        <w:adjustRightInd w:val="0"/>
        <w:snapToGrid w:val="0"/>
        <w:spacing w:line="240" w:lineRule="exact"/>
        <w:ind w:firstLine="315" w:firstLineChars="150"/>
        <w:rPr>
          <w:rFonts w:hAnsi="宋体"/>
          <w:bCs/>
          <w:color w:val="auto"/>
          <w:szCs w:val="21"/>
        </w:rPr>
      </w:pPr>
      <w:r>
        <w:rPr>
          <w:bCs/>
          <w:color w:val="auto"/>
          <w:szCs w:val="21"/>
        </w:rPr>
        <w:t>3</w:t>
      </w:r>
      <w:r>
        <w:rPr>
          <w:rFonts w:hAnsi="宋体"/>
          <w:bCs/>
          <w:color w:val="auto"/>
          <w:szCs w:val="21"/>
        </w:rPr>
        <w:t>、</w:t>
      </w:r>
      <w:r>
        <w:rPr>
          <w:rFonts w:hint="eastAsia" w:hAnsi="宋体"/>
          <w:bCs/>
          <w:color w:val="auto"/>
          <w:szCs w:val="21"/>
        </w:rPr>
        <w:t>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等专业。</w:t>
      </w:r>
    </w:p>
    <w:p>
      <w:pPr>
        <w:adjustRightInd w:val="0"/>
        <w:snapToGrid w:val="0"/>
        <w:spacing w:line="240" w:lineRule="exact"/>
        <w:ind w:firstLine="315" w:firstLineChars="150"/>
        <w:rPr>
          <w:rFonts w:hint="eastAsia"/>
          <w:bCs/>
          <w:color w:val="auto"/>
          <w:szCs w:val="21"/>
        </w:rPr>
      </w:pPr>
      <w:r>
        <w:rPr>
          <w:rFonts w:hint="eastAsia"/>
          <w:bCs/>
          <w:color w:val="auto"/>
          <w:szCs w:val="21"/>
        </w:rPr>
        <w:t>4、类似工程是指</w:t>
      </w:r>
      <w:r>
        <w:rPr>
          <w:rFonts w:hint="eastAsia"/>
          <w:bCs/>
          <w:color w:val="auto"/>
          <w:szCs w:val="21"/>
          <w:lang w:eastAsia="zh-CN"/>
        </w:rPr>
        <w:t>四级公路或以上的</w:t>
      </w:r>
      <w:r>
        <w:rPr>
          <w:rFonts w:hint="eastAsia"/>
          <w:bCs/>
          <w:color w:val="auto"/>
          <w:szCs w:val="21"/>
        </w:rPr>
        <w:t>水泥混凝土路面施工业绩。</w:t>
      </w:r>
    </w:p>
    <w:p>
      <w:pPr>
        <w:adjustRightInd w:val="0"/>
        <w:snapToGrid w:val="0"/>
        <w:spacing w:line="300" w:lineRule="auto"/>
        <w:ind w:right="-512" w:rightChars="-244" w:firstLine="422" w:firstLineChars="200"/>
        <w:rPr>
          <w:b/>
          <w:iCs/>
          <w:color w:val="auto"/>
          <w:szCs w:val="21"/>
        </w:rPr>
      </w:pPr>
    </w:p>
    <w:p>
      <w:pPr>
        <w:adjustRightInd w:val="0"/>
        <w:snapToGrid w:val="0"/>
        <w:spacing w:line="300" w:lineRule="auto"/>
        <w:ind w:right="-512" w:rightChars="-244" w:firstLine="422" w:firstLineChars="200"/>
        <w:jc w:val="center"/>
        <w:rPr>
          <w:rFonts w:hint="eastAsia" w:eastAsia="黑体"/>
          <w:b/>
          <w:bCs/>
          <w:color w:val="auto"/>
          <w:kern w:val="44"/>
          <w:sz w:val="28"/>
          <w:szCs w:val="28"/>
        </w:rPr>
      </w:pPr>
      <w:r>
        <w:rPr>
          <w:b/>
          <w:iCs/>
          <w:color w:val="auto"/>
          <w:szCs w:val="21"/>
        </w:rPr>
        <w:br w:type="page"/>
      </w:r>
      <w:r>
        <w:rPr>
          <w:rFonts w:hint="eastAsia" w:eastAsia="黑体"/>
          <w:b/>
          <w:bCs/>
          <w:color w:val="auto"/>
          <w:kern w:val="44"/>
          <w:sz w:val="28"/>
          <w:szCs w:val="28"/>
        </w:rPr>
        <w:t>附录6  资格审查条件(其他管理和技术人员最低要求）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338"/>
        <w:gridCol w:w="958"/>
        <w:gridCol w:w="61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47" w:hRule="atLeast"/>
          <w:tblHeader/>
          <w:jc w:val="center"/>
        </w:trPr>
        <w:tc>
          <w:tcPr>
            <w:tcW w:w="2338" w:type="dxa"/>
            <w:noWrap w:val="0"/>
            <w:vAlign w:val="center"/>
          </w:tcPr>
          <w:p>
            <w:pPr>
              <w:jc w:val="center"/>
              <w:rPr>
                <w:rFonts w:hint="eastAsia" w:ascii="宋体" w:hAnsi="宋体" w:cs="宋体"/>
                <w:color w:val="auto"/>
                <w:sz w:val="24"/>
              </w:rPr>
            </w:pPr>
            <w:r>
              <w:rPr>
                <w:rFonts w:hint="eastAsia" w:ascii="宋体" w:hAnsi="宋体"/>
                <w:b/>
                <w:color w:val="auto"/>
                <w:sz w:val="28"/>
                <w:szCs w:val="28"/>
              </w:rPr>
              <w:t>人  员</w:t>
            </w:r>
          </w:p>
        </w:tc>
        <w:tc>
          <w:tcPr>
            <w:tcW w:w="958" w:type="dxa"/>
            <w:noWrap w:val="0"/>
            <w:vAlign w:val="center"/>
          </w:tcPr>
          <w:p>
            <w:pPr>
              <w:jc w:val="center"/>
              <w:rPr>
                <w:rFonts w:hint="eastAsia" w:ascii="宋体" w:hAnsi="宋体" w:cs="宋体"/>
                <w:color w:val="auto"/>
                <w:sz w:val="24"/>
              </w:rPr>
            </w:pPr>
            <w:r>
              <w:rPr>
                <w:rFonts w:hint="eastAsia" w:ascii="宋体" w:hAnsi="宋体"/>
                <w:b/>
                <w:color w:val="auto"/>
                <w:sz w:val="28"/>
                <w:szCs w:val="28"/>
              </w:rPr>
              <w:t>数量</w:t>
            </w:r>
          </w:p>
        </w:tc>
        <w:tc>
          <w:tcPr>
            <w:tcW w:w="6123" w:type="dxa"/>
            <w:noWrap w:val="0"/>
            <w:vAlign w:val="center"/>
          </w:tcPr>
          <w:p>
            <w:pPr>
              <w:jc w:val="center"/>
              <w:rPr>
                <w:rFonts w:hint="eastAsia" w:ascii="宋体" w:hAnsi="宋体" w:cs="宋体"/>
                <w:color w:val="auto"/>
                <w:sz w:val="24"/>
              </w:rPr>
            </w:pPr>
            <w:r>
              <w:rPr>
                <w:rFonts w:hint="eastAsia" w:ascii="宋体" w:hAnsi="宋体"/>
                <w:b/>
                <w:color w:val="auto"/>
                <w:sz w:val="28"/>
                <w:szCs w:val="28"/>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62"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s="宋体"/>
                <w:color w:val="auto"/>
                <w:sz w:val="24"/>
              </w:rPr>
            </w:pPr>
            <w:r>
              <w:rPr>
                <w:rFonts w:hint="eastAsia" w:ascii="宋体" w:hAnsi="宋体" w:cs="宋体"/>
                <w:color w:val="auto"/>
                <w:sz w:val="24"/>
                <w:lang w:eastAsia="zh-CN"/>
              </w:rPr>
              <w:t>质检负责人</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lang w:val="en-US" w:eastAsia="zh-CN"/>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cs="宋体"/>
                <w:color w:val="auto"/>
                <w:sz w:val="24"/>
              </w:rPr>
            </w:pPr>
            <w:r>
              <w:rPr>
                <w:rFonts w:hint="eastAsia"/>
                <w:color w:val="auto"/>
                <w:sz w:val="24"/>
                <w:szCs w:val="24"/>
                <w:lang w:eastAsia="zh-CN"/>
              </w:rPr>
              <w:t>路桥</w:t>
            </w:r>
            <w:r>
              <w:rPr>
                <w:rFonts w:hint="eastAsia"/>
                <w:color w:val="auto"/>
                <w:sz w:val="24"/>
                <w:szCs w:val="24"/>
              </w:rPr>
              <w:t>相关专业</w:t>
            </w:r>
            <w:r>
              <w:rPr>
                <w:rFonts w:hint="eastAsia" w:ascii="宋体" w:hAnsi="宋体" w:cs="宋体"/>
                <w:color w:val="auto"/>
                <w:sz w:val="24"/>
              </w:rPr>
              <w:t>工程师或以上职称，</w:t>
            </w:r>
            <w:r>
              <w:rPr>
                <w:rFonts w:hint="eastAsia" w:ascii="宋体" w:hAnsi="宋体" w:cs="宋体"/>
                <w:color w:val="auto"/>
                <w:sz w:val="24"/>
                <w:lang w:eastAsia="zh-CN"/>
              </w:rPr>
              <w:t>累计从事</w:t>
            </w:r>
            <w:r>
              <w:rPr>
                <w:rFonts w:hint="eastAsia" w:ascii="宋体" w:hAnsi="宋体" w:cs="宋体"/>
                <w:color w:val="auto"/>
                <w:sz w:val="24"/>
                <w:lang w:val="en-US" w:eastAsia="zh-CN"/>
              </w:rPr>
              <w:t>2项且不少于60个月的类似工程业绩岗位经验</w:t>
            </w:r>
            <w:r>
              <w:rPr>
                <w:rFonts w:hint="eastAsia" w:ascii="宋体" w:hAnsi="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62"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s="宋体"/>
                <w:color w:val="auto"/>
                <w:sz w:val="24"/>
              </w:rPr>
            </w:pPr>
            <w:r>
              <w:rPr>
                <w:rFonts w:hint="eastAsia" w:ascii="宋体" w:hAnsi="宋体" w:cs="宋体"/>
                <w:color w:val="auto"/>
                <w:sz w:val="24"/>
              </w:rPr>
              <w:t>工程部门负责人</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cs="宋体"/>
                <w:color w:val="auto"/>
                <w:sz w:val="24"/>
              </w:rPr>
            </w:pPr>
            <w:r>
              <w:rPr>
                <w:rFonts w:hint="eastAsia"/>
                <w:color w:val="auto"/>
                <w:sz w:val="24"/>
                <w:szCs w:val="24"/>
                <w:lang w:eastAsia="zh-CN"/>
              </w:rPr>
              <w:t>路桥</w:t>
            </w:r>
            <w:r>
              <w:rPr>
                <w:rFonts w:hint="eastAsia"/>
                <w:color w:val="auto"/>
                <w:sz w:val="24"/>
                <w:szCs w:val="24"/>
              </w:rPr>
              <w:t>相关专业</w:t>
            </w:r>
            <w:r>
              <w:rPr>
                <w:rFonts w:hint="eastAsia" w:ascii="宋体" w:hAnsi="宋体" w:cs="宋体"/>
                <w:color w:val="auto"/>
                <w:sz w:val="24"/>
              </w:rPr>
              <w:t>工程师或以上职称，</w:t>
            </w:r>
            <w:r>
              <w:rPr>
                <w:rFonts w:hint="eastAsia" w:ascii="宋体" w:hAnsi="宋体" w:cs="宋体"/>
                <w:color w:val="auto"/>
                <w:sz w:val="24"/>
                <w:lang w:eastAsia="zh-CN"/>
              </w:rPr>
              <w:t>累计从事</w:t>
            </w:r>
            <w:r>
              <w:rPr>
                <w:rFonts w:hint="eastAsia" w:ascii="宋体" w:hAnsi="宋体" w:cs="宋体"/>
                <w:color w:val="auto"/>
                <w:sz w:val="24"/>
                <w:lang w:val="en-US" w:eastAsia="zh-CN"/>
              </w:rPr>
              <w:t>2项且不少于60个月的类似工程业绩岗位经验</w:t>
            </w:r>
            <w:r>
              <w:rPr>
                <w:rFonts w:hint="eastAsia" w:ascii="宋体" w:hAnsi="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1196"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cs="宋体"/>
                <w:color w:val="auto"/>
                <w:sz w:val="24"/>
              </w:rPr>
            </w:pPr>
            <w:r>
              <w:rPr>
                <w:rFonts w:hint="eastAsia" w:ascii="宋体" w:hAnsi="宋体" w:cs="宋体"/>
                <w:color w:val="auto"/>
                <w:sz w:val="24"/>
              </w:rPr>
              <w:t>安全负责人</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cs="宋体"/>
                <w:color w:val="auto"/>
                <w:sz w:val="24"/>
              </w:rPr>
            </w:pPr>
            <w:r>
              <w:rPr>
                <w:rFonts w:hint="eastAsia" w:ascii="宋体" w:hAnsi="宋体" w:cs="宋体"/>
                <w:color w:val="auto"/>
                <w:sz w:val="24"/>
              </w:rPr>
              <w:t>具有交通运输部门颁发的有效安全生产“三类人员”C类证书</w:t>
            </w:r>
            <w:r>
              <w:rPr>
                <w:rFonts w:hint="eastAsia" w:ascii="宋体" w:hAnsi="宋体" w:cs="宋体"/>
                <w:color w:val="auto"/>
                <w:sz w:val="24"/>
                <w:lang w:eastAsia="zh-CN"/>
              </w:rPr>
              <w:t>。</w:t>
            </w:r>
          </w:p>
        </w:tc>
      </w:tr>
    </w:tbl>
    <w:p>
      <w:pPr>
        <w:spacing w:line="240" w:lineRule="auto"/>
        <w:jc w:val="left"/>
        <w:rPr>
          <w:rFonts w:hint="eastAsia" w:ascii="宋体" w:hAnsi="宋体" w:eastAsia="宋体" w:cs="宋体"/>
          <w:bCs/>
          <w:color w:val="auto"/>
          <w:szCs w:val="21"/>
        </w:rPr>
      </w:pPr>
      <w:r>
        <w:rPr>
          <w:rFonts w:hint="eastAsia" w:ascii="宋体" w:hAnsi="宋体" w:eastAsia="宋体" w:cs="宋体"/>
          <w:bCs/>
          <w:color w:val="auto"/>
          <w:szCs w:val="21"/>
        </w:rPr>
        <w:t>注：1、投标人中标后专职安全生产管理人员的配备应按照交通部《公路水运工程安全生产监督管理办法（交通运输部令2017 年第25 号）的要求执行。</w:t>
      </w:r>
    </w:p>
    <w:p>
      <w:pPr>
        <w:spacing w:line="24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等专业。</w:t>
      </w:r>
    </w:p>
    <w:p>
      <w:pPr>
        <w:spacing w:line="240" w:lineRule="auto"/>
        <w:ind w:firstLine="420" w:firstLineChars="200"/>
        <w:jc w:val="left"/>
        <w:rPr>
          <w:rFonts w:hAnsi="宋体"/>
          <w:bCs/>
          <w:color w:val="auto"/>
          <w:szCs w:val="21"/>
        </w:rPr>
      </w:pPr>
      <w:r>
        <w:rPr>
          <w:rFonts w:hint="eastAsia" w:ascii="宋体" w:hAnsi="宋体" w:eastAsia="宋体" w:cs="宋体"/>
          <w:bCs/>
          <w:color w:val="auto"/>
          <w:szCs w:val="21"/>
        </w:rPr>
        <w:t>3、“拟委任的其他管理和技术人员资历表”后应同时附①交通运输部“全国公路建设市场信用信息管理系统”中载明的、能够证明以上人员满足附录 6所提出的各项指标（即包括人</w:t>
      </w:r>
      <w:r>
        <w:rPr>
          <w:rFonts w:hint="eastAsia" w:hAnsi="宋体"/>
          <w:bCs/>
          <w:color w:val="auto"/>
          <w:szCs w:val="21"/>
        </w:rPr>
        <w:t>员的“基本信息”、“职称信息”、“执业资格” 、</w:t>
      </w:r>
      <w:r>
        <w:rPr>
          <w:rFonts w:hint="eastAsia"/>
          <w:color w:val="auto"/>
          <w:szCs w:val="21"/>
        </w:rPr>
        <w:t>“</w:t>
      </w:r>
      <w:r>
        <w:rPr>
          <w:color w:val="auto"/>
          <w:szCs w:val="21"/>
        </w:rPr>
        <w:t>个人业绩</w:t>
      </w:r>
      <w:r>
        <w:rPr>
          <w:rFonts w:hint="eastAsia"/>
          <w:color w:val="auto"/>
          <w:szCs w:val="21"/>
        </w:rPr>
        <w:t>”</w:t>
      </w:r>
      <w:r>
        <w:rPr>
          <w:rFonts w:hint="eastAsia" w:hAnsi="宋体"/>
          <w:bCs/>
          <w:color w:val="auto"/>
          <w:szCs w:val="21"/>
        </w:rPr>
        <w:t>等栏目在内）的网页截图复印件或网页打印件、②安全生产考核合格证书在交通运输部公路水运工程施工企业安全生产管理人员信息公共查询平台上公开信息的网页截图复印件或网页打印件、③质检负责人、工程部门负责人的岗位经验以“全国公路建设市场信用信息管理系统”的人员信息中的网页截图“个人业绩”相对应工作岗位时间为准，岗位经验累计时间统计至月，计算时尾数如不少于 15 天的按1个月计，不足15 天部分不计。岗位工作经历以“全国公路建设市场信用信息管理系统”中“个人业绩”的“起始日期”和“截止日期”。④投标人所属社保机构出具的其他管理和技术人员的社保缴费证明或其他能够证明其他管理和技术人员参加社保的有效证明材料复印件（社保时段为投标文件递交截止日前半年时间内连续不少于三个月）。</w:t>
      </w:r>
    </w:p>
    <w:p>
      <w:pPr>
        <w:pStyle w:val="2"/>
        <w:spacing w:before="480" w:after="240" w:line="380" w:lineRule="atLeast"/>
        <w:jc w:val="center"/>
        <w:rPr>
          <w:rFonts w:eastAsia="黑体"/>
          <w:b w:val="0"/>
          <w:color w:val="auto"/>
        </w:rPr>
      </w:pPr>
      <w:bookmarkStart w:id="33" w:name="_Toc509959125"/>
      <w:bookmarkStart w:id="34" w:name="_Toc510089859"/>
      <w:bookmarkStart w:id="35" w:name="_Toc510172772"/>
      <w:bookmarkStart w:id="36" w:name="_Toc501257140"/>
      <w:bookmarkStart w:id="37" w:name="_Toc509962366"/>
      <w:bookmarkStart w:id="38" w:name="_Hlk66868493"/>
      <w:r>
        <w:rPr>
          <w:rFonts w:eastAsia="黑体"/>
          <w:b w:val="0"/>
          <w:color w:val="auto"/>
        </w:rPr>
        <w:t>第三章  评标办法（</w:t>
      </w:r>
      <w:r>
        <w:rPr>
          <w:rFonts w:hint="eastAsia" w:eastAsia="黑体"/>
          <w:b w:val="0"/>
          <w:color w:val="auto"/>
        </w:rPr>
        <w:t>技术评分最低标价</w:t>
      </w:r>
      <w:r>
        <w:rPr>
          <w:rFonts w:eastAsia="黑体"/>
          <w:b w:val="0"/>
          <w:color w:val="auto"/>
        </w:rPr>
        <w:t>法）</w:t>
      </w:r>
      <w:bookmarkEnd w:id="33"/>
      <w:bookmarkEnd w:id="34"/>
      <w:bookmarkEnd w:id="35"/>
      <w:bookmarkEnd w:id="36"/>
      <w:bookmarkEnd w:id="37"/>
    </w:p>
    <w:p>
      <w:pPr>
        <w:pStyle w:val="2"/>
        <w:spacing w:before="480" w:after="240" w:line="380" w:lineRule="atLeast"/>
        <w:rPr>
          <w:rFonts w:eastAsia="黑体"/>
          <w:b w:val="0"/>
          <w:color w:val="auto"/>
          <w:sz w:val="24"/>
          <w:szCs w:val="24"/>
        </w:rPr>
      </w:pPr>
      <w:bookmarkStart w:id="39" w:name="_Toc510089860"/>
      <w:bookmarkStart w:id="40" w:name="_Toc510172773"/>
      <w:bookmarkStart w:id="41" w:name="_Toc509959126"/>
      <w:bookmarkStart w:id="42" w:name="_Toc509962367"/>
      <w:bookmarkStart w:id="43" w:name="_Toc501257141"/>
      <w:r>
        <w:rPr>
          <w:rFonts w:eastAsia="黑体"/>
          <w:b w:val="0"/>
          <w:color w:val="auto"/>
          <w:sz w:val="24"/>
          <w:szCs w:val="24"/>
        </w:rPr>
        <w:t>评标办法前附表</w:t>
      </w:r>
      <w:bookmarkEnd w:id="39"/>
      <w:bookmarkEnd w:id="40"/>
      <w:bookmarkEnd w:id="41"/>
      <w:bookmarkEnd w:id="42"/>
      <w:bookmarkEnd w:id="43"/>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268"/>
        <w:gridCol w:w="6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35" w:type="dxa"/>
            <w:gridSpan w:val="2"/>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b/>
                <w:color w:val="auto"/>
                <w:szCs w:val="21"/>
              </w:rPr>
            </w:pPr>
            <w:r>
              <w:rPr>
                <w:b/>
                <w:color w:val="auto"/>
                <w:szCs w:val="21"/>
              </w:rPr>
              <w:t>条款号</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b/>
                <w:color w:val="auto"/>
                <w:spacing w:val="4"/>
                <w:szCs w:val="21"/>
              </w:rPr>
            </w:pPr>
            <w:r>
              <w:rPr>
                <w:b/>
                <w:color w:val="auto"/>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1</w:t>
            </w:r>
          </w:p>
        </w:tc>
        <w:tc>
          <w:tcPr>
            <w:tcW w:w="1268"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评标方法</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color w:val="auto"/>
                <w:szCs w:val="21"/>
              </w:rPr>
            </w:pPr>
            <w:r>
              <w:rPr>
                <w:color w:val="auto"/>
                <w:szCs w:val="21"/>
              </w:rPr>
              <w:t>评标价相等时，评标委员会依次按照以下优先顺序推荐中标候选人或确定中标人：</w:t>
            </w:r>
          </w:p>
          <w:p>
            <w:pPr>
              <w:adjustRightInd w:val="0"/>
              <w:snapToGrid w:val="0"/>
              <w:spacing w:line="360" w:lineRule="auto"/>
              <w:ind w:firstLine="420" w:firstLineChars="200"/>
              <w:rPr>
                <w:color w:val="auto"/>
                <w:szCs w:val="21"/>
              </w:rPr>
            </w:pPr>
            <w:r>
              <w:rPr>
                <w:color w:val="auto"/>
                <w:szCs w:val="21"/>
              </w:rPr>
              <w:t>（1）按招标文件规定被认定为最新年度广东省公路工程从业单位信用评价等级较高的投标人优先；【采用如下的优先顺序：承诺使用的AA 级投标人、不承诺使用的AA 级投标人、承诺使用的A 级投标人、不承诺使用的A 级投标人、B 级投标人、未参评且被确定为B 级投标人】</w:t>
            </w:r>
          </w:p>
          <w:p>
            <w:pPr>
              <w:adjustRightInd w:val="0"/>
              <w:snapToGrid w:val="0"/>
              <w:spacing w:line="360" w:lineRule="auto"/>
              <w:ind w:firstLine="420" w:firstLineChars="200"/>
              <w:rPr>
                <w:color w:val="auto"/>
                <w:szCs w:val="21"/>
              </w:rPr>
            </w:pPr>
            <w:r>
              <w:rPr>
                <w:color w:val="auto"/>
                <w:szCs w:val="21"/>
              </w:rPr>
              <w:t>（2）以投标人企业最新年度净资产较高的优先；</w:t>
            </w:r>
          </w:p>
          <w:p>
            <w:pPr>
              <w:adjustRightInd w:val="0"/>
              <w:snapToGrid w:val="0"/>
              <w:spacing w:line="360" w:lineRule="auto"/>
              <w:ind w:firstLine="420" w:firstLineChars="200"/>
              <w:rPr>
                <w:color w:val="auto"/>
                <w:szCs w:val="21"/>
              </w:rPr>
            </w:pPr>
            <w:r>
              <w:rPr>
                <w:color w:val="auto"/>
                <w:szCs w:val="21"/>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2.1.1</w:t>
            </w:r>
          </w:p>
          <w:p>
            <w:pPr>
              <w:adjustRightInd w:val="0"/>
              <w:snapToGrid w:val="0"/>
              <w:spacing w:line="360" w:lineRule="auto"/>
              <w:jc w:val="center"/>
              <w:rPr>
                <w:color w:val="auto"/>
                <w:szCs w:val="21"/>
              </w:rPr>
            </w:pPr>
            <w:r>
              <w:rPr>
                <w:color w:val="auto"/>
                <w:szCs w:val="21"/>
              </w:rPr>
              <w:t>2.1.3</w:t>
            </w:r>
          </w:p>
        </w:tc>
        <w:tc>
          <w:tcPr>
            <w:tcW w:w="1268" w:type="dxa"/>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形式评审与响应性评审标准</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2" w:firstLineChars="200"/>
              <w:rPr>
                <w:b/>
                <w:color w:val="auto"/>
                <w:szCs w:val="21"/>
              </w:rPr>
            </w:pPr>
            <w:r>
              <w:rPr>
                <w:b/>
                <w:color w:val="auto"/>
                <w:szCs w:val="21"/>
              </w:rPr>
              <w:t>第一个信封（商务及技术文件）评审标准：</w:t>
            </w:r>
          </w:p>
          <w:p>
            <w:pPr>
              <w:adjustRightInd w:val="0"/>
              <w:snapToGrid w:val="0"/>
              <w:spacing w:line="360" w:lineRule="auto"/>
              <w:ind w:firstLine="420" w:firstLineChars="200"/>
              <w:rPr>
                <w:color w:val="auto"/>
                <w:szCs w:val="21"/>
              </w:rPr>
            </w:pPr>
            <w:r>
              <w:rPr>
                <w:color w:val="auto"/>
                <w:szCs w:val="21"/>
              </w:rPr>
              <w:t>（1）投标文件按照招标文件规定的格式、内容填写，字迹清晰可辨：</w:t>
            </w:r>
          </w:p>
          <w:p>
            <w:pPr>
              <w:adjustRightInd w:val="0"/>
              <w:snapToGrid w:val="0"/>
              <w:spacing w:line="360" w:lineRule="auto"/>
              <w:ind w:firstLine="420" w:firstLineChars="200"/>
              <w:rPr>
                <w:color w:val="auto"/>
                <w:szCs w:val="21"/>
              </w:rPr>
            </w:pPr>
            <w:r>
              <w:rPr>
                <w:color w:val="auto"/>
                <w:szCs w:val="21"/>
              </w:rPr>
              <w:t>a.投标函按招标文件规定填报了项目名称、补遗书编号（如有）、工期、工程质量要求及安全目标；</w:t>
            </w:r>
          </w:p>
          <w:p>
            <w:pPr>
              <w:adjustRightInd w:val="0"/>
              <w:snapToGrid w:val="0"/>
              <w:spacing w:line="360" w:lineRule="auto"/>
              <w:ind w:firstLine="420" w:firstLineChars="200"/>
              <w:rPr>
                <w:color w:val="auto"/>
                <w:szCs w:val="21"/>
              </w:rPr>
            </w:pPr>
            <w:r>
              <w:rPr>
                <w:color w:val="auto"/>
                <w:szCs w:val="21"/>
              </w:rPr>
              <w:t>b.投标函附录的所有数据均符合招标文件规定；</w:t>
            </w:r>
          </w:p>
          <w:p>
            <w:pPr>
              <w:adjustRightInd w:val="0"/>
              <w:snapToGrid w:val="0"/>
              <w:spacing w:line="360" w:lineRule="auto"/>
              <w:ind w:firstLine="420" w:firstLineChars="200"/>
              <w:rPr>
                <w:color w:val="auto"/>
                <w:szCs w:val="21"/>
              </w:rPr>
            </w:pPr>
            <w:r>
              <w:rPr>
                <w:color w:val="auto"/>
                <w:szCs w:val="21"/>
              </w:rPr>
              <w:t>c.投标文件组成齐全完整，内容均按规定填写。</w:t>
            </w:r>
          </w:p>
          <w:p>
            <w:pPr>
              <w:adjustRightInd w:val="0"/>
              <w:snapToGrid w:val="0"/>
              <w:spacing w:line="360" w:lineRule="auto"/>
              <w:ind w:firstLine="420" w:firstLineChars="200"/>
              <w:rPr>
                <w:color w:val="auto"/>
                <w:szCs w:val="21"/>
              </w:rPr>
            </w:pPr>
            <w:r>
              <w:rPr>
                <w:color w:val="auto"/>
                <w:szCs w:val="21"/>
              </w:rPr>
              <w:t>（2）投标文件上法定代表人或其委托代理人的签字、</w:t>
            </w:r>
            <w:r>
              <w:rPr>
                <w:rFonts w:hint="eastAsia"/>
                <w:color w:val="auto"/>
                <w:szCs w:val="21"/>
              </w:rPr>
              <w:t>项目经理及项目总工的签字、</w:t>
            </w:r>
            <w:r>
              <w:rPr>
                <w:color w:val="auto"/>
                <w:szCs w:val="21"/>
              </w:rPr>
              <w:t>投标人的单位章盖章齐全，符合招标文件规定。</w:t>
            </w:r>
          </w:p>
          <w:p>
            <w:pPr>
              <w:adjustRightInd w:val="0"/>
              <w:snapToGrid w:val="0"/>
              <w:spacing w:line="360" w:lineRule="auto"/>
              <w:ind w:firstLine="420" w:firstLineChars="200"/>
              <w:rPr>
                <w:color w:val="auto"/>
                <w:szCs w:val="21"/>
              </w:rPr>
            </w:pPr>
            <w:r>
              <w:rPr>
                <w:color w:val="auto"/>
                <w:szCs w:val="21"/>
              </w:rPr>
              <w:t>（3）投标人按照招标文件的规定提供了投标保证金：</w:t>
            </w:r>
          </w:p>
          <w:p>
            <w:pPr>
              <w:adjustRightInd w:val="0"/>
              <w:snapToGrid w:val="0"/>
              <w:spacing w:line="360" w:lineRule="auto"/>
              <w:ind w:firstLine="420" w:firstLineChars="200"/>
              <w:rPr>
                <w:color w:val="auto"/>
                <w:szCs w:val="21"/>
              </w:rPr>
            </w:pPr>
            <w:r>
              <w:rPr>
                <w:color w:val="auto"/>
                <w:szCs w:val="21"/>
              </w:rPr>
              <w:t>a.投标保证金金额符合招标文件规定的金额，且投标保证金有效期不少于投标有效期；</w:t>
            </w:r>
          </w:p>
        </w:tc>
      </w:tr>
    </w:tbl>
    <w:p>
      <w:pPr>
        <w:rPr>
          <w:color w:val="auto"/>
        </w:rPr>
      </w:pP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78"/>
        <w:gridCol w:w="238"/>
        <w:gridCol w:w="445"/>
        <w:gridCol w:w="407"/>
        <w:gridCol w:w="281"/>
        <w:gridCol w:w="637"/>
        <w:gridCol w:w="1120"/>
        <w:gridCol w:w="711"/>
        <w:gridCol w:w="3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4" w:hRule="atLeast"/>
        </w:trPr>
        <w:tc>
          <w:tcPr>
            <w:tcW w:w="967" w:type="dxa"/>
            <w:tcBorders>
              <w:bottom w:val="single" w:color="auto" w:sz="4" w:space="0"/>
              <w:right w:val="single" w:color="auto" w:sz="4" w:space="0"/>
            </w:tcBorders>
            <w:noWrap w:val="0"/>
            <w:vAlign w:val="center"/>
          </w:tcPr>
          <w:p>
            <w:pPr>
              <w:adjustRightInd w:val="0"/>
              <w:snapToGrid w:val="0"/>
              <w:spacing w:line="360" w:lineRule="auto"/>
              <w:jc w:val="center"/>
              <w:rPr>
                <w:color w:val="auto"/>
                <w:szCs w:val="21"/>
              </w:rPr>
            </w:pPr>
          </w:p>
        </w:tc>
        <w:tc>
          <w:tcPr>
            <w:tcW w:w="1268" w:type="dxa"/>
            <w:gridSpan w:val="4"/>
            <w:tcBorders>
              <w:bottom w:val="single" w:color="auto" w:sz="4" w:space="0"/>
              <w:right w:val="single" w:color="auto" w:sz="4" w:space="0"/>
            </w:tcBorders>
            <w:noWrap w:val="0"/>
            <w:vAlign w:val="center"/>
          </w:tcPr>
          <w:p>
            <w:pPr>
              <w:adjustRightInd w:val="0"/>
              <w:snapToGrid w:val="0"/>
              <w:spacing w:line="360" w:lineRule="auto"/>
              <w:jc w:val="center"/>
              <w:rPr>
                <w:color w:val="auto"/>
                <w:szCs w:val="21"/>
              </w:rPr>
            </w:pPr>
          </w:p>
        </w:tc>
        <w:tc>
          <w:tcPr>
            <w:tcW w:w="665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rPr>
                <w:color w:val="auto"/>
                <w:szCs w:val="21"/>
              </w:rPr>
            </w:pPr>
            <w:r>
              <w:rPr>
                <w:color w:val="auto"/>
                <w:szCs w:val="21"/>
              </w:rPr>
              <w:t>b.</w:t>
            </w:r>
            <w:r>
              <w:rPr>
                <w:color w:val="auto"/>
                <w:kern w:val="0"/>
                <w:sz w:val="20"/>
                <w:szCs w:val="20"/>
              </w:rPr>
              <w:t xml:space="preserve"> </w:t>
            </w:r>
            <w:r>
              <w:rPr>
                <w:color w:val="auto"/>
                <w:szCs w:val="21"/>
              </w:rPr>
              <w:t>若投标保证金采用现金或支票形式提交，投标人应在投标人须知3.4.1 款规定的时间，将投标保证金由投标人的基本账户转入招标人指定账户；</w:t>
            </w:r>
          </w:p>
          <w:p>
            <w:pPr>
              <w:adjustRightInd w:val="0"/>
              <w:snapToGrid w:val="0"/>
              <w:spacing w:line="360" w:lineRule="auto"/>
              <w:ind w:firstLine="420" w:firstLineChars="200"/>
              <w:rPr>
                <w:color w:val="auto"/>
                <w:szCs w:val="21"/>
              </w:rPr>
            </w:pPr>
            <w:r>
              <w:rPr>
                <w:color w:val="auto"/>
                <w:szCs w:val="21"/>
              </w:rPr>
              <w:t>c.</w:t>
            </w:r>
            <w:r>
              <w:rPr>
                <w:color w:val="auto"/>
                <w:kern w:val="0"/>
                <w:sz w:val="20"/>
                <w:szCs w:val="20"/>
              </w:rPr>
              <w:t xml:space="preserve"> </w:t>
            </w:r>
            <w:r>
              <w:rPr>
                <w:color w:val="auto"/>
                <w:szCs w:val="21"/>
              </w:rPr>
              <w:t>若投标保证金采用银行保函形式提交，银行保函的格式、开具保函的银行均满足招标文件要求，银行保函原件在递交投标文件时单独密封递交，其复印件装订在投标文件中。</w:t>
            </w:r>
          </w:p>
          <w:p>
            <w:pPr>
              <w:adjustRightInd w:val="0"/>
              <w:snapToGrid w:val="0"/>
              <w:spacing w:line="360" w:lineRule="auto"/>
              <w:ind w:firstLine="420" w:firstLineChars="200"/>
              <w:rPr>
                <w:color w:val="auto"/>
                <w:szCs w:val="21"/>
              </w:rPr>
            </w:pPr>
            <w:r>
              <w:rPr>
                <w:color w:val="auto"/>
                <w:szCs w:val="21"/>
              </w:rPr>
              <w:t>（4）投标人法定代表人授权委托代理人签署投标文件的，需提交授权委托书，且授权人和被授权人均在授权委托书上签名，未使用印章、签名章或其他电子制版签名代替。</w:t>
            </w:r>
          </w:p>
          <w:p>
            <w:pPr>
              <w:adjustRightInd w:val="0"/>
              <w:snapToGrid w:val="0"/>
              <w:spacing w:line="360" w:lineRule="auto"/>
              <w:ind w:firstLine="420" w:firstLineChars="200"/>
              <w:rPr>
                <w:color w:val="auto"/>
                <w:szCs w:val="21"/>
              </w:rPr>
            </w:pPr>
            <w:r>
              <w:rPr>
                <w:color w:val="auto"/>
                <w:szCs w:val="21"/>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color w:val="auto"/>
                <w:szCs w:val="21"/>
              </w:rPr>
            </w:pPr>
            <w:r>
              <w:rPr>
                <w:color w:val="auto"/>
                <w:szCs w:val="21"/>
              </w:rPr>
              <w:t>（6）投标人以联合体形式投标时，联合体满足招标文件的要求：</w:t>
            </w:r>
          </w:p>
          <w:p>
            <w:pPr>
              <w:adjustRightInd w:val="0"/>
              <w:snapToGrid w:val="0"/>
              <w:spacing w:line="360" w:lineRule="auto"/>
              <w:ind w:firstLine="420" w:firstLineChars="200"/>
              <w:rPr>
                <w:color w:val="auto"/>
                <w:szCs w:val="21"/>
              </w:rPr>
            </w:pPr>
            <w:r>
              <w:rPr>
                <w:color w:val="auto"/>
                <w:szCs w:val="21"/>
              </w:rPr>
              <w:t>a.未进行资格预审的，投标人按照招标文件提供的格式签订了联合体协议书，</w:t>
            </w:r>
            <w:r>
              <w:rPr>
                <w:color w:val="auto"/>
              </w:rPr>
              <w:t>明确各方承担连带责任，</w:t>
            </w:r>
            <w:r>
              <w:rPr>
                <w:color w:val="auto"/>
                <w:szCs w:val="21"/>
              </w:rPr>
              <w:t>并明确了联合体牵头人；</w:t>
            </w:r>
          </w:p>
          <w:p>
            <w:pPr>
              <w:adjustRightInd w:val="0"/>
              <w:snapToGrid w:val="0"/>
              <w:spacing w:line="360" w:lineRule="auto"/>
              <w:ind w:firstLine="420" w:firstLineChars="200"/>
              <w:rPr>
                <w:color w:val="auto"/>
                <w:szCs w:val="21"/>
              </w:rPr>
            </w:pPr>
            <w:r>
              <w:rPr>
                <w:color w:val="auto"/>
                <w:szCs w:val="21"/>
              </w:rPr>
              <w:t>b.已进行资格预审的，投标人提供了资格预审申请文件中所附的联合体协议书复印件，且通过资格预审后的联合体无成员增减或更换的情况。</w:t>
            </w:r>
          </w:p>
          <w:p>
            <w:pPr>
              <w:adjustRightInd w:val="0"/>
              <w:snapToGrid w:val="0"/>
              <w:spacing w:line="360" w:lineRule="auto"/>
              <w:ind w:firstLine="420" w:firstLineChars="200"/>
              <w:rPr>
                <w:color w:val="auto"/>
                <w:szCs w:val="21"/>
              </w:rPr>
            </w:pPr>
            <w:r>
              <w:rPr>
                <w:color w:val="auto"/>
                <w:szCs w:val="21"/>
              </w:rPr>
              <w:t>（7）投标人如有分包计划，符合招标文件第二章“投标人须知”第1.11款规定，且按招标文件第九章“投标文件格式”的要求填写了“拟分包项目情况表”。</w:t>
            </w:r>
          </w:p>
          <w:p>
            <w:pPr>
              <w:adjustRightInd w:val="0"/>
              <w:snapToGrid w:val="0"/>
              <w:spacing w:line="360" w:lineRule="auto"/>
              <w:ind w:firstLine="420" w:firstLineChars="200"/>
              <w:rPr>
                <w:color w:val="auto"/>
                <w:szCs w:val="21"/>
              </w:rPr>
            </w:pPr>
            <w:r>
              <w:rPr>
                <w:color w:val="auto"/>
                <w:szCs w:val="21"/>
              </w:rPr>
              <w:t>（8）同一投标人未提交两个以上不同的投标文件，但招标文件要求提交备选投标的除外。</w:t>
            </w:r>
          </w:p>
          <w:p>
            <w:pPr>
              <w:adjustRightInd w:val="0"/>
              <w:snapToGrid w:val="0"/>
              <w:spacing w:line="360" w:lineRule="auto"/>
              <w:ind w:firstLine="420" w:firstLineChars="200"/>
              <w:rPr>
                <w:color w:val="auto"/>
                <w:szCs w:val="21"/>
              </w:rPr>
            </w:pPr>
            <w:r>
              <w:rPr>
                <w:color w:val="auto"/>
                <w:szCs w:val="21"/>
              </w:rPr>
              <w:t>（9）投标文件中未出现有关投标报价的内容。</w:t>
            </w:r>
          </w:p>
          <w:p>
            <w:pPr>
              <w:adjustRightInd w:val="0"/>
              <w:snapToGrid w:val="0"/>
              <w:spacing w:line="360" w:lineRule="auto"/>
              <w:ind w:firstLine="420" w:firstLineChars="200"/>
              <w:rPr>
                <w:color w:val="auto"/>
                <w:szCs w:val="21"/>
              </w:rPr>
            </w:pPr>
            <w:r>
              <w:rPr>
                <w:color w:val="auto"/>
                <w:szCs w:val="21"/>
              </w:rPr>
              <w:t>（10）投标文件载明的招标项目完成期限未超过招标文件规定的时限。</w:t>
            </w:r>
          </w:p>
          <w:p>
            <w:pPr>
              <w:adjustRightInd w:val="0"/>
              <w:snapToGrid w:val="0"/>
              <w:spacing w:line="360" w:lineRule="auto"/>
              <w:ind w:firstLine="420" w:firstLineChars="200"/>
              <w:rPr>
                <w:color w:val="auto"/>
                <w:szCs w:val="21"/>
              </w:rPr>
            </w:pPr>
            <w:r>
              <w:rPr>
                <w:color w:val="auto"/>
                <w:szCs w:val="21"/>
              </w:rPr>
              <w:t>（11）投标文件对招标文件的实质性要求和条件作出响应。</w:t>
            </w:r>
          </w:p>
          <w:p>
            <w:pPr>
              <w:adjustRightInd w:val="0"/>
              <w:snapToGrid w:val="0"/>
              <w:spacing w:line="360" w:lineRule="auto"/>
              <w:ind w:firstLine="420" w:firstLineChars="200"/>
              <w:rPr>
                <w:color w:val="auto"/>
                <w:szCs w:val="21"/>
              </w:rPr>
            </w:pPr>
            <w:r>
              <w:rPr>
                <w:color w:val="auto"/>
                <w:szCs w:val="21"/>
              </w:rPr>
              <w:t>（12）权利义务符合招标文件规定：</w:t>
            </w:r>
          </w:p>
          <w:p>
            <w:pPr>
              <w:adjustRightInd w:val="0"/>
              <w:snapToGrid w:val="0"/>
              <w:spacing w:line="360" w:lineRule="auto"/>
              <w:ind w:firstLine="420" w:firstLineChars="200"/>
              <w:rPr>
                <w:color w:val="auto"/>
                <w:szCs w:val="21"/>
              </w:rPr>
            </w:pPr>
            <w:r>
              <w:rPr>
                <w:color w:val="auto"/>
                <w:szCs w:val="21"/>
              </w:rPr>
              <w:t>a.投标人应接受招标文件规定的风险划分原则，未提出新的风险划分办法；</w:t>
            </w:r>
          </w:p>
          <w:p>
            <w:pPr>
              <w:adjustRightInd w:val="0"/>
              <w:snapToGrid w:val="0"/>
              <w:spacing w:line="360" w:lineRule="auto"/>
              <w:ind w:firstLine="420" w:firstLineChars="200"/>
              <w:rPr>
                <w:color w:val="auto"/>
                <w:szCs w:val="21"/>
              </w:rPr>
            </w:pPr>
            <w:r>
              <w:rPr>
                <w:color w:val="auto"/>
                <w:szCs w:val="21"/>
              </w:rPr>
              <w:t>b.投标人未增加发包人的责任范围，或减少投标人义务；</w:t>
            </w:r>
          </w:p>
          <w:p>
            <w:pPr>
              <w:adjustRightInd w:val="0"/>
              <w:snapToGrid w:val="0"/>
              <w:spacing w:line="360" w:lineRule="auto"/>
              <w:ind w:firstLine="420" w:firstLineChars="200"/>
              <w:rPr>
                <w:color w:val="auto"/>
                <w:szCs w:val="21"/>
              </w:rPr>
            </w:pPr>
            <w:r>
              <w:rPr>
                <w:color w:val="auto"/>
                <w:szCs w:val="21"/>
              </w:rPr>
              <w:t>c.投标人未提出不同的工程验收、计量、支付办法；</w:t>
            </w:r>
          </w:p>
          <w:p>
            <w:pPr>
              <w:adjustRightInd w:val="0"/>
              <w:snapToGrid w:val="0"/>
              <w:spacing w:line="360" w:lineRule="auto"/>
              <w:ind w:firstLine="420" w:firstLineChars="200"/>
              <w:rPr>
                <w:rFonts w:hint="eastAsia"/>
                <w:color w:val="auto"/>
                <w:szCs w:val="21"/>
              </w:rPr>
            </w:pPr>
            <w:r>
              <w:rPr>
                <w:color w:val="auto"/>
                <w:szCs w:val="21"/>
              </w:rPr>
              <w:t>d.投标人对合同纠纷、事故处理办法未提出异议；</w:t>
            </w:r>
          </w:p>
          <w:p>
            <w:pPr>
              <w:adjustRightInd w:val="0"/>
              <w:snapToGrid w:val="0"/>
              <w:spacing w:line="360" w:lineRule="auto"/>
              <w:ind w:firstLine="420" w:firstLineChars="200"/>
              <w:rPr>
                <w:color w:val="auto"/>
                <w:szCs w:val="21"/>
              </w:rPr>
            </w:pPr>
          </w:p>
          <w:p>
            <w:pPr>
              <w:adjustRightInd w:val="0"/>
              <w:snapToGrid w:val="0"/>
              <w:spacing w:line="360" w:lineRule="auto"/>
              <w:ind w:firstLine="420" w:firstLineChars="200"/>
              <w:rPr>
                <w:color w:val="auto"/>
                <w:szCs w:val="21"/>
              </w:rPr>
            </w:pPr>
            <w:r>
              <w:rPr>
                <w:color w:val="auto"/>
                <w:szCs w:val="21"/>
              </w:rPr>
              <w:t>e.投标人在投标活动中无欺诈行为；</w:t>
            </w:r>
          </w:p>
          <w:p>
            <w:pPr>
              <w:adjustRightInd w:val="0"/>
              <w:snapToGrid w:val="0"/>
              <w:spacing w:line="360" w:lineRule="auto"/>
              <w:ind w:firstLine="420" w:firstLineChars="200"/>
              <w:rPr>
                <w:color w:val="auto"/>
                <w:szCs w:val="21"/>
              </w:rPr>
            </w:pPr>
            <w:r>
              <w:rPr>
                <w:color w:val="auto"/>
                <w:szCs w:val="21"/>
              </w:rPr>
              <w:t>f.投标人未对合同条款有重要保留。</w:t>
            </w:r>
          </w:p>
          <w:p>
            <w:pPr>
              <w:adjustRightInd w:val="0"/>
              <w:snapToGrid w:val="0"/>
              <w:spacing w:line="360" w:lineRule="auto"/>
              <w:ind w:firstLine="420" w:firstLineChars="200"/>
              <w:rPr>
                <w:color w:val="auto"/>
                <w:szCs w:val="21"/>
              </w:rPr>
            </w:pPr>
            <w:r>
              <w:rPr>
                <w:color w:val="auto"/>
                <w:szCs w:val="21"/>
              </w:rPr>
              <w:t>（13）投标文件正、副本份数符合招标文件第二章“投标人须知”第3.7.4项规定。</w:t>
            </w:r>
          </w:p>
          <w:p>
            <w:pPr>
              <w:adjustRightInd w:val="0"/>
              <w:snapToGrid w:val="0"/>
              <w:spacing w:line="360" w:lineRule="auto"/>
              <w:ind w:firstLine="420" w:firstLineChars="200"/>
              <w:rPr>
                <w:color w:val="auto"/>
                <w:szCs w:val="21"/>
              </w:rPr>
            </w:pPr>
            <w:r>
              <w:rPr>
                <w:color w:val="auto"/>
                <w:szCs w:val="21"/>
              </w:rPr>
              <w:t>（14）投标文件未附有招标人不能接受的条件。</w:t>
            </w:r>
          </w:p>
          <w:p>
            <w:pPr>
              <w:adjustRightInd w:val="0"/>
              <w:snapToGrid w:val="0"/>
              <w:spacing w:line="360" w:lineRule="auto"/>
              <w:ind w:firstLine="420" w:firstLineChars="200"/>
              <w:rPr>
                <w:color w:val="auto"/>
                <w:szCs w:val="21"/>
              </w:rPr>
            </w:pPr>
          </w:p>
          <w:p>
            <w:pPr>
              <w:adjustRightInd w:val="0"/>
              <w:snapToGrid w:val="0"/>
              <w:spacing w:line="360" w:lineRule="auto"/>
              <w:ind w:firstLine="422" w:firstLineChars="200"/>
              <w:rPr>
                <w:b/>
                <w:color w:val="auto"/>
                <w:szCs w:val="21"/>
              </w:rPr>
            </w:pPr>
            <w:r>
              <w:rPr>
                <w:b/>
                <w:color w:val="auto"/>
                <w:szCs w:val="21"/>
              </w:rPr>
              <w:t>第二个信封（报价文件）评审标准：</w:t>
            </w:r>
          </w:p>
          <w:p>
            <w:pPr>
              <w:adjustRightInd w:val="0"/>
              <w:snapToGrid w:val="0"/>
              <w:spacing w:line="360" w:lineRule="auto"/>
              <w:ind w:firstLine="420" w:firstLineChars="200"/>
              <w:rPr>
                <w:color w:val="auto"/>
                <w:szCs w:val="21"/>
              </w:rPr>
            </w:pPr>
            <w:r>
              <w:rPr>
                <w:color w:val="auto"/>
                <w:szCs w:val="21"/>
              </w:rPr>
              <w:t>（1）投标文件按照招标文件规定的格式、内容填写，字迹清晰可辨：</w:t>
            </w:r>
          </w:p>
          <w:p>
            <w:pPr>
              <w:adjustRightInd w:val="0"/>
              <w:snapToGrid w:val="0"/>
              <w:spacing w:line="360" w:lineRule="auto"/>
              <w:ind w:firstLine="420" w:firstLineChars="200"/>
              <w:rPr>
                <w:color w:val="auto"/>
                <w:szCs w:val="21"/>
              </w:rPr>
            </w:pPr>
            <w:r>
              <w:rPr>
                <w:color w:val="auto"/>
                <w:szCs w:val="21"/>
              </w:rPr>
              <w:t>a.投标函按招标文件规定填报了项目名称、补遗书编号（如有）、投标价（包括大写金额和小写金额）；</w:t>
            </w:r>
          </w:p>
          <w:p>
            <w:pPr>
              <w:adjustRightInd w:val="0"/>
              <w:snapToGrid w:val="0"/>
              <w:spacing w:line="360" w:lineRule="auto"/>
              <w:ind w:firstLine="420" w:firstLineChars="200"/>
              <w:rPr>
                <w:color w:val="auto"/>
                <w:szCs w:val="21"/>
              </w:rPr>
            </w:pPr>
            <w:r>
              <w:rPr>
                <w:color w:val="auto"/>
                <w:szCs w:val="21"/>
              </w:rPr>
              <w:t>b.已标价工程量清单说明文字与招标文件规定一致，未进行实质性修改和删减；</w:t>
            </w:r>
          </w:p>
          <w:p>
            <w:pPr>
              <w:adjustRightInd w:val="0"/>
              <w:snapToGrid w:val="0"/>
              <w:spacing w:line="360" w:lineRule="auto"/>
              <w:ind w:firstLine="420" w:firstLineChars="200"/>
              <w:rPr>
                <w:color w:val="auto"/>
                <w:szCs w:val="21"/>
              </w:rPr>
            </w:pPr>
            <w:r>
              <w:rPr>
                <w:color w:val="auto"/>
                <w:szCs w:val="21"/>
              </w:rPr>
              <w:t>c.投标文件组成齐全完整，内容均按规定填写。</w:t>
            </w:r>
          </w:p>
          <w:p>
            <w:pPr>
              <w:adjustRightInd w:val="0"/>
              <w:snapToGrid w:val="0"/>
              <w:spacing w:line="360" w:lineRule="auto"/>
              <w:ind w:firstLine="420" w:firstLineChars="200"/>
              <w:rPr>
                <w:color w:val="auto"/>
                <w:szCs w:val="21"/>
              </w:rPr>
            </w:pPr>
            <w:r>
              <w:rPr>
                <w:color w:val="auto"/>
                <w:szCs w:val="21"/>
              </w:rPr>
              <w:t>（2）投标文件上法定代表人或其委托代理人的签字、投标人的单位章盖章齐全，符合招标文件规定。</w:t>
            </w:r>
          </w:p>
          <w:p>
            <w:pPr>
              <w:adjustRightInd w:val="0"/>
              <w:snapToGrid w:val="0"/>
              <w:spacing w:line="360" w:lineRule="auto"/>
              <w:ind w:firstLine="420" w:firstLineChars="200"/>
              <w:rPr>
                <w:color w:val="auto"/>
                <w:szCs w:val="21"/>
              </w:rPr>
            </w:pPr>
            <w:r>
              <w:rPr>
                <w:color w:val="auto"/>
                <w:szCs w:val="21"/>
              </w:rPr>
              <w:t>（3）投标报价或调价函中的报价</w:t>
            </w:r>
            <w:r>
              <w:rPr>
                <w:rFonts w:hint="eastAsia"/>
                <w:color w:val="auto"/>
                <w:szCs w:val="21"/>
              </w:rPr>
              <w:t>不超过</w:t>
            </w:r>
            <w:r>
              <w:rPr>
                <w:color w:val="auto"/>
                <w:szCs w:val="21"/>
              </w:rPr>
              <w:t>招标文件设定的最高评标限价。</w:t>
            </w:r>
          </w:p>
          <w:p>
            <w:pPr>
              <w:adjustRightInd w:val="0"/>
              <w:snapToGrid w:val="0"/>
              <w:spacing w:line="360" w:lineRule="auto"/>
              <w:ind w:firstLine="420" w:firstLineChars="200"/>
              <w:rPr>
                <w:color w:val="auto"/>
                <w:szCs w:val="21"/>
              </w:rPr>
            </w:pPr>
            <w:r>
              <w:rPr>
                <w:color w:val="auto"/>
                <w:szCs w:val="21"/>
              </w:rPr>
              <w:t>（4）投标报价或调价函中报价的大写金额能够确定具体数值。</w:t>
            </w:r>
          </w:p>
          <w:p>
            <w:pPr>
              <w:adjustRightInd w:val="0"/>
              <w:snapToGrid w:val="0"/>
              <w:spacing w:line="360" w:lineRule="auto"/>
              <w:ind w:firstLine="420" w:firstLineChars="200"/>
              <w:rPr>
                <w:color w:val="auto"/>
                <w:szCs w:val="21"/>
              </w:rPr>
            </w:pPr>
            <w:r>
              <w:rPr>
                <w:color w:val="auto"/>
                <w:szCs w:val="21"/>
              </w:rPr>
              <w:t>（5）同一投标人未提交两个以上不同的投标报价，但招标文件要求提交备选投标的除外。</w:t>
            </w:r>
          </w:p>
          <w:p>
            <w:pPr>
              <w:adjustRightInd w:val="0"/>
              <w:snapToGrid w:val="0"/>
              <w:spacing w:line="360" w:lineRule="auto"/>
              <w:ind w:firstLine="420" w:firstLineChars="200"/>
              <w:rPr>
                <w:color w:val="auto"/>
                <w:szCs w:val="21"/>
              </w:rPr>
            </w:pPr>
            <w:r>
              <w:rPr>
                <w:color w:val="auto"/>
                <w:szCs w:val="21"/>
              </w:rPr>
              <w:t>（6）投标人若提交调价函，调价函符合招标文件第二章“投标人须知”第3.2.6项要求。</w:t>
            </w:r>
          </w:p>
          <w:p>
            <w:pPr>
              <w:adjustRightInd w:val="0"/>
              <w:snapToGrid w:val="0"/>
              <w:spacing w:line="360" w:lineRule="auto"/>
              <w:ind w:firstLine="420" w:firstLineChars="200"/>
              <w:rPr>
                <w:color w:val="auto"/>
                <w:szCs w:val="21"/>
              </w:rPr>
            </w:pPr>
            <w:r>
              <w:rPr>
                <w:color w:val="auto"/>
                <w:szCs w:val="21"/>
              </w:rPr>
              <w:t>（7）投标人若填写工程量固化清单，填写完毕的工程量固化清单未对工程量固化清单电子文件中的数据、格式和运算定义进行修改；工程量固化清单中的投标报价和投标函大写金额报价一致。</w:t>
            </w:r>
          </w:p>
          <w:p>
            <w:pPr>
              <w:adjustRightInd w:val="0"/>
              <w:snapToGrid w:val="0"/>
              <w:spacing w:line="360" w:lineRule="auto"/>
              <w:ind w:firstLine="384" w:firstLineChars="183"/>
              <w:rPr>
                <w:color w:val="auto"/>
                <w:szCs w:val="21"/>
              </w:rPr>
            </w:pPr>
            <w:r>
              <w:rPr>
                <w:color w:val="auto"/>
                <w:szCs w:val="21"/>
              </w:rPr>
              <w:t>（8）投标文件正、副本份数符合招标文件第二章“投标人须知”第3.7.4项规定。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8" w:hRule="atLeast"/>
        </w:trPr>
        <w:tc>
          <w:tcPr>
            <w:tcW w:w="967" w:type="dxa"/>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2.1.2</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资格评审</w:t>
            </w:r>
          </w:p>
          <w:p>
            <w:pPr>
              <w:adjustRightInd w:val="0"/>
              <w:snapToGrid w:val="0"/>
              <w:spacing w:line="360" w:lineRule="auto"/>
              <w:jc w:val="center"/>
              <w:rPr>
                <w:color w:val="auto"/>
                <w:szCs w:val="21"/>
              </w:rPr>
            </w:pPr>
            <w:r>
              <w:rPr>
                <w:color w:val="auto"/>
                <w:szCs w:val="21"/>
              </w:rPr>
              <w:t>标准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color w:val="auto"/>
                <w:szCs w:val="21"/>
              </w:rPr>
            </w:pPr>
            <w:r>
              <w:rPr>
                <w:color w:val="auto"/>
                <w:szCs w:val="21"/>
              </w:rPr>
              <w:t xml:space="preserve">（1）投标人具备有效的营业执照、组织机构代码证（如有）、资质证书、安全生产许可证和基本账户开户许可证。 </w:t>
            </w:r>
          </w:p>
          <w:p>
            <w:pPr>
              <w:adjustRightInd w:val="0"/>
              <w:snapToGrid w:val="0"/>
              <w:spacing w:line="360" w:lineRule="auto"/>
              <w:ind w:firstLine="420" w:firstLineChars="200"/>
              <w:rPr>
                <w:color w:val="auto"/>
                <w:szCs w:val="21"/>
              </w:rPr>
            </w:pPr>
            <w:r>
              <w:rPr>
                <w:color w:val="auto"/>
                <w:szCs w:val="21"/>
              </w:rPr>
              <w:t>（2）投标人的资质等级符合招标文件规定。</w:t>
            </w:r>
          </w:p>
          <w:p>
            <w:pPr>
              <w:adjustRightInd w:val="0"/>
              <w:snapToGrid w:val="0"/>
              <w:spacing w:line="360" w:lineRule="auto"/>
              <w:ind w:firstLine="420" w:firstLineChars="200"/>
              <w:rPr>
                <w:color w:val="auto"/>
                <w:szCs w:val="21"/>
              </w:rPr>
            </w:pPr>
            <w:r>
              <w:rPr>
                <w:color w:val="auto"/>
                <w:szCs w:val="21"/>
              </w:rPr>
              <w:t>（3）投标人的财务状况符合招标文件规定。</w:t>
            </w:r>
          </w:p>
          <w:p>
            <w:pPr>
              <w:adjustRightInd w:val="0"/>
              <w:snapToGrid w:val="0"/>
              <w:spacing w:line="360" w:lineRule="auto"/>
              <w:ind w:firstLine="420" w:firstLineChars="200"/>
              <w:rPr>
                <w:color w:val="auto"/>
                <w:szCs w:val="21"/>
              </w:rPr>
            </w:pPr>
            <w:r>
              <w:rPr>
                <w:color w:val="auto"/>
                <w:szCs w:val="21"/>
              </w:rPr>
              <w:t>（4）投标人的类似项目业绩符合招标文件规定。</w:t>
            </w:r>
          </w:p>
          <w:p>
            <w:pPr>
              <w:adjustRightInd w:val="0"/>
              <w:snapToGrid w:val="0"/>
              <w:spacing w:line="360" w:lineRule="auto"/>
              <w:ind w:firstLine="420" w:firstLineChars="200"/>
              <w:rPr>
                <w:color w:val="auto"/>
                <w:szCs w:val="21"/>
              </w:rPr>
            </w:pPr>
            <w:r>
              <w:rPr>
                <w:color w:val="auto"/>
                <w:szCs w:val="21"/>
              </w:rPr>
              <w:t>（5）投标人的信誉符合招标文件规定。</w:t>
            </w:r>
          </w:p>
          <w:p>
            <w:pPr>
              <w:adjustRightInd w:val="0"/>
              <w:snapToGrid w:val="0"/>
              <w:spacing w:line="360" w:lineRule="auto"/>
              <w:ind w:firstLine="420" w:firstLineChars="200"/>
              <w:rPr>
                <w:color w:val="auto"/>
                <w:szCs w:val="21"/>
              </w:rPr>
            </w:pPr>
            <w:r>
              <w:rPr>
                <w:color w:val="auto"/>
                <w:szCs w:val="21"/>
              </w:rPr>
              <w:t>（6）</w:t>
            </w:r>
            <w:r>
              <w:rPr>
                <w:rFonts w:hint="eastAsia"/>
                <w:color w:val="auto"/>
                <w:szCs w:val="21"/>
              </w:rPr>
              <w:t>投标人的项目经理和项目总工（均含备选，如有）资格、在岗情况符合招标文件规定，并按规定在投标文件中签字确认</w:t>
            </w:r>
            <w:r>
              <w:rPr>
                <w:color w:val="auto"/>
                <w:szCs w:val="21"/>
              </w:rPr>
              <w:t>。</w:t>
            </w:r>
          </w:p>
          <w:p>
            <w:pPr>
              <w:adjustRightInd w:val="0"/>
              <w:snapToGrid w:val="0"/>
              <w:spacing w:line="360" w:lineRule="auto"/>
              <w:ind w:firstLine="420" w:firstLineChars="200"/>
              <w:rPr>
                <w:color w:val="auto"/>
                <w:szCs w:val="21"/>
              </w:rPr>
            </w:pPr>
            <w:r>
              <w:rPr>
                <w:color w:val="auto"/>
                <w:szCs w:val="21"/>
              </w:rPr>
              <w:t>（7）投标人的其他要求符合招标文件规定。</w:t>
            </w:r>
            <w:r>
              <w:rPr>
                <w:color w:val="auto"/>
                <w:szCs w:val="21"/>
                <w:vertAlign w:val="superscript"/>
              </w:rPr>
              <w:footnoteReference w:id="0"/>
            </w:r>
          </w:p>
          <w:p>
            <w:pPr>
              <w:adjustRightInd w:val="0"/>
              <w:snapToGrid w:val="0"/>
              <w:spacing w:line="360" w:lineRule="auto"/>
              <w:ind w:firstLine="420" w:firstLineChars="200"/>
              <w:rPr>
                <w:color w:val="auto"/>
                <w:szCs w:val="21"/>
              </w:rPr>
            </w:pPr>
            <w:r>
              <w:rPr>
                <w:color w:val="auto"/>
                <w:szCs w:val="21"/>
              </w:rPr>
              <w:t>（8）投标人不存在第二章“投标人须知”第1.4.3项或第1.4.4项规定的任何一种情形。</w:t>
            </w:r>
          </w:p>
          <w:p>
            <w:pPr>
              <w:adjustRightInd w:val="0"/>
              <w:snapToGrid w:val="0"/>
              <w:spacing w:line="360" w:lineRule="auto"/>
              <w:ind w:firstLine="420" w:firstLineChars="200"/>
              <w:rPr>
                <w:color w:val="auto"/>
                <w:szCs w:val="21"/>
              </w:rPr>
            </w:pPr>
            <w:r>
              <w:rPr>
                <w:color w:val="auto"/>
                <w:szCs w:val="21"/>
              </w:rPr>
              <w:t>（9）投标人符合第二章“投标人须知”第1.4.5项规定。</w:t>
            </w:r>
            <w:r>
              <w:rPr>
                <w:rStyle w:val="10"/>
                <w:color w:val="auto"/>
              </w:rPr>
              <w:footnoteReference w:id="1"/>
            </w:r>
          </w:p>
          <w:p>
            <w:pPr>
              <w:adjustRightInd w:val="0"/>
              <w:snapToGrid w:val="0"/>
              <w:spacing w:line="360" w:lineRule="auto"/>
              <w:ind w:firstLine="420" w:firstLineChars="200"/>
              <w:rPr>
                <w:color w:val="auto"/>
                <w:szCs w:val="21"/>
              </w:rPr>
            </w:pPr>
            <w:r>
              <w:rPr>
                <w:color w:val="auto"/>
                <w:szCs w:val="21"/>
              </w:rPr>
              <w:t>（10）以联合体形式参与投标的，联合体各方均未再以自己名义单独或参加其他联合体在同一标段中投标；独立参与投标的，投标人未同时参加联合体在同一标段中投标。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b/>
                <w:color w:val="auto"/>
                <w:szCs w:val="21"/>
              </w:rPr>
            </w:pPr>
            <w:r>
              <w:rPr>
                <w:b/>
                <w:color w:val="auto"/>
                <w:szCs w:val="21"/>
              </w:rPr>
              <w:t>条款号</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b/>
                <w:color w:val="auto"/>
                <w:szCs w:val="21"/>
              </w:rPr>
            </w:pPr>
            <w:r>
              <w:rPr>
                <w:b/>
                <w:color w:val="auto"/>
                <w:szCs w:val="21"/>
              </w:rPr>
              <w:t>条款内容</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b/>
                <w:color w:val="auto"/>
                <w:szCs w:val="21"/>
              </w:rPr>
            </w:pPr>
            <w:r>
              <w:rPr>
                <w:b/>
                <w:color w:val="auto"/>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2.2.1</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第一个信封评分分值构成</w:t>
            </w:r>
          </w:p>
          <w:p>
            <w:pPr>
              <w:adjustRightInd w:val="0"/>
              <w:snapToGrid w:val="0"/>
              <w:spacing w:line="360" w:lineRule="auto"/>
              <w:ind w:left="-105" w:leftChars="-50" w:right="-105" w:rightChars="-50"/>
              <w:jc w:val="center"/>
              <w:rPr>
                <w:color w:val="auto"/>
                <w:szCs w:val="21"/>
              </w:rPr>
            </w:pPr>
            <w:r>
              <w:rPr>
                <w:color w:val="auto"/>
                <w:szCs w:val="21"/>
              </w:rPr>
              <w:t>（总分100分）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施工组织设计：</w:t>
            </w:r>
            <w:r>
              <w:rPr>
                <w:rFonts w:hint="eastAsia" w:ascii="宋体" w:hAnsi="宋体" w:eastAsia="宋体" w:cs="宋体"/>
                <w:color w:val="auto"/>
                <w:szCs w:val="21"/>
                <w:u w:val="single"/>
                <w:lang w:val="en-US" w:eastAsia="zh-CN"/>
              </w:rPr>
              <w:t>25</w:t>
            </w:r>
            <w:r>
              <w:rPr>
                <w:rFonts w:hint="eastAsia" w:ascii="宋体" w:hAnsi="宋体" w:eastAsia="宋体" w:cs="宋体"/>
                <w:color w:val="auto"/>
                <w:szCs w:val="21"/>
              </w:rPr>
              <w:t>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主要人员：</w:t>
            </w:r>
            <w:r>
              <w:rPr>
                <w:rFonts w:hint="eastAsia" w:ascii="宋体" w:hAnsi="宋体" w:eastAsia="宋体" w:cs="宋体"/>
                <w:color w:val="auto"/>
                <w:szCs w:val="21"/>
                <w:u w:val="single"/>
                <w:lang w:val="en-US" w:eastAsia="zh-CN"/>
              </w:rPr>
              <w:t>40</w:t>
            </w:r>
            <w:r>
              <w:rPr>
                <w:rFonts w:hint="eastAsia" w:ascii="宋体" w:hAnsi="宋体" w:eastAsia="宋体" w:cs="宋体"/>
                <w:color w:val="auto"/>
                <w:szCs w:val="21"/>
              </w:rPr>
              <w:t>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技术能力：</w:t>
            </w:r>
            <w:r>
              <w:rPr>
                <w:rFonts w:hint="eastAsia" w:ascii="宋体" w:hAnsi="宋体" w:eastAsia="宋体" w:cs="宋体"/>
                <w:color w:val="auto"/>
                <w:szCs w:val="21"/>
                <w:u w:val="single"/>
              </w:rPr>
              <w:t>20</w:t>
            </w:r>
            <w:r>
              <w:rPr>
                <w:rFonts w:hint="eastAsia" w:ascii="宋体" w:hAnsi="宋体" w:eastAsia="宋体" w:cs="宋体"/>
                <w:color w:val="auto"/>
                <w:szCs w:val="21"/>
              </w:rPr>
              <w:t xml:space="preserve">分 </w:t>
            </w:r>
          </w:p>
          <w:p>
            <w:pPr>
              <w:adjustRightInd w:val="0"/>
              <w:snapToGrid w:val="0"/>
              <w:spacing w:line="360" w:lineRule="auto"/>
              <w:ind w:firstLine="420" w:firstLineChars="200"/>
              <w:rPr>
                <w:color w:val="auto"/>
                <w:szCs w:val="21"/>
              </w:rPr>
            </w:pPr>
            <w:r>
              <w:rPr>
                <w:rFonts w:hint="eastAsia" w:ascii="宋体" w:hAnsi="宋体" w:eastAsia="宋体" w:cs="宋体"/>
                <w:color w:val="auto"/>
                <w:szCs w:val="21"/>
              </w:rPr>
              <w:t>履约信誉：</w:t>
            </w:r>
            <w:r>
              <w:rPr>
                <w:rFonts w:hint="eastAsia" w:ascii="宋体" w:hAnsi="宋体" w:eastAsia="宋体" w:cs="宋体"/>
                <w:color w:val="auto"/>
                <w:szCs w:val="21"/>
                <w:u w:val="single"/>
              </w:rPr>
              <w:t>15</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2.2.3</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第二个信封详细评审标准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80" w:lineRule="exact"/>
              <w:rPr>
                <w:color w:val="auto"/>
                <w:szCs w:val="21"/>
              </w:rPr>
            </w:pPr>
            <w:r>
              <w:rPr>
                <w:color w:val="auto"/>
                <w:szCs w:val="21"/>
              </w:rPr>
              <w:t>评标价计算公式：</w:t>
            </w:r>
          </w:p>
          <w:p>
            <w:pPr>
              <w:adjustRightInd w:val="0"/>
              <w:snapToGrid w:val="0"/>
              <w:spacing w:line="380" w:lineRule="exact"/>
              <w:ind w:firstLine="420" w:firstLineChars="200"/>
              <w:rPr>
                <w:color w:val="auto"/>
                <w:szCs w:val="21"/>
              </w:rPr>
            </w:pPr>
            <w:r>
              <w:rPr>
                <w:color w:val="auto"/>
                <w:szCs w:val="21"/>
              </w:rPr>
              <w:t>评标价＝修正后的投标报价－暂估价－暂列金额</w:t>
            </w:r>
          </w:p>
          <w:p>
            <w:pPr>
              <w:adjustRightInd w:val="0"/>
              <w:snapToGrid w:val="0"/>
              <w:spacing w:line="380" w:lineRule="exact"/>
              <w:ind w:firstLine="420" w:firstLineChars="200"/>
              <w:rPr>
                <w:color w:val="auto"/>
                <w:szCs w:val="21"/>
              </w:rPr>
            </w:pPr>
            <w:r>
              <w:rPr>
                <w:color w:val="auto"/>
                <w:szCs w:val="21"/>
              </w:rPr>
              <w:t>最高评标限价＝最高投标限价×9</w:t>
            </w:r>
            <w:r>
              <w:rPr>
                <w:rFonts w:hint="default"/>
                <w:color w:val="auto"/>
                <w:szCs w:val="21"/>
              </w:rPr>
              <w:t>5</w:t>
            </w:r>
            <w:r>
              <w:rPr>
                <w:color w:val="auto"/>
                <w:szCs w:val="21"/>
              </w:rPr>
              <w:t>%</w:t>
            </w:r>
          </w:p>
          <w:p>
            <w:pPr>
              <w:adjustRightInd w:val="0"/>
              <w:snapToGrid w:val="0"/>
              <w:spacing w:line="380" w:lineRule="exact"/>
              <w:ind w:firstLine="420" w:firstLineChars="200"/>
              <w:rPr>
                <w:color w:val="auto"/>
                <w:szCs w:val="21"/>
              </w:rPr>
            </w:pPr>
            <w:r>
              <w:rPr>
                <w:color w:val="auto"/>
                <w:szCs w:val="21"/>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w:t>
            </w:r>
            <w:r>
              <w:rPr>
                <w:rFonts w:hint="eastAsia"/>
                <w:color w:val="auto"/>
                <w:szCs w:val="21"/>
              </w:rPr>
              <w:t>，</w:t>
            </w:r>
            <w:r>
              <w:rPr>
                <w:color w:val="auto"/>
                <w:szCs w:val="21"/>
              </w:rPr>
              <w:t>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bookmarkStart w:id="44" w:name="_Hlk66709545"/>
            <w:r>
              <w:rPr>
                <w:color w:val="auto"/>
                <w:szCs w:val="21"/>
              </w:rPr>
              <w:t>3.2.4</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color w:val="auto"/>
                <w:szCs w:val="21"/>
              </w:rPr>
            </w:pPr>
            <w:r>
              <w:rPr>
                <w:color w:val="auto"/>
                <w:szCs w:val="21"/>
              </w:rPr>
              <w:t>通过第一个信封详细评审的投标人数量</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color w:val="auto"/>
                <w:szCs w:val="21"/>
                <w:u w:val="single"/>
              </w:rPr>
            </w:pPr>
            <w:r>
              <w:rPr>
                <w:color w:val="auto"/>
                <w:szCs w:val="21"/>
              </w:rPr>
              <w:t>按照投标人的商务和技术得分由高到低排序，选择</w:t>
            </w:r>
            <w:r>
              <w:rPr>
                <w:rFonts w:hint="eastAsia"/>
                <w:color w:val="auto"/>
                <w:szCs w:val="21"/>
                <w:u w:val="single"/>
              </w:rPr>
              <w:t>前</w:t>
            </w:r>
            <w:r>
              <w:rPr>
                <w:rFonts w:hint="default"/>
                <w:color w:val="auto"/>
                <w:szCs w:val="21"/>
                <w:u w:val="single"/>
              </w:rPr>
              <w:t>5</w:t>
            </w:r>
            <w:r>
              <w:rPr>
                <w:rFonts w:hint="eastAsia"/>
                <w:color w:val="auto"/>
                <w:szCs w:val="21"/>
                <w:u w:val="single"/>
              </w:rPr>
              <w:t>名</w:t>
            </w:r>
            <w:r>
              <w:rPr>
                <w:color w:val="auto"/>
                <w:szCs w:val="21"/>
              </w:rPr>
              <w:t>通过详细评审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84" w:type="dxa"/>
            <w:gridSpan w:val="9"/>
            <w:tcBorders>
              <w:top w:val="single" w:color="auto" w:sz="4" w:space="0"/>
            </w:tcBorders>
            <w:noWrap w:val="0"/>
            <w:vAlign w:val="top"/>
          </w:tcPr>
          <w:p>
            <w:pPr>
              <w:adjustRightInd w:val="0"/>
              <w:snapToGrid w:val="0"/>
              <w:spacing w:line="360" w:lineRule="auto"/>
              <w:jc w:val="center"/>
              <w:rPr>
                <w:b/>
                <w:color w:val="auto"/>
                <w:szCs w:val="21"/>
              </w:rPr>
            </w:pPr>
            <w:r>
              <w:rPr>
                <w:b/>
                <w:color w:val="auto"/>
                <w:szCs w:val="21"/>
              </w:rPr>
              <w:t>评分因素与权重分值</w:t>
            </w:r>
          </w:p>
        </w:tc>
        <w:tc>
          <w:tcPr>
            <w:tcW w:w="3907" w:type="dxa"/>
            <w:vMerge w:val="restart"/>
            <w:tcBorders>
              <w:top w:val="single" w:color="auto" w:sz="4" w:space="0"/>
            </w:tcBorders>
            <w:noWrap w:val="0"/>
            <w:vAlign w:val="center"/>
          </w:tcPr>
          <w:p>
            <w:pPr>
              <w:adjustRightInd w:val="0"/>
              <w:snapToGrid w:val="0"/>
              <w:spacing w:line="360" w:lineRule="auto"/>
              <w:jc w:val="center"/>
              <w:rPr>
                <w:b/>
                <w:color w:val="auto"/>
                <w:szCs w:val="21"/>
              </w:rPr>
            </w:pPr>
            <w:r>
              <w:rPr>
                <w:b/>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3" w:type="dxa"/>
            <w:gridSpan w:val="3"/>
            <w:noWrap w:val="0"/>
            <w:vAlign w:val="center"/>
          </w:tcPr>
          <w:p>
            <w:pPr>
              <w:adjustRightInd w:val="0"/>
              <w:snapToGrid w:val="0"/>
              <w:spacing w:line="360" w:lineRule="auto"/>
              <w:jc w:val="center"/>
              <w:rPr>
                <w:b/>
                <w:color w:val="auto"/>
                <w:szCs w:val="21"/>
              </w:rPr>
            </w:pPr>
            <w:bookmarkStart w:id="45" w:name="_Hlk12615626"/>
            <w:r>
              <w:rPr>
                <w:b/>
                <w:color w:val="auto"/>
                <w:szCs w:val="21"/>
              </w:rPr>
              <w:t>条款号</w:t>
            </w:r>
          </w:p>
        </w:tc>
        <w:tc>
          <w:tcPr>
            <w:tcW w:w="1133" w:type="dxa"/>
            <w:gridSpan w:val="3"/>
            <w:noWrap w:val="0"/>
            <w:vAlign w:val="center"/>
          </w:tcPr>
          <w:p>
            <w:pPr>
              <w:adjustRightInd w:val="0"/>
              <w:snapToGrid w:val="0"/>
              <w:spacing w:line="360" w:lineRule="auto"/>
              <w:jc w:val="center"/>
              <w:rPr>
                <w:b/>
                <w:color w:val="auto"/>
                <w:szCs w:val="21"/>
              </w:rPr>
            </w:pPr>
            <w:r>
              <w:rPr>
                <w:b/>
                <w:color w:val="auto"/>
                <w:szCs w:val="21"/>
              </w:rPr>
              <w:t>评分因素</w:t>
            </w:r>
          </w:p>
        </w:tc>
        <w:tc>
          <w:tcPr>
            <w:tcW w:w="637" w:type="dxa"/>
            <w:noWrap w:val="0"/>
            <w:vAlign w:val="center"/>
          </w:tcPr>
          <w:p>
            <w:pPr>
              <w:adjustRightInd w:val="0"/>
              <w:snapToGrid w:val="0"/>
              <w:spacing w:line="360" w:lineRule="auto"/>
              <w:ind w:left="-105" w:leftChars="-50" w:right="-105" w:rightChars="-50"/>
              <w:jc w:val="center"/>
              <w:rPr>
                <w:b/>
                <w:color w:val="auto"/>
                <w:szCs w:val="21"/>
              </w:rPr>
            </w:pPr>
            <w:r>
              <w:rPr>
                <w:b/>
                <w:color w:val="auto"/>
                <w:szCs w:val="21"/>
              </w:rPr>
              <w:t>评分因素权重分值</w:t>
            </w:r>
          </w:p>
        </w:tc>
        <w:tc>
          <w:tcPr>
            <w:tcW w:w="1120" w:type="dxa"/>
            <w:noWrap w:val="0"/>
            <w:vAlign w:val="center"/>
          </w:tcPr>
          <w:p>
            <w:pPr>
              <w:adjustRightInd w:val="0"/>
              <w:snapToGrid w:val="0"/>
              <w:spacing w:line="360" w:lineRule="auto"/>
              <w:jc w:val="center"/>
              <w:rPr>
                <w:b/>
                <w:color w:val="auto"/>
                <w:szCs w:val="21"/>
              </w:rPr>
            </w:pPr>
            <w:r>
              <w:rPr>
                <w:b/>
                <w:color w:val="auto"/>
                <w:szCs w:val="21"/>
              </w:rPr>
              <w:t>各评分因素细分项</w:t>
            </w:r>
          </w:p>
        </w:tc>
        <w:tc>
          <w:tcPr>
            <w:tcW w:w="711" w:type="dxa"/>
            <w:noWrap w:val="0"/>
            <w:vAlign w:val="center"/>
          </w:tcPr>
          <w:p>
            <w:pPr>
              <w:adjustRightInd w:val="0"/>
              <w:snapToGrid w:val="0"/>
              <w:spacing w:line="360" w:lineRule="auto"/>
              <w:jc w:val="right"/>
              <w:rPr>
                <w:b/>
                <w:color w:val="auto"/>
                <w:szCs w:val="21"/>
              </w:rPr>
            </w:pPr>
            <w:r>
              <w:rPr>
                <w:b/>
                <w:color w:val="auto"/>
                <w:szCs w:val="21"/>
              </w:rPr>
              <w:t>分值</w:t>
            </w:r>
          </w:p>
        </w:tc>
        <w:tc>
          <w:tcPr>
            <w:tcW w:w="3907" w:type="dxa"/>
            <w:vMerge w:val="continue"/>
            <w:noWrap w:val="0"/>
            <w:vAlign w:val="top"/>
          </w:tcPr>
          <w:p>
            <w:pPr>
              <w:adjustRightInd w:val="0"/>
              <w:snapToGrid w:val="0"/>
              <w:spacing w:line="360" w:lineRule="auto"/>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color w:val="auto"/>
                <w:szCs w:val="21"/>
              </w:rPr>
            </w:pPr>
            <w:r>
              <w:rPr>
                <w:color w:val="auto"/>
                <w:szCs w:val="21"/>
              </w:rPr>
              <w:t>2.2.2（1）</w:t>
            </w:r>
          </w:p>
        </w:tc>
        <w:tc>
          <w:tcPr>
            <w:tcW w:w="1133" w:type="dxa"/>
            <w:gridSpan w:val="3"/>
            <w:vMerge w:val="restart"/>
            <w:noWrap w:val="0"/>
            <w:vAlign w:val="center"/>
          </w:tcPr>
          <w:p>
            <w:pPr>
              <w:adjustRightInd w:val="0"/>
              <w:snapToGrid w:val="0"/>
              <w:spacing w:line="360" w:lineRule="auto"/>
              <w:jc w:val="center"/>
              <w:rPr>
                <w:color w:val="auto"/>
                <w:szCs w:val="21"/>
              </w:rPr>
            </w:pPr>
            <w:r>
              <w:rPr>
                <w:color w:val="auto"/>
                <w:szCs w:val="21"/>
              </w:rPr>
              <w:t>施工组织设计</w:t>
            </w:r>
          </w:p>
        </w:tc>
        <w:tc>
          <w:tcPr>
            <w:tcW w:w="637" w:type="dxa"/>
            <w:vMerge w:val="restart"/>
            <w:noWrap w:val="0"/>
            <w:vAlign w:val="center"/>
          </w:tcPr>
          <w:p>
            <w:pPr>
              <w:adjustRightInd w:val="0"/>
              <w:snapToGrid w:val="0"/>
              <w:spacing w:line="360" w:lineRule="auto"/>
              <w:jc w:val="right"/>
              <w:rPr>
                <w:color w:val="auto"/>
                <w:szCs w:val="21"/>
                <w:u w:val="single"/>
              </w:rPr>
            </w:pPr>
            <w:r>
              <w:rPr>
                <w:color w:val="auto"/>
                <w:szCs w:val="21"/>
                <w:u w:val="single"/>
              </w:rPr>
              <w:t xml:space="preserve">   </w:t>
            </w:r>
            <w:r>
              <w:rPr>
                <w:rFonts w:hint="default"/>
                <w:color w:val="auto"/>
                <w:szCs w:val="21"/>
                <w:u w:val="single"/>
              </w:rPr>
              <w:t>2</w:t>
            </w:r>
            <w:r>
              <w:rPr>
                <w:rFonts w:hint="eastAsia"/>
                <w:color w:val="auto"/>
                <w:szCs w:val="21"/>
                <w:u w:val="single"/>
              </w:rPr>
              <w:t>5</w:t>
            </w:r>
            <w:r>
              <w:rPr>
                <w:color w:val="auto"/>
                <w:szCs w:val="21"/>
              </w:rPr>
              <w:t>分</w:t>
            </w:r>
          </w:p>
        </w:tc>
        <w:tc>
          <w:tcPr>
            <w:tcW w:w="1120" w:type="dxa"/>
            <w:noWrap w:val="0"/>
            <w:vAlign w:val="center"/>
          </w:tcPr>
          <w:p>
            <w:pPr>
              <w:adjustRightInd w:val="0"/>
              <w:snapToGrid w:val="0"/>
              <w:spacing w:line="360" w:lineRule="auto"/>
              <w:ind w:right="113"/>
              <w:jc w:val="left"/>
              <w:rPr>
                <w:color w:val="auto"/>
                <w:szCs w:val="21"/>
              </w:rPr>
            </w:pPr>
            <w:r>
              <w:rPr>
                <w:color w:val="auto"/>
                <w:szCs w:val="21"/>
              </w:rPr>
              <w:t>工期保证体系及保证措施</w:t>
            </w:r>
          </w:p>
        </w:tc>
        <w:tc>
          <w:tcPr>
            <w:tcW w:w="711" w:type="dxa"/>
            <w:noWrap w:val="0"/>
            <w:vAlign w:val="center"/>
          </w:tcPr>
          <w:p>
            <w:pPr>
              <w:adjustRightInd w:val="0"/>
              <w:snapToGrid w:val="0"/>
              <w:spacing w:line="360" w:lineRule="auto"/>
              <w:jc w:val="center"/>
              <w:rPr>
                <w:color w:val="auto"/>
                <w:szCs w:val="21"/>
              </w:rPr>
            </w:pP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rPr>
              <w:t>分</w:t>
            </w:r>
          </w:p>
        </w:tc>
        <w:tc>
          <w:tcPr>
            <w:tcW w:w="3907" w:type="dxa"/>
            <w:noWrap w:val="0"/>
            <w:vAlign w:val="top"/>
          </w:tcPr>
          <w:p>
            <w:pPr>
              <w:autoSpaceDE w:val="0"/>
              <w:autoSpaceDN w:val="0"/>
              <w:adjustRightInd w:val="0"/>
              <w:snapToGrid w:val="0"/>
              <w:spacing w:line="360" w:lineRule="auto"/>
              <w:ind w:right="38" w:rightChars="18"/>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进度控制措施得当，对本项目的工期重要性理解特别透彻，对地形地貌特征、重点工序、天气、关键设备故障、与其他承包人衔接、社会环境等问题有切实可行的应对或应急方案，计划科学合理，可操作性高，得</w:t>
            </w: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分；</w:t>
            </w:r>
          </w:p>
          <w:p>
            <w:pPr>
              <w:autoSpaceDE w:val="0"/>
              <w:autoSpaceDN w:val="0"/>
              <w:adjustRightInd w:val="0"/>
              <w:snapToGrid w:val="0"/>
              <w:spacing w:line="360" w:lineRule="auto"/>
              <w:ind w:right="38" w:rightChars="18"/>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（2）工期保证体系及保证措施基本可行，内容较为充实、全面的，得</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分；</w:t>
            </w:r>
          </w:p>
          <w:p>
            <w:pPr>
              <w:autoSpaceDE w:val="0"/>
              <w:autoSpaceDN w:val="0"/>
              <w:adjustRightInd w:val="0"/>
              <w:snapToGrid w:val="0"/>
              <w:spacing w:line="360" w:lineRule="auto"/>
              <w:ind w:right="38" w:rightChars="18"/>
              <w:jc w:val="left"/>
              <w:rPr>
                <w:color w:val="auto"/>
                <w:kern w:val="0"/>
                <w:sz w:val="20"/>
                <w:szCs w:val="20"/>
              </w:rPr>
            </w:pPr>
            <w:r>
              <w:rPr>
                <w:rFonts w:hint="eastAsia" w:ascii="宋体" w:hAnsi="宋体" w:eastAsia="宋体" w:cs="宋体"/>
                <w:color w:val="auto"/>
                <w:kern w:val="0"/>
                <w:sz w:val="20"/>
                <w:szCs w:val="20"/>
              </w:rPr>
              <w:t>（3）一般但不被评定为不响应的，起评分</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color w:val="auto"/>
                <w:szCs w:val="21"/>
              </w:rPr>
            </w:pPr>
          </w:p>
        </w:tc>
        <w:tc>
          <w:tcPr>
            <w:tcW w:w="1133" w:type="dxa"/>
            <w:gridSpan w:val="3"/>
            <w:vMerge w:val="continue"/>
            <w:noWrap w:val="0"/>
            <w:vAlign w:val="center"/>
          </w:tcPr>
          <w:p>
            <w:pPr>
              <w:adjustRightInd w:val="0"/>
              <w:snapToGrid w:val="0"/>
              <w:spacing w:line="360" w:lineRule="auto"/>
              <w:jc w:val="center"/>
              <w:rPr>
                <w:color w:val="auto"/>
                <w:szCs w:val="21"/>
              </w:rPr>
            </w:pPr>
          </w:p>
        </w:tc>
        <w:tc>
          <w:tcPr>
            <w:tcW w:w="637" w:type="dxa"/>
            <w:vMerge w:val="continue"/>
            <w:noWrap w:val="0"/>
            <w:vAlign w:val="center"/>
          </w:tcPr>
          <w:p>
            <w:pPr>
              <w:adjustRightInd w:val="0"/>
              <w:snapToGrid w:val="0"/>
              <w:spacing w:line="360" w:lineRule="auto"/>
              <w:jc w:val="right"/>
              <w:rPr>
                <w:rFonts w:eastAsia="隶书"/>
                <w:b/>
                <w:color w:val="auto"/>
                <w:szCs w:val="21"/>
              </w:rPr>
            </w:pPr>
          </w:p>
        </w:tc>
        <w:tc>
          <w:tcPr>
            <w:tcW w:w="1120" w:type="dxa"/>
            <w:noWrap w:val="0"/>
            <w:vAlign w:val="center"/>
          </w:tcPr>
          <w:p>
            <w:pPr>
              <w:adjustRightInd w:val="0"/>
              <w:snapToGrid w:val="0"/>
              <w:spacing w:line="360" w:lineRule="auto"/>
              <w:ind w:right="113"/>
              <w:jc w:val="left"/>
              <w:rPr>
                <w:color w:val="auto"/>
                <w:szCs w:val="21"/>
              </w:rPr>
            </w:pPr>
            <w:r>
              <w:rPr>
                <w:color w:val="auto"/>
                <w:szCs w:val="21"/>
              </w:rPr>
              <w:t>质量、安全保证体系及保证措施</w:t>
            </w:r>
          </w:p>
        </w:tc>
        <w:tc>
          <w:tcPr>
            <w:tcW w:w="711" w:type="dxa"/>
            <w:noWrap w:val="0"/>
            <w:vAlign w:val="center"/>
          </w:tcPr>
          <w:p>
            <w:pPr>
              <w:adjustRightInd w:val="0"/>
              <w:snapToGrid w:val="0"/>
              <w:spacing w:line="360" w:lineRule="auto"/>
              <w:jc w:val="center"/>
              <w:rPr>
                <w:color w:val="auto"/>
                <w:szCs w:val="21"/>
              </w:rPr>
            </w:pP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rPr>
              <w:t>分</w:t>
            </w:r>
          </w:p>
        </w:tc>
        <w:tc>
          <w:tcPr>
            <w:tcW w:w="3907" w:type="dxa"/>
            <w:noWrap w:val="0"/>
            <w:vAlign w:val="top"/>
          </w:tcPr>
          <w:p>
            <w:pPr>
              <w:autoSpaceDE w:val="0"/>
              <w:autoSpaceDN w:val="0"/>
              <w:adjustRightInd w:val="0"/>
              <w:snapToGrid w:val="0"/>
              <w:spacing w:line="360" w:lineRule="auto"/>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（1）对本项目质量及安全控制有透彻的认识，对施工过程中可能发生的各种质量和安全问题有深刻的认识和合理的预见，并有相应的应对措施，应对措施应科学、充分，能有效处理各种突发问题的，得</w:t>
            </w: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～10分；</w:t>
            </w:r>
          </w:p>
          <w:p>
            <w:pPr>
              <w:autoSpaceDE w:val="0"/>
              <w:autoSpaceDN w:val="0"/>
              <w:adjustRightInd w:val="0"/>
              <w:snapToGrid w:val="0"/>
              <w:spacing w:line="360" w:lineRule="auto"/>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（2）对本项目质量及安全控制有一定的认识，基本能合理的预见施工过程中可能发生的各种质量和安全问题，并有相应的应对措施，应对措施较为科学、充分，基本能有效处理各种质量和安全问题的，得</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w:t>
            </w:r>
          </w:p>
          <w:p>
            <w:pPr>
              <w:autoSpaceDE w:val="0"/>
              <w:autoSpaceDN w:val="0"/>
              <w:adjustRightInd w:val="0"/>
              <w:snapToGrid w:val="0"/>
              <w:spacing w:line="360" w:lineRule="auto"/>
              <w:jc w:val="left"/>
              <w:rPr>
                <w:color w:val="auto"/>
                <w:kern w:val="0"/>
                <w:sz w:val="20"/>
                <w:szCs w:val="20"/>
              </w:rPr>
            </w:pPr>
            <w:r>
              <w:rPr>
                <w:rFonts w:hint="eastAsia" w:ascii="宋体" w:hAnsi="宋体" w:eastAsia="宋体" w:cs="宋体"/>
                <w:color w:val="auto"/>
                <w:kern w:val="0"/>
                <w:sz w:val="20"/>
                <w:szCs w:val="20"/>
              </w:rPr>
              <w:t>（3）一般但不被评定为不响应的，起评分</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color w:val="auto"/>
                <w:szCs w:val="21"/>
              </w:rPr>
            </w:pPr>
          </w:p>
        </w:tc>
        <w:tc>
          <w:tcPr>
            <w:tcW w:w="1133" w:type="dxa"/>
            <w:gridSpan w:val="3"/>
            <w:vMerge w:val="continue"/>
            <w:noWrap w:val="0"/>
            <w:vAlign w:val="center"/>
          </w:tcPr>
          <w:p>
            <w:pPr>
              <w:adjustRightInd w:val="0"/>
              <w:snapToGrid w:val="0"/>
              <w:spacing w:line="360" w:lineRule="auto"/>
              <w:jc w:val="center"/>
              <w:rPr>
                <w:color w:val="auto"/>
                <w:szCs w:val="21"/>
              </w:rPr>
            </w:pPr>
          </w:p>
        </w:tc>
        <w:tc>
          <w:tcPr>
            <w:tcW w:w="637" w:type="dxa"/>
            <w:vMerge w:val="continue"/>
            <w:noWrap w:val="0"/>
            <w:vAlign w:val="center"/>
          </w:tcPr>
          <w:p>
            <w:pPr>
              <w:adjustRightInd w:val="0"/>
              <w:snapToGrid w:val="0"/>
              <w:spacing w:line="360" w:lineRule="auto"/>
              <w:jc w:val="right"/>
              <w:rPr>
                <w:rFonts w:eastAsia="隶书"/>
                <w:b/>
                <w:color w:val="auto"/>
                <w:szCs w:val="21"/>
              </w:rPr>
            </w:pPr>
          </w:p>
        </w:tc>
        <w:tc>
          <w:tcPr>
            <w:tcW w:w="1120" w:type="dxa"/>
            <w:noWrap w:val="0"/>
            <w:vAlign w:val="center"/>
          </w:tcPr>
          <w:p>
            <w:pPr>
              <w:adjustRightInd w:val="0"/>
              <w:snapToGrid w:val="0"/>
              <w:spacing w:line="360" w:lineRule="auto"/>
              <w:ind w:right="113"/>
              <w:jc w:val="left"/>
              <w:rPr>
                <w:color w:val="auto"/>
                <w:szCs w:val="21"/>
              </w:rPr>
            </w:pPr>
            <w:r>
              <w:rPr>
                <w:color w:val="auto"/>
                <w:szCs w:val="21"/>
              </w:rPr>
              <w:t>环境保护、文明施工保证体系及措施</w:t>
            </w:r>
          </w:p>
        </w:tc>
        <w:tc>
          <w:tcPr>
            <w:tcW w:w="711" w:type="dxa"/>
            <w:noWrap w:val="0"/>
            <w:vAlign w:val="center"/>
          </w:tcPr>
          <w:p>
            <w:pPr>
              <w:adjustRightInd w:val="0"/>
              <w:snapToGrid w:val="0"/>
              <w:spacing w:line="360" w:lineRule="auto"/>
              <w:jc w:val="center"/>
              <w:rPr>
                <w:color w:val="auto"/>
                <w:szCs w:val="21"/>
              </w:rPr>
            </w:pP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rPr>
              <w:t>分</w:t>
            </w:r>
          </w:p>
        </w:tc>
        <w:tc>
          <w:tcPr>
            <w:tcW w:w="3907" w:type="dxa"/>
            <w:noWrap w:val="0"/>
            <w:vAlign w:val="top"/>
          </w:tcPr>
          <w:p>
            <w:pPr>
              <w:autoSpaceDE w:val="0"/>
              <w:autoSpaceDN w:val="0"/>
              <w:adjustRightInd w:val="0"/>
              <w:snapToGrid w:val="0"/>
              <w:spacing w:line="360" w:lineRule="auto"/>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（1）对本项目的环保及文明施工等工作有独到的见解，能制定科学的措施，施工做到符合环保的要求，对文明施工有相应的措施，能创造良好的施工环境的，得</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 xml:space="preserve"> 分；</w:t>
            </w:r>
          </w:p>
          <w:p>
            <w:pPr>
              <w:autoSpaceDE w:val="0"/>
              <w:autoSpaceDN w:val="0"/>
              <w:adjustRightInd w:val="0"/>
              <w:snapToGrid w:val="0"/>
              <w:spacing w:line="360" w:lineRule="auto"/>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（2）对工程环保及文明施工等工作制定有相关的措施，基本能满足本项目环保及文明施工的要求的，得</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分；</w:t>
            </w:r>
          </w:p>
          <w:p>
            <w:pPr>
              <w:autoSpaceDE w:val="0"/>
              <w:autoSpaceDN w:val="0"/>
              <w:adjustRightInd w:val="0"/>
              <w:snapToGrid w:val="0"/>
              <w:spacing w:line="360" w:lineRule="auto"/>
              <w:jc w:val="left"/>
              <w:rPr>
                <w:color w:val="auto"/>
                <w:kern w:val="0"/>
                <w:sz w:val="20"/>
                <w:szCs w:val="20"/>
              </w:rPr>
            </w:pPr>
            <w:r>
              <w:rPr>
                <w:rFonts w:hint="eastAsia" w:ascii="宋体" w:hAnsi="宋体" w:eastAsia="宋体" w:cs="宋体"/>
                <w:color w:val="auto"/>
                <w:kern w:val="0"/>
                <w:sz w:val="20"/>
                <w:szCs w:val="20"/>
              </w:rPr>
              <w:t>（3）一般但不被评定为不响应的，起评分</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ind w:left="-92" w:leftChars="-44" w:right="-88" w:rightChars="-42"/>
              <w:jc w:val="center"/>
              <w:rPr>
                <w:color w:val="auto"/>
                <w:szCs w:val="21"/>
              </w:rPr>
            </w:pPr>
            <w:r>
              <w:rPr>
                <w:color w:val="auto"/>
                <w:szCs w:val="21"/>
              </w:rPr>
              <w:t>2.2.2（2）</w:t>
            </w:r>
          </w:p>
        </w:tc>
        <w:tc>
          <w:tcPr>
            <w:tcW w:w="1133" w:type="dxa"/>
            <w:gridSpan w:val="3"/>
            <w:vMerge w:val="restart"/>
            <w:noWrap w:val="0"/>
            <w:vAlign w:val="center"/>
          </w:tcPr>
          <w:p>
            <w:pPr>
              <w:adjustRightInd w:val="0"/>
              <w:snapToGrid w:val="0"/>
              <w:spacing w:line="360" w:lineRule="auto"/>
              <w:jc w:val="center"/>
              <w:rPr>
                <w:color w:val="auto"/>
                <w:szCs w:val="21"/>
              </w:rPr>
            </w:pPr>
            <w:r>
              <w:rPr>
                <w:color w:val="auto"/>
                <w:szCs w:val="21"/>
              </w:rPr>
              <w:t>主要人员</w:t>
            </w:r>
          </w:p>
        </w:tc>
        <w:tc>
          <w:tcPr>
            <w:tcW w:w="637" w:type="dxa"/>
            <w:vMerge w:val="restart"/>
            <w:noWrap w:val="0"/>
            <w:vAlign w:val="center"/>
          </w:tcPr>
          <w:p>
            <w:pPr>
              <w:adjustRightInd w:val="0"/>
              <w:snapToGrid w:val="0"/>
              <w:spacing w:line="360" w:lineRule="auto"/>
              <w:jc w:val="right"/>
              <w:rPr>
                <w:color w:val="auto"/>
                <w:szCs w:val="21"/>
              </w:rPr>
            </w:pPr>
            <w:r>
              <w:rPr>
                <w:rFonts w:hint="default"/>
                <w:color w:val="auto"/>
                <w:szCs w:val="21"/>
                <w:u w:val="single"/>
              </w:rPr>
              <w:t>4</w:t>
            </w:r>
            <w:r>
              <w:rPr>
                <w:rFonts w:hint="eastAsia"/>
                <w:color w:val="auto"/>
                <w:szCs w:val="21"/>
                <w:u w:val="single"/>
              </w:rPr>
              <w:t>0</w:t>
            </w:r>
            <w:r>
              <w:rPr>
                <w:color w:val="auto"/>
                <w:szCs w:val="21"/>
              </w:rPr>
              <w:t>分</w:t>
            </w:r>
          </w:p>
        </w:tc>
        <w:tc>
          <w:tcPr>
            <w:tcW w:w="1120" w:type="dxa"/>
            <w:noWrap w:val="0"/>
            <w:vAlign w:val="center"/>
          </w:tcPr>
          <w:p>
            <w:pPr>
              <w:adjustRightInd w:val="0"/>
              <w:snapToGrid w:val="0"/>
              <w:spacing w:line="360" w:lineRule="auto"/>
              <w:ind w:firstLine="186" w:firstLineChars="89"/>
              <w:rPr>
                <w:color w:val="auto"/>
                <w:szCs w:val="21"/>
              </w:rPr>
            </w:pPr>
            <w:r>
              <w:rPr>
                <w:color w:val="auto"/>
                <w:szCs w:val="21"/>
              </w:rPr>
              <w:t>项目经理任职资格与业绩</w:t>
            </w:r>
          </w:p>
        </w:tc>
        <w:tc>
          <w:tcPr>
            <w:tcW w:w="711" w:type="dxa"/>
            <w:noWrap w:val="0"/>
            <w:vAlign w:val="center"/>
          </w:tcPr>
          <w:p>
            <w:pPr>
              <w:tabs>
                <w:tab w:val="left" w:pos="400"/>
              </w:tabs>
              <w:autoSpaceDE w:val="0"/>
              <w:autoSpaceDN w:val="0"/>
              <w:adjustRightInd w:val="0"/>
              <w:snapToGrid w:val="0"/>
              <w:spacing w:line="360" w:lineRule="auto"/>
              <w:ind w:left="105" w:leftChars="50" w:right="105" w:rightChars="50"/>
              <w:jc w:val="center"/>
              <w:rPr>
                <w:color w:val="auto"/>
                <w:szCs w:val="21"/>
              </w:rPr>
            </w:pPr>
            <w:r>
              <w:rPr>
                <w:rFonts w:hint="eastAsia" w:ascii="宋体" w:hAnsi="宋体" w:eastAsia="宋体" w:cs="宋体"/>
                <w:color w:val="auto"/>
                <w:szCs w:val="21"/>
                <w:lang w:val="en-US" w:eastAsia="zh-CN"/>
              </w:rPr>
              <w:t>20</w:t>
            </w:r>
            <w:r>
              <w:rPr>
                <w:rFonts w:hint="eastAsia" w:ascii="宋体" w:hAnsi="宋体" w:eastAsia="宋体" w:cs="宋体"/>
                <w:color w:val="auto"/>
                <w:szCs w:val="21"/>
              </w:rPr>
              <w:t>分</w:t>
            </w:r>
          </w:p>
        </w:tc>
        <w:tc>
          <w:tcPr>
            <w:tcW w:w="390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项目经理在满足资格审查条件的最低要求时，得</w:t>
            </w:r>
            <w:r>
              <w:rPr>
                <w:rFonts w:hint="eastAsia" w:ascii="宋体" w:hAnsi="宋体" w:eastAsia="宋体" w:cs="宋体"/>
                <w:color w:val="auto"/>
                <w:szCs w:val="21"/>
                <w:lang w:val="en-US" w:eastAsia="zh-CN"/>
              </w:rPr>
              <w:t>12</w:t>
            </w:r>
            <w:r>
              <w:rPr>
                <w:rFonts w:hint="eastAsia" w:ascii="宋体" w:hAnsi="宋体" w:eastAsia="宋体" w:cs="宋体"/>
                <w:color w:val="auto"/>
                <w:szCs w:val="21"/>
              </w:rPr>
              <w:t>分 ；</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（1）每担任1项公路工程施工项目经理岗位工作经验的，加</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分，最多加</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olor w:val="auto"/>
                <w:sz w:val="18"/>
                <w:szCs w:val="18"/>
              </w:rPr>
            </w:pPr>
            <w:r>
              <w:rPr>
                <w:rFonts w:hint="eastAsia" w:ascii="宋体" w:hAnsi="宋体" w:eastAsia="宋体" w:cs="宋体"/>
                <w:color w:val="auto"/>
                <w:sz w:val="18"/>
                <w:szCs w:val="18"/>
              </w:rPr>
              <w:t>注：</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、加分项可以与资格审查条件的人员业绩重复计算。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83" w:type="dxa"/>
            <w:gridSpan w:val="3"/>
            <w:vMerge w:val="continue"/>
            <w:noWrap w:val="0"/>
            <w:vAlign w:val="center"/>
          </w:tcPr>
          <w:p>
            <w:pPr>
              <w:adjustRightInd w:val="0"/>
              <w:snapToGrid w:val="0"/>
              <w:spacing w:line="360" w:lineRule="auto"/>
              <w:jc w:val="center"/>
              <w:rPr>
                <w:color w:val="auto"/>
                <w:szCs w:val="21"/>
              </w:rPr>
            </w:pPr>
          </w:p>
        </w:tc>
        <w:tc>
          <w:tcPr>
            <w:tcW w:w="1133" w:type="dxa"/>
            <w:gridSpan w:val="3"/>
            <w:vMerge w:val="continue"/>
            <w:noWrap w:val="0"/>
            <w:vAlign w:val="center"/>
          </w:tcPr>
          <w:p>
            <w:pPr>
              <w:adjustRightInd w:val="0"/>
              <w:snapToGrid w:val="0"/>
              <w:spacing w:line="360" w:lineRule="auto"/>
              <w:jc w:val="center"/>
              <w:rPr>
                <w:color w:val="auto"/>
                <w:szCs w:val="21"/>
              </w:rPr>
            </w:pPr>
          </w:p>
        </w:tc>
        <w:tc>
          <w:tcPr>
            <w:tcW w:w="637" w:type="dxa"/>
            <w:vMerge w:val="continue"/>
            <w:noWrap w:val="0"/>
            <w:vAlign w:val="center"/>
          </w:tcPr>
          <w:p>
            <w:pPr>
              <w:adjustRightInd w:val="0"/>
              <w:snapToGrid w:val="0"/>
              <w:spacing w:line="360" w:lineRule="auto"/>
              <w:jc w:val="right"/>
              <w:rPr>
                <w:rFonts w:eastAsia="隶书"/>
                <w:b/>
                <w:color w:val="auto"/>
                <w:szCs w:val="21"/>
              </w:rPr>
            </w:pPr>
          </w:p>
        </w:tc>
        <w:tc>
          <w:tcPr>
            <w:tcW w:w="1120" w:type="dxa"/>
            <w:noWrap w:val="0"/>
            <w:vAlign w:val="center"/>
          </w:tcPr>
          <w:p>
            <w:pPr>
              <w:adjustRightInd w:val="0"/>
              <w:snapToGrid w:val="0"/>
              <w:spacing w:line="360" w:lineRule="auto"/>
              <w:ind w:firstLine="186" w:firstLineChars="89"/>
              <w:rPr>
                <w:color w:val="auto"/>
                <w:szCs w:val="21"/>
              </w:rPr>
            </w:pPr>
            <w:r>
              <w:rPr>
                <w:color w:val="auto"/>
                <w:szCs w:val="21"/>
              </w:rPr>
              <w:t>项目总工任职资格与业绩</w:t>
            </w:r>
          </w:p>
        </w:tc>
        <w:tc>
          <w:tcPr>
            <w:tcW w:w="711" w:type="dxa"/>
            <w:noWrap w:val="0"/>
            <w:vAlign w:val="center"/>
          </w:tcPr>
          <w:p>
            <w:pPr>
              <w:tabs>
                <w:tab w:val="left" w:pos="400"/>
              </w:tabs>
              <w:autoSpaceDE w:val="0"/>
              <w:autoSpaceDN w:val="0"/>
              <w:adjustRightInd w:val="0"/>
              <w:snapToGrid w:val="0"/>
              <w:spacing w:line="360" w:lineRule="auto"/>
              <w:ind w:left="105" w:leftChars="50" w:right="105" w:rightChars="50"/>
              <w:jc w:val="center"/>
              <w:rPr>
                <w:color w:val="auto"/>
                <w:szCs w:val="21"/>
              </w:rPr>
            </w:pPr>
            <w:r>
              <w:rPr>
                <w:rFonts w:hint="eastAsia" w:ascii="宋体" w:hAnsi="宋体" w:eastAsia="宋体" w:cs="宋体"/>
                <w:color w:val="auto"/>
                <w:szCs w:val="21"/>
                <w:lang w:val="en-US" w:eastAsia="zh-CN"/>
              </w:rPr>
              <w:t>20</w:t>
            </w:r>
            <w:r>
              <w:rPr>
                <w:rFonts w:hint="eastAsia" w:ascii="宋体" w:hAnsi="宋体" w:eastAsia="宋体" w:cs="宋体"/>
                <w:color w:val="auto"/>
                <w:szCs w:val="21"/>
              </w:rPr>
              <w:t>分</w:t>
            </w:r>
          </w:p>
        </w:tc>
        <w:tc>
          <w:tcPr>
            <w:tcW w:w="3907" w:type="dxa"/>
            <w:noWrap w:val="0"/>
            <w:vAlign w:val="center"/>
          </w:tcPr>
          <w:p>
            <w:pPr>
              <w:keepNext w:val="0"/>
              <w:keepLines w:val="0"/>
              <w:pageBreakBefore w:val="0"/>
              <w:widowControl w:val="0"/>
              <w:tabs>
                <w:tab w:val="left" w:pos="3805"/>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项目总工在满足资格审查条件的最低要求时，得</w:t>
            </w:r>
            <w:r>
              <w:rPr>
                <w:rFonts w:hint="eastAsia" w:ascii="宋体" w:hAnsi="宋体" w:eastAsia="宋体" w:cs="宋体"/>
                <w:color w:val="auto"/>
                <w:szCs w:val="21"/>
                <w:lang w:val="en-US" w:eastAsia="zh-CN"/>
              </w:rPr>
              <w:t>12</w:t>
            </w:r>
            <w:r>
              <w:rPr>
                <w:rFonts w:hint="eastAsia" w:ascii="宋体" w:hAnsi="宋体" w:eastAsia="宋体" w:cs="宋体"/>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105" w:rightChars="50"/>
              <w:jc w:val="left"/>
              <w:textAlignment w:val="auto"/>
              <w:rPr>
                <w:rFonts w:hint="eastAsia" w:ascii="宋体" w:hAnsi="宋体" w:eastAsia="宋体" w:cs="宋体"/>
                <w:color w:val="auto"/>
                <w:szCs w:val="21"/>
              </w:rPr>
            </w:pPr>
            <w:r>
              <w:rPr>
                <w:rFonts w:hint="eastAsia" w:ascii="宋体" w:hAnsi="宋体" w:eastAsia="宋体" w:cs="宋体"/>
                <w:color w:val="auto"/>
                <w:szCs w:val="21"/>
              </w:rPr>
              <w:t>（1）每担任1项公路工程施工</w:t>
            </w:r>
            <w:r>
              <w:rPr>
                <w:rFonts w:hint="eastAsia" w:ascii="宋体" w:hAnsi="宋体" w:eastAsia="宋体" w:cs="宋体"/>
                <w:color w:val="auto"/>
                <w:szCs w:val="21"/>
                <w:lang w:eastAsia="zh-CN"/>
              </w:rPr>
              <w:t>项目总工</w:t>
            </w:r>
            <w:r>
              <w:rPr>
                <w:rFonts w:hint="eastAsia" w:ascii="宋体" w:hAnsi="宋体" w:eastAsia="宋体" w:cs="宋体"/>
                <w:color w:val="auto"/>
                <w:szCs w:val="21"/>
              </w:rPr>
              <w:t>岗位工作经验的，加</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分，最多加</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105" w:rightChars="50"/>
              <w:jc w:val="left"/>
              <w:textAlignment w:val="auto"/>
              <w:rPr>
                <w:rFonts w:hint="eastAsia"/>
                <w:color w:val="auto"/>
                <w:sz w:val="18"/>
                <w:szCs w:val="18"/>
              </w:rPr>
            </w:pPr>
            <w:r>
              <w:rPr>
                <w:rFonts w:hint="eastAsia" w:ascii="宋体" w:hAnsi="宋体" w:eastAsia="宋体" w:cs="宋体"/>
                <w:color w:val="auto"/>
                <w:sz w:val="18"/>
                <w:szCs w:val="18"/>
              </w:rPr>
              <w:t>注：</w:t>
            </w:r>
            <w:r>
              <w:rPr>
                <w:rFonts w:hint="eastAsia" w:ascii="宋体" w:hAnsi="宋体" w:eastAsia="宋体" w:cs="宋体"/>
                <w:color w:val="auto"/>
                <w:sz w:val="18"/>
                <w:lang w:val="en-US" w:eastAsia="zh-CN"/>
              </w:rPr>
              <w:t>1</w:t>
            </w:r>
            <w:r>
              <w:rPr>
                <w:rFonts w:hint="eastAsia" w:ascii="宋体" w:hAnsi="宋体" w:eastAsia="宋体" w:cs="宋体"/>
                <w:color w:val="auto"/>
                <w:sz w:val="18"/>
              </w:rPr>
              <w:t>、</w:t>
            </w:r>
            <w:r>
              <w:rPr>
                <w:rFonts w:hint="eastAsia" w:ascii="宋体" w:hAnsi="宋体" w:eastAsia="宋体" w:cs="宋体"/>
                <w:color w:val="auto"/>
                <w:sz w:val="18"/>
                <w:szCs w:val="18"/>
              </w:rPr>
              <w:t>加分项可以与资格审查条件的人员业绩重复计算。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color w:val="auto"/>
                <w:szCs w:val="21"/>
              </w:rPr>
            </w:pPr>
            <w:r>
              <w:rPr>
                <w:color w:val="auto"/>
                <w:szCs w:val="21"/>
              </w:rPr>
              <w:t>2.2.2（3）</w:t>
            </w:r>
          </w:p>
        </w:tc>
        <w:tc>
          <w:tcPr>
            <w:tcW w:w="445" w:type="dxa"/>
            <w:vMerge w:val="restart"/>
            <w:noWrap w:val="0"/>
            <w:vAlign w:val="center"/>
          </w:tcPr>
          <w:p>
            <w:pPr>
              <w:adjustRightInd w:val="0"/>
              <w:snapToGrid w:val="0"/>
              <w:spacing w:line="360" w:lineRule="auto"/>
              <w:jc w:val="center"/>
              <w:rPr>
                <w:color w:val="auto"/>
                <w:szCs w:val="21"/>
              </w:rPr>
            </w:pPr>
            <w:r>
              <w:rPr>
                <w:color w:val="auto"/>
                <w:szCs w:val="21"/>
              </w:rPr>
              <w:t>其他因素</w:t>
            </w:r>
          </w:p>
        </w:tc>
        <w:tc>
          <w:tcPr>
            <w:tcW w:w="688" w:type="dxa"/>
            <w:gridSpan w:val="2"/>
            <w:noWrap w:val="0"/>
            <w:vAlign w:val="center"/>
          </w:tcPr>
          <w:p>
            <w:pPr>
              <w:adjustRightInd w:val="0"/>
              <w:snapToGrid w:val="0"/>
              <w:spacing w:line="360" w:lineRule="auto"/>
              <w:jc w:val="center"/>
              <w:rPr>
                <w:color w:val="auto"/>
                <w:szCs w:val="21"/>
              </w:rPr>
            </w:pPr>
            <w:r>
              <w:rPr>
                <w:color w:val="auto"/>
                <w:szCs w:val="21"/>
              </w:rPr>
              <w:t>技术能力</w:t>
            </w:r>
          </w:p>
        </w:tc>
        <w:tc>
          <w:tcPr>
            <w:tcW w:w="637" w:type="dxa"/>
            <w:noWrap w:val="0"/>
            <w:vAlign w:val="center"/>
          </w:tcPr>
          <w:p>
            <w:pPr>
              <w:adjustRightInd w:val="0"/>
              <w:snapToGrid w:val="0"/>
              <w:spacing w:line="360" w:lineRule="auto"/>
              <w:jc w:val="center"/>
              <w:rPr>
                <w:color w:val="auto"/>
                <w:szCs w:val="21"/>
              </w:rPr>
            </w:pPr>
            <w:r>
              <w:rPr>
                <w:rFonts w:hint="eastAsia"/>
                <w:color w:val="auto"/>
                <w:szCs w:val="21"/>
                <w:u w:val="single"/>
              </w:rPr>
              <w:t>2</w:t>
            </w:r>
            <w:r>
              <w:rPr>
                <w:color w:val="auto"/>
                <w:szCs w:val="21"/>
                <w:u w:val="single"/>
              </w:rPr>
              <w:t>0</w:t>
            </w:r>
            <w:r>
              <w:rPr>
                <w:color w:val="auto"/>
                <w:szCs w:val="21"/>
              </w:rPr>
              <w:t>分</w:t>
            </w:r>
          </w:p>
        </w:tc>
        <w:tc>
          <w:tcPr>
            <w:tcW w:w="1120" w:type="dxa"/>
            <w:noWrap w:val="0"/>
            <w:vAlign w:val="center"/>
          </w:tcPr>
          <w:p>
            <w:pPr>
              <w:adjustRightInd w:val="0"/>
              <w:snapToGrid w:val="0"/>
              <w:spacing w:line="360" w:lineRule="auto"/>
              <w:jc w:val="center"/>
              <w:rPr>
                <w:color w:val="auto"/>
                <w:szCs w:val="21"/>
              </w:rPr>
            </w:pPr>
            <w:r>
              <w:rPr>
                <w:color w:val="auto"/>
                <w:szCs w:val="21"/>
              </w:rPr>
              <w:t>技术能力</w:t>
            </w:r>
          </w:p>
        </w:tc>
        <w:tc>
          <w:tcPr>
            <w:tcW w:w="711" w:type="dxa"/>
            <w:noWrap w:val="0"/>
            <w:vAlign w:val="center"/>
          </w:tcPr>
          <w:p>
            <w:pPr>
              <w:adjustRightInd w:val="0"/>
              <w:snapToGrid w:val="0"/>
              <w:spacing w:line="360" w:lineRule="auto"/>
              <w:jc w:val="center"/>
              <w:rPr>
                <w:color w:val="auto"/>
                <w:szCs w:val="21"/>
              </w:rPr>
            </w:pPr>
            <w:r>
              <w:rPr>
                <w:rFonts w:hint="eastAsia" w:ascii="宋体" w:hAnsi="宋体" w:eastAsia="宋体" w:cs="宋体"/>
                <w:color w:val="auto"/>
                <w:szCs w:val="21"/>
                <w:u w:val="single"/>
              </w:rPr>
              <w:t>20</w:t>
            </w:r>
            <w:r>
              <w:rPr>
                <w:rFonts w:hint="eastAsia" w:ascii="宋体" w:hAnsi="宋体" w:eastAsia="宋体" w:cs="宋体"/>
                <w:color w:val="auto"/>
                <w:szCs w:val="21"/>
              </w:rPr>
              <w:t>分</w:t>
            </w:r>
          </w:p>
        </w:tc>
        <w:tc>
          <w:tcPr>
            <w:tcW w:w="3907" w:type="dxa"/>
            <w:noWrap w:val="0"/>
            <w:vAlign w:val="top"/>
          </w:tcPr>
          <w:p>
            <w:pPr>
              <w:adjustRightInd w:val="0"/>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（1）投标人获得与公路工程施工有关的国家级工法、专利（发明专利或实用新型专利）、国家级科学技术进步奖、主编或参编过国家标准、鲁班奖、詹天佑奖，每项加</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p>
          <w:p>
            <w:pPr>
              <w:adjustRightInd w:val="0"/>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（2）投标人获得省级科学技术进步奖，主编或参编过的行业或地方（指省级）标准，每项加</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pPr>
              <w:adjustRightInd w:val="0"/>
              <w:snapToGrid w:val="0"/>
              <w:spacing w:line="360" w:lineRule="exact"/>
              <w:rPr>
                <w:color w:val="auto"/>
                <w:sz w:val="18"/>
                <w:szCs w:val="18"/>
              </w:rPr>
            </w:pPr>
            <w:r>
              <w:rPr>
                <w:rFonts w:hint="eastAsia" w:ascii="宋体" w:hAnsi="宋体" w:eastAsia="宋体" w:cs="宋体"/>
                <w:color w:val="auto"/>
                <w:sz w:val="18"/>
                <w:szCs w:val="18"/>
              </w:rPr>
              <w:t>注：本项累计加分最高得20分，同一项目同时满足上述加分条件的，不重复加分，只加一次分，按较高分计。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eastAsia="隶书"/>
                <w:color w:val="auto"/>
                <w:szCs w:val="21"/>
              </w:rPr>
            </w:pPr>
          </w:p>
        </w:tc>
        <w:tc>
          <w:tcPr>
            <w:tcW w:w="445" w:type="dxa"/>
            <w:vMerge w:val="continue"/>
            <w:noWrap w:val="0"/>
            <w:vAlign w:val="center"/>
          </w:tcPr>
          <w:p>
            <w:pPr>
              <w:adjustRightInd w:val="0"/>
              <w:snapToGrid w:val="0"/>
              <w:spacing w:line="360" w:lineRule="auto"/>
              <w:ind w:left="-105" w:leftChars="-50" w:right="-105" w:rightChars="-50"/>
              <w:jc w:val="center"/>
              <w:rPr>
                <w:rFonts w:eastAsia="隶书"/>
                <w:color w:val="auto"/>
                <w:szCs w:val="21"/>
              </w:rPr>
            </w:pPr>
          </w:p>
        </w:tc>
        <w:tc>
          <w:tcPr>
            <w:tcW w:w="688" w:type="dxa"/>
            <w:gridSpan w:val="2"/>
            <w:vMerge w:val="restart"/>
            <w:noWrap w:val="0"/>
            <w:vAlign w:val="center"/>
          </w:tcPr>
          <w:p>
            <w:pPr>
              <w:adjustRightInd w:val="0"/>
              <w:snapToGrid w:val="0"/>
              <w:spacing w:line="360" w:lineRule="auto"/>
              <w:ind w:left="-105" w:leftChars="-50" w:right="-105" w:rightChars="-50"/>
              <w:jc w:val="center"/>
              <w:rPr>
                <w:color w:val="auto"/>
                <w:szCs w:val="21"/>
              </w:rPr>
            </w:pPr>
            <w:r>
              <w:rPr>
                <w:color w:val="auto"/>
                <w:szCs w:val="21"/>
              </w:rPr>
              <w:t>履约信誉</w:t>
            </w:r>
          </w:p>
        </w:tc>
        <w:tc>
          <w:tcPr>
            <w:tcW w:w="637" w:type="dxa"/>
            <w:vMerge w:val="restart"/>
            <w:noWrap w:val="0"/>
            <w:vAlign w:val="center"/>
          </w:tcPr>
          <w:p>
            <w:pPr>
              <w:adjustRightInd w:val="0"/>
              <w:snapToGrid w:val="0"/>
              <w:spacing w:line="360" w:lineRule="auto"/>
              <w:ind w:right="210"/>
              <w:jc w:val="right"/>
              <w:rPr>
                <w:color w:val="auto"/>
                <w:szCs w:val="21"/>
              </w:rPr>
            </w:pPr>
            <w:r>
              <w:rPr>
                <w:rFonts w:hint="eastAsia"/>
                <w:color w:val="auto"/>
                <w:szCs w:val="21"/>
                <w:u w:val="single"/>
              </w:rPr>
              <w:t>15</w:t>
            </w:r>
            <w:r>
              <w:rPr>
                <w:color w:val="auto"/>
                <w:szCs w:val="21"/>
              </w:rPr>
              <w:t>分</w:t>
            </w:r>
          </w:p>
        </w:tc>
        <w:tc>
          <w:tcPr>
            <w:tcW w:w="1120" w:type="dxa"/>
            <w:noWrap w:val="0"/>
            <w:vAlign w:val="center"/>
          </w:tcPr>
          <w:p>
            <w:pPr>
              <w:adjustRightInd w:val="0"/>
              <w:snapToGrid w:val="0"/>
              <w:spacing w:line="360" w:lineRule="auto"/>
              <w:jc w:val="center"/>
              <w:rPr>
                <w:color w:val="auto"/>
                <w:szCs w:val="21"/>
              </w:rPr>
            </w:pPr>
            <w:r>
              <w:rPr>
                <w:color w:val="auto"/>
                <w:szCs w:val="21"/>
              </w:rPr>
              <w:t>信用等级分值</w:t>
            </w:r>
          </w:p>
        </w:tc>
        <w:tc>
          <w:tcPr>
            <w:tcW w:w="711" w:type="dxa"/>
            <w:noWrap w:val="0"/>
            <w:vAlign w:val="center"/>
          </w:tcPr>
          <w:p>
            <w:pPr>
              <w:adjustRightInd w:val="0"/>
              <w:snapToGrid w:val="0"/>
              <w:spacing w:line="360" w:lineRule="auto"/>
              <w:rPr>
                <w:color w:val="auto"/>
                <w:szCs w:val="21"/>
              </w:rPr>
            </w:pPr>
            <w:r>
              <w:rPr>
                <w:color w:val="auto"/>
                <w:szCs w:val="21"/>
                <w:u w:val="single"/>
              </w:rPr>
              <w:t>10</w:t>
            </w:r>
            <w:r>
              <w:rPr>
                <w:color w:val="auto"/>
                <w:szCs w:val="21"/>
              </w:rPr>
              <w:t>分</w:t>
            </w:r>
          </w:p>
        </w:tc>
        <w:tc>
          <w:tcPr>
            <w:tcW w:w="3907" w:type="dxa"/>
            <w:noWrap w:val="0"/>
            <w:vAlign w:val="top"/>
          </w:tcPr>
          <w:p>
            <w:pPr>
              <w:adjustRightInd w:val="0"/>
              <w:snapToGrid w:val="0"/>
              <w:spacing w:line="360" w:lineRule="auto"/>
              <w:rPr>
                <w:color w:val="auto"/>
                <w:szCs w:val="21"/>
              </w:rPr>
            </w:pPr>
            <w:r>
              <w:rPr>
                <w:color w:val="auto"/>
                <w:szCs w:val="21"/>
              </w:rPr>
              <w:t>AA、A、B、C 级单位的信用等级分得分分别为10、9.5、8.9、7.3分。</w:t>
            </w:r>
          </w:p>
          <w:p>
            <w:pPr>
              <w:adjustRightInd w:val="0"/>
              <w:snapToGrid w:val="0"/>
              <w:spacing w:line="360" w:lineRule="auto"/>
              <w:rPr>
                <w:color w:val="auto"/>
                <w:sz w:val="18"/>
                <w:szCs w:val="18"/>
              </w:rPr>
            </w:pPr>
            <w:r>
              <w:rPr>
                <w:color w:val="auto"/>
                <w:sz w:val="18"/>
                <w:szCs w:val="18"/>
              </w:rPr>
              <w:t>注：信用等级的确定原则遵循投标人须知前附表10.2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eastAsia="隶书"/>
                <w:color w:val="auto"/>
                <w:szCs w:val="21"/>
              </w:rPr>
            </w:pPr>
          </w:p>
        </w:tc>
        <w:tc>
          <w:tcPr>
            <w:tcW w:w="445" w:type="dxa"/>
            <w:vMerge w:val="continue"/>
            <w:noWrap w:val="0"/>
            <w:vAlign w:val="center"/>
          </w:tcPr>
          <w:p>
            <w:pPr>
              <w:adjustRightInd w:val="0"/>
              <w:snapToGrid w:val="0"/>
              <w:spacing w:line="360" w:lineRule="auto"/>
              <w:jc w:val="center"/>
              <w:rPr>
                <w:rFonts w:eastAsia="隶书"/>
                <w:color w:val="auto"/>
                <w:szCs w:val="21"/>
              </w:rPr>
            </w:pPr>
          </w:p>
        </w:tc>
        <w:tc>
          <w:tcPr>
            <w:tcW w:w="688" w:type="dxa"/>
            <w:gridSpan w:val="2"/>
            <w:vMerge w:val="continue"/>
            <w:noWrap w:val="0"/>
            <w:vAlign w:val="center"/>
          </w:tcPr>
          <w:p>
            <w:pPr>
              <w:adjustRightInd w:val="0"/>
              <w:snapToGrid w:val="0"/>
              <w:spacing w:line="360" w:lineRule="auto"/>
              <w:jc w:val="center"/>
              <w:rPr>
                <w:color w:val="auto"/>
                <w:szCs w:val="21"/>
              </w:rPr>
            </w:pPr>
          </w:p>
        </w:tc>
        <w:tc>
          <w:tcPr>
            <w:tcW w:w="637" w:type="dxa"/>
            <w:vMerge w:val="continue"/>
            <w:noWrap w:val="0"/>
            <w:vAlign w:val="center"/>
          </w:tcPr>
          <w:p>
            <w:pPr>
              <w:adjustRightInd w:val="0"/>
              <w:snapToGrid w:val="0"/>
              <w:spacing w:line="360" w:lineRule="auto"/>
              <w:jc w:val="right"/>
              <w:rPr>
                <w:b/>
                <w:color w:val="auto"/>
                <w:szCs w:val="21"/>
              </w:rPr>
            </w:pPr>
          </w:p>
        </w:tc>
        <w:tc>
          <w:tcPr>
            <w:tcW w:w="1120" w:type="dxa"/>
            <w:noWrap w:val="0"/>
            <w:vAlign w:val="center"/>
          </w:tcPr>
          <w:p>
            <w:pPr>
              <w:adjustRightInd w:val="0"/>
              <w:snapToGrid w:val="0"/>
              <w:spacing w:line="360" w:lineRule="auto"/>
              <w:jc w:val="center"/>
              <w:rPr>
                <w:color w:val="auto"/>
                <w:szCs w:val="21"/>
              </w:rPr>
            </w:pPr>
            <w:r>
              <w:rPr>
                <w:color w:val="auto"/>
                <w:szCs w:val="21"/>
              </w:rPr>
              <w:t>履约情况</w:t>
            </w:r>
          </w:p>
        </w:tc>
        <w:tc>
          <w:tcPr>
            <w:tcW w:w="711" w:type="dxa"/>
            <w:noWrap w:val="0"/>
            <w:vAlign w:val="center"/>
          </w:tcPr>
          <w:p>
            <w:pPr>
              <w:adjustRightInd w:val="0"/>
              <w:snapToGrid w:val="0"/>
              <w:spacing w:line="360" w:lineRule="auto"/>
              <w:rPr>
                <w:color w:val="auto"/>
                <w:szCs w:val="21"/>
              </w:rPr>
            </w:pPr>
            <w:r>
              <w:rPr>
                <w:rFonts w:hint="eastAsia"/>
                <w:color w:val="auto"/>
                <w:szCs w:val="21"/>
                <w:u w:val="single"/>
              </w:rPr>
              <w:t>5</w:t>
            </w:r>
            <w:r>
              <w:rPr>
                <w:color w:val="auto"/>
                <w:szCs w:val="21"/>
              </w:rPr>
              <w:t>分</w:t>
            </w:r>
          </w:p>
        </w:tc>
        <w:tc>
          <w:tcPr>
            <w:tcW w:w="3907" w:type="dxa"/>
            <w:noWrap w:val="0"/>
            <w:vAlign w:val="top"/>
          </w:tcPr>
          <w:p>
            <w:pPr>
              <w:adjustRightInd w:val="0"/>
              <w:snapToGrid w:val="0"/>
              <w:spacing w:line="360" w:lineRule="auto"/>
              <w:rPr>
                <w:rFonts w:hint="eastAsia"/>
                <w:color w:val="auto"/>
                <w:szCs w:val="21"/>
              </w:rPr>
            </w:pPr>
            <w:r>
              <w:rPr>
                <w:rFonts w:hint="eastAsia"/>
                <w:color w:val="auto"/>
                <w:szCs w:val="21"/>
              </w:rPr>
              <w:t>履约情况（5分）</w:t>
            </w:r>
          </w:p>
          <w:p>
            <w:pPr>
              <w:adjustRightInd w:val="0"/>
              <w:snapToGrid w:val="0"/>
              <w:spacing w:line="360" w:lineRule="auto"/>
              <w:rPr>
                <w:rFonts w:hint="eastAsia"/>
                <w:color w:val="auto"/>
                <w:szCs w:val="21"/>
              </w:rPr>
            </w:pPr>
            <w:r>
              <w:rPr>
                <w:rFonts w:hint="eastAsia"/>
                <w:color w:val="auto"/>
                <w:szCs w:val="21"/>
              </w:rPr>
              <w:t>若没出现下述情形得满分；</w:t>
            </w:r>
          </w:p>
          <w:p>
            <w:pPr>
              <w:adjustRightInd w:val="0"/>
              <w:snapToGrid w:val="0"/>
              <w:spacing w:line="360" w:lineRule="auto"/>
              <w:rPr>
                <w:rFonts w:hint="eastAsia"/>
                <w:color w:val="auto"/>
                <w:szCs w:val="21"/>
              </w:rPr>
            </w:pPr>
            <w:r>
              <w:rPr>
                <w:rFonts w:hint="eastAsia"/>
                <w:color w:val="auto"/>
                <w:szCs w:val="21"/>
              </w:rPr>
              <w:t>若自202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10</w:t>
            </w:r>
            <w:r>
              <w:rPr>
                <w:rFonts w:hint="eastAsia"/>
                <w:color w:val="auto"/>
                <w:szCs w:val="21"/>
              </w:rPr>
              <w:t>月1日至投标文件递交截止日（投标文件递交截止日前1 年内），因公路工程（含附属设施）质量、安全、履约或招标投标问题等原因被：</w:t>
            </w:r>
          </w:p>
          <w:p>
            <w:pPr>
              <w:adjustRightInd w:val="0"/>
              <w:snapToGrid w:val="0"/>
              <w:spacing w:line="360" w:lineRule="auto"/>
              <w:rPr>
                <w:rFonts w:hint="eastAsia"/>
                <w:color w:val="auto"/>
                <w:szCs w:val="21"/>
              </w:rPr>
            </w:pPr>
            <w:r>
              <w:rPr>
                <w:rFonts w:hint="eastAsia"/>
                <w:color w:val="auto"/>
                <w:szCs w:val="21"/>
              </w:rPr>
              <w:t>（1）交通运输部通报批评的，扣5 分/次；</w:t>
            </w:r>
          </w:p>
          <w:p>
            <w:pPr>
              <w:adjustRightInd w:val="0"/>
              <w:snapToGrid w:val="0"/>
              <w:spacing w:line="360" w:lineRule="auto"/>
              <w:rPr>
                <w:rFonts w:hint="eastAsia"/>
                <w:color w:val="auto"/>
                <w:szCs w:val="21"/>
              </w:rPr>
            </w:pPr>
            <w:r>
              <w:rPr>
                <w:rFonts w:hint="eastAsia"/>
                <w:color w:val="auto"/>
                <w:szCs w:val="21"/>
              </w:rPr>
              <w:t>（2）广东省交通运输厅通报批评的，扣4 分/次。</w:t>
            </w:r>
          </w:p>
          <w:p>
            <w:pPr>
              <w:adjustRightInd w:val="0"/>
              <w:snapToGrid w:val="0"/>
              <w:spacing w:line="360" w:lineRule="auto"/>
              <w:rPr>
                <w:rFonts w:hint="eastAsia"/>
                <w:color w:val="auto"/>
                <w:szCs w:val="21"/>
              </w:rPr>
            </w:pPr>
            <w:r>
              <w:rPr>
                <w:rFonts w:hint="eastAsia"/>
                <w:color w:val="auto"/>
                <w:szCs w:val="21"/>
              </w:rPr>
              <w:t>（3）茂名市交通运输局、</w:t>
            </w:r>
            <w:r>
              <w:rPr>
                <w:rFonts w:hint="eastAsia"/>
                <w:color w:val="auto"/>
                <w:szCs w:val="21"/>
                <w:lang w:eastAsia="zh-CN"/>
              </w:rPr>
              <w:t>化州市</w:t>
            </w:r>
            <w:r>
              <w:rPr>
                <w:rFonts w:hint="eastAsia"/>
                <w:color w:val="auto"/>
                <w:szCs w:val="21"/>
              </w:rPr>
              <w:t>交通运输局、</w:t>
            </w:r>
            <w:r>
              <w:rPr>
                <w:rFonts w:hint="eastAsia"/>
                <w:color w:val="auto"/>
                <w:szCs w:val="21"/>
                <w:lang w:eastAsia="zh-CN"/>
              </w:rPr>
              <w:t>化州市</w:t>
            </w:r>
            <w:r>
              <w:rPr>
                <w:rFonts w:hint="eastAsia"/>
                <w:color w:val="auto"/>
                <w:szCs w:val="21"/>
              </w:rPr>
              <w:t>人民政府通报批评的，扣1分/次。</w:t>
            </w:r>
          </w:p>
          <w:p>
            <w:pPr>
              <w:adjustRightInd w:val="0"/>
              <w:snapToGrid w:val="0"/>
              <w:spacing w:line="360" w:lineRule="auto"/>
              <w:rPr>
                <w:color w:val="auto"/>
                <w:szCs w:val="21"/>
              </w:rPr>
            </w:pPr>
            <w:r>
              <w:rPr>
                <w:rFonts w:hint="eastAsia"/>
                <w:color w:val="auto"/>
                <w:szCs w:val="21"/>
              </w:rPr>
              <w:t>同一事项同时被多个部门通报批评或处罚只按最高的扣分计算1 次。如果扣完本项分值，可以从总分中扣。</w:t>
            </w:r>
          </w:p>
        </w:tc>
      </w:tr>
      <w:bookmark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10"/>
            <w:noWrap w:val="0"/>
            <w:vAlign w:val="top"/>
          </w:tcPr>
          <w:p>
            <w:pPr>
              <w:adjustRightInd w:val="0"/>
              <w:snapToGrid w:val="0"/>
              <w:spacing w:line="360" w:lineRule="auto"/>
              <w:rPr>
                <w:color w:val="auto"/>
                <w:szCs w:val="21"/>
              </w:rPr>
            </w:pPr>
            <w:r>
              <w:rPr>
                <w:color w:val="auto"/>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条款号</w:t>
            </w:r>
          </w:p>
        </w:tc>
        <w:tc>
          <w:tcPr>
            <w:tcW w:w="7746" w:type="dxa"/>
            <w:gridSpan w:val="8"/>
            <w:noWrap w:val="0"/>
            <w:vAlign w:val="center"/>
          </w:tcPr>
          <w:p>
            <w:pPr>
              <w:adjustRightInd w:val="0"/>
              <w:snapToGrid w:val="0"/>
              <w:spacing w:line="360" w:lineRule="auto"/>
              <w:jc w:val="center"/>
              <w:rPr>
                <w:color w:val="auto"/>
                <w:szCs w:val="21"/>
              </w:rPr>
            </w:pPr>
            <w:r>
              <w:rPr>
                <w:color w:val="auto"/>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1</w:t>
            </w:r>
          </w:p>
        </w:tc>
        <w:tc>
          <w:tcPr>
            <w:tcW w:w="7746" w:type="dxa"/>
            <w:gridSpan w:val="8"/>
            <w:noWrap w:val="0"/>
            <w:vAlign w:val="center"/>
          </w:tcPr>
          <w:p>
            <w:pPr>
              <w:adjustRightInd w:val="0"/>
              <w:snapToGrid w:val="0"/>
              <w:spacing w:line="360" w:lineRule="auto"/>
              <w:rPr>
                <w:color w:val="auto"/>
                <w:szCs w:val="21"/>
              </w:rPr>
            </w:pPr>
            <w:r>
              <w:rPr>
                <w:color w:val="auto"/>
                <w:szCs w:val="21"/>
              </w:rPr>
              <w:t>将评标办法范本原文第1条“评标方法”改为“评标方法、组织及工作程序”，并且原文内容修改如下：</w:t>
            </w:r>
          </w:p>
          <w:p>
            <w:pPr>
              <w:adjustRightInd w:val="0"/>
              <w:snapToGrid w:val="0"/>
              <w:spacing w:line="360" w:lineRule="auto"/>
              <w:rPr>
                <w:color w:val="auto"/>
                <w:szCs w:val="21"/>
              </w:rPr>
            </w:pPr>
            <w:r>
              <w:rPr>
                <w:color w:val="auto"/>
                <w:szCs w:val="21"/>
              </w:rPr>
              <w:t>1.1评标方法</w:t>
            </w:r>
          </w:p>
          <w:p>
            <w:pPr>
              <w:adjustRightInd w:val="0"/>
              <w:snapToGrid w:val="0"/>
              <w:spacing w:line="360" w:lineRule="auto"/>
              <w:ind w:firstLine="420" w:firstLineChars="200"/>
              <w:rPr>
                <w:color w:val="auto"/>
                <w:szCs w:val="21"/>
              </w:rPr>
            </w:pPr>
            <w:r>
              <w:rPr>
                <w:color w:val="auto"/>
                <w:szCs w:val="21"/>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color w:val="auto"/>
                <w:szCs w:val="21"/>
                <w:u w:val="single"/>
              </w:rPr>
              <w:t>前</w:t>
            </w:r>
            <w:r>
              <w:rPr>
                <w:rFonts w:hint="default"/>
                <w:color w:val="auto"/>
                <w:szCs w:val="21"/>
                <w:u w:val="single"/>
              </w:rPr>
              <w:t>5</w:t>
            </w:r>
            <w:r>
              <w:rPr>
                <w:color w:val="auto"/>
                <w:szCs w:val="21"/>
                <w:u w:val="single"/>
              </w:rPr>
              <w:t xml:space="preserve"> 名</w:t>
            </w:r>
            <w:r>
              <w:rPr>
                <w:color w:val="auto"/>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adjustRightInd w:val="0"/>
              <w:snapToGrid w:val="0"/>
              <w:spacing w:line="360" w:lineRule="auto"/>
              <w:rPr>
                <w:color w:val="auto"/>
                <w:szCs w:val="21"/>
              </w:rPr>
            </w:pPr>
            <w:r>
              <w:rPr>
                <w:color w:val="auto"/>
                <w:szCs w:val="21"/>
              </w:rPr>
              <w:t>1.2评标组织</w:t>
            </w:r>
          </w:p>
          <w:p>
            <w:pPr>
              <w:adjustRightInd w:val="0"/>
              <w:snapToGrid w:val="0"/>
              <w:spacing w:line="360" w:lineRule="auto"/>
              <w:rPr>
                <w:color w:val="auto"/>
                <w:szCs w:val="21"/>
              </w:rPr>
            </w:pPr>
            <w:r>
              <w:rPr>
                <w:color w:val="auto"/>
                <w:szCs w:val="21"/>
              </w:rPr>
              <w:t>1.2.1协助工作组</w:t>
            </w:r>
          </w:p>
          <w:p>
            <w:pPr>
              <w:adjustRightInd w:val="0"/>
              <w:snapToGrid w:val="0"/>
              <w:spacing w:line="360" w:lineRule="auto"/>
              <w:ind w:firstLine="315" w:firstLineChars="150"/>
              <w:rPr>
                <w:color w:val="auto"/>
                <w:szCs w:val="21"/>
              </w:rPr>
            </w:pPr>
            <w:r>
              <w:rPr>
                <w:color w:val="auto"/>
                <w:szCs w:val="21"/>
              </w:rPr>
              <w:t>招标人可在评标工作开始前成立协助工作组，选派熟悉招标工作、政治素质高的人员组成，协助评标委员会工作。协助工作组人员的具体数量由招标人视评标工作量确定。</w:t>
            </w:r>
          </w:p>
          <w:p>
            <w:pPr>
              <w:adjustRightInd w:val="0"/>
              <w:snapToGrid w:val="0"/>
              <w:spacing w:line="360" w:lineRule="auto"/>
              <w:ind w:firstLine="424" w:firstLineChars="202"/>
              <w:rPr>
                <w:color w:val="auto"/>
                <w:szCs w:val="21"/>
              </w:rPr>
            </w:pPr>
            <w:r>
              <w:rPr>
                <w:color w:val="auto"/>
                <w:szCs w:val="21"/>
              </w:rPr>
              <w:t>招标人可以协助评标委员会开展下列工作并提供相关信息：</w:t>
            </w:r>
          </w:p>
          <w:p>
            <w:pPr>
              <w:adjustRightInd w:val="0"/>
              <w:snapToGrid w:val="0"/>
              <w:spacing w:line="360" w:lineRule="auto"/>
              <w:ind w:firstLine="424" w:firstLineChars="202"/>
              <w:rPr>
                <w:color w:val="auto"/>
                <w:szCs w:val="21"/>
              </w:rPr>
            </w:pPr>
            <w:r>
              <w:rPr>
                <w:color w:val="auto"/>
                <w:szCs w:val="21"/>
              </w:rPr>
              <w:t>（1）根据招标文件，编制评标使用的相应表格；</w:t>
            </w:r>
          </w:p>
          <w:p>
            <w:pPr>
              <w:adjustRightInd w:val="0"/>
              <w:snapToGrid w:val="0"/>
              <w:spacing w:line="360" w:lineRule="auto"/>
              <w:ind w:firstLine="424" w:firstLineChars="202"/>
              <w:rPr>
                <w:color w:val="auto"/>
                <w:szCs w:val="21"/>
              </w:rPr>
            </w:pPr>
            <w:r>
              <w:rPr>
                <w:color w:val="auto"/>
                <w:szCs w:val="21"/>
              </w:rPr>
              <w:t>（2）对投标报价进行算术性校核（如采用固化工程量清单，本步骤省略）；</w:t>
            </w:r>
          </w:p>
          <w:p>
            <w:pPr>
              <w:adjustRightInd w:val="0"/>
              <w:snapToGrid w:val="0"/>
              <w:spacing w:line="360" w:lineRule="auto"/>
              <w:ind w:firstLine="424" w:firstLineChars="202"/>
              <w:rPr>
                <w:color w:val="auto"/>
                <w:szCs w:val="21"/>
              </w:rPr>
            </w:pPr>
            <w:r>
              <w:rPr>
                <w:color w:val="auto"/>
                <w:szCs w:val="21"/>
              </w:rPr>
              <w:t>（3）以评标标准和方法为依据，列出投标文件相对于招标文件的所有偏差，并进行归类汇总；</w:t>
            </w:r>
          </w:p>
          <w:p>
            <w:pPr>
              <w:adjustRightInd w:val="0"/>
              <w:snapToGrid w:val="0"/>
              <w:spacing w:line="360" w:lineRule="auto"/>
              <w:ind w:firstLine="424" w:firstLineChars="202"/>
              <w:rPr>
                <w:color w:val="auto"/>
                <w:szCs w:val="21"/>
              </w:rPr>
            </w:pPr>
            <w:r>
              <w:rPr>
                <w:color w:val="auto"/>
                <w:szCs w:val="21"/>
              </w:rPr>
              <w:t>（4）查询公路建设市场信用信息管理系统，对投标人的资质、业绩、主要人员资历和目前在岗情况、信用等级进行核实。</w:t>
            </w:r>
          </w:p>
          <w:p>
            <w:pPr>
              <w:adjustRightInd w:val="0"/>
              <w:snapToGrid w:val="0"/>
              <w:spacing w:line="360" w:lineRule="auto"/>
              <w:ind w:firstLine="424" w:firstLineChars="202"/>
              <w:rPr>
                <w:color w:val="auto"/>
                <w:szCs w:val="21"/>
              </w:rPr>
            </w:pPr>
            <w:r>
              <w:rPr>
                <w:color w:val="auto"/>
                <w:szCs w:val="21"/>
              </w:rPr>
              <w:t>招标人不得对投标文件作出任何评价，不得故意遗漏或者片面摘录，不得在评标委员会对所有偏差定性之前透露存有偏差的投标人名称。</w:t>
            </w:r>
          </w:p>
          <w:p>
            <w:pPr>
              <w:adjustRightInd w:val="0"/>
              <w:snapToGrid w:val="0"/>
              <w:spacing w:line="360" w:lineRule="auto"/>
              <w:rPr>
                <w:color w:val="auto"/>
                <w:szCs w:val="21"/>
              </w:rPr>
            </w:pPr>
            <w:r>
              <w:rPr>
                <w:color w:val="auto"/>
                <w:szCs w:val="21"/>
              </w:rPr>
              <w:t>1.2.2评标委员会</w:t>
            </w:r>
          </w:p>
          <w:p>
            <w:pPr>
              <w:autoSpaceDE w:val="0"/>
              <w:autoSpaceDN w:val="0"/>
              <w:adjustRightInd w:val="0"/>
              <w:snapToGrid w:val="0"/>
              <w:spacing w:line="360" w:lineRule="auto"/>
              <w:ind w:firstLine="420"/>
              <w:rPr>
                <w:color w:val="auto"/>
                <w:szCs w:val="21"/>
              </w:rPr>
            </w:pPr>
            <w:r>
              <w:rPr>
                <w:color w:val="auto"/>
                <w:szCs w:val="21"/>
              </w:rPr>
              <w:t>评标委员会由招标人按国家、广东省等的有关规定依法组建。评标委员会的主要工作内容包括：</w:t>
            </w:r>
          </w:p>
          <w:p>
            <w:pPr>
              <w:adjustRightInd w:val="0"/>
              <w:snapToGrid w:val="0"/>
              <w:spacing w:line="360" w:lineRule="auto"/>
              <w:rPr>
                <w:color w:val="auto"/>
                <w:szCs w:val="21"/>
              </w:rPr>
            </w:pPr>
            <w:r>
              <w:rPr>
                <w:color w:val="auto"/>
                <w:szCs w:val="21"/>
              </w:rPr>
              <w:t>（1）评标委员会开始评标工作之前，首先听取招标人、协助工作组关于工程情况和辅助工作的说明，并认真研读招标文件，获取评标所需的重要信息和数据；</w:t>
            </w:r>
          </w:p>
          <w:p>
            <w:pPr>
              <w:adjustRightInd w:val="0"/>
              <w:snapToGrid w:val="0"/>
              <w:spacing w:line="360" w:lineRule="auto"/>
              <w:rPr>
                <w:color w:val="auto"/>
                <w:szCs w:val="21"/>
              </w:rPr>
            </w:pPr>
            <w:r>
              <w:rPr>
                <w:color w:val="auto"/>
                <w:szCs w:val="21"/>
              </w:rPr>
              <w:t>（2）对协助工作组提供的评标工作用表和评标内容进行核查。</w:t>
            </w:r>
          </w:p>
          <w:p>
            <w:pPr>
              <w:adjustRightInd w:val="0"/>
              <w:snapToGrid w:val="0"/>
              <w:spacing w:line="360" w:lineRule="auto"/>
              <w:rPr>
                <w:color w:val="auto"/>
                <w:szCs w:val="21"/>
              </w:rPr>
            </w:pPr>
            <w:r>
              <w:rPr>
                <w:color w:val="auto"/>
                <w:szCs w:val="21"/>
              </w:rPr>
              <w:t>（3）按照以下1.3款程序进行各项评审工作。</w:t>
            </w:r>
          </w:p>
          <w:p>
            <w:pPr>
              <w:adjustRightInd w:val="0"/>
              <w:snapToGrid w:val="0"/>
              <w:spacing w:line="360" w:lineRule="auto"/>
              <w:rPr>
                <w:color w:val="auto"/>
                <w:szCs w:val="21"/>
              </w:rPr>
            </w:pPr>
            <w:r>
              <w:rPr>
                <w:color w:val="auto"/>
                <w:szCs w:val="21"/>
              </w:rPr>
              <w:t>1.3评审工作程序</w:t>
            </w:r>
          </w:p>
          <w:p>
            <w:pPr>
              <w:adjustRightInd w:val="0"/>
              <w:snapToGrid w:val="0"/>
              <w:spacing w:line="360" w:lineRule="auto"/>
              <w:rPr>
                <w:color w:val="auto"/>
                <w:szCs w:val="21"/>
              </w:rPr>
            </w:pPr>
            <w:r>
              <w:rPr>
                <w:color w:val="auto"/>
                <w:szCs w:val="21"/>
              </w:rPr>
              <w:t>（一）第一信封（商务文件和技术文件）：</w:t>
            </w:r>
          </w:p>
          <w:p>
            <w:pPr>
              <w:adjustRightInd w:val="0"/>
              <w:snapToGrid w:val="0"/>
              <w:spacing w:line="360" w:lineRule="auto"/>
              <w:rPr>
                <w:color w:val="auto"/>
                <w:szCs w:val="21"/>
              </w:rPr>
            </w:pPr>
            <w:r>
              <w:rPr>
                <w:color w:val="auto"/>
                <w:szCs w:val="21"/>
              </w:rPr>
              <w:t xml:space="preserve"> l、初步评审：包括形式评审与响应性评审、资格评审（适用于未进行资格预</w:t>
            </w:r>
          </w:p>
          <w:p>
            <w:pPr>
              <w:adjustRightInd w:val="0"/>
              <w:snapToGrid w:val="0"/>
              <w:spacing w:line="360" w:lineRule="auto"/>
              <w:rPr>
                <w:color w:val="auto"/>
                <w:szCs w:val="21"/>
              </w:rPr>
            </w:pPr>
            <w:r>
              <w:rPr>
                <w:color w:val="auto"/>
                <w:szCs w:val="21"/>
              </w:rPr>
              <w:t>审）；</w:t>
            </w:r>
          </w:p>
          <w:p>
            <w:pPr>
              <w:adjustRightInd w:val="0"/>
              <w:snapToGrid w:val="0"/>
              <w:spacing w:line="360" w:lineRule="auto"/>
              <w:rPr>
                <w:color w:val="auto"/>
                <w:szCs w:val="21"/>
                <w:u w:val="single"/>
              </w:rPr>
            </w:pPr>
            <w:r>
              <w:rPr>
                <w:color w:val="auto"/>
                <w:szCs w:val="21"/>
              </w:rPr>
              <w:t xml:space="preserve"> 2、详细评审（评审打分）：评标委员会首先对通过第一信封初步评审的投标文件第一个信封（商务及技术文件）进行详细评审，对投标人的施工组织设计、主要人员、其他因素等分别评审打分，并按照综合得分由高到低排序，排名在招标文件规定数量</w:t>
            </w:r>
            <w:r>
              <w:rPr>
                <w:color w:val="auto"/>
                <w:szCs w:val="21"/>
                <w:u w:val="single"/>
              </w:rPr>
              <w:t>前</w:t>
            </w:r>
            <w:r>
              <w:rPr>
                <w:rFonts w:hint="default"/>
                <w:color w:val="auto"/>
                <w:szCs w:val="21"/>
                <w:u w:val="single"/>
              </w:rPr>
              <w:t>5</w:t>
            </w:r>
            <w:r>
              <w:rPr>
                <w:color w:val="auto"/>
                <w:szCs w:val="21"/>
                <w:u w:val="single"/>
              </w:rPr>
              <w:t xml:space="preserve"> 名</w:t>
            </w:r>
            <w:r>
              <w:rPr>
                <w:color w:val="auto"/>
                <w:szCs w:val="21"/>
              </w:rPr>
              <w:t>的投标人，其投标文件第一信封（商务及技术文件）通过详细评审。</w:t>
            </w:r>
          </w:p>
          <w:p>
            <w:pPr>
              <w:adjustRightInd w:val="0"/>
              <w:snapToGrid w:val="0"/>
              <w:spacing w:line="360" w:lineRule="auto"/>
              <w:rPr>
                <w:color w:val="auto"/>
                <w:szCs w:val="21"/>
              </w:rPr>
            </w:pPr>
            <w:r>
              <w:rPr>
                <w:color w:val="auto"/>
                <w:szCs w:val="21"/>
              </w:rPr>
              <w:t>（二）第二信封（报价文件）：</w:t>
            </w:r>
          </w:p>
          <w:p>
            <w:pPr>
              <w:adjustRightInd w:val="0"/>
              <w:snapToGrid w:val="0"/>
              <w:spacing w:line="360" w:lineRule="auto"/>
              <w:rPr>
                <w:color w:val="auto"/>
                <w:szCs w:val="21"/>
              </w:rPr>
            </w:pPr>
            <w:r>
              <w:rPr>
                <w:color w:val="auto"/>
                <w:szCs w:val="21"/>
              </w:rPr>
              <w:t xml:space="preserve"> 1、初步评审：</w:t>
            </w:r>
          </w:p>
          <w:p>
            <w:pPr>
              <w:adjustRightInd w:val="0"/>
              <w:snapToGrid w:val="0"/>
              <w:spacing w:line="360" w:lineRule="auto"/>
              <w:rPr>
                <w:color w:val="auto"/>
                <w:szCs w:val="21"/>
              </w:rPr>
            </w:pPr>
            <w:r>
              <w:rPr>
                <w:color w:val="auto"/>
                <w:szCs w:val="21"/>
              </w:rPr>
              <w:t>（1）只有对投标文件第一个信封通过详细评审的投标人的报价文件才能继续参加第二信封报价文件的形式评审与响应性评审。</w:t>
            </w:r>
          </w:p>
          <w:p>
            <w:pPr>
              <w:adjustRightInd w:val="0"/>
              <w:snapToGrid w:val="0"/>
              <w:spacing w:line="360" w:lineRule="auto"/>
              <w:rPr>
                <w:color w:val="auto"/>
                <w:szCs w:val="21"/>
              </w:rPr>
            </w:pPr>
            <w:r>
              <w:rPr>
                <w:color w:val="auto"/>
                <w:szCs w:val="21"/>
              </w:rPr>
              <w:t xml:space="preserve"> （2）报价算术性修正（如采用固化工程量清单，本步骤省略）；</w:t>
            </w:r>
          </w:p>
          <w:p>
            <w:pPr>
              <w:adjustRightInd w:val="0"/>
              <w:snapToGrid w:val="0"/>
              <w:spacing w:line="360" w:lineRule="auto"/>
              <w:rPr>
                <w:color w:val="auto"/>
                <w:szCs w:val="21"/>
              </w:rPr>
            </w:pPr>
            <w:r>
              <w:rPr>
                <w:color w:val="auto"/>
                <w:szCs w:val="21"/>
              </w:rPr>
              <w:t xml:space="preserve"> 2、详细评审：计算评标价。</w:t>
            </w:r>
          </w:p>
          <w:p>
            <w:pPr>
              <w:adjustRightInd w:val="0"/>
              <w:snapToGrid w:val="0"/>
              <w:spacing w:line="360" w:lineRule="auto"/>
              <w:rPr>
                <w:color w:val="auto"/>
                <w:szCs w:val="21"/>
              </w:rPr>
            </w:pPr>
            <w:r>
              <w:rPr>
                <w:color w:val="auto"/>
                <w:szCs w:val="21"/>
              </w:rPr>
              <w:t>（三）投标文件相关信息的核查。</w:t>
            </w:r>
          </w:p>
          <w:p>
            <w:pPr>
              <w:adjustRightInd w:val="0"/>
              <w:snapToGrid w:val="0"/>
              <w:spacing w:line="360" w:lineRule="auto"/>
              <w:rPr>
                <w:color w:val="auto"/>
                <w:szCs w:val="21"/>
              </w:rPr>
            </w:pPr>
            <w:r>
              <w:rPr>
                <w:color w:val="auto"/>
                <w:szCs w:val="21"/>
              </w:rPr>
              <w:t>（四）投标文件的澄清和说明（如有）</w:t>
            </w:r>
          </w:p>
          <w:p>
            <w:pPr>
              <w:adjustRightInd w:val="0"/>
              <w:snapToGrid w:val="0"/>
              <w:spacing w:line="360" w:lineRule="auto"/>
              <w:rPr>
                <w:color w:val="auto"/>
                <w:szCs w:val="21"/>
              </w:rPr>
            </w:pPr>
            <w:r>
              <w:rPr>
                <w:color w:val="auto"/>
                <w:szCs w:val="21"/>
              </w:rPr>
              <w:t>（五）按评标办法规定按照第二信封的评标价由低到高的顺序推荐前三名中标候选人，编写评标报告。</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3.2.3</w:t>
            </w:r>
          </w:p>
        </w:tc>
        <w:tc>
          <w:tcPr>
            <w:tcW w:w="7746" w:type="dxa"/>
            <w:gridSpan w:val="8"/>
            <w:noWrap w:val="0"/>
            <w:vAlign w:val="center"/>
          </w:tcPr>
          <w:p>
            <w:pPr>
              <w:adjustRightInd w:val="0"/>
              <w:snapToGrid w:val="0"/>
              <w:spacing w:line="360" w:lineRule="auto"/>
              <w:rPr>
                <w:color w:val="auto"/>
                <w:szCs w:val="21"/>
              </w:rPr>
            </w:pPr>
            <w:r>
              <w:rPr>
                <w:color w:val="auto"/>
                <w:szCs w:val="21"/>
              </w:rPr>
              <w:t>将评标办法范本原文第3.2.3款细化如下：</w:t>
            </w:r>
          </w:p>
          <w:p>
            <w:pPr>
              <w:adjustRightInd w:val="0"/>
              <w:snapToGrid w:val="0"/>
              <w:spacing w:line="360" w:lineRule="auto"/>
              <w:ind w:firstLine="420" w:firstLineChars="200"/>
              <w:rPr>
                <w:color w:val="auto"/>
                <w:szCs w:val="21"/>
              </w:rPr>
            </w:pPr>
            <w:r>
              <w:rPr>
                <w:color w:val="auto"/>
                <w:szCs w:val="21"/>
              </w:rPr>
              <w:t>投标人的商务和技术得分=A+B+C。</w:t>
            </w:r>
          </w:p>
          <w:p>
            <w:pPr>
              <w:autoSpaceDE w:val="0"/>
              <w:autoSpaceDN w:val="0"/>
              <w:adjustRightInd w:val="0"/>
              <w:snapToGrid w:val="0"/>
              <w:spacing w:line="360" w:lineRule="auto"/>
              <w:ind w:firstLine="420"/>
              <w:rPr>
                <w:color w:val="auto"/>
                <w:szCs w:val="21"/>
              </w:rPr>
            </w:pPr>
            <w:r>
              <w:rPr>
                <w:color w:val="auto"/>
                <w:szCs w:val="21"/>
              </w:rPr>
              <w:t>除履约信誉、技术能力得分外，投标文件</w:t>
            </w:r>
            <w:r>
              <w:rPr>
                <w:rFonts w:hint="eastAsia"/>
                <w:color w:val="auto"/>
                <w:szCs w:val="21"/>
              </w:rPr>
              <w:t>主要人员、施工组织设计</w:t>
            </w:r>
            <w:r>
              <w:rPr>
                <w:color w:val="auto"/>
                <w:szCs w:val="21"/>
              </w:rPr>
              <w:t>得分均不应低于其权重分的</w:t>
            </w:r>
            <w:r>
              <w:rPr>
                <w:rFonts w:hint="eastAsia"/>
                <w:color w:val="auto"/>
                <w:szCs w:val="21"/>
              </w:rPr>
              <w:t>6</w:t>
            </w:r>
            <w:r>
              <w:rPr>
                <w:color w:val="auto"/>
                <w:szCs w:val="21"/>
              </w:rPr>
              <w:t>0%</w:t>
            </w:r>
            <w:r>
              <w:rPr>
                <w:rFonts w:hint="eastAsia"/>
                <w:color w:val="auto"/>
                <w:szCs w:val="21"/>
              </w:rPr>
              <w:t>，</w:t>
            </w:r>
            <w:r>
              <w:rPr>
                <w:color w:val="auto"/>
                <w:szCs w:val="21"/>
              </w:rPr>
              <w:t>低于其权重分</w:t>
            </w:r>
            <w:r>
              <w:rPr>
                <w:rFonts w:hint="eastAsia"/>
                <w:color w:val="auto"/>
                <w:szCs w:val="21"/>
              </w:rPr>
              <w:t>6</w:t>
            </w:r>
            <w:r>
              <w:rPr>
                <w:color w:val="auto"/>
                <w:szCs w:val="21"/>
              </w:rPr>
              <w:t>0%的，评标委员会成员应当在评标报告中作出说明。计算投标人技术得分时</w:t>
            </w:r>
            <w:r>
              <w:rPr>
                <w:rFonts w:hint="eastAsia"/>
                <w:color w:val="auto"/>
                <w:szCs w:val="21"/>
              </w:rPr>
              <w:t>：</w:t>
            </w:r>
            <w:r>
              <w:rPr>
                <w:color w:val="auto"/>
                <w:szCs w:val="21"/>
              </w:rPr>
              <w:t>在评委技术评分中，对各评分因素细分项中取消一个最高、一个最低分后计算算术平均值的和为投标人的技术得分，平均值计算四舍五入保留小数点后三位。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3.4.2</w:t>
            </w:r>
          </w:p>
        </w:tc>
        <w:tc>
          <w:tcPr>
            <w:tcW w:w="7746" w:type="dxa"/>
            <w:gridSpan w:val="8"/>
            <w:noWrap w:val="0"/>
            <w:vAlign w:val="center"/>
          </w:tcPr>
          <w:p>
            <w:pPr>
              <w:tabs>
                <w:tab w:val="left" w:pos="858"/>
              </w:tabs>
              <w:adjustRightInd w:val="0"/>
              <w:snapToGrid w:val="0"/>
              <w:spacing w:line="360" w:lineRule="auto"/>
              <w:ind w:firstLine="407" w:firstLineChars="194"/>
              <w:rPr>
                <w:snapToGrid w:val="0"/>
                <w:color w:val="auto"/>
                <w:szCs w:val="21"/>
              </w:rPr>
            </w:pPr>
            <w:r>
              <w:rPr>
                <w:snapToGrid w:val="0"/>
                <w:color w:val="auto"/>
                <w:szCs w:val="21"/>
              </w:rPr>
              <w:t>将评标办法范本原文第3.4.2款第（2）、（3）、（4）条修改为：</w:t>
            </w:r>
          </w:p>
          <w:p>
            <w:pPr>
              <w:tabs>
                <w:tab w:val="left" w:pos="858"/>
              </w:tabs>
              <w:adjustRightInd w:val="0"/>
              <w:snapToGrid w:val="0"/>
              <w:spacing w:line="360" w:lineRule="auto"/>
              <w:ind w:firstLine="407" w:firstLineChars="194"/>
              <w:rPr>
                <w:snapToGrid w:val="0"/>
                <w:color w:val="auto"/>
                <w:szCs w:val="21"/>
              </w:rPr>
            </w:pPr>
            <w:r>
              <w:rPr>
                <w:snapToGrid w:val="0"/>
                <w:color w:val="auto"/>
                <w:szCs w:val="21"/>
              </w:rPr>
              <w:t>（2） 总价金额与依据单价计算出的结果不一致的，在保证投标总价不变的前提下予以合理调整单价。</w:t>
            </w:r>
          </w:p>
          <w:p>
            <w:pPr>
              <w:tabs>
                <w:tab w:val="left" w:pos="858"/>
              </w:tabs>
              <w:adjustRightInd w:val="0"/>
              <w:snapToGrid w:val="0"/>
              <w:spacing w:line="360" w:lineRule="auto"/>
              <w:ind w:firstLine="407" w:firstLineChars="194"/>
              <w:rPr>
                <w:snapToGrid w:val="0"/>
                <w:color w:val="auto"/>
                <w:szCs w:val="21"/>
              </w:rPr>
            </w:pPr>
            <w:r>
              <w:rPr>
                <w:snapToGrid w:val="0"/>
                <w:color w:val="auto"/>
                <w:szCs w:val="21"/>
              </w:rPr>
              <w:t>（3）当单价与数量相乘不等于合价时，应以标出的合价为准，同时对单价予以修正；</w:t>
            </w:r>
          </w:p>
          <w:p>
            <w:pPr>
              <w:adjustRightInd w:val="0"/>
              <w:snapToGrid w:val="0"/>
              <w:spacing w:line="360" w:lineRule="auto"/>
              <w:ind w:firstLine="420" w:firstLineChars="200"/>
              <w:rPr>
                <w:snapToGrid w:val="0"/>
                <w:color w:val="auto"/>
                <w:szCs w:val="21"/>
              </w:rPr>
            </w:pPr>
            <w:r>
              <w:rPr>
                <w:snapToGrid w:val="0"/>
                <w:color w:val="auto"/>
                <w:szCs w:val="21"/>
              </w:rPr>
              <w:t>（4） 当各子目的合价累计不等于总价时，应以总价不变的前提下，修正各子目合价。</w:t>
            </w:r>
          </w:p>
          <w:p>
            <w:pPr>
              <w:adjustRightInd w:val="0"/>
              <w:snapToGrid w:val="0"/>
              <w:spacing w:line="360" w:lineRule="auto"/>
              <w:ind w:firstLine="420" w:firstLineChars="200"/>
              <w:rPr>
                <w:color w:val="auto"/>
                <w:szCs w:val="21"/>
              </w:rPr>
            </w:pPr>
            <w:r>
              <w:rPr>
                <w:bCs/>
                <w:snapToGrid w:val="0"/>
                <w:color w:val="auto"/>
                <w:szCs w:val="21"/>
              </w:rPr>
              <w:t>（如采用固化工程量清单，3.4.2~3.4.4条款不适用）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3.4.4</w:t>
            </w:r>
          </w:p>
        </w:tc>
        <w:tc>
          <w:tcPr>
            <w:tcW w:w="7746" w:type="dxa"/>
            <w:gridSpan w:val="8"/>
            <w:noWrap w:val="0"/>
            <w:vAlign w:val="center"/>
          </w:tcPr>
          <w:p>
            <w:pPr>
              <w:tabs>
                <w:tab w:val="left" w:pos="858"/>
              </w:tabs>
              <w:adjustRightInd w:val="0"/>
              <w:snapToGrid w:val="0"/>
              <w:spacing w:line="360" w:lineRule="auto"/>
              <w:rPr>
                <w:rStyle w:val="11"/>
                <w:color w:val="auto"/>
                <w:szCs w:val="21"/>
              </w:rPr>
            </w:pPr>
            <w:r>
              <w:rPr>
                <w:snapToGrid w:val="0"/>
                <w:color w:val="auto"/>
                <w:szCs w:val="21"/>
              </w:rPr>
              <w:t>将评标办法范本原文第3.4.4款修改为：</w:t>
            </w:r>
          </w:p>
          <w:p>
            <w:pPr>
              <w:adjustRightInd w:val="0"/>
              <w:snapToGrid w:val="0"/>
              <w:spacing w:line="360" w:lineRule="auto"/>
              <w:rPr>
                <w:color w:val="auto"/>
                <w:szCs w:val="21"/>
              </w:rPr>
            </w:pPr>
            <w:r>
              <w:rPr>
                <w:bCs/>
                <w:snapToGrid w:val="0"/>
                <w:color w:val="auto"/>
              </w:rPr>
              <w:t>修正后的最终投标报价若超过</w:t>
            </w:r>
            <w:r>
              <w:rPr>
                <w:bCs/>
                <w:snapToGrid w:val="0"/>
                <w:color w:val="auto"/>
                <w:szCs w:val="21"/>
              </w:rPr>
              <w:t>最高评标限价</w:t>
            </w:r>
            <w:r>
              <w:rPr>
                <w:bCs/>
                <w:snapToGrid w:val="0"/>
                <w:color w:val="auto"/>
              </w:rPr>
              <w:t>，评标委员会应否决其投标。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3.6</w:t>
            </w:r>
          </w:p>
        </w:tc>
        <w:tc>
          <w:tcPr>
            <w:tcW w:w="7746" w:type="dxa"/>
            <w:gridSpan w:val="8"/>
            <w:noWrap w:val="0"/>
            <w:vAlign w:val="center"/>
          </w:tcPr>
          <w:p>
            <w:pPr>
              <w:adjustRightInd w:val="0"/>
              <w:snapToGrid w:val="0"/>
              <w:spacing w:line="360" w:lineRule="auto"/>
              <w:rPr>
                <w:color w:val="auto"/>
                <w:szCs w:val="21"/>
              </w:rPr>
            </w:pPr>
            <w:r>
              <w:rPr>
                <w:color w:val="auto"/>
                <w:szCs w:val="21"/>
              </w:rPr>
              <w:t>增加3.6.3款：</w:t>
            </w:r>
          </w:p>
          <w:p>
            <w:pPr>
              <w:tabs>
                <w:tab w:val="left" w:pos="858"/>
              </w:tabs>
              <w:adjustRightInd w:val="0"/>
              <w:snapToGrid w:val="0"/>
              <w:spacing w:line="360" w:lineRule="auto"/>
              <w:ind w:firstLine="407" w:firstLineChars="194"/>
              <w:rPr>
                <w:snapToGrid w:val="0"/>
                <w:color w:val="auto"/>
                <w:szCs w:val="21"/>
              </w:rPr>
            </w:pPr>
            <w:r>
              <w:rPr>
                <w:color w:val="auto"/>
                <w:szCs w:val="21"/>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3.7.1</w:t>
            </w:r>
          </w:p>
        </w:tc>
        <w:tc>
          <w:tcPr>
            <w:tcW w:w="7746" w:type="dxa"/>
            <w:gridSpan w:val="8"/>
            <w:noWrap w:val="0"/>
            <w:vAlign w:val="center"/>
          </w:tcPr>
          <w:p>
            <w:pPr>
              <w:adjustRightInd w:val="0"/>
              <w:snapToGrid w:val="0"/>
              <w:spacing w:line="360" w:lineRule="auto"/>
              <w:rPr>
                <w:color w:val="auto"/>
                <w:szCs w:val="21"/>
              </w:rPr>
            </w:pPr>
            <w:r>
              <w:rPr>
                <w:color w:val="auto"/>
                <w:szCs w:val="21"/>
              </w:rPr>
              <w:t>将评标办法范本原文第3.7.1款修改为：</w:t>
            </w:r>
          </w:p>
          <w:p>
            <w:pPr>
              <w:adjustRightInd w:val="0"/>
              <w:snapToGrid w:val="0"/>
              <w:spacing w:line="360" w:lineRule="auto"/>
              <w:ind w:firstLine="420" w:firstLineChars="200"/>
              <w:rPr>
                <w:color w:val="auto"/>
                <w:szCs w:val="21"/>
              </w:rPr>
            </w:pPr>
            <w:r>
              <w:rPr>
                <w:color w:val="auto"/>
                <w:szCs w:val="21"/>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adjustRightInd w:val="0"/>
              <w:snapToGrid w:val="0"/>
              <w:spacing w:line="360" w:lineRule="auto"/>
              <w:ind w:firstLine="420" w:firstLineChars="200"/>
              <w:rPr>
                <w:bCs/>
                <w:snapToGrid w:val="0"/>
                <w:color w:val="auto"/>
                <w:szCs w:val="21"/>
              </w:rPr>
            </w:pPr>
            <w:r>
              <w:rPr>
                <w:bCs/>
                <w:snapToGrid w:val="0"/>
                <w:color w:val="auto"/>
                <w:szCs w:val="21"/>
              </w:rPr>
              <w:t xml:space="preserve">（1） 投标文件中的下列计算错误为细微偏差（采用固化工程量清单，则a－d步骤省略）： </w:t>
            </w:r>
          </w:p>
          <w:p>
            <w:pPr>
              <w:tabs>
                <w:tab w:val="left" w:pos="858"/>
              </w:tabs>
              <w:adjustRightInd w:val="0"/>
              <w:snapToGrid w:val="0"/>
              <w:spacing w:line="360" w:lineRule="auto"/>
              <w:ind w:firstLine="407" w:firstLineChars="194"/>
              <w:rPr>
                <w:snapToGrid w:val="0"/>
                <w:color w:val="auto"/>
                <w:szCs w:val="21"/>
              </w:rPr>
            </w:pPr>
            <w:r>
              <w:rPr>
                <w:color w:val="auto"/>
                <w:szCs w:val="21"/>
              </w:rPr>
              <w:t>a、</w:t>
            </w:r>
            <w:r>
              <w:rPr>
                <w:snapToGrid w:val="0"/>
                <w:color w:val="auto"/>
                <w:szCs w:val="21"/>
              </w:rPr>
              <w:t>在</w:t>
            </w:r>
            <w:r>
              <w:rPr>
                <w:color w:val="auto"/>
                <w:szCs w:val="21"/>
              </w:rPr>
              <w:t>算术</w:t>
            </w:r>
            <w:r>
              <w:rPr>
                <w:snapToGrid w:val="0"/>
                <w:color w:val="auto"/>
                <w:szCs w:val="21"/>
              </w:rPr>
              <w:t>性复核中发现的算术性差错：</w:t>
            </w:r>
          </w:p>
          <w:p>
            <w:pPr>
              <w:adjustRightInd w:val="0"/>
              <w:snapToGrid w:val="0"/>
              <w:spacing w:line="360" w:lineRule="auto"/>
              <w:ind w:firstLine="407" w:firstLineChars="194"/>
              <w:rPr>
                <w:snapToGrid w:val="0"/>
                <w:color w:val="auto"/>
                <w:szCs w:val="21"/>
              </w:rPr>
            </w:pPr>
            <w:r>
              <w:rPr>
                <w:color w:val="auto"/>
                <w:szCs w:val="21"/>
              </w:rPr>
              <w:t>b、</w:t>
            </w:r>
            <w:r>
              <w:rPr>
                <w:snapToGrid w:val="0"/>
                <w:color w:val="auto"/>
                <w:szCs w:val="21"/>
              </w:rPr>
              <w:t>在招标人给定的工程量清单中漏报了某个工程细目的单价和合价；</w:t>
            </w:r>
          </w:p>
          <w:p>
            <w:pPr>
              <w:adjustRightInd w:val="0"/>
              <w:snapToGrid w:val="0"/>
              <w:spacing w:line="360" w:lineRule="auto"/>
              <w:ind w:firstLine="384" w:firstLineChars="194"/>
              <w:rPr>
                <w:snapToGrid w:val="0"/>
                <w:color w:val="auto"/>
                <w:spacing w:val="-6"/>
                <w:szCs w:val="21"/>
              </w:rPr>
            </w:pPr>
            <w:r>
              <w:rPr>
                <w:color w:val="auto"/>
                <w:spacing w:val="-6"/>
                <w:szCs w:val="21"/>
              </w:rPr>
              <w:t>c、</w:t>
            </w:r>
            <w:r>
              <w:rPr>
                <w:snapToGrid w:val="0"/>
                <w:color w:val="auto"/>
                <w:spacing w:val="-6"/>
                <w:szCs w:val="21"/>
              </w:rPr>
              <w:t>在招标人给定的工程量清单中多报了某个工程细目的单价和合价或所报单价增加或减少了报价范围；</w:t>
            </w:r>
          </w:p>
          <w:p>
            <w:pPr>
              <w:adjustRightInd w:val="0"/>
              <w:snapToGrid w:val="0"/>
              <w:spacing w:line="360" w:lineRule="auto"/>
              <w:ind w:firstLine="420" w:firstLineChars="200"/>
              <w:rPr>
                <w:snapToGrid w:val="0"/>
                <w:color w:val="auto"/>
                <w:szCs w:val="21"/>
              </w:rPr>
            </w:pPr>
            <w:r>
              <w:rPr>
                <w:color w:val="auto"/>
                <w:szCs w:val="21"/>
              </w:rPr>
              <w:t>d、</w:t>
            </w:r>
            <w:r>
              <w:rPr>
                <w:snapToGrid w:val="0"/>
                <w:color w:val="auto"/>
                <w:szCs w:val="21"/>
              </w:rPr>
              <w:t>在招标人给定的工程量清单中修改了某些支付号的工程数量。</w:t>
            </w:r>
          </w:p>
          <w:p>
            <w:pPr>
              <w:adjustRightInd w:val="0"/>
              <w:snapToGrid w:val="0"/>
              <w:spacing w:line="360" w:lineRule="auto"/>
              <w:ind w:firstLine="420" w:firstLineChars="200"/>
              <w:rPr>
                <w:bCs/>
                <w:snapToGrid w:val="0"/>
                <w:color w:val="auto"/>
                <w:szCs w:val="21"/>
              </w:rPr>
            </w:pPr>
            <w:r>
              <w:rPr>
                <w:color w:val="auto"/>
                <w:szCs w:val="21"/>
              </w:rPr>
              <w:t>（2）</w:t>
            </w:r>
            <w:r>
              <w:rPr>
                <w:bCs/>
                <w:snapToGrid w:val="0"/>
                <w:color w:val="auto"/>
                <w:szCs w:val="21"/>
              </w:rPr>
              <w:t>评标委员会对投标文件中的细微偏差按如下规定处理（采用固化工程量清单，则a－d步骤省略）：</w:t>
            </w:r>
          </w:p>
          <w:p>
            <w:pPr>
              <w:adjustRightInd w:val="0"/>
              <w:snapToGrid w:val="0"/>
              <w:spacing w:line="360" w:lineRule="auto"/>
              <w:ind w:firstLine="420" w:firstLineChars="200"/>
              <w:rPr>
                <w:snapToGrid w:val="0"/>
                <w:color w:val="auto"/>
                <w:szCs w:val="21"/>
              </w:rPr>
            </w:pPr>
            <w:r>
              <w:rPr>
                <w:color w:val="auto"/>
                <w:szCs w:val="21"/>
              </w:rPr>
              <w:t>a、</w:t>
            </w:r>
            <w:r>
              <w:rPr>
                <w:snapToGrid w:val="0"/>
                <w:color w:val="auto"/>
                <w:szCs w:val="21"/>
              </w:rPr>
              <w:t>按本评标办法的规定对算术性错误予以修正；</w:t>
            </w:r>
          </w:p>
          <w:p>
            <w:pPr>
              <w:adjustRightInd w:val="0"/>
              <w:snapToGrid w:val="0"/>
              <w:spacing w:line="360" w:lineRule="auto"/>
              <w:ind w:firstLine="420" w:firstLineChars="200"/>
              <w:rPr>
                <w:snapToGrid w:val="0"/>
                <w:color w:val="auto"/>
                <w:szCs w:val="21"/>
              </w:rPr>
            </w:pPr>
            <w:r>
              <w:rPr>
                <w:color w:val="auto"/>
                <w:szCs w:val="21"/>
              </w:rPr>
              <w:t>b、</w:t>
            </w:r>
            <w:r>
              <w:rPr>
                <w:snapToGrid w:val="0"/>
                <w:color w:val="auto"/>
                <w:szCs w:val="21"/>
              </w:rPr>
              <w:t>对于漏报的工程细目单价和合价或单价和合价减少的报价内容视为已含入其它工程细目的单价和合价之中；</w:t>
            </w:r>
          </w:p>
          <w:p>
            <w:pPr>
              <w:adjustRightInd w:val="0"/>
              <w:snapToGrid w:val="0"/>
              <w:spacing w:line="360" w:lineRule="auto"/>
              <w:ind w:firstLine="420" w:firstLineChars="200"/>
              <w:rPr>
                <w:snapToGrid w:val="0"/>
                <w:color w:val="auto"/>
                <w:szCs w:val="21"/>
              </w:rPr>
            </w:pPr>
            <w:r>
              <w:rPr>
                <w:color w:val="auto"/>
                <w:szCs w:val="21"/>
              </w:rPr>
              <w:t>c、在保证投标总价不变的前提下，</w:t>
            </w:r>
            <w:r>
              <w:rPr>
                <w:snapToGrid w:val="0"/>
                <w:color w:val="auto"/>
                <w:szCs w:val="21"/>
              </w:rPr>
              <w:t>对于多报的工程细目报价或工程细目报价中增加的部分报价从投标报价中予以扣除，并对其它细目作相应的平衡性调整；</w:t>
            </w:r>
          </w:p>
          <w:p>
            <w:pPr>
              <w:adjustRightInd w:val="0"/>
              <w:snapToGrid w:val="0"/>
              <w:spacing w:line="360" w:lineRule="auto"/>
              <w:ind w:firstLine="420" w:firstLineChars="200"/>
              <w:rPr>
                <w:snapToGrid w:val="0"/>
                <w:color w:val="auto"/>
                <w:szCs w:val="21"/>
              </w:rPr>
            </w:pPr>
            <w:r>
              <w:rPr>
                <w:snapToGrid w:val="0"/>
                <w:color w:val="auto"/>
                <w:szCs w:val="21"/>
              </w:rPr>
              <w:t>d、</w:t>
            </w:r>
            <w:r>
              <w:rPr>
                <w:color w:val="auto"/>
                <w:szCs w:val="21"/>
              </w:rPr>
              <w:t>在保证投标总价不变的前提下，对</w:t>
            </w:r>
            <w:r>
              <w:rPr>
                <w:snapToGrid w:val="0"/>
                <w:color w:val="auto"/>
                <w:szCs w:val="21"/>
              </w:rPr>
              <w:t>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color w:val="auto"/>
                <w:szCs w:val="21"/>
              </w:rPr>
            </w:pPr>
            <w:r>
              <w:rPr>
                <w:color w:val="auto"/>
                <w:szCs w:val="21"/>
              </w:rPr>
              <w:t>3.9</w:t>
            </w:r>
          </w:p>
        </w:tc>
        <w:tc>
          <w:tcPr>
            <w:tcW w:w="7746" w:type="dxa"/>
            <w:gridSpan w:val="8"/>
            <w:noWrap w:val="0"/>
            <w:vAlign w:val="center"/>
          </w:tcPr>
          <w:p>
            <w:pPr>
              <w:adjustRightInd w:val="0"/>
              <w:snapToGrid w:val="0"/>
              <w:spacing w:line="360" w:lineRule="auto"/>
              <w:rPr>
                <w:bCs/>
                <w:color w:val="auto"/>
                <w:szCs w:val="21"/>
              </w:rPr>
            </w:pPr>
            <w:r>
              <w:rPr>
                <w:bCs/>
                <w:color w:val="auto"/>
                <w:szCs w:val="21"/>
              </w:rPr>
              <w:t>增加3.9.3-3.9.6款：</w:t>
            </w:r>
          </w:p>
          <w:p>
            <w:pPr>
              <w:adjustRightInd w:val="0"/>
              <w:snapToGrid w:val="0"/>
              <w:spacing w:line="360" w:lineRule="auto"/>
              <w:ind w:firstLine="432" w:firstLineChars="206"/>
              <w:rPr>
                <w:color w:val="auto"/>
                <w:szCs w:val="21"/>
              </w:rPr>
            </w:pPr>
            <w:r>
              <w:rPr>
                <w:color w:val="auto"/>
                <w:szCs w:val="21"/>
              </w:rPr>
              <w:t>3.9.3推荐中标候选人方式：按合同段最高投标限价高低顺序依次选定各</w:t>
            </w:r>
          </w:p>
          <w:p>
            <w:pPr>
              <w:adjustRightInd w:val="0"/>
              <w:snapToGrid w:val="0"/>
              <w:spacing w:line="360" w:lineRule="auto"/>
              <w:rPr>
                <w:color w:val="auto"/>
                <w:szCs w:val="21"/>
              </w:rPr>
            </w:pPr>
            <w:r>
              <w:rPr>
                <w:color w:val="auto"/>
                <w:szCs w:val="21"/>
              </w:rPr>
              <w:t>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pPr>
              <w:adjustRightInd w:val="0"/>
              <w:snapToGrid w:val="0"/>
              <w:spacing w:line="360" w:lineRule="auto"/>
              <w:ind w:firstLine="432" w:firstLineChars="206"/>
              <w:rPr>
                <w:color w:val="auto"/>
                <w:szCs w:val="21"/>
              </w:rPr>
            </w:pPr>
            <w:r>
              <w:rPr>
                <w:color w:val="auto"/>
                <w:szCs w:val="21"/>
              </w:rPr>
              <w:t>3.9.4通过第一信封商务文件和技术文件评审的投标人少于3个的，评标委员会应否决全部投标。</w:t>
            </w:r>
          </w:p>
          <w:p>
            <w:pPr>
              <w:adjustRightInd w:val="0"/>
              <w:snapToGrid w:val="0"/>
              <w:spacing w:line="360" w:lineRule="auto"/>
              <w:ind w:firstLine="424" w:firstLineChars="202"/>
              <w:rPr>
                <w:color w:val="auto"/>
                <w:szCs w:val="21"/>
              </w:rPr>
            </w:pPr>
            <w:r>
              <w:rPr>
                <w:color w:val="auto"/>
                <w:szCs w:val="21"/>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color w:val="auto"/>
                <w:szCs w:val="21"/>
              </w:rPr>
            </w:pPr>
            <w:r>
              <w:rPr>
                <w:color w:val="auto"/>
                <w:szCs w:val="21"/>
              </w:rPr>
              <w:t>3.9.6如果发生无法确定推荐中标候选人的其它意外情况，评标委员会可建议招标人重新招标。</w:t>
            </w:r>
          </w:p>
        </w:tc>
      </w:tr>
      <w:bookmarkEnd w:id="38"/>
    </w:tbl>
    <w:p>
      <w:pPr>
        <w:pStyle w:val="2"/>
        <w:spacing w:before="360" w:after="240" w:line="240" w:lineRule="atLeast"/>
        <w:rPr>
          <w:rFonts w:hint="eastAsia"/>
          <w:b w:val="0"/>
          <w:color w:val="auto"/>
        </w:rPr>
      </w:pPr>
      <w:bookmarkStart w:id="46" w:name="_Toc510089861"/>
      <w:bookmarkStart w:id="47" w:name="_Toc510172774"/>
      <w:bookmarkStart w:id="48" w:name="_Toc509962368"/>
      <w:bookmarkStart w:id="49" w:name="_Toc501257142"/>
      <w:bookmarkStart w:id="50" w:name="_Toc509959127"/>
      <w:r>
        <w:rPr>
          <w:b w:val="0"/>
          <w:color w:val="auto"/>
        </w:rPr>
        <w:br w:type="page"/>
      </w:r>
      <w:r>
        <w:rPr>
          <w:rFonts w:ascii="黑体" w:eastAsia="黑体"/>
          <w:b w:val="0"/>
          <w:color w:val="auto"/>
          <w:sz w:val="28"/>
          <w:szCs w:val="28"/>
        </w:rPr>
        <w:t>1. 评标方法</w:t>
      </w:r>
      <w:bookmarkEnd w:id="46"/>
      <w:bookmarkEnd w:id="47"/>
      <w:bookmarkEnd w:id="48"/>
      <w:bookmarkEnd w:id="49"/>
      <w:bookmarkEnd w:id="50"/>
    </w:p>
    <w:p>
      <w:pPr>
        <w:spacing w:line="400" w:lineRule="atLeast"/>
        <w:ind w:firstLine="480" w:firstLineChars="200"/>
        <w:rPr>
          <w:rFonts w:hint="eastAsia" w:ascii="隶书" w:hAnsi="黑体" w:eastAsia="隶书"/>
          <w:color w:val="auto"/>
          <w:sz w:val="24"/>
        </w:rPr>
      </w:pPr>
      <w:r>
        <w:rPr>
          <w:rFonts w:ascii="隶书" w:hAnsi="黑体" w:eastAsia="隶书"/>
          <w:color w:val="auto"/>
          <w:sz w:val="24"/>
        </w:rPr>
        <w:t>本次评标采</w:t>
      </w:r>
      <w:r>
        <w:rPr>
          <w:rFonts w:hint="eastAsia" w:ascii="隶书" w:hAnsi="黑体" w:eastAsia="隶书"/>
          <w:color w:val="auto"/>
          <w:sz w:val="24"/>
        </w:rPr>
        <w:t>用技术评分最低标价</w:t>
      </w:r>
      <w:r>
        <w:rPr>
          <w:rFonts w:ascii="隶书" w:hAnsi="黑体" w:eastAsia="隶书"/>
          <w:color w:val="auto"/>
          <w:sz w:val="24"/>
        </w:rPr>
        <w:t>法。评标委员会对满足招标文件实质性要求的投标文件</w:t>
      </w:r>
      <w:r>
        <w:rPr>
          <w:rFonts w:hint="eastAsia" w:ascii="隶书" w:hAnsi="黑体" w:eastAsia="隶书"/>
          <w:color w:val="auto"/>
          <w:sz w:val="24"/>
        </w:rPr>
        <w:t>的</w:t>
      </w:r>
      <w:r>
        <w:rPr>
          <w:rFonts w:ascii="隶书" w:hAnsi="黑体" w:eastAsia="隶书"/>
          <w:color w:val="auto"/>
          <w:sz w:val="24"/>
        </w:rPr>
        <w:t>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w:t>
      </w:r>
      <w:r>
        <w:rPr>
          <w:rFonts w:hint="eastAsia" w:ascii="隶书" w:hAnsi="黑体" w:eastAsia="隶书"/>
          <w:color w:val="auto"/>
          <w:sz w:val="24"/>
        </w:rPr>
        <w:t>评标价</w:t>
      </w:r>
      <w:r>
        <w:rPr>
          <w:rFonts w:ascii="隶书" w:hAnsi="黑体" w:eastAsia="隶书"/>
          <w:color w:val="auto"/>
          <w:sz w:val="24"/>
        </w:rPr>
        <w:t>相等时，</w:t>
      </w:r>
      <w:r>
        <w:rPr>
          <w:rFonts w:hint="eastAsia" w:ascii="隶书" w:hAnsi="黑体" w:eastAsia="隶书"/>
          <w:color w:val="auto"/>
          <w:sz w:val="24"/>
        </w:rPr>
        <w:t>评标委员会</w:t>
      </w:r>
      <w:r>
        <w:rPr>
          <w:rFonts w:ascii="隶书" w:hAnsi="黑体" w:eastAsia="隶书"/>
          <w:color w:val="auto"/>
          <w:sz w:val="24"/>
        </w:rPr>
        <w:t>应按照评标办法前附表</w:t>
      </w:r>
      <w:r>
        <w:rPr>
          <w:rFonts w:hint="eastAsia" w:ascii="隶书" w:hAnsi="黑体" w:eastAsia="隶书"/>
          <w:color w:val="auto"/>
          <w:sz w:val="24"/>
        </w:rPr>
        <w:t>规定</w:t>
      </w:r>
      <w:r>
        <w:rPr>
          <w:rFonts w:ascii="隶书" w:hAnsi="黑体" w:eastAsia="隶书"/>
          <w:color w:val="auto"/>
          <w:sz w:val="24"/>
        </w:rPr>
        <w:t>的优先次序</w:t>
      </w:r>
      <w:r>
        <w:rPr>
          <w:rFonts w:hint="eastAsia" w:ascii="隶书" w:hAnsi="黑体" w:eastAsia="隶书"/>
          <w:color w:val="auto"/>
          <w:sz w:val="24"/>
        </w:rPr>
        <w:t>推荐中标候选人或</w:t>
      </w:r>
      <w:r>
        <w:rPr>
          <w:rFonts w:ascii="隶书" w:hAnsi="黑体" w:eastAsia="隶书"/>
          <w:color w:val="auto"/>
          <w:sz w:val="24"/>
        </w:rPr>
        <w:t>确定中标人</w:t>
      </w:r>
      <w:r>
        <w:rPr>
          <w:rFonts w:hint="eastAsia" w:ascii="隶书" w:hAnsi="黑体" w:eastAsia="隶书"/>
          <w:color w:val="auto"/>
          <w:sz w:val="24"/>
        </w:rPr>
        <w:t>。</w:t>
      </w:r>
    </w:p>
    <w:p>
      <w:pPr>
        <w:pStyle w:val="2"/>
        <w:spacing w:before="360" w:after="240" w:line="240" w:lineRule="atLeast"/>
        <w:rPr>
          <w:rFonts w:ascii="黑体" w:eastAsia="黑体"/>
          <w:b w:val="0"/>
          <w:color w:val="auto"/>
          <w:sz w:val="28"/>
          <w:szCs w:val="28"/>
        </w:rPr>
      </w:pPr>
      <w:bookmarkStart w:id="51" w:name="_Toc510089862"/>
      <w:bookmarkStart w:id="52" w:name="_Toc509962369"/>
      <w:bookmarkStart w:id="53" w:name="_Toc509959128"/>
      <w:bookmarkStart w:id="54" w:name="_Toc501257143"/>
      <w:bookmarkStart w:id="55" w:name="_Toc510172775"/>
      <w:r>
        <w:rPr>
          <w:rFonts w:ascii="黑体" w:eastAsia="黑体"/>
          <w:b w:val="0"/>
          <w:color w:val="auto"/>
          <w:sz w:val="28"/>
          <w:szCs w:val="28"/>
        </w:rPr>
        <w:t>2. 评审标准</w:t>
      </w:r>
      <w:bookmarkEnd w:id="51"/>
      <w:bookmarkEnd w:id="52"/>
      <w:bookmarkEnd w:id="53"/>
      <w:bookmarkEnd w:id="54"/>
      <w:bookmarkEnd w:id="55"/>
    </w:p>
    <w:p>
      <w:pPr>
        <w:pStyle w:val="2"/>
        <w:spacing w:before="240" w:after="240" w:line="240" w:lineRule="atLeast"/>
        <w:rPr>
          <w:rFonts w:ascii="黑体" w:eastAsia="黑体"/>
          <w:b w:val="0"/>
          <w:color w:val="auto"/>
          <w:sz w:val="24"/>
          <w:szCs w:val="24"/>
        </w:rPr>
      </w:pPr>
      <w:bookmarkStart w:id="56" w:name="_Toc501257144"/>
      <w:bookmarkStart w:id="57" w:name="_Toc510089863"/>
      <w:bookmarkStart w:id="58" w:name="_Toc509962370"/>
      <w:bookmarkStart w:id="59" w:name="_Toc510172776"/>
      <w:bookmarkStart w:id="60" w:name="_Toc509959129"/>
      <w:r>
        <w:rPr>
          <w:rFonts w:ascii="黑体" w:eastAsia="黑体"/>
          <w:b w:val="0"/>
          <w:color w:val="auto"/>
          <w:sz w:val="24"/>
          <w:szCs w:val="24"/>
        </w:rPr>
        <w:t>2.1 初步评审标准</w:t>
      </w:r>
      <w:bookmarkEnd w:id="56"/>
      <w:bookmarkEnd w:id="57"/>
      <w:bookmarkEnd w:id="58"/>
      <w:bookmarkEnd w:id="59"/>
      <w:bookmarkEnd w:id="60"/>
    </w:p>
    <w:p>
      <w:pPr>
        <w:spacing w:line="400" w:lineRule="atLeast"/>
        <w:ind w:firstLine="480" w:firstLineChars="200"/>
        <w:rPr>
          <w:color w:val="auto"/>
          <w:sz w:val="24"/>
        </w:rPr>
      </w:pPr>
      <w:r>
        <w:rPr>
          <w:color w:val="auto"/>
          <w:sz w:val="24"/>
        </w:rPr>
        <w:t>2.1.1 形式评审标准：见评标办法前附表。</w:t>
      </w:r>
    </w:p>
    <w:p>
      <w:pPr>
        <w:spacing w:line="400" w:lineRule="atLeast"/>
        <w:ind w:firstLine="480" w:firstLineChars="200"/>
        <w:rPr>
          <w:color w:val="auto"/>
          <w:sz w:val="24"/>
        </w:rPr>
      </w:pPr>
      <w:r>
        <w:rPr>
          <w:color w:val="auto"/>
          <w:sz w:val="24"/>
        </w:rPr>
        <w:t>2.1.2 资格评审标准：见评标办法前附表（适用于未进行资格预审的）。</w:t>
      </w:r>
    </w:p>
    <w:p>
      <w:pPr>
        <w:spacing w:line="400" w:lineRule="atLeast"/>
        <w:ind w:firstLine="480" w:firstLineChars="200"/>
        <w:rPr>
          <w:color w:val="auto"/>
          <w:sz w:val="24"/>
        </w:rPr>
      </w:pPr>
      <w:r>
        <w:rPr>
          <w:color w:val="auto"/>
          <w:sz w:val="24"/>
        </w:rPr>
        <w:t>2.1.2 资格评审标准：见资格预审文件第三章“资格审查办法”详细审查标准（适用于已进行资格预审的）。</w:t>
      </w:r>
    </w:p>
    <w:p>
      <w:pPr>
        <w:spacing w:line="400" w:lineRule="atLeast"/>
        <w:ind w:firstLine="480" w:firstLineChars="200"/>
        <w:rPr>
          <w:color w:val="auto"/>
          <w:sz w:val="24"/>
        </w:rPr>
      </w:pPr>
      <w:r>
        <w:rPr>
          <w:color w:val="auto"/>
          <w:sz w:val="24"/>
        </w:rPr>
        <w:t>2.1.3 响应性评审标准：见评标办法前附表。</w:t>
      </w:r>
    </w:p>
    <w:p>
      <w:pPr>
        <w:pStyle w:val="2"/>
        <w:spacing w:before="240" w:after="240" w:line="240" w:lineRule="atLeast"/>
        <w:rPr>
          <w:rFonts w:ascii="黑体" w:eastAsia="黑体"/>
          <w:b w:val="0"/>
          <w:color w:val="auto"/>
          <w:sz w:val="24"/>
          <w:szCs w:val="24"/>
        </w:rPr>
      </w:pPr>
      <w:bookmarkStart w:id="61" w:name="_Toc510089864"/>
      <w:bookmarkStart w:id="62" w:name="_Toc510172777"/>
      <w:bookmarkStart w:id="63" w:name="_Toc509962371"/>
      <w:bookmarkStart w:id="64" w:name="_Toc501257145"/>
      <w:bookmarkStart w:id="65" w:name="_Toc509959130"/>
      <w:r>
        <w:rPr>
          <w:rFonts w:ascii="黑体" w:eastAsia="黑体"/>
          <w:b w:val="0"/>
          <w:color w:val="auto"/>
          <w:sz w:val="24"/>
          <w:szCs w:val="24"/>
        </w:rPr>
        <w:t>2.2 分值构成与评分标准</w:t>
      </w:r>
      <w:bookmarkEnd w:id="61"/>
      <w:bookmarkEnd w:id="62"/>
      <w:bookmarkEnd w:id="63"/>
      <w:bookmarkEnd w:id="64"/>
      <w:bookmarkEnd w:id="65"/>
    </w:p>
    <w:p>
      <w:pPr>
        <w:tabs>
          <w:tab w:val="left" w:pos="360"/>
        </w:tabs>
        <w:spacing w:line="400" w:lineRule="atLeast"/>
        <w:ind w:firstLine="480" w:firstLineChars="200"/>
        <w:rPr>
          <w:color w:val="auto"/>
          <w:sz w:val="24"/>
        </w:rPr>
      </w:pPr>
      <w:r>
        <w:rPr>
          <w:color w:val="auto"/>
          <w:sz w:val="24"/>
        </w:rPr>
        <w:t xml:space="preserve">2.2.1 </w:t>
      </w:r>
      <w:r>
        <w:rPr>
          <w:rFonts w:hint="eastAsia" w:ascii="黑体" w:eastAsia="黑体"/>
          <w:bCs/>
          <w:color w:val="auto"/>
          <w:kern w:val="44"/>
          <w:sz w:val="24"/>
        </w:rPr>
        <w:t>第一个信封评分</w:t>
      </w:r>
      <w:r>
        <w:rPr>
          <w:rFonts w:eastAsia="黑体"/>
          <w:color w:val="auto"/>
          <w:sz w:val="24"/>
        </w:rPr>
        <w:t>分值构成</w:t>
      </w:r>
    </w:p>
    <w:p>
      <w:pPr>
        <w:spacing w:line="400" w:lineRule="atLeast"/>
        <w:ind w:firstLine="480" w:firstLineChars="200"/>
        <w:rPr>
          <w:rFonts w:ascii="隶书" w:hAnsi="黑体" w:eastAsia="隶书"/>
          <w:color w:val="auto"/>
          <w:sz w:val="24"/>
        </w:rPr>
      </w:pPr>
      <w:r>
        <w:rPr>
          <w:rFonts w:ascii="隶书" w:hAnsi="黑体" w:eastAsia="隶书"/>
          <w:color w:val="auto"/>
          <w:sz w:val="24"/>
        </w:rPr>
        <w:t>（1）施工组织设计：见评标办法前附表；</w:t>
      </w:r>
    </w:p>
    <w:p>
      <w:pPr>
        <w:spacing w:line="400" w:lineRule="atLeast"/>
        <w:ind w:firstLine="480" w:firstLineChars="200"/>
        <w:rPr>
          <w:rFonts w:ascii="隶书" w:hAnsi="黑体" w:eastAsia="隶书"/>
          <w:color w:val="auto"/>
          <w:sz w:val="24"/>
        </w:rPr>
      </w:pPr>
      <w:r>
        <w:rPr>
          <w:rFonts w:ascii="隶书" w:hAnsi="黑体" w:eastAsia="隶书"/>
          <w:color w:val="auto"/>
          <w:sz w:val="24"/>
        </w:rPr>
        <w:t>（2）主要人员：见评标办法前附表；</w:t>
      </w:r>
    </w:p>
    <w:p>
      <w:pPr>
        <w:spacing w:line="400" w:lineRule="atLeast"/>
        <w:ind w:firstLine="480" w:firstLineChars="200"/>
        <w:rPr>
          <w:rFonts w:ascii="隶书" w:hAnsi="黑体" w:eastAsia="隶书"/>
          <w:color w:val="auto"/>
          <w:sz w:val="24"/>
        </w:rPr>
      </w:pPr>
      <w:r>
        <w:rPr>
          <w:rFonts w:ascii="隶书" w:hAnsi="黑体" w:eastAsia="隶书"/>
          <w:color w:val="auto"/>
          <w:sz w:val="24"/>
        </w:rPr>
        <w:t>（3）其他评分因素：见评标办法前附表。</w:t>
      </w:r>
    </w:p>
    <w:p>
      <w:pPr>
        <w:spacing w:line="400" w:lineRule="atLeast"/>
        <w:ind w:firstLine="480" w:firstLineChars="200"/>
        <w:rPr>
          <w:color w:val="auto"/>
          <w:sz w:val="24"/>
        </w:rPr>
      </w:pPr>
      <w:r>
        <w:rPr>
          <w:color w:val="auto"/>
          <w:sz w:val="24"/>
        </w:rPr>
        <w:t>2.2.</w:t>
      </w:r>
      <w:r>
        <w:rPr>
          <w:rFonts w:hint="eastAsia"/>
          <w:color w:val="auto"/>
          <w:sz w:val="24"/>
        </w:rPr>
        <w:t>2</w:t>
      </w:r>
      <w:r>
        <w:rPr>
          <w:color w:val="auto"/>
          <w:sz w:val="24"/>
        </w:rPr>
        <w:t xml:space="preserve"> </w:t>
      </w:r>
      <w:r>
        <w:rPr>
          <w:rFonts w:hint="eastAsia" w:ascii="黑体" w:eastAsia="黑体"/>
          <w:bCs/>
          <w:color w:val="auto"/>
          <w:kern w:val="44"/>
          <w:sz w:val="24"/>
        </w:rPr>
        <w:t>第一个信封评分</w:t>
      </w:r>
      <w:r>
        <w:rPr>
          <w:rFonts w:eastAsia="黑体"/>
          <w:color w:val="auto"/>
          <w:sz w:val="24"/>
        </w:rPr>
        <w:t>评分标准</w:t>
      </w:r>
    </w:p>
    <w:p>
      <w:pPr>
        <w:spacing w:line="400" w:lineRule="atLeast"/>
        <w:ind w:firstLine="480" w:firstLineChars="200"/>
        <w:rPr>
          <w:rFonts w:ascii="隶书" w:hAnsi="黑体" w:eastAsia="隶书"/>
          <w:color w:val="auto"/>
          <w:sz w:val="24"/>
        </w:rPr>
      </w:pPr>
      <w:r>
        <w:rPr>
          <w:rFonts w:ascii="隶书" w:hAnsi="黑体" w:eastAsia="隶书"/>
          <w:color w:val="auto"/>
          <w:sz w:val="24"/>
        </w:rPr>
        <w:t>（1）施工组织设计评分标准：见评标办法前附表；</w:t>
      </w:r>
    </w:p>
    <w:p>
      <w:pPr>
        <w:spacing w:line="400" w:lineRule="atLeast"/>
        <w:ind w:firstLine="480" w:firstLineChars="200"/>
        <w:rPr>
          <w:rFonts w:ascii="隶书" w:hAnsi="黑体" w:eastAsia="隶书"/>
          <w:color w:val="auto"/>
          <w:sz w:val="24"/>
        </w:rPr>
      </w:pPr>
      <w:r>
        <w:rPr>
          <w:rFonts w:ascii="隶书" w:hAnsi="黑体" w:eastAsia="隶书"/>
          <w:color w:val="auto"/>
          <w:sz w:val="24"/>
        </w:rPr>
        <w:t>（2）主要人员评分标准：见评标办法前附表；</w:t>
      </w:r>
    </w:p>
    <w:p>
      <w:pPr>
        <w:spacing w:line="400" w:lineRule="atLeast"/>
        <w:ind w:firstLine="480" w:firstLineChars="200"/>
        <w:rPr>
          <w:rFonts w:hint="eastAsia" w:ascii="隶书" w:hAnsi="黑体" w:eastAsia="隶书"/>
          <w:color w:val="auto"/>
          <w:sz w:val="24"/>
        </w:rPr>
      </w:pPr>
      <w:r>
        <w:rPr>
          <w:rFonts w:ascii="隶书" w:hAnsi="黑体" w:eastAsia="隶书"/>
          <w:color w:val="auto"/>
          <w:sz w:val="24"/>
        </w:rPr>
        <w:t>（3）其他因素评分标准：见评标办法前附表。</w:t>
      </w:r>
    </w:p>
    <w:p>
      <w:pPr>
        <w:spacing w:line="400" w:lineRule="atLeast"/>
        <w:ind w:firstLine="480" w:firstLineChars="200"/>
        <w:rPr>
          <w:rFonts w:ascii="隶书" w:eastAsia="隶书"/>
          <w:color w:val="auto"/>
          <w:sz w:val="24"/>
        </w:rPr>
      </w:pPr>
      <w:r>
        <w:rPr>
          <w:rFonts w:hint="eastAsia" w:ascii="隶书" w:eastAsia="隶书"/>
          <w:color w:val="auto"/>
          <w:sz w:val="24"/>
        </w:rPr>
        <w:t>2.2.3 第二个信封</w:t>
      </w:r>
      <w:r>
        <w:rPr>
          <w:rFonts w:ascii="隶书" w:eastAsia="隶书"/>
          <w:color w:val="auto"/>
          <w:sz w:val="24"/>
        </w:rPr>
        <w:t>详细评审标准：见评标办法前附表。</w:t>
      </w:r>
    </w:p>
    <w:p>
      <w:pPr>
        <w:pStyle w:val="2"/>
        <w:spacing w:before="360" w:after="240" w:line="240" w:lineRule="atLeast"/>
        <w:rPr>
          <w:rFonts w:ascii="黑体" w:eastAsia="黑体"/>
          <w:b w:val="0"/>
          <w:color w:val="auto"/>
          <w:sz w:val="28"/>
          <w:szCs w:val="28"/>
        </w:rPr>
      </w:pPr>
      <w:bookmarkStart w:id="66" w:name="_Toc501257146"/>
      <w:bookmarkStart w:id="67" w:name="_Toc510172778"/>
      <w:bookmarkStart w:id="68" w:name="_Toc509959131"/>
      <w:bookmarkStart w:id="69" w:name="_Toc509962372"/>
      <w:bookmarkStart w:id="70" w:name="_Toc510089865"/>
      <w:r>
        <w:rPr>
          <w:rFonts w:ascii="黑体" w:eastAsia="黑体"/>
          <w:b w:val="0"/>
          <w:color w:val="auto"/>
          <w:sz w:val="28"/>
          <w:szCs w:val="28"/>
        </w:rPr>
        <w:t>3. 评标程序</w:t>
      </w:r>
      <w:bookmarkEnd w:id="66"/>
      <w:bookmarkEnd w:id="67"/>
      <w:bookmarkEnd w:id="68"/>
      <w:bookmarkEnd w:id="69"/>
      <w:bookmarkEnd w:id="70"/>
    </w:p>
    <w:p>
      <w:pPr>
        <w:pStyle w:val="2"/>
        <w:spacing w:before="240" w:after="240" w:line="240" w:lineRule="atLeast"/>
        <w:rPr>
          <w:rFonts w:ascii="黑体" w:eastAsia="黑体"/>
          <w:b w:val="0"/>
          <w:color w:val="auto"/>
          <w:sz w:val="24"/>
          <w:szCs w:val="24"/>
        </w:rPr>
      </w:pPr>
      <w:bookmarkStart w:id="71" w:name="_Toc501257147"/>
      <w:bookmarkStart w:id="72" w:name="_Toc509959132"/>
      <w:bookmarkStart w:id="73" w:name="_Toc509962373"/>
      <w:bookmarkStart w:id="74" w:name="_Toc510089866"/>
      <w:bookmarkStart w:id="75" w:name="_Toc510172779"/>
      <w:r>
        <w:rPr>
          <w:rFonts w:ascii="黑体" w:eastAsia="黑体"/>
          <w:b w:val="0"/>
          <w:color w:val="auto"/>
          <w:sz w:val="24"/>
          <w:szCs w:val="24"/>
        </w:rPr>
        <w:t>3.1</w:t>
      </w:r>
      <w:r>
        <w:rPr>
          <w:rFonts w:hint="eastAsia" w:ascii="黑体" w:eastAsia="黑体"/>
          <w:b w:val="0"/>
          <w:color w:val="auto"/>
          <w:sz w:val="24"/>
          <w:szCs w:val="24"/>
        </w:rPr>
        <w:t>第一个信封</w:t>
      </w:r>
      <w:r>
        <w:rPr>
          <w:rFonts w:ascii="黑体" w:eastAsia="黑体"/>
          <w:b w:val="0"/>
          <w:color w:val="auto"/>
          <w:sz w:val="24"/>
          <w:szCs w:val="24"/>
        </w:rPr>
        <w:t>初步评审</w:t>
      </w:r>
      <w:bookmarkEnd w:id="71"/>
      <w:bookmarkEnd w:id="72"/>
      <w:bookmarkEnd w:id="73"/>
      <w:bookmarkEnd w:id="74"/>
      <w:bookmarkEnd w:id="75"/>
    </w:p>
    <w:p>
      <w:pPr>
        <w:spacing w:line="400" w:lineRule="atLeast"/>
        <w:ind w:firstLine="480" w:firstLineChars="200"/>
        <w:rPr>
          <w:rFonts w:ascii="隶书" w:hAnsi="黑体" w:eastAsia="隶书"/>
          <w:color w:val="auto"/>
          <w:sz w:val="24"/>
        </w:rPr>
      </w:pPr>
      <w:r>
        <w:rPr>
          <w:rFonts w:ascii="隶书" w:hAnsi="黑体" w:eastAsia="隶书"/>
          <w:color w:val="auto"/>
          <w:sz w:val="24"/>
        </w:rPr>
        <w:t>3.1.1 评标委员会可以要求投标人提交第二章“投标人须知”第3.5.1项至第3.5.</w:t>
      </w:r>
      <w:r>
        <w:rPr>
          <w:rFonts w:hint="eastAsia" w:ascii="隶书" w:hAnsi="黑体" w:eastAsia="隶书"/>
          <w:color w:val="auto"/>
          <w:sz w:val="24"/>
        </w:rPr>
        <w:t>6</w:t>
      </w:r>
      <w:r>
        <w:rPr>
          <w:rFonts w:ascii="隶书" w:hAnsi="黑体" w:eastAsia="隶书"/>
          <w:color w:val="auto"/>
          <w:sz w:val="24"/>
        </w:rPr>
        <w:t>项规定的有关证明和证件的原件，以便核验。评标委员会依据本章第2.1款规定的标准对投标文件</w:t>
      </w:r>
      <w:r>
        <w:rPr>
          <w:rFonts w:hint="eastAsia" w:ascii="隶书" w:hAnsi="黑体" w:eastAsia="隶书"/>
          <w:color w:val="auto"/>
          <w:sz w:val="24"/>
        </w:rPr>
        <w:t>第一个信封（商务及技术文件）</w:t>
      </w:r>
      <w:r>
        <w:rPr>
          <w:rFonts w:ascii="隶书" w:hAnsi="黑体" w:eastAsia="隶书"/>
          <w:color w:val="auto"/>
          <w:sz w:val="24"/>
        </w:rPr>
        <w:t>进行初步评审。有一项不符合评审标准的，</w:t>
      </w:r>
      <w:r>
        <w:rPr>
          <w:rFonts w:hint="eastAsia" w:ascii="隶书" w:hAnsi="黑体" w:eastAsia="隶书"/>
          <w:color w:val="auto"/>
          <w:sz w:val="24"/>
        </w:rPr>
        <w:t>评标委员会应否决其投标</w:t>
      </w:r>
      <w:r>
        <w:rPr>
          <w:rFonts w:ascii="隶书" w:hAnsi="黑体" w:eastAsia="隶书"/>
          <w:color w:val="auto"/>
          <w:sz w:val="24"/>
        </w:rPr>
        <w:t>。（适用于未进行资格预审的）</w:t>
      </w:r>
    </w:p>
    <w:p>
      <w:pPr>
        <w:spacing w:line="400" w:lineRule="atLeast"/>
        <w:ind w:firstLine="480" w:firstLineChars="200"/>
        <w:rPr>
          <w:rFonts w:hint="eastAsia" w:ascii="隶书" w:hAnsi="黑体" w:eastAsia="隶书"/>
          <w:color w:val="auto"/>
          <w:sz w:val="24"/>
        </w:rPr>
      </w:pPr>
      <w:r>
        <w:rPr>
          <w:rFonts w:ascii="隶书" w:hAnsi="黑体" w:eastAsia="隶书"/>
          <w:color w:val="auto"/>
          <w:sz w:val="24"/>
        </w:rPr>
        <w:t>3.1.1 评标委员会依据本章第2.1.1项、第2.1.3项规定的评审标准对投标文件</w:t>
      </w:r>
      <w:r>
        <w:rPr>
          <w:rFonts w:hint="eastAsia" w:ascii="隶书" w:hAnsi="黑体" w:eastAsia="隶书"/>
          <w:color w:val="auto"/>
          <w:sz w:val="24"/>
        </w:rPr>
        <w:t>第一个信封（商务及技术文件）</w:t>
      </w:r>
      <w:r>
        <w:rPr>
          <w:rFonts w:ascii="隶书" w:hAnsi="黑体" w:eastAsia="隶书"/>
          <w:color w:val="auto"/>
          <w:sz w:val="24"/>
        </w:rPr>
        <w:t>进行初步评审。有一项不符合评审标准的，</w:t>
      </w:r>
      <w:r>
        <w:rPr>
          <w:rFonts w:hint="eastAsia" w:ascii="隶书" w:hAnsi="黑体" w:eastAsia="隶书"/>
          <w:color w:val="auto"/>
          <w:sz w:val="24"/>
        </w:rPr>
        <w:t>评标委员会应否决其投标</w:t>
      </w:r>
      <w:r>
        <w:rPr>
          <w:rFonts w:ascii="隶书" w:hAnsi="黑体" w:eastAsia="隶书"/>
          <w:color w:val="auto"/>
          <w:sz w:val="24"/>
        </w:rPr>
        <w:t>。当投标人资格预审申请文件的内容发生重大变化时，评标委员会依据本章第2.1.2项规定的标准对其更新资料进行评审。（适用于已进行资格预审的）</w:t>
      </w:r>
    </w:p>
    <w:p>
      <w:pPr>
        <w:pStyle w:val="2"/>
        <w:spacing w:before="240" w:after="240" w:line="240" w:lineRule="atLeast"/>
        <w:rPr>
          <w:rFonts w:ascii="黑体" w:eastAsia="黑体"/>
          <w:b w:val="0"/>
          <w:color w:val="auto"/>
          <w:sz w:val="24"/>
          <w:szCs w:val="24"/>
        </w:rPr>
      </w:pPr>
      <w:bookmarkStart w:id="76" w:name="_Toc501257148"/>
      <w:bookmarkStart w:id="77" w:name="_Toc509959133"/>
      <w:bookmarkStart w:id="78" w:name="_Toc510089867"/>
      <w:bookmarkStart w:id="79" w:name="_Toc509962374"/>
      <w:bookmarkStart w:id="80" w:name="_Toc510172780"/>
      <w:r>
        <w:rPr>
          <w:rFonts w:ascii="黑体" w:eastAsia="黑体"/>
          <w:b w:val="0"/>
          <w:color w:val="auto"/>
          <w:sz w:val="24"/>
          <w:szCs w:val="24"/>
        </w:rPr>
        <w:t>3.</w:t>
      </w:r>
      <w:r>
        <w:rPr>
          <w:rFonts w:hint="eastAsia" w:ascii="黑体" w:eastAsia="黑体"/>
          <w:b w:val="0"/>
          <w:color w:val="auto"/>
          <w:sz w:val="24"/>
          <w:szCs w:val="24"/>
        </w:rPr>
        <w:t>2 第一个信封</w:t>
      </w:r>
      <w:r>
        <w:rPr>
          <w:rFonts w:ascii="黑体" w:eastAsia="黑体"/>
          <w:b w:val="0"/>
          <w:color w:val="auto"/>
          <w:sz w:val="24"/>
          <w:szCs w:val="24"/>
        </w:rPr>
        <w:t>详细评审</w:t>
      </w:r>
      <w:bookmarkEnd w:id="76"/>
      <w:bookmarkEnd w:id="77"/>
      <w:bookmarkEnd w:id="78"/>
      <w:bookmarkEnd w:id="79"/>
      <w:bookmarkEnd w:id="80"/>
    </w:p>
    <w:p>
      <w:pPr>
        <w:spacing w:line="400" w:lineRule="atLeast"/>
        <w:ind w:firstLine="480" w:firstLineChars="200"/>
        <w:rPr>
          <w:rFonts w:ascii="隶书" w:eastAsia="隶书"/>
          <w:color w:val="auto"/>
          <w:sz w:val="24"/>
        </w:rPr>
      </w:pPr>
      <w:r>
        <w:rPr>
          <w:rFonts w:ascii="隶书" w:eastAsia="隶书"/>
          <w:color w:val="auto"/>
          <w:sz w:val="24"/>
        </w:rPr>
        <w:t>3.</w:t>
      </w:r>
      <w:r>
        <w:rPr>
          <w:rFonts w:hint="eastAsia" w:ascii="隶书" w:eastAsia="隶书"/>
          <w:color w:val="auto"/>
          <w:sz w:val="24"/>
        </w:rPr>
        <w:t>2</w:t>
      </w:r>
      <w:r>
        <w:rPr>
          <w:rFonts w:ascii="隶书" w:eastAsia="隶书"/>
          <w:color w:val="auto"/>
          <w:sz w:val="24"/>
        </w:rPr>
        <w:t>.1 评标委员会按本章第2.2款规定的量化因素和分值进行打分，并计算出</w:t>
      </w:r>
      <w:r>
        <w:rPr>
          <w:rFonts w:hint="eastAsia" w:ascii="隶书" w:eastAsia="隶书"/>
          <w:color w:val="auto"/>
          <w:sz w:val="24"/>
        </w:rPr>
        <w:t>各投标人的商务和技术</w:t>
      </w:r>
      <w:r>
        <w:rPr>
          <w:rFonts w:ascii="隶书" w:eastAsia="隶书"/>
          <w:color w:val="auto"/>
          <w:sz w:val="24"/>
        </w:rPr>
        <w:t>得分。</w:t>
      </w:r>
    </w:p>
    <w:p>
      <w:pPr>
        <w:spacing w:line="400" w:lineRule="atLeast"/>
        <w:ind w:firstLine="480" w:firstLineChars="200"/>
        <w:rPr>
          <w:rFonts w:ascii="隶书" w:eastAsia="隶书"/>
          <w:color w:val="auto"/>
          <w:sz w:val="24"/>
        </w:rPr>
      </w:pPr>
      <w:r>
        <w:rPr>
          <w:rFonts w:ascii="隶书" w:eastAsia="隶书"/>
          <w:color w:val="auto"/>
          <w:sz w:val="24"/>
        </w:rPr>
        <w:t>（1）按本章第2.2.</w:t>
      </w:r>
      <w:r>
        <w:rPr>
          <w:rFonts w:hint="eastAsia" w:ascii="隶书" w:eastAsia="隶书"/>
          <w:color w:val="auto"/>
          <w:sz w:val="24"/>
        </w:rPr>
        <w:t>2项</w:t>
      </w:r>
      <w:r>
        <w:rPr>
          <w:rFonts w:ascii="隶书" w:eastAsia="隶书"/>
          <w:color w:val="auto"/>
          <w:sz w:val="24"/>
        </w:rPr>
        <w:t>（1）目规定的评审因素和分值对施工组织设计部分计算出得分A；</w:t>
      </w:r>
    </w:p>
    <w:p>
      <w:pPr>
        <w:spacing w:line="400" w:lineRule="atLeast"/>
        <w:ind w:firstLine="480" w:firstLineChars="200"/>
        <w:rPr>
          <w:rFonts w:ascii="隶书" w:eastAsia="隶书"/>
          <w:color w:val="auto"/>
          <w:sz w:val="24"/>
        </w:rPr>
      </w:pPr>
      <w:r>
        <w:rPr>
          <w:rFonts w:ascii="隶书" w:eastAsia="隶书"/>
          <w:color w:val="auto"/>
          <w:sz w:val="24"/>
        </w:rPr>
        <w:t>（2）按本章第2.2.</w:t>
      </w:r>
      <w:r>
        <w:rPr>
          <w:rFonts w:hint="eastAsia" w:ascii="隶书" w:eastAsia="隶书"/>
          <w:color w:val="auto"/>
          <w:sz w:val="24"/>
        </w:rPr>
        <w:t>2项</w:t>
      </w:r>
      <w:r>
        <w:rPr>
          <w:rFonts w:ascii="隶书" w:eastAsia="隶书"/>
          <w:color w:val="auto"/>
          <w:sz w:val="24"/>
        </w:rPr>
        <w:t>（2）目规定的评审因素和分值对主要人员部分计算出得分B；</w:t>
      </w:r>
    </w:p>
    <w:p>
      <w:pPr>
        <w:spacing w:line="400" w:lineRule="atLeast"/>
        <w:ind w:firstLine="480" w:firstLineChars="200"/>
        <w:rPr>
          <w:rFonts w:ascii="隶书" w:eastAsia="隶书"/>
          <w:color w:val="auto"/>
          <w:sz w:val="24"/>
        </w:rPr>
      </w:pPr>
      <w:r>
        <w:rPr>
          <w:rFonts w:ascii="隶书" w:eastAsia="隶书"/>
          <w:color w:val="auto"/>
          <w:sz w:val="24"/>
        </w:rPr>
        <w:t>（3）按本章第2.2.</w:t>
      </w:r>
      <w:r>
        <w:rPr>
          <w:rFonts w:hint="eastAsia" w:ascii="隶书" w:eastAsia="隶书"/>
          <w:color w:val="auto"/>
          <w:sz w:val="24"/>
        </w:rPr>
        <w:t>2项</w:t>
      </w:r>
      <w:r>
        <w:rPr>
          <w:rFonts w:ascii="隶书" w:eastAsia="隶书"/>
          <w:color w:val="auto"/>
          <w:sz w:val="24"/>
        </w:rPr>
        <w:t>（</w:t>
      </w:r>
      <w:r>
        <w:rPr>
          <w:rFonts w:hint="eastAsia" w:ascii="隶书" w:eastAsia="隶书"/>
          <w:color w:val="auto"/>
          <w:sz w:val="24"/>
        </w:rPr>
        <w:t>3</w:t>
      </w:r>
      <w:r>
        <w:rPr>
          <w:rFonts w:ascii="隶书" w:eastAsia="隶书"/>
          <w:color w:val="auto"/>
          <w:sz w:val="24"/>
        </w:rPr>
        <w:t>）目规定的评审因素和分值对其他部分计算出得分</w:t>
      </w:r>
      <w:r>
        <w:rPr>
          <w:rFonts w:hint="eastAsia" w:ascii="隶书" w:eastAsia="隶书"/>
          <w:color w:val="auto"/>
          <w:sz w:val="24"/>
        </w:rPr>
        <w:t>C</w:t>
      </w:r>
      <w:r>
        <w:rPr>
          <w:rFonts w:ascii="隶书" w:eastAsia="隶书"/>
          <w:color w:val="auto"/>
          <w:sz w:val="24"/>
        </w:rPr>
        <w:t>。</w:t>
      </w:r>
    </w:p>
    <w:p>
      <w:pPr>
        <w:spacing w:line="400" w:lineRule="atLeast"/>
        <w:ind w:firstLine="480" w:firstLineChars="200"/>
        <w:rPr>
          <w:rFonts w:ascii="隶书" w:eastAsia="隶书"/>
          <w:color w:val="auto"/>
          <w:sz w:val="24"/>
        </w:rPr>
      </w:pPr>
      <w:r>
        <w:rPr>
          <w:rFonts w:ascii="隶书" w:eastAsia="隶书"/>
          <w:color w:val="auto"/>
          <w:sz w:val="24"/>
        </w:rPr>
        <w:t>3.</w:t>
      </w:r>
      <w:r>
        <w:rPr>
          <w:rFonts w:hint="eastAsia" w:ascii="隶书" w:eastAsia="隶书"/>
          <w:color w:val="auto"/>
          <w:sz w:val="24"/>
        </w:rPr>
        <w:t>2</w:t>
      </w:r>
      <w:r>
        <w:rPr>
          <w:rFonts w:ascii="隶书" w:eastAsia="隶书"/>
          <w:color w:val="auto"/>
          <w:sz w:val="24"/>
        </w:rPr>
        <w:t xml:space="preserve">.2 </w:t>
      </w:r>
      <w:r>
        <w:rPr>
          <w:rFonts w:hint="eastAsia" w:ascii="隶书" w:eastAsia="隶书"/>
          <w:color w:val="auto"/>
          <w:sz w:val="24"/>
        </w:rPr>
        <w:t>投标人的商务和技术得分</w:t>
      </w:r>
      <w:r>
        <w:rPr>
          <w:rFonts w:ascii="隶书" w:eastAsia="隶书"/>
          <w:color w:val="auto"/>
          <w:sz w:val="24"/>
        </w:rPr>
        <w:t>分值计算保留小数点后两位，小数点后第三位“四舍五入”。</w:t>
      </w:r>
    </w:p>
    <w:p>
      <w:pPr>
        <w:spacing w:line="400" w:lineRule="atLeast"/>
        <w:ind w:firstLine="480" w:firstLineChars="200"/>
        <w:rPr>
          <w:rFonts w:hint="eastAsia" w:ascii="隶书" w:eastAsia="隶书"/>
          <w:color w:val="auto"/>
          <w:sz w:val="24"/>
        </w:rPr>
      </w:pPr>
      <w:r>
        <w:rPr>
          <w:rFonts w:ascii="隶书" w:eastAsia="隶书"/>
          <w:color w:val="auto"/>
          <w:sz w:val="24"/>
        </w:rPr>
        <w:t>3.</w:t>
      </w:r>
      <w:r>
        <w:rPr>
          <w:rFonts w:hint="eastAsia" w:ascii="隶书" w:eastAsia="隶书"/>
          <w:color w:val="auto"/>
          <w:sz w:val="24"/>
        </w:rPr>
        <w:t>2</w:t>
      </w:r>
      <w:r>
        <w:rPr>
          <w:rFonts w:ascii="隶书" w:eastAsia="隶书"/>
          <w:color w:val="auto"/>
          <w:sz w:val="24"/>
        </w:rPr>
        <w:t>.3 投标人</w:t>
      </w:r>
      <w:r>
        <w:rPr>
          <w:rFonts w:hint="eastAsia" w:ascii="隶书" w:eastAsia="隶书"/>
          <w:color w:val="auto"/>
          <w:sz w:val="24"/>
        </w:rPr>
        <w:t>的商务和技术</w:t>
      </w:r>
      <w:r>
        <w:rPr>
          <w:rFonts w:ascii="隶书" w:eastAsia="隶书"/>
          <w:color w:val="auto"/>
          <w:sz w:val="24"/>
        </w:rPr>
        <w:t>得分=A+B+</w:t>
      </w:r>
      <w:r>
        <w:rPr>
          <w:rFonts w:hint="eastAsia" w:ascii="隶书" w:eastAsia="隶书"/>
          <w:color w:val="auto"/>
          <w:sz w:val="24"/>
        </w:rPr>
        <w:t>C</w:t>
      </w:r>
      <w:r>
        <w:rPr>
          <w:rFonts w:ascii="隶书" w:eastAsia="隶书"/>
          <w:color w:val="auto"/>
          <w:sz w:val="24"/>
        </w:rPr>
        <w:t>。</w:t>
      </w:r>
    </w:p>
    <w:p>
      <w:pPr>
        <w:spacing w:line="400" w:lineRule="atLeast"/>
        <w:ind w:firstLine="480" w:firstLineChars="200"/>
        <w:rPr>
          <w:rFonts w:hint="eastAsia" w:ascii="隶书" w:eastAsia="隶书"/>
          <w:color w:val="auto"/>
          <w:sz w:val="24"/>
        </w:rPr>
      </w:pPr>
      <w:r>
        <w:rPr>
          <w:rFonts w:ascii="隶书" w:eastAsia="隶书"/>
          <w:color w:val="auto"/>
          <w:sz w:val="24"/>
        </w:rPr>
        <w:t>3.</w:t>
      </w:r>
      <w:r>
        <w:rPr>
          <w:rFonts w:hint="eastAsia" w:ascii="隶书" w:eastAsia="隶书"/>
          <w:color w:val="auto"/>
          <w:sz w:val="24"/>
        </w:rPr>
        <w:t>2</w:t>
      </w:r>
      <w:r>
        <w:rPr>
          <w:rFonts w:ascii="隶书" w:eastAsia="隶书"/>
          <w:color w:val="auto"/>
          <w:sz w:val="24"/>
        </w:rPr>
        <w:t>.</w:t>
      </w:r>
      <w:r>
        <w:rPr>
          <w:rFonts w:hint="eastAsia" w:ascii="隶书" w:eastAsia="隶书"/>
          <w:color w:val="auto"/>
          <w:sz w:val="24"/>
        </w:rPr>
        <w:t xml:space="preserve">4 </w:t>
      </w:r>
      <w:r>
        <w:rPr>
          <w:rFonts w:ascii="隶书" w:eastAsia="隶书"/>
          <w:color w:val="auto"/>
          <w:sz w:val="24"/>
        </w:rPr>
        <w:t>评标委员会按照</w:t>
      </w:r>
      <w:r>
        <w:rPr>
          <w:rFonts w:hint="eastAsia" w:ascii="隶书" w:eastAsia="隶书"/>
          <w:color w:val="auto"/>
          <w:sz w:val="24"/>
        </w:rPr>
        <w:t>投标人的商务和技术</w:t>
      </w:r>
      <w:r>
        <w:rPr>
          <w:rFonts w:ascii="隶书" w:eastAsia="隶书"/>
          <w:color w:val="auto"/>
          <w:sz w:val="24"/>
        </w:rPr>
        <w:t>得分由高到低</w:t>
      </w:r>
      <w:r>
        <w:rPr>
          <w:rFonts w:hint="eastAsia" w:ascii="隶书" w:eastAsia="隶书"/>
          <w:color w:val="auto"/>
          <w:sz w:val="24"/>
        </w:rPr>
        <w:t>排序，排名在评标办法前附表规定数量以内的投标人，其投标文件</w:t>
      </w:r>
      <w:r>
        <w:rPr>
          <w:rFonts w:ascii="隶书" w:eastAsia="隶书"/>
          <w:color w:val="auto"/>
          <w:sz w:val="24"/>
        </w:rPr>
        <w:t>第一</w:t>
      </w:r>
      <w:r>
        <w:rPr>
          <w:rFonts w:hint="eastAsia" w:ascii="隶书" w:eastAsia="隶书"/>
          <w:color w:val="auto"/>
          <w:sz w:val="24"/>
        </w:rPr>
        <w:t>个</w:t>
      </w:r>
      <w:r>
        <w:rPr>
          <w:rFonts w:ascii="隶书" w:eastAsia="隶书"/>
          <w:color w:val="auto"/>
          <w:sz w:val="24"/>
        </w:rPr>
        <w:t>信封（商务及技术文件）</w:t>
      </w:r>
      <w:r>
        <w:rPr>
          <w:rFonts w:hint="eastAsia" w:ascii="隶书" w:eastAsia="隶书"/>
          <w:color w:val="auto"/>
          <w:sz w:val="24"/>
        </w:rPr>
        <w:t>通过详细评审</w:t>
      </w:r>
      <w:r>
        <w:rPr>
          <w:rFonts w:ascii="隶书" w:eastAsia="隶书"/>
          <w:color w:val="auto"/>
          <w:sz w:val="24"/>
        </w:rPr>
        <w:t>。</w:t>
      </w:r>
    </w:p>
    <w:p>
      <w:pPr>
        <w:spacing w:line="400" w:lineRule="atLeast"/>
        <w:ind w:firstLine="480" w:firstLineChars="200"/>
        <w:rPr>
          <w:rFonts w:hint="eastAsia" w:ascii="隶书" w:eastAsia="隶书"/>
          <w:color w:val="auto"/>
          <w:sz w:val="24"/>
        </w:rPr>
      </w:pPr>
      <w:r>
        <w:rPr>
          <w:rFonts w:ascii="隶书" w:eastAsia="隶书"/>
          <w:color w:val="auto"/>
          <w:sz w:val="24"/>
        </w:rPr>
        <w:t>3.</w:t>
      </w:r>
      <w:r>
        <w:rPr>
          <w:rFonts w:hint="eastAsia" w:ascii="隶书" w:eastAsia="隶书"/>
          <w:color w:val="auto"/>
          <w:sz w:val="24"/>
        </w:rPr>
        <w:t>2</w:t>
      </w:r>
      <w:r>
        <w:rPr>
          <w:rFonts w:ascii="隶书" w:eastAsia="隶书"/>
          <w:color w:val="auto"/>
          <w:sz w:val="24"/>
        </w:rPr>
        <w:t>.</w:t>
      </w:r>
      <w:r>
        <w:rPr>
          <w:rFonts w:hint="eastAsia" w:ascii="隶书" w:eastAsia="隶书"/>
          <w:color w:val="auto"/>
          <w:sz w:val="24"/>
        </w:rPr>
        <w:t xml:space="preserve">5 </w:t>
      </w:r>
      <w:r>
        <w:rPr>
          <w:rFonts w:ascii="隶书" w:eastAsia="隶书"/>
          <w:color w:val="auto"/>
          <w:sz w:val="24"/>
        </w:rPr>
        <w:t>通过</w:t>
      </w:r>
      <w:r>
        <w:rPr>
          <w:rFonts w:hint="eastAsia" w:ascii="隶书" w:eastAsia="隶书"/>
          <w:color w:val="auto"/>
          <w:sz w:val="24"/>
        </w:rPr>
        <w:t>投标文件第一个信封（商务及技术文件）初步评审</w:t>
      </w:r>
      <w:r>
        <w:rPr>
          <w:rFonts w:ascii="隶书" w:eastAsia="隶书"/>
          <w:color w:val="auto"/>
          <w:sz w:val="24"/>
        </w:rPr>
        <w:t>的</w:t>
      </w:r>
      <w:r>
        <w:rPr>
          <w:rFonts w:hint="eastAsia" w:ascii="隶书" w:eastAsia="隶书"/>
          <w:color w:val="auto"/>
          <w:sz w:val="24"/>
        </w:rPr>
        <w:t>投标人</w:t>
      </w:r>
      <w:r>
        <w:rPr>
          <w:rFonts w:ascii="隶书" w:eastAsia="隶书"/>
          <w:color w:val="auto"/>
          <w:sz w:val="24"/>
        </w:rPr>
        <w:t>不少于3个且</w:t>
      </w:r>
      <w:r>
        <w:rPr>
          <w:rFonts w:hint="eastAsia" w:ascii="隶书" w:eastAsia="隶书"/>
          <w:color w:val="auto"/>
          <w:sz w:val="24"/>
        </w:rPr>
        <w:t>未</w:t>
      </w:r>
      <w:r>
        <w:rPr>
          <w:rFonts w:ascii="隶书" w:eastAsia="隶书"/>
          <w:color w:val="auto"/>
          <w:sz w:val="24"/>
        </w:rPr>
        <w:t>超过</w:t>
      </w:r>
      <w:r>
        <w:rPr>
          <w:rFonts w:hint="eastAsia" w:ascii="隶书" w:eastAsia="隶书"/>
          <w:color w:val="auto"/>
          <w:sz w:val="24"/>
        </w:rPr>
        <w:t>评标办法前附表第</w:t>
      </w:r>
      <w:r>
        <w:rPr>
          <w:rFonts w:ascii="隶书" w:eastAsia="隶书"/>
          <w:color w:val="auto"/>
          <w:sz w:val="24"/>
        </w:rPr>
        <w:t>3.</w:t>
      </w:r>
      <w:r>
        <w:rPr>
          <w:rFonts w:hint="eastAsia" w:ascii="隶书" w:eastAsia="隶书"/>
          <w:color w:val="auto"/>
          <w:sz w:val="24"/>
        </w:rPr>
        <w:t>2</w:t>
      </w:r>
      <w:r>
        <w:rPr>
          <w:rFonts w:ascii="隶书" w:eastAsia="隶书"/>
          <w:color w:val="auto"/>
          <w:sz w:val="24"/>
        </w:rPr>
        <w:t>.</w:t>
      </w:r>
      <w:r>
        <w:rPr>
          <w:rFonts w:hint="eastAsia" w:ascii="隶书" w:eastAsia="隶书"/>
          <w:color w:val="auto"/>
          <w:sz w:val="24"/>
        </w:rPr>
        <w:t>4项</w:t>
      </w:r>
      <w:r>
        <w:rPr>
          <w:rFonts w:ascii="隶书" w:eastAsia="隶书"/>
          <w:color w:val="auto"/>
          <w:sz w:val="24"/>
        </w:rPr>
        <w:t>规定数量的，均通过</w:t>
      </w:r>
      <w:r>
        <w:rPr>
          <w:rFonts w:hint="eastAsia" w:ascii="隶书" w:eastAsia="隶书"/>
          <w:color w:val="auto"/>
          <w:sz w:val="24"/>
        </w:rPr>
        <w:t>投标文件第一个信封（商务及技术文件）详细评审</w:t>
      </w:r>
      <w:r>
        <w:rPr>
          <w:rFonts w:ascii="隶书" w:eastAsia="隶书"/>
          <w:color w:val="auto"/>
          <w:sz w:val="24"/>
        </w:rPr>
        <w:t>，不再</w:t>
      </w:r>
      <w:r>
        <w:rPr>
          <w:rFonts w:hint="eastAsia" w:ascii="隶书" w:eastAsia="隶书"/>
          <w:color w:val="auto"/>
          <w:sz w:val="24"/>
        </w:rPr>
        <w:t>对投标人的商务和技术文件</w:t>
      </w:r>
      <w:r>
        <w:rPr>
          <w:rFonts w:ascii="隶书" w:eastAsia="隶书"/>
          <w:color w:val="auto"/>
          <w:sz w:val="24"/>
        </w:rPr>
        <w:t>进行评分。</w:t>
      </w:r>
    </w:p>
    <w:p>
      <w:pPr>
        <w:pStyle w:val="2"/>
        <w:spacing w:before="240" w:after="240" w:line="240" w:lineRule="atLeast"/>
        <w:rPr>
          <w:rFonts w:ascii="黑体" w:eastAsia="黑体"/>
          <w:b w:val="0"/>
          <w:color w:val="auto"/>
          <w:sz w:val="24"/>
          <w:szCs w:val="24"/>
        </w:rPr>
      </w:pPr>
      <w:bookmarkStart w:id="81" w:name="_Toc509959134"/>
      <w:bookmarkStart w:id="82" w:name="_Toc510089868"/>
      <w:bookmarkStart w:id="83" w:name="_Toc510172781"/>
      <w:bookmarkStart w:id="84" w:name="_Toc501257149"/>
      <w:bookmarkStart w:id="85" w:name="_Toc509962375"/>
      <w:r>
        <w:rPr>
          <w:rFonts w:ascii="黑体" w:eastAsia="黑体"/>
          <w:b w:val="0"/>
          <w:color w:val="auto"/>
          <w:sz w:val="24"/>
          <w:szCs w:val="24"/>
        </w:rPr>
        <w:t>3.</w:t>
      </w:r>
      <w:r>
        <w:rPr>
          <w:rFonts w:hint="eastAsia" w:ascii="黑体" w:eastAsia="黑体"/>
          <w:b w:val="0"/>
          <w:color w:val="auto"/>
          <w:sz w:val="24"/>
          <w:szCs w:val="24"/>
        </w:rPr>
        <w:t>3 第二个信封开标</w:t>
      </w:r>
      <w:bookmarkEnd w:id="81"/>
      <w:bookmarkEnd w:id="82"/>
      <w:bookmarkEnd w:id="83"/>
      <w:bookmarkEnd w:id="84"/>
      <w:bookmarkEnd w:id="85"/>
    </w:p>
    <w:p>
      <w:pPr>
        <w:spacing w:line="400" w:lineRule="atLeast"/>
        <w:ind w:firstLine="480" w:firstLineChars="200"/>
        <w:rPr>
          <w:rFonts w:hint="eastAsia" w:ascii="隶书" w:eastAsia="隶书"/>
          <w:color w:val="auto"/>
          <w:sz w:val="24"/>
        </w:rPr>
      </w:pPr>
      <w:r>
        <w:rPr>
          <w:rFonts w:ascii="隶书" w:eastAsia="隶书"/>
          <w:color w:val="auto"/>
          <w:sz w:val="24"/>
        </w:rPr>
        <w:t>第一</w:t>
      </w:r>
      <w:r>
        <w:rPr>
          <w:rFonts w:hint="eastAsia" w:ascii="隶书" w:eastAsia="隶书"/>
          <w:color w:val="auto"/>
          <w:sz w:val="24"/>
        </w:rPr>
        <w:t>个</w:t>
      </w:r>
      <w:r>
        <w:rPr>
          <w:rFonts w:ascii="隶书" w:eastAsia="隶书"/>
          <w:color w:val="auto"/>
          <w:sz w:val="24"/>
        </w:rPr>
        <w:t>信封（商务及技术文件）评审结束后，招标人将按照</w:t>
      </w:r>
      <w:r>
        <w:rPr>
          <w:rFonts w:hint="eastAsia" w:ascii="隶书" w:eastAsia="隶书"/>
          <w:color w:val="auto"/>
          <w:sz w:val="24"/>
        </w:rPr>
        <w:t>第二章</w:t>
      </w:r>
      <w:r>
        <w:rPr>
          <w:rFonts w:ascii="隶书" w:eastAsia="隶书"/>
          <w:color w:val="auto"/>
          <w:sz w:val="24"/>
        </w:rPr>
        <w:t>“</w:t>
      </w:r>
      <w:r>
        <w:rPr>
          <w:rFonts w:hint="eastAsia" w:ascii="隶书" w:eastAsia="隶书"/>
          <w:color w:val="auto"/>
          <w:sz w:val="24"/>
        </w:rPr>
        <w:t>投标</w:t>
      </w:r>
      <w:r>
        <w:rPr>
          <w:rFonts w:ascii="隶书" w:eastAsia="隶书"/>
          <w:color w:val="auto"/>
          <w:sz w:val="24"/>
        </w:rPr>
        <w:t>人须知”</w:t>
      </w:r>
      <w:r>
        <w:rPr>
          <w:rFonts w:hint="eastAsia" w:ascii="隶书" w:eastAsia="隶书"/>
          <w:color w:val="auto"/>
          <w:sz w:val="24"/>
        </w:rPr>
        <w:t>第5.1款</w:t>
      </w:r>
      <w:r>
        <w:rPr>
          <w:rFonts w:ascii="隶书" w:eastAsia="隶书"/>
          <w:color w:val="auto"/>
          <w:sz w:val="24"/>
        </w:rPr>
        <w:t>规定的时间和地点</w:t>
      </w:r>
      <w:r>
        <w:rPr>
          <w:rFonts w:hint="eastAsia" w:ascii="隶书" w:eastAsia="隶书"/>
          <w:color w:val="auto"/>
          <w:sz w:val="24"/>
        </w:rPr>
        <w:t>对</w:t>
      </w:r>
      <w:r>
        <w:rPr>
          <w:rFonts w:ascii="隶书" w:eastAsia="隶书"/>
          <w:color w:val="auto"/>
          <w:sz w:val="24"/>
        </w:rPr>
        <w:t>通过投标文件第一</w:t>
      </w:r>
      <w:r>
        <w:rPr>
          <w:rFonts w:hint="eastAsia" w:ascii="隶书" w:eastAsia="隶书"/>
          <w:color w:val="auto"/>
          <w:sz w:val="24"/>
        </w:rPr>
        <w:t>个</w:t>
      </w:r>
      <w:r>
        <w:rPr>
          <w:rFonts w:ascii="隶书" w:eastAsia="隶书"/>
          <w:color w:val="auto"/>
          <w:sz w:val="24"/>
        </w:rPr>
        <w:t>信封（商务及技术文件）评审的投标</w:t>
      </w:r>
      <w:r>
        <w:rPr>
          <w:rFonts w:hint="eastAsia" w:ascii="隶书" w:eastAsia="隶书"/>
          <w:color w:val="auto"/>
          <w:sz w:val="24"/>
        </w:rPr>
        <w:t>文件</w:t>
      </w:r>
      <w:r>
        <w:rPr>
          <w:rFonts w:ascii="隶书" w:eastAsia="隶书"/>
          <w:color w:val="auto"/>
          <w:sz w:val="24"/>
        </w:rPr>
        <w:t>第二</w:t>
      </w:r>
      <w:r>
        <w:rPr>
          <w:rFonts w:hint="eastAsia" w:ascii="隶书" w:eastAsia="隶书"/>
          <w:color w:val="auto"/>
          <w:sz w:val="24"/>
        </w:rPr>
        <w:t>个</w:t>
      </w:r>
      <w:r>
        <w:rPr>
          <w:rFonts w:ascii="隶书" w:eastAsia="隶书"/>
          <w:color w:val="auto"/>
          <w:sz w:val="24"/>
        </w:rPr>
        <w:t>信封（报价</w:t>
      </w:r>
      <w:r>
        <w:rPr>
          <w:rFonts w:hint="eastAsia" w:ascii="隶书" w:eastAsia="隶书"/>
          <w:color w:val="auto"/>
          <w:sz w:val="24"/>
        </w:rPr>
        <w:t>文件</w:t>
      </w:r>
      <w:r>
        <w:rPr>
          <w:rFonts w:ascii="隶书" w:eastAsia="隶书"/>
          <w:color w:val="auto"/>
          <w:sz w:val="24"/>
        </w:rPr>
        <w:t>）进行开标。</w:t>
      </w:r>
    </w:p>
    <w:p>
      <w:pPr>
        <w:pStyle w:val="2"/>
        <w:spacing w:before="240" w:after="240" w:line="240" w:lineRule="atLeast"/>
        <w:rPr>
          <w:rFonts w:ascii="黑体" w:eastAsia="黑体"/>
          <w:b w:val="0"/>
          <w:color w:val="auto"/>
          <w:sz w:val="24"/>
          <w:szCs w:val="24"/>
        </w:rPr>
      </w:pPr>
      <w:bookmarkStart w:id="86" w:name="_Toc509959135"/>
      <w:bookmarkStart w:id="87" w:name="_Toc510172782"/>
      <w:bookmarkStart w:id="88" w:name="_Toc509962376"/>
      <w:bookmarkStart w:id="89" w:name="_Toc510089869"/>
      <w:bookmarkStart w:id="90" w:name="_Toc501257150"/>
      <w:r>
        <w:rPr>
          <w:rFonts w:ascii="黑体" w:eastAsia="黑体"/>
          <w:b w:val="0"/>
          <w:color w:val="auto"/>
          <w:sz w:val="24"/>
          <w:szCs w:val="24"/>
        </w:rPr>
        <w:t>3.</w:t>
      </w:r>
      <w:r>
        <w:rPr>
          <w:rFonts w:hint="eastAsia" w:ascii="黑体" w:eastAsia="黑体"/>
          <w:b w:val="0"/>
          <w:color w:val="auto"/>
          <w:sz w:val="24"/>
          <w:szCs w:val="24"/>
        </w:rPr>
        <w:t>4 第二个信封</w:t>
      </w:r>
      <w:r>
        <w:rPr>
          <w:rFonts w:ascii="黑体" w:eastAsia="黑体"/>
          <w:b w:val="0"/>
          <w:color w:val="auto"/>
          <w:sz w:val="24"/>
          <w:szCs w:val="24"/>
        </w:rPr>
        <w:t>初步评审</w:t>
      </w:r>
      <w:bookmarkEnd w:id="86"/>
      <w:bookmarkEnd w:id="87"/>
      <w:bookmarkEnd w:id="88"/>
      <w:bookmarkEnd w:id="89"/>
      <w:bookmarkEnd w:id="90"/>
    </w:p>
    <w:p>
      <w:pPr>
        <w:spacing w:line="400" w:lineRule="atLeast"/>
        <w:ind w:firstLine="480" w:firstLineChars="200"/>
        <w:rPr>
          <w:rFonts w:hint="eastAsia" w:ascii="隶书" w:eastAsia="隶书"/>
          <w:color w:val="auto"/>
          <w:sz w:val="24"/>
        </w:rPr>
      </w:pPr>
      <w:r>
        <w:rPr>
          <w:rFonts w:ascii="隶书" w:eastAsia="隶书"/>
          <w:color w:val="auto"/>
          <w:sz w:val="24"/>
        </w:rPr>
        <w:t>3.</w:t>
      </w:r>
      <w:r>
        <w:rPr>
          <w:rFonts w:hint="eastAsia" w:ascii="隶书" w:eastAsia="隶书"/>
          <w:color w:val="auto"/>
          <w:sz w:val="24"/>
        </w:rPr>
        <w:t>4</w:t>
      </w:r>
      <w:r>
        <w:rPr>
          <w:rFonts w:ascii="隶书" w:eastAsia="隶书"/>
          <w:color w:val="auto"/>
          <w:sz w:val="24"/>
        </w:rPr>
        <w:t>.1 评标委员会依据本章第2.1.1项、第2.1.3项规定的评审标准对投标文件</w:t>
      </w:r>
      <w:r>
        <w:rPr>
          <w:rFonts w:hint="eastAsia" w:ascii="隶书" w:eastAsia="隶书"/>
          <w:color w:val="auto"/>
          <w:sz w:val="24"/>
        </w:rPr>
        <w:t>第二个信封（报价文件）</w:t>
      </w:r>
      <w:r>
        <w:rPr>
          <w:rFonts w:ascii="隶书" w:eastAsia="隶书"/>
          <w:color w:val="auto"/>
          <w:sz w:val="24"/>
        </w:rPr>
        <w:t>进行初步评审。有一项不符合评审标准的，</w:t>
      </w:r>
      <w:r>
        <w:rPr>
          <w:rFonts w:hint="eastAsia" w:ascii="隶书" w:eastAsia="隶书"/>
          <w:color w:val="auto"/>
          <w:sz w:val="24"/>
        </w:rPr>
        <w:t>评标委员会应否决其投标</w:t>
      </w:r>
      <w:r>
        <w:rPr>
          <w:rFonts w:ascii="隶书" w:eastAsia="隶书"/>
          <w:color w:val="auto"/>
          <w:sz w:val="24"/>
        </w:rPr>
        <w:t>。</w:t>
      </w:r>
    </w:p>
    <w:p>
      <w:pPr>
        <w:spacing w:line="400" w:lineRule="atLeast"/>
        <w:ind w:firstLine="480" w:firstLineChars="200"/>
        <w:rPr>
          <w:rFonts w:ascii="隶书" w:hAnsi="黑体" w:eastAsia="隶书"/>
          <w:color w:val="auto"/>
          <w:sz w:val="24"/>
        </w:rPr>
      </w:pPr>
      <w:r>
        <w:rPr>
          <w:rFonts w:ascii="隶书" w:hAnsi="黑体" w:eastAsia="隶书"/>
          <w:color w:val="auto"/>
          <w:sz w:val="24"/>
        </w:rPr>
        <w:t>3.</w:t>
      </w:r>
      <w:r>
        <w:rPr>
          <w:rFonts w:hint="eastAsia" w:ascii="隶书" w:hAnsi="黑体" w:eastAsia="隶书"/>
          <w:color w:val="auto"/>
          <w:sz w:val="24"/>
        </w:rPr>
        <w:t>4</w:t>
      </w:r>
      <w:r>
        <w:rPr>
          <w:rFonts w:ascii="隶书" w:hAnsi="黑体" w:eastAsia="隶书"/>
          <w:color w:val="auto"/>
          <w:sz w:val="24"/>
        </w:rPr>
        <w:t>.</w:t>
      </w:r>
      <w:r>
        <w:rPr>
          <w:rFonts w:hint="eastAsia" w:ascii="隶书" w:hAnsi="黑体" w:eastAsia="隶书"/>
          <w:color w:val="auto"/>
          <w:sz w:val="24"/>
        </w:rPr>
        <w:t>2</w:t>
      </w:r>
      <w:r>
        <w:rPr>
          <w:rFonts w:ascii="隶书" w:hAnsi="黑体" w:eastAsia="隶书"/>
          <w:color w:val="auto"/>
          <w:vertAlign w:val="superscript"/>
        </w:rPr>
        <w:footnoteReference w:id="2"/>
      </w:r>
      <w:r>
        <w:rPr>
          <w:rFonts w:ascii="隶书" w:hAnsi="黑体" w:eastAsia="隶书"/>
          <w:color w:val="auto"/>
          <w:sz w:val="24"/>
        </w:rPr>
        <w:t xml:space="preserve"> 投标报价有算术错误的，评标委员会按以下原则对投标报价进行修正，修正的价格经投标人书面确认后具有约束力。投标人不接受修正价格的，</w:t>
      </w:r>
      <w:r>
        <w:rPr>
          <w:rFonts w:hint="eastAsia" w:ascii="隶书" w:hAnsi="黑体" w:eastAsia="隶书"/>
          <w:color w:val="auto"/>
          <w:sz w:val="24"/>
        </w:rPr>
        <w:t>评标委员会应否决其投标。</w:t>
      </w:r>
    </w:p>
    <w:p>
      <w:pPr>
        <w:spacing w:line="400" w:lineRule="atLeast"/>
        <w:ind w:firstLine="480" w:firstLineChars="200"/>
        <w:rPr>
          <w:rFonts w:ascii="隶书" w:hAnsi="黑体" w:eastAsia="隶书"/>
          <w:color w:val="auto"/>
          <w:sz w:val="24"/>
        </w:rPr>
      </w:pPr>
      <w:r>
        <w:rPr>
          <w:rFonts w:ascii="隶书" w:hAnsi="黑体" w:eastAsia="隶书"/>
          <w:color w:val="auto"/>
          <w:sz w:val="24"/>
        </w:rPr>
        <w:t>（1）投标文件中的大写金额与小写金额不一致的，以大写金额为准；</w:t>
      </w:r>
    </w:p>
    <w:p>
      <w:pPr>
        <w:spacing w:line="400" w:lineRule="atLeast"/>
        <w:ind w:firstLine="480" w:firstLineChars="200"/>
        <w:rPr>
          <w:rFonts w:ascii="隶书" w:hAnsi="黑体" w:eastAsia="隶书"/>
          <w:color w:val="auto"/>
          <w:sz w:val="24"/>
        </w:rPr>
      </w:pPr>
      <w:r>
        <w:rPr>
          <w:rFonts w:ascii="隶书" w:hAnsi="黑体" w:eastAsia="隶书"/>
          <w:color w:val="auto"/>
          <w:sz w:val="24"/>
        </w:rPr>
        <w:t>（2）总价金额与依据单价计算出的结果不一致的，以单价金额为准修正总价，但单价金额小数点有明显错误的除外;</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（3）当单价与数量相乘不等于合价时，以单价计算为准，如果单价有明显的小数点位置差错，应以标出的合价为准，同时对单价予以修正；</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（4）当各子目的合价累计不等于总价时，应以各子目合价累计数为准，修正总价。</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3.4.3 工程量清单中的投标报价有其他错误的，评标委员会按以下原则对投标报价进行修正，修正的价格经投标人书面确认后具有约束力。投标人不接受修正价格的，评标委员会应否决其投标。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（3）当单价与数量的乘积与合价（金额）虽然一致，但投标人修改了该子目的工程数量，则其合价按招标人给定的工程数量乘以投标人所报单价予以修正。</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3.4.4 修正后的最终投标报价若超过最高投标限价（如有），评标委员会应否决其投标。</w:t>
      </w:r>
    </w:p>
    <w:p>
      <w:pPr>
        <w:pStyle w:val="2"/>
        <w:spacing w:before="240" w:after="240" w:line="240" w:lineRule="atLeast"/>
        <w:rPr>
          <w:rFonts w:ascii="黑体" w:eastAsia="黑体"/>
          <w:b w:val="0"/>
          <w:color w:val="auto"/>
          <w:sz w:val="24"/>
          <w:szCs w:val="24"/>
        </w:rPr>
      </w:pPr>
      <w:bookmarkStart w:id="91" w:name="_Toc501257151"/>
      <w:bookmarkStart w:id="92" w:name="_Toc509962377"/>
      <w:bookmarkStart w:id="93" w:name="_Toc510089870"/>
      <w:bookmarkStart w:id="94" w:name="_Toc509959136"/>
      <w:bookmarkStart w:id="95" w:name="_Toc510172783"/>
      <w:r>
        <w:rPr>
          <w:rFonts w:ascii="黑体" w:eastAsia="黑体"/>
          <w:b w:val="0"/>
          <w:color w:val="auto"/>
          <w:sz w:val="24"/>
          <w:szCs w:val="24"/>
        </w:rPr>
        <w:t>3.</w:t>
      </w:r>
      <w:r>
        <w:rPr>
          <w:rFonts w:hint="eastAsia" w:ascii="黑体" w:eastAsia="黑体"/>
          <w:b w:val="0"/>
          <w:color w:val="auto"/>
          <w:sz w:val="24"/>
          <w:szCs w:val="24"/>
        </w:rPr>
        <w:t>5 第二个信封</w:t>
      </w:r>
      <w:r>
        <w:rPr>
          <w:rFonts w:ascii="黑体" w:eastAsia="黑体"/>
          <w:b w:val="0"/>
          <w:color w:val="auto"/>
          <w:sz w:val="24"/>
          <w:szCs w:val="24"/>
        </w:rPr>
        <w:t>详细评审</w:t>
      </w:r>
      <w:bookmarkEnd w:id="91"/>
      <w:bookmarkEnd w:id="92"/>
      <w:bookmarkEnd w:id="93"/>
      <w:bookmarkEnd w:id="94"/>
      <w:bookmarkEnd w:id="95"/>
    </w:p>
    <w:p>
      <w:pPr>
        <w:spacing w:line="400" w:lineRule="atLeast"/>
        <w:ind w:firstLine="480" w:firstLineChars="200"/>
        <w:rPr>
          <w:rFonts w:ascii="隶书" w:eastAsia="隶书"/>
          <w:color w:val="auto"/>
          <w:sz w:val="24"/>
        </w:rPr>
      </w:pPr>
      <w:r>
        <w:rPr>
          <w:rFonts w:ascii="隶书" w:eastAsia="隶书"/>
          <w:color w:val="auto"/>
          <w:sz w:val="24"/>
        </w:rPr>
        <w:t>3.</w:t>
      </w:r>
      <w:r>
        <w:rPr>
          <w:rFonts w:hint="eastAsia" w:ascii="隶书" w:eastAsia="隶书"/>
          <w:color w:val="auto"/>
          <w:sz w:val="24"/>
        </w:rPr>
        <w:t>5</w:t>
      </w:r>
      <w:r>
        <w:rPr>
          <w:rFonts w:ascii="隶书" w:eastAsia="隶书"/>
          <w:color w:val="auto"/>
          <w:sz w:val="24"/>
        </w:rPr>
        <w:t>.1</w:t>
      </w:r>
      <w:r>
        <w:rPr>
          <w:rFonts w:hint="eastAsia" w:ascii="隶书" w:eastAsia="隶书"/>
          <w:color w:val="auto"/>
          <w:sz w:val="24"/>
        </w:rPr>
        <w:t xml:space="preserve"> </w:t>
      </w:r>
      <w:r>
        <w:rPr>
          <w:rFonts w:ascii="隶书" w:eastAsia="隶书"/>
          <w:color w:val="auto"/>
          <w:sz w:val="24"/>
        </w:rPr>
        <w:t>评标委员会按本章第2.2款规定的量化因素和标准进行价格折算，计算出评标价，并编制价格比较一览表。</w:t>
      </w:r>
    </w:p>
    <w:p>
      <w:pPr>
        <w:spacing w:line="400" w:lineRule="atLeast"/>
        <w:ind w:firstLine="480" w:firstLineChars="200"/>
        <w:rPr>
          <w:rFonts w:hint="eastAsia" w:ascii="隶书" w:eastAsia="隶书"/>
          <w:color w:val="auto"/>
          <w:sz w:val="24"/>
        </w:rPr>
      </w:pPr>
      <w:r>
        <w:rPr>
          <w:rFonts w:ascii="隶书" w:eastAsia="隶书"/>
          <w:color w:val="auto"/>
          <w:sz w:val="24"/>
        </w:rPr>
        <w:t>3.</w:t>
      </w:r>
      <w:r>
        <w:rPr>
          <w:rFonts w:hint="eastAsia" w:ascii="隶书" w:eastAsia="隶书"/>
          <w:color w:val="auto"/>
          <w:sz w:val="24"/>
        </w:rPr>
        <w:t>5</w:t>
      </w:r>
      <w:r>
        <w:rPr>
          <w:rFonts w:ascii="隶书" w:eastAsia="隶书"/>
          <w:color w:val="auto"/>
          <w:sz w:val="24"/>
        </w:rPr>
        <w:t>.</w:t>
      </w:r>
      <w:r>
        <w:rPr>
          <w:rFonts w:hint="eastAsia" w:ascii="隶书" w:eastAsia="隶书"/>
          <w:color w:val="auto"/>
          <w:sz w:val="24"/>
        </w:rPr>
        <w:t>2</w:t>
      </w:r>
      <w:r>
        <w:rPr>
          <w:rFonts w:ascii="隶书" w:eastAsia="隶书"/>
          <w:color w:val="auto"/>
          <w:sz w:val="24"/>
        </w:rPr>
        <w:t xml:space="preserve">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w:t>
      </w:r>
      <w:r>
        <w:rPr>
          <w:rFonts w:hint="eastAsia" w:ascii="隶书" w:hAnsi="黑体" w:eastAsia="隶书"/>
          <w:color w:val="auto"/>
          <w:sz w:val="24"/>
        </w:rPr>
        <w:t>并否决其投标</w:t>
      </w:r>
      <w:r>
        <w:rPr>
          <w:rFonts w:ascii="隶书" w:eastAsia="隶书"/>
          <w:color w:val="auto"/>
          <w:sz w:val="24"/>
        </w:rPr>
        <w:t>。</w:t>
      </w:r>
    </w:p>
    <w:p>
      <w:pPr>
        <w:pStyle w:val="2"/>
        <w:spacing w:before="240" w:after="240" w:line="240" w:lineRule="atLeast"/>
        <w:rPr>
          <w:rFonts w:ascii="黑体" w:eastAsia="黑体"/>
          <w:b w:val="0"/>
          <w:color w:val="auto"/>
          <w:sz w:val="24"/>
          <w:szCs w:val="24"/>
        </w:rPr>
      </w:pPr>
      <w:bookmarkStart w:id="96" w:name="_Toc501257152"/>
      <w:bookmarkStart w:id="97" w:name="_Toc509962378"/>
      <w:bookmarkStart w:id="98" w:name="_Toc510172784"/>
      <w:bookmarkStart w:id="99" w:name="_Toc509959137"/>
      <w:bookmarkStart w:id="100" w:name="_Toc510089871"/>
      <w:r>
        <w:rPr>
          <w:rFonts w:ascii="黑体" w:eastAsia="黑体"/>
          <w:b w:val="0"/>
          <w:color w:val="auto"/>
          <w:sz w:val="24"/>
          <w:szCs w:val="24"/>
        </w:rPr>
        <w:t>3.</w:t>
      </w:r>
      <w:r>
        <w:rPr>
          <w:rFonts w:hint="eastAsia" w:ascii="黑体" w:eastAsia="黑体"/>
          <w:b w:val="0"/>
          <w:color w:val="auto"/>
          <w:sz w:val="24"/>
          <w:szCs w:val="24"/>
        </w:rPr>
        <w:t>6 投标文件相关信息的核查</w:t>
      </w:r>
      <w:bookmarkEnd w:id="96"/>
      <w:bookmarkEnd w:id="97"/>
      <w:bookmarkEnd w:id="98"/>
      <w:bookmarkEnd w:id="99"/>
      <w:bookmarkEnd w:id="100"/>
    </w:p>
    <w:p>
      <w:pPr>
        <w:spacing w:line="400" w:lineRule="atLeast"/>
        <w:ind w:firstLine="480" w:firstLineChars="200"/>
        <w:rPr>
          <w:rFonts w:hint="eastAsia" w:ascii="隶书" w:eastAsia="隶书"/>
          <w:color w:val="auto"/>
          <w:sz w:val="24"/>
        </w:rPr>
      </w:pPr>
      <w:r>
        <w:rPr>
          <w:rFonts w:ascii="隶书" w:eastAsia="隶书"/>
          <w:color w:val="auto"/>
          <w:sz w:val="24"/>
        </w:rPr>
        <w:t>3.</w:t>
      </w:r>
      <w:r>
        <w:rPr>
          <w:rFonts w:hint="eastAsia" w:ascii="隶书" w:eastAsia="隶书"/>
          <w:color w:val="auto"/>
          <w:sz w:val="24"/>
        </w:rPr>
        <w:t>6</w:t>
      </w:r>
      <w:r>
        <w:rPr>
          <w:rFonts w:ascii="隶书" w:eastAsia="隶书"/>
          <w:color w:val="auto"/>
          <w:sz w:val="24"/>
        </w:rPr>
        <w:t>.1</w:t>
      </w:r>
      <w:r>
        <w:rPr>
          <w:rFonts w:hint="eastAsia" w:ascii="隶书" w:eastAsia="隶书"/>
          <w:color w:val="auto"/>
          <w:sz w:val="24"/>
        </w:rPr>
        <w:t xml:space="preserve"> </w:t>
      </w:r>
      <w:r>
        <w:rPr>
          <w:rFonts w:hint="eastAsia" w:ascii="隶书" w:hAnsi="黑体" w:eastAsia="隶书"/>
          <w:color w:val="auto"/>
          <w:sz w:val="24"/>
        </w:rPr>
        <w:t>在评标过程中，评标</w:t>
      </w:r>
      <w:r>
        <w:rPr>
          <w:rFonts w:ascii="隶书" w:hAnsi="黑体" w:eastAsia="隶书"/>
          <w:color w:val="auto"/>
          <w:sz w:val="24"/>
        </w:rPr>
        <w:t>委员会应查询</w:t>
      </w:r>
      <w:r>
        <w:rPr>
          <w:rFonts w:hint="eastAsia" w:ascii="隶书" w:hAnsi="黑体" w:eastAsia="隶书"/>
          <w:color w:val="auto"/>
          <w:sz w:val="24"/>
        </w:rPr>
        <w:t>交通运输主管部门“</w:t>
      </w:r>
      <w:r>
        <w:rPr>
          <w:rFonts w:ascii="隶书" w:hAnsi="黑体" w:eastAsia="隶书"/>
          <w:color w:val="auto"/>
          <w:sz w:val="24"/>
        </w:rPr>
        <w:t>公路建设市场信用信息管理系统</w:t>
      </w:r>
      <w:r>
        <w:rPr>
          <w:rFonts w:hint="eastAsia" w:ascii="隶书" w:hAnsi="黑体" w:eastAsia="隶书"/>
          <w:color w:val="auto"/>
          <w:sz w:val="24"/>
        </w:rPr>
        <w:t>”</w:t>
      </w:r>
      <w:r>
        <w:rPr>
          <w:rFonts w:ascii="隶书" w:hAnsi="黑体" w:eastAsia="隶书"/>
          <w:color w:val="auto"/>
          <w:sz w:val="24"/>
        </w:rPr>
        <w:t>，对</w:t>
      </w:r>
      <w:r>
        <w:rPr>
          <w:rFonts w:hint="eastAsia" w:ascii="隶书" w:hAnsi="黑体" w:eastAsia="隶书"/>
          <w:color w:val="auto"/>
          <w:sz w:val="24"/>
        </w:rPr>
        <w:t>投标</w:t>
      </w:r>
      <w:r>
        <w:rPr>
          <w:rFonts w:ascii="隶书" w:hAnsi="黑体" w:eastAsia="隶书"/>
          <w:color w:val="auto"/>
          <w:sz w:val="24"/>
        </w:rPr>
        <w:t>人的资质、业绩、主要人员资历和目前在岗情况、信用等级等信息进行核实。若</w:t>
      </w:r>
      <w:r>
        <w:rPr>
          <w:rFonts w:hint="eastAsia" w:ascii="隶书" w:hAnsi="黑体" w:eastAsia="隶书"/>
          <w:color w:val="auto"/>
          <w:sz w:val="24"/>
        </w:rPr>
        <w:t>投标</w:t>
      </w:r>
      <w:r>
        <w:rPr>
          <w:rFonts w:ascii="隶书" w:hAnsi="黑体" w:eastAsia="隶书"/>
          <w:color w:val="auto"/>
          <w:sz w:val="24"/>
        </w:rPr>
        <w:t>文件载明的信息与</w:t>
      </w:r>
      <w:r>
        <w:rPr>
          <w:rFonts w:hint="eastAsia" w:ascii="隶书" w:hAnsi="黑体" w:eastAsia="隶书"/>
          <w:color w:val="auto"/>
          <w:sz w:val="24"/>
        </w:rPr>
        <w:t>交通运输主管部门“</w:t>
      </w:r>
      <w:r>
        <w:rPr>
          <w:rFonts w:ascii="隶书" w:hAnsi="黑体" w:eastAsia="隶书"/>
          <w:color w:val="auto"/>
          <w:sz w:val="24"/>
        </w:rPr>
        <w:t>公路建设市场信用信息管理系统</w:t>
      </w:r>
      <w:r>
        <w:rPr>
          <w:rFonts w:hint="eastAsia" w:ascii="隶书" w:hAnsi="黑体" w:eastAsia="隶书"/>
          <w:color w:val="auto"/>
          <w:sz w:val="24"/>
        </w:rPr>
        <w:t>”</w:t>
      </w:r>
      <w:r>
        <w:rPr>
          <w:rFonts w:ascii="隶书" w:hAnsi="黑体" w:eastAsia="隶书"/>
          <w:color w:val="auto"/>
          <w:sz w:val="24"/>
        </w:rPr>
        <w:t>发布的信息不符，使得</w:t>
      </w:r>
      <w:r>
        <w:rPr>
          <w:rFonts w:hint="eastAsia" w:ascii="隶书" w:hAnsi="黑体" w:eastAsia="隶书"/>
          <w:color w:val="auto"/>
          <w:sz w:val="24"/>
        </w:rPr>
        <w:t>投标</w:t>
      </w:r>
      <w:r>
        <w:rPr>
          <w:rFonts w:ascii="隶书" w:hAnsi="黑体" w:eastAsia="隶书"/>
          <w:color w:val="auto"/>
          <w:sz w:val="24"/>
        </w:rPr>
        <w:t>人的资格条件不符合</w:t>
      </w:r>
      <w:r>
        <w:rPr>
          <w:rFonts w:hint="eastAsia" w:ascii="隶书" w:hAnsi="黑体" w:eastAsia="隶书"/>
          <w:color w:val="auto"/>
          <w:sz w:val="24"/>
        </w:rPr>
        <w:t>招标文件</w:t>
      </w:r>
      <w:r>
        <w:rPr>
          <w:rFonts w:ascii="隶书" w:hAnsi="黑体" w:eastAsia="隶书"/>
          <w:color w:val="auto"/>
          <w:sz w:val="24"/>
        </w:rPr>
        <w:t>规定的，评标委员会应否决其投标。</w:t>
      </w:r>
    </w:p>
    <w:p>
      <w:pPr>
        <w:spacing w:line="400" w:lineRule="atLeast"/>
        <w:ind w:firstLine="480" w:firstLineChars="200"/>
        <w:rPr>
          <w:rFonts w:hint="eastAsia" w:ascii="隶书" w:eastAsia="隶书"/>
          <w:color w:val="auto"/>
          <w:sz w:val="24"/>
        </w:rPr>
      </w:pPr>
      <w:r>
        <w:rPr>
          <w:rFonts w:hint="eastAsia" w:ascii="隶书" w:eastAsia="隶书"/>
          <w:color w:val="auto"/>
          <w:sz w:val="24"/>
        </w:rPr>
        <w:t xml:space="preserve">3.6.2 </w:t>
      </w:r>
      <w:r>
        <w:rPr>
          <w:rFonts w:ascii="隶书" w:eastAsia="隶书"/>
          <w:color w:val="auto"/>
          <w:sz w:val="24"/>
        </w:rPr>
        <w:t>评标委员会应对在评标过程中发现的投标人与投标人之间、投标人与招标人之间存在的串通投标的情形进行评审和认定。</w:t>
      </w:r>
      <w:r>
        <w:rPr>
          <w:rFonts w:hint="eastAsia" w:ascii="隶书" w:eastAsia="隶书"/>
          <w:color w:val="auto"/>
          <w:sz w:val="24"/>
        </w:rPr>
        <w:t>投标人存在</w:t>
      </w:r>
      <w:r>
        <w:rPr>
          <w:rFonts w:ascii="隶书" w:eastAsia="隶书"/>
          <w:color w:val="auto"/>
          <w:sz w:val="24"/>
        </w:rPr>
        <w:t>串通投标</w:t>
      </w:r>
      <w:r>
        <w:rPr>
          <w:rFonts w:hint="eastAsia" w:ascii="隶书" w:eastAsia="隶书"/>
          <w:color w:val="auto"/>
          <w:sz w:val="24"/>
        </w:rPr>
        <w:t>、</w:t>
      </w:r>
      <w:r>
        <w:rPr>
          <w:rFonts w:ascii="隶书" w:eastAsia="隶书"/>
          <w:color w:val="auto"/>
          <w:sz w:val="24"/>
        </w:rPr>
        <w:t>弄虚作假</w:t>
      </w:r>
      <w:r>
        <w:rPr>
          <w:rFonts w:hint="eastAsia" w:ascii="隶书" w:eastAsia="隶书"/>
          <w:color w:val="auto"/>
          <w:sz w:val="24"/>
        </w:rPr>
        <w:t>、行贿等</w:t>
      </w:r>
      <w:r>
        <w:rPr>
          <w:rFonts w:ascii="隶书" w:eastAsia="隶书"/>
          <w:color w:val="auto"/>
          <w:sz w:val="24"/>
        </w:rPr>
        <w:t>违法行为的</w:t>
      </w:r>
      <w:r>
        <w:rPr>
          <w:rFonts w:hint="eastAsia" w:ascii="隶书" w:eastAsia="隶书"/>
          <w:color w:val="auto"/>
          <w:sz w:val="24"/>
        </w:rPr>
        <w:t>，评标委员会应否决其投标。</w:t>
      </w:r>
    </w:p>
    <w:p>
      <w:pPr>
        <w:spacing w:line="400" w:lineRule="atLeast"/>
        <w:ind w:firstLine="480" w:firstLineChars="200"/>
        <w:rPr>
          <w:rFonts w:ascii="隶书" w:eastAsia="隶书"/>
          <w:color w:val="auto"/>
          <w:sz w:val="24"/>
        </w:rPr>
      </w:pPr>
      <w:r>
        <w:rPr>
          <w:rFonts w:hint="eastAsia" w:ascii="隶书" w:eastAsia="隶书"/>
          <w:color w:val="auto"/>
          <w:sz w:val="24"/>
        </w:rPr>
        <w:t>（1）</w:t>
      </w:r>
      <w:r>
        <w:rPr>
          <w:rFonts w:ascii="隶书" w:eastAsia="隶书"/>
          <w:color w:val="auto"/>
          <w:sz w:val="24"/>
        </w:rPr>
        <w:t>有下列情形之一的，属于投标人相互串通投标：</w:t>
      </w:r>
    </w:p>
    <w:p>
      <w:pPr>
        <w:spacing w:line="400" w:lineRule="atLeast"/>
        <w:ind w:firstLine="480" w:firstLineChars="200"/>
        <w:rPr>
          <w:rFonts w:ascii="隶书" w:eastAsia="隶书"/>
          <w:color w:val="auto"/>
          <w:sz w:val="24"/>
        </w:rPr>
      </w:pPr>
      <w:r>
        <w:rPr>
          <w:rFonts w:ascii="隶书" w:eastAsia="隶书"/>
          <w:color w:val="auto"/>
          <w:sz w:val="24"/>
        </w:rPr>
        <w:t>a.投标人之间协商投标报价等投标文件的实质性内容；</w:t>
      </w:r>
    </w:p>
    <w:p>
      <w:pPr>
        <w:spacing w:line="400" w:lineRule="atLeast"/>
        <w:ind w:firstLine="480" w:firstLineChars="200"/>
        <w:rPr>
          <w:rFonts w:ascii="隶书" w:eastAsia="隶书"/>
          <w:color w:val="auto"/>
          <w:sz w:val="24"/>
        </w:rPr>
      </w:pPr>
      <w:r>
        <w:rPr>
          <w:rFonts w:ascii="隶书" w:eastAsia="隶书"/>
          <w:color w:val="auto"/>
          <w:sz w:val="24"/>
        </w:rPr>
        <w:t>b.投标人之间约定中标人；</w:t>
      </w:r>
    </w:p>
    <w:p>
      <w:pPr>
        <w:spacing w:line="400" w:lineRule="atLeast"/>
        <w:ind w:firstLine="480" w:firstLineChars="200"/>
        <w:rPr>
          <w:rFonts w:ascii="隶书" w:eastAsia="隶书"/>
          <w:color w:val="auto"/>
          <w:sz w:val="24"/>
        </w:rPr>
      </w:pPr>
      <w:r>
        <w:rPr>
          <w:rFonts w:ascii="隶书" w:eastAsia="隶书"/>
          <w:color w:val="auto"/>
          <w:sz w:val="24"/>
        </w:rPr>
        <w:t>c.投标人之间约定部分投标人放弃投标或中标；</w:t>
      </w:r>
    </w:p>
    <w:p>
      <w:pPr>
        <w:spacing w:line="400" w:lineRule="atLeast"/>
        <w:ind w:firstLine="480" w:firstLineChars="200"/>
        <w:rPr>
          <w:rFonts w:ascii="隶书" w:eastAsia="隶书"/>
          <w:color w:val="auto"/>
          <w:sz w:val="24"/>
        </w:rPr>
      </w:pPr>
      <w:r>
        <w:rPr>
          <w:rFonts w:ascii="隶书" w:eastAsia="隶书"/>
          <w:color w:val="auto"/>
          <w:sz w:val="24"/>
        </w:rPr>
        <w:t>d.属于同一集团、协会、商会等组织成员的投标人按照该组织要求协同投标；</w:t>
      </w:r>
    </w:p>
    <w:p>
      <w:pPr>
        <w:spacing w:line="400" w:lineRule="atLeast"/>
        <w:ind w:firstLine="480" w:firstLineChars="200"/>
        <w:rPr>
          <w:rFonts w:ascii="隶书" w:eastAsia="隶书"/>
          <w:color w:val="auto"/>
          <w:sz w:val="24"/>
        </w:rPr>
      </w:pPr>
      <w:r>
        <w:rPr>
          <w:rFonts w:ascii="隶书" w:eastAsia="隶书"/>
          <w:color w:val="auto"/>
          <w:sz w:val="24"/>
        </w:rPr>
        <w:t>e.投标人之间为谋取中标或排斥特定投标人而采取的其他联合行动。</w:t>
      </w:r>
    </w:p>
    <w:p>
      <w:pPr>
        <w:spacing w:line="400" w:lineRule="atLeast"/>
        <w:ind w:firstLine="480" w:firstLineChars="200"/>
        <w:rPr>
          <w:rFonts w:ascii="隶书" w:eastAsia="隶书"/>
          <w:color w:val="auto"/>
          <w:sz w:val="24"/>
        </w:rPr>
      </w:pPr>
      <w:r>
        <w:rPr>
          <w:rFonts w:hint="eastAsia" w:ascii="隶书" w:eastAsia="隶书"/>
          <w:color w:val="auto"/>
          <w:sz w:val="24"/>
        </w:rPr>
        <w:t>（2）</w:t>
      </w:r>
      <w:r>
        <w:rPr>
          <w:rFonts w:ascii="隶书" w:eastAsia="隶书"/>
          <w:color w:val="auto"/>
          <w:sz w:val="24"/>
        </w:rPr>
        <w:t>有下列情形之一的，视为投标人相互串通投标：</w:t>
      </w:r>
    </w:p>
    <w:p>
      <w:pPr>
        <w:spacing w:line="400" w:lineRule="atLeast"/>
        <w:ind w:firstLine="480" w:firstLineChars="200"/>
        <w:rPr>
          <w:rFonts w:ascii="隶书" w:eastAsia="隶书"/>
          <w:color w:val="auto"/>
          <w:sz w:val="24"/>
        </w:rPr>
      </w:pPr>
      <w:r>
        <w:rPr>
          <w:rFonts w:ascii="隶书" w:eastAsia="隶书"/>
          <w:color w:val="auto"/>
          <w:sz w:val="24"/>
        </w:rPr>
        <w:t>a.不同投标人的投标文件由同一单位或个人编制；</w:t>
      </w:r>
    </w:p>
    <w:p>
      <w:pPr>
        <w:spacing w:line="400" w:lineRule="atLeast"/>
        <w:ind w:firstLine="480" w:firstLineChars="200"/>
        <w:rPr>
          <w:rFonts w:ascii="隶书" w:eastAsia="隶书"/>
          <w:color w:val="auto"/>
          <w:sz w:val="24"/>
        </w:rPr>
      </w:pPr>
      <w:r>
        <w:rPr>
          <w:rFonts w:ascii="隶书" w:eastAsia="隶书"/>
          <w:color w:val="auto"/>
          <w:sz w:val="24"/>
        </w:rPr>
        <w:t>b.不同投标人委托同一单位或个人办理投标事宜；</w:t>
      </w:r>
    </w:p>
    <w:p>
      <w:pPr>
        <w:spacing w:line="400" w:lineRule="atLeast"/>
        <w:ind w:firstLine="480" w:firstLineChars="200"/>
        <w:rPr>
          <w:rFonts w:ascii="隶书" w:eastAsia="隶书"/>
          <w:color w:val="auto"/>
          <w:sz w:val="24"/>
        </w:rPr>
      </w:pPr>
      <w:r>
        <w:rPr>
          <w:rFonts w:ascii="隶书" w:eastAsia="隶书"/>
          <w:color w:val="auto"/>
          <w:sz w:val="24"/>
        </w:rPr>
        <w:t>c.不同投标人的投标文件载明的项目管理成员为同一人；</w:t>
      </w:r>
    </w:p>
    <w:p>
      <w:pPr>
        <w:spacing w:line="400" w:lineRule="atLeast"/>
        <w:ind w:firstLine="480" w:firstLineChars="200"/>
        <w:rPr>
          <w:rFonts w:ascii="隶书" w:eastAsia="隶书"/>
          <w:color w:val="auto"/>
          <w:sz w:val="24"/>
        </w:rPr>
      </w:pPr>
      <w:r>
        <w:rPr>
          <w:rFonts w:ascii="隶书" w:eastAsia="隶书"/>
          <w:color w:val="auto"/>
          <w:sz w:val="24"/>
        </w:rPr>
        <w:t>d.不同投标人的投标文件异常一致或投标报价呈规律性差异；</w:t>
      </w:r>
    </w:p>
    <w:p>
      <w:pPr>
        <w:spacing w:line="400" w:lineRule="atLeast"/>
        <w:ind w:firstLine="480" w:firstLineChars="200"/>
        <w:rPr>
          <w:rFonts w:ascii="隶书" w:eastAsia="隶书"/>
          <w:color w:val="auto"/>
          <w:sz w:val="24"/>
        </w:rPr>
      </w:pPr>
      <w:r>
        <w:rPr>
          <w:rFonts w:ascii="隶书" w:eastAsia="隶书"/>
          <w:color w:val="auto"/>
          <w:sz w:val="24"/>
        </w:rPr>
        <w:t>e.不同投标人的投标文件相互混装；</w:t>
      </w:r>
    </w:p>
    <w:p>
      <w:pPr>
        <w:spacing w:line="400" w:lineRule="atLeast"/>
        <w:ind w:firstLine="480" w:firstLineChars="200"/>
        <w:rPr>
          <w:rFonts w:ascii="隶书" w:eastAsia="隶书"/>
          <w:color w:val="auto"/>
          <w:sz w:val="24"/>
        </w:rPr>
      </w:pPr>
      <w:r>
        <w:rPr>
          <w:rFonts w:ascii="隶书" w:eastAsia="隶书"/>
          <w:color w:val="auto"/>
          <w:sz w:val="24"/>
        </w:rPr>
        <w:t>f.不同投标人的投标保证金从同一单位或个人的账户转出。</w:t>
      </w:r>
    </w:p>
    <w:p>
      <w:pPr>
        <w:spacing w:line="400" w:lineRule="atLeast"/>
        <w:ind w:firstLine="480" w:firstLineChars="200"/>
        <w:rPr>
          <w:rFonts w:ascii="隶书" w:eastAsia="隶书"/>
          <w:color w:val="auto"/>
          <w:sz w:val="24"/>
        </w:rPr>
      </w:pPr>
      <w:r>
        <w:rPr>
          <w:rFonts w:hint="eastAsia" w:ascii="隶书" w:eastAsia="隶书"/>
          <w:color w:val="auto"/>
          <w:sz w:val="24"/>
        </w:rPr>
        <w:t>（3）</w:t>
      </w:r>
      <w:r>
        <w:rPr>
          <w:rFonts w:ascii="隶书" w:eastAsia="隶书"/>
          <w:color w:val="auto"/>
          <w:sz w:val="24"/>
        </w:rPr>
        <w:t>有下列情形之一的，属于招标人与投标人串通投标：</w:t>
      </w:r>
    </w:p>
    <w:p>
      <w:pPr>
        <w:spacing w:line="400" w:lineRule="atLeast"/>
        <w:ind w:firstLine="480" w:firstLineChars="200"/>
        <w:rPr>
          <w:rFonts w:ascii="隶书" w:eastAsia="隶书"/>
          <w:color w:val="auto"/>
          <w:sz w:val="24"/>
        </w:rPr>
      </w:pPr>
      <w:r>
        <w:rPr>
          <w:rFonts w:ascii="隶书" w:eastAsia="隶书"/>
          <w:color w:val="auto"/>
          <w:sz w:val="24"/>
        </w:rPr>
        <w:t>a.招标人在开标前开启投标文件并将有关信息泄露给其他投标人;</w:t>
      </w:r>
    </w:p>
    <w:p>
      <w:pPr>
        <w:spacing w:line="400" w:lineRule="atLeast"/>
        <w:ind w:firstLine="480" w:firstLineChars="200"/>
        <w:rPr>
          <w:rFonts w:ascii="隶书" w:eastAsia="隶书"/>
          <w:color w:val="auto"/>
          <w:sz w:val="24"/>
        </w:rPr>
      </w:pPr>
      <w:r>
        <w:rPr>
          <w:rFonts w:ascii="隶书" w:eastAsia="隶书"/>
          <w:color w:val="auto"/>
          <w:sz w:val="24"/>
        </w:rPr>
        <w:t>b.招标人直接或间接向投标人泄露标底、评标委员会成员等信息；</w:t>
      </w:r>
    </w:p>
    <w:p>
      <w:pPr>
        <w:spacing w:line="400" w:lineRule="atLeast"/>
        <w:ind w:firstLine="480" w:firstLineChars="200"/>
        <w:rPr>
          <w:rFonts w:ascii="隶书" w:eastAsia="隶书"/>
          <w:color w:val="auto"/>
          <w:sz w:val="24"/>
        </w:rPr>
      </w:pPr>
      <w:r>
        <w:rPr>
          <w:rFonts w:ascii="隶书" w:eastAsia="隶书"/>
          <w:color w:val="auto"/>
          <w:sz w:val="24"/>
        </w:rPr>
        <w:t>c.招标人明示或暗示投标人压低或抬高投标报价；</w:t>
      </w:r>
    </w:p>
    <w:p>
      <w:pPr>
        <w:spacing w:line="400" w:lineRule="atLeast"/>
        <w:ind w:firstLine="480" w:firstLineChars="200"/>
        <w:rPr>
          <w:rFonts w:ascii="隶书" w:eastAsia="隶书"/>
          <w:color w:val="auto"/>
          <w:sz w:val="24"/>
        </w:rPr>
      </w:pPr>
      <w:r>
        <w:rPr>
          <w:rFonts w:ascii="隶书" w:eastAsia="隶书"/>
          <w:color w:val="auto"/>
          <w:sz w:val="24"/>
        </w:rPr>
        <w:t>d.招标人授意投标人撤换、修改投标文件；</w:t>
      </w:r>
    </w:p>
    <w:p>
      <w:pPr>
        <w:spacing w:line="400" w:lineRule="atLeast"/>
        <w:ind w:firstLine="480" w:firstLineChars="200"/>
        <w:rPr>
          <w:rFonts w:ascii="隶书" w:eastAsia="隶书"/>
          <w:color w:val="auto"/>
          <w:sz w:val="24"/>
        </w:rPr>
      </w:pPr>
      <w:r>
        <w:rPr>
          <w:rFonts w:ascii="隶书" w:eastAsia="隶书"/>
          <w:color w:val="auto"/>
          <w:sz w:val="24"/>
        </w:rPr>
        <w:t>e.招标人明示或暗示投标人为特定投标人中标提供方便；</w:t>
      </w:r>
    </w:p>
    <w:p>
      <w:pPr>
        <w:spacing w:line="400" w:lineRule="atLeast"/>
        <w:ind w:firstLine="480" w:firstLineChars="200"/>
        <w:rPr>
          <w:rFonts w:ascii="隶书" w:eastAsia="隶书"/>
          <w:color w:val="auto"/>
          <w:sz w:val="24"/>
        </w:rPr>
      </w:pPr>
      <w:r>
        <w:rPr>
          <w:rFonts w:ascii="隶书" w:eastAsia="隶书"/>
          <w:color w:val="auto"/>
          <w:sz w:val="24"/>
        </w:rPr>
        <w:t>f.招标人与投标人为谋求特定投标人中标而采取的其他串通行为。</w:t>
      </w:r>
    </w:p>
    <w:p>
      <w:pPr>
        <w:spacing w:line="400" w:lineRule="atLeast"/>
        <w:ind w:firstLine="480" w:firstLineChars="200"/>
        <w:rPr>
          <w:rFonts w:ascii="隶书" w:eastAsia="隶书"/>
          <w:color w:val="auto"/>
          <w:sz w:val="24"/>
        </w:rPr>
      </w:pPr>
      <w:r>
        <w:rPr>
          <w:rFonts w:hint="eastAsia" w:ascii="隶书" w:eastAsia="隶书"/>
          <w:color w:val="auto"/>
          <w:sz w:val="24"/>
        </w:rPr>
        <w:t>（4）</w:t>
      </w:r>
      <w:r>
        <w:rPr>
          <w:rFonts w:ascii="隶书" w:eastAsia="隶书"/>
          <w:color w:val="auto"/>
          <w:sz w:val="24"/>
        </w:rPr>
        <w:t>投标人有下列情形之一的，属于弄虚作假的行为：</w:t>
      </w:r>
    </w:p>
    <w:p>
      <w:pPr>
        <w:spacing w:line="400" w:lineRule="atLeast"/>
        <w:ind w:firstLine="480" w:firstLineChars="200"/>
        <w:rPr>
          <w:rFonts w:hint="eastAsia" w:ascii="隶书" w:eastAsia="隶书"/>
          <w:color w:val="auto"/>
          <w:sz w:val="24"/>
        </w:rPr>
      </w:pPr>
      <w:r>
        <w:rPr>
          <w:rFonts w:ascii="隶书" w:eastAsia="隶书"/>
          <w:color w:val="auto"/>
          <w:sz w:val="24"/>
        </w:rPr>
        <w:t>a.使用通过受让或租借等方式获取的资格、资质证书投标</w:t>
      </w:r>
      <w:r>
        <w:rPr>
          <w:rFonts w:hint="eastAsia" w:ascii="隶书" w:eastAsia="隶书"/>
          <w:color w:val="auto"/>
          <w:sz w:val="24"/>
        </w:rPr>
        <w:t>；</w:t>
      </w:r>
    </w:p>
    <w:p>
      <w:pPr>
        <w:spacing w:line="400" w:lineRule="atLeast"/>
        <w:ind w:firstLine="480" w:firstLineChars="200"/>
        <w:rPr>
          <w:rFonts w:ascii="隶书" w:eastAsia="隶书"/>
          <w:color w:val="auto"/>
          <w:sz w:val="24"/>
        </w:rPr>
      </w:pPr>
      <w:r>
        <w:rPr>
          <w:rFonts w:ascii="隶书" w:eastAsia="隶书"/>
          <w:color w:val="auto"/>
          <w:sz w:val="24"/>
        </w:rPr>
        <w:t>b.使用伪造、变造的许可证件；</w:t>
      </w:r>
    </w:p>
    <w:p>
      <w:pPr>
        <w:spacing w:line="400" w:lineRule="atLeast"/>
        <w:ind w:firstLine="480" w:firstLineChars="200"/>
        <w:rPr>
          <w:rFonts w:ascii="隶书" w:eastAsia="隶书"/>
          <w:color w:val="auto"/>
          <w:sz w:val="24"/>
        </w:rPr>
      </w:pPr>
      <w:r>
        <w:rPr>
          <w:rFonts w:ascii="隶书" w:eastAsia="隶书"/>
          <w:color w:val="auto"/>
          <w:sz w:val="24"/>
        </w:rPr>
        <w:t>c.提供虚假的财务状况或业绩；</w:t>
      </w:r>
    </w:p>
    <w:p>
      <w:pPr>
        <w:spacing w:line="400" w:lineRule="atLeast"/>
        <w:ind w:firstLine="480" w:firstLineChars="200"/>
        <w:rPr>
          <w:rFonts w:ascii="隶书" w:eastAsia="隶书"/>
          <w:color w:val="auto"/>
          <w:sz w:val="24"/>
        </w:rPr>
      </w:pPr>
      <w:r>
        <w:rPr>
          <w:rFonts w:ascii="隶书" w:eastAsia="隶书"/>
          <w:color w:val="auto"/>
          <w:sz w:val="24"/>
        </w:rPr>
        <w:t>d.提供虚假的项目负责人或主要技术人员简历、劳动关系证明；</w:t>
      </w:r>
    </w:p>
    <w:p>
      <w:pPr>
        <w:spacing w:line="400" w:lineRule="atLeast"/>
        <w:ind w:firstLine="480" w:firstLineChars="200"/>
        <w:rPr>
          <w:rFonts w:ascii="隶书" w:eastAsia="隶书"/>
          <w:color w:val="auto"/>
          <w:sz w:val="24"/>
        </w:rPr>
      </w:pPr>
      <w:r>
        <w:rPr>
          <w:rFonts w:ascii="隶书" w:eastAsia="隶书"/>
          <w:color w:val="auto"/>
          <w:sz w:val="24"/>
        </w:rPr>
        <w:t>e.提供虚假的信用状况；</w:t>
      </w:r>
    </w:p>
    <w:p>
      <w:pPr>
        <w:spacing w:line="400" w:lineRule="atLeast"/>
        <w:ind w:firstLine="480" w:firstLineChars="200"/>
        <w:rPr>
          <w:rFonts w:ascii="隶书" w:eastAsia="隶书"/>
          <w:color w:val="auto"/>
          <w:sz w:val="24"/>
        </w:rPr>
      </w:pPr>
      <w:r>
        <w:rPr>
          <w:rFonts w:ascii="隶书" w:eastAsia="隶书"/>
          <w:color w:val="auto"/>
          <w:sz w:val="24"/>
        </w:rPr>
        <w:t>f.其他弄虚作假的行为。</w:t>
      </w:r>
    </w:p>
    <w:p>
      <w:pPr>
        <w:pStyle w:val="2"/>
        <w:spacing w:before="240" w:after="240" w:line="400" w:lineRule="atLeast"/>
        <w:rPr>
          <w:rFonts w:ascii="黑体" w:eastAsia="黑体"/>
          <w:b w:val="0"/>
          <w:color w:val="auto"/>
          <w:sz w:val="24"/>
          <w:szCs w:val="24"/>
        </w:rPr>
      </w:pPr>
      <w:bookmarkStart w:id="101" w:name="_Toc509959138"/>
      <w:bookmarkStart w:id="102" w:name="_Toc510089872"/>
      <w:bookmarkStart w:id="103" w:name="_Toc509962379"/>
      <w:bookmarkStart w:id="104" w:name="_Toc501257153"/>
      <w:bookmarkStart w:id="105" w:name="_Toc510172785"/>
      <w:r>
        <w:rPr>
          <w:rFonts w:ascii="黑体" w:eastAsia="黑体"/>
          <w:b w:val="0"/>
          <w:color w:val="auto"/>
          <w:sz w:val="24"/>
          <w:szCs w:val="24"/>
        </w:rPr>
        <w:t>3.</w:t>
      </w:r>
      <w:r>
        <w:rPr>
          <w:rFonts w:hint="eastAsia" w:ascii="黑体" w:eastAsia="黑体"/>
          <w:b w:val="0"/>
          <w:color w:val="auto"/>
          <w:sz w:val="24"/>
          <w:szCs w:val="24"/>
        </w:rPr>
        <w:t>7</w:t>
      </w:r>
      <w:r>
        <w:rPr>
          <w:rFonts w:ascii="黑体" w:eastAsia="黑体"/>
          <w:b w:val="0"/>
          <w:color w:val="auto"/>
          <w:sz w:val="24"/>
          <w:szCs w:val="24"/>
        </w:rPr>
        <w:t xml:space="preserve"> 投标文件的澄清和</w:t>
      </w:r>
      <w:r>
        <w:rPr>
          <w:rFonts w:hint="eastAsia" w:ascii="黑体" w:eastAsia="黑体"/>
          <w:b w:val="0"/>
          <w:color w:val="auto"/>
          <w:sz w:val="24"/>
          <w:szCs w:val="24"/>
        </w:rPr>
        <w:t>说明</w:t>
      </w:r>
      <w:bookmarkEnd w:id="101"/>
      <w:bookmarkEnd w:id="102"/>
      <w:bookmarkEnd w:id="103"/>
      <w:bookmarkEnd w:id="104"/>
      <w:bookmarkEnd w:id="105"/>
    </w:p>
    <w:p>
      <w:pPr>
        <w:spacing w:line="400" w:lineRule="atLeast"/>
        <w:ind w:firstLine="480" w:firstLineChars="200"/>
        <w:rPr>
          <w:rFonts w:ascii="隶书" w:hAnsi="黑体" w:eastAsia="隶书"/>
          <w:color w:val="auto"/>
          <w:sz w:val="24"/>
        </w:rPr>
      </w:pPr>
      <w:r>
        <w:rPr>
          <w:rFonts w:ascii="隶书" w:hAnsi="黑体" w:eastAsia="隶书"/>
          <w:color w:val="auto"/>
          <w:sz w:val="24"/>
        </w:rPr>
        <w:t>3.</w:t>
      </w:r>
      <w:r>
        <w:rPr>
          <w:rFonts w:hint="eastAsia" w:ascii="隶书" w:hAnsi="黑体" w:eastAsia="隶书"/>
          <w:color w:val="auto"/>
          <w:sz w:val="24"/>
        </w:rPr>
        <w:t>7</w:t>
      </w:r>
      <w:r>
        <w:rPr>
          <w:rFonts w:ascii="隶书" w:hAnsi="黑体" w:eastAsia="隶书"/>
          <w:color w:val="auto"/>
          <w:sz w:val="24"/>
        </w:rPr>
        <w:t>.1</w:t>
      </w:r>
      <w:r>
        <w:rPr>
          <w:rFonts w:hint="eastAsia" w:ascii="隶书" w:hAnsi="黑体" w:eastAsia="隶书"/>
          <w:color w:val="auto"/>
          <w:sz w:val="24"/>
        </w:rPr>
        <w:t xml:space="preserve"> </w:t>
      </w:r>
      <w:r>
        <w:rPr>
          <w:rFonts w:ascii="隶书" w:hAnsi="黑体" w:eastAsia="隶书"/>
          <w:color w:val="auto"/>
          <w:sz w:val="24"/>
        </w:rPr>
        <w:t>在评标过程中，评标委员会可以书面形式要求投标人对投标文件中</w:t>
      </w:r>
      <w:r>
        <w:rPr>
          <w:rFonts w:hint="eastAsia" w:ascii="隶书" w:hAnsi="黑体" w:eastAsia="隶书"/>
          <w:color w:val="auto"/>
          <w:sz w:val="24"/>
        </w:rPr>
        <w:t>含义</w:t>
      </w:r>
      <w:r>
        <w:rPr>
          <w:rFonts w:ascii="隶书" w:hAnsi="黑体" w:eastAsia="隶书"/>
          <w:color w:val="auto"/>
          <w:sz w:val="24"/>
        </w:rPr>
        <w:t>不明确的内容</w:t>
      </w:r>
      <w:r>
        <w:rPr>
          <w:rFonts w:hint="eastAsia" w:ascii="隶书" w:hAnsi="黑体" w:eastAsia="隶书"/>
          <w:color w:val="auto"/>
          <w:sz w:val="24"/>
        </w:rPr>
        <w:t>、明显文字或计算错误</w:t>
      </w:r>
      <w:r>
        <w:rPr>
          <w:rFonts w:ascii="隶书" w:hAnsi="黑体" w:eastAsia="隶书"/>
          <w:color w:val="auto"/>
          <w:sz w:val="24"/>
        </w:rPr>
        <w:t>进行书面澄清或说明。评标委员会不接受投标人主动提出的澄清、说明。</w:t>
      </w:r>
      <w:r>
        <w:rPr>
          <w:rFonts w:hint="eastAsia" w:ascii="隶书" w:hAnsi="黑体" w:eastAsia="隶书"/>
          <w:color w:val="auto"/>
          <w:sz w:val="24"/>
        </w:rPr>
        <w:t>投标人</w:t>
      </w:r>
      <w:r>
        <w:rPr>
          <w:rFonts w:ascii="隶书" w:hAnsi="黑体" w:eastAsia="隶书"/>
          <w:color w:val="auto"/>
          <w:sz w:val="24"/>
        </w:rPr>
        <w:t>不按评标委员会要求澄清</w:t>
      </w:r>
      <w:r>
        <w:rPr>
          <w:rFonts w:hint="eastAsia" w:ascii="隶书" w:hAnsi="黑体" w:eastAsia="隶书"/>
          <w:color w:val="auto"/>
          <w:sz w:val="24"/>
        </w:rPr>
        <w:t>或</w:t>
      </w:r>
      <w:r>
        <w:rPr>
          <w:rFonts w:ascii="隶书" w:hAnsi="黑体" w:eastAsia="隶书"/>
          <w:color w:val="auto"/>
          <w:sz w:val="24"/>
        </w:rPr>
        <w:t>说明的</w:t>
      </w:r>
      <w:r>
        <w:rPr>
          <w:rFonts w:hint="eastAsia" w:ascii="隶书" w:hAnsi="黑体" w:eastAsia="隶书"/>
          <w:color w:val="auto"/>
          <w:sz w:val="24"/>
        </w:rPr>
        <w:t>，评标委员会应否决其投标。</w:t>
      </w:r>
    </w:p>
    <w:p>
      <w:pPr>
        <w:spacing w:line="400" w:lineRule="atLeast"/>
        <w:ind w:firstLine="480" w:firstLineChars="200"/>
        <w:rPr>
          <w:rFonts w:ascii="隶书" w:hAnsi="黑体" w:eastAsia="隶书"/>
          <w:color w:val="auto"/>
          <w:sz w:val="24"/>
        </w:rPr>
      </w:pPr>
      <w:r>
        <w:rPr>
          <w:rFonts w:ascii="隶书" w:hAnsi="黑体" w:eastAsia="隶书"/>
          <w:color w:val="auto"/>
          <w:sz w:val="24"/>
        </w:rPr>
        <w:t>3.</w:t>
      </w:r>
      <w:r>
        <w:rPr>
          <w:rFonts w:hint="eastAsia" w:ascii="隶书" w:hAnsi="黑体" w:eastAsia="隶书"/>
          <w:color w:val="auto"/>
          <w:sz w:val="24"/>
        </w:rPr>
        <w:t>7</w:t>
      </w:r>
      <w:r>
        <w:rPr>
          <w:rFonts w:ascii="隶书" w:hAnsi="黑体" w:eastAsia="隶书"/>
          <w:color w:val="auto"/>
          <w:sz w:val="24"/>
        </w:rPr>
        <w:t>.2</w:t>
      </w:r>
      <w:r>
        <w:rPr>
          <w:rFonts w:hint="eastAsia" w:ascii="隶书" w:hAnsi="黑体" w:eastAsia="隶书"/>
          <w:color w:val="auto"/>
          <w:sz w:val="24"/>
        </w:rPr>
        <w:t xml:space="preserve"> </w:t>
      </w:r>
      <w:r>
        <w:rPr>
          <w:rFonts w:ascii="隶书" w:hAnsi="黑体" w:eastAsia="隶书"/>
          <w:color w:val="auto"/>
          <w:sz w:val="24"/>
        </w:rPr>
        <w:t>澄清</w:t>
      </w:r>
      <w:r>
        <w:rPr>
          <w:rFonts w:hint="eastAsia" w:ascii="隶书" w:hAnsi="黑体" w:eastAsia="隶书"/>
          <w:color w:val="auto"/>
          <w:sz w:val="24"/>
        </w:rPr>
        <w:t>和</w:t>
      </w:r>
      <w:r>
        <w:rPr>
          <w:rFonts w:ascii="隶书" w:hAnsi="黑体" w:eastAsia="隶书"/>
          <w:color w:val="auto"/>
          <w:sz w:val="24"/>
        </w:rPr>
        <w:t>说明不得</w:t>
      </w:r>
      <w:r>
        <w:rPr>
          <w:rFonts w:hint="eastAsia" w:ascii="隶书" w:hAnsi="黑体" w:eastAsia="隶书"/>
          <w:color w:val="auto"/>
          <w:sz w:val="24"/>
        </w:rPr>
        <w:t>超出投标文件的范围或</w:t>
      </w:r>
      <w:r>
        <w:rPr>
          <w:rFonts w:ascii="隶书" w:hAnsi="黑体" w:eastAsia="隶书"/>
          <w:color w:val="auto"/>
          <w:sz w:val="24"/>
        </w:rPr>
        <w:t>改变投标文件的实质性内容（算术性错误的修正除外）。投标人的书面澄清、说明属于投标文件的组成部分。</w:t>
      </w:r>
    </w:p>
    <w:p>
      <w:pPr>
        <w:spacing w:line="400" w:lineRule="atLeast"/>
        <w:ind w:firstLine="480" w:firstLineChars="200"/>
        <w:rPr>
          <w:rFonts w:ascii="隶书" w:hAnsi="黑体" w:eastAsia="隶书"/>
          <w:color w:val="auto"/>
          <w:sz w:val="24"/>
        </w:rPr>
      </w:pPr>
      <w:r>
        <w:rPr>
          <w:rFonts w:ascii="隶书" w:hAnsi="黑体" w:eastAsia="隶书"/>
          <w:color w:val="auto"/>
          <w:sz w:val="24"/>
        </w:rPr>
        <w:t>3.</w:t>
      </w:r>
      <w:r>
        <w:rPr>
          <w:rFonts w:hint="eastAsia" w:ascii="隶书" w:hAnsi="黑体" w:eastAsia="隶书"/>
          <w:color w:val="auto"/>
          <w:sz w:val="24"/>
        </w:rPr>
        <w:t>7</w:t>
      </w:r>
      <w:r>
        <w:rPr>
          <w:rFonts w:ascii="隶书" w:hAnsi="黑体" w:eastAsia="隶书"/>
          <w:color w:val="auto"/>
          <w:sz w:val="24"/>
        </w:rPr>
        <w:t>.3</w:t>
      </w:r>
      <w:r>
        <w:rPr>
          <w:rFonts w:hint="eastAsia" w:ascii="隶书" w:hAnsi="黑体" w:eastAsia="隶书"/>
          <w:color w:val="auto"/>
          <w:sz w:val="24"/>
        </w:rPr>
        <w:t xml:space="preserve"> </w:t>
      </w:r>
      <w:r>
        <w:rPr>
          <w:rFonts w:ascii="隶书" w:hAnsi="黑体" w:eastAsia="隶书"/>
          <w:color w:val="auto"/>
          <w:sz w:val="24"/>
        </w:rPr>
        <w:t>评标委员会</w:t>
      </w:r>
      <w:r>
        <w:rPr>
          <w:rFonts w:hint="eastAsia" w:ascii="隶书" w:hAnsi="黑体" w:eastAsia="隶书"/>
          <w:color w:val="auto"/>
          <w:sz w:val="24"/>
        </w:rPr>
        <w:t>不得暗示或诱导投标人作出澄清、说明，</w:t>
      </w:r>
      <w:r>
        <w:rPr>
          <w:rFonts w:ascii="隶书" w:hAnsi="黑体" w:eastAsia="隶书"/>
          <w:color w:val="auto"/>
          <w:sz w:val="24"/>
        </w:rPr>
        <w:t>对投标人提交的澄清、说明有疑问的，可以要求投标人进一步澄清</w:t>
      </w:r>
      <w:r>
        <w:rPr>
          <w:rFonts w:hint="eastAsia" w:ascii="隶书" w:hAnsi="黑体" w:eastAsia="隶书"/>
          <w:color w:val="auto"/>
          <w:sz w:val="24"/>
        </w:rPr>
        <w:t>或</w:t>
      </w:r>
      <w:r>
        <w:rPr>
          <w:rFonts w:ascii="隶书" w:hAnsi="黑体" w:eastAsia="隶书"/>
          <w:color w:val="auto"/>
          <w:sz w:val="24"/>
        </w:rPr>
        <w:t>说明，直至满足评标委员会的要求。</w:t>
      </w:r>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3.7.4 凡超出招标文件规定的或给发包人带来未曾要求的利益的变化、偏差或其他因素在评标时不予考虑。</w:t>
      </w:r>
    </w:p>
    <w:p>
      <w:pPr>
        <w:pStyle w:val="2"/>
        <w:spacing w:before="240" w:after="240" w:line="400" w:lineRule="atLeast"/>
        <w:rPr>
          <w:rFonts w:hint="eastAsia" w:ascii="黑体" w:eastAsia="黑体"/>
          <w:b w:val="0"/>
          <w:color w:val="auto"/>
          <w:sz w:val="24"/>
          <w:szCs w:val="24"/>
        </w:rPr>
      </w:pPr>
      <w:bookmarkStart w:id="106" w:name="_Toc510172786"/>
      <w:bookmarkStart w:id="107" w:name="_Toc510089873"/>
      <w:bookmarkStart w:id="108" w:name="_Toc501257154"/>
      <w:bookmarkStart w:id="109" w:name="_Toc509959139"/>
      <w:bookmarkStart w:id="110" w:name="_Toc509962380"/>
      <w:r>
        <w:rPr>
          <w:rFonts w:hint="eastAsia" w:ascii="黑体" w:eastAsia="黑体"/>
          <w:b w:val="0"/>
          <w:color w:val="auto"/>
          <w:sz w:val="24"/>
          <w:szCs w:val="24"/>
        </w:rPr>
        <w:t>3.8 不得否决投标的情形</w:t>
      </w:r>
      <w:bookmarkEnd w:id="106"/>
      <w:bookmarkEnd w:id="107"/>
      <w:bookmarkEnd w:id="108"/>
      <w:bookmarkEnd w:id="109"/>
      <w:bookmarkEnd w:id="110"/>
    </w:p>
    <w:p>
      <w:pPr>
        <w:spacing w:line="400" w:lineRule="atLeast"/>
        <w:ind w:firstLine="480" w:firstLineChars="200"/>
        <w:rPr>
          <w:rFonts w:hint="eastAsia" w:ascii="隶书" w:hAnsi="黑体" w:eastAsia="隶书"/>
          <w:color w:val="auto"/>
          <w:sz w:val="24"/>
        </w:rPr>
      </w:pPr>
      <w:r>
        <w:rPr>
          <w:rFonts w:hint="eastAsia" w:ascii="隶书" w:hAnsi="黑体" w:eastAsia="隶书"/>
          <w:color w:val="auto"/>
          <w:sz w:val="24"/>
        </w:rPr>
        <w:t>投标文件存在第二章“投标人须知”第1.12.3项所列情形的，均视为细微偏差，评标委员会不得否决投标人的投标，</w:t>
      </w:r>
      <w:r>
        <w:rPr>
          <w:rFonts w:ascii="隶书" w:hAnsi="黑体" w:eastAsia="隶书"/>
          <w:color w:val="auto"/>
          <w:sz w:val="24"/>
        </w:rPr>
        <w:t>应按照</w:t>
      </w:r>
      <w:r>
        <w:rPr>
          <w:rFonts w:hint="eastAsia" w:ascii="隶书" w:hAnsi="黑体" w:eastAsia="隶书"/>
          <w:color w:val="auto"/>
          <w:sz w:val="24"/>
        </w:rPr>
        <w:t>第二章“投标人须知”第1.12.4项规定的原则处理。</w:t>
      </w:r>
    </w:p>
    <w:p>
      <w:pPr>
        <w:pStyle w:val="2"/>
        <w:spacing w:before="240" w:after="240" w:line="240" w:lineRule="atLeast"/>
        <w:rPr>
          <w:rFonts w:ascii="黑体" w:eastAsia="黑体"/>
          <w:b w:val="0"/>
          <w:color w:val="auto"/>
          <w:sz w:val="24"/>
          <w:szCs w:val="24"/>
        </w:rPr>
      </w:pPr>
      <w:bookmarkStart w:id="111" w:name="_Toc509959140"/>
      <w:bookmarkStart w:id="112" w:name="_Toc510172787"/>
      <w:bookmarkStart w:id="113" w:name="_Toc510089874"/>
      <w:bookmarkStart w:id="114" w:name="_Toc509962381"/>
      <w:bookmarkStart w:id="115" w:name="_Toc501257155"/>
      <w:r>
        <w:rPr>
          <w:rFonts w:ascii="黑体" w:eastAsia="黑体"/>
          <w:b w:val="0"/>
          <w:color w:val="auto"/>
          <w:sz w:val="24"/>
          <w:szCs w:val="24"/>
        </w:rPr>
        <w:t>3.</w:t>
      </w:r>
      <w:r>
        <w:rPr>
          <w:rFonts w:hint="eastAsia" w:ascii="黑体" w:eastAsia="黑体"/>
          <w:b w:val="0"/>
          <w:color w:val="auto"/>
          <w:sz w:val="24"/>
          <w:szCs w:val="24"/>
        </w:rPr>
        <w:t>9</w:t>
      </w:r>
      <w:r>
        <w:rPr>
          <w:rFonts w:ascii="黑体" w:eastAsia="黑体"/>
          <w:b w:val="0"/>
          <w:color w:val="auto"/>
          <w:sz w:val="24"/>
          <w:szCs w:val="24"/>
        </w:rPr>
        <w:t xml:space="preserve"> 评标结果</w:t>
      </w:r>
      <w:bookmarkEnd w:id="111"/>
      <w:bookmarkEnd w:id="112"/>
      <w:bookmarkEnd w:id="113"/>
      <w:bookmarkEnd w:id="114"/>
      <w:bookmarkEnd w:id="115"/>
    </w:p>
    <w:p>
      <w:pPr>
        <w:spacing w:line="400" w:lineRule="atLeast"/>
        <w:ind w:firstLine="480" w:firstLineChars="200"/>
        <w:rPr>
          <w:rFonts w:ascii="隶书" w:hAnsi="黑体" w:eastAsia="隶书"/>
          <w:color w:val="auto"/>
          <w:sz w:val="24"/>
        </w:rPr>
      </w:pPr>
      <w:r>
        <w:rPr>
          <w:rFonts w:ascii="隶书" w:hAnsi="黑体" w:eastAsia="隶书"/>
          <w:color w:val="auto"/>
          <w:sz w:val="24"/>
        </w:rPr>
        <w:t>3.</w:t>
      </w:r>
      <w:r>
        <w:rPr>
          <w:rFonts w:hint="eastAsia" w:ascii="隶书" w:hAnsi="黑体" w:eastAsia="隶书"/>
          <w:color w:val="auto"/>
          <w:sz w:val="24"/>
        </w:rPr>
        <w:t>9</w:t>
      </w:r>
      <w:r>
        <w:rPr>
          <w:rFonts w:ascii="隶书" w:hAnsi="黑体" w:eastAsia="隶书"/>
          <w:color w:val="auto"/>
          <w:sz w:val="24"/>
        </w:rPr>
        <w:t>.1除第二章“投标人须知”前附表授权直接确定中标人外，评标委员会按照</w:t>
      </w:r>
      <w:r>
        <w:rPr>
          <w:rFonts w:hint="eastAsia" w:ascii="隶书" w:hAnsi="黑体" w:eastAsia="隶书"/>
          <w:color w:val="auto"/>
          <w:sz w:val="24"/>
        </w:rPr>
        <w:t>评标价由低到高</w:t>
      </w:r>
      <w:r>
        <w:rPr>
          <w:rFonts w:ascii="隶书" w:hAnsi="黑体" w:eastAsia="隶书"/>
          <w:color w:val="auto"/>
          <w:sz w:val="24"/>
        </w:rPr>
        <w:t>的顺序推荐中标候选人</w:t>
      </w:r>
      <w:r>
        <w:rPr>
          <w:rFonts w:hint="eastAsia" w:ascii="隶书" w:hAnsi="黑体" w:eastAsia="隶书"/>
          <w:color w:val="auto"/>
          <w:sz w:val="24"/>
        </w:rPr>
        <w:t>，</w:t>
      </w:r>
      <w:r>
        <w:rPr>
          <w:rFonts w:ascii="隶书" w:hAnsi="黑体" w:eastAsia="隶书"/>
          <w:color w:val="auto"/>
          <w:sz w:val="24"/>
        </w:rPr>
        <w:t>并标明排序。</w:t>
      </w:r>
    </w:p>
    <w:p>
      <w:pPr>
        <w:spacing w:line="400" w:lineRule="atLeast"/>
        <w:ind w:firstLine="480" w:firstLineChars="200"/>
        <w:rPr>
          <w:rFonts w:ascii="隶书" w:hAnsi="黑体" w:eastAsia="隶书"/>
          <w:color w:val="auto"/>
          <w:sz w:val="24"/>
        </w:rPr>
      </w:pPr>
      <w:r>
        <w:rPr>
          <w:rFonts w:ascii="隶书" w:hAnsi="黑体" w:eastAsia="隶书"/>
          <w:color w:val="auto"/>
          <w:sz w:val="24"/>
        </w:rPr>
        <w:t>3.</w:t>
      </w:r>
      <w:r>
        <w:rPr>
          <w:rFonts w:hint="eastAsia" w:ascii="隶书" w:hAnsi="黑体" w:eastAsia="隶书"/>
          <w:color w:val="auto"/>
          <w:sz w:val="24"/>
        </w:rPr>
        <w:t>9</w:t>
      </w:r>
      <w:r>
        <w:rPr>
          <w:rFonts w:ascii="隶书" w:hAnsi="黑体" w:eastAsia="隶书"/>
          <w:color w:val="auto"/>
          <w:sz w:val="24"/>
        </w:rPr>
        <w:t>.2 评标委员会完成评标后，应向招标人提交书面评标报告。</w:t>
      </w:r>
    </w:p>
    <w:p>
      <w:bookmarkStart w:id="116" w:name="_GoBack"/>
      <w:bookmarkEnd w:id="1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MingLiU">
    <w:altName w:val="PMingLiU-ExtB"/>
    <w:panose1 w:val="02010609000101010101"/>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spacing w:line="300" w:lineRule="atLeast"/>
        <w:ind w:left="180" w:hanging="180" w:hangingChars="100"/>
        <w:jc w:val="both"/>
        <w:rPr>
          <w:rFonts w:hint="eastAsia"/>
          <w:szCs w:val="18"/>
        </w:rPr>
      </w:pPr>
      <w:r>
        <w:rPr>
          <w:rStyle w:val="10"/>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于特别复杂的特大桥梁和特长隧道项目主体工程以及其他有特殊要求的工程，还可对其他管理和技术人员</w:t>
      </w:r>
      <w:r>
        <w:rPr>
          <w:rFonts w:hint="eastAsia"/>
        </w:rPr>
        <w:t>（例如</w:t>
      </w:r>
      <w:r>
        <w:t>项目副经理、专业工程师等</w:t>
      </w:r>
      <w:r>
        <w:rPr>
          <w:rFonts w:hint="eastAsia"/>
        </w:rPr>
        <w:t>）</w:t>
      </w:r>
      <w:r>
        <w:rPr>
          <w:rFonts w:hint="eastAsia"/>
          <w:szCs w:val="18"/>
        </w:rPr>
        <w:t>以及主要机械设备和试验检测设备进行资格评审。</w:t>
      </w:r>
    </w:p>
  </w:footnote>
  <w:footnote w:id="1">
    <w:p>
      <w:pPr>
        <w:pStyle w:val="6"/>
        <w:spacing w:line="300" w:lineRule="atLeast"/>
        <w:ind w:left="180" w:hanging="180" w:hangingChars="100"/>
        <w:jc w:val="both"/>
        <w:rPr>
          <w:rFonts w:hint="eastAsia"/>
        </w:rPr>
      </w:pPr>
      <w:r>
        <w:rPr>
          <w:rStyle w:val="10"/>
        </w:rPr>
        <w:footnoteRef/>
      </w:r>
      <w:r>
        <w:rPr>
          <w:rFonts w:hint="eastAsia"/>
          <w:szCs w:val="18"/>
        </w:rPr>
        <w:t xml:space="preserve"> 本款规定仅适用于根据《关于发布公路工程从业企业资质名录的通知》（厅公路字〔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
    <w:p>
      <w:pPr>
        <w:pStyle w:val="6"/>
        <w:spacing w:line="320" w:lineRule="atLeast"/>
        <w:ind w:left="180" w:hanging="180" w:hangingChars="100"/>
        <w:rPr>
          <w:rStyle w:val="10"/>
          <w:rFonts w:hint="eastAsia"/>
          <w:szCs w:val="18"/>
        </w:rPr>
      </w:pPr>
      <w:r>
        <w:rPr>
          <w:rStyle w:val="10"/>
          <w:szCs w:val="18"/>
        </w:rPr>
        <w:footnoteRef/>
      </w:r>
      <w:r>
        <w:rPr>
          <w:rFonts w:hint="eastAsia"/>
          <w:szCs w:val="18"/>
        </w:rPr>
        <w:t xml:space="preserve"> 如</w:t>
      </w:r>
      <w:r>
        <w:rPr>
          <w:rStyle w:val="10"/>
          <w:szCs w:val="18"/>
        </w:rPr>
        <w:t>本项目招标</w:t>
      </w:r>
      <w:r>
        <w:rPr>
          <w:rStyle w:val="10"/>
          <w:rFonts w:hint="eastAsia"/>
          <w:szCs w:val="18"/>
        </w:rPr>
        <w:t>由投标人按照招标人提供的</w:t>
      </w:r>
      <w:r>
        <w:rPr>
          <w:szCs w:val="18"/>
        </w:rPr>
        <w:t>书面</w:t>
      </w:r>
      <w:r>
        <w:rPr>
          <w:rStyle w:val="10"/>
          <w:rFonts w:hint="eastAsia"/>
          <w:szCs w:val="18"/>
        </w:rPr>
        <w:t>工程量清单填写</w:t>
      </w:r>
      <w:r>
        <w:rPr>
          <w:rStyle w:val="10"/>
          <w:szCs w:val="18"/>
        </w:rPr>
        <w:t>本合同各工程子目的单价、合价和总额价</w:t>
      </w:r>
      <w:r>
        <w:rPr>
          <w:rStyle w:val="10"/>
          <w:rFonts w:hint="eastAsia"/>
          <w:szCs w:val="18"/>
        </w:rPr>
        <w:t>，则</w:t>
      </w:r>
      <w:r>
        <w:rPr>
          <w:rStyle w:val="10"/>
          <w:szCs w:val="18"/>
        </w:rPr>
        <w:t>评标委员会按照</w:t>
      </w:r>
      <w:r>
        <w:rPr>
          <w:rStyle w:val="10"/>
          <w:rFonts w:hint="eastAsia"/>
          <w:szCs w:val="18"/>
        </w:rPr>
        <w:t>本</w:t>
      </w:r>
      <w:r>
        <w:rPr>
          <w:rStyle w:val="10"/>
          <w:szCs w:val="18"/>
        </w:rPr>
        <w:t>章</w:t>
      </w:r>
      <w:r>
        <w:rPr>
          <w:rStyle w:val="10"/>
          <w:rFonts w:hint="eastAsia"/>
          <w:szCs w:val="18"/>
        </w:rPr>
        <w:t>第3.4.2项和第3</w:t>
      </w:r>
      <w:r>
        <w:rPr>
          <w:rFonts w:hint="eastAsia"/>
          <w:szCs w:val="18"/>
        </w:rPr>
        <w:t>.4.3项</w:t>
      </w:r>
      <w:r>
        <w:rPr>
          <w:rStyle w:val="10"/>
          <w:rFonts w:hint="eastAsia"/>
          <w:szCs w:val="18"/>
        </w:rPr>
        <w:t>的</w:t>
      </w:r>
      <w:r>
        <w:rPr>
          <w:rStyle w:val="10"/>
          <w:szCs w:val="18"/>
        </w:rPr>
        <w:t>规定</w:t>
      </w:r>
      <w:r>
        <w:rPr>
          <w:rStyle w:val="10"/>
          <w:rFonts w:hint="eastAsia"/>
          <w:szCs w:val="18"/>
        </w:rPr>
        <w:t>对投标人的投标报价进行修正。</w:t>
      </w:r>
      <w:r>
        <w:rPr>
          <w:rFonts w:hint="eastAsia"/>
          <w:szCs w:val="18"/>
        </w:rPr>
        <w:t>如</w:t>
      </w:r>
      <w:r>
        <w:rPr>
          <w:rStyle w:val="10"/>
          <w:szCs w:val="18"/>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电子文件填写工程量清单，无须按照本章第3.4.2项和第3.4.3项的规定对投标报价进行修正，第3.4.2项至第3.4.4项内容不适用。</w:t>
      </w:r>
    </w:p>
    <w:p>
      <w:pPr>
        <w:pStyle w:val="6"/>
        <w:spacing w:line="300" w:lineRule="atLeast"/>
        <w:ind w:left="1890" w:hanging="210"/>
        <w:rPr>
          <w:rStyle w:val="10"/>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M2Q0MjhhMzE3NGFiZGU4YTAyMGYyODk5NmI0OGEifQ=="/>
  </w:docVars>
  <w:rsids>
    <w:rsidRoot w:val="597866FC"/>
    <w:rsid w:val="5978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paragraph" w:styleId="6">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7">
    <w:name w:val="Body Text First Indent 2"/>
    <w:basedOn w:val="3"/>
    <w:uiPriority w:val="0"/>
    <w:pPr>
      <w:ind w:firstLine="420" w:firstLineChars="200"/>
    </w:pPr>
  </w:style>
  <w:style w:type="character" w:styleId="10">
    <w:name w:val="footnote reference"/>
    <w:uiPriority w:val="0"/>
    <w:rPr>
      <w:vertAlign w:val="superscript"/>
    </w:rPr>
  </w:style>
  <w:style w:type="character" w:customStyle="1" w:styleId="11">
    <w:name w:val="正文文本 (2) + 间距 0 pt5"/>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2022-11-18T07:54:00Z</dcterms:created>
  <dc:creator>    信者＂</dc:creator>
  <cp:lastModifiedBy>    信者＂</cp:lastModifiedBy>
  <dcterms:modified xsi:type="dcterms:W3CDTF">2022-11-18T07:55:18Z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89B073A01760416685CE1DB464B0A623</vt:lpwstr>
  </property>
</Properties>
</file>