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10CD390">
      <w:pPr>
        <w:snapToGrid w:val="0"/>
        <w:spacing w:after="120" w:line="360" w:lineRule="auto"/>
        <w:ind w:firstLine="755" w:firstLineChars="236"/>
        <w:jc w:val="center"/>
        <w:rPr>
          <w:rFonts w:hint="eastAsia" w:ascii="黑体" w:hAnsi="黑体" w:eastAsia="黑体" w:cs="黑体"/>
          <w:color w:val="000000"/>
          <w:sz w:val="32"/>
        </w:rPr>
      </w:pPr>
      <w:r>
        <w:rPr>
          <w:rFonts w:ascii="黑体" w:hAnsi="黑体" w:eastAsia="黑体" w:cs="黑体"/>
          <w:color w:val="000000"/>
          <w:sz w:val="32"/>
        </w:rPr>
        <w:t>广州市海珠区三滘村城中村改造项目S4地块</w:t>
      </w:r>
    </w:p>
    <w:p w14:paraId="141D3E84">
      <w:pPr>
        <w:snapToGrid w:val="0"/>
        <w:spacing w:after="120" w:line="360" w:lineRule="auto"/>
        <w:ind w:firstLine="755" w:firstLineChars="236"/>
        <w:jc w:val="center"/>
      </w:pPr>
      <w:r>
        <w:rPr>
          <w:rFonts w:hint="eastAsia" w:ascii="黑体" w:hAnsi="黑体" w:eastAsia="黑体" w:cs="黑体"/>
          <w:color w:val="000000"/>
          <w:sz w:val="32"/>
        </w:rPr>
        <w:t>安置物业建设项目</w:t>
      </w:r>
      <w:r>
        <w:rPr>
          <w:rFonts w:ascii="黑体" w:hAnsi="黑体" w:eastAsia="黑体" w:cs="黑体"/>
          <w:color w:val="000000"/>
          <w:sz w:val="32"/>
        </w:rPr>
        <w:t>勘察和初步设计任务书</w:t>
      </w:r>
    </w:p>
    <w:p w14:paraId="40F40387">
      <w:pPr>
        <w:snapToGrid w:val="0"/>
        <w:spacing w:before="0" w:after="0" w:line="360" w:lineRule="auto"/>
        <w:ind w:firstLine="566" w:firstLineChars="236"/>
      </w:pPr>
      <w:r>
        <w:rPr>
          <w:rFonts w:ascii="宋体" w:hAnsi="宋体" w:eastAsia="宋体" w:cs="宋体"/>
          <w:color w:val="000000"/>
          <w:sz w:val="24"/>
        </w:rPr>
        <w:t> </w:t>
      </w:r>
    </w:p>
    <w:p w14:paraId="6C382702">
      <w:pPr>
        <w:snapToGrid w:val="0"/>
        <w:spacing w:before="0" w:after="0" w:line="360" w:lineRule="auto"/>
        <w:ind w:firstLine="566" w:firstLineChars="236"/>
      </w:pPr>
      <w:r>
        <w:rPr>
          <w:rFonts w:ascii="宋体" w:hAnsi="宋体" w:eastAsia="宋体" w:cs="宋体"/>
          <w:color w:val="000000"/>
          <w:sz w:val="24"/>
        </w:rPr>
        <w:t> </w:t>
      </w:r>
    </w:p>
    <w:p w14:paraId="413D772E">
      <w:pPr>
        <w:snapToGrid w:val="0"/>
        <w:spacing w:before="0" w:after="0" w:line="360" w:lineRule="auto"/>
        <w:ind w:firstLine="566" w:firstLineChars="236"/>
      </w:pPr>
      <w:r>
        <w:rPr>
          <w:rFonts w:ascii="宋体" w:hAnsi="宋体" w:eastAsia="宋体" w:cs="宋体"/>
          <w:color w:val="000000"/>
          <w:sz w:val="24"/>
        </w:rPr>
        <w:t> </w:t>
      </w:r>
    </w:p>
    <w:p w14:paraId="6E11F880">
      <w:pPr>
        <w:snapToGrid w:val="0"/>
        <w:spacing w:before="0" w:after="0" w:line="360" w:lineRule="auto"/>
        <w:ind w:firstLine="566" w:firstLineChars="236"/>
      </w:pPr>
      <w:r>
        <w:rPr>
          <w:rFonts w:ascii="宋体" w:hAnsi="宋体" w:eastAsia="宋体" w:cs="宋体"/>
          <w:color w:val="000000"/>
          <w:sz w:val="24"/>
        </w:rPr>
        <w:t> </w:t>
      </w:r>
    </w:p>
    <w:p w14:paraId="427729B5">
      <w:pPr>
        <w:snapToGrid w:val="0"/>
        <w:spacing w:before="0" w:after="0" w:line="360" w:lineRule="auto"/>
        <w:ind w:firstLine="566" w:firstLineChars="236"/>
      </w:pPr>
      <w:r>
        <w:rPr>
          <w:rFonts w:ascii="宋体" w:hAnsi="宋体" w:eastAsia="宋体" w:cs="宋体"/>
          <w:color w:val="000000"/>
          <w:sz w:val="24"/>
        </w:rPr>
        <w:t> </w:t>
      </w:r>
    </w:p>
    <w:p w14:paraId="7087CB1C">
      <w:pPr>
        <w:snapToGrid w:val="0"/>
        <w:spacing w:before="0" w:after="0" w:line="360" w:lineRule="auto"/>
        <w:ind w:firstLine="566" w:firstLineChars="236"/>
      </w:pPr>
      <w:r>
        <w:rPr>
          <w:rFonts w:ascii="宋体" w:hAnsi="宋体" w:eastAsia="宋体" w:cs="宋体"/>
          <w:color w:val="000000"/>
          <w:sz w:val="24"/>
        </w:rPr>
        <w:t> </w:t>
      </w:r>
    </w:p>
    <w:p w14:paraId="2487E084">
      <w:pPr>
        <w:snapToGrid w:val="0"/>
        <w:spacing w:before="0" w:after="0" w:line="360" w:lineRule="auto"/>
        <w:ind w:firstLine="566" w:firstLineChars="236"/>
      </w:pPr>
      <w:r>
        <w:rPr>
          <w:rFonts w:ascii="宋体" w:hAnsi="宋体" w:eastAsia="宋体" w:cs="宋体"/>
          <w:color w:val="000000"/>
          <w:sz w:val="24"/>
        </w:rPr>
        <w:t> </w:t>
      </w:r>
    </w:p>
    <w:p w14:paraId="0BBCFECC">
      <w:pPr>
        <w:snapToGrid w:val="0"/>
        <w:spacing w:before="0" w:after="0" w:line="360" w:lineRule="auto"/>
        <w:ind w:firstLine="566" w:firstLineChars="236"/>
      </w:pPr>
      <w:r>
        <w:rPr>
          <w:rFonts w:ascii="宋体" w:hAnsi="宋体" w:eastAsia="宋体" w:cs="宋体"/>
          <w:color w:val="000000"/>
          <w:sz w:val="24"/>
        </w:rPr>
        <w:t> </w:t>
      </w:r>
    </w:p>
    <w:p w14:paraId="6C879F97">
      <w:pPr>
        <w:snapToGrid w:val="0"/>
        <w:spacing w:before="0" w:after="0" w:line="360" w:lineRule="auto"/>
        <w:ind w:firstLine="566" w:firstLineChars="236"/>
      </w:pPr>
      <w:r>
        <w:rPr>
          <w:rFonts w:ascii="宋体" w:hAnsi="宋体" w:eastAsia="宋体" w:cs="宋体"/>
          <w:color w:val="000000"/>
          <w:sz w:val="24"/>
        </w:rPr>
        <w:t> </w:t>
      </w:r>
    </w:p>
    <w:p w14:paraId="2A0248A3">
      <w:pPr>
        <w:snapToGrid w:val="0"/>
        <w:spacing w:before="0" w:after="0" w:line="360" w:lineRule="auto"/>
        <w:ind w:firstLine="566" w:firstLineChars="236"/>
      </w:pPr>
      <w:r>
        <w:rPr>
          <w:rFonts w:ascii="宋体" w:hAnsi="宋体" w:eastAsia="宋体" w:cs="宋体"/>
          <w:color w:val="000000"/>
          <w:sz w:val="24"/>
        </w:rPr>
        <w:t> </w:t>
      </w:r>
    </w:p>
    <w:p w14:paraId="34A95488">
      <w:pPr>
        <w:snapToGrid w:val="0"/>
        <w:spacing w:before="0" w:after="0" w:line="360" w:lineRule="auto"/>
        <w:ind w:firstLine="566" w:firstLineChars="236"/>
      </w:pPr>
      <w:r>
        <w:rPr>
          <w:rFonts w:ascii="宋体" w:hAnsi="宋体" w:eastAsia="宋体" w:cs="宋体"/>
          <w:color w:val="000000"/>
          <w:sz w:val="24"/>
        </w:rPr>
        <w:t> </w:t>
      </w:r>
    </w:p>
    <w:p w14:paraId="5F1CAB8A">
      <w:pPr>
        <w:snapToGrid w:val="0"/>
        <w:spacing w:before="0" w:after="0" w:line="360" w:lineRule="auto"/>
        <w:ind w:firstLine="566" w:firstLineChars="236"/>
      </w:pPr>
      <w:r>
        <w:rPr>
          <w:rFonts w:ascii="宋体" w:hAnsi="宋体" w:eastAsia="宋体" w:cs="宋体"/>
          <w:color w:val="000000"/>
          <w:sz w:val="24"/>
        </w:rPr>
        <w:t> </w:t>
      </w:r>
    </w:p>
    <w:p w14:paraId="69EDA792">
      <w:pPr>
        <w:snapToGrid w:val="0"/>
        <w:spacing w:before="0" w:after="0" w:line="360" w:lineRule="auto"/>
        <w:ind w:firstLine="566" w:firstLineChars="236"/>
      </w:pPr>
      <w:r>
        <w:rPr>
          <w:rFonts w:ascii="宋体" w:hAnsi="宋体" w:eastAsia="宋体" w:cs="宋体"/>
          <w:color w:val="000000"/>
          <w:sz w:val="24"/>
        </w:rPr>
        <w:t> </w:t>
      </w:r>
    </w:p>
    <w:p w14:paraId="5D426F18">
      <w:pPr>
        <w:snapToGrid w:val="0"/>
        <w:spacing w:before="0" w:after="0" w:line="360" w:lineRule="auto"/>
        <w:ind w:firstLine="566" w:firstLineChars="236"/>
      </w:pPr>
      <w:r>
        <w:rPr>
          <w:rFonts w:ascii="宋体" w:hAnsi="宋体" w:eastAsia="宋体" w:cs="宋体"/>
          <w:color w:val="000000"/>
          <w:sz w:val="24"/>
        </w:rPr>
        <w:t> </w:t>
      </w:r>
    </w:p>
    <w:p w14:paraId="58ACCA80">
      <w:pPr>
        <w:snapToGrid w:val="0"/>
        <w:spacing w:before="0" w:after="0" w:line="360" w:lineRule="auto"/>
        <w:ind w:firstLine="566" w:firstLineChars="236"/>
      </w:pPr>
      <w:r>
        <w:rPr>
          <w:rFonts w:ascii="宋体" w:hAnsi="宋体" w:eastAsia="宋体" w:cs="宋体"/>
          <w:color w:val="000000"/>
          <w:sz w:val="24"/>
        </w:rPr>
        <w:t> </w:t>
      </w:r>
    </w:p>
    <w:p w14:paraId="77E18815">
      <w:pPr>
        <w:snapToGrid w:val="0"/>
        <w:spacing w:before="0" w:after="0" w:line="360" w:lineRule="auto"/>
        <w:ind w:firstLine="566" w:firstLineChars="236"/>
      </w:pPr>
      <w:r>
        <w:rPr>
          <w:rFonts w:ascii="宋体" w:hAnsi="宋体" w:eastAsia="宋体" w:cs="宋体"/>
          <w:color w:val="000000"/>
          <w:sz w:val="24"/>
        </w:rPr>
        <w:t> </w:t>
      </w:r>
    </w:p>
    <w:p w14:paraId="222E89F0">
      <w:pPr>
        <w:snapToGrid w:val="0"/>
        <w:spacing w:before="0" w:after="0" w:line="360" w:lineRule="auto"/>
        <w:ind w:firstLine="566" w:firstLineChars="236"/>
      </w:pPr>
      <w:r>
        <w:rPr>
          <w:rFonts w:ascii="宋体" w:hAnsi="宋体" w:eastAsia="宋体" w:cs="宋体"/>
          <w:color w:val="000000"/>
          <w:sz w:val="24"/>
        </w:rPr>
        <w:t> </w:t>
      </w:r>
    </w:p>
    <w:p w14:paraId="6E6E7CD9">
      <w:pPr>
        <w:snapToGrid w:val="0"/>
        <w:spacing w:before="0" w:after="0" w:line="360" w:lineRule="auto"/>
        <w:ind w:firstLine="566" w:firstLineChars="236"/>
      </w:pPr>
      <w:r>
        <w:rPr>
          <w:rFonts w:ascii="宋体" w:hAnsi="宋体" w:eastAsia="宋体" w:cs="宋体"/>
          <w:color w:val="000000"/>
          <w:sz w:val="24"/>
        </w:rPr>
        <w:t> </w:t>
      </w:r>
    </w:p>
    <w:p w14:paraId="1FB887AC">
      <w:pPr>
        <w:snapToGrid w:val="0"/>
        <w:spacing w:before="0" w:after="0" w:line="360" w:lineRule="auto"/>
        <w:jc w:val="center"/>
      </w:pPr>
      <w:r>
        <w:rPr>
          <w:rFonts w:ascii="宋体" w:hAnsi="宋体" w:eastAsia="宋体" w:cs="宋体"/>
          <w:color w:val="000000"/>
          <w:sz w:val="24"/>
        </w:rPr>
        <w:t> </w:t>
      </w:r>
    </w:p>
    <w:p w14:paraId="05398843">
      <w:pPr>
        <w:snapToGrid w:val="0"/>
        <w:spacing w:before="0" w:after="0" w:line="360" w:lineRule="auto"/>
        <w:ind w:firstLine="566" w:firstLineChars="236"/>
        <w:jc w:val="center"/>
      </w:pPr>
      <w:r>
        <w:rPr>
          <w:rFonts w:ascii="宋体" w:hAnsi="宋体" w:eastAsia="宋体" w:cs="宋体"/>
          <w:color w:val="000000"/>
          <w:sz w:val="24"/>
        </w:rPr>
        <w:t>二○二五年</w:t>
      </w:r>
      <w:r>
        <w:rPr>
          <w:rFonts w:hint="eastAsia" w:ascii="宋体" w:hAnsi="宋体" w:eastAsia="宋体" w:cs="宋体"/>
          <w:color w:val="000000"/>
          <w:sz w:val="24"/>
        </w:rPr>
        <w:t>六</w:t>
      </w:r>
      <w:r>
        <w:rPr>
          <w:rFonts w:ascii="宋体" w:hAnsi="宋体" w:eastAsia="宋体" w:cs="宋体"/>
          <w:color w:val="000000"/>
          <w:sz w:val="24"/>
        </w:rPr>
        <w:t>月</w:t>
      </w:r>
    </w:p>
    <w:p w14:paraId="0B2D1D5A">
      <w:pPr>
        <w:snapToGrid w:val="0"/>
        <w:spacing w:before="0" w:after="0" w:line="360" w:lineRule="auto"/>
        <w:ind w:firstLine="566" w:firstLineChars="236"/>
      </w:pPr>
      <w:r>
        <w:rPr>
          <w:rFonts w:ascii="宋体" w:hAnsi="宋体" w:eastAsia="宋体" w:cs="宋体"/>
          <w:color w:val="000000"/>
          <w:sz w:val="24"/>
        </w:rPr>
        <w:t> </w:t>
      </w:r>
    </w:p>
    <w:p w14:paraId="5CCBC336">
      <w:r>
        <w:t xml:space="preserve">                        </w:t>
      </w:r>
    </w:p>
    <w:p w14:paraId="100CCD54">
      <w:pPr>
        <w:snapToGrid w:val="0"/>
        <w:spacing w:before="0" w:after="0" w:line="360" w:lineRule="auto"/>
        <w:ind w:firstLine="853" w:firstLineChars="236"/>
        <w:jc w:val="center"/>
        <w:rPr>
          <w:rFonts w:hint="eastAsia" w:ascii="黑体" w:hAnsi="黑体" w:eastAsia="黑体" w:cs="黑体"/>
          <w:b/>
          <w:color w:val="000000"/>
          <w:sz w:val="36"/>
        </w:rPr>
      </w:pPr>
    </w:p>
    <w:p w14:paraId="562DD9C5">
      <w:pPr>
        <w:snapToGrid w:val="0"/>
        <w:spacing w:before="0" w:after="0" w:line="360" w:lineRule="auto"/>
        <w:ind w:firstLine="853" w:firstLineChars="236"/>
        <w:jc w:val="center"/>
        <w:rPr>
          <w:rFonts w:hint="eastAsia" w:ascii="黑体" w:hAnsi="黑体" w:eastAsia="黑体" w:cs="黑体"/>
          <w:b/>
          <w:color w:val="000000"/>
          <w:sz w:val="36"/>
        </w:rPr>
      </w:pPr>
    </w:p>
    <w:p w14:paraId="380834A2">
      <w:pPr>
        <w:snapToGrid w:val="0"/>
        <w:spacing w:before="0" w:after="0"/>
        <w:rPr>
          <w:rFonts w:hint="eastAsia" w:ascii="宋体" w:hAnsi="宋体" w:eastAsia="宋体" w:cs="宋体"/>
          <w:color w:val="auto"/>
          <w:sz w:val="28"/>
          <w:szCs w:val="28"/>
        </w:rPr>
      </w:pPr>
      <w:bookmarkStart w:id="0" w:name="_Toc176857808"/>
      <w:bookmarkEnd w:id="0"/>
    </w:p>
    <w:sdt>
      <w:sdtPr>
        <w:rPr>
          <w:rFonts w:ascii="宋体" w:hAnsi="宋体" w:eastAsia="宋体"/>
          <w:sz w:val="21"/>
        </w:rPr>
        <w:id w:val="147480468"/>
        <w15:color w:val="DBDBDB"/>
        <w:docPartObj>
          <w:docPartGallery w:val="Table of Contents"/>
          <w:docPartUnique/>
        </w:docPartObj>
      </w:sdtPr>
      <w:sdtEndPr>
        <w:rPr>
          <w:rFonts w:ascii="宋体" w:hAnsi="宋体" w:eastAsia="宋体"/>
          <w:color w:val="auto"/>
          <w:sz w:val="21"/>
        </w:rPr>
      </w:sdtEndPr>
      <w:sdtContent>
        <w:p w14:paraId="2DD7EB11">
          <w:pPr>
            <w:spacing w:before="0" w:after="0"/>
            <w:jc w:val="center"/>
            <w:rPr>
              <w:color w:val="auto"/>
            </w:rPr>
          </w:pPr>
          <w:r>
            <w:rPr>
              <w:rFonts w:ascii="黑体" w:hAnsi="黑体" w:eastAsia="黑体" w:cs="黑体"/>
              <w:b/>
              <w:color w:val="000000"/>
              <w:sz w:val="36"/>
            </w:rPr>
            <w:t>目录</w:t>
          </w:r>
        </w:p>
        <w:p w14:paraId="4F61B834">
          <w:pPr>
            <w:pStyle w:val="15"/>
            <w:tabs>
              <w:tab w:val="right" w:leader="dot" w:pos="8312"/>
            </w:tabs>
            <w:rPr>
              <w:color w:val="auto"/>
            </w:rPr>
          </w:pPr>
          <w:r>
            <w:rPr>
              <w:color w:val="auto"/>
            </w:rPr>
            <w:fldChar w:fldCharType="begin"/>
          </w:r>
          <w:r>
            <w:rPr>
              <w:color w:val="auto"/>
            </w:rPr>
            <w:instrText xml:space="preserve">TOC \o "1-2" \h \u </w:instrText>
          </w:r>
          <w:r>
            <w:rPr>
              <w:color w:val="auto"/>
            </w:rPr>
            <w:fldChar w:fldCharType="separate"/>
          </w:r>
          <w:r>
            <w:fldChar w:fldCharType="begin"/>
          </w:r>
          <w:r>
            <w:instrText xml:space="preserve"> HYPERLINK \l "_Toc28031" </w:instrText>
          </w:r>
          <w:r>
            <w:fldChar w:fldCharType="separate"/>
          </w:r>
          <w:r>
            <w:rPr>
              <w:rFonts w:ascii="宋体" w:hAnsi="宋体" w:eastAsia="宋体" w:cs="宋体"/>
              <w:color w:val="auto"/>
            </w:rPr>
            <w:t>第1章项目概况</w:t>
          </w:r>
          <w:r>
            <w:rPr>
              <w:color w:val="auto"/>
            </w:rPr>
            <w:tab/>
          </w:r>
          <w:r>
            <w:rPr>
              <w:color w:val="auto"/>
            </w:rPr>
            <w:fldChar w:fldCharType="begin"/>
          </w:r>
          <w:r>
            <w:rPr>
              <w:color w:val="auto"/>
            </w:rPr>
            <w:instrText xml:space="preserve"> PAGEREF _Toc28031 \h </w:instrText>
          </w:r>
          <w:r>
            <w:rPr>
              <w:color w:val="auto"/>
            </w:rPr>
            <w:fldChar w:fldCharType="separate"/>
          </w:r>
          <w:r>
            <w:rPr>
              <w:color w:val="auto"/>
            </w:rPr>
            <w:t>4</w:t>
          </w:r>
          <w:r>
            <w:rPr>
              <w:color w:val="auto"/>
            </w:rPr>
            <w:fldChar w:fldCharType="end"/>
          </w:r>
          <w:r>
            <w:rPr>
              <w:color w:val="auto"/>
            </w:rPr>
            <w:fldChar w:fldCharType="end"/>
          </w:r>
        </w:p>
        <w:p w14:paraId="72E4723D">
          <w:pPr>
            <w:pStyle w:val="15"/>
            <w:tabs>
              <w:tab w:val="right" w:leader="dot" w:pos="8312"/>
            </w:tabs>
            <w:rPr>
              <w:color w:val="auto"/>
            </w:rPr>
          </w:pPr>
          <w:r>
            <w:fldChar w:fldCharType="begin"/>
          </w:r>
          <w:r>
            <w:instrText xml:space="preserve"> HYPERLINK \l "_Toc10308" </w:instrText>
          </w:r>
          <w:r>
            <w:fldChar w:fldCharType="separate"/>
          </w:r>
          <w:r>
            <w:rPr>
              <w:rFonts w:ascii="宋体" w:hAnsi="宋体" w:eastAsia="宋体" w:cs="宋体"/>
              <w:color w:val="auto"/>
            </w:rPr>
            <w:t>1.1项目基本信息</w:t>
          </w:r>
          <w:r>
            <w:rPr>
              <w:color w:val="auto"/>
            </w:rPr>
            <w:tab/>
          </w:r>
          <w:r>
            <w:rPr>
              <w:color w:val="auto"/>
            </w:rPr>
            <w:fldChar w:fldCharType="begin"/>
          </w:r>
          <w:r>
            <w:rPr>
              <w:color w:val="auto"/>
            </w:rPr>
            <w:instrText xml:space="preserve"> PAGEREF _Toc10308 \h </w:instrText>
          </w:r>
          <w:r>
            <w:rPr>
              <w:color w:val="auto"/>
            </w:rPr>
            <w:fldChar w:fldCharType="separate"/>
          </w:r>
          <w:r>
            <w:rPr>
              <w:color w:val="auto"/>
            </w:rPr>
            <w:t>4</w:t>
          </w:r>
          <w:r>
            <w:rPr>
              <w:color w:val="auto"/>
            </w:rPr>
            <w:fldChar w:fldCharType="end"/>
          </w:r>
          <w:r>
            <w:rPr>
              <w:color w:val="auto"/>
            </w:rPr>
            <w:fldChar w:fldCharType="end"/>
          </w:r>
        </w:p>
        <w:p w14:paraId="40FF75B6">
          <w:pPr>
            <w:pStyle w:val="17"/>
            <w:tabs>
              <w:tab w:val="right" w:leader="dot" w:pos="8312"/>
            </w:tabs>
            <w:ind w:left="440"/>
            <w:rPr>
              <w:color w:val="auto"/>
            </w:rPr>
          </w:pPr>
          <w:r>
            <w:fldChar w:fldCharType="begin"/>
          </w:r>
          <w:r>
            <w:instrText xml:space="preserve"> HYPERLINK \l "_Toc28090" </w:instrText>
          </w:r>
          <w:r>
            <w:fldChar w:fldCharType="separate"/>
          </w:r>
          <w:r>
            <w:rPr>
              <w:rFonts w:ascii="宋体" w:hAnsi="宋体" w:eastAsia="宋体" w:cs="宋体"/>
              <w:color w:val="auto"/>
            </w:rPr>
            <w:t>1.1.1项目名称</w:t>
          </w:r>
          <w:r>
            <w:rPr>
              <w:color w:val="auto"/>
            </w:rPr>
            <w:tab/>
          </w:r>
          <w:r>
            <w:rPr>
              <w:color w:val="auto"/>
            </w:rPr>
            <w:fldChar w:fldCharType="begin"/>
          </w:r>
          <w:r>
            <w:rPr>
              <w:color w:val="auto"/>
            </w:rPr>
            <w:instrText xml:space="preserve"> PAGEREF _Toc28090 \h </w:instrText>
          </w:r>
          <w:r>
            <w:rPr>
              <w:color w:val="auto"/>
            </w:rPr>
            <w:fldChar w:fldCharType="separate"/>
          </w:r>
          <w:r>
            <w:rPr>
              <w:color w:val="auto"/>
            </w:rPr>
            <w:t>4</w:t>
          </w:r>
          <w:r>
            <w:rPr>
              <w:color w:val="auto"/>
            </w:rPr>
            <w:fldChar w:fldCharType="end"/>
          </w:r>
          <w:r>
            <w:rPr>
              <w:color w:val="auto"/>
            </w:rPr>
            <w:fldChar w:fldCharType="end"/>
          </w:r>
        </w:p>
        <w:p w14:paraId="2353A228">
          <w:pPr>
            <w:pStyle w:val="17"/>
            <w:tabs>
              <w:tab w:val="right" w:leader="dot" w:pos="8312"/>
            </w:tabs>
            <w:ind w:left="440"/>
            <w:rPr>
              <w:color w:val="auto"/>
            </w:rPr>
          </w:pPr>
          <w:r>
            <w:fldChar w:fldCharType="begin"/>
          </w:r>
          <w:r>
            <w:instrText xml:space="preserve"> HYPERLINK \l "_Toc16180" </w:instrText>
          </w:r>
          <w:r>
            <w:fldChar w:fldCharType="separate"/>
          </w:r>
          <w:r>
            <w:rPr>
              <w:rFonts w:ascii="宋体" w:hAnsi="宋体" w:eastAsia="宋体" w:cs="宋体"/>
              <w:color w:val="auto"/>
            </w:rPr>
            <w:t>1.1.2项目位置</w:t>
          </w:r>
          <w:r>
            <w:rPr>
              <w:color w:val="auto"/>
            </w:rPr>
            <w:tab/>
          </w:r>
          <w:r>
            <w:rPr>
              <w:color w:val="auto"/>
            </w:rPr>
            <w:fldChar w:fldCharType="begin"/>
          </w:r>
          <w:r>
            <w:rPr>
              <w:color w:val="auto"/>
            </w:rPr>
            <w:instrText xml:space="preserve"> PAGEREF _Toc16180 \h </w:instrText>
          </w:r>
          <w:r>
            <w:rPr>
              <w:color w:val="auto"/>
            </w:rPr>
            <w:fldChar w:fldCharType="separate"/>
          </w:r>
          <w:r>
            <w:rPr>
              <w:color w:val="auto"/>
            </w:rPr>
            <w:t>4</w:t>
          </w:r>
          <w:r>
            <w:rPr>
              <w:color w:val="auto"/>
            </w:rPr>
            <w:fldChar w:fldCharType="end"/>
          </w:r>
          <w:r>
            <w:rPr>
              <w:color w:val="auto"/>
            </w:rPr>
            <w:fldChar w:fldCharType="end"/>
          </w:r>
        </w:p>
        <w:p w14:paraId="5A80A69B">
          <w:pPr>
            <w:pStyle w:val="17"/>
            <w:tabs>
              <w:tab w:val="right" w:leader="dot" w:pos="8312"/>
            </w:tabs>
            <w:ind w:left="440"/>
            <w:rPr>
              <w:color w:val="auto"/>
            </w:rPr>
          </w:pPr>
          <w:r>
            <w:fldChar w:fldCharType="begin"/>
          </w:r>
          <w:r>
            <w:instrText xml:space="preserve"> HYPERLINK \l "_Toc7077" </w:instrText>
          </w:r>
          <w:r>
            <w:fldChar w:fldCharType="separate"/>
          </w:r>
          <w:r>
            <w:rPr>
              <w:rFonts w:ascii="宋体" w:hAnsi="宋体" w:eastAsia="宋体" w:cs="宋体"/>
              <w:color w:val="auto"/>
            </w:rPr>
            <w:t>1.1.3项目建设单位</w:t>
          </w:r>
          <w:r>
            <w:rPr>
              <w:color w:val="auto"/>
            </w:rPr>
            <w:tab/>
          </w:r>
          <w:r>
            <w:rPr>
              <w:color w:val="auto"/>
            </w:rPr>
            <w:fldChar w:fldCharType="begin"/>
          </w:r>
          <w:r>
            <w:rPr>
              <w:color w:val="auto"/>
            </w:rPr>
            <w:instrText xml:space="preserve"> PAGEREF _Toc7077 \h </w:instrText>
          </w:r>
          <w:r>
            <w:rPr>
              <w:color w:val="auto"/>
            </w:rPr>
            <w:fldChar w:fldCharType="separate"/>
          </w:r>
          <w:r>
            <w:rPr>
              <w:color w:val="auto"/>
            </w:rPr>
            <w:t>4</w:t>
          </w:r>
          <w:r>
            <w:rPr>
              <w:color w:val="auto"/>
            </w:rPr>
            <w:fldChar w:fldCharType="end"/>
          </w:r>
          <w:r>
            <w:rPr>
              <w:color w:val="auto"/>
            </w:rPr>
            <w:fldChar w:fldCharType="end"/>
          </w:r>
        </w:p>
        <w:p w14:paraId="14846C7E">
          <w:pPr>
            <w:pStyle w:val="17"/>
            <w:tabs>
              <w:tab w:val="right" w:leader="dot" w:pos="8312"/>
            </w:tabs>
            <w:ind w:left="440"/>
            <w:rPr>
              <w:color w:val="auto"/>
            </w:rPr>
          </w:pPr>
          <w:r>
            <w:fldChar w:fldCharType="begin"/>
          </w:r>
          <w:r>
            <w:instrText xml:space="preserve"> HYPERLINK \l "_Toc12387" </w:instrText>
          </w:r>
          <w:r>
            <w:fldChar w:fldCharType="separate"/>
          </w:r>
          <w:r>
            <w:rPr>
              <w:rFonts w:ascii="宋体" w:hAnsi="宋体" w:eastAsia="宋体" w:cs="宋体"/>
              <w:color w:val="auto"/>
            </w:rPr>
            <w:t>1.1.4项目建设管理单位</w:t>
          </w:r>
          <w:r>
            <w:rPr>
              <w:color w:val="auto"/>
            </w:rPr>
            <w:tab/>
          </w:r>
          <w:r>
            <w:rPr>
              <w:color w:val="auto"/>
            </w:rPr>
            <w:fldChar w:fldCharType="begin"/>
          </w:r>
          <w:r>
            <w:rPr>
              <w:color w:val="auto"/>
            </w:rPr>
            <w:instrText xml:space="preserve"> PAGEREF _Toc12387 \h </w:instrText>
          </w:r>
          <w:r>
            <w:rPr>
              <w:color w:val="auto"/>
            </w:rPr>
            <w:fldChar w:fldCharType="separate"/>
          </w:r>
          <w:r>
            <w:rPr>
              <w:color w:val="auto"/>
            </w:rPr>
            <w:t>4</w:t>
          </w:r>
          <w:r>
            <w:rPr>
              <w:color w:val="auto"/>
            </w:rPr>
            <w:fldChar w:fldCharType="end"/>
          </w:r>
          <w:r>
            <w:rPr>
              <w:color w:val="auto"/>
            </w:rPr>
            <w:fldChar w:fldCharType="end"/>
          </w:r>
        </w:p>
        <w:p w14:paraId="3742CBA1">
          <w:pPr>
            <w:pStyle w:val="17"/>
            <w:tabs>
              <w:tab w:val="right" w:leader="dot" w:pos="8312"/>
            </w:tabs>
            <w:ind w:left="440"/>
            <w:rPr>
              <w:color w:val="auto"/>
            </w:rPr>
          </w:pPr>
          <w:r>
            <w:fldChar w:fldCharType="begin"/>
          </w:r>
          <w:r>
            <w:instrText xml:space="preserve"> HYPERLINK \l "_Toc24038" </w:instrText>
          </w:r>
          <w:r>
            <w:fldChar w:fldCharType="separate"/>
          </w:r>
          <w:r>
            <w:rPr>
              <w:rFonts w:ascii="宋体" w:hAnsi="宋体" w:eastAsia="宋体" w:cs="宋体"/>
              <w:color w:val="auto"/>
            </w:rPr>
            <w:t>1.1.5项目背景</w:t>
          </w:r>
          <w:r>
            <w:rPr>
              <w:color w:val="auto"/>
            </w:rPr>
            <w:tab/>
          </w:r>
          <w:r>
            <w:rPr>
              <w:color w:val="auto"/>
            </w:rPr>
            <w:fldChar w:fldCharType="begin"/>
          </w:r>
          <w:r>
            <w:rPr>
              <w:color w:val="auto"/>
            </w:rPr>
            <w:instrText xml:space="preserve"> PAGEREF _Toc24038 \h </w:instrText>
          </w:r>
          <w:r>
            <w:rPr>
              <w:color w:val="auto"/>
            </w:rPr>
            <w:fldChar w:fldCharType="separate"/>
          </w:r>
          <w:r>
            <w:rPr>
              <w:color w:val="auto"/>
            </w:rPr>
            <w:t>4</w:t>
          </w:r>
          <w:r>
            <w:rPr>
              <w:color w:val="auto"/>
            </w:rPr>
            <w:fldChar w:fldCharType="end"/>
          </w:r>
          <w:r>
            <w:rPr>
              <w:color w:val="auto"/>
            </w:rPr>
            <w:fldChar w:fldCharType="end"/>
          </w:r>
        </w:p>
        <w:p w14:paraId="188ABFA0">
          <w:pPr>
            <w:pStyle w:val="17"/>
            <w:tabs>
              <w:tab w:val="right" w:leader="dot" w:pos="8312"/>
            </w:tabs>
            <w:ind w:left="440"/>
            <w:rPr>
              <w:color w:val="auto"/>
            </w:rPr>
          </w:pPr>
          <w:r>
            <w:fldChar w:fldCharType="begin"/>
          </w:r>
          <w:r>
            <w:instrText xml:space="preserve"> HYPERLINK \l "_Toc5212" </w:instrText>
          </w:r>
          <w:r>
            <w:fldChar w:fldCharType="separate"/>
          </w:r>
          <w:r>
            <w:rPr>
              <w:rFonts w:ascii="宋体" w:hAnsi="宋体" w:eastAsia="宋体" w:cs="宋体"/>
              <w:color w:val="auto"/>
            </w:rPr>
            <w:t>1.1.6项目建设规模</w:t>
          </w:r>
          <w:r>
            <w:rPr>
              <w:color w:val="auto"/>
            </w:rPr>
            <w:tab/>
          </w:r>
          <w:r>
            <w:rPr>
              <w:color w:val="auto"/>
            </w:rPr>
            <w:fldChar w:fldCharType="begin"/>
          </w:r>
          <w:r>
            <w:rPr>
              <w:color w:val="auto"/>
            </w:rPr>
            <w:instrText xml:space="preserve"> PAGEREF _Toc5212 \h </w:instrText>
          </w:r>
          <w:r>
            <w:rPr>
              <w:color w:val="auto"/>
            </w:rPr>
            <w:fldChar w:fldCharType="separate"/>
          </w:r>
          <w:r>
            <w:rPr>
              <w:color w:val="auto"/>
            </w:rPr>
            <w:t>5</w:t>
          </w:r>
          <w:r>
            <w:rPr>
              <w:color w:val="auto"/>
            </w:rPr>
            <w:fldChar w:fldCharType="end"/>
          </w:r>
          <w:r>
            <w:rPr>
              <w:color w:val="auto"/>
            </w:rPr>
            <w:fldChar w:fldCharType="end"/>
          </w:r>
        </w:p>
        <w:p w14:paraId="1DE61254">
          <w:pPr>
            <w:pStyle w:val="17"/>
            <w:tabs>
              <w:tab w:val="right" w:leader="dot" w:pos="8312"/>
            </w:tabs>
            <w:ind w:left="440"/>
            <w:rPr>
              <w:color w:val="auto"/>
            </w:rPr>
          </w:pPr>
          <w:r>
            <w:fldChar w:fldCharType="begin"/>
          </w:r>
          <w:r>
            <w:instrText xml:space="preserve"> HYPERLINK \l "_Toc28011" </w:instrText>
          </w:r>
          <w:r>
            <w:fldChar w:fldCharType="separate"/>
          </w:r>
          <w:r>
            <w:rPr>
              <w:rFonts w:ascii="宋体" w:hAnsi="宋体" w:eastAsia="宋体" w:cs="宋体"/>
              <w:color w:val="auto"/>
            </w:rPr>
            <w:t>1.1.7项目建设依据</w:t>
          </w:r>
          <w:r>
            <w:rPr>
              <w:color w:val="auto"/>
            </w:rPr>
            <w:tab/>
          </w:r>
          <w:r>
            <w:rPr>
              <w:color w:val="auto"/>
            </w:rPr>
            <w:fldChar w:fldCharType="begin"/>
          </w:r>
          <w:r>
            <w:rPr>
              <w:color w:val="auto"/>
            </w:rPr>
            <w:instrText xml:space="preserve"> PAGEREF _Toc28011 \h </w:instrText>
          </w:r>
          <w:r>
            <w:rPr>
              <w:color w:val="auto"/>
            </w:rPr>
            <w:fldChar w:fldCharType="separate"/>
          </w:r>
          <w:r>
            <w:rPr>
              <w:color w:val="auto"/>
            </w:rPr>
            <w:t>6</w:t>
          </w:r>
          <w:r>
            <w:rPr>
              <w:color w:val="auto"/>
            </w:rPr>
            <w:fldChar w:fldCharType="end"/>
          </w:r>
          <w:r>
            <w:rPr>
              <w:color w:val="auto"/>
            </w:rPr>
            <w:fldChar w:fldCharType="end"/>
          </w:r>
        </w:p>
        <w:p w14:paraId="1E59D2A5">
          <w:pPr>
            <w:pStyle w:val="15"/>
            <w:tabs>
              <w:tab w:val="right" w:leader="dot" w:pos="8312"/>
            </w:tabs>
            <w:rPr>
              <w:color w:val="auto"/>
            </w:rPr>
          </w:pPr>
          <w:r>
            <w:fldChar w:fldCharType="begin"/>
          </w:r>
          <w:r>
            <w:instrText xml:space="preserve"> HYPERLINK \l "_Toc155" </w:instrText>
          </w:r>
          <w:r>
            <w:fldChar w:fldCharType="separate"/>
          </w:r>
          <w:r>
            <w:rPr>
              <w:rFonts w:ascii="宋体" w:hAnsi="宋体" w:eastAsia="宋体" w:cs="宋体"/>
              <w:color w:val="auto"/>
            </w:rPr>
            <w:t>1.2项目建设范围及勘察设计范围</w:t>
          </w:r>
          <w:r>
            <w:rPr>
              <w:color w:val="auto"/>
            </w:rPr>
            <w:tab/>
          </w:r>
          <w:r>
            <w:rPr>
              <w:color w:val="auto"/>
            </w:rPr>
            <w:fldChar w:fldCharType="begin"/>
          </w:r>
          <w:r>
            <w:rPr>
              <w:color w:val="auto"/>
            </w:rPr>
            <w:instrText xml:space="preserve"> PAGEREF _Toc155 \h </w:instrText>
          </w:r>
          <w:r>
            <w:rPr>
              <w:color w:val="auto"/>
            </w:rPr>
            <w:fldChar w:fldCharType="separate"/>
          </w:r>
          <w:r>
            <w:rPr>
              <w:color w:val="auto"/>
            </w:rPr>
            <w:t>6</w:t>
          </w:r>
          <w:r>
            <w:rPr>
              <w:color w:val="auto"/>
            </w:rPr>
            <w:fldChar w:fldCharType="end"/>
          </w:r>
          <w:r>
            <w:rPr>
              <w:color w:val="auto"/>
            </w:rPr>
            <w:fldChar w:fldCharType="end"/>
          </w:r>
        </w:p>
        <w:p w14:paraId="76F2CB45">
          <w:pPr>
            <w:pStyle w:val="17"/>
            <w:tabs>
              <w:tab w:val="right" w:leader="dot" w:pos="8312"/>
            </w:tabs>
            <w:ind w:left="440"/>
            <w:rPr>
              <w:color w:val="auto"/>
            </w:rPr>
          </w:pPr>
          <w:r>
            <w:fldChar w:fldCharType="begin"/>
          </w:r>
          <w:r>
            <w:instrText xml:space="preserve"> HYPERLINK \l "_Toc28900" </w:instrText>
          </w:r>
          <w:r>
            <w:fldChar w:fldCharType="separate"/>
          </w:r>
          <w:r>
            <w:rPr>
              <w:rFonts w:ascii="宋体" w:hAnsi="宋体" w:eastAsia="宋体" w:cs="宋体"/>
              <w:color w:val="auto"/>
            </w:rPr>
            <w:t>1.2.1项目建设范围</w:t>
          </w:r>
          <w:r>
            <w:rPr>
              <w:color w:val="auto"/>
            </w:rPr>
            <w:tab/>
          </w:r>
          <w:r>
            <w:rPr>
              <w:color w:val="auto"/>
            </w:rPr>
            <w:fldChar w:fldCharType="begin"/>
          </w:r>
          <w:r>
            <w:rPr>
              <w:color w:val="auto"/>
            </w:rPr>
            <w:instrText xml:space="preserve"> PAGEREF _Toc28900 \h </w:instrText>
          </w:r>
          <w:r>
            <w:rPr>
              <w:color w:val="auto"/>
            </w:rPr>
            <w:fldChar w:fldCharType="separate"/>
          </w:r>
          <w:r>
            <w:rPr>
              <w:color w:val="auto"/>
            </w:rPr>
            <w:t>6</w:t>
          </w:r>
          <w:r>
            <w:rPr>
              <w:color w:val="auto"/>
            </w:rPr>
            <w:fldChar w:fldCharType="end"/>
          </w:r>
          <w:r>
            <w:rPr>
              <w:color w:val="auto"/>
            </w:rPr>
            <w:fldChar w:fldCharType="end"/>
          </w:r>
        </w:p>
        <w:p w14:paraId="5B6D1345">
          <w:pPr>
            <w:pStyle w:val="17"/>
            <w:tabs>
              <w:tab w:val="right" w:leader="dot" w:pos="8312"/>
            </w:tabs>
            <w:ind w:left="440"/>
            <w:rPr>
              <w:color w:val="auto"/>
            </w:rPr>
          </w:pPr>
          <w:r>
            <w:fldChar w:fldCharType="begin"/>
          </w:r>
          <w:r>
            <w:instrText xml:space="preserve"> HYPERLINK \l "_Toc21419" </w:instrText>
          </w:r>
          <w:r>
            <w:fldChar w:fldCharType="separate"/>
          </w:r>
          <w:r>
            <w:rPr>
              <w:rFonts w:ascii="宋体" w:hAnsi="宋体" w:eastAsia="宋体" w:cs="宋体"/>
              <w:color w:val="auto"/>
            </w:rPr>
            <w:t>1.2.2项目勘察设计范围</w:t>
          </w:r>
          <w:r>
            <w:rPr>
              <w:color w:val="auto"/>
            </w:rPr>
            <w:tab/>
          </w:r>
          <w:r>
            <w:rPr>
              <w:color w:val="auto"/>
            </w:rPr>
            <w:fldChar w:fldCharType="begin"/>
          </w:r>
          <w:r>
            <w:rPr>
              <w:color w:val="auto"/>
            </w:rPr>
            <w:instrText xml:space="preserve"> PAGEREF _Toc21419 \h </w:instrText>
          </w:r>
          <w:r>
            <w:rPr>
              <w:color w:val="auto"/>
            </w:rPr>
            <w:fldChar w:fldCharType="separate"/>
          </w:r>
          <w:r>
            <w:rPr>
              <w:color w:val="auto"/>
            </w:rPr>
            <w:t>7</w:t>
          </w:r>
          <w:r>
            <w:rPr>
              <w:color w:val="auto"/>
            </w:rPr>
            <w:fldChar w:fldCharType="end"/>
          </w:r>
          <w:r>
            <w:rPr>
              <w:color w:val="auto"/>
            </w:rPr>
            <w:fldChar w:fldCharType="end"/>
          </w:r>
        </w:p>
        <w:p w14:paraId="02892BFE">
          <w:pPr>
            <w:pStyle w:val="15"/>
            <w:tabs>
              <w:tab w:val="right" w:leader="dot" w:pos="8312"/>
            </w:tabs>
            <w:rPr>
              <w:color w:val="auto"/>
            </w:rPr>
          </w:pPr>
          <w:r>
            <w:fldChar w:fldCharType="begin"/>
          </w:r>
          <w:r>
            <w:instrText xml:space="preserve"> HYPERLINK \l "_Toc15588" </w:instrText>
          </w:r>
          <w:r>
            <w:fldChar w:fldCharType="separate"/>
          </w:r>
          <w:r>
            <w:rPr>
              <w:rFonts w:ascii="宋体" w:hAnsi="宋体" w:eastAsia="宋体" w:cs="宋体"/>
              <w:color w:val="auto"/>
            </w:rPr>
            <w:t>1.3建设用地现状情况</w:t>
          </w:r>
          <w:r>
            <w:rPr>
              <w:color w:val="auto"/>
            </w:rPr>
            <w:tab/>
          </w:r>
          <w:r>
            <w:rPr>
              <w:color w:val="auto"/>
            </w:rPr>
            <w:fldChar w:fldCharType="begin"/>
          </w:r>
          <w:r>
            <w:rPr>
              <w:color w:val="auto"/>
            </w:rPr>
            <w:instrText xml:space="preserve"> PAGEREF _Toc15588 \h </w:instrText>
          </w:r>
          <w:r>
            <w:rPr>
              <w:color w:val="auto"/>
            </w:rPr>
            <w:fldChar w:fldCharType="separate"/>
          </w:r>
          <w:r>
            <w:rPr>
              <w:color w:val="auto"/>
            </w:rPr>
            <w:t>7</w:t>
          </w:r>
          <w:r>
            <w:rPr>
              <w:color w:val="auto"/>
            </w:rPr>
            <w:fldChar w:fldCharType="end"/>
          </w:r>
          <w:r>
            <w:rPr>
              <w:color w:val="auto"/>
            </w:rPr>
            <w:fldChar w:fldCharType="end"/>
          </w:r>
        </w:p>
        <w:p w14:paraId="63694E4B">
          <w:pPr>
            <w:pStyle w:val="17"/>
            <w:tabs>
              <w:tab w:val="right" w:leader="dot" w:pos="8312"/>
            </w:tabs>
            <w:ind w:left="440"/>
            <w:rPr>
              <w:color w:val="auto"/>
            </w:rPr>
          </w:pPr>
          <w:r>
            <w:fldChar w:fldCharType="begin"/>
          </w:r>
          <w:r>
            <w:instrText xml:space="preserve"> HYPERLINK \l "_Toc1853" </w:instrText>
          </w:r>
          <w:r>
            <w:fldChar w:fldCharType="separate"/>
          </w:r>
          <w:r>
            <w:rPr>
              <w:rFonts w:ascii="宋体" w:hAnsi="宋体" w:eastAsia="宋体" w:cs="宋体"/>
              <w:color w:val="auto"/>
            </w:rPr>
            <w:t>1.3.1场地条件</w:t>
          </w:r>
          <w:r>
            <w:rPr>
              <w:color w:val="auto"/>
            </w:rPr>
            <w:tab/>
          </w:r>
          <w:r>
            <w:rPr>
              <w:color w:val="auto"/>
            </w:rPr>
            <w:fldChar w:fldCharType="begin"/>
          </w:r>
          <w:r>
            <w:rPr>
              <w:color w:val="auto"/>
            </w:rPr>
            <w:instrText xml:space="preserve"> PAGEREF _Toc1853 \h </w:instrText>
          </w:r>
          <w:r>
            <w:rPr>
              <w:color w:val="auto"/>
            </w:rPr>
            <w:fldChar w:fldCharType="separate"/>
          </w:r>
          <w:r>
            <w:rPr>
              <w:color w:val="auto"/>
            </w:rPr>
            <w:t>7</w:t>
          </w:r>
          <w:r>
            <w:rPr>
              <w:color w:val="auto"/>
            </w:rPr>
            <w:fldChar w:fldCharType="end"/>
          </w:r>
          <w:r>
            <w:rPr>
              <w:color w:val="auto"/>
            </w:rPr>
            <w:fldChar w:fldCharType="end"/>
          </w:r>
        </w:p>
        <w:p w14:paraId="59ED74BB">
          <w:pPr>
            <w:pStyle w:val="17"/>
            <w:tabs>
              <w:tab w:val="right" w:leader="dot" w:pos="8312"/>
            </w:tabs>
            <w:ind w:left="440"/>
            <w:rPr>
              <w:color w:val="auto"/>
            </w:rPr>
          </w:pPr>
          <w:r>
            <w:fldChar w:fldCharType="begin"/>
          </w:r>
          <w:r>
            <w:instrText xml:space="preserve"> HYPERLINK \l "_Toc9753" </w:instrText>
          </w:r>
          <w:r>
            <w:fldChar w:fldCharType="separate"/>
          </w:r>
          <w:r>
            <w:rPr>
              <w:rFonts w:ascii="宋体" w:hAnsi="宋体" w:eastAsia="宋体" w:cs="宋体"/>
              <w:color w:val="auto"/>
            </w:rPr>
            <w:t>1.3.2气候条件</w:t>
          </w:r>
          <w:r>
            <w:rPr>
              <w:color w:val="auto"/>
            </w:rPr>
            <w:tab/>
          </w:r>
          <w:r>
            <w:rPr>
              <w:color w:val="auto"/>
            </w:rPr>
            <w:fldChar w:fldCharType="begin"/>
          </w:r>
          <w:r>
            <w:rPr>
              <w:color w:val="auto"/>
            </w:rPr>
            <w:instrText xml:space="preserve"> PAGEREF _Toc9753 \h </w:instrText>
          </w:r>
          <w:r>
            <w:rPr>
              <w:color w:val="auto"/>
            </w:rPr>
            <w:fldChar w:fldCharType="separate"/>
          </w:r>
          <w:r>
            <w:rPr>
              <w:color w:val="auto"/>
            </w:rPr>
            <w:t>7</w:t>
          </w:r>
          <w:r>
            <w:rPr>
              <w:color w:val="auto"/>
            </w:rPr>
            <w:fldChar w:fldCharType="end"/>
          </w:r>
          <w:r>
            <w:rPr>
              <w:color w:val="auto"/>
            </w:rPr>
            <w:fldChar w:fldCharType="end"/>
          </w:r>
        </w:p>
        <w:p w14:paraId="05A4007B">
          <w:pPr>
            <w:pStyle w:val="17"/>
            <w:tabs>
              <w:tab w:val="right" w:leader="dot" w:pos="8312"/>
            </w:tabs>
            <w:ind w:left="440"/>
            <w:rPr>
              <w:color w:val="auto"/>
            </w:rPr>
          </w:pPr>
          <w:r>
            <w:fldChar w:fldCharType="begin"/>
          </w:r>
          <w:r>
            <w:instrText xml:space="preserve"> HYPERLINK \l "_Toc24578" </w:instrText>
          </w:r>
          <w:r>
            <w:fldChar w:fldCharType="separate"/>
          </w:r>
          <w:r>
            <w:rPr>
              <w:rFonts w:ascii="宋体" w:hAnsi="宋体" w:eastAsia="宋体" w:cs="宋体"/>
              <w:color w:val="auto"/>
            </w:rPr>
            <w:t>1.3.3地质条件</w:t>
          </w:r>
          <w:r>
            <w:rPr>
              <w:color w:val="auto"/>
            </w:rPr>
            <w:tab/>
          </w:r>
          <w:r>
            <w:rPr>
              <w:color w:val="auto"/>
            </w:rPr>
            <w:fldChar w:fldCharType="begin"/>
          </w:r>
          <w:r>
            <w:rPr>
              <w:color w:val="auto"/>
            </w:rPr>
            <w:instrText xml:space="preserve"> PAGEREF _Toc24578 \h </w:instrText>
          </w:r>
          <w:r>
            <w:rPr>
              <w:color w:val="auto"/>
            </w:rPr>
            <w:fldChar w:fldCharType="separate"/>
          </w:r>
          <w:r>
            <w:rPr>
              <w:color w:val="auto"/>
            </w:rPr>
            <w:t>8</w:t>
          </w:r>
          <w:r>
            <w:rPr>
              <w:color w:val="auto"/>
            </w:rPr>
            <w:fldChar w:fldCharType="end"/>
          </w:r>
          <w:r>
            <w:rPr>
              <w:color w:val="auto"/>
            </w:rPr>
            <w:fldChar w:fldCharType="end"/>
          </w:r>
        </w:p>
        <w:p w14:paraId="7FB31A4A">
          <w:pPr>
            <w:pStyle w:val="17"/>
            <w:tabs>
              <w:tab w:val="right" w:leader="dot" w:pos="8312"/>
            </w:tabs>
            <w:ind w:left="440"/>
            <w:rPr>
              <w:color w:val="auto"/>
            </w:rPr>
          </w:pPr>
          <w:r>
            <w:fldChar w:fldCharType="begin"/>
          </w:r>
          <w:r>
            <w:instrText xml:space="preserve"> HYPERLINK \l "_Toc32318" </w:instrText>
          </w:r>
          <w:r>
            <w:fldChar w:fldCharType="separate"/>
          </w:r>
          <w:r>
            <w:rPr>
              <w:rFonts w:ascii="宋体" w:hAnsi="宋体" w:eastAsia="宋体" w:cs="宋体"/>
              <w:color w:val="auto"/>
            </w:rPr>
            <w:t>1.3.4市政条件</w:t>
          </w:r>
          <w:r>
            <w:rPr>
              <w:color w:val="auto"/>
            </w:rPr>
            <w:tab/>
          </w:r>
          <w:r>
            <w:rPr>
              <w:color w:val="auto"/>
            </w:rPr>
            <w:fldChar w:fldCharType="begin"/>
          </w:r>
          <w:r>
            <w:rPr>
              <w:color w:val="auto"/>
            </w:rPr>
            <w:instrText xml:space="preserve"> PAGEREF _Toc32318 \h </w:instrText>
          </w:r>
          <w:r>
            <w:rPr>
              <w:color w:val="auto"/>
            </w:rPr>
            <w:fldChar w:fldCharType="separate"/>
          </w:r>
          <w:r>
            <w:rPr>
              <w:color w:val="auto"/>
            </w:rPr>
            <w:t>8</w:t>
          </w:r>
          <w:r>
            <w:rPr>
              <w:color w:val="auto"/>
            </w:rPr>
            <w:fldChar w:fldCharType="end"/>
          </w:r>
          <w:r>
            <w:rPr>
              <w:color w:val="auto"/>
            </w:rPr>
            <w:fldChar w:fldCharType="end"/>
          </w:r>
        </w:p>
        <w:p w14:paraId="15047E26">
          <w:pPr>
            <w:pStyle w:val="15"/>
            <w:tabs>
              <w:tab w:val="right" w:leader="dot" w:pos="8312"/>
            </w:tabs>
            <w:rPr>
              <w:color w:val="auto"/>
            </w:rPr>
          </w:pPr>
          <w:r>
            <w:fldChar w:fldCharType="begin"/>
          </w:r>
          <w:r>
            <w:instrText xml:space="preserve"> HYPERLINK \l "_Toc20815" </w:instrText>
          </w:r>
          <w:r>
            <w:fldChar w:fldCharType="separate"/>
          </w:r>
          <w:r>
            <w:rPr>
              <w:rFonts w:ascii="宋体" w:hAnsi="宋体" w:eastAsia="宋体" w:cs="宋体"/>
              <w:color w:val="auto"/>
            </w:rPr>
            <w:t>第2章设计原则及设计内容</w:t>
          </w:r>
          <w:r>
            <w:rPr>
              <w:color w:val="auto"/>
            </w:rPr>
            <w:tab/>
          </w:r>
          <w:r>
            <w:rPr>
              <w:color w:val="auto"/>
            </w:rPr>
            <w:fldChar w:fldCharType="begin"/>
          </w:r>
          <w:r>
            <w:rPr>
              <w:color w:val="auto"/>
            </w:rPr>
            <w:instrText xml:space="preserve"> PAGEREF _Toc20815 \h </w:instrText>
          </w:r>
          <w:r>
            <w:rPr>
              <w:color w:val="auto"/>
            </w:rPr>
            <w:fldChar w:fldCharType="separate"/>
          </w:r>
          <w:r>
            <w:rPr>
              <w:color w:val="auto"/>
            </w:rPr>
            <w:t>8</w:t>
          </w:r>
          <w:r>
            <w:rPr>
              <w:color w:val="auto"/>
            </w:rPr>
            <w:fldChar w:fldCharType="end"/>
          </w:r>
          <w:r>
            <w:rPr>
              <w:color w:val="auto"/>
            </w:rPr>
            <w:fldChar w:fldCharType="end"/>
          </w:r>
        </w:p>
        <w:p w14:paraId="6868359E">
          <w:pPr>
            <w:pStyle w:val="15"/>
            <w:tabs>
              <w:tab w:val="right" w:leader="dot" w:pos="8312"/>
            </w:tabs>
            <w:rPr>
              <w:color w:val="auto"/>
            </w:rPr>
          </w:pPr>
          <w:r>
            <w:fldChar w:fldCharType="begin"/>
          </w:r>
          <w:r>
            <w:instrText xml:space="preserve"> HYPERLINK \l "_Toc22971" </w:instrText>
          </w:r>
          <w:r>
            <w:fldChar w:fldCharType="separate"/>
          </w:r>
          <w:r>
            <w:rPr>
              <w:rFonts w:ascii="宋体" w:hAnsi="宋体" w:eastAsia="宋体" w:cs="宋体"/>
              <w:color w:val="auto"/>
            </w:rPr>
            <w:t>2.1设计原则</w:t>
          </w:r>
          <w:r>
            <w:rPr>
              <w:color w:val="auto"/>
            </w:rPr>
            <w:tab/>
          </w:r>
          <w:r>
            <w:rPr>
              <w:color w:val="auto"/>
            </w:rPr>
            <w:fldChar w:fldCharType="begin"/>
          </w:r>
          <w:r>
            <w:rPr>
              <w:color w:val="auto"/>
            </w:rPr>
            <w:instrText xml:space="preserve"> PAGEREF _Toc22971 \h </w:instrText>
          </w:r>
          <w:r>
            <w:rPr>
              <w:color w:val="auto"/>
            </w:rPr>
            <w:fldChar w:fldCharType="separate"/>
          </w:r>
          <w:r>
            <w:rPr>
              <w:color w:val="auto"/>
            </w:rPr>
            <w:t>9</w:t>
          </w:r>
          <w:r>
            <w:rPr>
              <w:color w:val="auto"/>
            </w:rPr>
            <w:fldChar w:fldCharType="end"/>
          </w:r>
          <w:r>
            <w:rPr>
              <w:color w:val="auto"/>
            </w:rPr>
            <w:fldChar w:fldCharType="end"/>
          </w:r>
        </w:p>
        <w:p w14:paraId="00DDE8FC">
          <w:pPr>
            <w:pStyle w:val="17"/>
            <w:tabs>
              <w:tab w:val="right" w:leader="dot" w:pos="8312"/>
            </w:tabs>
            <w:ind w:left="440"/>
            <w:rPr>
              <w:color w:val="auto"/>
            </w:rPr>
          </w:pPr>
          <w:r>
            <w:fldChar w:fldCharType="begin"/>
          </w:r>
          <w:r>
            <w:instrText xml:space="preserve"> HYPERLINK \l "_Toc23246" </w:instrText>
          </w:r>
          <w:r>
            <w:fldChar w:fldCharType="separate"/>
          </w:r>
          <w:r>
            <w:rPr>
              <w:rFonts w:ascii="宋体" w:hAnsi="宋体" w:eastAsia="宋体" w:cs="宋体"/>
              <w:color w:val="auto"/>
            </w:rPr>
            <w:t>2.1.1限额设计原则</w:t>
          </w:r>
          <w:r>
            <w:rPr>
              <w:color w:val="auto"/>
            </w:rPr>
            <w:tab/>
          </w:r>
          <w:r>
            <w:rPr>
              <w:color w:val="auto"/>
            </w:rPr>
            <w:fldChar w:fldCharType="begin"/>
          </w:r>
          <w:r>
            <w:rPr>
              <w:color w:val="auto"/>
            </w:rPr>
            <w:instrText xml:space="preserve"> PAGEREF _Toc23246 \h </w:instrText>
          </w:r>
          <w:r>
            <w:rPr>
              <w:color w:val="auto"/>
            </w:rPr>
            <w:fldChar w:fldCharType="separate"/>
          </w:r>
          <w:r>
            <w:rPr>
              <w:color w:val="auto"/>
            </w:rPr>
            <w:t>9</w:t>
          </w:r>
          <w:r>
            <w:rPr>
              <w:color w:val="auto"/>
            </w:rPr>
            <w:fldChar w:fldCharType="end"/>
          </w:r>
          <w:r>
            <w:rPr>
              <w:color w:val="auto"/>
            </w:rPr>
            <w:fldChar w:fldCharType="end"/>
          </w:r>
        </w:p>
        <w:p w14:paraId="5C3FC551">
          <w:pPr>
            <w:pStyle w:val="17"/>
            <w:tabs>
              <w:tab w:val="right" w:leader="dot" w:pos="8312"/>
            </w:tabs>
            <w:ind w:left="440"/>
            <w:rPr>
              <w:color w:val="auto"/>
            </w:rPr>
          </w:pPr>
          <w:r>
            <w:fldChar w:fldCharType="begin"/>
          </w:r>
          <w:r>
            <w:instrText xml:space="preserve"> HYPERLINK \l "_Toc27395" </w:instrText>
          </w:r>
          <w:r>
            <w:fldChar w:fldCharType="separate"/>
          </w:r>
          <w:r>
            <w:rPr>
              <w:rFonts w:ascii="宋体" w:hAnsi="宋体" w:eastAsia="宋体" w:cs="宋体"/>
              <w:color w:val="auto"/>
            </w:rPr>
            <w:t>2.1.2满足规范标准原则</w:t>
          </w:r>
          <w:r>
            <w:rPr>
              <w:color w:val="auto"/>
            </w:rPr>
            <w:tab/>
          </w:r>
          <w:r>
            <w:rPr>
              <w:color w:val="auto"/>
            </w:rPr>
            <w:fldChar w:fldCharType="begin"/>
          </w:r>
          <w:r>
            <w:rPr>
              <w:color w:val="auto"/>
            </w:rPr>
            <w:instrText xml:space="preserve"> PAGEREF _Toc27395 \h </w:instrText>
          </w:r>
          <w:r>
            <w:rPr>
              <w:color w:val="auto"/>
            </w:rPr>
            <w:fldChar w:fldCharType="separate"/>
          </w:r>
          <w:r>
            <w:rPr>
              <w:color w:val="auto"/>
            </w:rPr>
            <w:t>9</w:t>
          </w:r>
          <w:r>
            <w:rPr>
              <w:color w:val="auto"/>
            </w:rPr>
            <w:fldChar w:fldCharType="end"/>
          </w:r>
          <w:r>
            <w:rPr>
              <w:color w:val="auto"/>
            </w:rPr>
            <w:fldChar w:fldCharType="end"/>
          </w:r>
        </w:p>
        <w:p w14:paraId="15818FFE">
          <w:pPr>
            <w:pStyle w:val="17"/>
            <w:tabs>
              <w:tab w:val="right" w:leader="dot" w:pos="8312"/>
            </w:tabs>
            <w:ind w:left="440"/>
            <w:rPr>
              <w:color w:val="auto"/>
            </w:rPr>
          </w:pPr>
          <w:r>
            <w:fldChar w:fldCharType="begin"/>
          </w:r>
          <w:r>
            <w:instrText xml:space="preserve"> HYPERLINK \l "_Toc6346" </w:instrText>
          </w:r>
          <w:r>
            <w:fldChar w:fldCharType="separate"/>
          </w:r>
          <w:r>
            <w:rPr>
              <w:rFonts w:ascii="宋体" w:hAnsi="宋体" w:eastAsia="宋体" w:cs="宋体"/>
              <w:color w:val="auto"/>
            </w:rPr>
            <w:t>2.1.3绿色生态原则</w:t>
          </w:r>
          <w:r>
            <w:rPr>
              <w:color w:val="auto"/>
            </w:rPr>
            <w:tab/>
          </w:r>
          <w:r>
            <w:rPr>
              <w:color w:val="auto"/>
            </w:rPr>
            <w:fldChar w:fldCharType="begin"/>
          </w:r>
          <w:r>
            <w:rPr>
              <w:color w:val="auto"/>
            </w:rPr>
            <w:instrText xml:space="preserve"> PAGEREF _Toc6346 \h </w:instrText>
          </w:r>
          <w:r>
            <w:rPr>
              <w:color w:val="auto"/>
            </w:rPr>
            <w:fldChar w:fldCharType="separate"/>
          </w:r>
          <w:r>
            <w:rPr>
              <w:color w:val="auto"/>
            </w:rPr>
            <w:t>9</w:t>
          </w:r>
          <w:r>
            <w:rPr>
              <w:color w:val="auto"/>
            </w:rPr>
            <w:fldChar w:fldCharType="end"/>
          </w:r>
          <w:r>
            <w:rPr>
              <w:color w:val="auto"/>
            </w:rPr>
            <w:fldChar w:fldCharType="end"/>
          </w:r>
        </w:p>
        <w:p w14:paraId="267DC0DE">
          <w:pPr>
            <w:pStyle w:val="17"/>
            <w:tabs>
              <w:tab w:val="right" w:leader="dot" w:pos="8312"/>
            </w:tabs>
            <w:ind w:left="440"/>
            <w:rPr>
              <w:color w:val="auto"/>
            </w:rPr>
          </w:pPr>
          <w:r>
            <w:fldChar w:fldCharType="begin"/>
          </w:r>
          <w:r>
            <w:instrText xml:space="preserve"> HYPERLINK \l "_Toc27190" </w:instrText>
          </w:r>
          <w:r>
            <w:fldChar w:fldCharType="separate"/>
          </w:r>
          <w:r>
            <w:rPr>
              <w:rFonts w:ascii="宋体" w:hAnsi="宋体" w:eastAsia="宋体" w:cs="宋体"/>
              <w:color w:val="auto"/>
            </w:rPr>
            <w:t>2.1.4经济合理美观原则</w:t>
          </w:r>
          <w:r>
            <w:rPr>
              <w:color w:val="auto"/>
            </w:rPr>
            <w:tab/>
          </w:r>
          <w:r>
            <w:rPr>
              <w:color w:val="auto"/>
            </w:rPr>
            <w:fldChar w:fldCharType="begin"/>
          </w:r>
          <w:r>
            <w:rPr>
              <w:color w:val="auto"/>
            </w:rPr>
            <w:instrText xml:space="preserve"> PAGEREF _Toc27190 \h </w:instrText>
          </w:r>
          <w:r>
            <w:rPr>
              <w:color w:val="auto"/>
            </w:rPr>
            <w:fldChar w:fldCharType="separate"/>
          </w:r>
          <w:r>
            <w:rPr>
              <w:color w:val="auto"/>
            </w:rPr>
            <w:t>10</w:t>
          </w:r>
          <w:r>
            <w:rPr>
              <w:color w:val="auto"/>
            </w:rPr>
            <w:fldChar w:fldCharType="end"/>
          </w:r>
          <w:r>
            <w:rPr>
              <w:color w:val="auto"/>
            </w:rPr>
            <w:fldChar w:fldCharType="end"/>
          </w:r>
        </w:p>
        <w:p w14:paraId="415CC3F7">
          <w:pPr>
            <w:pStyle w:val="17"/>
            <w:tabs>
              <w:tab w:val="right" w:leader="dot" w:pos="8312"/>
            </w:tabs>
            <w:ind w:left="440"/>
            <w:rPr>
              <w:color w:val="auto"/>
            </w:rPr>
          </w:pPr>
          <w:r>
            <w:fldChar w:fldCharType="begin"/>
          </w:r>
          <w:r>
            <w:instrText xml:space="preserve"> HYPERLINK \l "_Toc17373" </w:instrText>
          </w:r>
          <w:r>
            <w:fldChar w:fldCharType="separate"/>
          </w:r>
          <w:r>
            <w:rPr>
              <w:rFonts w:ascii="宋体" w:hAnsi="宋体" w:eastAsia="宋体" w:cs="宋体"/>
              <w:color w:val="auto"/>
            </w:rPr>
            <w:t>2.1.5</w:t>
          </w:r>
          <w:r>
            <w:rPr>
              <w:rFonts w:hint="eastAsia" w:ascii="宋体" w:hAnsi="宋体" w:eastAsia="宋体" w:cs="宋体"/>
              <w:color w:val="auto"/>
            </w:rPr>
            <w:t>基本要求</w:t>
          </w:r>
          <w:r>
            <w:rPr>
              <w:color w:val="auto"/>
            </w:rPr>
            <w:tab/>
          </w:r>
          <w:r>
            <w:rPr>
              <w:color w:val="auto"/>
            </w:rPr>
            <w:fldChar w:fldCharType="begin"/>
          </w:r>
          <w:r>
            <w:rPr>
              <w:color w:val="auto"/>
            </w:rPr>
            <w:instrText xml:space="preserve"> PAGEREF _Toc17373 \h </w:instrText>
          </w:r>
          <w:r>
            <w:rPr>
              <w:color w:val="auto"/>
            </w:rPr>
            <w:fldChar w:fldCharType="separate"/>
          </w:r>
          <w:r>
            <w:rPr>
              <w:color w:val="auto"/>
            </w:rPr>
            <w:t>10</w:t>
          </w:r>
          <w:r>
            <w:rPr>
              <w:color w:val="auto"/>
            </w:rPr>
            <w:fldChar w:fldCharType="end"/>
          </w:r>
          <w:r>
            <w:rPr>
              <w:color w:val="auto"/>
            </w:rPr>
            <w:fldChar w:fldCharType="end"/>
          </w:r>
        </w:p>
        <w:p w14:paraId="1ED6A0DE">
          <w:pPr>
            <w:pStyle w:val="17"/>
            <w:tabs>
              <w:tab w:val="right" w:leader="dot" w:pos="8312"/>
            </w:tabs>
            <w:ind w:left="440"/>
            <w:rPr>
              <w:color w:val="auto"/>
            </w:rPr>
          </w:pPr>
          <w:r>
            <w:fldChar w:fldCharType="begin"/>
          </w:r>
          <w:r>
            <w:instrText xml:space="preserve"> HYPERLINK \l "_Toc29336" </w:instrText>
          </w:r>
          <w:r>
            <w:fldChar w:fldCharType="separate"/>
          </w:r>
          <w:r>
            <w:rPr>
              <w:rFonts w:ascii="宋体" w:hAnsi="宋体" w:eastAsia="宋体" w:cs="宋体"/>
              <w:color w:val="auto"/>
            </w:rPr>
            <w:t>2.1.6“集约高效、统筹兼顾、统一布局”理念</w:t>
          </w:r>
          <w:r>
            <w:rPr>
              <w:color w:val="auto"/>
            </w:rPr>
            <w:tab/>
          </w:r>
          <w:r>
            <w:rPr>
              <w:color w:val="auto"/>
            </w:rPr>
            <w:fldChar w:fldCharType="begin"/>
          </w:r>
          <w:r>
            <w:rPr>
              <w:color w:val="auto"/>
            </w:rPr>
            <w:instrText xml:space="preserve"> PAGEREF _Toc29336 \h </w:instrText>
          </w:r>
          <w:r>
            <w:rPr>
              <w:color w:val="auto"/>
            </w:rPr>
            <w:fldChar w:fldCharType="separate"/>
          </w:r>
          <w:r>
            <w:rPr>
              <w:color w:val="auto"/>
            </w:rPr>
            <w:t>10</w:t>
          </w:r>
          <w:r>
            <w:rPr>
              <w:color w:val="auto"/>
            </w:rPr>
            <w:fldChar w:fldCharType="end"/>
          </w:r>
          <w:r>
            <w:rPr>
              <w:color w:val="auto"/>
            </w:rPr>
            <w:fldChar w:fldCharType="end"/>
          </w:r>
        </w:p>
        <w:p w14:paraId="2AE618BA">
          <w:pPr>
            <w:pStyle w:val="17"/>
            <w:tabs>
              <w:tab w:val="right" w:leader="dot" w:pos="8312"/>
            </w:tabs>
            <w:ind w:left="440"/>
            <w:rPr>
              <w:color w:val="auto"/>
            </w:rPr>
          </w:pPr>
          <w:r>
            <w:fldChar w:fldCharType="begin"/>
          </w:r>
          <w:r>
            <w:instrText xml:space="preserve"> HYPERLINK \l "_Toc774" </w:instrText>
          </w:r>
          <w:r>
            <w:fldChar w:fldCharType="separate"/>
          </w:r>
          <w:r>
            <w:rPr>
              <w:rFonts w:ascii="宋体" w:hAnsi="宋体" w:eastAsia="宋体" w:cs="宋体"/>
              <w:color w:val="auto"/>
            </w:rPr>
            <w:t>2.1.7“绿色节能、生态宜居”设计理念</w:t>
          </w:r>
          <w:r>
            <w:rPr>
              <w:color w:val="auto"/>
            </w:rPr>
            <w:tab/>
          </w:r>
          <w:r>
            <w:rPr>
              <w:color w:val="auto"/>
            </w:rPr>
            <w:fldChar w:fldCharType="begin"/>
          </w:r>
          <w:r>
            <w:rPr>
              <w:color w:val="auto"/>
            </w:rPr>
            <w:instrText xml:space="preserve"> PAGEREF _Toc774 \h </w:instrText>
          </w:r>
          <w:r>
            <w:rPr>
              <w:color w:val="auto"/>
            </w:rPr>
            <w:fldChar w:fldCharType="separate"/>
          </w:r>
          <w:r>
            <w:rPr>
              <w:color w:val="auto"/>
            </w:rPr>
            <w:t>10</w:t>
          </w:r>
          <w:r>
            <w:rPr>
              <w:color w:val="auto"/>
            </w:rPr>
            <w:fldChar w:fldCharType="end"/>
          </w:r>
          <w:r>
            <w:rPr>
              <w:color w:val="auto"/>
            </w:rPr>
            <w:fldChar w:fldCharType="end"/>
          </w:r>
        </w:p>
        <w:p w14:paraId="584F5443">
          <w:pPr>
            <w:pStyle w:val="15"/>
            <w:tabs>
              <w:tab w:val="right" w:leader="dot" w:pos="8312"/>
            </w:tabs>
            <w:rPr>
              <w:color w:val="auto"/>
            </w:rPr>
          </w:pPr>
          <w:r>
            <w:fldChar w:fldCharType="begin"/>
          </w:r>
          <w:r>
            <w:instrText xml:space="preserve"> HYPERLINK \l "_Toc19662" </w:instrText>
          </w:r>
          <w:r>
            <w:fldChar w:fldCharType="separate"/>
          </w:r>
          <w:r>
            <w:rPr>
              <w:rFonts w:ascii="宋体" w:hAnsi="宋体" w:eastAsia="宋体" w:cs="宋体"/>
              <w:color w:val="auto"/>
            </w:rPr>
            <w:t>2.2勘察设计内容</w:t>
          </w:r>
          <w:r>
            <w:rPr>
              <w:color w:val="auto"/>
            </w:rPr>
            <w:tab/>
          </w:r>
          <w:r>
            <w:rPr>
              <w:color w:val="auto"/>
            </w:rPr>
            <w:fldChar w:fldCharType="begin"/>
          </w:r>
          <w:r>
            <w:rPr>
              <w:color w:val="auto"/>
            </w:rPr>
            <w:instrText xml:space="preserve"> PAGEREF _Toc19662 \h </w:instrText>
          </w:r>
          <w:r>
            <w:rPr>
              <w:color w:val="auto"/>
            </w:rPr>
            <w:fldChar w:fldCharType="separate"/>
          </w:r>
          <w:r>
            <w:rPr>
              <w:color w:val="auto"/>
            </w:rPr>
            <w:t>10</w:t>
          </w:r>
          <w:r>
            <w:rPr>
              <w:color w:val="auto"/>
            </w:rPr>
            <w:fldChar w:fldCharType="end"/>
          </w:r>
          <w:r>
            <w:rPr>
              <w:color w:val="auto"/>
            </w:rPr>
            <w:fldChar w:fldCharType="end"/>
          </w:r>
        </w:p>
        <w:p w14:paraId="76606D1F">
          <w:pPr>
            <w:pStyle w:val="15"/>
            <w:tabs>
              <w:tab w:val="right" w:leader="dot" w:pos="8312"/>
            </w:tabs>
            <w:rPr>
              <w:color w:val="auto"/>
            </w:rPr>
          </w:pPr>
          <w:r>
            <w:fldChar w:fldCharType="begin"/>
          </w:r>
          <w:r>
            <w:instrText xml:space="preserve"> HYPERLINK \l "_Toc19312" </w:instrText>
          </w:r>
          <w:r>
            <w:fldChar w:fldCharType="separate"/>
          </w:r>
          <w:r>
            <w:rPr>
              <w:rFonts w:ascii="宋体" w:hAnsi="宋体" w:eastAsia="宋体" w:cs="宋体"/>
              <w:color w:val="auto"/>
            </w:rPr>
            <w:t>第3章勘察设计要求</w:t>
          </w:r>
          <w:r>
            <w:rPr>
              <w:color w:val="auto"/>
            </w:rPr>
            <w:tab/>
          </w:r>
          <w:r>
            <w:rPr>
              <w:color w:val="auto"/>
            </w:rPr>
            <w:fldChar w:fldCharType="begin"/>
          </w:r>
          <w:r>
            <w:rPr>
              <w:color w:val="auto"/>
            </w:rPr>
            <w:instrText xml:space="preserve"> PAGEREF _Toc19312 \h </w:instrText>
          </w:r>
          <w:r>
            <w:rPr>
              <w:color w:val="auto"/>
            </w:rPr>
            <w:fldChar w:fldCharType="separate"/>
          </w:r>
          <w:r>
            <w:rPr>
              <w:color w:val="auto"/>
            </w:rPr>
            <w:t>15</w:t>
          </w:r>
          <w:r>
            <w:rPr>
              <w:color w:val="auto"/>
            </w:rPr>
            <w:fldChar w:fldCharType="end"/>
          </w:r>
          <w:r>
            <w:rPr>
              <w:color w:val="auto"/>
            </w:rPr>
            <w:fldChar w:fldCharType="end"/>
          </w:r>
        </w:p>
        <w:p w14:paraId="6C4735D8">
          <w:pPr>
            <w:pStyle w:val="15"/>
            <w:tabs>
              <w:tab w:val="right" w:leader="dot" w:pos="8312"/>
            </w:tabs>
            <w:rPr>
              <w:color w:val="auto"/>
            </w:rPr>
          </w:pPr>
          <w:r>
            <w:fldChar w:fldCharType="begin"/>
          </w:r>
          <w:r>
            <w:instrText xml:space="preserve"> HYPERLINK \l "_Toc5130" </w:instrText>
          </w:r>
          <w:r>
            <w:fldChar w:fldCharType="separate"/>
          </w:r>
          <w:r>
            <w:rPr>
              <w:rFonts w:ascii="宋体" w:hAnsi="宋体" w:eastAsia="宋体" w:cs="宋体"/>
              <w:color w:val="auto"/>
            </w:rPr>
            <w:t>3.1勘察设计总体要求</w:t>
          </w:r>
          <w:r>
            <w:rPr>
              <w:color w:val="auto"/>
            </w:rPr>
            <w:tab/>
          </w:r>
          <w:r>
            <w:rPr>
              <w:color w:val="auto"/>
            </w:rPr>
            <w:fldChar w:fldCharType="begin"/>
          </w:r>
          <w:r>
            <w:rPr>
              <w:color w:val="auto"/>
            </w:rPr>
            <w:instrText xml:space="preserve"> PAGEREF _Toc5130 \h </w:instrText>
          </w:r>
          <w:r>
            <w:rPr>
              <w:color w:val="auto"/>
            </w:rPr>
            <w:fldChar w:fldCharType="separate"/>
          </w:r>
          <w:r>
            <w:rPr>
              <w:color w:val="auto"/>
            </w:rPr>
            <w:t>15</w:t>
          </w:r>
          <w:r>
            <w:rPr>
              <w:color w:val="auto"/>
            </w:rPr>
            <w:fldChar w:fldCharType="end"/>
          </w:r>
          <w:r>
            <w:rPr>
              <w:color w:val="auto"/>
            </w:rPr>
            <w:fldChar w:fldCharType="end"/>
          </w:r>
        </w:p>
        <w:p w14:paraId="02E99BC7">
          <w:pPr>
            <w:pStyle w:val="15"/>
            <w:tabs>
              <w:tab w:val="right" w:leader="dot" w:pos="8312"/>
            </w:tabs>
            <w:rPr>
              <w:color w:val="auto"/>
            </w:rPr>
          </w:pPr>
          <w:r>
            <w:fldChar w:fldCharType="begin"/>
          </w:r>
          <w:r>
            <w:instrText xml:space="preserve"> HYPERLINK \l "_Toc9074" </w:instrText>
          </w:r>
          <w:r>
            <w:fldChar w:fldCharType="separate"/>
          </w:r>
          <w:r>
            <w:rPr>
              <w:rFonts w:ascii="宋体" w:hAnsi="宋体" w:eastAsia="宋体" w:cs="宋体"/>
              <w:color w:val="auto"/>
            </w:rPr>
            <w:t>3.2勘察工作要求</w:t>
          </w:r>
          <w:r>
            <w:rPr>
              <w:color w:val="auto"/>
            </w:rPr>
            <w:tab/>
          </w:r>
          <w:r>
            <w:rPr>
              <w:color w:val="auto"/>
            </w:rPr>
            <w:fldChar w:fldCharType="begin"/>
          </w:r>
          <w:r>
            <w:rPr>
              <w:color w:val="auto"/>
            </w:rPr>
            <w:instrText xml:space="preserve"> PAGEREF _Toc9074 \h </w:instrText>
          </w:r>
          <w:r>
            <w:rPr>
              <w:color w:val="auto"/>
            </w:rPr>
            <w:fldChar w:fldCharType="separate"/>
          </w:r>
          <w:r>
            <w:rPr>
              <w:color w:val="auto"/>
            </w:rPr>
            <w:t>15</w:t>
          </w:r>
          <w:r>
            <w:rPr>
              <w:color w:val="auto"/>
            </w:rPr>
            <w:fldChar w:fldCharType="end"/>
          </w:r>
          <w:r>
            <w:rPr>
              <w:color w:val="auto"/>
            </w:rPr>
            <w:fldChar w:fldCharType="end"/>
          </w:r>
        </w:p>
        <w:p w14:paraId="5709E1F4">
          <w:pPr>
            <w:pStyle w:val="15"/>
            <w:tabs>
              <w:tab w:val="right" w:leader="dot" w:pos="8312"/>
            </w:tabs>
            <w:rPr>
              <w:color w:val="auto"/>
            </w:rPr>
          </w:pPr>
          <w:r>
            <w:fldChar w:fldCharType="begin"/>
          </w:r>
          <w:r>
            <w:instrText xml:space="preserve"> HYPERLINK \l "_Toc21894" </w:instrText>
          </w:r>
          <w:r>
            <w:fldChar w:fldCharType="separate"/>
          </w:r>
          <w:r>
            <w:rPr>
              <w:rFonts w:ascii="宋体" w:hAnsi="宋体" w:eastAsia="宋体" w:cs="宋体"/>
              <w:color w:val="auto"/>
            </w:rPr>
            <w:t>3.3设计工作要求</w:t>
          </w:r>
          <w:r>
            <w:rPr>
              <w:color w:val="auto"/>
            </w:rPr>
            <w:tab/>
          </w:r>
          <w:r>
            <w:rPr>
              <w:color w:val="auto"/>
            </w:rPr>
            <w:fldChar w:fldCharType="begin"/>
          </w:r>
          <w:r>
            <w:rPr>
              <w:color w:val="auto"/>
            </w:rPr>
            <w:instrText xml:space="preserve"> PAGEREF _Toc21894 \h </w:instrText>
          </w:r>
          <w:r>
            <w:rPr>
              <w:color w:val="auto"/>
            </w:rPr>
            <w:fldChar w:fldCharType="separate"/>
          </w:r>
          <w:r>
            <w:rPr>
              <w:color w:val="auto"/>
            </w:rPr>
            <w:t>15</w:t>
          </w:r>
          <w:r>
            <w:rPr>
              <w:color w:val="auto"/>
            </w:rPr>
            <w:fldChar w:fldCharType="end"/>
          </w:r>
          <w:r>
            <w:rPr>
              <w:color w:val="auto"/>
            </w:rPr>
            <w:fldChar w:fldCharType="end"/>
          </w:r>
        </w:p>
        <w:p w14:paraId="312E447B">
          <w:pPr>
            <w:pStyle w:val="17"/>
            <w:tabs>
              <w:tab w:val="right" w:leader="dot" w:pos="8312"/>
            </w:tabs>
            <w:ind w:left="440"/>
            <w:rPr>
              <w:color w:val="auto"/>
            </w:rPr>
          </w:pPr>
          <w:r>
            <w:fldChar w:fldCharType="begin"/>
          </w:r>
          <w:r>
            <w:instrText xml:space="preserve"> HYPERLINK \l "_Toc2705" </w:instrText>
          </w:r>
          <w:r>
            <w:fldChar w:fldCharType="separate"/>
          </w:r>
          <w:r>
            <w:rPr>
              <w:rFonts w:ascii="宋体" w:hAnsi="宋体" w:eastAsia="宋体" w:cs="宋体"/>
              <w:color w:val="auto"/>
            </w:rPr>
            <w:t>3.3.1规划设计要求</w:t>
          </w:r>
          <w:r>
            <w:rPr>
              <w:color w:val="auto"/>
            </w:rPr>
            <w:tab/>
          </w:r>
          <w:r>
            <w:rPr>
              <w:color w:val="auto"/>
            </w:rPr>
            <w:fldChar w:fldCharType="begin"/>
          </w:r>
          <w:r>
            <w:rPr>
              <w:color w:val="auto"/>
            </w:rPr>
            <w:instrText xml:space="preserve"> PAGEREF _Toc2705 \h </w:instrText>
          </w:r>
          <w:r>
            <w:rPr>
              <w:color w:val="auto"/>
            </w:rPr>
            <w:fldChar w:fldCharType="separate"/>
          </w:r>
          <w:r>
            <w:rPr>
              <w:color w:val="auto"/>
            </w:rPr>
            <w:t>16</w:t>
          </w:r>
          <w:r>
            <w:rPr>
              <w:color w:val="auto"/>
            </w:rPr>
            <w:fldChar w:fldCharType="end"/>
          </w:r>
          <w:r>
            <w:rPr>
              <w:color w:val="auto"/>
            </w:rPr>
            <w:fldChar w:fldCharType="end"/>
          </w:r>
        </w:p>
        <w:p w14:paraId="5705F04F">
          <w:pPr>
            <w:pStyle w:val="17"/>
            <w:tabs>
              <w:tab w:val="right" w:leader="dot" w:pos="8312"/>
            </w:tabs>
            <w:ind w:left="440"/>
            <w:rPr>
              <w:color w:val="auto"/>
            </w:rPr>
          </w:pPr>
          <w:r>
            <w:fldChar w:fldCharType="begin"/>
          </w:r>
          <w:r>
            <w:instrText xml:space="preserve"> HYPERLINK \l "_Toc1289" </w:instrText>
          </w:r>
          <w:r>
            <w:fldChar w:fldCharType="separate"/>
          </w:r>
          <w:r>
            <w:rPr>
              <w:rFonts w:ascii="宋体" w:hAnsi="宋体" w:eastAsia="宋体" w:cs="宋体"/>
              <w:color w:val="auto"/>
            </w:rPr>
            <w:t>3.3.2建筑与室内装修设计要求</w:t>
          </w:r>
          <w:r>
            <w:rPr>
              <w:color w:val="auto"/>
            </w:rPr>
            <w:tab/>
          </w:r>
          <w:r>
            <w:rPr>
              <w:color w:val="auto"/>
            </w:rPr>
            <w:fldChar w:fldCharType="begin"/>
          </w:r>
          <w:r>
            <w:rPr>
              <w:color w:val="auto"/>
            </w:rPr>
            <w:instrText xml:space="preserve"> PAGEREF _Toc1289 \h </w:instrText>
          </w:r>
          <w:r>
            <w:rPr>
              <w:color w:val="auto"/>
            </w:rPr>
            <w:fldChar w:fldCharType="separate"/>
          </w:r>
          <w:r>
            <w:rPr>
              <w:color w:val="auto"/>
            </w:rPr>
            <w:t>18</w:t>
          </w:r>
          <w:r>
            <w:rPr>
              <w:color w:val="auto"/>
            </w:rPr>
            <w:fldChar w:fldCharType="end"/>
          </w:r>
          <w:r>
            <w:rPr>
              <w:color w:val="auto"/>
            </w:rPr>
            <w:fldChar w:fldCharType="end"/>
          </w:r>
        </w:p>
        <w:p w14:paraId="19E0E76F">
          <w:pPr>
            <w:pStyle w:val="17"/>
            <w:tabs>
              <w:tab w:val="right" w:leader="dot" w:pos="8312"/>
            </w:tabs>
            <w:ind w:left="440"/>
            <w:rPr>
              <w:color w:val="auto"/>
            </w:rPr>
          </w:pPr>
          <w:r>
            <w:fldChar w:fldCharType="begin"/>
          </w:r>
          <w:r>
            <w:instrText xml:space="preserve"> HYPERLINK \l "_Toc5768" </w:instrText>
          </w:r>
          <w:r>
            <w:fldChar w:fldCharType="separate"/>
          </w:r>
          <w:r>
            <w:rPr>
              <w:rFonts w:ascii="宋体" w:hAnsi="宋体" w:eastAsia="宋体" w:cs="宋体"/>
              <w:color w:val="auto"/>
            </w:rPr>
            <w:t>3.3.3基坑支护设计</w:t>
          </w:r>
          <w:r>
            <w:rPr>
              <w:color w:val="auto"/>
            </w:rPr>
            <w:tab/>
          </w:r>
          <w:r>
            <w:rPr>
              <w:color w:val="auto"/>
            </w:rPr>
            <w:fldChar w:fldCharType="begin"/>
          </w:r>
          <w:r>
            <w:rPr>
              <w:color w:val="auto"/>
            </w:rPr>
            <w:instrText xml:space="preserve"> PAGEREF _Toc5768 \h </w:instrText>
          </w:r>
          <w:r>
            <w:rPr>
              <w:color w:val="auto"/>
            </w:rPr>
            <w:fldChar w:fldCharType="separate"/>
          </w:r>
          <w:r>
            <w:rPr>
              <w:color w:val="auto"/>
            </w:rPr>
            <w:t>21</w:t>
          </w:r>
          <w:r>
            <w:rPr>
              <w:color w:val="auto"/>
            </w:rPr>
            <w:fldChar w:fldCharType="end"/>
          </w:r>
          <w:r>
            <w:rPr>
              <w:color w:val="auto"/>
            </w:rPr>
            <w:fldChar w:fldCharType="end"/>
          </w:r>
        </w:p>
        <w:p w14:paraId="641B53E8">
          <w:pPr>
            <w:pStyle w:val="17"/>
            <w:tabs>
              <w:tab w:val="right" w:leader="dot" w:pos="8312"/>
            </w:tabs>
            <w:ind w:left="440"/>
            <w:rPr>
              <w:color w:val="auto"/>
            </w:rPr>
          </w:pPr>
          <w:r>
            <w:fldChar w:fldCharType="begin"/>
          </w:r>
          <w:r>
            <w:instrText xml:space="preserve"> HYPERLINK \l "_Toc13889" </w:instrText>
          </w:r>
          <w:r>
            <w:fldChar w:fldCharType="separate"/>
          </w:r>
          <w:r>
            <w:rPr>
              <w:rFonts w:ascii="宋体" w:hAnsi="宋体" w:eastAsia="宋体" w:cs="宋体"/>
              <w:color w:val="auto"/>
            </w:rPr>
            <w:t>3.3.4结构设计要求</w:t>
          </w:r>
          <w:r>
            <w:rPr>
              <w:color w:val="auto"/>
            </w:rPr>
            <w:tab/>
          </w:r>
          <w:r>
            <w:rPr>
              <w:color w:val="auto"/>
            </w:rPr>
            <w:fldChar w:fldCharType="begin"/>
          </w:r>
          <w:r>
            <w:rPr>
              <w:color w:val="auto"/>
            </w:rPr>
            <w:instrText xml:space="preserve"> PAGEREF _Toc13889 \h </w:instrText>
          </w:r>
          <w:r>
            <w:rPr>
              <w:color w:val="auto"/>
            </w:rPr>
            <w:fldChar w:fldCharType="separate"/>
          </w:r>
          <w:r>
            <w:rPr>
              <w:color w:val="auto"/>
            </w:rPr>
            <w:t>22</w:t>
          </w:r>
          <w:r>
            <w:rPr>
              <w:color w:val="auto"/>
            </w:rPr>
            <w:fldChar w:fldCharType="end"/>
          </w:r>
          <w:r>
            <w:rPr>
              <w:color w:val="auto"/>
            </w:rPr>
            <w:fldChar w:fldCharType="end"/>
          </w:r>
        </w:p>
        <w:p w14:paraId="076EC92C">
          <w:pPr>
            <w:pStyle w:val="17"/>
            <w:tabs>
              <w:tab w:val="right" w:leader="dot" w:pos="8312"/>
            </w:tabs>
            <w:ind w:left="440"/>
            <w:rPr>
              <w:color w:val="auto"/>
            </w:rPr>
          </w:pPr>
          <w:r>
            <w:fldChar w:fldCharType="begin"/>
          </w:r>
          <w:r>
            <w:instrText xml:space="preserve"> HYPERLINK \l "_Toc5542" </w:instrText>
          </w:r>
          <w:r>
            <w:fldChar w:fldCharType="separate"/>
          </w:r>
          <w:r>
            <w:rPr>
              <w:rFonts w:ascii="宋体" w:hAnsi="宋体" w:eastAsia="宋体" w:cs="宋体"/>
              <w:color w:val="auto"/>
            </w:rPr>
            <w:t>3.3.5室外工程设计要求</w:t>
          </w:r>
          <w:r>
            <w:rPr>
              <w:color w:val="auto"/>
            </w:rPr>
            <w:tab/>
          </w:r>
          <w:r>
            <w:rPr>
              <w:color w:val="auto"/>
            </w:rPr>
            <w:fldChar w:fldCharType="begin"/>
          </w:r>
          <w:r>
            <w:rPr>
              <w:color w:val="auto"/>
            </w:rPr>
            <w:instrText xml:space="preserve"> PAGEREF _Toc5542 \h </w:instrText>
          </w:r>
          <w:r>
            <w:rPr>
              <w:color w:val="auto"/>
            </w:rPr>
            <w:fldChar w:fldCharType="separate"/>
          </w:r>
          <w:r>
            <w:rPr>
              <w:color w:val="auto"/>
            </w:rPr>
            <w:t>23</w:t>
          </w:r>
          <w:r>
            <w:rPr>
              <w:color w:val="auto"/>
            </w:rPr>
            <w:fldChar w:fldCharType="end"/>
          </w:r>
          <w:r>
            <w:rPr>
              <w:color w:val="auto"/>
            </w:rPr>
            <w:fldChar w:fldCharType="end"/>
          </w:r>
        </w:p>
        <w:p w14:paraId="402840F3">
          <w:pPr>
            <w:pStyle w:val="17"/>
            <w:tabs>
              <w:tab w:val="right" w:leader="dot" w:pos="8312"/>
            </w:tabs>
            <w:ind w:left="440"/>
            <w:rPr>
              <w:color w:val="auto"/>
            </w:rPr>
          </w:pPr>
          <w:r>
            <w:fldChar w:fldCharType="begin"/>
          </w:r>
          <w:r>
            <w:instrText xml:space="preserve"> HYPERLINK \l "_Toc18997" </w:instrText>
          </w:r>
          <w:r>
            <w:fldChar w:fldCharType="separate"/>
          </w:r>
          <w:r>
            <w:rPr>
              <w:rFonts w:ascii="宋体" w:hAnsi="宋体" w:eastAsia="宋体" w:cs="宋体"/>
              <w:color w:val="auto"/>
            </w:rPr>
            <w:t>3.3.6给排水设计要求</w:t>
          </w:r>
          <w:r>
            <w:rPr>
              <w:color w:val="auto"/>
            </w:rPr>
            <w:tab/>
          </w:r>
          <w:r>
            <w:rPr>
              <w:color w:val="auto"/>
            </w:rPr>
            <w:fldChar w:fldCharType="begin"/>
          </w:r>
          <w:r>
            <w:rPr>
              <w:color w:val="auto"/>
            </w:rPr>
            <w:instrText xml:space="preserve"> PAGEREF _Toc18997 \h </w:instrText>
          </w:r>
          <w:r>
            <w:rPr>
              <w:color w:val="auto"/>
            </w:rPr>
            <w:fldChar w:fldCharType="separate"/>
          </w:r>
          <w:r>
            <w:rPr>
              <w:color w:val="auto"/>
            </w:rPr>
            <w:t>24</w:t>
          </w:r>
          <w:r>
            <w:rPr>
              <w:color w:val="auto"/>
            </w:rPr>
            <w:fldChar w:fldCharType="end"/>
          </w:r>
          <w:r>
            <w:rPr>
              <w:color w:val="auto"/>
            </w:rPr>
            <w:fldChar w:fldCharType="end"/>
          </w:r>
        </w:p>
        <w:p w14:paraId="63508B4F">
          <w:pPr>
            <w:pStyle w:val="17"/>
            <w:tabs>
              <w:tab w:val="right" w:leader="dot" w:pos="8312"/>
            </w:tabs>
            <w:ind w:left="440"/>
            <w:rPr>
              <w:color w:val="auto"/>
            </w:rPr>
          </w:pPr>
          <w:r>
            <w:fldChar w:fldCharType="begin"/>
          </w:r>
          <w:r>
            <w:instrText xml:space="preserve"> HYPERLINK \l "_Toc18688" </w:instrText>
          </w:r>
          <w:r>
            <w:fldChar w:fldCharType="separate"/>
          </w:r>
          <w:r>
            <w:rPr>
              <w:rFonts w:ascii="宋体" w:hAnsi="宋体" w:eastAsia="宋体" w:cs="宋体"/>
              <w:color w:val="auto"/>
            </w:rPr>
            <w:t>3.3.7电气设计要求</w:t>
          </w:r>
          <w:r>
            <w:rPr>
              <w:color w:val="auto"/>
            </w:rPr>
            <w:tab/>
          </w:r>
          <w:r>
            <w:rPr>
              <w:color w:val="auto"/>
            </w:rPr>
            <w:fldChar w:fldCharType="begin"/>
          </w:r>
          <w:r>
            <w:rPr>
              <w:color w:val="auto"/>
            </w:rPr>
            <w:instrText xml:space="preserve"> PAGEREF _Toc18688 \h </w:instrText>
          </w:r>
          <w:r>
            <w:rPr>
              <w:color w:val="auto"/>
            </w:rPr>
            <w:fldChar w:fldCharType="separate"/>
          </w:r>
          <w:r>
            <w:rPr>
              <w:color w:val="auto"/>
            </w:rPr>
            <w:t>24</w:t>
          </w:r>
          <w:r>
            <w:rPr>
              <w:color w:val="auto"/>
            </w:rPr>
            <w:fldChar w:fldCharType="end"/>
          </w:r>
          <w:r>
            <w:rPr>
              <w:color w:val="auto"/>
            </w:rPr>
            <w:fldChar w:fldCharType="end"/>
          </w:r>
        </w:p>
        <w:p w14:paraId="23FD3828">
          <w:pPr>
            <w:pStyle w:val="17"/>
            <w:tabs>
              <w:tab w:val="right" w:leader="dot" w:pos="8312"/>
            </w:tabs>
            <w:ind w:left="440"/>
            <w:rPr>
              <w:color w:val="auto"/>
            </w:rPr>
          </w:pPr>
          <w:r>
            <w:fldChar w:fldCharType="begin"/>
          </w:r>
          <w:r>
            <w:instrText xml:space="preserve"> HYPERLINK \l "_Toc31016" </w:instrText>
          </w:r>
          <w:r>
            <w:fldChar w:fldCharType="separate"/>
          </w:r>
          <w:r>
            <w:rPr>
              <w:rFonts w:ascii="宋体" w:hAnsi="宋体" w:eastAsia="宋体" w:cs="宋体"/>
              <w:color w:val="auto"/>
            </w:rPr>
            <w:t>3.3.8通风空调设计要求</w:t>
          </w:r>
          <w:r>
            <w:rPr>
              <w:color w:val="auto"/>
            </w:rPr>
            <w:tab/>
          </w:r>
          <w:r>
            <w:rPr>
              <w:color w:val="auto"/>
            </w:rPr>
            <w:fldChar w:fldCharType="begin"/>
          </w:r>
          <w:r>
            <w:rPr>
              <w:color w:val="auto"/>
            </w:rPr>
            <w:instrText xml:space="preserve"> PAGEREF _Toc31016 \h </w:instrText>
          </w:r>
          <w:r>
            <w:rPr>
              <w:color w:val="auto"/>
            </w:rPr>
            <w:fldChar w:fldCharType="separate"/>
          </w:r>
          <w:r>
            <w:rPr>
              <w:color w:val="auto"/>
            </w:rPr>
            <w:t>26</w:t>
          </w:r>
          <w:r>
            <w:rPr>
              <w:color w:val="auto"/>
            </w:rPr>
            <w:fldChar w:fldCharType="end"/>
          </w:r>
          <w:r>
            <w:rPr>
              <w:color w:val="auto"/>
            </w:rPr>
            <w:fldChar w:fldCharType="end"/>
          </w:r>
        </w:p>
        <w:p w14:paraId="446023EF">
          <w:pPr>
            <w:pStyle w:val="17"/>
            <w:tabs>
              <w:tab w:val="right" w:leader="dot" w:pos="8312"/>
            </w:tabs>
            <w:ind w:left="440"/>
            <w:rPr>
              <w:color w:val="auto"/>
            </w:rPr>
          </w:pPr>
          <w:r>
            <w:fldChar w:fldCharType="begin"/>
          </w:r>
          <w:r>
            <w:instrText xml:space="preserve"> HYPERLINK \l "_Toc7495" </w:instrText>
          </w:r>
          <w:r>
            <w:fldChar w:fldCharType="separate"/>
          </w:r>
          <w:r>
            <w:rPr>
              <w:rFonts w:ascii="宋体" w:hAnsi="宋体" w:eastAsia="宋体" w:cs="宋体"/>
              <w:color w:val="auto"/>
            </w:rPr>
            <w:t>3.3.9智能化工程设计要求</w:t>
          </w:r>
          <w:r>
            <w:rPr>
              <w:color w:val="auto"/>
            </w:rPr>
            <w:tab/>
          </w:r>
          <w:r>
            <w:rPr>
              <w:color w:val="auto"/>
            </w:rPr>
            <w:fldChar w:fldCharType="begin"/>
          </w:r>
          <w:r>
            <w:rPr>
              <w:color w:val="auto"/>
            </w:rPr>
            <w:instrText xml:space="preserve"> PAGEREF _Toc7495 \h </w:instrText>
          </w:r>
          <w:r>
            <w:rPr>
              <w:color w:val="auto"/>
            </w:rPr>
            <w:fldChar w:fldCharType="separate"/>
          </w:r>
          <w:r>
            <w:rPr>
              <w:color w:val="auto"/>
            </w:rPr>
            <w:t>27</w:t>
          </w:r>
          <w:r>
            <w:rPr>
              <w:color w:val="auto"/>
            </w:rPr>
            <w:fldChar w:fldCharType="end"/>
          </w:r>
          <w:r>
            <w:rPr>
              <w:color w:val="auto"/>
            </w:rPr>
            <w:fldChar w:fldCharType="end"/>
          </w:r>
        </w:p>
        <w:p w14:paraId="374F53A7">
          <w:pPr>
            <w:pStyle w:val="17"/>
            <w:tabs>
              <w:tab w:val="right" w:leader="dot" w:pos="8312"/>
            </w:tabs>
            <w:ind w:left="440"/>
            <w:rPr>
              <w:color w:val="auto"/>
            </w:rPr>
          </w:pPr>
          <w:r>
            <w:fldChar w:fldCharType="begin"/>
          </w:r>
          <w:r>
            <w:instrText xml:space="preserve"> HYPERLINK \l "_Toc9369" </w:instrText>
          </w:r>
          <w:r>
            <w:fldChar w:fldCharType="separate"/>
          </w:r>
          <w:r>
            <w:rPr>
              <w:rFonts w:ascii="宋体" w:hAnsi="宋体" w:eastAsia="宋体" w:cs="宋体"/>
              <w:color w:val="auto"/>
            </w:rPr>
            <w:t>3.3.10电梯设备设计要求</w:t>
          </w:r>
          <w:r>
            <w:rPr>
              <w:color w:val="auto"/>
            </w:rPr>
            <w:tab/>
          </w:r>
          <w:r>
            <w:rPr>
              <w:color w:val="auto"/>
            </w:rPr>
            <w:fldChar w:fldCharType="begin"/>
          </w:r>
          <w:r>
            <w:rPr>
              <w:color w:val="auto"/>
            </w:rPr>
            <w:instrText xml:space="preserve"> PAGEREF _Toc9369 \h </w:instrText>
          </w:r>
          <w:r>
            <w:rPr>
              <w:color w:val="auto"/>
            </w:rPr>
            <w:fldChar w:fldCharType="separate"/>
          </w:r>
          <w:r>
            <w:rPr>
              <w:color w:val="auto"/>
            </w:rPr>
            <w:t>28</w:t>
          </w:r>
          <w:r>
            <w:rPr>
              <w:color w:val="auto"/>
            </w:rPr>
            <w:fldChar w:fldCharType="end"/>
          </w:r>
          <w:r>
            <w:rPr>
              <w:color w:val="auto"/>
            </w:rPr>
            <w:fldChar w:fldCharType="end"/>
          </w:r>
        </w:p>
        <w:p w14:paraId="7949009C">
          <w:pPr>
            <w:pStyle w:val="17"/>
            <w:tabs>
              <w:tab w:val="right" w:leader="dot" w:pos="8312"/>
            </w:tabs>
            <w:ind w:left="440"/>
            <w:rPr>
              <w:color w:val="auto"/>
            </w:rPr>
          </w:pPr>
          <w:r>
            <w:fldChar w:fldCharType="begin"/>
          </w:r>
          <w:r>
            <w:instrText xml:space="preserve"> HYPERLINK \l "_Toc16196" </w:instrText>
          </w:r>
          <w:r>
            <w:fldChar w:fldCharType="separate"/>
          </w:r>
          <w:r>
            <w:rPr>
              <w:rFonts w:ascii="宋体" w:hAnsi="宋体" w:eastAsia="宋体" w:cs="宋体"/>
              <w:color w:val="auto"/>
            </w:rPr>
            <w:t>3.3.11市政设计(管廊)</w:t>
          </w:r>
          <w:r>
            <w:rPr>
              <w:color w:val="auto"/>
            </w:rPr>
            <w:tab/>
          </w:r>
          <w:r>
            <w:rPr>
              <w:color w:val="auto"/>
            </w:rPr>
            <w:fldChar w:fldCharType="begin"/>
          </w:r>
          <w:r>
            <w:rPr>
              <w:color w:val="auto"/>
            </w:rPr>
            <w:instrText xml:space="preserve"> PAGEREF _Toc16196 \h </w:instrText>
          </w:r>
          <w:r>
            <w:rPr>
              <w:color w:val="auto"/>
            </w:rPr>
            <w:fldChar w:fldCharType="separate"/>
          </w:r>
          <w:r>
            <w:rPr>
              <w:color w:val="auto"/>
            </w:rPr>
            <w:t>28</w:t>
          </w:r>
          <w:r>
            <w:rPr>
              <w:color w:val="auto"/>
            </w:rPr>
            <w:fldChar w:fldCharType="end"/>
          </w:r>
          <w:r>
            <w:rPr>
              <w:color w:val="auto"/>
            </w:rPr>
            <w:fldChar w:fldCharType="end"/>
          </w:r>
        </w:p>
        <w:p w14:paraId="00A963CD">
          <w:pPr>
            <w:pStyle w:val="17"/>
            <w:tabs>
              <w:tab w:val="right" w:leader="dot" w:pos="8312"/>
            </w:tabs>
            <w:ind w:left="440"/>
            <w:rPr>
              <w:color w:val="auto"/>
            </w:rPr>
          </w:pPr>
          <w:r>
            <w:fldChar w:fldCharType="begin"/>
          </w:r>
          <w:r>
            <w:instrText xml:space="preserve"> HYPERLINK \l "_Toc31307" </w:instrText>
          </w:r>
          <w:r>
            <w:fldChar w:fldCharType="separate"/>
          </w:r>
          <w:r>
            <w:rPr>
              <w:rFonts w:ascii="宋体" w:hAnsi="宋体" w:eastAsia="宋体" w:cs="宋体"/>
              <w:color w:val="auto"/>
            </w:rPr>
            <w:t>3.3.12 BIM设计要求</w:t>
          </w:r>
          <w:r>
            <w:rPr>
              <w:color w:val="auto"/>
            </w:rPr>
            <w:tab/>
          </w:r>
          <w:r>
            <w:rPr>
              <w:color w:val="auto"/>
            </w:rPr>
            <w:fldChar w:fldCharType="begin"/>
          </w:r>
          <w:r>
            <w:rPr>
              <w:color w:val="auto"/>
            </w:rPr>
            <w:instrText xml:space="preserve"> PAGEREF _Toc31307 \h </w:instrText>
          </w:r>
          <w:r>
            <w:rPr>
              <w:color w:val="auto"/>
            </w:rPr>
            <w:fldChar w:fldCharType="separate"/>
          </w:r>
          <w:r>
            <w:rPr>
              <w:color w:val="auto"/>
            </w:rPr>
            <w:t>30</w:t>
          </w:r>
          <w:r>
            <w:rPr>
              <w:color w:val="auto"/>
            </w:rPr>
            <w:fldChar w:fldCharType="end"/>
          </w:r>
          <w:r>
            <w:rPr>
              <w:color w:val="auto"/>
            </w:rPr>
            <w:fldChar w:fldCharType="end"/>
          </w:r>
        </w:p>
        <w:p w14:paraId="7D665E26">
          <w:pPr>
            <w:pStyle w:val="17"/>
            <w:tabs>
              <w:tab w:val="right" w:leader="dot" w:pos="8312"/>
            </w:tabs>
            <w:ind w:left="440"/>
            <w:rPr>
              <w:color w:val="auto"/>
            </w:rPr>
          </w:pPr>
          <w:r>
            <w:fldChar w:fldCharType="begin"/>
          </w:r>
          <w:r>
            <w:instrText xml:space="preserve"> HYPERLINK \l "_Toc4429" </w:instrText>
          </w:r>
          <w:r>
            <w:fldChar w:fldCharType="separate"/>
          </w:r>
          <w:r>
            <w:rPr>
              <w:rFonts w:ascii="宋体" w:hAnsi="宋体" w:eastAsia="宋体" w:cs="宋体"/>
              <w:color w:val="auto"/>
            </w:rPr>
            <w:t>3.3.13绿色建筑设计</w:t>
          </w:r>
          <w:r>
            <w:rPr>
              <w:color w:val="auto"/>
            </w:rPr>
            <w:tab/>
          </w:r>
          <w:r>
            <w:rPr>
              <w:color w:val="auto"/>
            </w:rPr>
            <w:fldChar w:fldCharType="begin"/>
          </w:r>
          <w:r>
            <w:rPr>
              <w:color w:val="auto"/>
            </w:rPr>
            <w:instrText xml:space="preserve"> PAGEREF _Toc4429 \h </w:instrText>
          </w:r>
          <w:r>
            <w:rPr>
              <w:color w:val="auto"/>
            </w:rPr>
            <w:fldChar w:fldCharType="separate"/>
          </w:r>
          <w:r>
            <w:rPr>
              <w:color w:val="auto"/>
            </w:rPr>
            <w:t>32</w:t>
          </w:r>
          <w:r>
            <w:rPr>
              <w:color w:val="auto"/>
            </w:rPr>
            <w:fldChar w:fldCharType="end"/>
          </w:r>
          <w:r>
            <w:rPr>
              <w:color w:val="auto"/>
            </w:rPr>
            <w:fldChar w:fldCharType="end"/>
          </w:r>
        </w:p>
        <w:p w14:paraId="5B36DE3A">
          <w:pPr>
            <w:pStyle w:val="17"/>
            <w:tabs>
              <w:tab w:val="right" w:leader="dot" w:pos="8312"/>
            </w:tabs>
            <w:ind w:left="440"/>
            <w:rPr>
              <w:color w:val="auto"/>
            </w:rPr>
          </w:pPr>
          <w:r>
            <w:fldChar w:fldCharType="begin"/>
          </w:r>
          <w:r>
            <w:instrText xml:space="preserve"> HYPERLINK \l "_Toc30837" </w:instrText>
          </w:r>
          <w:r>
            <w:fldChar w:fldCharType="separate"/>
          </w:r>
          <w:r>
            <w:rPr>
              <w:rFonts w:ascii="宋体" w:hAnsi="宋体" w:eastAsia="宋体" w:cs="宋体"/>
              <w:color w:val="auto"/>
            </w:rPr>
            <w:t>3.3.14其它设计要求</w:t>
          </w:r>
          <w:r>
            <w:rPr>
              <w:color w:val="auto"/>
            </w:rPr>
            <w:tab/>
          </w:r>
          <w:r>
            <w:rPr>
              <w:color w:val="auto"/>
            </w:rPr>
            <w:fldChar w:fldCharType="begin"/>
          </w:r>
          <w:r>
            <w:rPr>
              <w:color w:val="auto"/>
            </w:rPr>
            <w:instrText xml:space="preserve"> PAGEREF _Toc30837 \h </w:instrText>
          </w:r>
          <w:r>
            <w:rPr>
              <w:color w:val="auto"/>
            </w:rPr>
            <w:fldChar w:fldCharType="separate"/>
          </w:r>
          <w:r>
            <w:rPr>
              <w:color w:val="auto"/>
            </w:rPr>
            <w:t>34</w:t>
          </w:r>
          <w:r>
            <w:rPr>
              <w:color w:val="auto"/>
            </w:rPr>
            <w:fldChar w:fldCharType="end"/>
          </w:r>
          <w:r>
            <w:rPr>
              <w:color w:val="auto"/>
            </w:rPr>
            <w:fldChar w:fldCharType="end"/>
          </w:r>
        </w:p>
        <w:p w14:paraId="62F83734">
          <w:pPr>
            <w:pStyle w:val="17"/>
            <w:tabs>
              <w:tab w:val="right" w:leader="dot" w:pos="8312"/>
            </w:tabs>
            <w:ind w:left="440"/>
            <w:rPr>
              <w:color w:val="auto"/>
            </w:rPr>
          </w:pPr>
          <w:r>
            <w:fldChar w:fldCharType="begin"/>
          </w:r>
          <w:r>
            <w:instrText xml:space="preserve"> HYPERLINK \l "_Toc28965" </w:instrText>
          </w:r>
          <w:r>
            <w:fldChar w:fldCharType="separate"/>
          </w:r>
          <w:r>
            <w:rPr>
              <w:rFonts w:ascii="宋体" w:hAnsi="宋体" w:eastAsia="宋体" w:cs="宋体"/>
              <w:color w:val="auto"/>
            </w:rPr>
            <w:t>3.3.15造价工作要求</w:t>
          </w:r>
          <w:r>
            <w:rPr>
              <w:color w:val="auto"/>
            </w:rPr>
            <w:tab/>
          </w:r>
          <w:r>
            <w:rPr>
              <w:color w:val="auto"/>
            </w:rPr>
            <w:fldChar w:fldCharType="begin"/>
          </w:r>
          <w:r>
            <w:rPr>
              <w:color w:val="auto"/>
            </w:rPr>
            <w:instrText xml:space="preserve"> PAGEREF _Toc28965 \h </w:instrText>
          </w:r>
          <w:r>
            <w:rPr>
              <w:color w:val="auto"/>
            </w:rPr>
            <w:fldChar w:fldCharType="separate"/>
          </w:r>
          <w:r>
            <w:rPr>
              <w:color w:val="auto"/>
            </w:rPr>
            <w:t>35</w:t>
          </w:r>
          <w:r>
            <w:rPr>
              <w:color w:val="auto"/>
            </w:rPr>
            <w:fldChar w:fldCharType="end"/>
          </w:r>
          <w:r>
            <w:rPr>
              <w:color w:val="auto"/>
            </w:rPr>
            <w:fldChar w:fldCharType="end"/>
          </w:r>
        </w:p>
        <w:p w14:paraId="676AA173">
          <w:pPr>
            <w:pStyle w:val="15"/>
            <w:tabs>
              <w:tab w:val="right" w:leader="dot" w:pos="8312"/>
            </w:tabs>
            <w:rPr>
              <w:color w:val="auto"/>
            </w:rPr>
          </w:pPr>
          <w:r>
            <w:fldChar w:fldCharType="begin"/>
          </w:r>
          <w:r>
            <w:instrText xml:space="preserve"> HYPERLINK \l "_Toc9355" </w:instrText>
          </w:r>
          <w:r>
            <w:fldChar w:fldCharType="separate"/>
          </w:r>
          <w:r>
            <w:rPr>
              <w:rFonts w:ascii="宋体" w:hAnsi="宋体" w:eastAsia="宋体" w:cs="宋体"/>
              <w:color w:val="auto"/>
            </w:rPr>
            <w:t>第4章勘察设计人员组织管理要求</w:t>
          </w:r>
          <w:r>
            <w:rPr>
              <w:color w:val="auto"/>
            </w:rPr>
            <w:tab/>
          </w:r>
          <w:r>
            <w:rPr>
              <w:color w:val="auto"/>
            </w:rPr>
            <w:fldChar w:fldCharType="begin"/>
          </w:r>
          <w:r>
            <w:rPr>
              <w:color w:val="auto"/>
            </w:rPr>
            <w:instrText xml:space="preserve"> PAGEREF _Toc9355 \h </w:instrText>
          </w:r>
          <w:r>
            <w:rPr>
              <w:color w:val="auto"/>
            </w:rPr>
            <w:fldChar w:fldCharType="separate"/>
          </w:r>
          <w:r>
            <w:rPr>
              <w:color w:val="auto"/>
            </w:rPr>
            <w:t>35</w:t>
          </w:r>
          <w:r>
            <w:rPr>
              <w:color w:val="auto"/>
            </w:rPr>
            <w:fldChar w:fldCharType="end"/>
          </w:r>
          <w:r>
            <w:rPr>
              <w:color w:val="auto"/>
            </w:rPr>
            <w:fldChar w:fldCharType="end"/>
          </w:r>
        </w:p>
        <w:p w14:paraId="00C0B7A3">
          <w:pPr>
            <w:pStyle w:val="15"/>
            <w:tabs>
              <w:tab w:val="right" w:leader="dot" w:pos="8312"/>
            </w:tabs>
            <w:rPr>
              <w:color w:val="auto"/>
            </w:rPr>
          </w:pPr>
          <w:r>
            <w:fldChar w:fldCharType="begin"/>
          </w:r>
          <w:r>
            <w:instrText xml:space="preserve"> HYPERLINK \l "_Toc31275" </w:instrText>
          </w:r>
          <w:r>
            <w:fldChar w:fldCharType="separate"/>
          </w:r>
          <w:r>
            <w:rPr>
              <w:rFonts w:ascii="宋体" w:hAnsi="宋体" w:eastAsia="宋体" w:cs="宋体"/>
              <w:color w:val="auto"/>
            </w:rPr>
            <w:t>4.1设计人员组织管理</w:t>
          </w:r>
          <w:r>
            <w:rPr>
              <w:color w:val="auto"/>
            </w:rPr>
            <w:tab/>
          </w:r>
          <w:r>
            <w:rPr>
              <w:color w:val="auto"/>
            </w:rPr>
            <w:fldChar w:fldCharType="begin"/>
          </w:r>
          <w:r>
            <w:rPr>
              <w:color w:val="auto"/>
            </w:rPr>
            <w:instrText xml:space="preserve"> PAGEREF _Toc31275 \h </w:instrText>
          </w:r>
          <w:r>
            <w:rPr>
              <w:color w:val="auto"/>
            </w:rPr>
            <w:fldChar w:fldCharType="separate"/>
          </w:r>
          <w:r>
            <w:rPr>
              <w:color w:val="auto"/>
            </w:rPr>
            <w:t>35</w:t>
          </w:r>
          <w:r>
            <w:rPr>
              <w:color w:val="auto"/>
            </w:rPr>
            <w:fldChar w:fldCharType="end"/>
          </w:r>
          <w:r>
            <w:rPr>
              <w:color w:val="auto"/>
            </w:rPr>
            <w:fldChar w:fldCharType="end"/>
          </w:r>
        </w:p>
        <w:p w14:paraId="7C51892E">
          <w:pPr>
            <w:pStyle w:val="15"/>
            <w:tabs>
              <w:tab w:val="right" w:leader="dot" w:pos="8312"/>
            </w:tabs>
            <w:rPr>
              <w:color w:val="auto"/>
            </w:rPr>
          </w:pPr>
          <w:r>
            <w:fldChar w:fldCharType="begin"/>
          </w:r>
          <w:r>
            <w:instrText xml:space="preserve"> HYPERLINK \l "_Toc4417" </w:instrText>
          </w:r>
          <w:r>
            <w:fldChar w:fldCharType="separate"/>
          </w:r>
          <w:r>
            <w:rPr>
              <w:rFonts w:ascii="宋体" w:hAnsi="宋体" w:eastAsia="宋体" w:cs="宋体"/>
              <w:color w:val="auto"/>
            </w:rPr>
            <w:t>第5章勘察设计成果提交要求</w:t>
          </w:r>
          <w:r>
            <w:rPr>
              <w:color w:val="auto"/>
            </w:rPr>
            <w:tab/>
          </w:r>
          <w:r>
            <w:rPr>
              <w:color w:val="auto"/>
            </w:rPr>
            <w:fldChar w:fldCharType="begin"/>
          </w:r>
          <w:r>
            <w:rPr>
              <w:color w:val="auto"/>
            </w:rPr>
            <w:instrText xml:space="preserve"> PAGEREF _Toc4417 \h </w:instrText>
          </w:r>
          <w:r>
            <w:rPr>
              <w:color w:val="auto"/>
            </w:rPr>
            <w:fldChar w:fldCharType="separate"/>
          </w:r>
          <w:r>
            <w:rPr>
              <w:color w:val="auto"/>
            </w:rPr>
            <w:t>36</w:t>
          </w:r>
          <w:r>
            <w:rPr>
              <w:color w:val="auto"/>
            </w:rPr>
            <w:fldChar w:fldCharType="end"/>
          </w:r>
          <w:r>
            <w:rPr>
              <w:color w:val="auto"/>
            </w:rPr>
            <w:fldChar w:fldCharType="end"/>
          </w:r>
        </w:p>
        <w:p w14:paraId="5F08A6EA">
          <w:pPr>
            <w:pStyle w:val="15"/>
            <w:tabs>
              <w:tab w:val="right" w:leader="dot" w:pos="8312"/>
            </w:tabs>
            <w:rPr>
              <w:color w:val="auto"/>
            </w:rPr>
          </w:pPr>
          <w:r>
            <w:fldChar w:fldCharType="begin"/>
          </w:r>
          <w:r>
            <w:instrText xml:space="preserve"> HYPERLINK \l "_Toc3532" </w:instrText>
          </w:r>
          <w:r>
            <w:fldChar w:fldCharType="separate"/>
          </w:r>
          <w:r>
            <w:rPr>
              <w:rFonts w:ascii="宋体" w:hAnsi="宋体" w:eastAsia="宋体" w:cs="宋体"/>
              <w:color w:val="auto"/>
            </w:rPr>
            <w:t>5.1通用要求</w:t>
          </w:r>
          <w:r>
            <w:rPr>
              <w:color w:val="auto"/>
            </w:rPr>
            <w:tab/>
          </w:r>
          <w:r>
            <w:rPr>
              <w:color w:val="auto"/>
            </w:rPr>
            <w:fldChar w:fldCharType="begin"/>
          </w:r>
          <w:r>
            <w:rPr>
              <w:color w:val="auto"/>
            </w:rPr>
            <w:instrText xml:space="preserve"> PAGEREF _Toc3532 \h </w:instrText>
          </w:r>
          <w:r>
            <w:rPr>
              <w:color w:val="auto"/>
            </w:rPr>
            <w:fldChar w:fldCharType="separate"/>
          </w:r>
          <w:r>
            <w:rPr>
              <w:color w:val="auto"/>
            </w:rPr>
            <w:t>36</w:t>
          </w:r>
          <w:r>
            <w:rPr>
              <w:color w:val="auto"/>
            </w:rPr>
            <w:fldChar w:fldCharType="end"/>
          </w:r>
          <w:r>
            <w:rPr>
              <w:color w:val="auto"/>
            </w:rPr>
            <w:fldChar w:fldCharType="end"/>
          </w:r>
        </w:p>
        <w:p w14:paraId="69F85877">
          <w:pPr>
            <w:pStyle w:val="15"/>
            <w:tabs>
              <w:tab w:val="right" w:leader="dot" w:pos="8312"/>
            </w:tabs>
            <w:rPr>
              <w:color w:val="auto"/>
            </w:rPr>
          </w:pPr>
          <w:r>
            <w:fldChar w:fldCharType="begin"/>
          </w:r>
          <w:r>
            <w:instrText xml:space="preserve"> HYPERLINK \l "_Toc30135" </w:instrText>
          </w:r>
          <w:r>
            <w:fldChar w:fldCharType="separate"/>
          </w:r>
          <w:r>
            <w:rPr>
              <w:rFonts w:ascii="宋体" w:hAnsi="宋体" w:eastAsia="宋体" w:cs="宋体"/>
              <w:color w:val="auto"/>
            </w:rPr>
            <w:t>5.2设计成果要求</w:t>
          </w:r>
          <w:r>
            <w:rPr>
              <w:color w:val="auto"/>
            </w:rPr>
            <w:tab/>
          </w:r>
          <w:r>
            <w:rPr>
              <w:color w:val="auto"/>
            </w:rPr>
            <w:fldChar w:fldCharType="begin"/>
          </w:r>
          <w:r>
            <w:rPr>
              <w:color w:val="auto"/>
            </w:rPr>
            <w:instrText xml:space="preserve"> PAGEREF _Toc30135 \h </w:instrText>
          </w:r>
          <w:r>
            <w:rPr>
              <w:color w:val="auto"/>
            </w:rPr>
            <w:fldChar w:fldCharType="separate"/>
          </w:r>
          <w:r>
            <w:rPr>
              <w:color w:val="auto"/>
            </w:rPr>
            <w:t>37</w:t>
          </w:r>
          <w:r>
            <w:rPr>
              <w:color w:val="auto"/>
            </w:rPr>
            <w:fldChar w:fldCharType="end"/>
          </w:r>
          <w:r>
            <w:rPr>
              <w:color w:val="auto"/>
            </w:rPr>
            <w:fldChar w:fldCharType="end"/>
          </w:r>
        </w:p>
        <w:p w14:paraId="7766B7ED">
          <w:pPr>
            <w:pStyle w:val="15"/>
            <w:tabs>
              <w:tab w:val="right" w:leader="dot" w:pos="8312"/>
            </w:tabs>
            <w:rPr>
              <w:color w:val="auto"/>
            </w:rPr>
          </w:pPr>
          <w:r>
            <w:fldChar w:fldCharType="begin"/>
          </w:r>
          <w:r>
            <w:instrText xml:space="preserve"> HYPERLINK \l "_Toc31874" </w:instrText>
          </w:r>
          <w:r>
            <w:fldChar w:fldCharType="separate"/>
          </w:r>
          <w:r>
            <w:rPr>
              <w:rFonts w:ascii="宋体" w:hAnsi="宋体" w:eastAsia="宋体" w:cs="宋体"/>
              <w:color w:val="auto"/>
            </w:rPr>
            <w:t>5.3提交设计资料要求</w:t>
          </w:r>
          <w:r>
            <w:rPr>
              <w:color w:val="auto"/>
            </w:rPr>
            <w:tab/>
          </w:r>
          <w:r>
            <w:rPr>
              <w:color w:val="auto"/>
            </w:rPr>
            <w:fldChar w:fldCharType="begin"/>
          </w:r>
          <w:r>
            <w:rPr>
              <w:color w:val="auto"/>
            </w:rPr>
            <w:instrText xml:space="preserve"> PAGEREF _Toc31874 \h </w:instrText>
          </w:r>
          <w:r>
            <w:rPr>
              <w:color w:val="auto"/>
            </w:rPr>
            <w:fldChar w:fldCharType="separate"/>
          </w:r>
          <w:r>
            <w:rPr>
              <w:color w:val="auto"/>
            </w:rPr>
            <w:t>39</w:t>
          </w:r>
          <w:r>
            <w:rPr>
              <w:color w:val="auto"/>
            </w:rPr>
            <w:fldChar w:fldCharType="end"/>
          </w:r>
          <w:r>
            <w:rPr>
              <w:color w:val="auto"/>
            </w:rPr>
            <w:fldChar w:fldCharType="end"/>
          </w:r>
        </w:p>
        <w:p w14:paraId="3AAAF21D">
          <w:pPr>
            <w:pStyle w:val="15"/>
            <w:tabs>
              <w:tab w:val="right" w:leader="dot" w:pos="8312"/>
            </w:tabs>
            <w:rPr>
              <w:color w:val="auto"/>
            </w:rPr>
          </w:pPr>
          <w:r>
            <w:fldChar w:fldCharType="begin"/>
          </w:r>
          <w:r>
            <w:instrText xml:space="preserve"> HYPERLINK \l "_Toc26350" </w:instrText>
          </w:r>
          <w:r>
            <w:fldChar w:fldCharType="separate"/>
          </w:r>
          <w:r>
            <w:rPr>
              <w:rFonts w:ascii="宋体" w:hAnsi="宋体" w:eastAsia="宋体" w:cs="宋体"/>
              <w:color w:val="auto"/>
            </w:rPr>
            <w:t>第6章附则</w:t>
          </w:r>
          <w:r>
            <w:rPr>
              <w:color w:val="auto"/>
            </w:rPr>
            <w:tab/>
          </w:r>
          <w:r>
            <w:rPr>
              <w:color w:val="auto"/>
            </w:rPr>
            <w:fldChar w:fldCharType="begin"/>
          </w:r>
          <w:r>
            <w:rPr>
              <w:color w:val="auto"/>
            </w:rPr>
            <w:instrText xml:space="preserve"> PAGEREF _Toc26350 \h </w:instrText>
          </w:r>
          <w:r>
            <w:rPr>
              <w:color w:val="auto"/>
            </w:rPr>
            <w:fldChar w:fldCharType="separate"/>
          </w:r>
          <w:r>
            <w:rPr>
              <w:color w:val="auto"/>
            </w:rPr>
            <w:t>42</w:t>
          </w:r>
          <w:r>
            <w:rPr>
              <w:color w:val="auto"/>
            </w:rPr>
            <w:fldChar w:fldCharType="end"/>
          </w:r>
          <w:r>
            <w:rPr>
              <w:color w:val="auto"/>
            </w:rPr>
            <w:fldChar w:fldCharType="end"/>
          </w:r>
        </w:p>
        <w:p w14:paraId="4B17157B">
          <w:pPr>
            <w:rPr>
              <w:color w:val="auto"/>
            </w:rPr>
          </w:pPr>
          <w:r>
            <w:rPr>
              <w:color w:val="auto"/>
            </w:rPr>
            <w:fldChar w:fldCharType="end"/>
          </w:r>
        </w:p>
      </w:sdtContent>
    </w:sdt>
    <w:p w14:paraId="4F9FEC72">
      <w:pPr>
        <w:snapToGrid w:val="0"/>
        <w:spacing w:before="0" w:after="0"/>
        <w:sectPr>
          <w:pgSz w:w="11906" w:h="16838"/>
          <w:pgMar w:top="1440" w:right="1797" w:bottom="1440" w:left="1797" w:header="851" w:footer="992" w:gutter="0"/>
          <w:cols w:space="0" w:num="1"/>
          <w:docGrid w:type="lines" w:linePitch="387" w:charSpace="0"/>
        </w:sectPr>
      </w:pPr>
    </w:p>
    <w:p w14:paraId="453EA64F"/>
    <w:p w14:paraId="0F7EF6D3">
      <w:pPr>
        <w:pStyle w:val="2"/>
        <w:ind w:left="0" w:firstLine="0"/>
        <w:jc w:val="center"/>
        <w:rPr>
          <w:sz w:val="28"/>
          <w:szCs w:val="22"/>
        </w:rPr>
      </w:pPr>
      <w:bookmarkStart w:id="1" w:name="_Toc75504380"/>
      <w:bookmarkEnd w:id="1"/>
      <w:bookmarkStart w:id="2" w:name="_Toc28031"/>
      <w:r>
        <w:rPr>
          <w:sz w:val="28"/>
          <w:szCs w:val="22"/>
        </w:rPr>
        <w:t>项目概况</w:t>
      </w:r>
      <w:bookmarkEnd w:id="2"/>
    </w:p>
    <w:p w14:paraId="14CFB321">
      <w:pPr>
        <w:pStyle w:val="3"/>
        <w:rPr>
          <w:sz w:val="28"/>
          <w:szCs w:val="22"/>
        </w:rPr>
      </w:pPr>
      <w:bookmarkStart w:id="3" w:name="_Toc75504381"/>
      <w:bookmarkEnd w:id="3"/>
      <w:bookmarkStart w:id="4" w:name="_Toc10308"/>
      <w:r>
        <w:rPr>
          <w:sz w:val="28"/>
          <w:szCs w:val="22"/>
        </w:rPr>
        <w:t>项目基本信息</w:t>
      </w:r>
      <w:bookmarkEnd w:id="4"/>
    </w:p>
    <w:p w14:paraId="7F17AE7C">
      <w:pPr>
        <w:pStyle w:val="4"/>
        <w:snapToGrid w:val="0"/>
        <w:spacing w:before="100" w:after="100" w:line="360" w:lineRule="auto"/>
        <w:ind w:left="0" w:firstLine="0"/>
        <w:rPr>
          <w:sz w:val="24"/>
          <w:szCs w:val="22"/>
        </w:rPr>
      </w:pPr>
      <w:bookmarkStart w:id="5" w:name="_Toc28090"/>
      <w:r>
        <w:rPr>
          <w:rFonts w:ascii="宋体" w:hAnsi="宋体" w:eastAsia="宋体" w:cs="宋体"/>
          <w:color w:val="000000"/>
          <w:sz w:val="24"/>
          <w:szCs w:val="22"/>
        </w:rPr>
        <w:t>项目名称</w:t>
      </w:r>
      <w:bookmarkEnd w:id="5"/>
    </w:p>
    <w:p w14:paraId="4A8DBF69">
      <w:pPr>
        <w:snapToGrid w:val="0"/>
        <w:spacing w:before="0" w:after="0" w:line="360" w:lineRule="auto"/>
        <w:ind w:firstLine="566" w:firstLineChars="236"/>
        <w:rPr>
          <w:rFonts w:hint="eastAsia" w:ascii="宋体" w:hAnsi="宋体" w:eastAsia="宋体" w:cs="宋体"/>
          <w:sz w:val="24"/>
        </w:rPr>
      </w:pPr>
      <w:r>
        <w:rPr>
          <w:rFonts w:ascii="宋体" w:hAnsi="宋体" w:eastAsia="宋体" w:cs="宋体"/>
          <w:color w:val="000000"/>
          <w:sz w:val="24"/>
        </w:rPr>
        <w:t>广州市海珠区三滘村城中村改造项目S4地块</w:t>
      </w:r>
      <w:r>
        <w:rPr>
          <w:rFonts w:hint="eastAsia" w:ascii="宋体" w:hAnsi="宋体" w:eastAsia="宋体" w:cs="宋体"/>
          <w:color w:val="000000"/>
          <w:sz w:val="24"/>
        </w:rPr>
        <w:t>安置物业建设项目。</w:t>
      </w:r>
    </w:p>
    <w:p w14:paraId="3AF4FC6E">
      <w:pPr>
        <w:pStyle w:val="4"/>
        <w:snapToGrid w:val="0"/>
        <w:spacing w:before="100" w:after="100" w:line="360" w:lineRule="auto"/>
        <w:ind w:left="0" w:firstLine="0"/>
        <w:rPr>
          <w:sz w:val="24"/>
          <w:szCs w:val="22"/>
        </w:rPr>
      </w:pPr>
      <w:bookmarkStart w:id="6" w:name="_Toc16180"/>
      <w:r>
        <w:rPr>
          <w:rFonts w:ascii="宋体" w:hAnsi="宋体" w:eastAsia="宋体" w:cs="宋体"/>
          <w:color w:val="000000"/>
          <w:sz w:val="24"/>
          <w:szCs w:val="22"/>
        </w:rPr>
        <w:t>项目位置</w:t>
      </w:r>
      <w:bookmarkEnd w:id="6"/>
    </w:p>
    <w:p w14:paraId="6384E745">
      <w:pPr>
        <w:snapToGrid w:val="0"/>
        <w:spacing w:before="0" w:after="0" w:line="360" w:lineRule="auto"/>
        <w:ind w:firstLine="566" w:firstLineChars="236"/>
        <w:rPr>
          <w:rFonts w:hint="eastAsia" w:ascii="宋体" w:hAnsi="宋体" w:eastAsia="宋体" w:cs="宋体"/>
          <w:color w:val="000000"/>
          <w:sz w:val="24"/>
        </w:rPr>
      </w:pPr>
      <w:r>
        <w:rPr>
          <w:rFonts w:ascii="宋体" w:hAnsi="宋体" w:eastAsia="宋体" w:cs="宋体"/>
          <w:color w:val="000000"/>
          <w:sz w:val="24"/>
        </w:rPr>
        <w:t>本项目位于广州市海珠区三滘村城中村改造项目S4地块，西临广州大道南，南靠南洲路和环城高速，东侧为振海路（规划路）。</w:t>
      </w:r>
    </w:p>
    <w:p w14:paraId="7CA91DB3">
      <w:pPr>
        <w:snapToGrid w:val="0"/>
        <w:spacing w:before="0" w:after="0" w:line="360" w:lineRule="auto"/>
        <w:rPr>
          <w:rFonts w:hint="eastAsia" w:ascii="宋体" w:hAnsi="宋体" w:eastAsia="宋体" w:cs="宋体"/>
          <w:color w:val="000000"/>
          <w:sz w:val="24"/>
        </w:rPr>
      </w:pPr>
      <w:r>
        <w:rPr>
          <w:sz w:val="24"/>
        </w:rPr>
        <mc:AlternateContent>
          <mc:Choice Requires="wps">
            <w:drawing>
              <wp:anchor distT="0" distB="0" distL="114300" distR="114300" simplePos="0" relativeHeight="251659264" behindDoc="0" locked="0" layoutInCell="1" allowOverlap="1">
                <wp:simplePos x="0" y="0"/>
                <wp:positionH relativeFrom="column">
                  <wp:posOffset>1948180</wp:posOffset>
                </wp:positionH>
                <wp:positionV relativeFrom="paragraph">
                  <wp:posOffset>1397000</wp:posOffset>
                </wp:positionV>
                <wp:extent cx="357505" cy="588010"/>
                <wp:effectExtent l="8890" t="6350" r="14605" b="15240"/>
                <wp:wrapNone/>
                <wp:docPr id="7" name="任意多边形 7"/>
                <wp:cNvGraphicFramePr/>
                <a:graphic xmlns:a="http://schemas.openxmlformats.org/drawingml/2006/main">
                  <a:graphicData uri="http://schemas.microsoft.com/office/word/2010/wordprocessingShape">
                    <wps:wsp>
                      <wps:cNvSpPr/>
                      <wps:spPr>
                        <a:xfrm>
                          <a:off x="3089275" y="5489575"/>
                          <a:ext cx="357505" cy="588010"/>
                        </a:xfrm>
                        <a:custGeom>
                          <a:avLst/>
                          <a:gdLst>
                            <a:gd name="connisteX0" fmla="*/ 174625 w 357505"/>
                            <a:gd name="connsiteY0" fmla="*/ 4445 h 560070"/>
                            <a:gd name="connisteX1" fmla="*/ 341630 w 357505"/>
                            <a:gd name="connsiteY1" fmla="*/ 0 h 560070"/>
                            <a:gd name="connisteX2" fmla="*/ 357505 w 357505"/>
                            <a:gd name="connsiteY2" fmla="*/ 551815 h 560070"/>
                            <a:gd name="connisteX3" fmla="*/ 107315 w 357505"/>
                            <a:gd name="connsiteY3" fmla="*/ 560070 h 560070"/>
                            <a:gd name="connisteX4" fmla="*/ 91440 w 357505"/>
                            <a:gd name="connsiteY4" fmla="*/ 329565 h 560070"/>
                            <a:gd name="connisteX5" fmla="*/ 0 w 357505"/>
                            <a:gd name="connsiteY5" fmla="*/ 269875 h 560070"/>
                            <a:gd name="connisteX6" fmla="*/ 174625 w 357505"/>
                            <a:gd name="connsiteY6" fmla="*/ 4445 h 560070"/>
                          </a:gdLst>
                          <a:ahLst/>
                          <a:cxnLst>
                            <a:cxn ang="0">
                              <a:pos x="connisteX0" y="connsiteY0"/>
                            </a:cxn>
                            <a:cxn ang="0">
                              <a:pos x="connisteX1" y="connsiteY1"/>
                            </a:cxn>
                            <a:cxn ang="0">
                              <a:pos x="connisteX2" y="connsiteY2"/>
                            </a:cxn>
                            <a:cxn ang="0">
                              <a:pos x="connisteX3" y="connsiteY3"/>
                            </a:cxn>
                            <a:cxn ang="0">
                              <a:pos x="connisteX4" y="connsiteY4"/>
                            </a:cxn>
                            <a:cxn ang="0">
                              <a:pos x="connisteX5" y="connsiteY5"/>
                            </a:cxn>
                            <a:cxn ang="0">
                              <a:pos x="connisteX6" y="connsiteY6"/>
                            </a:cxn>
                          </a:cxnLst>
                          <a:rect l="l" t="t" r="r" b="b"/>
                          <a:pathLst>
                            <a:path w="357505" h="560070">
                              <a:moveTo>
                                <a:pt x="174625" y="4445"/>
                              </a:moveTo>
                              <a:lnTo>
                                <a:pt x="341630" y="0"/>
                              </a:lnTo>
                              <a:lnTo>
                                <a:pt x="357505" y="551815"/>
                              </a:lnTo>
                              <a:lnTo>
                                <a:pt x="107315" y="560070"/>
                              </a:lnTo>
                              <a:lnTo>
                                <a:pt x="91440" y="329565"/>
                              </a:lnTo>
                              <a:lnTo>
                                <a:pt x="0" y="269875"/>
                              </a:lnTo>
                              <a:lnTo>
                                <a:pt x="174625" y="4445"/>
                              </a:lnTo>
                              <a:close/>
                            </a:path>
                          </a:pathLst>
                        </a:custGeom>
                        <a:solidFill>
                          <a:srgbClr val="FF0000"/>
                        </a:solidFill>
                        <a:ln>
                          <a:solidFill>
                            <a:srgbClr val="C00000"/>
                          </a:solidFill>
                        </a:ln>
                      </wps:spPr>
                      <wps:style>
                        <a:lnRef idx="2">
                          <a:schemeClr val="accent1">
                            <a:lumMod val="75000"/>
                          </a:schemeClr>
                        </a:lnRef>
                        <a:fillRef idx="1">
                          <a:schemeClr val="accent1"/>
                        </a:fillRef>
                        <a:effectRef idx="0">
                          <a:srgbClr val="FFFFFF"/>
                        </a:effectRef>
                        <a:fontRef idx="minor">
                          <a:schemeClr val="lt1"/>
                        </a:fontRef>
                      </wps:style>
                      <wps:bodyPr/>
                    </wps:wsp>
                  </a:graphicData>
                </a:graphic>
              </wp:anchor>
            </w:drawing>
          </mc:Choice>
          <mc:Fallback>
            <w:pict>
              <v:shape id="_x0000_s1026" o:spid="_x0000_s1026" o:spt="100" style="position:absolute;left:0pt;margin-left:153.4pt;margin-top:110pt;height:46.3pt;width:28.15pt;z-index:251659264;mso-width-relative:page;mso-height-relative:page;" fillcolor="#FF0000" filled="t" stroked="t" coordsize="357505,560070" o:gfxdata="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" path="m174625,4445l341630,0,357505,551815,107315,560070,91440,329565,0,269875,174625,4445xe">
                <v:path o:connectlocs="174625,4666;341630,0;357505,579343;107315,588010;91440,346005;0,283338;174625,4666" o:connectangles="0,0,0,0,0,0,0"/>
                <v:fill on="t" focussize="0,0"/>
                <v:stroke weight="1pt" color="#C00000 [2404]" miterlimit="8" joinstyle="miter"/>
                <v:imagedata o:title=""/>
                <o:lock v:ext="edit" aspectratio="f"/>
              </v:shape>
            </w:pict>
          </mc:Fallback>
        </mc:AlternateContent>
      </w:r>
      <w:r>
        <w:rPr>
          <w:rFonts w:ascii="宋体" w:hAnsi="宋体" w:eastAsia="宋体" w:cs="宋体"/>
          <w:color w:val="000000"/>
          <w:sz w:val="24"/>
        </w:rPr>
        <w:drawing>
          <wp:inline distT="0" distB="0" distL="0" distR="0">
            <wp:extent cx="5278120" cy="2976880"/>
            <wp:effectExtent l="0" t="0" r="0" b="0"/>
            <wp:docPr id="2" name="picture" descr="descript"/>
            <wp:cNvGraphicFramePr/>
            <a:graphic xmlns:a="http://schemas.openxmlformats.org/drawingml/2006/main">
              <a:graphicData uri="http://schemas.openxmlformats.org/drawingml/2006/picture">
                <pic:pic xmlns:pic="http://schemas.openxmlformats.org/drawingml/2006/picture">
                  <pic:nvPicPr>
                    <pic:cNvPr id="2" name="picture" descr="descript"/>
                    <pic:cNvPicPr/>
                  </pic:nvPicPr>
                  <pic:blipFill>
                    <a:blip r:embed="rId5"/>
                    <a:stretch>
                      <a:fillRect/>
                    </a:stretch>
                  </pic:blipFill>
                  <pic:spPr>
                    <a:xfrm>
                      <a:off x="0" y="0"/>
                      <a:ext cx="5278120" cy="2977401"/>
                    </a:xfrm>
                    <a:prstGeom prst="rect">
                      <a:avLst/>
                    </a:prstGeom>
                  </pic:spPr>
                </pic:pic>
              </a:graphicData>
            </a:graphic>
          </wp:inline>
        </w:drawing>
      </w:r>
    </w:p>
    <w:p w14:paraId="7EE561D9">
      <w:pPr>
        <w:snapToGrid w:val="0"/>
        <w:spacing w:before="0" w:after="0" w:line="360" w:lineRule="auto"/>
        <w:jc w:val="center"/>
        <w:rPr>
          <w:rFonts w:hint="eastAsia" w:ascii="宋体" w:hAnsi="宋体" w:eastAsia="宋体" w:cs="宋体"/>
          <w:color w:val="000000"/>
          <w:sz w:val="24"/>
        </w:rPr>
      </w:pPr>
      <w:r>
        <w:rPr>
          <w:rFonts w:ascii="宋体" w:hAnsi="宋体" w:eastAsia="宋体" w:cs="宋体"/>
          <w:color w:val="000000"/>
          <w:sz w:val="24"/>
        </w:rPr>
        <w:t>项目区位</w:t>
      </w:r>
    </w:p>
    <w:p w14:paraId="40E7AB8E">
      <w:pPr>
        <w:pStyle w:val="4"/>
        <w:snapToGrid w:val="0"/>
        <w:spacing w:before="100" w:after="100" w:line="360" w:lineRule="auto"/>
        <w:ind w:left="0" w:firstLine="0"/>
        <w:rPr>
          <w:sz w:val="24"/>
          <w:szCs w:val="22"/>
        </w:rPr>
      </w:pPr>
      <w:bookmarkStart w:id="7" w:name="_Toc7077"/>
      <w:r>
        <w:rPr>
          <w:rFonts w:ascii="宋体" w:hAnsi="宋体" w:eastAsia="宋体" w:cs="宋体"/>
          <w:color w:val="000000"/>
          <w:sz w:val="24"/>
          <w:szCs w:val="22"/>
        </w:rPr>
        <w:t>项目建设单位</w:t>
      </w:r>
      <w:bookmarkEnd w:id="7"/>
    </w:p>
    <w:p w14:paraId="12AD4BD1">
      <w:pPr>
        <w:snapToGrid w:val="0"/>
        <w:spacing w:before="0" w:after="0" w:line="360" w:lineRule="auto"/>
        <w:ind w:firstLine="566" w:firstLineChars="236"/>
      </w:pPr>
      <w:r>
        <w:rPr>
          <w:rFonts w:ascii="宋体" w:hAnsi="宋体" w:eastAsia="宋体" w:cs="宋体"/>
          <w:color w:val="000000"/>
          <w:sz w:val="24"/>
        </w:rPr>
        <w:t>广州新中轴海珠片区城市更新有限公司</w:t>
      </w:r>
    </w:p>
    <w:p w14:paraId="1D42539D">
      <w:pPr>
        <w:pStyle w:val="4"/>
        <w:snapToGrid w:val="0"/>
        <w:spacing w:before="100" w:after="100" w:line="360" w:lineRule="auto"/>
        <w:ind w:left="0" w:firstLine="0"/>
        <w:rPr>
          <w:sz w:val="24"/>
          <w:szCs w:val="22"/>
        </w:rPr>
      </w:pPr>
      <w:bookmarkStart w:id="8" w:name="_Toc24038"/>
      <w:r>
        <w:rPr>
          <w:rFonts w:ascii="宋体" w:hAnsi="宋体" w:eastAsia="宋体" w:cs="宋体"/>
          <w:color w:val="000000"/>
          <w:sz w:val="24"/>
          <w:szCs w:val="22"/>
        </w:rPr>
        <w:t>项目背景</w:t>
      </w:r>
      <w:bookmarkEnd w:id="8"/>
    </w:p>
    <w:p w14:paraId="148E7AD7">
      <w:pPr>
        <w:snapToGrid w:val="0"/>
        <w:spacing w:before="0" w:after="0" w:line="360" w:lineRule="auto"/>
        <w:ind w:firstLine="566" w:firstLineChars="236"/>
      </w:pPr>
      <w:r>
        <w:rPr>
          <w:rFonts w:ascii="宋体" w:hAnsi="宋体" w:eastAsia="宋体" w:cs="宋体"/>
          <w:color w:val="000000"/>
          <w:sz w:val="24"/>
        </w:rPr>
        <w:t>项目的建设目标和任务将紧紧围绕海珠区三滘村启动区的改造，强化地区的规划统筹，高位谋划、高标准设计，打通新城市轴线南段的贯通，链接广州塔、海珠湖、海珠创新湾等关键节点，打造优质资源高效集聚的发展主轴；同时全面提升城市人居环境品质，为高质量实现老城市新活力提供坚实支撑。</w:t>
      </w:r>
    </w:p>
    <w:p w14:paraId="390B448D">
      <w:pPr>
        <w:pStyle w:val="4"/>
        <w:snapToGrid w:val="0"/>
        <w:spacing w:before="100" w:after="100" w:line="360" w:lineRule="auto"/>
        <w:ind w:left="0" w:firstLine="0"/>
        <w:rPr>
          <w:sz w:val="24"/>
          <w:szCs w:val="22"/>
        </w:rPr>
      </w:pPr>
      <w:bookmarkStart w:id="9" w:name="_Toc5212"/>
      <w:r>
        <w:rPr>
          <w:rFonts w:ascii="宋体" w:hAnsi="宋体" w:eastAsia="宋体" w:cs="宋体"/>
          <w:color w:val="000000"/>
          <w:sz w:val="24"/>
          <w:szCs w:val="22"/>
        </w:rPr>
        <w:t>项目建设规模</w:t>
      </w:r>
      <w:bookmarkEnd w:id="9"/>
    </w:p>
    <w:p w14:paraId="0051A2C7">
      <w:pPr>
        <w:snapToGrid w:val="0"/>
        <w:spacing w:before="0" w:after="0" w:line="360" w:lineRule="auto"/>
        <w:ind w:firstLine="566" w:firstLineChars="236"/>
      </w:pPr>
      <w:r>
        <w:rPr>
          <w:rFonts w:ascii="宋体" w:hAnsi="宋体" w:eastAsia="宋体" w:cs="宋体"/>
          <w:color w:val="000000"/>
          <w:sz w:val="24"/>
        </w:rPr>
        <w:t>项目总</w:t>
      </w:r>
      <w:r>
        <w:rPr>
          <w:rFonts w:hint="eastAsia" w:ascii="宋体" w:hAnsi="宋体" w:eastAsia="宋体" w:cs="宋体"/>
          <w:color w:val="000000"/>
          <w:sz w:val="24"/>
        </w:rPr>
        <w:t>用地面积15739㎡，S4地块</w:t>
      </w:r>
      <w:r>
        <w:rPr>
          <w:rFonts w:ascii="宋体" w:hAnsi="宋体" w:eastAsia="宋体" w:cs="宋体"/>
          <w:color w:val="000000"/>
          <w:sz w:val="24"/>
        </w:rPr>
        <w:t>用地面积12981㎡</w:t>
      </w:r>
      <w:r>
        <w:rPr>
          <w:rFonts w:hint="eastAsia" w:ascii="宋体" w:hAnsi="宋体" w:eastAsia="宋体" w:cs="宋体"/>
          <w:color w:val="000000"/>
          <w:sz w:val="24"/>
        </w:rPr>
        <w:t>，东侧绿地面积2758㎡</w:t>
      </w:r>
      <w:r>
        <w:rPr>
          <w:rFonts w:ascii="宋体" w:hAnsi="宋体" w:eastAsia="宋体" w:cs="宋体"/>
          <w:color w:val="000000"/>
          <w:sz w:val="24"/>
        </w:rPr>
        <w:t>。</w:t>
      </w:r>
    </w:p>
    <w:p w14:paraId="56DE5FB1">
      <w:pPr>
        <w:snapToGrid w:val="0"/>
        <w:spacing w:before="0" w:after="0" w:line="360" w:lineRule="auto"/>
        <w:ind w:firstLine="566" w:firstLineChars="236"/>
      </w:pPr>
      <w:r>
        <w:rPr>
          <w:rFonts w:ascii="宋体" w:hAnsi="宋体" w:eastAsia="宋体" w:cs="宋体"/>
          <w:color w:val="000000"/>
          <w:sz w:val="24"/>
        </w:rPr>
        <w:t>项目总建筑面积约</w:t>
      </w:r>
      <w:r>
        <w:rPr>
          <w:rFonts w:hint="eastAsia" w:ascii="宋体" w:hAnsi="宋体" w:eastAsia="宋体" w:cs="宋体"/>
          <w:color w:val="000000"/>
          <w:sz w:val="24"/>
        </w:rPr>
        <w:t>27.78</w:t>
      </w:r>
      <w:r>
        <w:rPr>
          <w:rFonts w:ascii="宋体" w:hAnsi="宋体" w:eastAsia="宋体" w:cs="宋体"/>
          <w:color w:val="000000"/>
          <w:sz w:val="24"/>
        </w:rPr>
        <w:t>万平方米，其中地下建筑面积约</w:t>
      </w:r>
      <w:r>
        <w:rPr>
          <w:rFonts w:hint="eastAsia" w:ascii="宋体" w:hAnsi="宋体" w:eastAsia="宋体" w:cs="宋体"/>
          <w:color w:val="000000"/>
          <w:sz w:val="24"/>
        </w:rPr>
        <w:t>75623</w:t>
      </w:r>
      <w:r>
        <w:rPr>
          <w:rFonts w:ascii="宋体" w:hAnsi="宋体" w:eastAsia="宋体" w:cs="宋体"/>
          <w:color w:val="000000"/>
          <w:sz w:val="24"/>
        </w:rPr>
        <w:t>平方米，地上建筑面积约</w:t>
      </w:r>
      <w:r>
        <w:rPr>
          <w:rFonts w:hint="eastAsia" w:ascii="宋体" w:hAnsi="宋体" w:eastAsia="宋体" w:cs="宋体"/>
          <w:color w:val="000000"/>
          <w:sz w:val="24"/>
        </w:rPr>
        <w:t>202200</w:t>
      </w:r>
      <w:r>
        <w:rPr>
          <w:rFonts w:ascii="宋体" w:hAnsi="宋体" w:eastAsia="宋体" w:cs="宋体"/>
          <w:color w:val="000000"/>
          <w:sz w:val="24"/>
        </w:rPr>
        <w:t>平方米。(最终以批复为准）</w:t>
      </w:r>
    </w:p>
    <w:p w14:paraId="2C09FA5F">
      <w:pPr>
        <w:snapToGrid w:val="0"/>
        <w:spacing w:before="0" w:after="0" w:line="360" w:lineRule="auto"/>
        <w:ind w:firstLine="566" w:firstLineChars="236"/>
      </w:pPr>
      <w:r>
        <w:rPr>
          <w:rFonts w:ascii="宋体" w:hAnsi="宋体" w:eastAsia="宋体" w:cs="宋体"/>
          <w:color w:val="000000"/>
          <w:sz w:val="24"/>
        </w:rPr>
        <w:t>用地性质为商业商务用地兼容一类工业用地(B1/B2兼容M1)，用地面积为12981㎡，容积率≤13.</w:t>
      </w:r>
      <w:r>
        <w:rPr>
          <w:rFonts w:hint="eastAsia" w:ascii="宋体" w:hAnsi="宋体" w:eastAsia="宋体" w:cs="宋体"/>
          <w:color w:val="000000"/>
          <w:sz w:val="24"/>
        </w:rPr>
        <w:t>57</w:t>
      </w:r>
      <w:r>
        <w:rPr>
          <w:rFonts w:ascii="宋体" w:hAnsi="宋体" w:eastAsia="宋体" w:cs="宋体"/>
          <w:color w:val="000000"/>
          <w:sz w:val="24"/>
        </w:rPr>
        <w:t>，计算容积率建筑面积≤17</w:t>
      </w:r>
      <w:r>
        <w:rPr>
          <w:rFonts w:hint="eastAsia" w:ascii="宋体" w:hAnsi="宋体" w:eastAsia="宋体" w:cs="宋体"/>
          <w:color w:val="000000"/>
          <w:sz w:val="24"/>
        </w:rPr>
        <w:t>6</w:t>
      </w:r>
      <w:r>
        <w:rPr>
          <w:rFonts w:ascii="宋体" w:hAnsi="宋体" w:eastAsia="宋体" w:cs="宋体"/>
          <w:color w:val="000000"/>
          <w:sz w:val="24"/>
        </w:rPr>
        <w:t>200㎡，建筑密度≤50%，绿地率≥25%，建筑限高为250m。</w:t>
      </w:r>
    </w:p>
    <w:p w14:paraId="15D6D40C">
      <w:pPr>
        <w:snapToGrid w:val="0"/>
        <w:spacing w:before="0" w:after="0" w:line="360" w:lineRule="auto"/>
        <w:ind w:firstLine="566" w:firstLineChars="236"/>
        <w:rPr>
          <w:rFonts w:hint="eastAsia" w:ascii="宋体" w:hAnsi="宋体" w:eastAsia="宋体" w:cs="宋体"/>
          <w:color w:val="000000"/>
          <w:sz w:val="24"/>
        </w:rPr>
      </w:pPr>
      <w:r>
        <w:rPr>
          <w:rFonts w:ascii="宋体" w:hAnsi="宋体" w:eastAsia="宋体" w:cs="宋体"/>
          <w:color w:val="000000"/>
          <w:sz w:val="24"/>
        </w:rPr>
        <w:t>配建公共服务设施:邮政所（建筑面积500㎡）1处。</w:t>
      </w:r>
    </w:p>
    <w:p w14:paraId="6D919969">
      <w:pPr>
        <w:snapToGrid w:val="0"/>
        <w:spacing w:before="0" w:after="0" w:line="360" w:lineRule="auto"/>
        <w:ind w:firstLine="566" w:firstLineChars="236"/>
        <w:rPr>
          <w:rFonts w:hint="eastAsia" w:ascii="宋体" w:hAnsi="宋体" w:eastAsia="宋体" w:cs="宋体"/>
          <w:color w:val="000000"/>
          <w:sz w:val="24"/>
        </w:rPr>
      </w:pPr>
      <w:r>
        <w:rPr>
          <w:rFonts w:ascii="宋体" w:hAnsi="宋体" w:eastAsia="宋体" w:cs="宋体"/>
          <w:color w:val="000000"/>
          <w:sz w:val="24"/>
        </w:rPr>
        <w:t>配建交通设施：公交首末站（用地面积2400㎡，建筑面积240㎡）。</w:t>
      </w:r>
    </w:p>
    <w:p w14:paraId="05B7552C">
      <w:pPr>
        <w:snapToGrid w:val="0"/>
        <w:spacing w:before="0" w:after="0" w:line="360" w:lineRule="auto"/>
        <w:ind w:firstLine="566" w:firstLineChars="236"/>
        <w:rPr>
          <w:rFonts w:hint="eastAsia" w:ascii="宋体" w:hAnsi="宋体" w:eastAsia="宋体" w:cs="宋体"/>
          <w:color w:val="000000"/>
          <w:sz w:val="24"/>
        </w:rPr>
      </w:pPr>
      <w:r>
        <w:rPr>
          <w:rFonts w:ascii="宋体" w:hAnsi="宋体" w:eastAsia="宋体" w:cs="宋体"/>
          <w:color w:val="000000"/>
          <w:sz w:val="24"/>
        </w:rPr>
        <w:t>配建市政公用设施:1.公共厕所1处</w:t>
      </w:r>
      <w:r>
        <w:rPr>
          <w:rFonts w:hint="eastAsia" w:ascii="宋体" w:hAnsi="宋体" w:eastAsia="宋体" w:cs="宋体"/>
          <w:color w:val="000000"/>
          <w:sz w:val="24"/>
        </w:rPr>
        <w:t>（</w:t>
      </w:r>
      <w:r>
        <w:rPr>
          <w:rFonts w:ascii="宋体" w:hAnsi="宋体" w:eastAsia="宋体" w:cs="宋体"/>
          <w:color w:val="000000"/>
          <w:sz w:val="24"/>
        </w:rPr>
        <w:t>建筑面积</w:t>
      </w:r>
      <w:r>
        <w:rPr>
          <w:rFonts w:hint="eastAsia" w:ascii="宋体" w:hAnsi="宋体" w:eastAsia="宋体" w:cs="宋体"/>
          <w:color w:val="000000"/>
          <w:sz w:val="24"/>
        </w:rPr>
        <w:t>100</w:t>
      </w:r>
      <w:r>
        <w:rPr>
          <w:rFonts w:ascii="宋体" w:hAnsi="宋体" w:eastAsia="宋体" w:cs="宋体"/>
          <w:color w:val="000000"/>
          <w:sz w:val="24"/>
        </w:rPr>
        <w:t>㎡</w:t>
      </w:r>
      <w:r>
        <w:rPr>
          <w:rFonts w:hint="eastAsia" w:ascii="宋体" w:hAnsi="宋体" w:eastAsia="宋体" w:cs="宋体"/>
          <w:color w:val="000000"/>
          <w:sz w:val="24"/>
        </w:rPr>
        <w:t>）</w:t>
      </w:r>
      <w:r>
        <w:rPr>
          <w:rFonts w:ascii="宋体" w:hAnsi="宋体" w:eastAsia="宋体" w:cs="宋体"/>
          <w:color w:val="000000"/>
          <w:sz w:val="24"/>
        </w:rPr>
        <w:t>、垃圾收集站（用地面积350㎡，建筑面积250㎡）1处、再生资源回收站（建筑面积50㎡）1处、地块建设调蓄设施用地面积99</w:t>
      </w:r>
      <w:r>
        <w:rPr>
          <w:rFonts w:hint="eastAsia" w:ascii="宋体" w:hAnsi="宋体" w:eastAsia="宋体" w:cs="宋体"/>
          <w:color w:val="000000"/>
          <w:sz w:val="24"/>
        </w:rPr>
        <w:t>9</w:t>
      </w:r>
      <w:r>
        <w:rPr>
          <w:rFonts w:ascii="宋体" w:hAnsi="宋体" w:eastAsia="宋体" w:cs="宋体"/>
          <w:color w:val="000000"/>
          <w:sz w:val="24"/>
        </w:rPr>
        <w:t>m²（规模99</w:t>
      </w:r>
      <w:r>
        <w:rPr>
          <w:rFonts w:hint="eastAsia" w:ascii="宋体" w:hAnsi="宋体" w:eastAsia="宋体" w:cs="宋体"/>
          <w:color w:val="000000"/>
          <w:sz w:val="24"/>
        </w:rPr>
        <w:t>9</w:t>
      </w:r>
      <w:r>
        <w:rPr>
          <w:rFonts w:ascii="宋体" w:hAnsi="宋体" w:eastAsia="宋体" w:cs="宋体"/>
          <w:color w:val="000000"/>
          <w:sz w:val="24"/>
        </w:rPr>
        <w:t>m³）。</w:t>
      </w:r>
    </w:p>
    <w:p w14:paraId="654B2E8E">
      <w:pPr>
        <w:snapToGrid w:val="0"/>
        <w:spacing w:before="0" w:after="0" w:line="360" w:lineRule="auto"/>
        <w:ind w:firstLine="480" w:firstLineChars="200"/>
        <w:rPr>
          <w:rFonts w:hint="eastAsia" w:ascii="宋体" w:hAnsi="宋体" w:eastAsia="宋体" w:cs="宋体"/>
          <w:color w:val="000000"/>
          <w:sz w:val="24"/>
        </w:rPr>
      </w:pPr>
      <w:r>
        <w:rPr>
          <w:rFonts w:ascii="宋体" w:hAnsi="宋体" w:eastAsia="宋体" w:cs="宋体"/>
          <w:color w:val="000000"/>
          <w:sz w:val="24"/>
        </w:rPr>
        <w:t>最终以规划条件及批复要求为准。</w:t>
      </w:r>
    </w:p>
    <w:p w14:paraId="1045F8EC">
      <w:pPr>
        <w:pStyle w:val="4"/>
        <w:snapToGrid w:val="0"/>
        <w:spacing w:before="100" w:after="100" w:line="360" w:lineRule="auto"/>
        <w:ind w:left="0" w:firstLine="0"/>
        <w:rPr>
          <w:sz w:val="24"/>
          <w:szCs w:val="22"/>
        </w:rPr>
      </w:pPr>
      <w:bookmarkStart w:id="10" w:name="_Toc28011"/>
      <w:r>
        <w:rPr>
          <w:rFonts w:ascii="宋体" w:hAnsi="宋体" w:eastAsia="宋体" w:cs="宋体"/>
          <w:color w:val="000000"/>
          <w:sz w:val="24"/>
          <w:szCs w:val="22"/>
        </w:rPr>
        <w:t>项目建设依据</w:t>
      </w:r>
      <w:bookmarkEnd w:id="10"/>
    </w:p>
    <w:p w14:paraId="676B2875">
      <w:pPr>
        <w:rPr>
          <w:rFonts w:hint="eastAsia" w:ascii="宋体" w:hAnsi="宋体" w:eastAsia="宋体" w:cs="宋体"/>
          <w:sz w:val="24"/>
        </w:rPr>
      </w:pPr>
      <w:r>
        <w:rPr>
          <w:rFonts w:hint="eastAsia" w:ascii="宋体" w:hAnsi="宋体" w:eastAsia="宋体" w:cs="宋体"/>
          <w:sz w:val="24"/>
        </w:rPr>
        <w:t>1．现行法律法规</w:t>
      </w:r>
    </w:p>
    <w:p w14:paraId="14FC0F96">
      <w:pPr>
        <w:snapToGrid w:val="0"/>
        <w:spacing w:before="0" w:after="0" w:line="360" w:lineRule="auto"/>
        <w:ind w:left="566"/>
        <w:rPr>
          <w:rFonts w:hint="eastAsia" w:ascii="宋体" w:hAnsi="宋体" w:eastAsia="宋体" w:cs="宋体"/>
          <w:sz w:val="24"/>
        </w:rPr>
      </w:pPr>
      <w:r>
        <w:rPr>
          <w:rFonts w:hint="eastAsia" w:ascii="宋体" w:hAnsi="宋体" w:eastAsia="宋体" w:cs="宋体"/>
          <w:color w:val="000000"/>
          <w:sz w:val="24"/>
        </w:rPr>
        <w:t>（1）</w:t>
      </w:r>
      <w:r>
        <w:rPr>
          <w:rFonts w:hint="eastAsia" w:ascii="宋体" w:hAnsi="宋体" w:eastAsia="宋体" w:cs="宋体"/>
          <w:color w:val="000000"/>
          <w:sz w:val="24"/>
        </w:rPr>
        <w:tab/>
      </w:r>
      <w:r>
        <w:rPr>
          <w:rFonts w:hint="eastAsia" w:ascii="宋体" w:hAnsi="宋体" w:eastAsia="宋体" w:cs="宋体"/>
          <w:color w:val="000000"/>
          <w:sz w:val="24"/>
        </w:rPr>
        <w:t>国家及省市颁布的相关法律、法规、规定</w:t>
      </w:r>
    </w:p>
    <w:p w14:paraId="24EEA35E">
      <w:pPr>
        <w:rPr>
          <w:rFonts w:hint="eastAsia" w:ascii="宋体" w:hAnsi="宋体" w:eastAsia="宋体" w:cs="宋体"/>
          <w:sz w:val="24"/>
        </w:rPr>
      </w:pPr>
      <w:r>
        <w:rPr>
          <w:rFonts w:hint="eastAsia" w:ascii="宋体" w:hAnsi="宋体" w:eastAsia="宋体" w:cs="宋体"/>
          <w:sz w:val="24"/>
        </w:rPr>
        <w:t>2．现行技术标准与规范</w:t>
      </w:r>
    </w:p>
    <w:p w14:paraId="71FE17A0">
      <w:pPr>
        <w:snapToGrid w:val="0"/>
        <w:spacing w:before="0" w:after="0" w:line="360" w:lineRule="auto"/>
        <w:ind w:firstLine="564" w:firstLineChars="235"/>
        <w:rPr>
          <w:rFonts w:hint="eastAsia" w:ascii="宋体" w:hAnsi="宋体" w:eastAsia="宋体" w:cs="宋体"/>
          <w:sz w:val="24"/>
        </w:rPr>
      </w:pPr>
      <w:r>
        <w:rPr>
          <w:rFonts w:hint="eastAsia" w:ascii="宋体" w:hAnsi="宋体" w:eastAsia="宋体" w:cs="宋体"/>
          <w:color w:val="000000"/>
          <w:sz w:val="24"/>
        </w:rPr>
        <w:t>（1）《广州市城乡规划技术规定》</w:t>
      </w:r>
    </w:p>
    <w:p w14:paraId="3BDD4418">
      <w:pPr>
        <w:snapToGrid w:val="0"/>
        <w:spacing w:before="0" w:after="0" w:line="360" w:lineRule="auto"/>
        <w:ind w:firstLine="564" w:firstLineChars="235"/>
        <w:rPr>
          <w:rFonts w:hint="eastAsia" w:ascii="宋体" w:hAnsi="宋体" w:eastAsia="宋体" w:cs="宋体"/>
          <w:sz w:val="24"/>
        </w:rPr>
      </w:pPr>
      <w:r>
        <w:rPr>
          <w:rFonts w:hint="eastAsia" w:ascii="宋体" w:hAnsi="宋体" w:eastAsia="宋体" w:cs="宋体"/>
          <w:color w:val="000000"/>
          <w:sz w:val="24"/>
        </w:rPr>
        <w:t>（2）各专业相关规范</w:t>
      </w:r>
    </w:p>
    <w:p w14:paraId="328A2702">
      <w:pPr>
        <w:rPr>
          <w:rFonts w:hint="eastAsia" w:ascii="宋体" w:hAnsi="宋体" w:eastAsia="宋体" w:cs="宋体"/>
          <w:sz w:val="24"/>
        </w:rPr>
      </w:pPr>
      <w:r>
        <w:rPr>
          <w:rFonts w:hint="eastAsia" w:ascii="宋体" w:hAnsi="宋体" w:eastAsia="宋体" w:cs="宋体"/>
          <w:sz w:val="24"/>
        </w:rPr>
        <w:t>3．相关文件</w:t>
      </w:r>
    </w:p>
    <w:p w14:paraId="79074CD8">
      <w:pPr>
        <w:snapToGrid w:val="0"/>
        <w:spacing w:before="0" w:after="0" w:line="360" w:lineRule="auto"/>
        <w:ind w:firstLine="564" w:firstLineChars="235"/>
        <w:rPr>
          <w:rFonts w:hint="eastAsia" w:ascii="宋体" w:hAnsi="宋体" w:eastAsia="宋体" w:cs="宋体"/>
          <w:sz w:val="24"/>
        </w:rPr>
      </w:pPr>
      <w:r>
        <w:rPr>
          <w:rFonts w:hint="eastAsia" w:ascii="宋体" w:hAnsi="宋体" w:eastAsia="宋体" w:cs="宋体"/>
          <w:color w:val="000000"/>
          <w:sz w:val="24"/>
        </w:rPr>
        <w:t>（1）广州市规划和自然资源局海珠区分局《关于三滘村启动区AH1007004地块规划情况的复函》。</w:t>
      </w:r>
    </w:p>
    <w:p w14:paraId="281BE17F">
      <w:pPr>
        <w:pStyle w:val="3"/>
        <w:snapToGrid w:val="0"/>
        <w:spacing w:before="260" w:after="260" w:line="413" w:lineRule="auto"/>
        <w:ind w:left="0" w:firstLine="0"/>
        <w:jc w:val="left"/>
        <w:rPr>
          <w:sz w:val="28"/>
          <w:szCs w:val="28"/>
        </w:rPr>
      </w:pPr>
      <w:bookmarkStart w:id="11" w:name="_Toc75504382"/>
      <w:bookmarkEnd w:id="11"/>
      <w:bookmarkStart w:id="12" w:name="_Toc155"/>
      <w:r>
        <w:rPr>
          <w:rFonts w:ascii="宋体" w:hAnsi="宋体" w:cs="宋体"/>
          <w:b/>
          <w:color w:val="000000"/>
          <w:sz w:val="28"/>
          <w:szCs w:val="28"/>
        </w:rPr>
        <w:t>项目建设范围及勘察设计范围</w:t>
      </w:r>
      <w:bookmarkEnd w:id="12"/>
    </w:p>
    <w:p w14:paraId="7A4EE95E">
      <w:pPr>
        <w:pStyle w:val="4"/>
        <w:snapToGrid w:val="0"/>
        <w:spacing w:before="100" w:after="100"/>
        <w:ind w:firstLine="569" w:firstLineChars="236"/>
      </w:pPr>
      <w:bookmarkStart w:id="13" w:name="_Toc28900"/>
      <w:r>
        <w:rPr>
          <w:rFonts w:ascii="宋体" w:hAnsi="宋体" w:eastAsia="宋体" w:cs="宋体"/>
          <w:color w:val="000000"/>
          <w:sz w:val="24"/>
          <w:szCs w:val="22"/>
        </w:rPr>
        <w:t>项目建设范围</w:t>
      </w:r>
      <w:bookmarkEnd w:id="13"/>
      <w:r>
        <w:rPr>
          <w:rFonts w:hint="eastAsia" w:ascii="宋体" w:hAnsi="宋体" w:eastAsia="宋体" w:cs="宋体"/>
          <w:color w:val="000000"/>
          <w:sz w:val="24"/>
          <w:szCs w:val="22"/>
        </w:rPr>
        <w:t>（下图黄线范围）</w:t>
      </w:r>
    </w:p>
    <w:p w14:paraId="45AA69A9">
      <w:pPr>
        <w:snapToGrid w:val="0"/>
        <w:spacing w:before="0" w:after="0" w:line="360" w:lineRule="auto"/>
        <w:ind w:firstLine="519" w:firstLineChars="236"/>
      </w:pPr>
    </w:p>
    <w:p w14:paraId="6F89392F">
      <w:pPr>
        <w:snapToGrid w:val="0"/>
        <w:spacing w:before="0" w:after="0" w:line="240" w:lineRule="auto"/>
        <w:ind w:firstLine="0" w:firstLineChars="0"/>
        <w:jc w:val="center"/>
        <w:rPr>
          <w:rFonts w:hint="eastAsia" w:ascii="宋体" w:hAnsi="宋体" w:eastAsia="宋体" w:cs="宋体"/>
          <w:color w:val="000000"/>
          <w:sz w:val="24"/>
        </w:rPr>
      </w:pPr>
    </w:p>
    <w:p w14:paraId="4070A6B9">
      <w:pPr>
        <w:snapToGrid w:val="0"/>
        <w:spacing w:before="0" w:after="0" w:line="240" w:lineRule="auto"/>
        <w:ind w:firstLine="0" w:firstLineChars="0"/>
        <w:jc w:val="center"/>
        <w:rPr>
          <w:highlight w:val="red"/>
        </w:rPr>
      </w:pPr>
      <w:r>
        <w:rPr>
          <w:highlight w:val="red"/>
        </w:rPr>
        <w:drawing>
          <wp:anchor distT="0" distB="0" distL="114300" distR="114300" simplePos="0" relativeHeight="251660288" behindDoc="0" locked="0" layoutInCell="1" allowOverlap="1">
            <wp:simplePos x="0" y="0"/>
            <wp:positionH relativeFrom="column">
              <wp:posOffset>-377190</wp:posOffset>
            </wp:positionH>
            <wp:positionV relativeFrom="paragraph">
              <wp:posOffset>-7078980</wp:posOffset>
            </wp:positionV>
            <wp:extent cx="5768340" cy="6486525"/>
            <wp:effectExtent l="0" t="0" r="10160" b="3175"/>
            <wp:wrapSquare wrapText="bothSides"/>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6"/>
                    <a:stretch>
                      <a:fillRect/>
                    </a:stretch>
                  </pic:blipFill>
                  <pic:spPr>
                    <a:xfrm>
                      <a:off x="0" y="0"/>
                      <a:ext cx="5768340" cy="6486525"/>
                    </a:xfrm>
                    <a:prstGeom prst="rect">
                      <a:avLst/>
                    </a:prstGeom>
                  </pic:spPr>
                </pic:pic>
              </a:graphicData>
            </a:graphic>
          </wp:anchor>
        </w:drawing>
      </w:r>
      <w:r>
        <w:rPr>
          <w:rFonts w:ascii="宋体" w:hAnsi="宋体" w:eastAsia="宋体" w:cs="宋体"/>
          <w:color w:val="000000"/>
          <w:sz w:val="24"/>
          <w:highlight w:val="red"/>
        </w:rPr>
        <w:t>本项目用地示意图</w:t>
      </w:r>
    </w:p>
    <w:p w14:paraId="3CB8CD57">
      <w:pPr>
        <w:pStyle w:val="4"/>
        <w:snapToGrid w:val="0"/>
        <w:spacing w:before="100" w:after="100" w:line="360" w:lineRule="auto"/>
        <w:ind w:left="0" w:firstLine="0"/>
        <w:rPr>
          <w:sz w:val="24"/>
          <w:szCs w:val="22"/>
        </w:rPr>
      </w:pPr>
      <w:bookmarkStart w:id="14" w:name="_Toc21419"/>
      <w:r>
        <w:rPr>
          <w:rFonts w:ascii="宋体" w:hAnsi="宋体" w:eastAsia="宋体" w:cs="宋体"/>
          <w:color w:val="000000"/>
          <w:sz w:val="24"/>
          <w:szCs w:val="22"/>
        </w:rPr>
        <w:t>项目勘察设计范围</w:t>
      </w:r>
      <w:bookmarkEnd w:id="14"/>
    </w:p>
    <w:p w14:paraId="18AA5D0C">
      <w:pPr>
        <w:snapToGrid w:val="0"/>
        <w:spacing w:before="0" w:after="0" w:line="360" w:lineRule="auto"/>
        <w:ind w:firstLine="566" w:firstLineChars="236"/>
      </w:pPr>
      <w:r>
        <w:rPr>
          <w:rFonts w:ascii="宋体" w:hAnsi="宋体" w:eastAsia="宋体" w:cs="宋体"/>
          <w:color w:val="000000"/>
          <w:sz w:val="24"/>
        </w:rPr>
        <w:t>项目勘察设计范围包括：用地内的工程勘察（包括初勘、详勘阶段）、方案设计和初步设计阶段设计，设计深度需满足政府主管部门初步设计报批深度的要求，包括场地的岩土工程、地质勘查、基坑支护设计、地基及软基处理设计、修建性详细规划设计、建筑方案设计、初步设计、概算编制（含方案设计估算、初步设计概算）、因政策变化或相应外部条件改变带来的相应设计工作、与本项目勘察、方案设计和初步设计阶段相关的设计等工作。</w:t>
      </w:r>
    </w:p>
    <w:p w14:paraId="5AC0520D">
      <w:pPr>
        <w:pStyle w:val="3"/>
        <w:snapToGrid w:val="0"/>
        <w:spacing w:before="260" w:after="260" w:line="413" w:lineRule="auto"/>
        <w:ind w:left="0" w:firstLine="0"/>
        <w:jc w:val="left"/>
        <w:rPr>
          <w:sz w:val="24"/>
        </w:rPr>
      </w:pPr>
      <w:bookmarkStart w:id="15" w:name="_Toc75504383"/>
      <w:bookmarkEnd w:id="15"/>
      <w:bookmarkStart w:id="16" w:name="_Toc15588"/>
      <w:r>
        <w:rPr>
          <w:rFonts w:ascii="宋体" w:hAnsi="宋体" w:cs="宋体"/>
          <w:b/>
          <w:color w:val="000000"/>
          <w:sz w:val="24"/>
        </w:rPr>
        <w:t>建设用地现状情况</w:t>
      </w:r>
      <w:bookmarkEnd w:id="16"/>
    </w:p>
    <w:p w14:paraId="1F189B82">
      <w:pPr>
        <w:pStyle w:val="4"/>
        <w:snapToGrid w:val="0"/>
        <w:spacing w:before="100" w:after="100" w:line="360" w:lineRule="auto"/>
        <w:ind w:left="0" w:firstLine="0"/>
        <w:rPr>
          <w:sz w:val="24"/>
          <w:szCs w:val="22"/>
        </w:rPr>
      </w:pPr>
      <w:bookmarkStart w:id="17" w:name="_Toc1853"/>
      <w:r>
        <w:rPr>
          <w:rFonts w:ascii="宋体" w:hAnsi="宋体" w:eastAsia="宋体" w:cs="宋体"/>
          <w:color w:val="000000"/>
          <w:sz w:val="24"/>
          <w:szCs w:val="22"/>
        </w:rPr>
        <w:t>场地条件</w:t>
      </w:r>
      <w:bookmarkEnd w:id="17"/>
    </w:p>
    <w:p w14:paraId="0E129B74">
      <w:pPr>
        <w:snapToGrid w:val="0"/>
        <w:spacing w:before="0" w:after="0" w:line="360" w:lineRule="auto"/>
        <w:ind w:firstLine="566" w:firstLineChars="236"/>
      </w:pPr>
      <w:r>
        <w:rPr>
          <w:rFonts w:ascii="宋体" w:hAnsi="宋体" w:eastAsia="宋体" w:cs="宋体"/>
          <w:color w:val="000000"/>
          <w:sz w:val="24"/>
        </w:rPr>
        <w:t>本项目位于广州市海珠区三滘村城中村改造项目启动区S4地块</w:t>
      </w:r>
      <w:r>
        <w:rPr>
          <w:rFonts w:hint="eastAsia" w:ascii="宋体" w:hAnsi="宋体" w:eastAsia="宋体" w:cs="宋体"/>
          <w:color w:val="000000"/>
          <w:sz w:val="24"/>
        </w:rPr>
        <w:t>及东侧绿地</w:t>
      </w:r>
      <w:r>
        <w:rPr>
          <w:rFonts w:ascii="宋体" w:hAnsi="宋体" w:eastAsia="宋体" w:cs="宋体"/>
          <w:color w:val="000000"/>
          <w:sz w:val="24"/>
        </w:rPr>
        <w:t>，西临广州大道南，南靠南洲路和环城高速，东侧为振海路（规划路）。项目选址交通便利，符合项目建设的选址要求。</w:t>
      </w:r>
    </w:p>
    <w:p w14:paraId="7AE260B8">
      <w:pPr>
        <w:pStyle w:val="4"/>
        <w:snapToGrid w:val="0"/>
        <w:spacing w:before="100" w:after="100" w:line="360" w:lineRule="auto"/>
        <w:ind w:left="0" w:firstLine="0"/>
        <w:rPr>
          <w:sz w:val="24"/>
          <w:szCs w:val="22"/>
        </w:rPr>
      </w:pPr>
      <w:bookmarkStart w:id="18" w:name="_Toc9753"/>
      <w:r>
        <w:rPr>
          <w:rFonts w:ascii="宋体" w:hAnsi="宋体" w:eastAsia="宋体" w:cs="宋体"/>
          <w:color w:val="000000"/>
          <w:sz w:val="24"/>
          <w:szCs w:val="22"/>
        </w:rPr>
        <w:t>气候条件</w:t>
      </w:r>
      <w:bookmarkEnd w:id="18"/>
    </w:p>
    <w:p w14:paraId="59A559CB">
      <w:pPr>
        <w:snapToGrid w:val="0"/>
        <w:spacing w:before="0" w:after="0" w:line="360" w:lineRule="auto"/>
        <w:ind w:firstLine="566" w:firstLineChars="236"/>
      </w:pPr>
      <w:r>
        <w:rPr>
          <w:rFonts w:ascii="宋体" w:hAnsi="宋体" w:eastAsia="宋体" w:cs="宋体"/>
          <w:color w:val="000000"/>
          <w:sz w:val="24"/>
        </w:rPr>
        <w:t>海珠区属南亚热带季风气候，位于北回归线以南。由于四周环水，气候具有海洋性较强的特点。全年暖热，光照充足，雨量充沛，温差较小，干湿季节明显。年平均气温21.8℃，最冷月为1月，平均气温13.3℃，极端最低气温0.0℃，出现在1957年2月11日；最热为7月，平均气温28.4，极端最高气温38.7℃，出现在1953年8月12日。日平均气温全年均在0℃以上。无霜期年平均338天，年平均日照时数为1906小时，年总辐射4489兆焦/米。雨量充沛，年平均降雨量约1694.1毫米，降雨集中在每年4月至9月，雨季长达6个月，平均降雨量为1391.1毫米，占年降雨量的82.1%。旱季总降雨量只有303毫米，占全年降雨量的17.9%。5月最多，达293.8毫米，占全年的降雨量的17.46%，最少为12月，只有24.7毫米，占全年降雨量的1.5%。极端日最大雨量为284.9毫米，出现在1955年6月6日。冬夏季风交替是区内季风气候突出的特征，冬季吹偏北风，夏季吹偏南风，每年4~8月盛行夏季风，9~3月盛行冬季风。夏季风盛行季节，有时会受热带风暴和台风侵袭。冬季风盛行季节，有时会受强冷空气南下影响，会形成“寒露风”和“霜降风”天气。</w:t>
      </w:r>
    </w:p>
    <w:p w14:paraId="3772B0C4">
      <w:pPr>
        <w:pStyle w:val="4"/>
        <w:snapToGrid w:val="0"/>
        <w:spacing w:before="100" w:after="100" w:line="360" w:lineRule="auto"/>
        <w:ind w:left="0" w:firstLine="0"/>
        <w:rPr>
          <w:sz w:val="24"/>
          <w:szCs w:val="22"/>
        </w:rPr>
      </w:pPr>
      <w:bookmarkStart w:id="19" w:name="_Toc24578"/>
      <w:r>
        <w:rPr>
          <w:rFonts w:ascii="宋体" w:hAnsi="宋体" w:eastAsia="宋体" w:cs="宋体"/>
          <w:color w:val="000000"/>
          <w:sz w:val="24"/>
          <w:szCs w:val="22"/>
        </w:rPr>
        <w:t>地质条件</w:t>
      </w:r>
      <w:bookmarkEnd w:id="19"/>
    </w:p>
    <w:p w14:paraId="45F417E2">
      <w:pPr>
        <w:snapToGrid w:val="0"/>
        <w:spacing w:before="0" w:after="0" w:line="360" w:lineRule="auto"/>
        <w:ind w:firstLine="566" w:firstLineChars="236"/>
      </w:pPr>
      <w:bookmarkStart w:id="20" w:name="_Hlk74756690"/>
      <w:bookmarkEnd w:id="20"/>
      <w:r>
        <w:rPr>
          <w:rFonts w:ascii="宋体" w:hAnsi="宋体" w:eastAsia="宋体" w:cs="宋体"/>
          <w:color w:val="000000"/>
          <w:sz w:val="24"/>
        </w:rPr>
        <w:t>海珠区地处珠江三角洲冲积平原的北部，北面、南面分别濒临珠江广州河段的前、后航道。总的地势是北高南低，地貌类型可分为低丘、台地和平原三种，以三角洲平原为主。北部从西往东为一列略有起伏的低丘岗峦，海拔一般约50米，最高的圣堂岗海拔54.3米；台地分二级，一级海拔约40米，另一级海拔约20米；南部和东部为河海冲积的沙洲平原，河网密布，一般海拔10米以下。区内有很多由风化剥蚀、海浪侵蚀或堆积而造成的遗迹，如七星岗海蚀遗迹、七星岗丹霞地貌、七星岗“鳞石”地貌、松岗及赤沙的沙堤及赤岗塔瓯穴群等。</w:t>
      </w:r>
    </w:p>
    <w:p w14:paraId="40451A49">
      <w:pPr>
        <w:pStyle w:val="4"/>
        <w:snapToGrid w:val="0"/>
        <w:spacing w:before="100" w:after="100" w:line="360" w:lineRule="auto"/>
        <w:ind w:left="0" w:firstLine="0"/>
        <w:rPr>
          <w:sz w:val="24"/>
          <w:szCs w:val="22"/>
        </w:rPr>
      </w:pPr>
      <w:bookmarkStart w:id="21" w:name="_Toc32318"/>
      <w:r>
        <w:rPr>
          <w:rFonts w:ascii="宋体" w:hAnsi="宋体" w:eastAsia="宋体" w:cs="宋体"/>
          <w:color w:val="000000"/>
          <w:sz w:val="24"/>
          <w:szCs w:val="22"/>
        </w:rPr>
        <w:t>市政条件</w:t>
      </w:r>
      <w:bookmarkEnd w:id="21"/>
    </w:p>
    <w:p w14:paraId="360E2C8D">
      <w:pPr>
        <w:snapToGrid w:val="0"/>
        <w:spacing w:before="0" w:after="0" w:line="360" w:lineRule="auto"/>
        <w:ind w:firstLine="566" w:firstLineChars="236"/>
      </w:pPr>
      <w:r>
        <w:rPr>
          <w:rFonts w:ascii="宋体" w:hAnsi="宋体" w:eastAsia="宋体" w:cs="宋体"/>
          <w:color w:val="000000"/>
          <w:sz w:val="24"/>
        </w:rPr>
        <w:t>项目用地周边目前没有给水、排水、供电、燃气等市政公用设施管网，周边市政道路及管线正在规划建设过程中。</w:t>
      </w:r>
    </w:p>
    <w:p w14:paraId="58CFE261">
      <w:pPr>
        <w:pStyle w:val="5"/>
        <w:snapToGrid w:val="0"/>
        <w:spacing w:line="360" w:lineRule="auto"/>
        <w:ind w:left="0" w:firstLine="0"/>
      </w:pPr>
      <w:r>
        <w:rPr>
          <w:rFonts w:ascii="宋体" w:hAnsi="宋体" w:eastAsia="宋体" w:cs="宋体"/>
          <w:color w:val="000000"/>
        </w:rPr>
        <w:t>给水现状</w:t>
      </w:r>
    </w:p>
    <w:p w14:paraId="3A2C962E">
      <w:pPr>
        <w:snapToGrid w:val="0"/>
        <w:spacing w:before="0" w:after="0" w:line="360" w:lineRule="auto"/>
        <w:ind w:firstLine="566" w:firstLineChars="236"/>
      </w:pPr>
      <w:r>
        <w:rPr>
          <w:rFonts w:ascii="宋体" w:hAnsi="宋体" w:eastAsia="宋体" w:cs="宋体"/>
          <w:color w:val="000000"/>
          <w:sz w:val="24"/>
        </w:rPr>
        <w:t>暂无。</w:t>
      </w:r>
    </w:p>
    <w:p w14:paraId="5B8A2E9D">
      <w:pPr>
        <w:pStyle w:val="5"/>
        <w:snapToGrid w:val="0"/>
        <w:spacing w:line="360" w:lineRule="auto"/>
        <w:ind w:left="0" w:firstLine="0"/>
        <w:rPr>
          <w:rFonts w:hint="eastAsia" w:ascii="宋体" w:hAnsi="宋体" w:eastAsia="宋体" w:cs="宋体"/>
          <w:color w:val="000000"/>
        </w:rPr>
      </w:pPr>
      <w:r>
        <w:rPr>
          <w:rFonts w:ascii="宋体" w:hAnsi="宋体" w:eastAsia="宋体" w:cs="宋体"/>
          <w:color w:val="000000"/>
        </w:rPr>
        <w:t>排水现状</w:t>
      </w:r>
    </w:p>
    <w:p w14:paraId="5F2B16F3">
      <w:pPr>
        <w:snapToGrid w:val="0"/>
        <w:spacing w:before="0" w:after="0" w:line="360" w:lineRule="auto"/>
        <w:ind w:firstLine="566" w:firstLineChars="236"/>
      </w:pPr>
      <w:r>
        <w:rPr>
          <w:rFonts w:ascii="宋体" w:hAnsi="宋体" w:eastAsia="宋体" w:cs="宋体"/>
          <w:color w:val="000000"/>
          <w:sz w:val="24"/>
        </w:rPr>
        <w:t>暂无。</w:t>
      </w:r>
    </w:p>
    <w:p w14:paraId="131C40EC">
      <w:pPr>
        <w:pStyle w:val="5"/>
        <w:snapToGrid w:val="0"/>
        <w:spacing w:line="360" w:lineRule="auto"/>
        <w:ind w:left="0" w:firstLine="0"/>
        <w:rPr>
          <w:rFonts w:hint="eastAsia" w:ascii="宋体" w:hAnsi="宋体" w:eastAsia="宋体" w:cs="宋体"/>
          <w:color w:val="000000"/>
        </w:rPr>
      </w:pPr>
      <w:r>
        <w:rPr>
          <w:rFonts w:ascii="宋体" w:hAnsi="宋体" w:eastAsia="宋体" w:cs="宋体"/>
          <w:color w:val="000000"/>
        </w:rPr>
        <w:t>排水体制</w:t>
      </w:r>
    </w:p>
    <w:p w14:paraId="3DF34CA4">
      <w:pPr>
        <w:snapToGrid w:val="0"/>
        <w:spacing w:before="0" w:after="0" w:line="360" w:lineRule="auto"/>
        <w:ind w:firstLine="566" w:firstLineChars="236"/>
      </w:pPr>
      <w:r>
        <w:rPr>
          <w:rFonts w:ascii="宋体" w:hAnsi="宋体" w:eastAsia="宋体" w:cs="宋体"/>
          <w:color w:val="000000"/>
          <w:sz w:val="24"/>
        </w:rPr>
        <w:t>按照环境保护要求，同时根据污水体制的优缺点比较及根据城市规划,本地区属新区建设,采用分流制作为本项目的排水体制。</w:t>
      </w:r>
    </w:p>
    <w:p w14:paraId="39CFFE2E">
      <w:pPr>
        <w:pStyle w:val="5"/>
        <w:snapToGrid w:val="0"/>
        <w:spacing w:line="360" w:lineRule="auto"/>
        <w:ind w:left="0" w:firstLine="0"/>
        <w:rPr>
          <w:rFonts w:hint="eastAsia" w:ascii="宋体" w:hAnsi="宋体" w:eastAsia="宋体" w:cs="宋体"/>
          <w:color w:val="000000"/>
        </w:rPr>
      </w:pPr>
      <w:r>
        <w:rPr>
          <w:rFonts w:ascii="宋体" w:hAnsi="宋体" w:eastAsia="宋体" w:cs="宋体"/>
          <w:color w:val="000000"/>
        </w:rPr>
        <w:t>电力现状以及规划</w:t>
      </w:r>
    </w:p>
    <w:p w14:paraId="7B56F2F0">
      <w:pPr>
        <w:snapToGrid w:val="0"/>
        <w:spacing w:before="0" w:after="0" w:line="360" w:lineRule="auto"/>
        <w:ind w:firstLine="566" w:firstLineChars="236"/>
      </w:pPr>
      <w:r>
        <w:rPr>
          <w:rFonts w:ascii="宋体" w:hAnsi="宋体" w:eastAsia="宋体" w:cs="宋体"/>
          <w:color w:val="000000"/>
          <w:sz w:val="24"/>
        </w:rPr>
        <w:t>暂无。</w:t>
      </w:r>
    </w:p>
    <w:p w14:paraId="51B2E549">
      <w:pPr>
        <w:pStyle w:val="5"/>
        <w:snapToGrid w:val="0"/>
        <w:spacing w:line="360" w:lineRule="auto"/>
        <w:ind w:left="0" w:firstLine="0"/>
        <w:rPr>
          <w:rFonts w:hint="eastAsia" w:ascii="宋体" w:hAnsi="宋体" w:eastAsia="宋体" w:cs="宋体"/>
          <w:color w:val="000000"/>
        </w:rPr>
      </w:pPr>
      <w:r>
        <w:rPr>
          <w:rFonts w:ascii="宋体" w:hAnsi="宋体" w:eastAsia="宋体" w:cs="宋体"/>
          <w:color w:val="000000"/>
        </w:rPr>
        <w:t>燃气现状</w:t>
      </w:r>
    </w:p>
    <w:p w14:paraId="57130459">
      <w:pPr>
        <w:snapToGrid w:val="0"/>
        <w:spacing w:before="0" w:after="0" w:line="360" w:lineRule="auto"/>
        <w:ind w:firstLine="566" w:firstLineChars="236"/>
      </w:pPr>
      <w:r>
        <w:rPr>
          <w:rFonts w:ascii="宋体" w:hAnsi="宋体" w:eastAsia="宋体" w:cs="宋体"/>
          <w:color w:val="000000"/>
          <w:sz w:val="24"/>
        </w:rPr>
        <w:t>暂无。</w:t>
      </w:r>
    </w:p>
    <w:p w14:paraId="0F9ABA94">
      <w:pPr>
        <w:snapToGrid w:val="0"/>
        <w:spacing w:before="0" w:after="0" w:line="360" w:lineRule="auto"/>
        <w:ind w:firstLine="519" w:firstLineChars="236"/>
      </w:pPr>
    </w:p>
    <w:p w14:paraId="3DF476FD">
      <w:pPr>
        <w:snapToGrid w:val="0"/>
        <w:spacing w:before="0" w:after="0" w:line="360" w:lineRule="auto"/>
      </w:pPr>
    </w:p>
    <w:p w14:paraId="66859CBA">
      <w:pPr>
        <w:pStyle w:val="2"/>
        <w:snapToGrid w:val="0"/>
        <w:spacing w:line="360" w:lineRule="auto"/>
        <w:ind w:left="0" w:firstLine="0"/>
        <w:jc w:val="center"/>
        <w:rPr>
          <w:b w:val="0"/>
          <w:bCs/>
          <w:sz w:val="28"/>
          <w:szCs w:val="22"/>
        </w:rPr>
      </w:pPr>
      <w:bookmarkStart w:id="22" w:name="_Toc75504384"/>
      <w:bookmarkEnd w:id="22"/>
      <w:bookmarkStart w:id="23" w:name="_Toc20815"/>
      <w:r>
        <w:rPr>
          <w:rFonts w:ascii="宋体" w:hAnsi="宋体" w:cs="宋体"/>
          <w:b w:val="0"/>
          <w:bCs/>
          <w:color w:val="000000"/>
          <w:sz w:val="28"/>
          <w:szCs w:val="22"/>
        </w:rPr>
        <w:t>设计原则及设计内容</w:t>
      </w:r>
      <w:bookmarkEnd w:id="23"/>
    </w:p>
    <w:p w14:paraId="2EDA7D17">
      <w:pPr>
        <w:snapToGrid w:val="0"/>
        <w:spacing w:before="0" w:after="0" w:line="360" w:lineRule="auto"/>
        <w:ind w:firstLine="566" w:firstLineChars="236"/>
      </w:pPr>
      <w:r>
        <w:rPr>
          <w:rFonts w:ascii="宋体" w:hAnsi="宋体" w:eastAsia="宋体" w:cs="宋体"/>
          <w:color w:val="000000"/>
          <w:sz w:val="24"/>
        </w:rPr>
        <w:t>本项目的建设目标和任务将紧紧围绕海珠区三滘村启动区的改造，强化地区的规划统筹，高位谋划、高标准设计，打通新城市轴线南段的贯通，链接广州塔、海珠湖、海珠创新湾等关键节点，打造优质资源高效集聚的发展主轴；同时全面提升城市人居环境品质，为高质量实现老城市新活力提供坚实支撑。</w:t>
      </w:r>
    </w:p>
    <w:p w14:paraId="0EFD95F4">
      <w:pPr>
        <w:snapToGrid w:val="0"/>
        <w:spacing w:before="0" w:after="0" w:line="360" w:lineRule="auto"/>
        <w:ind w:firstLine="566" w:firstLineChars="236"/>
      </w:pPr>
      <w:r>
        <w:rPr>
          <w:rFonts w:ascii="宋体" w:hAnsi="宋体" w:eastAsia="宋体" w:cs="宋体"/>
          <w:color w:val="000000"/>
          <w:sz w:val="24"/>
        </w:rPr>
        <w:t>建设应坚持遵循安全可靠、经济实用、资源节约、环境友好和适度创新的原则。商业充分考虑其商业价值及其适用性。同时体现“以人为本”的设计原则，创造安全、方便、健康、紧凑、和谐的人居环境，并合理采用成熟可靠的新技术、新材料、新工艺，符合国家有关技术标准、规范，达到节地、节能、节水、节材和环境保护的目标要求。</w:t>
      </w:r>
    </w:p>
    <w:p w14:paraId="316E66C4">
      <w:pPr>
        <w:pStyle w:val="3"/>
        <w:snapToGrid w:val="0"/>
        <w:spacing w:before="260" w:after="260" w:line="413" w:lineRule="auto"/>
        <w:ind w:left="0" w:firstLine="0"/>
        <w:jc w:val="left"/>
        <w:rPr>
          <w:sz w:val="28"/>
          <w:szCs w:val="28"/>
        </w:rPr>
      </w:pPr>
      <w:bookmarkStart w:id="24" w:name="_Toc75504385"/>
      <w:bookmarkEnd w:id="24"/>
      <w:bookmarkStart w:id="25" w:name="_Toc22971"/>
      <w:r>
        <w:rPr>
          <w:rFonts w:ascii="宋体" w:hAnsi="宋体" w:cs="宋体"/>
          <w:b/>
          <w:color w:val="000000"/>
          <w:sz w:val="28"/>
          <w:szCs w:val="28"/>
        </w:rPr>
        <w:t>设计原则</w:t>
      </w:r>
      <w:bookmarkEnd w:id="25"/>
    </w:p>
    <w:p w14:paraId="73693EB9">
      <w:pPr>
        <w:pStyle w:val="4"/>
        <w:snapToGrid w:val="0"/>
        <w:spacing w:before="100" w:after="100" w:line="360" w:lineRule="auto"/>
        <w:ind w:left="0" w:firstLine="0"/>
        <w:rPr>
          <w:rFonts w:hint="eastAsia" w:ascii="宋体" w:hAnsi="宋体" w:eastAsia="宋体" w:cs="宋体"/>
          <w:color w:val="000000"/>
          <w:sz w:val="24"/>
          <w:szCs w:val="22"/>
        </w:rPr>
      </w:pPr>
      <w:bookmarkStart w:id="26" w:name="_Toc23246"/>
      <w:r>
        <w:rPr>
          <w:rFonts w:ascii="宋体" w:hAnsi="宋体" w:eastAsia="宋体" w:cs="宋体"/>
          <w:color w:val="000000"/>
          <w:sz w:val="24"/>
          <w:szCs w:val="22"/>
        </w:rPr>
        <w:t>限额设计原则</w:t>
      </w:r>
      <w:bookmarkEnd w:id="26"/>
    </w:p>
    <w:p w14:paraId="27983106">
      <w:pPr>
        <w:snapToGrid w:val="0"/>
        <w:spacing w:before="0" w:after="0" w:line="360" w:lineRule="auto"/>
        <w:ind w:firstLine="566" w:firstLineChars="236"/>
      </w:pPr>
      <w:r>
        <w:rPr>
          <w:rFonts w:ascii="宋体" w:hAnsi="宋体" w:eastAsia="宋体" w:cs="宋体"/>
          <w:color w:val="000000"/>
          <w:sz w:val="24"/>
        </w:rPr>
        <w:t>设计单位应按照政府固定资产投资应当坚持估算控制概算，概算控制预算，预算控制决算的原则，执行《广州市政府投资管理条例》、《广州市财政投资评审监督管理办法》做好限额设计。</w:t>
      </w:r>
    </w:p>
    <w:p w14:paraId="149D89BA">
      <w:pPr>
        <w:snapToGrid w:val="0"/>
        <w:spacing w:before="0" w:after="0" w:line="360" w:lineRule="auto"/>
        <w:ind w:firstLine="566" w:firstLineChars="236"/>
      </w:pPr>
      <w:r>
        <w:rPr>
          <w:rFonts w:ascii="宋体" w:hAnsi="宋体" w:eastAsia="宋体" w:cs="宋体"/>
          <w:color w:val="000000"/>
          <w:sz w:val="24"/>
        </w:rPr>
        <w:t>应做到初步设计成果的编制提交要与初步设计概算的编制提交同步进行，做到项目立项和可行性研究报告批复的建设事项与勘察设计成果及项目概算编制事项应相互统一。</w:t>
      </w:r>
    </w:p>
    <w:p w14:paraId="7AB9502D">
      <w:pPr>
        <w:pStyle w:val="4"/>
        <w:snapToGrid w:val="0"/>
        <w:spacing w:before="100" w:after="100" w:line="360" w:lineRule="auto"/>
        <w:ind w:left="0" w:firstLine="0"/>
        <w:rPr>
          <w:rFonts w:hint="eastAsia" w:ascii="宋体" w:hAnsi="宋体" w:eastAsia="宋体" w:cs="宋体"/>
          <w:color w:val="000000"/>
          <w:sz w:val="24"/>
          <w:szCs w:val="22"/>
        </w:rPr>
      </w:pPr>
      <w:bookmarkStart w:id="27" w:name="_Toc27395"/>
      <w:r>
        <w:rPr>
          <w:rFonts w:ascii="宋体" w:hAnsi="宋体" w:eastAsia="宋体" w:cs="宋体"/>
          <w:color w:val="000000"/>
          <w:sz w:val="24"/>
          <w:szCs w:val="22"/>
        </w:rPr>
        <w:t>满足规范标准原则</w:t>
      </w:r>
      <w:bookmarkEnd w:id="27"/>
    </w:p>
    <w:p w14:paraId="3245C39D">
      <w:pPr>
        <w:snapToGrid w:val="0"/>
        <w:spacing w:before="0" w:after="0" w:line="360" w:lineRule="auto"/>
        <w:ind w:firstLine="566" w:firstLineChars="236"/>
      </w:pPr>
      <w:r>
        <w:rPr>
          <w:rFonts w:ascii="宋体" w:hAnsi="宋体" w:eastAsia="宋体" w:cs="宋体"/>
          <w:color w:val="000000"/>
          <w:sz w:val="24"/>
        </w:rPr>
        <w:t>应参考相关规范的要求，并满足国家现行相关设计的规范标准的要求及设计行业相关技术规范条文的要求，严格执行国家工程建设标准强制性条文。</w:t>
      </w:r>
    </w:p>
    <w:p w14:paraId="396E1BDA">
      <w:pPr>
        <w:pStyle w:val="4"/>
        <w:snapToGrid w:val="0"/>
        <w:spacing w:before="100" w:after="100" w:line="360" w:lineRule="auto"/>
        <w:ind w:left="0" w:firstLine="0"/>
        <w:rPr>
          <w:rFonts w:hint="eastAsia" w:ascii="宋体" w:hAnsi="宋体" w:eastAsia="宋体" w:cs="宋体"/>
          <w:color w:val="000000"/>
          <w:sz w:val="24"/>
          <w:szCs w:val="22"/>
        </w:rPr>
      </w:pPr>
      <w:bookmarkStart w:id="28" w:name="_Toc6346"/>
      <w:r>
        <w:rPr>
          <w:rFonts w:ascii="宋体" w:hAnsi="宋体" w:eastAsia="宋体" w:cs="宋体"/>
          <w:color w:val="000000"/>
          <w:sz w:val="24"/>
          <w:szCs w:val="22"/>
        </w:rPr>
        <w:t>绿色生态原则</w:t>
      </w:r>
      <w:bookmarkEnd w:id="28"/>
    </w:p>
    <w:p w14:paraId="502F4E6A">
      <w:pPr>
        <w:snapToGrid w:val="0"/>
        <w:spacing w:before="0" w:after="0" w:line="360" w:lineRule="auto"/>
        <w:ind w:firstLine="566" w:firstLineChars="236"/>
      </w:pPr>
      <w:r>
        <w:rPr>
          <w:rFonts w:ascii="宋体" w:hAnsi="宋体" w:eastAsia="宋体" w:cs="宋体"/>
          <w:color w:val="000000"/>
          <w:sz w:val="24"/>
        </w:rPr>
        <w:t>广州市属亚热带季风气候。规划与建筑设计应充分考虑广州市的气候特征，充分利用自然通风，合理控制直接照射室内的阳光，体现生态思想和节能观念。同时设计要体现可持续发展的理念。</w:t>
      </w:r>
    </w:p>
    <w:p w14:paraId="41E018A4">
      <w:pPr>
        <w:snapToGrid w:val="0"/>
        <w:spacing w:before="0" w:after="0" w:line="360" w:lineRule="auto"/>
        <w:ind w:firstLine="566" w:firstLineChars="236"/>
      </w:pPr>
      <w:r>
        <w:rPr>
          <w:rFonts w:ascii="宋体" w:hAnsi="宋体" w:eastAsia="宋体" w:cs="宋体"/>
          <w:color w:val="000000"/>
          <w:sz w:val="24"/>
        </w:rPr>
        <w:t>项目应按绿色建筑标准进行规划设计，积极采用低碳、绿色、环保技术措施。</w:t>
      </w:r>
    </w:p>
    <w:p w14:paraId="4D1E2724">
      <w:pPr>
        <w:pStyle w:val="4"/>
        <w:snapToGrid w:val="0"/>
        <w:spacing w:before="100" w:after="100" w:line="360" w:lineRule="auto"/>
        <w:ind w:left="0" w:firstLine="0"/>
        <w:rPr>
          <w:rFonts w:hint="eastAsia" w:ascii="宋体" w:hAnsi="宋体" w:eastAsia="宋体" w:cs="宋体"/>
          <w:color w:val="000000"/>
          <w:sz w:val="24"/>
          <w:szCs w:val="22"/>
        </w:rPr>
      </w:pPr>
      <w:bookmarkStart w:id="29" w:name="_Toc27190"/>
      <w:r>
        <w:rPr>
          <w:rFonts w:ascii="宋体" w:hAnsi="宋体" w:eastAsia="宋体" w:cs="宋体"/>
          <w:color w:val="000000"/>
          <w:sz w:val="24"/>
          <w:szCs w:val="22"/>
        </w:rPr>
        <w:t>经济合理美观原则</w:t>
      </w:r>
      <w:bookmarkEnd w:id="29"/>
    </w:p>
    <w:p w14:paraId="18D06892">
      <w:pPr>
        <w:snapToGrid w:val="0"/>
        <w:spacing w:before="0" w:after="0" w:line="360" w:lineRule="auto"/>
        <w:ind w:firstLine="566" w:firstLineChars="236"/>
      </w:pPr>
      <w:r>
        <w:rPr>
          <w:rFonts w:ascii="宋体" w:hAnsi="宋体" w:eastAsia="宋体" w:cs="宋体"/>
          <w:color w:val="000000"/>
          <w:sz w:val="24"/>
        </w:rPr>
        <w:t>在保证方案的可实施和可操作性前提下，设计中需要定量分析的设计内容，应通过计算，用数据说明其技术经济的合理性。同时应提供各阶段技术经济分析资料，以力求各阶段设计成果能充分体现设计优化的原则。</w:t>
      </w:r>
    </w:p>
    <w:p w14:paraId="0E487060">
      <w:pPr>
        <w:pStyle w:val="4"/>
        <w:snapToGrid w:val="0"/>
        <w:spacing w:before="100" w:after="100" w:line="360" w:lineRule="auto"/>
        <w:ind w:left="0" w:firstLine="0"/>
        <w:rPr>
          <w:rFonts w:hint="eastAsia" w:ascii="宋体" w:hAnsi="宋体" w:eastAsia="宋体" w:cs="宋体"/>
          <w:color w:val="000000"/>
          <w:sz w:val="24"/>
          <w:szCs w:val="22"/>
        </w:rPr>
      </w:pPr>
      <w:bookmarkStart w:id="30" w:name="_Toc17373"/>
      <w:r>
        <w:rPr>
          <w:rFonts w:ascii="宋体" w:hAnsi="宋体" w:eastAsia="宋体" w:cs="宋体"/>
          <w:color w:val="000000"/>
          <w:sz w:val="24"/>
          <w:szCs w:val="22"/>
        </w:rPr>
        <w:t>基本要求</w:t>
      </w:r>
      <w:bookmarkEnd w:id="30"/>
    </w:p>
    <w:p w14:paraId="0C0BC35B">
      <w:pPr>
        <w:snapToGrid w:val="0"/>
        <w:spacing w:before="0" w:after="0" w:line="360" w:lineRule="auto"/>
        <w:ind w:firstLine="566" w:firstLineChars="236"/>
      </w:pPr>
      <w:r>
        <w:rPr>
          <w:rFonts w:ascii="宋体" w:hAnsi="宋体" w:eastAsia="宋体" w:cs="宋体"/>
          <w:color w:val="000000"/>
          <w:sz w:val="24"/>
        </w:rPr>
        <w:t>公建配套的位置要充分结合周边产业现状，要注意商业物业的区分管理问题。</w:t>
      </w:r>
    </w:p>
    <w:p w14:paraId="3A52418A">
      <w:pPr>
        <w:pStyle w:val="4"/>
        <w:snapToGrid w:val="0"/>
        <w:spacing w:before="100" w:after="100" w:line="360" w:lineRule="auto"/>
        <w:ind w:left="0" w:firstLine="0"/>
        <w:rPr>
          <w:rFonts w:hint="eastAsia" w:ascii="宋体" w:hAnsi="宋体" w:eastAsia="宋体" w:cs="宋体"/>
          <w:color w:val="000000"/>
          <w:sz w:val="24"/>
          <w:szCs w:val="22"/>
        </w:rPr>
      </w:pPr>
      <w:bookmarkStart w:id="31" w:name="_Toc29336"/>
      <w:r>
        <w:rPr>
          <w:rFonts w:ascii="宋体" w:hAnsi="宋体" w:eastAsia="宋体" w:cs="宋体"/>
          <w:color w:val="000000"/>
          <w:sz w:val="24"/>
          <w:szCs w:val="22"/>
        </w:rPr>
        <w:t>“集约高效、统筹兼顾、统一布局”设计理念</w:t>
      </w:r>
      <w:bookmarkEnd w:id="31"/>
    </w:p>
    <w:p w14:paraId="00A92FEA">
      <w:pPr>
        <w:snapToGrid w:val="0"/>
        <w:spacing w:before="0" w:after="0" w:line="360" w:lineRule="auto"/>
        <w:ind w:firstLine="480" w:firstLineChars="200"/>
        <w:rPr>
          <w:rFonts w:hint="eastAsia" w:ascii="宋体" w:hAnsi="宋体" w:eastAsia="宋体" w:cs="宋体"/>
          <w:color w:val="auto"/>
          <w:sz w:val="24"/>
          <w:highlight w:val="none"/>
        </w:rPr>
      </w:pPr>
      <w:r>
        <w:rPr>
          <w:rFonts w:ascii="宋体" w:hAnsi="宋体" w:eastAsia="宋体" w:cs="宋体"/>
          <w:color w:val="000000"/>
          <w:sz w:val="24"/>
        </w:rPr>
        <w:t>1、项目建设必须体现“集约高效、统筹兼顾、统一布局”理念，将公建配套、停车等系</w:t>
      </w:r>
      <w:bookmarkStart w:id="91" w:name="_GoBack"/>
      <w:r>
        <w:rPr>
          <w:rFonts w:ascii="宋体" w:hAnsi="宋体" w:eastAsia="宋体" w:cs="宋体"/>
          <w:color w:val="auto"/>
          <w:sz w:val="24"/>
          <w:highlight w:val="none"/>
        </w:rPr>
        <w:t>统化进行考虑与设计。</w:t>
      </w:r>
    </w:p>
    <w:p w14:paraId="759FE33F">
      <w:pPr>
        <w:snapToGrid w:val="0"/>
        <w:spacing w:before="0" w:after="0" w:line="360" w:lineRule="auto"/>
        <w:ind w:firstLine="480" w:firstLineChars="200"/>
        <w:rPr>
          <w:rFonts w:hint="eastAsia" w:ascii="宋体" w:hAnsi="宋体" w:eastAsia="宋体" w:cs="宋体"/>
          <w:color w:val="auto"/>
          <w:sz w:val="24"/>
          <w:highlight w:val="none"/>
        </w:rPr>
      </w:pPr>
      <w:r>
        <w:rPr>
          <w:rFonts w:ascii="宋体" w:hAnsi="宋体" w:eastAsia="宋体" w:cs="宋体"/>
          <w:color w:val="auto"/>
          <w:sz w:val="24"/>
          <w:highlight w:val="none"/>
        </w:rPr>
        <w:t>2、配套公建的配建水平，必须与周边人口规模相对应，满足用地规划条件要求。并应与周边地块同步规划、同步建设和同时投入使用。</w:t>
      </w:r>
    </w:p>
    <w:p w14:paraId="11DDCD6B">
      <w:pPr>
        <w:snapToGrid w:val="0"/>
        <w:spacing w:before="0" w:after="0" w:line="360" w:lineRule="auto"/>
        <w:ind w:firstLine="480" w:firstLineChars="200"/>
        <w:rPr>
          <w:rFonts w:hint="eastAsia" w:ascii="宋体" w:hAnsi="宋体" w:eastAsia="宋体" w:cs="宋体"/>
          <w:color w:val="auto"/>
          <w:sz w:val="24"/>
          <w:highlight w:val="none"/>
        </w:rPr>
      </w:pPr>
      <w:r>
        <w:rPr>
          <w:rFonts w:ascii="宋体" w:hAnsi="宋体" w:eastAsia="宋体" w:cs="宋体"/>
          <w:color w:val="auto"/>
          <w:sz w:val="24"/>
          <w:highlight w:val="none"/>
        </w:rPr>
        <w:t>3、商业建筑的业态定位需根据周边商业业态进行综合考虑，可考虑商业及办公等多种业态，布局合理，便于后期运营。</w:t>
      </w:r>
    </w:p>
    <w:p w14:paraId="051E45AF">
      <w:pPr>
        <w:snapToGrid w:val="0"/>
        <w:spacing w:before="0" w:after="0"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4</w:t>
      </w:r>
      <w:r>
        <w:rPr>
          <w:rFonts w:ascii="宋体" w:hAnsi="宋体" w:eastAsia="宋体" w:cs="宋体"/>
          <w:color w:val="auto"/>
          <w:sz w:val="24"/>
          <w:highlight w:val="none"/>
        </w:rPr>
        <w:t>、本项目为限额设计，宜本着节约投资的原则，要求依据建设和技术资料合理选择、运用技术经济多方案比选等技术手段，科学分析、系统考虑，不断优化设计方案。</w:t>
      </w:r>
    </w:p>
    <w:p w14:paraId="75640CCF">
      <w:pPr>
        <w:pStyle w:val="4"/>
        <w:snapToGrid w:val="0"/>
        <w:spacing w:before="100" w:after="100" w:line="360" w:lineRule="auto"/>
        <w:ind w:left="0" w:firstLine="0"/>
        <w:rPr>
          <w:rFonts w:hint="eastAsia" w:ascii="宋体" w:hAnsi="宋体" w:eastAsia="宋体" w:cs="宋体"/>
          <w:color w:val="auto"/>
          <w:sz w:val="24"/>
          <w:szCs w:val="22"/>
          <w:highlight w:val="none"/>
        </w:rPr>
      </w:pPr>
      <w:bookmarkStart w:id="32" w:name="_Toc774"/>
      <w:r>
        <w:rPr>
          <w:rFonts w:ascii="宋体" w:hAnsi="宋体" w:eastAsia="宋体" w:cs="宋体"/>
          <w:color w:val="auto"/>
          <w:sz w:val="24"/>
          <w:szCs w:val="22"/>
          <w:highlight w:val="none"/>
        </w:rPr>
        <w:t>体现“绿色节能、生态宜居”设计理念</w:t>
      </w:r>
      <w:bookmarkEnd w:id="32"/>
    </w:p>
    <w:p w14:paraId="1A4C50EC">
      <w:pPr>
        <w:snapToGrid w:val="0"/>
        <w:spacing w:before="0" w:after="0" w:line="360" w:lineRule="auto"/>
        <w:ind w:firstLine="566" w:firstLineChars="236"/>
        <w:rPr>
          <w:rFonts w:hint="eastAsia" w:ascii="宋体" w:hAnsi="宋体" w:eastAsia="宋体" w:cs="宋体"/>
          <w:color w:val="auto"/>
          <w:sz w:val="24"/>
          <w:highlight w:val="none"/>
        </w:rPr>
      </w:pPr>
      <w:r>
        <w:rPr>
          <w:rFonts w:ascii="宋体" w:hAnsi="宋体" w:eastAsia="宋体" w:cs="宋体"/>
          <w:color w:val="auto"/>
          <w:sz w:val="24"/>
          <w:highlight w:val="none"/>
        </w:rPr>
        <w:t>项目应按绿色建筑标准进行规划设计，积极采用低碳、绿色、环保技术措施。</w:t>
      </w:r>
    </w:p>
    <w:p w14:paraId="5DF7AB1B">
      <w:pPr>
        <w:pStyle w:val="4"/>
        <w:snapToGrid w:val="0"/>
        <w:spacing w:before="100" w:after="100" w:line="360" w:lineRule="auto"/>
        <w:ind w:left="0" w:firstLine="0"/>
        <w:rPr>
          <w:rFonts w:hint="eastAsia" w:ascii="宋体" w:hAnsi="宋体" w:eastAsia="宋体" w:cs="宋体"/>
          <w:color w:val="auto"/>
          <w:sz w:val="24"/>
          <w:szCs w:val="22"/>
          <w:highlight w:val="none"/>
        </w:rPr>
      </w:pPr>
      <w:r>
        <w:rPr>
          <w:rFonts w:hint="eastAsia" w:ascii="宋体" w:hAnsi="宋体" w:eastAsia="宋体" w:cs="宋体"/>
          <w:color w:val="auto"/>
          <w:sz w:val="24"/>
          <w:szCs w:val="22"/>
          <w:highlight w:val="none"/>
        </w:rPr>
        <w:t>落实“6+1”相关建设要求</w:t>
      </w:r>
    </w:p>
    <w:p w14:paraId="6D3C2493">
      <w:pPr>
        <w:snapToGrid/>
        <w:spacing w:before="0" w:after="0"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落实三滘村“6+1”内相关要求，如超低能耗建设，绿色建筑三星，装配式装修等要求。</w:t>
      </w:r>
    </w:p>
    <w:p w14:paraId="7CC91A9D">
      <w:pPr>
        <w:pStyle w:val="3"/>
        <w:snapToGrid w:val="0"/>
        <w:spacing w:before="260" w:after="260" w:line="413" w:lineRule="auto"/>
        <w:ind w:left="0" w:firstLine="0"/>
        <w:jc w:val="left"/>
        <w:rPr>
          <w:color w:val="auto"/>
          <w:highlight w:val="none"/>
        </w:rPr>
      </w:pPr>
      <w:bookmarkStart w:id="33" w:name="_Toc19662"/>
      <w:r>
        <w:rPr>
          <w:rFonts w:ascii="宋体" w:hAnsi="宋体" w:cs="宋体"/>
          <w:b/>
          <w:color w:val="auto"/>
          <w:sz w:val="28"/>
          <w:highlight w:val="none"/>
        </w:rPr>
        <w:t>勘察设计内容</w:t>
      </w:r>
      <w:bookmarkEnd w:id="33"/>
    </w:p>
    <w:p w14:paraId="4A0EF1AB">
      <w:pPr>
        <w:snapToGrid w:val="0"/>
        <w:spacing w:before="0" w:after="0" w:line="360" w:lineRule="auto"/>
        <w:ind w:firstLine="480" w:firstLineChars="200"/>
        <w:rPr>
          <w:rFonts w:hint="eastAsia" w:ascii="宋体" w:hAnsi="宋体" w:eastAsia="宋体" w:cs="宋体"/>
          <w:color w:val="auto"/>
          <w:sz w:val="24"/>
          <w:highlight w:val="none"/>
        </w:rPr>
      </w:pPr>
      <w:r>
        <w:rPr>
          <w:rFonts w:ascii="宋体" w:hAnsi="宋体" w:eastAsia="宋体" w:cs="宋体"/>
          <w:color w:val="auto"/>
          <w:sz w:val="24"/>
          <w:highlight w:val="none"/>
        </w:rPr>
        <w:t>总体勘察设计范围包括：标段内方案设计、初步设计阶段的全部勘察设计，设计深度需满足政府主管部门初步设计报批深度的要求，包括场地的岩土工程、地质勘查、基坑支护设计、地基及软基处理设计、修建性详细规划设计、建筑方案设计、初步设计、概算编制（含方案设计估算、初步设计概算）、因政策变化或相应外部条件改变带来的相应设计工作、与本项目初步设计阶段相关的勘察设计等工作。</w:t>
      </w:r>
    </w:p>
    <w:p w14:paraId="3A5A180B">
      <w:pPr>
        <w:snapToGrid w:val="0"/>
        <w:spacing w:before="0" w:after="0" w:line="360" w:lineRule="auto"/>
        <w:ind w:firstLine="480" w:firstLineChars="200"/>
        <w:rPr>
          <w:rFonts w:hint="eastAsia" w:ascii="宋体" w:hAnsi="宋体" w:eastAsia="宋体" w:cs="宋体"/>
          <w:color w:val="auto"/>
          <w:sz w:val="24"/>
          <w:highlight w:val="none"/>
        </w:rPr>
      </w:pPr>
      <w:r>
        <w:rPr>
          <w:rFonts w:ascii="宋体" w:hAnsi="宋体" w:eastAsia="宋体" w:cs="宋体"/>
          <w:color w:val="auto"/>
          <w:sz w:val="24"/>
          <w:highlight w:val="none"/>
        </w:rPr>
        <w:t>此部分内容设选项按标准化模式设置，标注“√”的选项即为本项目采用，标注“×”的选项为本项目不采用。包括但不限于以下内容：</w:t>
      </w:r>
    </w:p>
    <w:p w14:paraId="2D593F8E">
      <w:pPr>
        <w:snapToGrid w:val="0"/>
        <w:spacing w:before="0" w:after="0" w:line="360" w:lineRule="auto"/>
        <w:ind w:firstLine="480" w:firstLineChars="200"/>
        <w:rPr>
          <w:rFonts w:hint="eastAsia" w:ascii="宋体" w:hAnsi="宋体" w:eastAsia="宋体" w:cs="宋体"/>
          <w:color w:val="auto"/>
          <w:sz w:val="24"/>
          <w:highlight w:val="none"/>
        </w:rPr>
      </w:pPr>
      <w:r>
        <w:rPr>
          <w:rFonts w:ascii="宋体" w:hAnsi="宋体" w:eastAsia="宋体" w:cs="宋体"/>
          <w:color w:val="auto"/>
          <w:sz w:val="24"/>
          <w:highlight w:val="none"/>
        </w:rPr>
        <w:t>√（1）规划用地红线内（含代征用地）及红线外（管线）所涉及建设内容的全部勘察：完成地下、地上物探成果报告，收集周边地下、地上管线、建筑物、构筑物相关资料，编制项目前期摸查报告；进行初步勘察、详细勘察和初测、定测、测绘等实施工作，编制勘探、测量技术文件，编制勘探、土洞溶洞探测等相关总图；负责协调和配合相关主管部门对相关工作成果进行审批，直至获得批复。</w:t>
      </w:r>
    </w:p>
    <w:p w14:paraId="53E7F118">
      <w:pPr>
        <w:snapToGrid w:val="0"/>
        <w:spacing w:before="0" w:after="0" w:line="360" w:lineRule="auto"/>
        <w:ind w:firstLine="480" w:firstLineChars="200"/>
        <w:rPr>
          <w:rFonts w:hint="eastAsia" w:ascii="宋体" w:hAnsi="宋体" w:eastAsia="宋体" w:cs="宋体"/>
          <w:color w:val="auto"/>
          <w:sz w:val="24"/>
          <w:highlight w:val="none"/>
        </w:rPr>
      </w:pPr>
      <w:r>
        <w:rPr>
          <w:rFonts w:ascii="宋体" w:hAnsi="宋体" w:eastAsia="宋体" w:cs="宋体"/>
          <w:color w:val="auto"/>
          <w:sz w:val="24"/>
          <w:highlight w:val="none"/>
        </w:rPr>
        <w:t>√（2）方案设计：根据现行《建筑工程设计文件编制深度规定》中关于方案设计应达到的设计深度要求进行方案设计，同时根据专家评审意见及有关职能部门提出的修改意见，对甲方选定的设计方案进行修改和完善。</w:t>
      </w:r>
    </w:p>
    <w:p w14:paraId="0418FCA4">
      <w:pPr>
        <w:snapToGrid w:val="0"/>
        <w:spacing w:before="0" w:after="0" w:line="360" w:lineRule="auto"/>
        <w:ind w:firstLine="480" w:firstLineChars="200"/>
        <w:rPr>
          <w:rFonts w:hint="eastAsia" w:ascii="宋体" w:hAnsi="宋体" w:eastAsia="宋体" w:cs="宋体"/>
          <w:color w:val="auto"/>
          <w:sz w:val="24"/>
          <w:highlight w:val="none"/>
        </w:rPr>
      </w:pPr>
      <w:r>
        <w:rPr>
          <w:rFonts w:ascii="宋体" w:hAnsi="宋体" w:eastAsia="宋体" w:cs="宋体"/>
          <w:color w:val="auto"/>
          <w:sz w:val="24"/>
          <w:highlight w:val="none"/>
        </w:rPr>
        <w:t>√（3）总平面规划方案设计：建设区域内修建性详细规划的设计：本项目用地红线范围内总平面及竖向规划设计、管线综合设计、建筑布局、交通组织、景观绿化等。</w:t>
      </w:r>
    </w:p>
    <w:p w14:paraId="4DA0C7AA">
      <w:pPr>
        <w:snapToGrid w:val="0"/>
        <w:spacing w:before="0" w:after="0" w:line="360" w:lineRule="auto"/>
        <w:ind w:firstLine="480" w:firstLineChars="200"/>
        <w:rPr>
          <w:rFonts w:hint="eastAsia" w:ascii="宋体" w:hAnsi="宋体" w:eastAsia="宋体" w:cs="宋体"/>
          <w:color w:val="auto"/>
          <w:sz w:val="24"/>
          <w:highlight w:val="none"/>
        </w:rPr>
      </w:pPr>
      <w:r>
        <w:rPr>
          <w:rFonts w:ascii="宋体" w:hAnsi="宋体" w:eastAsia="宋体" w:cs="宋体"/>
          <w:color w:val="auto"/>
          <w:sz w:val="24"/>
          <w:highlight w:val="none"/>
        </w:rPr>
        <w:t>√（4）室外园林工程设计：包括本项目用地红线范围内的小区道路、供电、供水、排水、燃气工程等工程设计，以及各种管线综合平衡设计（含配合市政管线接口对接）等。</w:t>
      </w:r>
    </w:p>
    <w:p w14:paraId="2C18A56B">
      <w:pPr>
        <w:snapToGrid w:val="0"/>
        <w:spacing w:before="0" w:after="0" w:line="360" w:lineRule="auto"/>
        <w:ind w:firstLine="480" w:firstLineChars="200"/>
        <w:rPr>
          <w:rFonts w:hint="eastAsia" w:ascii="宋体" w:hAnsi="宋体" w:eastAsia="宋体" w:cs="宋体"/>
          <w:color w:val="auto"/>
          <w:sz w:val="24"/>
          <w:highlight w:val="none"/>
        </w:rPr>
      </w:pPr>
      <w:r>
        <w:rPr>
          <w:rFonts w:ascii="宋体" w:hAnsi="宋体" w:eastAsia="宋体" w:cs="宋体"/>
          <w:color w:val="auto"/>
          <w:sz w:val="24"/>
          <w:highlight w:val="none"/>
        </w:rPr>
        <w:t>√（5）建筑设计：本项目合同范围内的建筑设计，包括但不限于提供主体建筑与附属建筑各层平面图，建筑四个方向立面图、主要剖面图、功能区域设计、交通组织图、外立面装修及室内装修图、效果图、构造做法、新技术做法。</w:t>
      </w:r>
    </w:p>
    <w:p w14:paraId="488EB97C">
      <w:pPr>
        <w:snapToGrid w:val="0"/>
        <w:spacing w:before="0" w:after="0" w:line="360" w:lineRule="auto"/>
        <w:ind w:firstLine="480" w:firstLineChars="200"/>
        <w:rPr>
          <w:rFonts w:hint="eastAsia" w:ascii="宋体" w:hAnsi="宋体" w:eastAsia="宋体" w:cs="宋体"/>
          <w:color w:val="auto"/>
          <w:sz w:val="24"/>
          <w:highlight w:val="none"/>
        </w:rPr>
      </w:pPr>
      <w:r>
        <w:rPr>
          <w:rFonts w:ascii="宋体" w:hAnsi="宋体" w:eastAsia="宋体" w:cs="宋体"/>
          <w:color w:val="auto"/>
          <w:sz w:val="24"/>
          <w:highlight w:val="none"/>
        </w:rPr>
        <w:t>√（6）结构设计：本项目合同范围内建筑体的结构设计、基坑支护设计、挡土墙护坡、幕墙等装修工程的结构设计，包括总平面范围内主体、附属的结构设计、装修工程的结构设计与验算、室外工程及构筑物的结构设计等。</w:t>
      </w:r>
    </w:p>
    <w:p w14:paraId="266EAC0E">
      <w:pPr>
        <w:snapToGrid w:val="0"/>
        <w:spacing w:before="0" w:after="0" w:line="360" w:lineRule="auto"/>
        <w:ind w:firstLine="480" w:firstLineChars="200"/>
        <w:rPr>
          <w:rFonts w:hint="eastAsia" w:ascii="宋体" w:hAnsi="宋体" w:eastAsia="宋体" w:cs="宋体"/>
          <w:color w:val="auto"/>
          <w:sz w:val="24"/>
          <w:highlight w:val="none"/>
        </w:rPr>
      </w:pPr>
      <w:r>
        <w:rPr>
          <w:rFonts w:ascii="宋体" w:hAnsi="宋体" w:eastAsia="宋体" w:cs="宋体"/>
          <w:color w:val="auto"/>
          <w:sz w:val="24"/>
          <w:highlight w:val="none"/>
        </w:rPr>
        <w:t>√（7）电气设计</w:t>
      </w:r>
    </w:p>
    <w:p w14:paraId="7ECB5F09">
      <w:pPr>
        <w:snapToGrid w:val="0"/>
        <w:spacing w:before="0" w:after="0" w:line="360" w:lineRule="auto"/>
        <w:ind w:firstLine="480" w:firstLineChars="200"/>
        <w:rPr>
          <w:rFonts w:hint="eastAsia" w:ascii="宋体" w:hAnsi="宋体" w:eastAsia="宋体" w:cs="宋体"/>
          <w:color w:val="auto"/>
          <w:sz w:val="24"/>
          <w:highlight w:val="none"/>
        </w:rPr>
      </w:pPr>
      <w:r>
        <w:rPr>
          <w:rFonts w:ascii="宋体" w:hAnsi="宋体" w:eastAsia="宋体" w:cs="宋体"/>
          <w:color w:val="auto"/>
          <w:sz w:val="24"/>
          <w:highlight w:val="none"/>
        </w:rPr>
        <w:t>√  1）通信网络系统：包括计算机网络系统、电话（语音）网络系统、有线电视系统、公共广播及消防广播系统、无线上网系统；综合布线；信息导引及发布系统；</w:t>
      </w:r>
    </w:p>
    <w:p w14:paraId="5B09E72F">
      <w:pPr>
        <w:snapToGrid w:val="0"/>
        <w:spacing w:before="0" w:after="0" w:line="360" w:lineRule="auto"/>
        <w:ind w:firstLine="480" w:firstLineChars="200"/>
        <w:rPr>
          <w:rFonts w:hint="eastAsia" w:ascii="宋体" w:hAnsi="宋体" w:eastAsia="宋体" w:cs="宋体"/>
          <w:color w:val="auto"/>
          <w:sz w:val="24"/>
          <w:highlight w:val="none"/>
        </w:rPr>
      </w:pPr>
      <w:r>
        <w:rPr>
          <w:rFonts w:ascii="宋体" w:hAnsi="宋体" w:eastAsia="宋体" w:cs="宋体"/>
          <w:color w:val="auto"/>
          <w:sz w:val="24"/>
          <w:highlight w:val="none"/>
        </w:rPr>
        <w:t>×  2）电子会议系统；</w:t>
      </w:r>
    </w:p>
    <w:p w14:paraId="25F6ED49">
      <w:pPr>
        <w:snapToGrid w:val="0"/>
        <w:spacing w:before="0" w:after="0" w:line="360" w:lineRule="auto"/>
        <w:ind w:firstLine="480" w:firstLineChars="200"/>
        <w:rPr>
          <w:rFonts w:hint="eastAsia" w:ascii="宋体" w:hAnsi="宋体" w:eastAsia="宋体" w:cs="宋体"/>
          <w:color w:val="auto"/>
          <w:sz w:val="24"/>
          <w:highlight w:val="none"/>
        </w:rPr>
      </w:pPr>
      <w:r>
        <w:rPr>
          <w:rFonts w:ascii="宋体" w:hAnsi="宋体" w:eastAsia="宋体" w:cs="宋体"/>
          <w:color w:val="auto"/>
          <w:sz w:val="24"/>
          <w:highlight w:val="none"/>
        </w:rPr>
        <w:t>×  3）新闻发布系统；</w:t>
      </w:r>
    </w:p>
    <w:p w14:paraId="0CF9E2FD">
      <w:pPr>
        <w:snapToGrid w:val="0"/>
        <w:spacing w:before="0" w:after="0" w:line="360" w:lineRule="auto"/>
        <w:ind w:firstLine="480" w:firstLineChars="200"/>
        <w:rPr>
          <w:rFonts w:hint="eastAsia" w:ascii="宋体" w:hAnsi="宋体" w:eastAsia="宋体" w:cs="宋体"/>
          <w:color w:val="auto"/>
          <w:sz w:val="24"/>
          <w:highlight w:val="none"/>
        </w:rPr>
      </w:pPr>
      <w:r>
        <w:rPr>
          <w:rFonts w:ascii="宋体" w:hAnsi="宋体" w:eastAsia="宋体" w:cs="宋体"/>
          <w:color w:val="auto"/>
          <w:sz w:val="24"/>
          <w:highlight w:val="none"/>
        </w:rPr>
        <w:t>√  4）建筑设备监控系统；</w:t>
      </w:r>
    </w:p>
    <w:p w14:paraId="6985B2BD">
      <w:pPr>
        <w:snapToGrid w:val="0"/>
        <w:spacing w:before="0" w:after="0" w:line="360" w:lineRule="auto"/>
        <w:ind w:firstLine="480" w:firstLineChars="200"/>
        <w:rPr>
          <w:rFonts w:hint="eastAsia" w:ascii="宋体" w:hAnsi="宋体" w:eastAsia="宋体" w:cs="宋体"/>
          <w:color w:val="auto"/>
          <w:sz w:val="24"/>
          <w:highlight w:val="none"/>
        </w:rPr>
      </w:pPr>
      <w:r>
        <w:rPr>
          <w:rFonts w:ascii="宋体" w:hAnsi="宋体" w:eastAsia="宋体" w:cs="宋体"/>
          <w:color w:val="auto"/>
          <w:sz w:val="24"/>
          <w:highlight w:val="none"/>
        </w:rPr>
        <w:t>√  5）安全防范系统（访客对讲、紧急求助报警装置等）；闭路电视监控系统、出入口控制系统、停车场管理系统；</w:t>
      </w:r>
    </w:p>
    <w:p w14:paraId="4926EAA8">
      <w:pPr>
        <w:snapToGrid w:val="0"/>
        <w:spacing w:before="0" w:after="0" w:line="360" w:lineRule="auto"/>
        <w:ind w:firstLine="480" w:firstLineChars="200"/>
        <w:rPr>
          <w:rFonts w:hint="eastAsia" w:ascii="宋体" w:hAnsi="宋体" w:eastAsia="宋体" w:cs="宋体"/>
          <w:color w:val="auto"/>
          <w:sz w:val="24"/>
          <w:highlight w:val="none"/>
        </w:rPr>
      </w:pPr>
      <w:r>
        <w:rPr>
          <w:rFonts w:ascii="宋体" w:hAnsi="宋体" w:eastAsia="宋体" w:cs="宋体"/>
          <w:color w:val="auto"/>
          <w:sz w:val="24"/>
          <w:highlight w:val="none"/>
        </w:rPr>
        <w:t>√  6）智能化系统集成；</w:t>
      </w:r>
    </w:p>
    <w:p w14:paraId="7504FB61">
      <w:pPr>
        <w:snapToGrid w:val="0"/>
        <w:spacing w:before="0" w:after="0" w:line="360" w:lineRule="auto"/>
        <w:ind w:firstLine="480" w:firstLineChars="200"/>
        <w:rPr>
          <w:rFonts w:hint="eastAsia" w:ascii="宋体" w:hAnsi="宋体" w:eastAsia="宋体" w:cs="宋体"/>
          <w:color w:val="auto"/>
          <w:sz w:val="24"/>
          <w:highlight w:val="none"/>
        </w:rPr>
      </w:pPr>
      <w:r>
        <w:rPr>
          <w:rFonts w:ascii="宋体" w:hAnsi="宋体" w:eastAsia="宋体" w:cs="宋体"/>
          <w:color w:val="auto"/>
          <w:sz w:val="24"/>
          <w:highlight w:val="none"/>
        </w:rPr>
        <w:t>√  7）弱电防雷系统；</w:t>
      </w:r>
    </w:p>
    <w:p w14:paraId="5B2CBBF6">
      <w:pPr>
        <w:snapToGrid w:val="0"/>
        <w:spacing w:before="0" w:after="0" w:line="360" w:lineRule="auto"/>
        <w:ind w:firstLine="480" w:firstLineChars="200"/>
        <w:rPr>
          <w:rFonts w:hint="eastAsia" w:ascii="宋体" w:hAnsi="宋体" w:eastAsia="宋体" w:cs="宋体"/>
          <w:color w:val="auto"/>
          <w:sz w:val="24"/>
          <w:highlight w:val="none"/>
        </w:rPr>
      </w:pPr>
      <w:r>
        <w:rPr>
          <w:rFonts w:ascii="宋体" w:hAnsi="宋体" w:eastAsia="宋体" w:cs="宋体"/>
          <w:color w:val="auto"/>
          <w:sz w:val="24"/>
          <w:highlight w:val="none"/>
        </w:rPr>
        <w:t>√  8）机房工程；</w:t>
      </w:r>
    </w:p>
    <w:p w14:paraId="5E33B2CB">
      <w:pPr>
        <w:snapToGrid w:val="0"/>
        <w:spacing w:before="0" w:after="0" w:line="360" w:lineRule="auto"/>
        <w:ind w:firstLine="480" w:firstLineChars="200"/>
        <w:rPr>
          <w:rFonts w:hint="eastAsia" w:ascii="宋体" w:hAnsi="宋体" w:eastAsia="宋体" w:cs="宋体"/>
          <w:color w:val="auto"/>
          <w:sz w:val="24"/>
          <w:highlight w:val="none"/>
        </w:rPr>
      </w:pPr>
      <w:r>
        <w:rPr>
          <w:rFonts w:ascii="宋体" w:hAnsi="宋体" w:eastAsia="宋体" w:cs="宋体"/>
          <w:color w:val="auto"/>
          <w:sz w:val="24"/>
          <w:highlight w:val="none"/>
        </w:rPr>
        <w:t>√（9）给排水设计（含外水接入、接出部分，需设计接至主管部门指定接口）：建筑给水、排水系统设计、用地内与市政管线接驳等设计。</w:t>
      </w:r>
    </w:p>
    <w:p w14:paraId="005EFB34">
      <w:pPr>
        <w:snapToGrid w:val="0"/>
        <w:spacing w:before="0" w:after="0" w:line="360" w:lineRule="auto"/>
        <w:ind w:firstLine="480" w:firstLineChars="200"/>
        <w:rPr>
          <w:rFonts w:hint="eastAsia" w:ascii="宋体" w:hAnsi="宋体" w:eastAsia="宋体" w:cs="宋体"/>
          <w:color w:val="auto"/>
          <w:sz w:val="24"/>
          <w:highlight w:val="none"/>
        </w:rPr>
      </w:pPr>
      <w:r>
        <w:rPr>
          <w:rFonts w:ascii="宋体" w:hAnsi="宋体" w:eastAsia="宋体" w:cs="宋体"/>
          <w:color w:val="auto"/>
          <w:sz w:val="24"/>
          <w:highlight w:val="none"/>
        </w:rPr>
        <w:t>√（10）空调通风设计：包括不限于建筑物内部通风系统、防排烟系统、建筑物内部空气调节系统、集中供冷供热系统等的设计。</w:t>
      </w:r>
    </w:p>
    <w:p w14:paraId="56D7AB1E">
      <w:pPr>
        <w:snapToGrid w:val="0"/>
        <w:spacing w:before="0" w:after="0" w:line="360" w:lineRule="auto"/>
        <w:ind w:firstLine="480" w:firstLineChars="200"/>
        <w:rPr>
          <w:rFonts w:hint="eastAsia" w:ascii="宋体" w:hAnsi="宋体" w:eastAsia="宋体" w:cs="宋体"/>
          <w:color w:val="auto"/>
          <w:sz w:val="24"/>
          <w:highlight w:val="none"/>
        </w:rPr>
      </w:pPr>
      <w:r>
        <w:rPr>
          <w:rFonts w:ascii="宋体" w:hAnsi="宋体" w:eastAsia="宋体" w:cs="宋体"/>
          <w:color w:val="auto"/>
          <w:sz w:val="24"/>
          <w:highlight w:val="none"/>
        </w:rPr>
        <w:t>包括红线范围内给水排水系统；消火栓系统；自动喷水灭火系统；灭火器配置；气体灭火系统。</w:t>
      </w:r>
    </w:p>
    <w:p w14:paraId="2ACC84B4">
      <w:pPr>
        <w:snapToGrid w:val="0"/>
        <w:spacing w:before="0" w:after="0" w:line="360" w:lineRule="auto"/>
        <w:ind w:firstLine="480" w:firstLineChars="200"/>
        <w:rPr>
          <w:rFonts w:hint="eastAsia" w:ascii="宋体" w:hAnsi="宋体" w:eastAsia="宋体" w:cs="宋体"/>
          <w:color w:val="auto"/>
          <w:sz w:val="24"/>
          <w:highlight w:val="none"/>
        </w:rPr>
      </w:pPr>
      <w:r>
        <w:rPr>
          <w:rFonts w:ascii="宋体" w:hAnsi="宋体" w:eastAsia="宋体" w:cs="宋体"/>
          <w:color w:val="auto"/>
          <w:sz w:val="24"/>
          <w:highlight w:val="none"/>
        </w:rPr>
        <w:t>√（11）消防设计：消火栓系统、自动喷淋系统、气体灭火系统、防排烟系统、火灾自动报警及联动控制系统。</w:t>
      </w:r>
    </w:p>
    <w:p w14:paraId="030BB759">
      <w:pPr>
        <w:snapToGrid w:val="0"/>
        <w:spacing w:before="0" w:after="0" w:line="360" w:lineRule="auto"/>
        <w:ind w:firstLine="480" w:firstLineChars="200"/>
        <w:rPr>
          <w:rFonts w:hint="eastAsia" w:ascii="宋体" w:hAnsi="宋体" w:eastAsia="宋体" w:cs="宋体"/>
          <w:color w:val="auto"/>
          <w:sz w:val="24"/>
          <w:highlight w:val="none"/>
        </w:rPr>
      </w:pPr>
      <w:r>
        <w:rPr>
          <w:rFonts w:ascii="宋体" w:hAnsi="宋体" w:eastAsia="宋体" w:cs="宋体"/>
          <w:color w:val="auto"/>
          <w:sz w:val="24"/>
          <w:highlight w:val="none"/>
        </w:rPr>
        <w:t>√（12）电梯工程设计与相关配合。</w:t>
      </w:r>
    </w:p>
    <w:p w14:paraId="73858F85">
      <w:pPr>
        <w:snapToGrid w:val="0"/>
        <w:spacing w:before="0" w:after="0" w:line="360" w:lineRule="auto"/>
        <w:ind w:firstLine="480" w:firstLineChars="200"/>
        <w:rPr>
          <w:rFonts w:hint="eastAsia" w:ascii="宋体" w:hAnsi="宋体" w:eastAsia="宋体" w:cs="宋体"/>
          <w:color w:val="auto"/>
          <w:sz w:val="24"/>
          <w:highlight w:val="none"/>
        </w:rPr>
      </w:pPr>
      <w:r>
        <w:rPr>
          <w:rFonts w:ascii="宋体" w:hAnsi="宋体" w:eastAsia="宋体" w:cs="宋体"/>
          <w:color w:val="auto"/>
          <w:sz w:val="24"/>
          <w:highlight w:val="none"/>
        </w:rPr>
        <w:t>√（13）市政专业设计，包括本项目用地红线范围内市政路涉及的道路、桥梁、交通、给排水、照明、绿化、缆线管廊（电力及通信）等工程设计，以及各种管线综合平衡设计（含配合市政管线接口对接）等。</w:t>
      </w:r>
    </w:p>
    <w:p w14:paraId="65DFD861">
      <w:pPr>
        <w:snapToGrid w:val="0"/>
        <w:spacing w:before="0" w:after="0" w:line="360" w:lineRule="auto"/>
        <w:ind w:firstLine="480" w:firstLineChars="200"/>
        <w:rPr>
          <w:rFonts w:hint="eastAsia" w:ascii="宋体" w:hAnsi="宋体" w:eastAsia="宋体" w:cs="宋体"/>
          <w:color w:val="auto"/>
          <w:sz w:val="24"/>
          <w:highlight w:val="none"/>
        </w:rPr>
      </w:pPr>
      <w:r>
        <w:rPr>
          <w:rFonts w:ascii="宋体" w:hAnsi="宋体" w:eastAsia="宋体" w:cs="宋体"/>
          <w:color w:val="auto"/>
          <w:sz w:val="24"/>
          <w:highlight w:val="none"/>
        </w:rPr>
        <w:t>√（14）市政管线综合专业设计。</w:t>
      </w:r>
    </w:p>
    <w:p w14:paraId="577CE3C5">
      <w:pPr>
        <w:snapToGrid w:val="0"/>
        <w:spacing w:before="0" w:after="0" w:line="360" w:lineRule="auto"/>
        <w:ind w:firstLine="480" w:firstLineChars="200"/>
        <w:rPr>
          <w:rFonts w:hint="eastAsia" w:ascii="宋体" w:hAnsi="宋体" w:eastAsia="宋体" w:cs="宋体"/>
          <w:color w:val="auto"/>
          <w:sz w:val="24"/>
          <w:highlight w:val="none"/>
        </w:rPr>
      </w:pPr>
      <w:r>
        <w:rPr>
          <w:rFonts w:ascii="宋体" w:hAnsi="宋体" w:eastAsia="宋体" w:cs="宋体"/>
          <w:color w:val="auto"/>
          <w:sz w:val="24"/>
          <w:highlight w:val="none"/>
        </w:rPr>
        <w:t>√（15）按照项目的灯光、声学等特殊工艺设计要求进行建筑、结构及其配套设备专业的设计与相关配合。</w:t>
      </w:r>
    </w:p>
    <w:p w14:paraId="6D3AD0EF">
      <w:pPr>
        <w:snapToGrid w:val="0"/>
        <w:spacing w:before="0" w:after="0" w:line="360" w:lineRule="auto"/>
        <w:ind w:firstLine="480" w:firstLineChars="200"/>
        <w:rPr>
          <w:rFonts w:hint="eastAsia" w:ascii="宋体" w:hAnsi="宋体" w:eastAsia="宋体" w:cs="宋体"/>
          <w:color w:val="auto"/>
          <w:sz w:val="24"/>
          <w:highlight w:val="none"/>
        </w:rPr>
      </w:pPr>
      <w:r>
        <w:rPr>
          <w:rFonts w:ascii="宋体" w:hAnsi="宋体" w:eastAsia="宋体" w:cs="宋体"/>
          <w:color w:val="auto"/>
          <w:sz w:val="24"/>
          <w:highlight w:val="none"/>
        </w:rPr>
        <w:t>√（16）管线综合平衡设计：各种专业设备、系统的管线在建筑物内、外的路由平衡设计。建筑物内、外的管线综合平衡设计以专篇形式提交。</w:t>
      </w:r>
    </w:p>
    <w:p w14:paraId="046E4EE6">
      <w:pPr>
        <w:snapToGrid w:val="0"/>
        <w:spacing w:before="0" w:after="0" w:line="360" w:lineRule="auto"/>
        <w:ind w:firstLine="480" w:firstLineChars="200"/>
        <w:rPr>
          <w:rFonts w:hint="eastAsia" w:ascii="宋体" w:hAnsi="宋体" w:eastAsia="宋体" w:cs="宋体"/>
          <w:color w:val="auto"/>
          <w:sz w:val="24"/>
          <w:highlight w:val="none"/>
        </w:rPr>
      </w:pPr>
      <w:r>
        <w:rPr>
          <w:rFonts w:ascii="宋体" w:hAnsi="宋体" w:eastAsia="宋体" w:cs="宋体"/>
          <w:color w:val="auto"/>
          <w:sz w:val="24"/>
          <w:highlight w:val="none"/>
        </w:rPr>
        <w:t>√（17）设备选型意见：就拟采用的专用机电设备、专用电子设备（如大屏幕显示系统、广播音响系统等）的选型于施工图设计开始前向甲方提出书面意见并提供相关设备的技术参数规格书，但不设计专用设备。</w:t>
      </w:r>
    </w:p>
    <w:p w14:paraId="16D57A97">
      <w:pPr>
        <w:snapToGrid w:val="0"/>
        <w:spacing w:before="0" w:after="0" w:line="360" w:lineRule="auto"/>
        <w:ind w:firstLine="480" w:firstLineChars="200"/>
        <w:rPr>
          <w:rFonts w:hint="eastAsia" w:ascii="宋体" w:hAnsi="宋体" w:eastAsia="宋体" w:cs="宋体"/>
          <w:color w:val="auto"/>
          <w:sz w:val="24"/>
          <w:highlight w:val="none"/>
        </w:rPr>
      </w:pPr>
      <w:r>
        <w:rPr>
          <w:rFonts w:ascii="宋体" w:hAnsi="宋体" w:eastAsia="宋体" w:cs="宋体"/>
          <w:color w:val="auto"/>
          <w:sz w:val="24"/>
          <w:highlight w:val="none"/>
        </w:rPr>
        <w:t>√（18）建筑节能、绿色建筑设计，以及新技术应用的研究和设计。</w:t>
      </w:r>
    </w:p>
    <w:p w14:paraId="16CCACB4">
      <w:pPr>
        <w:snapToGrid w:val="0"/>
        <w:spacing w:before="0" w:after="0" w:line="360" w:lineRule="auto"/>
        <w:ind w:firstLine="480" w:firstLineChars="200"/>
        <w:rPr>
          <w:rFonts w:hint="eastAsia" w:ascii="宋体" w:hAnsi="宋体" w:eastAsia="宋体" w:cs="宋体"/>
          <w:color w:val="auto"/>
          <w:sz w:val="24"/>
          <w:highlight w:val="none"/>
        </w:rPr>
      </w:pPr>
      <w:r>
        <w:rPr>
          <w:rFonts w:ascii="宋体" w:hAnsi="宋体" w:eastAsia="宋体" w:cs="宋体"/>
          <w:color w:val="auto"/>
          <w:sz w:val="24"/>
          <w:highlight w:val="none"/>
        </w:rPr>
        <w:t>√（19）编制方案设计投资估算。</w:t>
      </w:r>
    </w:p>
    <w:p w14:paraId="450A318F">
      <w:pPr>
        <w:snapToGrid w:val="0"/>
        <w:spacing w:before="0" w:after="0" w:line="360" w:lineRule="auto"/>
        <w:ind w:firstLine="480" w:firstLineChars="200"/>
        <w:rPr>
          <w:rFonts w:hint="eastAsia" w:ascii="宋体" w:hAnsi="宋体" w:eastAsia="宋体" w:cs="宋体"/>
          <w:color w:val="auto"/>
          <w:sz w:val="24"/>
          <w:highlight w:val="none"/>
        </w:rPr>
      </w:pPr>
      <w:r>
        <w:rPr>
          <w:rFonts w:ascii="宋体" w:hAnsi="宋体" w:eastAsia="宋体" w:cs="宋体"/>
          <w:color w:val="auto"/>
          <w:sz w:val="24"/>
          <w:highlight w:val="none"/>
        </w:rPr>
        <w:t>√（20）编制初步设计概算。</w:t>
      </w:r>
    </w:p>
    <w:p w14:paraId="331C0F52">
      <w:pPr>
        <w:snapToGrid w:val="0"/>
        <w:spacing w:before="0" w:after="0" w:line="360" w:lineRule="auto"/>
        <w:ind w:firstLine="480" w:firstLineChars="200"/>
        <w:rPr>
          <w:rFonts w:hint="eastAsia" w:ascii="宋体" w:hAnsi="宋体" w:eastAsia="宋体" w:cs="宋体"/>
          <w:color w:val="auto"/>
          <w:sz w:val="24"/>
          <w:highlight w:val="none"/>
        </w:rPr>
      </w:pPr>
      <w:r>
        <w:rPr>
          <w:rFonts w:ascii="宋体" w:hAnsi="宋体" w:eastAsia="宋体" w:cs="宋体"/>
          <w:color w:val="auto"/>
          <w:sz w:val="24"/>
          <w:highlight w:val="none"/>
        </w:rPr>
        <w:t>×（21）编制设计变更预算。</w:t>
      </w:r>
    </w:p>
    <w:p w14:paraId="5684847F">
      <w:pPr>
        <w:snapToGrid w:val="0"/>
        <w:spacing w:before="0" w:after="0" w:line="360" w:lineRule="auto"/>
        <w:ind w:firstLine="480" w:firstLineChars="200"/>
        <w:rPr>
          <w:rFonts w:hint="eastAsia" w:ascii="宋体" w:hAnsi="宋体" w:eastAsia="宋体" w:cs="宋体"/>
          <w:color w:val="auto"/>
          <w:sz w:val="24"/>
          <w:highlight w:val="none"/>
        </w:rPr>
      </w:pPr>
      <w:r>
        <w:rPr>
          <w:rFonts w:ascii="宋体" w:hAnsi="宋体" w:eastAsia="宋体" w:cs="宋体"/>
          <w:color w:val="auto"/>
          <w:sz w:val="24"/>
          <w:highlight w:val="none"/>
        </w:rPr>
        <w:t>×（22）编制施工图预算。</w:t>
      </w:r>
    </w:p>
    <w:p w14:paraId="34DBCF75">
      <w:pPr>
        <w:snapToGrid w:val="0"/>
        <w:spacing w:before="0" w:after="0" w:line="360" w:lineRule="auto"/>
        <w:ind w:firstLine="480" w:firstLineChars="200"/>
        <w:rPr>
          <w:rFonts w:hint="eastAsia" w:ascii="宋体" w:hAnsi="宋体" w:eastAsia="宋体" w:cs="宋体"/>
          <w:color w:val="auto"/>
          <w:sz w:val="24"/>
          <w:highlight w:val="none"/>
        </w:rPr>
      </w:pPr>
      <w:r>
        <w:rPr>
          <w:rFonts w:ascii="宋体" w:hAnsi="宋体" w:eastAsia="宋体" w:cs="宋体"/>
          <w:color w:val="auto"/>
          <w:sz w:val="24"/>
          <w:highlight w:val="none"/>
        </w:rPr>
        <w:t>√（23）在规划红线范围内，乙方应保证按规划及建筑功能要求、配套设施要求完成本合同工程造价中包含的全部项目的专业专项勘察、初步设计。</w:t>
      </w:r>
    </w:p>
    <w:p w14:paraId="6FB294BE">
      <w:pPr>
        <w:snapToGrid w:val="0"/>
        <w:spacing w:before="0" w:after="0" w:line="360" w:lineRule="auto"/>
        <w:ind w:firstLine="480" w:firstLineChars="200"/>
        <w:rPr>
          <w:rFonts w:hint="eastAsia" w:ascii="宋体" w:hAnsi="宋体" w:eastAsia="宋体" w:cs="宋体"/>
          <w:color w:val="auto"/>
          <w:sz w:val="24"/>
          <w:highlight w:val="none"/>
        </w:rPr>
      </w:pPr>
      <w:r>
        <w:rPr>
          <w:rFonts w:ascii="宋体" w:hAnsi="宋体" w:eastAsia="宋体" w:cs="宋体"/>
          <w:color w:val="auto"/>
          <w:sz w:val="24"/>
          <w:highlight w:val="none"/>
        </w:rPr>
        <w:t>√（24）对于专项分包勘察、设计文件，须由乙方及专项分包单位人员校核并会签盖章确认。专项分包初步设计文件中，需设计人校核确认的部分由设计人及专项分包方人员进行会签并盖章确认。设计人应配合专项分包初步设计单位出图。对于有设计资质的初步设计单位，对其设计文件进行设计协调和按建设方要求办理审核确认手续；对于没有设计资质的初步设计单位，在完成深化设计后需套设计人单位图签出图，初步设计单位必须盖章确认。</w:t>
      </w:r>
    </w:p>
    <w:p w14:paraId="310123AD">
      <w:pPr>
        <w:snapToGrid w:val="0"/>
        <w:spacing w:before="0" w:after="0" w:line="360" w:lineRule="auto"/>
        <w:ind w:firstLine="480" w:firstLineChars="200"/>
        <w:rPr>
          <w:rFonts w:hint="eastAsia" w:ascii="宋体" w:hAnsi="宋体" w:eastAsia="宋体" w:cs="宋体"/>
          <w:color w:val="auto"/>
          <w:sz w:val="24"/>
          <w:highlight w:val="none"/>
        </w:rPr>
      </w:pPr>
      <w:r>
        <w:rPr>
          <w:rFonts w:ascii="宋体" w:hAnsi="宋体" w:eastAsia="宋体" w:cs="宋体"/>
          <w:color w:val="auto"/>
          <w:sz w:val="24"/>
          <w:highlight w:val="none"/>
        </w:rPr>
        <w:t>√（25）提供主要设备材料表及技术要求书，配合甲方的招标工作。</w:t>
      </w:r>
    </w:p>
    <w:p w14:paraId="13C277FF">
      <w:pPr>
        <w:snapToGrid w:val="0"/>
        <w:spacing w:before="0" w:after="0" w:line="360" w:lineRule="auto"/>
        <w:ind w:firstLine="480" w:firstLineChars="200"/>
        <w:rPr>
          <w:rFonts w:hint="eastAsia" w:ascii="宋体" w:hAnsi="宋体" w:eastAsia="宋体" w:cs="宋体"/>
          <w:color w:val="auto"/>
          <w:sz w:val="24"/>
          <w:highlight w:val="none"/>
        </w:rPr>
      </w:pPr>
      <w:r>
        <w:rPr>
          <w:rFonts w:ascii="宋体" w:hAnsi="宋体" w:eastAsia="宋体" w:cs="宋体"/>
          <w:color w:val="auto"/>
          <w:sz w:val="24"/>
          <w:highlight w:val="none"/>
        </w:rPr>
        <w:t>地震评估、环境评估、防雷评估、风洞试验、振动台试验、点试验、消防性能化分析及有关专项试验、研究与论证不在乙方设计范畴内，但乙方应配合甲方工作。</w:t>
      </w:r>
    </w:p>
    <w:p w14:paraId="26822471">
      <w:pPr>
        <w:snapToGrid w:val="0"/>
        <w:spacing w:before="0" w:after="0" w:line="360" w:lineRule="auto"/>
        <w:ind w:firstLine="480" w:firstLineChars="200"/>
        <w:rPr>
          <w:rFonts w:hint="eastAsia" w:ascii="宋体" w:hAnsi="宋体" w:eastAsia="宋体" w:cs="宋体"/>
          <w:color w:val="auto"/>
          <w:sz w:val="24"/>
          <w:highlight w:val="none"/>
        </w:rPr>
      </w:pPr>
      <w:r>
        <w:rPr>
          <w:rFonts w:ascii="宋体" w:hAnsi="宋体" w:eastAsia="宋体" w:cs="宋体"/>
          <w:color w:val="auto"/>
          <w:sz w:val="24"/>
          <w:highlight w:val="none"/>
        </w:rPr>
        <w:t>√（26）幕墙工程。</w:t>
      </w:r>
    </w:p>
    <w:p w14:paraId="69BCBC5E">
      <w:pPr>
        <w:snapToGrid w:val="0"/>
        <w:spacing w:before="0" w:after="0" w:line="360" w:lineRule="auto"/>
        <w:ind w:firstLine="480" w:firstLineChars="200"/>
        <w:rPr>
          <w:rFonts w:hint="eastAsia" w:ascii="宋体" w:hAnsi="宋体" w:eastAsia="宋体" w:cs="宋体"/>
          <w:color w:val="auto"/>
          <w:sz w:val="24"/>
          <w:highlight w:val="none"/>
        </w:rPr>
      </w:pPr>
      <w:r>
        <w:rPr>
          <w:rFonts w:ascii="宋体" w:hAnsi="宋体" w:eastAsia="宋体" w:cs="宋体"/>
          <w:color w:val="auto"/>
          <w:sz w:val="24"/>
          <w:highlight w:val="none"/>
        </w:rPr>
        <w:t>√（27）环保工程设计。</w:t>
      </w:r>
    </w:p>
    <w:p w14:paraId="089360A2">
      <w:pPr>
        <w:snapToGrid w:val="0"/>
        <w:spacing w:before="0" w:after="0" w:line="360" w:lineRule="auto"/>
        <w:ind w:firstLine="480" w:firstLineChars="200"/>
        <w:rPr>
          <w:rFonts w:hint="eastAsia" w:ascii="宋体" w:hAnsi="宋体" w:eastAsia="宋体" w:cs="宋体"/>
          <w:color w:val="auto"/>
          <w:sz w:val="24"/>
          <w:highlight w:val="none"/>
        </w:rPr>
      </w:pPr>
      <w:r>
        <w:rPr>
          <w:rFonts w:ascii="宋体" w:hAnsi="宋体" w:eastAsia="宋体" w:cs="宋体"/>
          <w:color w:val="auto"/>
          <w:sz w:val="24"/>
          <w:highlight w:val="none"/>
        </w:rPr>
        <w:t>√（28）防雷设计。</w:t>
      </w:r>
    </w:p>
    <w:p w14:paraId="18EECB58">
      <w:pPr>
        <w:snapToGrid w:val="0"/>
        <w:spacing w:before="0" w:after="0" w:line="360" w:lineRule="auto"/>
        <w:ind w:firstLine="480" w:firstLineChars="200"/>
        <w:rPr>
          <w:rFonts w:hint="eastAsia" w:ascii="宋体" w:hAnsi="宋体" w:eastAsia="宋体" w:cs="宋体"/>
          <w:color w:val="auto"/>
          <w:sz w:val="24"/>
          <w:highlight w:val="none"/>
        </w:rPr>
      </w:pPr>
      <w:r>
        <w:rPr>
          <w:rFonts w:ascii="宋体" w:hAnsi="宋体" w:eastAsia="宋体" w:cs="宋体"/>
          <w:color w:val="auto"/>
          <w:sz w:val="24"/>
          <w:highlight w:val="none"/>
        </w:rPr>
        <w:t>√（29）标识导引系统设计。</w:t>
      </w:r>
    </w:p>
    <w:p w14:paraId="1BFBB40E">
      <w:pPr>
        <w:snapToGrid w:val="0"/>
        <w:spacing w:before="0" w:after="0" w:line="360" w:lineRule="auto"/>
        <w:ind w:firstLine="480" w:firstLineChars="200"/>
        <w:rPr>
          <w:rFonts w:hint="eastAsia" w:ascii="宋体" w:hAnsi="宋体" w:eastAsia="宋体" w:cs="宋体"/>
          <w:color w:val="auto"/>
          <w:sz w:val="24"/>
          <w:highlight w:val="none"/>
        </w:rPr>
      </w:pPr>
      <w:r>
        <w:rPr>
          <w:rFonts w:ascii="宋体" w:hAnsi="宋体" w:eastAsia="宋体" w:cs="宋体"/>
          <w:color w:val="auto"/>
          <w:sz w:val="24"/>
          <w:highlight w:val="none"/>
        </w:rPr>
        <w:t>√（30）</w:t>
      </w:r>
      <w:bookmarkStart w:id="34" w:name="_Hlk75248990"/>
      <w:bookmarkEnd w:id="34"/>
      <w:r>
        <w:rPr>
          <w:rFonts w:ascii="宋体" w:hAnsi="宋体" w:eastAsia="宋体" w:cs="宋体"/>
          <w:color w:val="auto"/>
          <w:sz w:val="24"/>
          <w:highlight w:val="none"/>
        </w:rPr>
        <w:t>基坑专业设计。</w:t>
      </w:r>
    </w:p>
    <w:p w14:paraId="223742B2">
      <w:pPr>
        <w:snapToGrid w:val="0"/>
        <w:spacing w:before="0" w:after="0" w:line="360" w:lineRule="auto"/>
        <w:ind w:firstLine="480" w:firstLineChars="200"/>
        <w:rPr>
          <w:rFonts w:hint="eastAsia" w:ascii="宋体" w:hAnsi="宋体" w:eastAsia="宋体" w:cs="宋体"/>
          <w:color w:val="auto"/>
          <w:sz w:val="24"/>
          <w:highlight w:val="none"/>
        </w:rPr>
      </w:pPr>
      <w:r>
        <w:rPr>
          <w:rFonts w:ascii="宋体" w:hAnsi="宋体" w:eastAsia="宋体" w:cs="宋体"/>
          <w:color w:val="auto"/>
          <w:sz w:val="24"/>
          <w:highlight w:val="none"/>
        </w:rPr>
        <w:t>√（31）临水、临电、施工围墙、施工便道、施工总平面等工程初步设计。</w:t>
      </w:r>
    </w:p>
    <w:p w14:paraId="3D0676B0">
      <w:pPr>
        <w:snapToGrid w:val="0"/>
        <w:spacing w:before="0" w:after="0" w:line="360" w:lineRule="auto"/>
        <w:ind w:firstLine="480" w:firstLineChars="200"/>
        <w:rPr>
          <w:rFonts w:hint="eastAsia" w:ascii="宋体" w:hAnsi="宋体" w:eastAsia="宋体" w:cs="宋体"/>
          <w:color w:val="auto"/>
          <w:sz w:val="24"/>
          <w:highlight w:val="none"/>
        </w:rPr>
      </w:pPr>
      <w:r>
        <w:rPr>
          <w:rFonts w:ascii="宋体" w:hAnsi="宋体" w:eastAsia="宋体" w:cs="宋体"/>
          <w:color w:val="auto"/>
          <w:sz w:val="24"/>
          <w:highlight w:val="none"/>
        </w:rPr>
        <w:t>√（32）建设单位的驻地办公场所方案设计（临时板房、景观绿化、旗杆等）。</w:t>
      </w:r>
    </w:p>
    <w:p w14:paraId="3C04177A">
      <w:pPr>
        <w:snapToGrid w:val="0"/>
        <w:spacing w:before="0" w:after="0" w:line="360" w:lineRule="auto"/>
        <w:ind w:firstLine="480" w:firstLineChars="200"/>
        <w:rPr>
          <w:rFonts w:hint="eastAsia" w:ascii="宋体" w:hAnsi="宋体" w:eastAsia="宋体" w:cs="宋体"/>
          <w:color w:val="auto"/>
          <w:sz w:val="24"/>
          <w:highlight w:val="none"/>
        </w:rPr>
      </w:pPr>
      <w:r>
        <w:rPr>
          <w:rFonts w:ascii="宋体" w:hAnsi="宋体" w:eastAsia="宋体" w:cs="宋体"/>
          <w:color w:val="auto"/>
          <w:sz w:val="24"/>
          <w:highlight w:val="none"/>
        </w:rPr>
        <w:t>×（33）本项目实施过程中所涉及的现有设施拆除、管线迁改等内容的初步设计。</w:t>
      </w:r>
    </w:p>
    <w:p w14:paraId="04057F7C">
      <w:pPr>
        <w:snapToGrid w:val="0"/>
        <w:spacing w:before="0" w:after="0" w:line="360" w:lineRule="auto"/>
        <w:ind w:firstLine="480" w:firstLineChars="200"/>
        <w:rPr>
          <w:rFonts w:hint="eastAsia" w:ascii="宋体" w:hAnsi="宋体" w:eastAsia="宋体" w:cs="宋体"/>
          <w:color w:val="auto"/>
          <w:sz w:val="24"/>
          <w:highlight w:val="none"/>
        </w:rPr>
      </w:pPr>
      <w:r>
        <w:rPr>
          <w:rFonts w:ascii="宋体" w:hAnsi="宋体" w:eastAsia="宋体" w:cs="宋体"/>
          <w:color w:val="auto"/>
          <w:sz w:val="24"/>
          <w:highlight w:val="none"/>
        </w:rPr>
        <w:t>√（34）人防工程设计。</w:t>
      </w:r>
    </w:p>
    <w:p w14:paraId="61F87B8E">
      <w:pPr>
        <w:snapToGrid w:val="0"/>
        <w:spacing w:before="0" w:after="0" w:line="360" w:lineRule="auto"/>
        <w:ind w:firstLine="480" w:firstLineChars="200"/>
        <w:rPr>
          <w:rFonts w:hint="eastAsia" w:ascii="宋体" w:hAnsi="宋体" w:eastAsia="宋体" w:cs="宋体"/>
          <w:color w:val="auto"/>
          <w:sz w:val="24"/>
          <w:highlight w:val="none"/>
        </w:rPr>
      </w:pPr>
      <w:r>
        <w:rPr>
          <w:rFonts w:ascii="宋体" w:hAnsi="宋体" w:eastAsia="宋体" w:cs="宋体"/>
          <w:color w:val="auto"/>
          <w:sz w:val="24"/>
          <w:highlight w:val="none"/>
        </w:rPr>
        <w:t>×（35）管线迁改设计。</w:t>
      </w:r>
    </w:p>
    <w:p w14:paraId="14A8E9AE">
      <w:pPr>
        <w:snapToGrid w:val="0"/>
        <w:spacing w:before="0" w:after="0" w:line="360" w:lineRule="auto"/>
        <w:ind w:firstLine="480" w:firstLineChars="200"/>
        <w:rPr>
          <w:rFonts w:hint="eastAsia" w:ascii="宋体" w:hAnsi="宋体" w:eastAsia="宋体" w:cs="宋体"/>
          <w:color w:val="auto"/>
          <w:sz w:val="24"/>
          <w:highlight w:val="none"/>
        </w:rPr>
      </w:pPr>
      <w:r>
        <w:rPr>
          <w:rFonts w:ascii="宋体" w:hAnsi="宋体" w:eastAsia="宋体" w:cs="宋体"/>
          <w:color w:val="auto"/>
          <w:sz w:val="24"/>
          <w:highlight w:val="none"/>
        </w:rPr>
        <w:t>√（36）燃气工程设计。</w:t>
      </w:r>
    </w:p>
    <w:p w14:paraId="2F196BB0">
      <w:pPr>
        <w:snapToGrid w:val="0"/>
        <w:spacing w:before="0" w:after="0" w:line="360" w:lineRule="auto"/>
        <w:ind w:firstLine="480" w:firstLineChars="200"/>
        <w:rPr>
          <w:rFonts w:hint="eastAsia" w:ascii="宋体" w:hAnsi="宋体" w:eastAsia="宋体" w:cs="宋体"/>
          <w:color w:val="auto"/>
          <w:sz w:val="24"/>
          <w:highlight w:val="none"/>
        </w:rPr>
      </w:pPr>
      <w:r>
        <w:rPr>
          <w:rFonts w:ascii="宋体" w:hAnsi="宋体" w:eastAsia="宋体" w:cs="宋体"/>
          <w:color w:val="auto"/>
          <w:sz w:val="24"/>
          <w:highlight w:val="none"/>
        </w:rPr>
        <w:t>√（37）绿色建筑设计。</w:t>
      </w:r>
    </w:p>
    <w:p w14:paraId="7D45109B">
      <w:pPr>
        <w:snapToGrid w:val="0"/>
        <w:spacing w:before="0" w:after="0" w:line="360" w:lineRule="auto"/>
        <w:ind w:firstLine="480" w:firstLineChars="200"/>
        <w:rPr>
          <w:rFonts w:hint="eastAsia" w:ascii="宋体" w:hAnsi="宋体" w:eastAsia="宋体" w:cs="宋体"/>
          <w:color w:val="auto"/>
          <w:sz w:val="24"/>
          <w:highlight w:val="none"/>
        </w:rPr>
      </w:pPr>
      <w:r>
        <w:rPr>
          <w:rFonts w:ascii="宋体" w:hAnsi="宋体" w:eastAsia="宋体" w:cs="宋体"/>
          <w:color w:val="auto"/>
          <w:sz w:val="24"/>
          <w:highlight w:val="none"/>
        </w:rPr>
        <w:t>√（38）海绵城市等专业设计。</w:t>
      </w:r>
    </w:p>
    <w:p w14:paraId="5D9B0A0F">
      <w:pPr>
        <w:snapToGrid w:val="0"/>
        <w:spacing w:before="0" w:after="0" w:line="360" w:lineRule="auto"/>
        <w:ind w:firstLine="480" w:firstLineChars="200"/>
        <w:rPr>
          <w:rFonts w:hint="eastAsia" w:ascii="宋体" w:hAnsi="宋体" w:eastAsia="宋体" w:cs="宋体"/>
          <w:color w:val="auto"/>
          <w:sz w:val="24"/>
          <w:highlight w:val="none"/>
        </w:rPr>
      </w:pPr>
      <w:r>
        <w:rPr>
          <w:rFonts w:ascii="宋体" w:hAnsi="宋体" w:eastAsia="宋体" w:cs="宋体"/>
          <w:color w:val="auto"/>
          <w:sz w:val="24"/>
          <w:highlight w:val="none"/>
        </w:rPr>
        <w:t>√（39）装配式专项初步设计。</w:t>
      </w:r>
    </w:p>
    <w:p w14:paraId="1FDDD61D">
      <w:pPr>
        <w:snapToGrid w:val="0"/>
        <w:spacing w:before="0" w:after="0" w:line="360" w:lineRule="auto"/>
        <w:ind w:firstLine="480" w:firstLineChars="200"/>
        <w:rPr>
          <w:rFonts w:hint="eastAsia" w:ascii="宋体" w:hAnsi="宋体" w:eastAsia="宋体" w:cs="宋体"/>
          <w:color w:val="auto"/>
          <w:sz w:val="24"/>
          <w:highlight w:val="none"/>
        </w:rPr>
      </w:pPr>
      <w:r>
        <w:rPr>
          <w:rFonts w:ascii="宋体" w:hAnsi="宋体" w:eastAsia="宋体" w:cs="宋体"/>
          <w:color w:val="auto"/>
          <w:sz w:val="24"/>
          <w:highlight w:val="none"/>
        </w:rPr>
        <w:t>√（40）项目前期摸查报告编制（项目建设范围内及周边管线、地上建（构）筑物、交通、市政配套、地形地貌等前期摸查），项目各阶段设计重点、难点分析报告。</w:t>
      </w:r>
    </w:p>
    <w:p w14:paraId="1C6BE942">
      <w:pPr>
        <w:snapToGrid w:val="0"/>
        <w:spacing w:before="0" w:after="0" w:line="360" w:lineRule="auto"/>
        <w:ind w:firstLine="480" w:firstLineChars="200"/>
        <w:rPr>
          <w:rFonts w:hint="eastAsia" w:ascii="宋体" w:hAnsi="宋体" w:eastAsia="宋体" w:cs="宋体"/>
          <w:color w:val="auto"/>
          <w:sz w:val="24"/>
          <w:highlight w:val="none"/>
        </w:rPr>
      </w:pPr>
      <w:r>
        <w:rPr>
          <w:rFonts w:ascii="宋体" w:hAnsi="宋体" w:eastAsia="宋体" w:cs="宋体"/>
          <w:color w:val="auto"/>
          <w:sz w:val="24"/>
          <w:highlight w:val="none"/>
        </w:rPr>
        <w:t>√（41）现场指导和配合服务（设计阶段根据工程建设的需要及建设方的要求确定服务时间）。</w:t>
      </w:r>
    </w:p>
    <w:p w14:paraId="72E050D4">
      <w:pPr>
        <w:snapToGrid w:val="0"/>
        <w:spacing w:before="0" w:after="0" w:line="360" w:lineRule="auto"/>
        <w:ind w:firstLine="480" w:firstLineChars="200"/>
        <w:rPr>
          <w:rFonts w:hint="eastAsia" w:ascii="宋体" w:hAnsi="宋体" w:eastAsia="宋体" w:cs="宋体"/>
          <w:color w:val="auto"/>
          <w:sz w:val="24"/>
          <w:highlight w:val="none"/>
        </w:rPr>
      </w:pPr>
      <w:r>
        <w:rPr>
          <w:rFonts w:ascii="宋体" w:hAnsi="宋体" w:eastAsia="宋体" w:cs="宋体"/>
          <w:color w:val="auto"/>
          <w:sz w:val="24"/>
          <w:highlight w:val="none"/>
        </w:rPr>
        <w:t>√（42）向政府主管部门进行报建手续及相关协调工作（包括建筑方案审查、初步设计评审等）。</w:t>
      </w:r>
    </w:p>
    <w:p w14:paraId="2289DCA3">
      <w:pPr>
        <w:snapToGrid w:val="0"/>
        <w:spacing w:before="0" w:after="0" w:line="360" w:lineRule="auto"/>
        <w:ind w:firstLine="480" w:firstLineChars="200"/>
        <w:rPr>
          <w:rFonts w:hint="eastAsia" w:ascii="宋体" w:hAnsi="宋体" w:eastAsia="宋体" w:cs="宋体"/>
          <w:color w:val="auto"/>
          <w:sz w:val="24"/>
          <w:highlight w:val="none"/>
        </w:rPr>
      </w:pPr>
      <w:r>
        <w:rPr>
          <w:rFonts w:ascii="宋体" w:hAnsi="宋体" w:eastAsia="宋体" w:cs="宋体"/>
          <w:color w:val="auto"/>
          <w:sz w:val="24"/>
          <w:highlight w:val="none"/>
        </w:rPr>
        <w:t>√（43）本项目需采用BIM正向设计完成。</w:t>
      </w:r>
    </w:p>
    <w:p w14:paraId="1DE22A5D">
      <w:pPr>
        <w:snapToGrid w:val="0"/>
        <w:spacing w:before="0" w:after="0" w:line="360" w:lineRule="auto"/>
        <w:ind w:firstLine="480" w:firstLineChars="200"/>
        <w:rPr>
          <w:rFonts w:hint="eastAsia" w:ascii="宋体" w:hAnsi="宋体" w:eastAsia="宋体" w:cs="宋体"/>
          <w:color w:val="auto"/>
          <w:sz w:val="24"/>
          <w:highlight w:val="none"/>
        </w:rPr>
      </w:pPr>
      <w:r>
        <w:rPr>
          <w:rFonts w:ascii="宋体" w:hAnsi="宋体" w:eastAsia="宋体" w:cs="宋体"/>
          <w:color w:val="auto"/>
          <w:sz w:val="24"/>
          <w:highlight w:val="none"/>
        </w:rPr>
        <w:t>√（44）人员驻场服务：按招标文件及合同要求。</w:t>
      </w:r>
    </w:p>
    <w:p w14:paraId="088000C3">
      <w:pPr>
        <w:snapToGrid w:val="0"/>
        <w:spacing w:before="0" w:after="0" w:line="360" w:lineRule="auto"/>
        <w:ind w:firstLine="480" w:firstLineChars="200"/>
        <w:rPr>
          <w:rFonts w:hint="eastAsia" w:ascii="宋体" w:hAnsi="宋体" w:eastAsia="宋体" w:cs="宋体"/>
          <w:color w:val="auto"/>
          <w:sz w:val="24"/>
          <w:highlight w:val="none"/>
        </w:rPr>
      </w:pPr>
      <w:r>
        <w:rPr>
          <w:rFonts w:ascii="宋体" w:hAnsi="宋体" w:eastAsia="宋体" w:cs="宋体"/>
          <w:color w:val="auto"/>
          <w:sz w:val="24"/>
          <w:highlight w:val="none"/>
        </w:rPr>
        <w:t>√（45）招标文件及合同约定的其他设计、服务工作。</w:t>
      </w:r>
    </w:p>
    <w:p w14:paraId="31A9FD8D">
      <w:pPr>
        <w:snapToGrid w:val="0"/>
        <w:spacing w:before="0" w:after="0" w:line="360" w:lineRule="auto"/>
        <w:ind w:firstLine="480" w:firstLineChars="200"/>
        <w:rPr>
          <w:rFonts w:hint="eastAsia" w:ascii="宋体" w:hAnsi="宋体" w:eastAsia="宋体" w:cs="宋体"/>
          <w:color w:val="auto"/>
          <w:sz w:val="24"/>
          <w:highlight w:val="none"/>
        </w:rPr>
      </w:pPr>
      <w:r>
        <w:rPr>
          <w:rFonts w:ascii="宋体" w:hAnsi="宋体" w:eastAsia="宋体" w:cs="宋体"/>
          <w:color w:val="auto"/>
          <w:sz w:val="24"/>
          <w:highlight w:val="none"/>
        </w:rPr>
        <w:t>√（46）因政策变化或相应外部条件改变带来的相应设计工作。包括但不限于：文保专项设计、配合“新城建”工作等。</w:t>
      </w:r>
    </w:p>
    <w:p w14:paraId="6170D35A">
      <w:pPr>
        <w:snapToGrid w:val="0"/>
        <w:spacing w:before="0" w:after="0" w:line="360" w:lineRule="auto"/>
        <w:ind w:firstLine="480" w:firstLineChars="200"/>
        <w:rPr>
          <w:rFonts w:hint="eastAsia" w:ascii="宋体" w:hAnsi="宋体" w:eastAsia="宋体" w:cs="宋体"/>
          <w:color w:val="auto"/>
          <w:sz w:val="24"/>
          <w:highlight w:val="none"/>
        </w:rPr>
      </w:pPr>
      <w:r>
        <w:rPr>
          <w:rFonts w:ascii="宋体" w:hAnsi="宋体" w:eastAsia="宋体" w:cs="宋体"/>
          <w:color w:val="auto"/>
          <w:sz w:val="24"/>
          <w:highlight w:val="none"/>
        </w:rPr>
        <w:t>×（47）总控协调工作（如有）。本项目实施过程中总控协调工作，负责项目各标段内外部衔接及相关工作，包括但不限于以下内容：</w:t>
      </w:r>
    </w:p>
    <w:p w14:paraId="40690853">
      <w:pPr>
        <w:snapToGrid w:val="0"/>
        <w:spacing w:before="0" w:after="0" w:line="360" w:lineRule="auto"/>
        <w:ind w:firstLine="480" w:firstLineChars="200"/>
        <w:rPr>
          <w:rFonts w:hint="eastAsia" w:ascii="宋体" w:hAnsi="宋体" w:eastAsia="宋体" w:cs="宋体"/>
          <w:color w:val="auto"/>
          <w:sz w:val="24"/>
          <w:highlight w:val="none"/>
        </w:rPr>
      </w:pPr>
      <w:r>
        <w:rPr>
          <w:rFonts w:ascii="宋体" w:hAnsi="宋体" w:eastAsia="宋体" w:cs="宋体"/>
          <w:color w:val="auto"/>
          <w:sz w:val="24"/>
          <w:highlight w:val="none"/>
        </w:rPr>
        <w:t>1）协调组织各标段投标人研究建设项目的总体设计方案。</w:t>
      </w:r>
    </w:p>
    <w:p w14:paraId="18712FD2">
      <w:pPr>
        <w:snapToGrid w:val="0"/>
        <w:spacing w:before="0" w:after="0" w:line="360" w:lineRule="auto"/>
        <w:ind w:firstLine="480" w:firstLineChars="200"/>
        <w:rPr>
          <w:rFonts w:hint="eastAsia" w:ascii="宋体" w:hAnsi="宋体" w:eastAsia="宋体" w:cs="宋体"/>
          <w:color w:val="auto"/>
          <w:sz w:val="24"/>
          <w:highlight w:val="none"/>
        </w:rPr>
      </w:pPr>
      <w:r>
        <w:rPr>
          <w:rFonts w:ascii="宋体" w:hAnsi="宋体" w:eastAsia="宋体" w:cs="宋体"/>
          <w:color w:val="auto"/>
          <w:sz w:val="24"/>
          <w:highlight w:val="none"/>
        </w:rPr>
        <w:t>2）配合招标人确定本项目统一的工程设计标准、深度和要求。</w:t>
      </w:r>
    </w:p>
    <w:p w14:paraId="494452B2">
      <w:pPr>
        <w:snapToGrid w:val="0"/>
        <w:spacing w:before="0" w:after="0" w:line="360" w:lineRule="auto"/>
        <w:ind w:firstLine="480" w:firstLineChars="200"/>
        <w:rPr>
          <w:rFonts w:hint="eastAsia" w:ascii="宋体" w:hAnsi="宋体" w:eastAsia="宋体" w:cs="宋体"/>
          <w:color w:val="auto"/>
          <w:sz w:val="24"/>
          <w:highlight w:val="none"/>
        </w:rPr>
      </w:pPr>
      <w:r>
        <w:rPr>
          <w:rFonts w:ascii="宋体" w:hAnsi="宋体" w:eastAsia="宋体" w:cs="宋体"/>
          <w:color w:val="auto"/>
          <w:sz w:val="24"/>
          <w:highlight w:val="none"/>
        </w:rPr>
        <w:t>3）组织协调各标段投标人完成修详规工作及编制建设项目工程设计总说明、总图、总概算书。</w:t>
      </w:r>
    </w:p>
    <w:p w14:paraId="5D255479">
      <w:pPr>
        <w:snapToGrid w:val="0"/>
        <w:spacing w:before="0" w:after="0" w:line="360" w:lineRule="auto"/>
        <w:ind w:firstLine="480" w:firstLineChars="200"/>
        <w:rPr>
          <w:rFonts w:hint="eastAsia" w:ascii="宋体" w:hAnsi="宋体" w:eastAsia="宋体" w:cs="宋体"/>
          <w:color w:val="auto"/>
          <w:sz w:val="24"/>
          <w:highlight w:val="none"/>
        </w:rPr>
      </w:pPr>
      <w:r>
        <w:rPr>
          <w:rFonts w:ascii="宋体" w:hAnsi="宋体" w:eastAsia="宋体" w:cs="宋体"/>
          <w:color w:val="auto"/>
          <w:sz w:val="24"/>
          <w:highlight w:val="none"/>
        </w:rPr>
        <w:t>4）协调工程设计进度，组织各投标人按照要求提交工程设计文件。</w:t>
      </w:r>
    </w:p>
    <w:p w14:paraId="7C268FAD">
      <w:pPr>
        <w:snapToGrid w:val="0"/>
        <w:spacing w:before="0" w:after="0" w:line="360" w:lineRule="auto"/>
        <w:ind w:firstLine="480" w:firstLineChars="200"/>
        <w:rPr>
          <w:rFonts w:hint="eastAsia" w:ascii="宋体" w:hAnsi="宋体" w:eastAsia="宋体" w:cs="宋体"/>
          <w:color w:val="auto"/>
          <w:sz w:val="24"/>
          <w:highlight w:val="none"/>
        </w:rPr>
      </w:pPr>
      <w:r>
        <w:rPr>
          <w:rFonts w:ascii="宋体" w:hAnsi="宋体" w:eastAsia="宋体" w:cs="宋体"/>
          <w:color w:val="auto"/>
          <w:sz w:val="24"/>
          <w:highlight w:val="none"/>
        </w:rPr>
        <w:t>5）协调组织各投标人开展BIM正向设计，按照统一标准及要求提交成果。</w:t>
      </w:r>
    </w:p>
    <w:p w14:paraId="6E62EB5D">
      <w:pPr>
        <w:snapToGrid w:val="0"/>
        <w:spacing w:before="0" w:after="0" w:line="360" w:lineRule="auto"/>
        <w:ind w:firstLine="480" w:firstLineChars="200"/>
        <w:rPr>
          <w:rFonts w:hint="eastAsia" w:ascii="宋体" w:hAnsi="宋体" w:eastAsia="宋体" w:cs="宋体"/>
          <w:color w:val="auto"/>
          <w:sz w:val="24"/>
          <w:highlight w:val="none"/>
        </w:rPr>
      </w:pPr>
      <w:r>
        <w:rPr>
          <w:rFonts w:ascii="宋体" w:hAnsi="宋体" w:eastAsia="宋体" w:cs="宋体"/>
          <w:color w:val="auto"/>
          <w:sz w:val="24"/>
          <w:highlight w:val="none"/>
        </w:rPr>
        <w:t>6）其他设计协调工作：在设计过程中招标人认为有需要应由投标人所做的管理、协调工作。</w:t>
      </w:r>
    </w:p>
    <w:p w14:paraId="63EC3104">
      <w:pPr>
        <w:snapToGrid w:val="0"/>
        <w:spacing w:before="0" w:after="0" w:line="360" w:lineRule="auto"/>
        <w:ind w:firstLine="480" w:firstLineChars="200"/>
        <w:rPr>
          <w:rFonts w:hint="eastAsia" w:ascii="宋体" w:hAnsi="宋体" w:eastAsia="宋体" w:cs="宋体"/>
          <w:color w:val="auto"/>
          <w:sz w:val="24"/>
          <w:highlight w:val="none"/>
        </w:rPr>
      </w:pPr>
      <w:r>
        <w:rPr>
          <w:rFonts w:ascii="宋体" w:hAnsi="宋体" w:eastAsia="宋体" w:cs="宋体"/>
          <w:color w:val="auto"/>
          <w:sz w:val="24"/>
          <w:highlight w:val="none"/>
        </w:rPr>
        <w:t>√（48）各投标人在本项目中须至少取得一项省级或以上勘察设计评奖并于项目前期建立创优管理架构，制定创优质量目标、管理制度，向招标人报送创优工作计划方案。</w:t>
      </w:r>
    </w:p>
    <w:p w14:paraId="77214562">
      <w:pPr>
        <w:snapToGrid w:val="0"/>
        <w:spacing w:before="0" w:after="0" w:line="360" w:lineRule="auto"/>
        <w:ind w:firstLine="480" w:firstLineChars="200"/>
        <w:rPr>
          <w:rFonts w:hint="eastAsia" w:ascii="宋体" w:hAnsi="宋体" w:eastAsia="宋体" w:cs="宋体"/>
          <w:color w:val="auto"/>
          <w:sz w:val="24"/>
          <w:highlight w:val="none"/>
        </w:rPr>
      </w:pPr>
      <w:r>
        <w:rPr>
          <w:rFonts w:ascii="宋体" w:hAnsi="宋体" w:eastAsia="宋体" w:cs="宋体"/>
          <w:color w:val="auto"/>
          <w:sz w:val="24"/>
          <w:highlight w:val="none"/>
        </w:rPr>
        <w:t>×（49）涉及传统村落及古建筑保护及活化利用的项目，需完成如下内容：编制保护规划、古建筑精密测绘，结构鉴定等初设内容。</w:t>
      </w:r>
    </w:p>
    <w:p w14:paraId="526FC61F">
      <w:pPr>
        <w:snapToGrid w:val="0"/>
        <w:spacing w:before="0" w:after="0" w:line="360" w:lineRule="auto"/>
        <w:ind w:firstLine="480" w:firstLineChars="200"/>
        <w:rPr>
          <w:rFonts w:hint="eastAsia" w:ascii="宋体" w:hAnsi="宋体" w:eastAsia="宋体" w:cs="宋体"/>
          <w:color w:val="auto"/>
          <w:sz w:val="24"/>
          <w:highlight w:val="none"/>
        </w:rPr>
      </w:pPr>
      <w:bookmarkStart w:id="35" w:name="OLE_LINK1"/>
      <w:r>
        <w:rPr>
          <w:rFonts w:ascii="宋体" w:hAnsi="宋体" w:eastAsia="宋体" w:cs="宋体"/>
          <w:color w:val="auto"/>
          <w:sz w:val="24"/>
          <w:highlight w:val="none"/>
        </w:rPr>
        <w:t>√</w:t>
      </w:r>
      <w:bookmarkEnd w:id="35"/>
      <w:r>
        <w:rPr>
          <w:rFonts w:ascii="宋体" w:hAnsi="宋体" w:eastAsia="宋体" w:cs="宋体"/>
          <w:color w:val="auto"/>
          <w:sz w:val="24"/>
          <w:highlight w:val="none"/>
        </w:rPr>
        <w:t>（50）与本项目初步设计阶段相关的勘察设计等工作。</w:t>
      </w:r>
    </w:p>
    <w:p w14:paraId="2510877A">
      <w:pPr>
        <w:snapToGrid w:val="0"/>
        <w:spacing w:before="0" w:after="0" w:line="360" w:lineRule="auto"/>
        <w:ind w:firstLine="480" w:firstLineChars="200"/>
        <w:rPr>
          <w:rFonts w:hint="eastAsia" w:ascii="宋体" w:hAnsi="宋体" w:eastAsia="宋体" w:cs="宋体"/>
          <w:color w:val="auto"/>
          <w:sz w:val="24"/>
          <w:highlight w:val="none"/>
        </w:rPr>
      </w:pPr>
      <w:r>
        <w:rPr>
          <w:rFonts w:ascii="宋体" w:hAnsi="宋体" w:eastAsia="宋体" w:cs="宋体"/>
          <w:color w:val="auto"/>
          <w:sz w:val="24"/>
          <w:highlight w:val="none"/>
        </w:rPr>
        <w:t>勘察设计全过程的勘察、方案设计、总平面规划方案设计、初步设计各阶段各专业的具体设计内容和界面划分以及报批报审配合等服务工作按勘察设计合同执行。</w:t>
      </w:r>
    </w:p>
    <w:p w14:paraId="062A2299">
      <w:pPr>
        <w:snapToGrid w:val="0"/>
        <w:spacing w:before="0" w:after="0" w:line="360" w:lineRule="auto"/>
        <w:ind w:firstLine="519" w:firstLineChars="236"/>
        <w:rPr>
          <w:color w:val="auto"/>
          <w:highlight w:val="none"/>
        </w:rPr>
      </w:pPr>
    </w:p>
    <w:p w14:paraId="197E01CE">
      <w:pPr>
        <w:snapToGrid w:val="0"/>
        <w:spacing w:before="0" w:after="0" w:line="360" w:lineRule="auto"/>
        <w:ind w:firstLine="519" w:firstLineChars="236"/>
        <w:rPr>
          <w:color w:val="auto"/>
          <w:highlight w:val="none"/>
        </w:rPr>
      </w:pPr>
    </w:p>
    <w:p w14:paraId="1217F47C">
      <w:pPr>
        <w:pStyle w:val="2"/>
        <w:snapToGrid w:val="0"/>
        <w:spacing w:line="360" w:lineRule="auto"/>
        <w:ind w:left="0" w:firstLine="0"/>
        <w:jc w:val="center"/>
        <w:rPr>
          <w:color w:val="auto"/>
          <w:highlight w:val="none"/>
        </w:rPr>
      </w:pPr>
      <w:bookmarkStart w:id="36" w:name="_Toc75504387"/>
      <w:bookmarkEnd w:id="36"/>
      <w:bookmarkStart w:id="37" w:name="_Toc19312"/>
      <w:r>
        <w:rPr>
          <w:rFonts w:ascii="宋体" w:hAnsi="宋体" w:cs="宋体"/>
          <w:color w:val="auto"/>
          <w:highlight w:val="none"/>
        </w:rPr>
        <w:t>勘察设计要求</w:t>
      </w:r>
      <w:bookmarkEnd w:id="37"/>
    </w:p>
    <w:p w14:paraId="3C0AF8D0">
      <w:pPr>
        <w:pStyle w:val="3"/>
        <w:rPr>
          <w:rFonts w:hint="eastAsia" w:ascii="宋体" w:hAnsi="宋体" w:cs="宋体"/>
          <w:color w:val="auto"/>
          <w:sz w:val="28"/>
          <w:highlight w:val="none"/>
        </w:rPr>
      </w:pPr>
      <w:bookmarkStart w:id="38" w:name="_Toc75504388"/>
      <w:bookmarkEnd w:id="38"/>
      <w:bookmarkStart w:id="39" w:name="_Toc5130"/>
      <w:r>
        <w:rPr>
          <w:rFonts w:ascii="宋体" w:hAnsi="宋体" w:cs="宋体"/>
          <w:color w:val="auto"/>
          <w:sz w:val="28"/>
          <w:highlight w:val="none"/>
        </w:rPr>
        <w:t>勘察设计总体要求</w:t>
      </w:r>
      <w:bookmarkEnd w:id="39"/>
    </w:p>
    <w:p w14:paraId="0BF80D25">
      <w:pPr>
        <w:snapToGrid w:val="0"/>
        <w:spacing w:before="0" w:after="0" w:line="360" w:lineRule="auto"/>
        <w:ind w:firstLine="480" w:firstLineChars="200"/>
        <w:rPr>
          <w:rFonts w:hint="eastAsia" w:ascii="宋体" w:hAnsi="宋体" w:eastAsia="宋体" w:cs="宋体"/>
          <w:color w:val="auto"/>
          <w:sz w:val="24"/>
          <w:highlight w:val="none"/>
        </w:rPr>
      </w:pPr>
      <w:r>
        <w:rPr>
          <w:rFonts w:ascii="宋体" w:hAnsi="宋体" w:eastAsia="宋体" w:cs="宋体"/>
          <w:color w:val="auto"/>
          <w:sz w:val="24"/>
          <w:highlight w:val="none"/>
        </w:rPr>
        <w:t>乙方遵循现行法律法规和规范标准，根据项目建议书和勘察设计任务书，按照甲方的设计管理要求进行勘察设计工作。项目立项及可行性研究报告批复的建设事项、内容、标准和要求，应与初步设计成果以及概算编制的事项、内容等要相统一。初步设计与概算要同步完成、同步提交。</w:t>
      </w:r>
    </w:p>
    <w:p w14:paraId="461D0627">
      <w:pPr>
        <w:snapToGrid w:val="0"/>
        <w:spacing w:before="0" w:after="0" w:line="360" w:lineRule="auto"/>
        <w:ind w:firstLine="480" w:firstLineChars="200"/>
        <w:rPr>
          <w:rFonts w:hint="eastAsia" w:ascii="宋体" w:hAnsi="宋体" w:eastAsia="宋体" w:cs="宋体"/>
          <w:color w:val="auto"/>
          <w:sz w:val="24"/>
          <w:highlight w:val="none"/>
        </w:rPr>
      </w:pPr>
      <w:r>
        <w:rPr>
          <w:rFonts w:ascii="宋体" w:hAnsi="宋体" w:eastAsia="宋体" w:cs="宋体"/>
          <w:color w:val="auto"/>
          <w:sz w:val="24"/>
          <w:highlight w:val="none"/>
        </w:rPr>
        <w:t>乙方除了落实项目建议书（如有，详见附件）和勘察设计任务书（详见附件）中的甲方需求外，还需要落实以下勘察设计及造价各专业要求。</w:t>
      </w:r>
    </w:p>
    <w:p w14:paraId="6281EB78">
      <w:pPr>
        <w:pStyle w:val="3"/>
        <w:rPr>
          <w:color w:val="auto"/>
          <w:sz w:val="28"/>
          <w:szCs w:val="22"/>
          <w:highlight w:val="none"/>
        </w:rPr>
      </w:pPr>
      <w:bookmarkStart w:id="40" w:name="_Toc75504389"/>
      <w:bookmarkEnd w:id="40"/>
      <w:bookmarkStart w:id="41" w:name="_Toc9074"/>
      <w:r>
        <w:rPr>
          <w:color w:val="auto"/>
          <w:sz w:val="28"/>
          <w:szCs w:val="22"/>
          <w:highlight w:val="none"/>
        </w:rPr>
        <w:t>勘察工作要求</w:t>
      </w:r>
      <w:bookmarkEnd w:id="41"/>
    </w:p>
    <w:p w14:paraId="2D334A9D">
      <w:pPr>
        <w:snapToGrid w:val="0"/>
        <w:spacing w:before="0" w:after="0" w:line="360" w:lineRule="auto"/>
        <w:ind w:firstLine="480" w:firstLineChars="200"/>
        <w:rPr>
          <w:rFonts w:hint="eastAsia" w:ascii="宋体" w:hAnsi="宋体" w:eastAsia="宋体" w:cs="宋体"/>
          <w:color w:val="auto"/>
          <w:sz w:val="24"/>
          <w:highlight w:val="none"/>
        </w:rPr>
      </w:pPr>
      <w:r>
        <w:rPr>
          <w:rFonts w:ascii="宋体" w:hAnsi="宋体" w:eastAsia="宋体" w:cs="宋体"/>
          <w:color w:val="auto"/>
          <w:sz w:val="24"/>
          <w:highlight w:val="none"/>
        </w:rPr>
        <w:t>各阶段的勘察工作除遵照勘察设计合同、项目建议书、现行法律法规和规范标准、政府有关部门的规定和审批意见等有关规定等外，还需要做到招标人提出的下列设计要求（包括并不限于）。</w:t>
      </w:r>
    </w:p>
    <w:p w14:paraId="23C231B8">
      <w:pPr>
        <w:snapToGrid w:val="0"/>
        <w:spacing w:before="0" w:after="0" w:line="360" w:lineRule="auto"/>
        <w:ind w:firstLine="480" w:firstLineChars="200"/>
        <w:rPr>
          <w:rFonts w:hint="eastAsia" w:ascii="宋体" w:hAnsi="宋体" w:eastAsia="宋体" w:cs="宋体"/>
          <w:color w:val="auto"/>
          <w:sz w:val="24"/>
          <w:highlight w:val="none"/>
        </w:rPr>
      </w:pPr>
      <w:r>
        <w:rPr>
          <w:rFonts w:ascii="宋体" w:hAnsi="宋体" w:eastAsia="宋体" w:cs="宋体"/>
          <w:color w:val="auto"/>
          <w:sz w:val="24"/>
          <w:highlight w:val="none"/>
        </w:rPr>
        <w:t>1、地质勘察阶段包括初勘、详勘阶段，各阶段地质勘察内容与要求执行《岩土工程勘察规范》（GB50021-2001）及国家现行有关标准、规范，建设单位勘察管理办法的规定。</w:t>
      </w:r>
    </w:p>
    <w:p w14:paraId="6BFA1AA9">
      <w:pPr>
        <w:snapToGrid w:val="0"/>
        <w:spacing w:before="0" w:after="0" w:line="360" w:lineRule="auto"/>
        <w:ind w:firstLine="480" w:firstLineChars="200"/>
        <w:rPr>
          <w:rFonts w:hint="eastAsia" w:ascii="宋体" w:hAnsi="宋体" w:eastAsia="宋体" w:cs="宋体"/>
          <w:color w:val="auto"/>
          <w:sz w:val="24"/>
          <w:highlight w:val="none"/>
        </w:rPr>
      </w:pPr>
      <w:r>
        <w:rPr>
          <w:rFonts w:ascii="宋体" w:hAnsi="宋体" w:eastAsia="宋体" w:cs="宋体"/>
          <w:color w:val="auto"/>
          <w:sz w:val="24"/>
          <w:highlight w:val="none"/>
        </w:rPr>
        <w:t>2、</w:t>
      </w:r>
      <w:r>
        <w:rPr>
          <w:rFonts w:hint="eastAsia" w:ascii="宋体" w:hAnsi="宋体" w:eastAsia="宋体" w:cs="宋体"/>
          <w:color w:val="auto"/>
          <w:sz w:val="24"/>
          <w:highlight w:val="none"/>
        </w:rPr>
        <w:t>规划用地红线内（含代征用地）及红线外（管线）所涉及建设内容的全部勘察：完成地下、地上物探成果报告，收集周边地下、地上管线、建筑物、构筑物相关资料，编制项目前期摸查报告；进行初步勘察、详细勘察、超前钻和初测、定测、测绘等实施工作，编制勘探、测量技术文件，编制勘探、土洞溶洞探测等相关总图；负责协调和配合相关主管部门对相关工作成果进行审批，直至获得批复。</w:t>
      </w:r>
      <w:r>
        <w:rPr>
          <w:rFonts w:ascii="宋体" w:hAnsi="宋体" w:eastAsia="宋体" w:cs="宋体"/>
          <w:color w:val="auto"/>
          <w:sz w:val="24"/>
          <w:highlight w:val="none"/>
        </w:rPr>
        <w:t>设计单位需对勘察成果予以分析，提出是否需要验证的建议和意见。</w:t>
      </w:r>
    </w:p>
    <w:p w14:paraId="74DDB5C9">
      <w:pPr>
        <w:snapToGrid w:val="0"/>
        <w:spacing w:before="0" w:after="0" w:line="360" w:lineRule="auto"/>
        <w:ind w:firstLine="480" w:firstLineChars="200"/>
        <w:rPr>
          <w:rFonts w:hint="eastAsia" w:ascii="宋体" w:hAnsi="宋体" w:eastAsia="宋体" w:cs="宋体"/>
          <w:color w:val="auto"/>
          <w:sz w:val="24"/>
          <w:highlight w:val="none"/>
        </w:rPr>
      </w:pPr>
      <w:r>
        <w:rPr>
          <w:rFonts w:ascii="宋体" w:hAnsi="宋体" w:eastAsia="宋体" w:cs="宋体"/>
          <w:color w:val="auto"/>
          <w:sz w:val="24"/>
          <w:highlight w:val="none"/>
        </w:rPr>
        <w:t>3、针对项目场地采用的勘察技术方案（包括勘察手段、方法、工艺及原位测试、土工试验等），提出本次勘察工作的难点及建议。</w:t>
      </w:r>
    </w:p>
    <w:p w14:paraId="7893CB8A">
      <w:pPr>
        <w:snapToGrid w:val="0"/>
        <w:spacing w:before="0" w:after="0" w:line="360" w:lineRule="auto"/>
        <w:ind w:firstLine="480" w:firstLineChars="200"/>
        <w:rPr>
          <w:rFonts w:hint="eastAsia" w:ascii="宋体" w:hAnsi="宋体" w:eastAsia="宋体" w:cs="宋体"/>
          <w:color w:val="auto"/>
          <w:sz w:val="24"/>
          <w:highlight w:val="none"/>
        </w:rPr>
      </w:pPr>
      <w:r>
        <w:rPr>
          <w:rFonts w:ascii="宋体" w:hAnsi="宋体" w:eastAsia="宋体" w:cs="宋体"/>
          <w:color w:val="auto"/>
          <w:sz w:val="24"/>
          <w:highlight w:val="none"/>
        </w:rPr>
        <w:t>4、满足设计工期要求，如果延误工期，严格按照合同专用条款的约定承担违约责任。</w:t>
      </w:r>
    </w:p>
    <w:p w14:paraId="58F46026">
      <w:pPr>
        <w:snapToGrid w:val="0"/>
        <w:spacing w:before="0" w:after="0" w:line="360" w:lineRule="auto"/>
        <w:ind w:firstLine="480" w:firstLineChars="200"/>
        <w:rPr>
          <w:rFonts w:hint="eastAsia" w:ascii="宋体" w:hAnsi="宋体" w:eastAsia="宋体" w:cs="宋体"/>
          <w:color w:val="auto"/>
          <w:sz w:val="24"/>
          <w:highlight w:val="none"/>
        </w:rPr>
      </w:pPr>
      <w:r>
        <w:rPr>
          <w:rFonts w:ascii="宋体" w:hAnsi="宋体" w:eastAsia="宋体" w:cs="宋体"/>
          <w:color w:val="auto"/>
          <w:sz w:val="24"/>
          <w:highlight w:val="none"/>
        </w:rPr>
        <w:t>5、勘察设计单位应当按照《广东省建设工程勘察设计管理条例》和相关标准开展勘察设计工作，应当建立和健全勘察设计质量保证体系，建立完善的勘察报告和设计文件的内部审查制度，加强勘察设计全过程的质量控制，明确各阶段的责任人。</w:t>
      </w:r>
    </w:p>
    <w:p w14:paraId="321964C0">
      <w:pPr>
        <w:snapToGrid w:val="0"/>
        <w:spacing w:before="0" w:after="0"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6、</w:t>
      </w:r>
      <w:r>
        <w:rPr>
          <w:rFonts w:ascii="宋体" w:hAnsi="宋体" w:eastAsia="宋体" w:cs="宋体"/>
          <w:color w:val="auto"/>
          <w:sz w:val="24"/>
          <w:highlight w:val="none"/>
        </w:rPr>
        <w:t>设计和施工配合时，应当参与施工验槽，及时解决工程设计和施工中与勘察工作有关的问题；应当参与建设工程质量事故的分析，并对因勘察原因造成的质量事故，提出相应的技术处理方案。</w:t>
      </w:r>
    </w:p>
    <w:p w14:paraId="133AF684">
      <w:pPr>
        <w:snapToGrid w:val="0"/>
        <w:spacing w:before="0" w:after="0"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7、对地块内及红线外20m范围内管线进行物探，并绘制成果图纸。</w:t>
      </w:r>
    </w:p>
    <w:p w14:paraId="580FD47C">
      <w:pPr>
        <w:snapToGri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8</w:t>
      </w:r>
      <w:r>
        <w:rPr>
          <w:rFonts w:ascii="宋体" w:hAnsi="宋体" w:eastAsia="宋体" w:cs="宋体"/>
          <w:color w:val="auto"/>
          <w:sz w:val="24"/>
          <w:highlight w:val="none"/>
        </w:rPr>
        <w:t xml:space="preserve">、本次勘察任务以包干的形式完成，对于勘察过程中出现的相关问题由勘察单位主导解决，包括不限于借用场地勘探，相关费用已包含在综合单价中。 </w:t>
      </w:r>
    </w:p>
    <w:p w14:paraId="72576B2A">
      <w:pPr>
        <w:pStyle w:val="3"/>
        <w:rPr>
          <w:color w:val="auto"/>
          <w:sz w:val="28"/>
          <w:szCs w:val="22"/>
          <w:highlight w:val="none"/>
        </w:rPr>
      </w:pPr>
      <w:bookmarkStart w:id="42" w:name="_Toc75504390"/>
      <w:bookmarkEnd w:id="42"/>
      <w:bookmarkStart w:id="43" w:name="_Toc21894"/>
      <w:r>
        <w:rPr>
          <w:color w:val="auto"/>
          <w:sz w:val="28"/>
          <w:szCs w:val="22"/>
          <w:highlight w:val="none"/>
        </w:rPr>
        <w:t>设计工作要求</w:t>
      </w:r>
      <w:bookmarkEnd w:id="43"/>
    </w:p>
    <w:p w14:paraId="1EB72D76">
      <w:pPr>
        <w:snapToGrid w:val="0"/>
        <w:spacing w:before="0" w:after="0" w:line="360" w:lineRule="auto"/>
        <w:ind w:firstLine="480" w:firstLineChars="200"/>
        <w:rPr>
          <w:rFonts w:hint="eastAsia" w:ascii="宋体" w:hAnsi="宋体" w:eastAsia="宋体" w:cs="宋体"/>
          <w:color w:val="auto"/>
          <w:sz w:val="24"/>
          <w:highlight w:val="none"/>
        </w:rPr>
      </w:pPr>
      <w:r>
        <w:rPr>
          <w:rFonts w:ascii="宋体" w:hAnsi="宋体" w:eastAsia="宋体" w:cs="宋体"/>
          <w:color w:val="auto"/>
          <w:sz w:val="24"/>
          <w:highlight w:val="none"/>
        </w:rPr>
        <w:t>各阶段的设计工作除遵照勘察设计合同、项目建议书、现行法律法规和规范标准、政府有关部门的规定和审批意见等有关规定等外，还需要做到招标人提出的下列设计要求（包括并不限于）。</w:t>
      </w:r>
    </w:p>
    <w:p w14:paraId="7457BD70">
      <w:pPr>
        <w:pStyle w:val="4"/>
        <w:snapToGrid w:val="0"/>
        <w:spacing w:before="100" w:after="100" w:line="360" w:lineRule="auto"/>
        <w:ind w:left="0" w:firstLine="0"/>
        <w:rPr>
          <w:color w:val="auto"/>
          <w:sz w:val="24"/>
          <w:szCs w:val="22"/>
          <w:highlight w:val="none"/>
        </w:rPr>
      </w:pPr>
      <w:bookmarkStart w:id="44" w:name="_Hlk75249235"/>
      <w:bookmarkEnd w:id="44"/>
      <w:bookmarkStart w:id="45" w:name="_Toc2705"/>
      <w:r>
        <w:rPr>
          <w:rFonts w:ascii="宋体" w:hAnsi="宋体" w:eastAsia="宋体" w:cs="宋体"/>
          <w:color w:val="auto"/>
          <w:sz w:val="24"/>
          <w:szCs w:val="22"/>
          <w:highlight w:val="none"/>
        </w:rPr>
        <w:t>规划设计要求</w:t>
      </w:r>
      <w:bookmarkEnd w:id="45"/>
    </w:p>
    <w:p w14:paraId="650B6D04">
      <w:pPr>
        <w:pStyle w:val="5"/>
        <w:snapToGrid w:val="0"/>
        <w:spacing w:line="360" w:lineRule="auto"/>
        <w:ind w:left="0" w:firstLine="0"/>
        <w:rPr>
          <w:b w:val="0"/>
          <w:bCs/>
          <w:color w:val="auto"/>
          <w:sz w:val="22"/>
          <w:szCs w:val="22"/>
          <w:highlight w:val="none"/>
        </w:rPr>
      </w:pPr>
      <w:bookmarkStart w:id="46" w:name="_Toc64660066"/>
      <w:bookmarkEnd w:id="46"/>
      <w:r>
        <w:rPr>
          <w:rFonts w:ascii="宋体" w:hAnsi="宋体" w:eastAsia="宋体" w:cs="宋体"/>
          <w:b w:val="0"/>
          <w:bCs/>
          <w:color w:val="auto"/>
          <w:szCs w:val="22"/>
          <w:highlight w:val="none"/>
        </w:rPr>
        <w:t>规划原则及用地布局</w:t>
      </w:r>
    </w:p>
    <w:p w14:paraId="0262320F">
      <w:pPr>
        <w:snapToGrid w:val="0"/>
        <w:spacing w:before="0" w:after="0" w:line="360" w:lineRule="auto"/>
        <w:ind w:firstLine="480" w:firstLineChars="200"/>
        <w:rPr>
          <w:color w:val="auto"/>
          <w:highlight w:val="none"/>
        </w:rPr>
      </w:pPr>
      <w:r>
        <w:rPr>
          <w:rFonts w:ascii="宋体" w:hAnsi="宋体" w:eastAsia="宋体" w:cs="宋体"/>
          <w:color w:val="auto"/>
          <w:sz w:val="24"/>
          <w:highlight w:val="none"/>
        </w:rPr>
        <w:t xml:space="preserve">1、规划应符合国家相关规划设计规范及法律、法规要求，同时还要符合广州市城市总体规划、分区规划、控制性详细规划的要求，应充分利用城市基础设施与公共资源，集约利用土地资源。规划设计涉及到文物、公安消防、环保、卫生、防洪排涝、电力、交通地质灾害等问题应符合各专项规划要求。 </w:t>
      </w:r>
    </w:p>
    <w:p w14:paraId="0C2729BE">
      <w:pPr>
        <w:snapToGrid w:val="0"/>
        <w:spacing w:before="0" w:after="0" w:line="360" w:lineRule="auto"/>
        <w:ind w:firstLine="480" w:firstLineChars="200"/>
        <w:rPr>
          <w:color w:val="auto"/>
          <w:highlight w:val="none"/>
        </w:rPr>
      </w:pPr>
      <w:r>
        <w:rPr>
          <w:rFonts w:ascii="宋体" w:hAnsi="宋体" w:eastAsia="宋体" w:cs="宋体"/>
          <w:color w:val="auto"/>
          <w:sz w:val="24"/>
          <w:highlight w:val="none"/>
        </w:rPr>
        <w:t>2、建筑规划布局应能形成良好的日照、采光、通风等条件，应充分考虑广州市的气候特征，体现岭南建筑的特点和风貌。</w:t>
      </w:r>
    </w:p>
    <w:p w14:paraId="55790BA8">
      <w:pPr>
        <w:snapToGrid w:val="0"/>
        <w:spacing w:before="0" w:after="0" w:line="360" w:lineRule="auto"/>
        <w:ind w:firstLine="480" w:firstLineChars="200"/>
        <w:rPr>
          <w:color w:val="auto"/>
          <w:highlight w:val="none"/>
        </w:rPr>
      </w:pPr>
      <w:r>
        <w:rPr>
          <w:rFonts w:ascii="宋体" w:hAnsi="宋体" w:eastAsia="宋体" w:cs="宋体"/>
          <w:color w:val="auto"/>
          <w:sz w:val="24"/>
          <w:highlight w:val="none"/>
        </w:rPr>
        <w:t xml:space="preserve">3、规划应体现“绿色节能、生态宜居”的设计理念。本项目按国家绿色建筑评价标准三星绿色建筑标准规划设计。 </w:t>
      </w:r>
    </w:p>
    <w:p w14:paraId="1FC10E41">
      <w:pPr>
        <w:snapToGrid w:val="0"/>
        <w:spacing w:before="0" w:after="0" w:line="360" w:lineRule="auto"/>
        <w:ind w:firstLine="480" w:firstLineChars="200"/>
        <w:rPr>
          <w:color w:val="auto"/>
          <w:highlight w:val="none"/>
        </w:rPr>
      </w:pPr>
      <w:r>
        <w:rPr>
          <w:rFonts w:ascii="宋体" w:hAnsi="宋体" w:eastAsia="宋体" w:cs="宋体"/>
          <w:color w:val="auto"/>
          <w:sz w:val="24"/>
          <w:highlight w:val="none"/>
        </w:rPr>
        <w:t>4、建筑间距、道路宽度和绿地率应遵循集约节约用地的原则，应充分利用土地，容积率可按相应区域控制指标的上限取值。在总投资规模内合理控制工程造价，并考虑在投入使用后节约运作成本。</w:t>
      </w:r>
    </w:p>
    <w:p w14:paraId="4C4CA330">
      <w:pPr>
        <w:snapToGrid w:val="0"/>
        <w:spacing w:before="0" w:after="0" w:line="360" w:lineRule="auto"/>
        <w:ind w:firstLine="480" w:firstLineChars="200"/>
        <w:rPr>
          <w:color w:val="auto"/>
          <w:highlight w:val="none"/>
        </w:rPr>
      </w:pPr>
      <w:r>
        <w:rPr>
          <w:rFonts w:ascii="宋体" w:hAnsi="宋体" w:eastAsia="宋体" w:cs="宋体"/>
          <w:color w:val="auto"/>
          <w:sz w:val="24"/>
          <w:highlight w:val="none"/>
        </w:rPr>
        <w:t xml:space="preserve">5、商业建筑需符合相关的规范要求，集中商业及办公建筑的人员出入口合理设置，保证流线的独立性，方便运营及管理。 </w:t>
      </w:r>
    </w:p>
    <w:p w14:paraId="331D3E88">
      <w:pPr>
        <w:snapToGrid w:val="0"/>
        <w:spacing w:before="0" w:after="0" w:line="360" w:lineRule="auto"/>
        <w:ind w:firstLine="480" w:firstLineChars="200"/>
        <w:rPr>
          <w:color w:val="auto"/>
          <w:highlight w:val="none"/>
        </w:rPr>
      </w:pPr>
      <w:r>
        <w:rPr>
          <w:rFonts w:ascii="宋体" w:hAnsi="宋体" w:eastAsia="宋体" w:cs="宋体"/>
          <w:color w:val="auto"/>
          <w:sz w:val="24"/>
          <w:highlight w:val="none"/>
        </w:rPr>
        <w:t xml:space="preserve">6、项目建设必须体现“集约高效、统筹兼顾、统一布局”理念，将公建配套、停车等系统统一设计。 </w:t>
      </w:r>
    </w:p>
    <w:p w14:paraId="03F4B5EF">
      <w:pPr>
        <w:snapToGrid w:val="0"/>
        <w:spacing w:before="0" w:after="0" w:line="360" w:lineRule="auto"/>
        <w:ind w:firstLine="480" w:firstLineChars="200"/>
        <w:rPr>
          <w:color w:val="auto"/>
          <w:highlight w:val="none"/>
        </w:rPr>
      </w:pPr>
      <w:r>
        <w:rPr>
          <w:rFonts w:ascii="宋体" w:hAnsi="宋体" w:eastAsia="宋体" w:cs="宋体"/>
          <w:color w:val="auto"/>
          <w:sz w:val="24"/>
          <w:highlight w:val="none"/>
        </w:rPr>
        <w:t xml:space="preserve">7、规划应结合绿色建筑生态理念，降低热岛效应，适度利用再生能源。 </w:t>
      </w:r>
    </w:p>
    <w:p w14:paraId="5DF45316">
      <w:pPr>
        <w:pStyle w:val="5"/>
        <w:snapToGrid w:val="0"/>
        <w:spacing w:line="360" w:lineRule="auto"/>
        <w:ind w:left="0" w:firstLine="0"/>
        <w:rPr>
          <w:rFonts w:hint="eastAsia" w:ascii="宋体" w:hAnsi="宋体" w:eastAsia="宋体" w:cs="宋体"/>
          <w:b w:val="0"/>
          <w:bCs/>
          <w:color w:val="auto"/>
          <w:szCs w:val="22"/>
          <w:highlight w:val="none"/>
        </w:rPr>
      </w:pPr>
      <w:bookmarkStart w:id="47" w:name="_Toc64660067"/>
      <w:bookmarkEnd w:id="47"/>
      <w:r>
        <w:rPr>
          <w:rFonts w:ascii="宋体" w:hAnsi="宋体" w:eastAsia="宋体" w:cs="宋体"/>
          <w:b w:val="0"/>
          <w:bCs/>
          <w:color w:val="auto"/>
          <w:szCs w:val="22"/>
          <w:highlight w:val="none"/>
        </w:rPr>
        <w:t>总图设计原则</w:t>
      </w:r>
    </w:p>
    <w:p w14:paraId="012454DA">
      <w:pPr>
        <w:snapToGrid w:val="0"/>
        <w:spacing w:before="0" w:after="0" w:line="360" w:lineRule="auto"/>
        <w:ind w:firstLine="480" w:firstLineChars="200"/>
        <w:rPr>
          <w:color w:val="auto"/>
          <w:highlight w:val="none"/>
        </w:rPr>
      </w:pPr>
      <w:r>
        <w:rPr>
          <w:rFonts w:ascii="宋体" w:hAnsi="宋体" w:eastAsia="宋体" w:cs="宋体"/>
          <w:color w:val="auto"/>
          <w:sz w:val="24"/>
          <w:highlight w:val="none"/>
        </w:rPr>
        <w:t xml:space="preserve">1、建筑必须按照规划设计要点的用地界线、控制高度、间距及开口天井等规划要求进行设计，并满足《广州市城乡规划技术规定》相关要求。 </w:t>
      </w:r>
    </w:p>
    <w:p w14:paraId="69D7EB36">
      <w:pPr>
        <w:snapToGrid w:val="0"/>
        <w:spacing w:before="0" w:after="0" w:line="360" w:lineRule="auto"/>
        <w:ind w:firstLine="480" w:firstLineChars="200"/>
        <w:rPr>
          <w:rFonts w:hint="eastAsia" w:ascii="宋体" w:hAnsi="宋体" w:eastAsia="宋体" w:cs="宋体"/>
          <w:color w:val="auto"/>
          <w:sz w:val="24"/>
          <w:highlight w:val="none"/>
        </w:rPr>
      </w:pPr>
      <w:r>
        <w:rPr>
          <w:rFonts w:ascii="宋体" w:hAnsi="宋体" w:eastAsia="宋体" w:cs="宋体"/>
          <w:color w:val="auto"/>
          <w:sz w:val="24"/>
          <w:highlight w:val="none"/>
        </w:rPr>
        <w:t>2、在满足当地规划设计指标的前提下，结合动线需求，充分利用土地。</w:t>
      </w:r>
    </w:p>
    <w:p w14:paraId="1B67636B">
      <w:pPr>
        <w:snapToGrid w:val="0"/>
        <w:spacing w:before="0" w:after="0" w:line="360" w:lineRule="auto"/>
        <w:ind w:firstLine="480" w:firstLineChars="200"/>
        <w:rPr>
          <w:rFonts w:hint="eastAsia" w:ascii="宋体" w:hAnsi="宋体" w:eastAsia="宋体" w:cs="宋体"/>
          <w:color w:val="auto"/>
          <w:sz w:val="24"/>
          <w:highlight w:val="none"/>
        </w:rPr>
      </w:pPr>
      <w:r>
        <w:rPr>
          <w:rFonts w:ascii="宋体" w:hAnsi="宋体" w:eastAsia="宋体" w:cs="宋体"/>
          <w:color w:val="auto"/>
          <w:sz w:val="24"/>
          <w:highlight w:val="none"/>
        </w:rPr>
        <w:t>3、总平面布置应综合考虑塔楼和裙楼的合理布置，集中商业需有较好的形象入口。</w:t>
      </w:r>
    </w:p>
    <w:p w14:paraId="685DB4EB">
      <w:pPr>
        <w:snapToGrid w:val="0"/>
        <w:spacing w:before="0" w:after="0" w:line="360" w:lineRule="auto"/>
        <w:ind w:firstLine="480" w:firstLineChars="200"/>
        <w:rPr>
          <w:rFonts w:hint="eastAsia" w:ascii="宋体" w:hAnsi="宋体" w:eastAsia="宋体" w:cs="宋体"/>
          <w:color w:val="auto"/>
          <w:sz w:val="24"/>
          <w:highlight w:val="none"/>
        </w:rPr>
      </w:pPr>
      <w:r>
        <w:rPr>
          <w:rFonts w:ascii="宋体" w:hAnsi="宋体" w:eastAsia="宋体" w:cs="宋体"/>
          <w:color w:val="auto"/>
          <w:sz w:val="24"/>
          <w:highlight w:val="none"/>
        </w:rPr>
        <w:t>4、应结合朝向、周围环境合理地组织自然通风和景观，同时处理好区域内外的水、电、通信等市政设施的衔接；</w:t>
      </w:r>
    </w:p>
    <w:p w14:paraId="6DF28C49">
      <w:pPr>
        <w:snapToGrid w:val="0"/>
        <w:spacing w:before="0" w:after="0" w:line="360" w:lineRule="auto"/>
        <w:ind w:firstLine="480" w:firstLineChars="200"/>
        <w:rPr>
          <w:color w:val="auto"/>
          <w:highlight w:val="none"/>
        </w:rPr>
      </w:pPr>
      <w:r>
        <w:rPr>
          <w:rFonts w:ascii="宋体" w:hAnsi="宋体" w:eastAsia="宋体" w:cs="宋体"/>
          <w:color w:val="auto"/>
          <w:sz w:val="24"/>
          <w:highlight w:val="none"/>
        </w:rPr>
        <w:t xml:space="preserve">5、应充分利用地形、地貌和环境，合理布置绿化景观，丰富空间，美化环境，体现地方特色，体现实用性，同时应注重景观的均好性。 </w:t>
      </w:r>
    </w:p>
    <w:p w14:paraId="0CFCC276">
      <w:pPr>
        <w:snapToGrid w:val="0"/>
        <w:spacing w:before="0" w:after="0" w:line="360" w:lineRule="auto"/>
        <w:ind w:firstLine="480" w:firstLineChars="200"/>
        <w:rPr>
          <w:color w:val="auto"/>
          <w:highlight w:val="none"/>
        </w:rPr>
      </w:pPr>
      <w:r>
        <w:rPr>
          <w:rFonts w:ascii="宋体" w:hAnsi="宋体" w:eastAsia="宋体" w:cs="宋体"/>
          <w:color w:val="auto"/>
          <w:sz w:val="24"/>
          <w:highlight w:val="none"/>
        </w:rPr>
        <w:t xml:space="preserve">6、建筑间距、道路宽度和绿地率应遵循集约节约用地的原则，应充分利用土地，容积率可按相应区域控制指标的上限取值。 </w:t>
      </w:r>
    </w:p>
    <w:p w14:paraId="57BCD8BF">
      <w:pPr>
        <w:snapToGrid w:val="0"/>
        <w:spacing w:before="0" w:after="0" w:line="360" w:lineRule="auto"/>
        <w:ind w:firstLine="480" w:firstLineChars="200"/>
        <w:rPr>
          <w:color w:val="auto"/>
          <w:highlight w:val="none"/>
        </w:rPr>
      </w:pPr>
      <w:r>
        <w:rPr>
          <w:rFonts w:ascii="宋体" w:hAnsi="宋体" w:eastAsia="宋体" w:cs="宋体"/>
          <w:color w:val="auto"/>
          <w:sz w:val="24"/>
          <w:highlight w:val="none"/>
        </w:rPr>
        <w:t xml:space="preserve">7、地下室顶板覆土的厚度在设计中应考虑植物生长的最小土层厚度。集中绿地部分覆土厚度建议不小于1.5m。地下室顶板覆土种植应增设疏水排水系统。 </w:t>
      </w:r>
    </w:p>
    <w:p w14:paraId="02D3F3DA">
      <w:pPr>
        <w:snapToGrid w:val="0"/>
        <w:spacing w:before="0" w:after="0" w:line="360" w:lineRule="auto"/>
        <w:ind w:firstLine="480" w:firstLineChars="200"/>
        <w:rPr>
          <w:color w:val="auto"/>
          <w:highlight w:val="none"/>
        </w:rPr>
      </w:pPr>
      <w:r>
        <w:rPr>
          <w:rFonts w:ascii="宋体" w:hAnsi="宋体" w:eastAsia="宋体" w:cs="宋体"/>
          <w:color w:val="auto"/>
          <w:sz w:val="24"/>
          <w:highlight w:val="none"/>
        </w:rPr>
        <w:t xml:space="preserve">8、合理设置公共服务设施，避免烟气、粉尘及噪声对居民的污染和干扰。 </w:t>
      </w:r>
    </w:p>
    <w:p w14:paraId="183EAB38">
      <w:pPr>
        <w:pStyle w:val="5"/>
        <w:snapToGrid w:val="0"/>
        <w:spacing w:line="360" w:lineRule="auto"/>
        <w:ind w:left="0" w:firstLine="0"/>
        <w:rPr>
          <w:rFonts w:hint="eastAsia" w:ascii="宋体" w:hAnsi="宋体" w:eastAsia="宋体" w:cs="宋体"/>
          <w:b w:val="0"/>
          <w:bCs/>
          <w:color w:val="auto"/>
          <w:szCs w:val="22"/>
          <w:highlight w:val="none"/>
        </w:rPr>
      </w:pPr>
      <w:bookmarkStart w:id="48" w:name="_Toc64660068"/>
      <w:bookmarkEnd w:id="48"/>
      <w:r>
        <w:rPr>
          <w:rFonts w:ascii="宋体" w:hAnsi="宋体" w:eastAsia="宋体" w:cs="宋体"/>
          <w:b w:val="0"/>
          <w:bCs/>
          <w:color w:val="auto"/>
          <w:szCs w:val="22"/>
          <w:highlight w:val="none"/>
        </w:rPr>
        <w:t xml:space="preserve">空间组织和景观特色要求 </w:t>
      </w:r>
    </w:p>
    <w:p w14:paraId="373B3F97">
      <w:pPr>
        <w:snapToGrid w:val="0"/>
        <w:spacing w:before="0" w:after="0" w:line="360" w:lineRule="auto"/>
        <w:ind w:firstLine="480" w:firstLineChars="200"/>
        <w:rPr>
          <w:rFonts w:hint="eastAsia" w:ascii="宋体" w:hAnsi="宋体" w:eastAsia="宋体" w:cs="宋体"/>
          <w:color w:val="auto"/>
          <w:sz w:val="24"/>
          <w:highlight w:val="none"/>
        </w:rPr>
      </w:pPr>
      <w:r>
        <w:rPr>
          <w:rFonts w:ascii="宋体" w:hAnsi="宋体" w:eastAsia="宋体" w:cs="宋体"/>
          <w:color w:val="auto"/>
          <w:sz w:val="24"/>
          <w:highlight w:val="none"/>
        </w:rPr>
        <w:t xml:space="preserve">1、规划布局和建筑设计应体现岭南建筑的特色，与周边环境相协调。应根据地块条件，进行合理布局及环境设计，形成丰富多变的空间。 </w:t>
      </w:r>
    </w:p>
    <w:p w14:paraId="77034FD4">
      <w:pPr>
        <w:snapToGrid w:val="0"/>
        <w:spacing w:before="0" w:after="0" w:line="360" w:lineRule="auto"/>
        <w:ind w:firstLine="480" w:firstLineChars="200"/>
        <w:rPr>
          <w:rFonts w:hint="eastAsia" w:ascii="宋体" w:hAnsi="宋体" w:eastAsia="宋体" w:cs="宋体"/>
          <w:color w:val="auto"/>
          <w:sz w:val="24"/>
          <w:highlight w:val="none"/>
        </w:rPr>
      </w:pPr>
      <w:r>
        <w:rPr>
          <w:rFonts w:ascii="宋体" w:hAnsi="宋体" w:eastAsia="宋体" w:cs="宋体"/>
          <w:color w:val="auto"/>
          <w:sz w:val="24"/>
          <w:highlight w:val="none"/>
        </w:rPr>
        <w:t xml:space="preserve">2、建筑风格应结合所在地域的气候特性和绿色建筑要求，尽量减少无功能作用的造型装饰构件。建筑构件与建筑空间、建筑造型进行一体化设计，既作为立面设计的元素，又起到遮阳隔热、通风降温的作用。 </w:t>
      </w:r>
    </w:p>
    <w:p w14:paraId="551A7F43">
      <w:pPr>
        <w:snapToGrid w:val="0"/>
        <w:spacing w:before="0" w:after="0" w:line="360" w:lineRule="auto"/>
        <w:ind w:firstLine="480" w:firstLineChars="200"/>
        <w:rPr>
          <w:rFonts w:hint="eastAsia" w:ascii="宋体" w:hAnsi="宋体" w:eastAsia="宋体" w:cs="宋体"/>
          <w:color w:val="auto"/>
          <w:sz w:val="24"/>
          <w:highlight w:val="none"/>
        </w:rPr>
      </w:pPr>
      <w:r>
        <w:rPr>
          <w:rFonts w:ascii="宋体" w:hAnsi="宋体" w:eastAsia="宋体" w:cs="宋体"/>
          <w:color w:val="auto"/>
          <w:sz w:val="24"/>
          <w:highlight w:val="none"/>
        </w:rPr>
        <w:t xml:space="preserve">3、建筑造型宜简洁大方，富有时代气息，适当借鉴岭南建筑与亚热带建筑手法。 </w:t>
      </w:r>
    </w:p>
    <w:p w14:paraId="749101EE">
      <w:pPr>
        <w:snapToGrid w:val="0"/>
        <w:spacing w:before="0" w:after="0" w:line="360" w:lineRule="auto"/>
        <w:ind w:firstLine="480" w:firstLineChars="200"/>
        <w:rPr>
          <w:rFonts w:hint="eastAsia" w:ascii="宋体" w:hAnsi="宋体" w:eastAsia="宋体" w:cs="宋体"/>
          <w:color w:val="auto"/>
          <w:sz w:val="24"/>
          <w:highlight w:val="none"/>
        </w:rPr>
      </w:pPr>
      <w:r>
        <w:rPr>
          <w:rFonts w:ascii="宋体" w:hAnsi="宋体" w:eastAsia="宋体" w:cs="宋体"/>
          <w:color w:val="auto"/>
          <w:sz w:val="24"/>
          <w:highlight w:val="none"/>
        </w:rPr>
        <w:t xml:space="preserve">4、独立的配套公建其建筑设计风格应与整体建筑协调，同时又要有自身的特色，以适度变化的建筑色彩和文化内涵，丰富整体效果。 </w:t>
      </w:r>
    </w:p>
    <w:p w14:paraId="7A040A6F">
      <w:pPr>
        <w:pStyle w:val="5"/>
        <w:snapToGrid w:val="0"/>
        <w:spacing w:line="360" w:lineRule="auto"/>
        <w:ind w:left="0" w:firstLine="0"/>
        <w:rPr>
          <w:rFonts w:hint="eastAsia" w:ascii="宋体" w:hAnsi="宋体" w:eastAsia="宋体" w:cs="宋体"/>
          <w:b w:val="0"/>
          <w:bCs/>
          <w:color w:val="auto"/>
          <w:szCs w:val="22"/>
          <w:highlight w:val="none"/>
        </w:rPr>
      </w:pPr>
      <w:bookmarkStart w:id="49" w:name="_Toc64660069"/>
      <w:bookmarkEnd w:id="49"/>
      <w:bookmarkStart w:id="50" w:name="_Toc64660070"/>
      <w:bookmarkEnd w:id="50"/>
      <w:r>
        <w:rPr>
          <w:rFonts w:ascii="宋体" w:hAnsi="宋体" w:eastAsia="宋体" w:cs="宋体"/>
          <w:b w:val="0"/>
          <w:bCs/>
          <w:color w:val="auto"/>
          <w:szCs w:val="22"/>
          <w:highlight w:val="none"/>
        </w:rPr>
        <w:t>流线设计</w:t>
      </w:r>
    </w:p>
    <w:p w14:paraId="081131A6">
      <w:pPr>
        <w:snapToGrid w:val="0"/>
        <w:spacing w:before="0" w:after="0" w:line="360" w:lineRule="auto"/>
        <w:ind w:firstLine="480" w:firstLineChars="200"/>
        <w:rPr>
          <w:rFonts w:hint="eastAsia" w:ascii="宋体" w:hAnsi="宋体" w:eastAsia="宋体" w:cs="宋体"/>
          <w:color w:val="auto"/>
          <w:sz w:val="24"/>
          <w:highlight w:val="none"/>
        </w:rPr>
      </w:pPr>
      <w:r>
        <w:rPr>
          <w:rFonts w:ascii="宋体" w:hAnsi="宋体" w:eastAsia="宋体" w:cs="宋体"/>
          <w:color w:val="auto"/>
          <w:sz w:val="24"/>
          <w:highlight w:val="none"/>
        </w:rPr>
        <w:t>1、交通组织便捷、经济、合理，道路网络层次适当，架构清晰，衔接合理。</w:t>
      </w:r>
    </w:p>
    <w:p w14:paraId="16AA6162">
      <w:pPr>
        <w:snapToGrid w:val="0"/>
        <w:spacing w:before="0" w:after="0" w:line="360" w:lineRule="auto"/>
        <w:ind w:firstLine="480" w:firstLineChars="200"/>
        <w:rPr>
          <w:rFonts w:hint="eastAsia" w:ascii="宋体" w:hAnsi="宋体" w:eastAsia="宋体" w:cs="宋体"/>
          <w:color w:val="auto"/>
          <w:sz w:val="24"/>
          <w:highlight w:val="none"/>
        </w:rPr>
      </w:pPr>
      <w:r>
        <w:rPr>
          <w:rFonts w:ascii="宋体" w:hAnsi="宋体" w:eastAsia="宋体" w:cs="宋体"/>
          <w:color w:val="auto"/>
          <w:sz w:val="24"/>
          <w:highlight w:val="none"/>
        </w:rPr>
        <w:t>2、场地内道路应基于交通流量分析进行优化设计，确保场地内部交通顺畅，提供车流及人流交通分析图。</w:t>
      </w:r>
    </w:p>
    <w:p w14:paraId="2166A94C">
      <w:pPr>
        <w:snapToGrid w:val="0"/>
        <w:spacing w:before="0" w:after="0" w:line="360" w:lineRule="auto"/>
        <w:ind w:firstLine="480" w:firstLineChars="200"/>
        <w:rPr>
          <w:rFonts w:hint="eastAsia" w:ascii="宋体" w:hAnsi="宋体" w:eastAsia="宋体" w:cs="宋体"/>
          <w:color w:val="auto"/>
          <w:sz w:val="24"/>
          <w:highlight w:val="none"/>
        </w:rPr>
      </w:pPr>
      <w:r>
        <w:rPr>
          <w:rFonts w:ascii="宋体" w:hAnsi="宋体" w:eastAsia="宋体" w:cs="宋体"/>
          <w:color w:val="auto"/>
          <w:sz w:val="24"/>
          <w:highlight w:val="none"/>
        </w:rPr>
        <w:t>3、装卸货区域、道路宽度、转弯半径均应满足规范及物流车辆的要求。</w:t>
      </w:r>
    </w:p>
    <w:p w14:paraId="7A798107">
      <w:pPr>
        <w:snapToGrid w:val="0"/>
        <w:spacing w:before="0" w:after="0" w:line="360" w:lineRule="auto"/>
        <w:ind w:firstLine="480" w:firstLineChars="200"/>
        <w:rPr>
          <w:rFonts w:hint="eastAsia" w:ascii="宋体" w:hAnsi="宋体" w:eastAsia="宋体" w:cs="宋体"/>
          <w:color w:val="auto"/>
          <w:sz w:val="24"/>
          <w:highlight w:val="none"/>
        </w:rPr>
      </w:pPr>
      <w:r>
        <w:rPr>
          <w:rFonts w:ascii="宋体" w:hAnsi="宋体" w:eastAsia="宋体" w:cs="宋体"/>
          <w:color w:val="auto"/>
          <w:sz w:val="24"/>
          <w:highlight w:val="none"/>
        </w:rPr>
        <w:t>4、消防车道宽度、转弯半径满足规范要求，确保消防车道的环通。</w:t>
      </w:r>
    </w:p>
    <w:p w14:paraId="2257E121">
      <w:pPr>
        <w:snapToGrid w:val="0"/>
        <w:spacing w:before="0" w:after="0" w:line="360" w:lineRule="auto"/>
        <w:ind w:firstLine="480" w:firstLineChars="200"/>
        <w:rPr>
          <w:rFonts w:hint="eastAsia" w:ascii="宋体" w:hAnsi="宋体" w:eastAsia="宋体" w:cs="宋体"/>
          <w:color w:val="auto"/>
          <w:sz w:val="24"/>
          <w:highlight w:val="none"/>
        </w:rPr>
      </w:pPr>
      <w:r>
        <w:rPr>
          <w:rFonts w:ascii="宋体" w:hAnsi="宋体" w:eastAsia="宋体" w:cs="宋体"/>
          <w:color w:val="auto"/>
          <w:sz w:val="24"/>
          <w:highlight w:val="none"/>
        </w:rPr>
        <w:t>5、地面机动车停车位可结合景观设计。</w:t>
      </w:r>
    </w:p>
    <w:p w14:paraId="206484EF">
      <w:pPr>
        <w:snapToGrid w:val="0"/>
        <w:spacing w:before="0" w:after="0" w:line="360" w:lineRule="auto"/>
        <w:ind w:firstLine="480" w:firstLineChars="200"/>
        <w:rPr>
          <w:rFonts w:hint="eastAsia" w:ascii="宋体" w:hAnsi="宋体" w:eastAsia="宋体" w:cs="宋体"/>
          <w:color w:val="auto"/>
          <w:sz w:val="24"/>
          <w:highlight w:val="none"/>
        </w:rPr>
      </w:pPr>
      <w:r>
        <w:rPr>
          <w:rFonts w:ascii="宋体" w:hAnsi="宋体" w:eastAsia="宋体" w:cs="宋体"/>
          <w:color w:val="auto"/>
          <w:sz w:val="24"/>
          <w:highlight w:val="none"/>
        </w:rPr>
        <w:t>6、重点组织好各种交通流线设计：各出入流线应独立设置，尽量避免相互干扰。货流、客流及人流、车流应区分有序，符合日常使用要求。</w:t>
      </w:r>
    </w:p>
    <w:p w14:paraId="4B4C8569">
      <w:pPr>
        <w:pStyle w:val="5"/>
        <w:snapToGrid w:val="0"/>
        <w:spacing w:line="360" w:lineRule="auto"/>
        <w:ind w:left="0" w:firstLine="0"/>
        <w:rPr>
          <w:rFonts w:hint="eastAsia" w:ascii="宋体" w:hAnsi="宋体" w:eastAsia="宋体" w:cs="宋体"/>
          <w:b w:val="0"/>
          <w:bCs/>
          <w:color w:val="auto"/>
          <w:szCs w:val="22"/>
          <w:highlight w:val="none"/>
        </w:rPr>
      </w:pPr>
      <w:r>
        <w:rPr>
          <w:rFonts w:ascii="宋体" w:hAnsi="宋体" w:eastAsia="宋体" w:cs="宋体"/>
          <w:b w:val="0"/>
          <w:bCs/>
          <w:color w:val="auto"/>
          <w:szCs w:val="22"/>
          <w:highlight w:val="none"/>
        </w:rPr>
        <w:t xml:space="preserve">竖向规划原则 </w:t>
      </w:r>
    </w:p>
    <w:p w14:paraId="51A6FD03">
      <w:pPr>
        <w:snapToGrid w:val="0"/>
        <w:spacing w:before="0" w:after="0" w:line="360" w:lineRule="auto"/>
        <w:ind w:firstLine="480" w:firstLineChars="200"/>
        <w:rPr>
          <w:rFonts w:hint="eastAsia" w:ascii="宋体" w:hAnsi="宋体" w:eastAsia="宋体" w:cs="宋体"/>
          <w:color w:val="auto"/>
          <w:sz w:val="24"/>
          <w:highlight w:val="none"/>
        </w:rPr>
      </w:pPr>
      <w:r>
        <w:rPr>
          <w:rFonts w:ascii="宋体" w:hAnsi="宋体" w:eastAsia="宋体" w:cs="宋体"/>
          <w:color w:val="auto"/>
          <w:sz w:val="24"/>
          <w:highlight w:val="none"/>
        </w:rPr>
        <w:t xml:space="preserve">1、因地制宜地利用现状地形，结合地块中的景观水体填挖，尽量实现地块内或地块内土方平衡。对于地形复杂的场地，凡是地形变标高处，均应进行详细竖向设计。 </w:t>
      </w:r>
    </w:p>
    <w:p w14:paraId="0E453D33">
      <w:pPr>
        <w:snapToGrid w:val="0"/>
        <w:spacing w:before="0" w:after="0" w:line="360" w:lineRule="auto"/>
        <w:ind w:firstLine="480" w:firstLineChars="200"/>
        <w:rPr>
          <w:rFonts w:hint="eastAsia" w:ascii="宋体" w:hAnsi="宋体" w:eastAsia="宋体" w:cs="宋体"/>
          <w:color w:val="auto"/>
          <w:sz w:val="24"/>
          <w:highlight w:val="none"/>
        </w:rPr>
      </w:pPr>
      <w:r>
        <w:rPr>
          <w:rFonts w:ascii="宋体" w:hAnsi="宋体" w:eastAsia="宋体" w:cs="宋体"/>
          <w:color w:val="auto"/>
          <w:sz w:val="24"/>
          <w:highlight w:val="none"/>
        </w:rPr>
        <w:t xml:space="preserve">2、充分了解周围市政设施、综合管线规划和建设情况，对场地内综合管线（供水、雨水、污水、电力、燃气、电信）进行有机的组织和布局，并考虑合理的接驳位置。 </w:t>
      </w:r>
    </w:p>
    <w:p w14:paraId="11499097">
      <w:pPr>
        <w:snapToGrid w:val="0"/>
        <w:spacing w:before="0" w:after="0" w:line="360" w:lineRule="auto"/>
        <w:ind w:firstLine="480" w:firstLineChars="200"/>
        <w:rPr>
          <w:rFonts w:hint="eastAsia" w:ascii="宋体" w:hAnsi="宋体" w:eastAsia="宋体" w:cs="宋体"/>
          <w:color w:val="auto"/>
          <w:sz w:val="24"/>
          <w:highlight w:val="none"/>
        </w:rPr>
      </w:pPr>
      <w:r>
        <w:rPr>
          <w:rFonts w:ascii="宋体" w:hAnsi="宋体" w:eastAsia="宋体" w:cs="宋体"/>
          <w:color w:val="auto"/>
          <w:sz w:val="24"/>
          <w:highlight w:val="none"/>
        </w:rPr>
        <w:t>3、需对场地的标高进行详细的设计，结合地形及其他相关因素确定场地的标高，做到经济、合理。需对场地的排水进行综合设计，做到通畅简洁；尽量使用暗沟组织场地的排水系统，确需使用明沟时，需减少对环境的影响。</w:t>
      </w:r>
    </w:p>
    <w:p w14:paraId="4E3CBA23">
      <w:pPr>
        <w:pStyle w:val="5"/>
        <w:snapToGrid w:val="0"/>
        <w:spacing w:line="360" w:lineRule="auto"/>
        <w:ind w:left="0" w:firstLine="0"/>
        <w:rPr>
          <w:rFonts w:hint="eastAsia" w:ascii="宋体" w:hAnsi="宋体" w:eastAsia="宋体" w:cs="宋体"/>
          <w:b w:val="0"/>
          <w:bCs/>
          <w:color w:val="auto"/>
          <w:szCs w:val="22"/>
          <w:highlight w:val="none"/>
        </w:rPr>
      </w:pPr>
      <w:bookmarkStart w:id="51" w:name="_Toc64660072"/>
      <w:bookmarkEnd w:id="51"/>
      <w:r>
        <w:rPr>
          <w:rFonts w:ascii="宋体" w:hAnsi="宋体" w:eastAsia="宋体" w:cs="宋体"/>
          <w:b w:val="0"/>
          <w:bCs/>
          <w:color w:val="auto"/>
          <w:szCs w:val="22"/>
          <w:highlight w:val="none"/>
        </w:rPr>
        <w:t>控高要求</w:t>
      </w:r>
    </w:p>
    <w:p w14:paraId="0ABD9CEC">
      <w:pPr>
        <w:snapToGrid w:val="0"/>
        <w:spacing w:before="0" w:after="0" w:line="360" w:lineRule="auto"/>
        <w:ind w:firstLine="480" w:firstLineChars="200"/>
        <w:rPr>
          <w:color w:val="auto"/>
          <w:highlight w:val="none"/>
        </w:rPr>
      </w:pPr>
      <w:r>
        <w:rPr>
          <w:rFonts w:ascii="宋体" w:hAnsi="宋体" w:eastAsia="宋体" w:cs="宋体"/>
          <w:color w:val="auto"/>
          <w:sz w:val="24"/>
          <w:highlight w:val="none"/>
        </w:rPr>
        <w:t>根据</w:t>
      </w:r>
      <w:r>
        <w:rPr>
          <w:rFonts w:hint="eastAsia" w:ascii="宋体" w:hAnsi="宋体" w:eastAsia="宋体" w:cs="宋体"/>
          <w:color w:val="auto"/>
          <w:sz w:val="24"/>
          <w:highlight w:val="none"/>
        </w:rPr>
        <w:t>广州市规划和自然资源局海珠区分局《关于三滘村启动区AH1007004地块规划情况的复函》</w:t>
      </w:r>
      <w:r>
        <w:rPr>
          <w:rFonts w:ascii="宋体" w:hAnsi="宋体" w:eastAsia="宋体" w:cs="宋体"/>
          <w:color w:val="auto"/>
          <w:sz w:val="24"/>
          <w:highlight w:val="none"/>
        </w:rPr>
        <w:t>，本地块范围建筑限高2</w:t>
      </w:r>
      <w:r>
        <w:rPr>
          <w:rFonts w:hint="eastAsia" w:ascii="宋体" w:hAnsi="宋体" w:eastAsia="宋体" w:cs="宋体"/>
          <w:color w:val="auto"/>
          <w:sz w:val="24"/>
          <w:highlight w:val="none"/>
        </w:rPr>
        <w:t>3</w:t>
      </w:r>
      <w:r>
        <w:rPr>
          <w:rFonts w:ascii="宋体" w:hAnsi="宋体" w:eastAsia="宋体" w:cs="宋体"/>
          <w:color w:val="auto"/>
          <w:sz w:val="24"/>
          <w:highlight w:val="none"/>
        </w:rPr>
        <w:t>0米。建筑物规划建筑高度不得超过限高要求。</w:t>
      </w:r>
    </w:p>
    <w:p w14:paraId="2739B2CC">
      <w:pPr>
        <w:pStyle w:val="5"/>
        <w:snapToGrid w:val="0"/>
        <w:spacing w:line="360" w:lineRule="auto"/>
        <w:ind w:left="0" w:firstLine="0"/>
        <w:rPr>
          <w:rFonts w:hint="eastAsia" w:ascii="宋体" w:hAnsi="宋体" w:eastAsia="宋体" w:cs="宋体"/>
          <w:b w:val="0"/>
          <w:bCs/>
          <w:color w:val="auto"/>
          <w:szCs w:val="22"/>
          <w:highlight w:val="none"/>
        </w:rPr>
      </w:pPr>
      <w:bookmarkStart w:id="52" w:name="_Toc64660073"/>
      <w:bookmarkEnd w:id="52"/>
      <w:r>
        <w:rPr>
          <w:rFonts w:ascii="宋体" w:hAnsi="宋体" w:eastAsia="宋体" w:cs="宋体"/>
          <w:b w:val="0"/>
          <w:bCs/>
          <w:color w:val="auto"/>
          <w:szCs w:val="22"/>
          <w:highlight w:val="none"/>
        </w:rPr>
        <w:t xml:space="preserve">管理要求 </w:t>
      </w:r>
    </w:p>
    <w:p w14:paraId="6B8D0443">
      <w:pPr>
        <w:snapToGrid w:val="0"/>
        <w:spacing w:before="0" w:after="0" w:line="360" w:lineRule="auto"/>
        <w:ind w:firstLine="480" w:firstLineChars="200"/>
        <w:rPr>
          <w:color w:val="auto"/>
          <w:highlight w:val="none"/>
        </w:rPr>
      </w:pPr>
      <w:r>
        <w:rPr>
          <w:rFonts w:ascii="宋体" w:hAnsi="宋体" w:eastAsia="宋体" w:cs="宋体"/>
          <w:color w:val="auto"/>
          <w:sz w:val="24"/>
          <w:highlight w:val="none"/>
        </w:rPr>
        <w:t>集中商业办公按智能化标准规划，设置物业管理中心，建设设计应提供必要的管理用房。物业管理服务中心对建筑进行智能化集中管理，包括设置火灾自动报警系统及保安监控管理中心。集中商业按商办的标准配置相应的管理用房及控制室。</w:t>
      </w:r>
    </w:p>
    <w:p w14:paraId="1BE97B79">
      <w:pPr>
        <w:pStyle w:val="4"/>
        <w:snapToGrid w:val="0"/>
        <w:spacing w:before="100" w:after="100" w:line="360" w:lineRule="auto"/>
        <w:ind w:left="0" w:firstLine="0"/>
        <w:rPr>
          <w:color w:val="auto"/>
          <w:sz w:val="24"/>
          <w:szCs w:val="22"/>
          <w:highlight w:val="none"/>
        </w:rPr>
      </w:pPr>
      <w:bookmarkStart w:id="53" w:name="_Toc1289"/>
      <w:r>
        <w:rPr>
          <w:rFonts w:ascii="宋体" w:hAnsi="宋体" w:eastAsia="宋体" w:cs="宋体"/>
          <w:color w:val="auto"/>
          <w:sz w:val="24"/>
          <w:szCs w:val="22"/>
          <w:highlight w:val="none"/>
        </w:rPr>
        <w:t>建筑与室内装修设计要求</w:t>
      </w:r>
      <w:bookmarkEnd w:id="53"/>
    </w:p>
    <w:p w14:paraId="6732919E">
      <w:pPr>
        <w:pStyle w:val="5"/>
        <w:snapToGrid w:val="0"/>
        <w:spacing w:line="360" w:lineRule="auto"/>
        <w:ind w:left="0" w:firstLine="0"/>
        <w:rPr>
          <w:rFonts w:hint="eastAsia" w:ascii="宋体" w:hAnsi="宋体" w:eastAsia="宋体" w:cs="宋体"/>
          <w:b w:val="0"/>
          <w:bCs/>
          <w:color w:val="auto"/>
          <w:szCs w:val="22"/>
          <w:highlight w:val="none"/>
        </w:rPr>
      </w:pPr>
      <w:r>
        <w:rPr>
          <w:rFonts w:ascii="宋体" w:hAnsi="宋体" w:eastAsia="宋体" w:cs="宋体"/>
          <w:b w:val="0"/>
          <w:bCs/>
          <w:color w:val="auto"/>
          <w:szCs w:val="22"/>
          <w:highlight w:val="none"/>
        </w:rPr>
        <w:t>总体要求</w:t>
      </w:r>
    </w:p>
    <w:p w14:paraId="1A09513D">
      <w:pPr>
        <w:snapToGrid w:val="0"/>
        <w:spacing w:before="0" w:after="0" w:line="360" w:lineRule="auto"/>
        <w:ind w:firstLine="480" w:firstLineChars="200"/>
        <w:rPr>
          <w:rFonts w:hint="eastAsia" w:ascii="宋体" w:hAnsi="宋体" w:eastAsia="宋体" w:cs="宋体"/>
          <w:color w:val="auto"/>
          <w:sz w:val="24"/>
          <w:highlight w:val="none"/>
        </w:rPr>
      </w:pPr>
      <w:r>
        <w:rPr>
          <w:rFonts w:ascii="宋体" w:hAnsi="宋体" w:eastAsia="宋体" w:cs="宋体"/>
          <w:color w:val="auto"/>
          <w:sz w:val="24"/>
          <w:highlight w:val="none"/>
        </w:rPr>
        <w:t>1、设计应符合国家相关规范规程的行业标准。单体建筑功能组织合理，应提高空间实用性和利用率，控制公共分摊面积，降低建筑经济能耗。</w:t>
      </w:r>
    </w:p>
    <w:p w14:paraId="727E47C8">
      <w:pPr>
        <w:snapToGrid w:val="0"/>
        <w:spacing w:before="0" w:after="0" w:line="360" w:lineRule="auto"/>
        <w:ind w:firstLine="480" w:firstLineChars="200"/>
        <w:rPr>
          <w:rFonts w:hint="eastAsia" w:ascii="宋体" w:hAnsi="宋体" w:eastAsia="宋体" w:cs="宋体"/>
          <w:color w:val="auto"/>
          <w:sz w:val="24"/>
          <w:highlight w:val="none"/>
        </w:rPr>
      </w:pPr>
      <w:r>
        <w:rPr>
          <w:rFonts w:ascii="宋体" w:hAnsi="宋体" w:eastAsia="宋体" w:cs="宋体"/>
          <w:color w:val="auto"/>
          <w:sz w:val="24"/>
          <w:highlight w:val="none"/>
        </w:rPr>
        <w:t>2、公共建筑的总体设计满足规划条件同时，应满足项目的具体地块设计要求，在功能组织上做到空间紧凑，经济合理，充分的体现其建筑功能属性。</w:t>
      </w:r>
    </w:p>
    <w:p w14:paraId="7194AD74">
      <w:pPr>
        <w:snapToGrid w:val="0"/>
        <w:spacing w:before="0" w:after="0" w:line="360" w:lineRule="auto"/>
        <w:ind w:firstLine="480" w:firstLineChars="200"/>
        <w:rPr>
          <w:rFonts w:hint="eastAsia" w:ascii="宋体" w:hAnsi="宋体" w:eastAsia="宋体" w:cs="宋体"/>
          <w:color w:val="auto"/>
          <w:sz w:val="24"/>
          <w:highlight w:val="none"/>
        </w:rPr>
      </w:pPr>
      <w:r>
        <w:rPr>
          <w:rFonts w:ascii="宋体" w:hAnsi="宋体" w:eastAsia="宋体" w:cs="宋体"/>
          <w:color w:val="auto"/>
          <w:sz w:val="24"/>
          <w:highlight w:val="none"/>
        </w:rPr>
        <w:t>3、建筑风格设计应总体满足项目建设需要，尽量体现地域性的特征，展示独具特色的设计风貌和建筑空间。</w:t>
      </w:r>
    </w:p>
    <w:p w14:paraId="6FCF2742">
      <w:pPr>
        <w:snapToGrid w:val="0"/>
        <w:spacing w:before="0" w:after="0" w:line="360" w:lineRule="auto"/>
        <w:ind w:firstLine="480" w:firstLineChars="200"/>
        <w:rPr>
          <w:rFonts w:hint="eastAsia" w:ascii="宋体" w:hAnsi="宋体" w:eastAsia="宋体" w:cs="宋体"/>
          <w:color w:val="auto"/>
          <w:sz w:val="24"/>
          <w:highlight w:val="none"/>
        </w:rPr>
      </w:pPr>
      <w:r>
        <w:rPr>
          <w:rFonts w:ascii="宋体" w:hAnsi="宋体" w:eastAsia="宋体" w:cs="宋体"/>
          <w:color w:val="auto"/>
          <w:sz w:val="24"/>
          <w:highlight w:val="none"/>
        </w:rPr>
        <w:t>4、充分考虑经济合理性以及绿色建筑要求，各功能房间应有直接采光通风，考虑加强各功能空间的合理性和舒适性。</w:t>
      </w:r>
    </w:p>
    <w:p w14:paraId="7922135F">
      <w:pPr>
        <w:snapToGrid w:val="0"/>
        <w:spacing w:before="0" w:after="0" w:line="360" w:lineRule="auto"/>
        <w:ind w:firstLine="480" w:firstLineChars="200"/>
        <w:rPr>
          <w:rFonts w:hint="eastAsia" w:ascii="宋体" w:hAnsi="宋体" w:eastAsia="宋体" w:cs="宋体"/>
          <w:color w:val="auto"/>
          <w:sz w:val="24"/>
          <w:highlight w:val="none"/>
        </w:rPr>
      </w:pPr>
      <w:r>
        <w:rPr>
          <w:rFonts w:ascii="宋体" w:hAnsi="宋体" w:eastAsia="宋体" w:cs="宋体"/>
          <w:color w:val="auto"/>
          <w:sz w:val="24"/>
          <w:highlight w:val="none"/>
        </w:rPr>
        <w:t>5、建筑构造做法应满足广州地区常规的做法运用，提倡使用有专业论证和市场良好反馈的新材料、新技术。尤其在建筑防水、耐久性、节能、绿建等方面满足项目需求和国家现行规范和行业标准。</w:t>
      </w:r>
    </w:p>
    <w:p w14:paraId="2B4E2238">
      <w:pPr>
        <w:snapToGrid w:val="0"/>
        <w:spacing w:before="0" w:after="0" w:line="360" w:lineRule="auto"/>
        <w:ind w:firstLine="480" w:firstLineChars="200"/>
        <w:rPr>
          <w:rFonts w:hint="eastAsia" w:ascii="宋体" w:hAnsi="宋体" w:eastAsia="宋体" w:cs="宋体"/>
          <w:color w:val="auto"/>
          <w:sz w:val="24"/>
          <w:highlight w:val="none"/>
        </w:rPr>
      </w:pPr>
      <w:r>
        <w:rPr>
          <w:rFonts w:ascii="宋体" w:hAnsi="宋体" w:eastAsia="宋体" w:cs="宋体"/>
          <w:color w:val="auto"/>
          <w:sz w:val="24"/>
          <w:highlight w:val="none"/>
        </w:rPr>
        <w:t>6、停车配建：按照《广州市城乡规划技术规定》、《建设用地规划许可证》、规划条件及《广州市建设项目停车配建指标规定》核定，满足现行规范停车指标。</w:t>
      </w:r>
    </w:p>
    <w:p w14:paraId="6F8377D0">
      <w:pPr>
        <w:snapToGrid w:val="0"/>
        <w:spacing w:before="0" w:after="0" w:line="360" w:lineRule="auto"/>
        <w:ind w:firstLine="480" w:firstLineChars="200"/>
        <w:rPr>
          <w:rFonts w:hint="eastAsia" w:ascii="宋体" w:hAnsi="宋体" w:eastAsia="宋体" w:cs="宋体"/>
          <w:color w:val="auto"/>
          <w:sz w:val="24"/>
          <w:highlight w:val="none"/>
        </w:rPr>
      </w:pPr>
      <w:r>
        <w:rPr>
          <w:rFonts w:ascii="宋体" w:hAnsi="宋体" w:eastAsia="宋体" w:cs="宋体"/>
          <w:color w:val="auto"/>
          <w:sz w:val="24"/>
          <w:highlight w:val="none"/>
        </w:rPr>
        <w:t>7、满足本项目使用功能（设备）的建筑面积指标要求，不得有：发包人自行建设、和详见深化设计字样，必须委托专业分包单位设计，满足施工图审查要求；全部建筑和设备必须满足投资估算和发包人使用功能要求；</w:t>
      </w:r>
    </w:p>
    <w:p w14:paraId="21984C9E">
      <w:pPr>
        <w:snapToGrid w:val="0"/>
        <w:spacing w:before="0" w:after="0" w:line="360" w:lineRule="auto"/>
        <w:ind w:firstLine="480" w:firstLineChars="200"/>
        <w:rPr>
          <w:rFonts w:hint="eastAsia" w:ascii="宋体" w:hAnsi="宋体" w:eastAsia="宋体" w:cs="宋体"/>
          <w:color w:val="auto"/>
          <w:sz w:val="24"/>
          <w:highlight w:val="none"/>
        </w:rPr>
      </w:pPr>
      <w:r>
        <w:rPr>
          <w:rFonts w:ascii="宋体" w:hAnsi="宋体" w:eastAsia="宋体" w:cs="宋体"/>
          <w:color w:val="auto"/>
          <w:sz w:val="24"/>
          <w:highlight w:val="none"/>
        </w:rPr>
        <w:t>8、设计应全面考虑应设必设的设备机房、连廊、车道顶棚等必须满足报建建筑面积要求，不得出现‘规划验收后再实施’字样。门窗和幕墙满足使用需求：功能场所的透光私密性，各种外门的防雨雨棚设置、各种室内外标高的合理设置，防倒灌。市政和场地内道路与室内标高的合理性。护窗栏杆和防跌落的限位设计；</w:t>
      </w:r>
    </w:p>
    <w:p w14:paraId="6AC00C28">
      <w:pPr>
        <w:snapToGrid w:val="0"/>
        <w:spacing w:before="0" w:after="0" w:line="360" w:lineRule="auto"/>
        <w:ind w:firstLine="480" w:firstLineChars="200"/>
        <w:rPr>
          <w:rFonts w:hint="eastAsia" w:ascii="宋体" w:hAnsi="宋体" w:eastAsia="宋体" w:cs="宋体"/>
          <w:color w:val="auto"/>
          <w:sz w:val="24"/>
          <w:highlight w:val="none"/>
        </w:rPr>
      </w:pPr>
      <w:r>
        <w:rPr>
          <w:rFonts w:ascii="宋体" w:hAnsi="宋体" w:eastAsia="宋体" w:cs="宋体"/>
          <w:color w:val="auto"/>
          <w:sz w:val="24"/>
          <w:highlight w:val="none"/>
        </w:rPr>
        <w:t>9、建筑与各专业之间的协调配合性，设置每层强弱电间的合理性，防止线路损耗；</w:t>
      </w:r>
    </w:p>
    <w:p w14:paraId="649F54AA">
      <w:pPr>
        <w:snapToGrid w:val="0"/>
        <w:spacing w:before="0" w:after="0" w:line="360" w:lineRule="auto"/>
        <w:ind w:firstLine="480" w:firstLineChars="200"/>
        <w:rPr>
          <w:rFonts w:hint="eastAsia" w:ascii="宋体" w:hAnsi="宋体" w:eastAsia="宋体" w:cs="宋体"/>
          <w:color w:val="auto"/>
          <w:sz w:val="24"/>
          <w:highlight w:val="none"/>
        </w:rPr>
      </w:pPr>
      <w:r>
        <w:rPr>
          <w:rFonts w:ascii="宋体" w:hAnsi="宋体" w:eastAsia="宋体" w:cs="宋体"/>
          <w:color w:val="auto"/>
          <w:sz w:val="24"/>
          <w:highlight w:val="none"/>
        </w:rPr>
        <w:t>10、充分考虑VRV空调和分体空调的设备基础、空调搁板等的土建条件设计（如有）；</w:t>
      </w:r>
    </w:p>
    <w:p w14:paraId="4F7FDA72">
      <w:pPr>
        <w:snapToGrid w:val="0"/>
        <w:spacing w:before="0" w:after="0" w:line="360" w:lineRule="auto"/>
        <w:ind w:firstLine="480" w:firstLineChars="200"/>
        <w:rPr>
          <w:rFonts w:hint="eastAsia" w:ascii="宋体" w:hAnsi="宋体" w:eastAsia="宋体" w:cs="宋体"/>
          <w:color w:val="auto"/>
          <w:sz w:val="24"/>
          <w:highlight w:val="none"/>
        </w:rPr>
      </w:pPr>
      <w:r>
        <w:rPr>
          <w:rFonts w:ascii="宋体" w:hAnsi="宋体" w:eastAsia="宋体" w:cs="宋体"/>
          <w:color w:val="auto"/>
          <w:sz w:val="24"/>
          <w:highlight w:val="none"/>
        </w:rPr>
        <w:t>11、设备（建筑大型设备）安装孔的预留设计；</w:t>
      </w:r>
    </w:p>
    <w:p w14:paraId="76EC1556">
      <w:pPr>
        <w:snapToGrid w:val="0"/>
        <w:spacing w:before="0" w:after="0" w:line="360" w:lineRule="auto"/>
        <w:ind w:firstLine="480" w:firstLineChars="200"/>
        <w:rPr>
          <w:rFonts w:hint="eastAsia" w:ascii="宋体" w:hAnsi="宋体" w:eastAsia="宋体" w:cs="宋体"/>
          <w:color w:val="auto"/>
          <w:sz w:val="24"/>
          <w:highlight w:val="none"/>
        </w:rPr>
      </w:pPr>
      <w:r>
        <w:rPr>
          <w:rFonts w:ascii="宋体" w:hAnsi="宋体" w:eastAsia="宋体" w:cs="宋体"/>
          <w:color w:val="auto"/>
          <w:sz w:val="24"/>
          <w:highlight w:val="none"/>
        </w:rPr>
        <w:t>12、各种管道后的天花净高满足使用要求；</w:t>
      </w:r>
    </w:p>
    <w:p w14:paraId="59FB80D9">
      <w:pPr>
        <w:snapToGrid w:val="0"/>
        <w:spacing w:before="0" w:after="0" w:line="360" w:lineRule="auto"/>
        <w:ind w:firstLine="480" w:firstLineChars="200"/>
        <w:rPr>
          <w:rFonts w:hint="eastAsia" w:ascii="宋体" w:hAnsi="宋体" w:eastAsia="宋体" w:cs="宋体"/>
          <w:color w:val="auto"/>
          <w:sz w:val="24"/>
          <w:highlight w:val="none"/>
        </w:rPr>
      </w:pPr>
      <w:r>
        <w:rPr>
          <w:rFonts w:ascii="宋体" w:hAnsi="宋体" w:eastAsia="宋体" w:cs="宋体"/>
          <w:color w:val="auto"/>
          <w:sz w:val="24"/>
          <w:highlight w:val="none"/>
        </w:rPr>
        <w:t>13、避免在高低压电房，开关房，信息机房等各类设备用房上方设置厕所等易漏水功能用房，避免各类排水管穿越设备用房。</w:t>
      </w:r>
    </w:p>
    <w:p w14:paraId="208AE15F">
      <w:pPr>
        <w:pStyle w:val="5"/>
        <w:snapToGrid w:val="0"/>
        <w:spacing w:line="360" w:lineRule="auto"/>
        <w:ind w:left="0" w:firstLine="0"/>
        <w:rPr>
          <w:rFonts w:hint="eastAsia" w:ascii="宋体" w:hAnsi="宋体" w:eastAsia="宋体" w:cs="宋体"/>
          <w:b w:val="0"/>
          <w:bCs/>
          <w:color w:val="auto"/>
          <w:szCs w:val="22"/>
          <w:highlight w:val="none"/>
        </w:rPr>
      </w:pPr>
      <w:r>
        <w:rPr>
          <w:rFonts w:ascii="宋体" w:hAnsi="宋体" w:eastAsia="宋体" w:cs="宋体"/>
          <w:b w:val="0"/>
          <w:bCs/>
          <w:color w:val="auto"/>
          <w:szCs w:val="22"/>
          <w:highlight w:val="none"/>
        </w:rPr>
        <w:t>集中商业设计</w:t>
      </w:r>
    </w:p>
    <w:p w14:paraId="0AF4B981">
      <w:pPr>
        <w:snapToGrid w:val="0"/>
        <w:spacing w:before="0" w:after="0" w:line="360" w:lineRule="auto"/>
        <w:ind w:firstLine="480" w:firstLineChars="200"/>
        <w:rPr>
          <w:rFonts w:hint="eastAsia" w:ascii="宋体" w:hAnsi="宋体" w:eastAsia="宋体" w:cs="宋体"/>
          <w:color w:val="auto"/>
          <w:sz w:val="24"/>
          <w:highlight w:val="none"/>
        </w:rPr>
      </w:pPr>
      <w:r>
        <w:rPr>
          <w:rFonts w:ascii="宋体" w:hAnsi="宋体" w:eastAsia="宋体" w:cs="宋体"/>
          <w:color w:val="auto"/>
          <w:sz w:val="24"/>
          <w:highlight w:val="none"/>
        </w:rPr>
        <w:t>1、功能要求：可以综合考虑商业及办公的结合布置，参考周边商业业态，对本地块业态提出定位需求。</w:t>
      </w:r>
    </w:p>
    <w:p w14:paraId="697D41FB">
      <w:pPr>
        <w:snapToGrid w:val="0"/>
        <w:spacing w:before="0" w:after="0" w:line="360" w:lineRule="auto"/>
        <w:ind w:firstLine="480" w:firstLineChars="200"/>
        <w:rPr>
          <w:rFonts w:hint="eastAsia" w:ascii="宋体" w:hAnsi="宋体" w:eastAsia="宋体" w:cs="宋体"/>
          <w:color w:val="auto"/>
          <w:sz w:val="24"/>
          <w:highlight w:val="none"/>
        </w:rPr>
      </w:pPr>
      <w:r>
        <w:rPr>
          <w:rFonts w:ascii="宋体" w:hAnsi="宋体" w:eastAsia="宋体" w:cs="宋体"/>
          <w:color w:val="auto"/>
          <w:sz w:val="24"/>
          <w:highlight w:val="none"/>
        </w:rPr>
        <w:t>2、标准层布置应功能合理、空间灵活，在力求安全、高效的前提下，考虑后期出租运营的灵活性、便利性。</w:t>
      </w:r>
    </w:p>
    <w:p w14:paraId="05593C43">
      <w:pPr>
        <w:snapToGrid w:val="0"/>
        <w:spacing w:before="0" w:after="0" w:line="360" w:lineRule="auto"/>
        <w:ind w:firstLine="480" w:firstLineChars="200"/>
        <w:rPr>
          <w:rFonts w:hint="eastAsia" w:ascii="宋体" w:hAnsi="宋体" w:eastAsia="宋体" w:cs="宋体"/>
          <w:color w:val="auto"/>
          <w:sz w:val="24"/>
          <w:highlight w:val="none"/>
        </w:rPr>
      </w:pPr>
      <w:r>
        <w:rPr>
          <w:rFonts w:ascii="宋体" w:hAnsi="宋体" w:eastAsia="宋体" w:cs="宋体"/>
          <w:color w:val="auto"/>
          <w:sz w:val="24"/>
          <w:highlight w:val="none"/>
        </w:rPr>
        <w:t>3、空调形式结合功能定位进行综合考虑，便于后期管理维护的需要，舒适节能。</w:t>
      </w:r>
    </w:p>
    <w:p w14:paraId="4B699667">
      <w:pPr>
        <w:pStyle w:val="5"/>
        <w:snapToGrid w:val="0"/>
        <w:spacing w:line="360" w:lineRule="auto"/>
        <w:ind w:left="0" w:firstLine="0"/>
        <w:rPr>
          <w:rFonts w:hint="eastAsia" w:ascii="宋体" w:hAnsi="宋体" w:eastAsia="宋体" w:cs="宋体"/>
          <w:b w:val="0"/>
          <w:bCs/>
          <w:color w:val="auto"/>
          <w:szCs w:val="22"/>
          <w:highlight w:val="none"/>
        </w:rPr>
      </w:pPr>
      <w:r>
        <w:rPr>
          <w:rFonts w:ascii="宋体" w:hAnsi="宋体" w:eastAsia="宋体" w:cs="宋体"/>
          <w:b w:val="0"/>
          <w:bCs/>
          <w:color w:val="auto"/>
          <w:szCs w:val="22"/>
          <w:highlight w:val="none"/>
        </w:rPr>
        <w:t>建筑风格</w:t>
      </w:r>
    </w:p>
    <w:p w14:paraId="2CBBD2DF">
      <w:pPr>
        <w:snapToGrid w:val="0"/>
        <w:spacing w:before="0" w:after="0" w:line="360" w:lineRule="auto"/>
        <w:ind w:firstLine="480" w:firstLineChars="200"/>
        <w:rPr>
          <w:rFonts w:hint="eastAsia" w:ascii="宋体" w:hAnsi="宋体" w:eastAsia="宋体" w:cs="宋体"/>
          <w:color w:val="auto"/>
          <w:sz w:val="24"/>
          <w:highlight w:val="none"/>
        </w:rPr>
      </w:pPr>
      <w:r>
        <w:rPr>
          <w:rFonts w:ascii="宋体" w:hAnsi="宋体" w:eastAsia="宋体" w:cs="宋体"/>
          <w:color w:val="auto"/>
          <w:sz w:val="24"/>
          <w:highlight w:val="none"/>
        </w:rPr>
        <w:t>1、建筑造型宜简洁大方，富有现代气息，适当借鉴岭南建筑与亚热带建筑手法。</w:t>
      </w:r>
    </w:p>
    <w:p w14:paraId="3C958C9A">
      <w:pPr>
        <w:snapToGrid w:val="0"/>
        <w:spacing w:before="0" w:after="0" w:line="360" w:lineRule="auto"/>
        <w:ind w:firstLine="480" w:firstLineChars="200"/>
        <w:rPr>
          <w:rFonts w:hint="eastAsia" w:ascii="宋体" w:hAnsi="宋体" w:eastAsia="宋体" w:cs="宋体"/>
          <w:color w:val="auto"/>
          <w:sz w:val="24"/>
          <w:highlight w:val="none"/>
        </w:rPr>
      </w:pPr>
      <w:r>
        <w:rPr>
          <w:rFonts w:ascii="宋体" w:hAnsi="宋体" w:eastAsia="宋体" w:cs="宋体"/>
          <w:color w:val="auto"/>
          <w:sz w:val="24"/>
          <w:highlight w:val="none"/>
        </w:rPr>
        <w:t>2、建筑风格应结合所在地区的气候性特性，应结合绿色建筑和建筑节能要求，尽量减少造型要素中没有功能作用的装饰构件的应用。建筑构件与建筑空间、造型结合进行一体化设计，既可作为立面设计的造型元素，又满足遮阳隔热、通风降温的功能需求。</w:t>
      </w:r>
    </w:p>
    <w:p w14:paraId="503FD6BF">
      <w:pPr>
        <w:snapToGrid w:val="0"/>
        <w:spacing w:before="0" w:after="0" w:line="360" w:lineRule="auto"/>
        <w:ind w:firstLine="480" w:firstLineChars="200"/>
        <w:rPr>
          <w:rFonts w:hint="eastAsia" w:ascii="宋体" w:hAnsi="宋体" w:eastAsia="宋体" w:cs="宋体"/>
          <w:color w:val="auto"/>
          <w:sz w:val="24"/>
          <w:highlight w:val="none"/>
        </w:rPr>
      </w:pPr>
      <w:r>
        <w:rPr>
          <w:rFonts w:ascii="宋体" w:hAnsi="宋体" w:eastAsia="宋体" w:cs="宋体"/>
          <w:color w:val="auto"/>
          <w:sz w:val="24"/>
          <w:highlight w:val="none"/>
        </w:rPr>
        <w:t>3、针对广州地区多雨的气候特征，建筑构件应考虑遮风挡雨及雨水疏导利用，并在易受风雨侵蚀的部位，选用合适的防水材料和构造，结合排水系统共同工作。</w:t>
      </w:r>
    </w:p>
    <w:p w14:paraId="3C1E3F52">
      <w:pPr>
        <w:snapToGrid w:val="0"/>
        <w:spacing w:before="0" w:after="0" w:line="360" w:lineRule="auto"/>
        <w:ind w:firstLine="480" w:firstLineChars="200"/>
        <w:rPr>
          <w:rFonts w:hint="eastAsia" w:ascii="宋体" w:hAnsi="宋体" w:eastAsia="宋体" w:cs="宋体"/>
          <w:color w:val="auto"/>
          <w:sz w:val="24"/>
          <w:highlight w:val="none"/>
        </w:rPr>
      </w:pPr>
      <w:r>
        <w:rPr>
          <w:rFonts w:ascii="宋体" w:hAnsi="宋体" w:eastAsia="宋体" w:cs="宋体"/>
          <w:color w:val="auto"/>
          <w:sz w:val="24"/>
          <w:highlight w:val="none"/>
        </w:rPr>
        <w:t>4、针对广州地区炎热潮湿的气候，结合建筑空间通风系统的组织，选用合适的建筑外墙材料，同时注重色彩搭配和细节设计，鼓励在立面细部构造中创新设计，增强建筑的整体效果。</w:t>
      </w:r>
    </w:p>
    <w:p w14:paraId="6F6FEFC6">
      <w:pPr>
        <w:snapToGrid w:val="0"/>
        <w:spacing w:before="0" w:after="0" w:line="360" w:lineRule="auto"/>
        <w:ind w:firstLine="480" w:firstLineChars="200"/>
        <w:rPr>
          <w:rFonts w:hint="eastAsia" w:ascii="宋体" w:hAnsi="宋体" w:eastAsia="宋体" w:cs="宋体"/>
          <w:color w:val="auto"/>
          <w:sz w:val="24"/>
          <w:highlight w:val="none"/>
        </w:rPr>
      </w:pPr>
      <w:r>
        <w:rPr>
          <w:rFonts w:ascii="宋体" w:hAnsi="宋体" w:eastAsia="宋体" w:cs="宋体"/>
          <w:color w:val="auto"/>
          <w:sz w:val="24"/>
          <w:highlight w:val="none"/>
        </w:rPr>
        <w:t>5、集中商业与周边城市风格适度协调，以适度变化的建筑色彩和文化内涵，丰富住区的整体效果。</w:t>
      </w:r>
    </w:p>
    <w:p w14:paraId="344E679B">
      <w:pPr>
        <w:pStyle w:val="5"/>
        <w:snapToGrid w:val="0"/>
        <w:spacing w:line="360" w:lineRule="auto"/>
        <w:ind w:left="0" w:firstLine="0"/>
        <w:rPr>
          <w:rFonts w:hint="eastAsia" w:ascii="宋体" w:hAnsi="宋体" w:eastAsia="宋体" w:cs="宋体"/>
          <w:b w:val="0"/>
          <w:bCs/>
          <w:color w:val="auto"/>
          <w:szCs w:val="22"/>
          <w:highlight w:val="none"/>
        </w:rPr>
      </w:pPr>
      <w:r>
        <w:rPr>
          <w:rFonts w:ascii="宋体" w:hAnsi="宋体" w:eastAsia="宋体" w:cs="宋体"/>
          <w:b w:val="0"/>
          <w:bCs/>
          <w:color w:val="auto"/>
          <w:szCs w:val="22"/>
          <w:highlight w:val="none"/>
        </w:rPr>
        <w:t>室内装修要求</w:t>
      </w:r>
    </w:p>
    <w:p w14:paraId="3EE975B5">
      <w:pPr>
        <w:snapToGrid w:val="0"/>
        <w:spacing w:before="0" w:after="0" w:line="360" w:lineRule="auto"/>
        <w:rPr>
          <w:rFonts w:hint="eastAsia" w:ascii="宋体" w:hAnsi="宋体" w:eastAsia="宋体" w:cs="宋体"/>
          <w:color w:val="auto"/>
          <w:sz w:val="24"/>
          <w:highlight w:val="none"/>
        </w:rPr>
      </w:pPr>
      <w:bookmarkStart w:id="54" w:name="_Toc64660076"/>
      <w:bookmarkEnd w:id="54"/>
      <w:r>
        <w:rPr>
          <w:rFonts w:ascii="宋体" w:hAnsi="宋体" w:eastAsia="宋体" w:cs="宋体"/>
          <w:color w:val="auto"/>
          <w:sz w:val="24"/>
          <w:highlight w:val="none"/>
        </w:rPr>
        <w:t xml:space="preserve">    本项目装修范围及部位包含但不限于大堂、电梯前室、走道、卫生间、展示中心（如有）、餐厅（如有）等公共区域。具体工作内容包括但不限于以下工作内容：</w:t>
      </w:r>
    </w:p>
    <w:p w14:paraId="1D5576C6">
      <w:pPr>
        <w:snapToGrid w:val="0"/>
        <w:spacing w:before="0" w:after="0" w:line="360" w:lineRule="auto"/>
        <w:ind w:firstLine="480" w:firstLineChars="200"/>
        <w:rPr>
          <w:rFonts w:hint="eastAsia" w:ascii="宋体" w:hAnsi="宋体" w:eastAsia="宋体" w:cs="宋体"/>
          <w:color w:val="auto"/>
          <w:sz w:val="24"/>
          <w:highlight w:val="none"/>
        </w:rPr>
      </w:pPr>
      <w:r>
        <w:rPr>
          <w:rFonts w:ascii="宋体" w:hAnsi="宋体" w:eastAsia="宋体" w:cs="宋体"/>
          <w:color w:val="auto"/>
          <w:sz w:val="24"/>
          <w:highlight w:val="none"/>
        </w:rPr>
        <w:t>1、室内设计说明，表达设计构想及设计意向：</w:t>
      </w:r>
    </w:p>
    <w:p w14:paraId="72BA517C">
      <w:pPr>
        <w:snapToGrid w:val="0"/>
        <w:spacing w:before="0" w:after="0" w:line="360" w:lineRule="auto"/>
        <w:ind w:firstLine="480" w:firstLineChars="200"/>
        <w:rPr>
          <w:rFonts w:hint="eastAsia" w:ascii="宋体" w:hAnsi="宋体" w:eastAsia="宋体" w:cs="宋体"/>
          <w:color w:val="auto"/>
          <w:sz w:val="24"/>
          <w:highlight w:val="none"/>
        </w:rPr>
      </w:pPr>
      <w:r>
        <w:rPr>
          <w:rFonts w:ascii="宋体" w:hAnsi="宋体" w:eastAsia="宋体" w:cs="宋体"/>
          <w:color w:val="auto"/>
          <w:sz w:val="24"/>
          <w:highlight w:val="none"/>
        </w:rPr>
        <w:t>2、铺地平面图、天花平面图、重点位置立面图、剖面图以及室内空间效果图等</w:t>
      </w:r>
    </w:p>
    <w:p w14:paraId="70D4EDCB">
      <w:pPr>
        <w:snapToGrid w:val="0"/>
        <w:spacing w:before="0" w:after="0" w:line="360" w:lineRule="auto"/>
        <w:ind w:firstLine="480" w:firstLineChars="200"/>
        <w:rPr>
          <w:rFonts w:hint="eastAsia" w:ascii="宋体" w:hAnsi="宋体" w:eastAsia="宋体" w:cs="宋体"/>
          <w:color w:val="auto"/>
          <w:sz w:val="24"/>
          <w:highlight w:val="none"/>
        </w:rPr>
      </w:pPr>
      <w:r>
        <w:rPr>
          <w:rFonts w:ascii="宋体" w:hAnsi="宋体" w:eastAsia="宋体" w:cs="宋体"/>
          <w:color w:val="auto"/>
          <w:sz w:val="24"/>
          <w:highlight w:val="none"/>
        </w:rPr>
        <w:t>3、提供材料样板以及工程预算概算表；</w:t>
      </w:r>
    </w:p>
    <w:p w14:paraId="33B36661">
      <w:pPr>
        <w:snapToGrid w:val="0"/>
        <w:spacing w:before="0" w:after="0" w:line="360" w:lineRule="auto"/>
        <w:ind w:firstLine="480" w:firstLineChars="200"/>
        <w:rPr>
          <w:rFonts w:hint="eastAsia" w:ascii="宋体" w:hAnsi="宋体" w:eastAsia="宋体" w:cs="宋体"/>
          <w:color w:val="auto"/>
          <w:sz w:val="24"/>
          <w:highlight w:val="none"/>
        </w:rPr>
      </w:pPr>
      <w:r>
        <w:rPr>
          <w:rFonts w:ascii="宋体" w:hAnsi="宋体" w:eastAsia="宋体" w:cs="宋体"/>
          <w:color w:val="auto"/>
          <w:sz w:val="24"/>
          <w:highlight w:val="none"/>
        </w:rPr>
        <w:t>4、灯具选型、五金洁具、水电平排表；</w:t>
      </w:r>
    </w:p>
    <w:p w14:paraId="046B64CB">
      <w:pPr>
        <w:snapToGrid w:val="0"/>
        <w:spacing w:before="0" w:after="0" w:line="360" w:lineRule="auto"/>
        <w:ind w:firstLine="480" w:firstLineChars="200"/>
        <w:rPr>
          <w:rFonts w:hint="eastAsia" w:ascii="宋体" w:hAnsi="宋体" w:eastAsia="宋体" w:cs="宋体"/>
          <w:color w:val="auto"/>
          <w:sz w:val="24"/>
          <w:highlight w:val="none"/>
        </w:rPr>
      </w:pPr>
      <w:r>
        <w:rPr>
          <w:rFonts w:ascii="宋体" w:hAnsi="宋体" w:eastAsia="宋体" w:cs="宋体"/>
          <w:color w:val="auto"/>
          <w:sz w:val="24"/>
          <w:highlight w:val="none"/>
        </w:rPr>
        <w:t>5、二次装饰消防机电设计、包括喷淋、烟感、消防栓等与一次消防位置不一致的及时调整及出图；</w:t>
      </w:r>
    </w:p>
    <w:p w14:paraId="27067326">
      <w:pPr>
        <w:snapToGrid w:val="0"/>
        <w:spacing w:before="0" w:after="0" w:line="360" w:lineRule="auto"/>
        <w:ind w:firstLine="480" w:firstLineChars="200"/>
        <w:rPr>
          <w:rFonts w:hint="eastAsia" w:ascii="宋体" w:hAnsi="宋体" w:eastAsia="宋体" w:cs="宋体"/>
          <w:color w:val="auto"/>
          <w:sz w:val="24"/>
          <w:highlight w:val="none"/>
        </w:rPr>
      </w:pPr>
      <w:r>
        <w:rPr>
          <w:rFonts w:ascii="宋体" w:hAnsi="宋体" w:eastAsia="宋体" w:cs="宋体"/>
          <w:color w:val="auto"/>
          <w:sz w:val="24"/>
          <w:highlight w:val="none"/>
        </w:rPr>
        <w:t>6、施工期间需对现场进行效果把控，施工前期每周两次到现场进行设计协调会议，施工后期即完工前一个月每周一次到现场进行设计协调会议，材料定板，对设计错漏碰缺补充变更图纸以及图纸更新管理；</w:t>
      </w:r>
    </w:p>
    <w:p w14:paraId="3D7C4382">
      <w:pPr>
        <w:snapToGrid w:val="0"/>
        <w:spacing w:before="0" w:after="0" w:line="360" w:lineRule="auto"/>
        <w:ind w:firstLine="480" w:firstLineChars="200"/>
        <w:rPr>
          <w:rFonts w:hint="eastAsia" w:ascii="宋体" w:hAnsi="宋体" w:eastAsia="宋体" w:cs="宋体"/>
          <w:color w:val="auto"/>
          <w:sz w:val="24"/>
          <w:highlight w:val="none"/>
        </w:rPr>
      </w:pPr>
      <w:r>
        <w:rPr>
          <w:rFonts w:ascii="宋体" w:hAnsi="宋体" w:eastAsia="宋体" w:cs="宋体"/>
          <w:color w:val="auto"/>
          <w:sz w:val="24"/>
          <w:highlight w:val="none"/>
        </w:rPr>
        <w:t>7、进行软装采购及摆置时，设计方需派相关专业人员随同采购、协助摆置工作（如有）；</w:t>
      </w:r>
    </w:p>
    <w:p w14:paraId="6336AFBC">
      <w:pPr>
        <w:snapToGrid w:val="0"/>
        <w:spacing w:before="0" w:after="0" w:line="360" w:lineRule="auto"/>
        <w:ind w:firstLine="480" w:firstLineChars="200"/>
        <w:rPr>
          <w:rFonts w:hint="eastAsia" w:ascii="宋体" w:hAnsi="宋体" w:eastAsia="宋体" w:cs="宋体"/>
          <w:color w:val="auto"/>
          <w:sz w:val="24"/>
          <w:highlight w:val="none"/>
        </w:rPr>
      </w:pPr>
      <w:r>
        <w:rPr>
          <w:rFonts w:ascii="宋体" w:hAnsi="宋体" w:eastAsia="宋体" w:cs="宋体"/>
          <w:color w:val="auto"/>
          <w:sz w:val="24"/>
          <w:highlight w:val="none"/>
        </w:rPr>
        <w:t>8、施工完成后，协助提供以下资料：</w:t>
      </w:r>
    </w:p>
    <w:p w14:paraId="4400B383">
      <w:pPr>
        <w:snapToGrid w:val="0"/>
        <w:spacing w:before="0" w:after="0" w:line="360" w:lineRule="auto"/>
        <w:ind w:firstLine="480" w:firstLineChars="200"/>
        <w:rPr>
          <w:rFonts w:hint="eastAsia" w:ascii="宋体" w:hAnsi="宋体" w:eastAsia="宋体" w:cs="宋体"/>
          <w:color w:val="auto"/>
          <w:sz w:val="24"/>
          <w:highlight w:val="none"/>
        </w:rPr>
      </w:pPr>
      <w:r>
        <w:rPr>
          <w:rFonts w:ascii="宋体" w:hAnsi="宋体" w:eastAsia="宋体" w:cs="宋体"/>
          <w:color w:val="auto"/>
          <w:sz w:val="24"/>
          <w:highlight w:val="none"/>
        </w:rPr>
        <w:t xml:space="preserve">a.最终版全套施工图（含材料清单、样板照片、洁具、五金、工程灯清单）电子版； </w:t>
      </w:r>
    </w:p>
    <w:p w14:paraId="69F377DD">
      <w:pPr>
        <w:snapToGrid w:val="0"/>
        <w:spacing w:before="0" w:after="0" w:line="360" w:lineRule="auto"/>
        <w:ind w:firstLine="480" w:firstLineChars="200"/>
        <w:rPr>
          <w:rFonts w:hint="eastAsia" w:ascii="宋体" w:hAnsi="宋体" w:eastAsia="宋体" w:cs="宋体"/>
          <w:color w:val="auto"/>
          <w:sz w:val="24"/>
          <w:highlight w:val="none"/>
        </w:rPr>
      </w:pPr>
      <w:r>
        <w:rPr>
          <w:rFonts w:ascii="宋体" w:hAnsi="宋体" w:eastAsia="宋体" w:cs="宋体"/>
          <w:color w:val="auto"/>
          <w:sz w:val="24"/>
          <w:highlight w:val="none"/>
        </w:rPr>
        <w:t>b.全套报消防图纸及后期配合消防报建的手续；</w:t>
      </w:r>
    </w:p>
    <w:p w14:paraId="3C4A39DE">
      <w:pPr>
        <w:snapToGrid w:val="0"/>
        <w:spacing w:before="0" w:after="0" w:line="360" w:lineRule="auto"/>
        <w:ind w:firstLine="480" w:firstLineChars="200"/>
        <w:rPr>
          <w:rFonts w:hint="eastAsia" w:ascii="宋体" w:hAnsi="宋体" w:eastAsia="宋体" w:cs="宋体"/>
          <w:color w:val="auto"/>
          <w:sz w:val="24"/>
          <w:highlight w:val="none"/>
        </w:rPr>
      </w:pPr>
      <w:r>
        <w:rPr>
          <w:rFonts w:ascii="宋体" w:hAnsi="宋体" w:eastAsia="宋体" w:cs="宋体"/>
          <w:color w:val="auto"/>
          <w:sz w:val="24"/>
          <w:highlight w:val="none"/>
        </w:rPr>
        <w:t>9、应进行配套二次机电设计，包括但不限于电气、暖通、智能化、给排水等专业设计。</w:t>
      </w:r>
    </w:p>
    <w:p w14:paraId="069AD8A9">
      <w:pPr>
        <w:pStyle w:val="4"/>
        <w:snapToGrid w:val="0"/>
        <w:spacing w:before="100" w:after="100" w:line="360" w:lineRule="auto"/>
        <w:ind w:left="0" w:firstLine="0"/>
        <w:rPr>
          <w:color w:val="auto"/>
          <w:sz w:val="24"/>
          <w:szCs w:val="22"/>
          <w:highlight w:val="none"/>
        </w:rPr>
      </w:pPr>
      <w:bookmarkStart w:id="55" w:name="_Toc5768"/>
      <w:r>
        <w:rPr>
          <w:rFonts w:ascii="宋体" w:hAnsi="宋体" w:eastAsia="宋体" w:cs="宋体"/>
          <w:color w:val="auto"/>
          <w:sz w:val="24"/>
          <w:szCs w:val="22"/>
          <w:highlight w:val="none"/>
        </w:rPr>
        <w:t>基坑支护设计</w:t>
      </w:r>
      <w:bookmarkEnd w:id="55"/>
    </w:p>
    <w:p w14:paraId="7D768B28">
      <w:pPr>
        <w:pStyle w:val="5"/>
        <w:snapToGrid w:val="0"/>
        <w:spacing w:line="360" w:lineRule="auto"/>
        <w:ind w:left="0" w:firstLine="0"/>
        <w:rPr>
          <w:rFonts w:hint="eastAsia" w:ascii="宋体" w:hAnsi="宋体" w:eastAsia="宋体" w:cs="宋体"/>
          <w:b w:val="0"/>
          <w:bCs/>
          <w:color w:val="auto"/>
          <w:szCs w:val="22"/>
          <w:highlight w:val="none"/>
        </w:rPr>
      </w:pPr>
      <w:r>
        <w:rPr>
          <w:rFonts w:ascii="宋体" w:hAnsi="宋体" w:eastAsia="宋体" w:cs="宋体"/>
          <w:b w:val="0"/>
          <w:bCs/>
          <w:color w:val="auto"/>
          <w:szCs w:val="22"/>
          <w:highlight w:val="none"/>
        </w:rPr>
        <w:t>一般规定</w:t>
      </w:r>
    </w:p>
    <w:p w14:paraId="47C56D79">
      <w:pPr>
        <w:snapToGrid w:val="0"/>
        <w:spacing w:before="0" w:after="0" w:line="360" w:lineRule="auto"/>
        <w:ind w:firstLine="480" w:firstLineChars="200"/>
        <w:rPr>
          <w:color w:val="auto"/>
          <w:highlight w:val="none"/>
        </w:rPr>
      </w:pPr>
      <w:r>
        <w:rPr>
          <w:rFonts w:ascii="宋体" w:hAnsi="宋体" w:eastAsia="宋体" w:cs="宋体"/>
          <w:color w:val="auto"/>
          <w:sz w:val="24"/>
          <w:highlight w:val="none"/>
        </w:rPr>
        <w:t xml:space="preserve">1、在基坑设计前应到现场进行基坑周边的环境调查踏勘工作，以获取相关的资料作为设计的依据。环境调查的主要内容：基坑开挖影响范围内的建（构）筑物、道路、地下管线、施工场地布置、载重车辆行走路线等。 </w:t>
      </w:r>
    </w:p>
    <w:p w14:paraId="7C05A32E">
      <w:pPr>
        <w:snapToGrid w:val="0"/>
        <w:spacing w:before="0" w:after="0" w:line="360" w:lineRule="auto"/>
        <w:ind w:firstLine="480" w:firstLineChars="200"/>
        <w:rPr>
          <w:color w:val="auto"/>
          <w:highlight w:val="none"/>
        </w:rPr>
      </w:pPr>
      <w:r>
        <w:rPr>
          <w:rFonts w:ascii="宋体" w:hAnsi="宋体" w:eastAsia="宋体" w:cs="宋体"/>
          <w:color w:val="auto"/>
          <w:sz w:val="24"/>
          <w:highlight w:val="none"/>
        </w:rPr>
        <w:t xml:space="preserve">2、在基坑设计前应获得本工程的岩土工程勘察报告、地形图、管线图、红线图、建筑物规划总平面图、稳定的基础和地下室结构设计图等地下室相关图纸作为设计依据。 </w:t>
      </w:r>
    </w:p>
    <w:p w14:paraId="7F520EF2">
      <w:pPr>
        <w:snapToGrid w:val="0"/>
        <w:spacing w:before="0" w:after="0" w:line="360" w:lineRule="auto"/>
        <w:ind w:firstLine="480" w:firstLineChars="200"/>
        <w:rPr>
          <w:color w:val="auto"/>
          <w:highlight w:val="none"/>
        </w:rPr>
      </w:pPr>
      <w:r>
        <w:rPr>
          <w:rFonts w:ascii="宋体" w:hAnsi="宋体" w:eastAsia="宋体" w:cs="宋体"/>
          <w:color w:val="auto"/>
          <w:sz w:val="24"/>
          <w:highlight w:val="none"/>
        </w:rPr>
        <w:t xml:space="preserve">3、支护结构作为永久结构的一部分时应满足耐久性要求。 </w:t>
      </w:r>
    </w:p>
    <w:p w14:paraId="0A146835">
      <w:pPr>
        <w:snapToGrid w:val="0"/>
        <w:spacing w:before="0" w:after="0" w:line="360" w:lineRule="auto"/>
        <w:ind w:firstLine="480" w:firstLineChars="200"/>
        <w:rPr>
          <w:color w:val="auto"/>
          <w:highlight w:val="none"/>
        </w:rPr>
      </w:pPr>
      <w:r>
        <w:rPr>
          <w:rFonts w:ascii="宋体" w:hAnsi="宋体" w:eastAsia="宋体" w:cs="宋体"/>
          <w:color w:val="auto"/>
          <w:sz w:val="24"/>
          <w:highlight w:val="none"/>
        </w:rPr>
        <w:t xml:space="preserve">4、支护结构平面布置应满足地下室边墙外界尺寸要求，且支护结构受力变形、施工误差等，均在规范允许的范围内，不影响地下室的正常施工。 </w:t>
      </w:r>
    </w:p>
    <w:p w14:paraId="4BEE6A55">
      <w:pPr>
        <w:snapToGrid w:val="0"/>
        <w:spacing w:before="0" w:after="0" w:line="360" w:lineRule="auto"/>
        <w:ind w:firstLine="480" w:firstLineChars="200"/>
        <w:rPr>
          <w:color w:val="auto"/>
          <w:highlight w:val="none"/>
        </w:rPr>
      </w:pPr>
      <w:r>
        <w:rPr>
          <w:rFonts w:ascii="宋体" w:hAnsi="宋体" w:eastAsia="宋体" w:cs="宋体"/>
          <w:color w:val="auto"/>
          <w:sz w:val="24"/>
          <w:highlight w:val="none"/>
        </w:rPr>
        <w:t xml:space="preserve">5、深度应满足地下室净空要求，应计入基坑开挖计算深度的地下室底板和基础承台下垫层或者软土换填厚度；注意电梯井、消防水池、集水井等坑中坑影响情况。 </w:t>
      </w:r>
    </w:p>
    <w:p w14:paraId="147217BF">
      <w:pPr>
        <w:snapToGrid w:val="0"/>
        <w:spacing w:before="0" w:after="0" w:line="360" w:lineRule="auto"/>
        <w:ind w:firstLine="480" w:firstLineChars="200"/>
        <w:rPr>
          <w:color w:val="auto"/>
          <w:highlight w:val="none"/>
        </w:rPr>
      </w:pPr>
      <w:r>
        <w:rPr>
          <w:rFonts w:ascii="宋体" w:hAnsi="宋体" w:eastAsia="宋体" w:cs="宋体"/>
          <w:color w:val="auto"/>
          <w:sz w:val="24"/>
          <w:highlight w:val="none"/>
        </w:rPr>
        <w:t xml:space="preserve">6、对基坑开挖边线处于地铁 50m控制保护范围内的需报送广州市地铁设施保护办公室进行审查，不在控制保护范围内的需到广州市地铁设施保护办公室出具该项目不在地铁控制保护区的核查意见。 </w:t>
      </w:r>
    </w:p>
    <w:p w14:paraId="7805BE32">
      <w:pPr>
        <w:snapToGrid w:val="0"/>
        <w:spacing w:before="0" w:after="0" w:line="360" w:lineRule="auto"/>
        <w:ind w:firstLine="480" w:firstLineChars="200"/>
        <w:rPr>
          <w:color w:val="auto"/>
          <w:highlight w:val="none"/>
        </w:rPr>
      </w:pPr>
      <w:r>
        <w:rPr>
          <w:rFonts w:ascii="宋体" w:hAnsi="宋体" w:eastAsia="宋体" w:cs="宋体"/>
          <w:color w:val="auto"/>
          <w:sz w:val="24"/>
          <w:highlight w:val="none"/>
        </w:rPr>
        <w:t>7、凡开挖深度大于等于 7m或地质条件较复杂（如开挖深度范围内软弱土层厚度大于等于 4m）的基坑工程以及采用锚杆（含预应力锚索）、土钉墙或采用人工挖孔桩支护的基坑工程，其基坑支护工程设计文件必须经专项审查。</w:t>
      </w:r>
    </w:p>
    <w:p w14:paraId="0F5E6CC4">
      <w:pPr>
        <w:pStyle w:val="5"/>
        <w:snapToGrid w:val="0"/>
        <w:spacing w:line="360" w:lineRule="auto"/>
        <w:ind w:left="0" w:firstLine="0"/>
        <w:rPr>
          <w:color w:val="auto"/>
          <w:highlight w:val="none"/>
        </w:rPr>
      </w:pPr>
      <w:r>
        <w:rPr>
          <w:rFonts w:ascii="宋体" w:hAnsi="宋体" w:eastAsia="宋体" w:cs="宋体"/>
          <w:color w:val="auto"/>
          <w:highlight w:val="none"/>
        </w:rPr>
        <w:t>基坑支护设计</w:t>
      </w:r>
    </w:p>
    <w:p w14:paraId="347F648F">
      <w:pPr>
        <w:snapToGrid w:val="0"/>
        <w:spacing w:before="0" w:after="0" w:line="360" w:lineRule="auto"/>
        <w:ind w:firstLine="480" w:firstLineChars="200"/>
        <w:rPr>
          <w:color w:val="auto"/>
          <w:highlight w:val="none"/>
        </w:rPr>
      </w:pPr>
      <w:r>
        <w:rPr>
          <w:rFonts w:ascii="宋体" w:hAnsi="宋体" w:eastAsia="宋体" w:cs="宋体"/>
          <w:color w:val="auto"/>
          <w:sz w:val="24"/>
          <w:highlight w:val="none"/>
        </w:rPr>
        <w:t>1、据场地工程地质条件、基坑周边环境，从安全、经济、可行的原则出发，优化设计，选择出合理支护结构方案。</w:t>
      </w:r>
    </w:p>
    <w:p w14:paraId="1641951F">
      <w:pPr>
        <w:snapToGrid w:val="0"/>
        <w:spacing w:before="0" w:after="0" w:line="360" w:lineRule="auto"/>
        <w:ind w:firstLine="480" w:firstLineChars="200"/>
        <w:rPr>
          <w:color w:val="auto"/>
          <w:highlight w:val="none"/>
        </w:rPr>
      </w:pPr>
      <w:r>
        <w:rPr>
          <w:rFonts w:ascii="宋体" w:hAnsi="宋体" w:eastAsia="宋体" w:cs="宋体"/>
          <w:color w:val="auto"/>
          <w:sz w:val="24"/>
          <w:highlight w:val="none"/>
        </w:rPr>
        <w:t xml:space="preserve">2、当工程条件许可、周边环境简单时，应优先采用自然放坡；当开挖深度较浅、周边环境一般时，可采用柔性支护，如悬臂钢板桩、水泥土墙、钢板桩加撑 (锚)、土钉墙、复合土钉墙等支护型式；当周边环境要求高或开挖深度较深时，应采用刚性的支护型式，以控制水平位移，如桩锚、桩撑、墙锚、墙撑、逆作法、中心岛等支护型式。 </w:t>
      </w:r>
    </w:p>
    <w:p w14:paraId="6D029190">
      <w:pPr>
        <w:pStyle w:val="4"/>
        <w:snapToGrid w:val="0"/>
        <w:spacing w:before="100" w:after="100" w:line="360" w:lineRule="auto"/>
        <w:ind w:left="0" w:firstLine="0"/>
        <w:rPr>
          <w:color w:val="auto"/>
          <w:sz w:val="24"/>
          <w:szCs w:val="22"/>
          <w:highlight w:val="none"/>
        </w:rPr>
      </w:pPr>
      <w:bookmarkStart w:id="56" w:name="_Toc13889"/>
      <w:r>
        <w:rPr>
          <w:rFonts w:ascii="宋体" w:hAnsi="宋体" w:eastAsia="宋体" w:cs="宋体"/>
          <w:color w:val="auto"/>
          <w:sz w:val="24"/>
          <w:szCs w:val="22"/>
          <w:highlight w:val="none"/>
        </w:rPr>
        <w:t>结构设计要求</w:t>
      </w:r>
      <w:bookmarkEnd w:id="56"/>
    </w:p>
    <w:p w14:paraId="16973036">
      <w:pPr>
        <w:pStyle w:val="5"/>
        <w:snapToGrid w:val="0"/>
        <w:spacing w:line="360" w:lineRule="auto"/>
        <w:ind w:left="0" w:firstLine="0"/>
        <w:rPr>
          <w:rFonts w:hint="eastAsia" w:ascii="宋体" w:hAnsi="宋体" w:eastAsia="宋体" w:cs="宋体"/>
          <w:b w:val="0"/>
          <w:bCs/>
          <w:color w:val="auto"/>
          <w:highlight w:val="none"/>
        </w:rPr>
      </w:pPr>
      <w:r>
        <w:rPr>
          <w:rFonts w:ascii="宋体" w:hAnsi="宋体" w:eastAsia="宋体" w:cs="宋体"/>
          <w:b w:val="0"/>
          <w:bCs/>
          <w:color w:val="auto"/>
          <w:highlight w:val="none"/>
        </w:rPr>
        <w:t>总体要求</w:t>
      </w:r>
    </w:p>
    <w:p w14:paraId="41213480">
      <w:pPr>
        <w:snapToGrid w:val="0"/>
        <w:spacing w:before="0" w:after="0" w:line="360" w:lineRule="auto"/>
        <w:ind w:firstLine="480" w:firstLineChars="200"/>
        <w:rPr>
          <w:rFonts w:hint="eastAsia" w:ascii="宋体" w:hAnsi="宋体" w:eastAsia="宋体" w:cs="宋体"/>
          <w:color w:val="auto"/>
          <w:sz w:val="24"/>
          <w:highlight w:val="none"/>
        </w:rPr>
      </w:pPr>
      <w:r>
        <w:rPr>
          <w:rFonts w:ascii="宋体" w:hAnsi="宋体" w:eastAsia="宋体" w:cs="宋体"/>
          <w:color w:val="auto"/>
          <w:sz w:val="24"/>
          <w:highlight w:val="none"/>
        </w:rPr>
        <w:t>1、结构设计应安全可靠，经济合理；可采用经过实践检验的新工艺、新材料，以节约资金；应满足国家及地方的相应规范、规程及要求，采用可靠的结构体系，先进的工艺和技术。</w:t>
      </w:r>
    </w:p>
    <w:p w14:paraId="31E7E4C6">
      <w:pPr>
        <w:snapToGrid w:val="0"/>
        <w:spacing w:before="0" w:after="0" w:line="360" w:lineRule="auto"/>
        <w:ind w:firstLine="480" w:firstLineChars="200"/>
        <w:rPr>
          <w:rFonts w:hint="eastAsia" w:ascii="宋体" w:hAnsi="宋体" w:eastAsia="宋体" w:cs="宋体"/>
          <w:color w:val="auto"/>
          <w:sz w:val="24"/>
          <w:highlight w:val="none"/>
        </w:rPr>
      </w:pPr>
      <w:r>
        <w:rPr>
          <w:rFonts w:ascii="宋体" w:hAnsi="宋体" w:eastAsia="宋体" w:cs="宋体"/>
          <w:color w:val="auto"/>
          <w:sz w:val="24"/>
          <w:highlight w:val="none"/>
        </w:rPr>
        <w:t>2、抗震设计及结构安全等级应遵循现行的国家规范、规程与广州市地方标准。</w:t>
      </w:r>
    </w:p>
    <w:p w14:paraId="28404457">
      <w:pPr>
        <w:snapToGrid w:val="0"/>
        <w:spacing w:before="0" w:after="0" w:line="360" w:lineRule="auto"/>
        <w:ind w:firstLine="480" w:firstLineChars="200"/>
        <w:rPr>
          <w:rFonts w:hint="eastAsia" w:ascii="宋体" w:hAnsi="宋体" w:eastAsia="宋体" w:cs="宋体"/>
          <w:color w:val="auto"/>
          <w:sz w:val="24"/>
          <w:highlight w:val="none"/>
        </w:rPr>
      </w:pPr>
      <w:r>
        <w:rPr>
          <w:rFonts w:ascii="宋体" w:hAnsi="宋体" w:eastAsia="宋体" w:cs="宋体"/>
          <w:color w:val="auto"/>
          <w:sz w:val="24"/>
          <w:highlight w:val="none"/>
        </w:rPr>
        <w:t>3、永久建筑的结构设计工作年限为50年。</w:t>
      </w:r>
    </w:p>
    <w:p w14:paraId="448A913A">
      <w:pPr>
        <w:snapToGrid w:val="0"/>
        <w:spacing w:before="0" w:after="0" w:line="360" w:lineRule="auto"/>
        <w:ind w:firstLine="480" w:firstLineChars="200"/>
        <w:rPr>
          <w:rFonts w:hint="eastAsia" w:ascii="宋体" w:hAnsi="宋体" w:eastAsia="宋体" w:cs="宋体"/>
          <w:color w:val="auto"/>
          <w:sz w:val="24"/>
          <w:highlight w:val="none"/>
        </w:rPr>
      </w:pPr>
      <w:r>
        <w:rPr>
          <w:rFonts w:ascii="宋体" w:hAnsi="宋体" w:eastAsia="宋体" w:cs="宋体"/>
          <w:color w:val="auto"/>
          <w:sz w:val="24"/>
          <w:highlight w:val="none"/>
        </w:rPr>
        <w:t>4、永久建筑应以钢筋混凝土结构为主，超高层建筑也可按需采用钢-混凝土混合结构，临时建筑应以钢结构为主，考虑重复利用的可能性。</w:t>
      </w:r>
    </w:p>
    <w:p w14:paraId="12F22CD3">
      <w:pPr>
        <w:snapToGrid w:val="0"/>
        <w:spacing w:before="0" w:after="0" w:line="360" w:lineRule="auto"/>
        <w:ind w:firstLine="480" w:firstLineChars="200"/>
        <w:rPr>
          <w:rFonts w:hint="eastAsia" w:ascii="宋体" w:hAnsi="宋体" w:eastAsia="宋体" w:cs="宋体"/>
          <w:color w:val="auto"/>
          <w:sz w:val="24"/>
          <w:highlight w:val="none"/>
        </w:rPr>
      </w:pPr>
      <w:r>
        <w:rPr>
          <w:rFonts w:ascii="宋体" w:hAnsi="宋体" w:eastAsia="宋体" w:cs="宋体"/>
          <w:color w:val="auto"/>
          <w:sz w:val="24"/>
          <w:highlight w:val="none"/>
        </w:rPr>
        <w:t>5、地下室长、宽超出规范伸缩缝最大间距要求时，宜首选采用后浇带或加强带等抗裂措施，同时设计院应提交抗裂措施多方案比选报告。</w:t>
      </w:r>
    </w:p>
    <w:p w14:paraId="6FAE4A74">
      <w:pPr>
        <w:snapToGrid w:val="0"/>
        <w:spacing w:before="0" w:after="0" w:line="360" w:lineRule="auto"/>
        <w:ind w:firstLine="480" w:firstLineChars="200"/>
        <w:rPr>
          <w:rFonts w:hint="eastAsia" w:ascii="宋体" w:hAnsi="宋体" w:eastAsia="宋体" w:cs="宋体"/>
          <w:color w:val="auto"/>
          <w:sz w:val="24"/>
          <w:highlight w:val="none"/>
        </w:rPr>
      </w:pPr>
      <w:r>
        <w:rPr>
          <w:rFonts w:ascii="宋体" w:hAnsi="宋体" w:eastAsia="宋体" w:cs="宋体"/>
          <w:color w:val="auto"/>
          <w:sz w:val="24"/>
          <w:highlight w:val="none"/>
        </w:rPr>
        <w:t>6、多塔楼建筑群在±0.00m以上，各塔楼之间宜设置防震缝，做到结构各自独立。</w:t>
      </w:r>
    </w:p>
    <w:p w14:paraId="0C6B4000">
      <w:pPr>
        <w:snapToGrid w:val="0"/>
        <w:spacing w:before="0" w:after="0" w:line="360" w:lineRule="auto"/>
        <w:ind w:firstLine="480" w:firstLineChars="200"/>
        <w:rPr>
          <w:rFonts w:hint="eastAsia" w:ascii="宋体" w:hAnsi="宋体" w:eastAsia="宋体" w:cs="宋体"/>
          <w:strike/>
          <w:color w:val="auto"/>
          <w:sz w:val="24"/>
          <w:highlight w:val="none"/>
        </w:rPr>
      </w:pPr>
      <w:r>
        <w:rPr>
          <w:rFonts w:ascii="宋体" w:hAnsi="宋体" w:eastAsia="宋体" w:cs="宋体"/>
          <w:color w:val="auto"/>
          <w:sz w:val="24"/>
          <w:highlight w:val="none"/>
        </w:rPr>
        <w:t>7、建筑总高度大于200m的高层建筑，应遵循现行的国家规范要求进行风洞试验。</w:t>
      </w:r>
    </w:p>
    <w:p w14:paraId="0982FD38">
      <w:pPr>
        <w:pStyle w:val="5"/>
        <w:snapToGrid w:val="0"/>
        <w:spacing w:line="360" w:lineRule="auto"/>
        <w:ind w:left="0" w:firstLine="0"/>
        <w:rPr>
          <w:rFonts w:ascii="仿宋" w:hAnsi="仿宋" w:eastAsia="仿宋"/>
          <w:color w:val="auto"/>
          <w:highlight w:val="none"/>
        </w:rPr>
      </w:pPr>
      <w:r>
        <w:rPr>
          <w:rFonts w:hint="eastAsia" w:ascii="仿宋" w:hAnsi="仿宋" w:eastAsia="仿宋" w:cs="宋体"/>
          <w:color w:val="auto"/>
          <w:sz w:val="24"/>
          <w:szCs w:val="24"/>
          <w:highlight w:val="none"/>
        </w:rPr>
        <w:t>初步设计阶段</w:t>
      </w:r>
      <w:r>
        <w:rPr>
          <w:rFonts w:hint="eastAsia" w:ascii="仿宋" w:hAnsi="仿宋" w:eastAsia="仿宋" w:cs="宋体"/>
          <w:color w:val="auto"/>
          <w:highlight w:val="none"/>
        </w:rPr>
        <w:t>设计包含但不限于以下内容：</w:t>
      </w:r>
    </w:p>
    <w:p w14:paraId="052E8F74">
      <w:pPr>
        <w:numPr>
          <w:ilvl w:val="0"/>
          <w:numId w:val="2"/>
        </w:numPr>
        <w:spacing w:line="276" w:lineRule="auto"/>
        <w:ind w:left="1335" w:leftChars="472" w:hanging="297" w:hangingChars="135"/>
        <w:rPr>
          <w:rFonts w:hint="eastAsia" w:ascii="仿宋" w:hAnsi="仿宋" w:eastAsia="仿宋" w:cs="宋体"/>
          <w:color w:val="auto"/>
          <w:highlight w:val="none"/>
        </w:rPr>
      </w:pPr>
      <w:r>
        <w:rPr>
          <w:rFonts w:hint="eastAsia" w:ascii="仿宋" w:hAnsi="仿宋" w:eastAsia="仿宋" w:cs="宋体"/>
          <w:color w:val="auto"/>
          <w:highlight w:val="none"/>
        </w:rPr>
        <w:t>方案选型：应根据建筑的使用功能、材料供应、施工条件及进度、自然环境和抗震设防等因素，对地基处理、基础（含抗浮）、地下室结构、上部结构进行多方案的技术及经济比选，完成并通过甲方织的各阶段方案论证。</w:t>
      </w:r>
    </w:p>
    <w:p w14:paraId="66420757">
      <w:pPr>
        <w:numPr>
          <w:ilvl w:val="0"/>
          <w:numId w:val="2"/>
        </w:numPr>
        <w:spacing w:line="276" w:lineRule="auto"/>
        <w:ind w:left="1335" w:leftChars="472" w:hanging="297" w:hangingChars="135"/>
        <w:rPr>
          <w:rFonts w:hint="eastAsia" w:ascii="仿宋" w:hAnsi="仿宋" w:eastAsia="仿宋" w:cs="宋体"/>
          <w:color w:val="auto"/>
          <w:highlight w:val="none"/>
        </w:rPr>
      </w:pPr>
      <w:r>
        <w:rPr>
          <w:rFonts w:hint="eastAsia" w:ascii="仿宋" w:hAnsi="仿宋" w:eastAsia="仿宋" w:cs="宋体"/>
          <w:color w:val="auto"/>
          <w:highlight w:val="none"/>
        </w:rPr>
        <w:t>提交勘察任务书，并提供对勘察成果的技术评审建议或意见。</w:t>
      </w:r>
    </w:p>
    <w:p w14:paraId="0E2094C5">
      <w:pPr>
        <w:numPr>
          <w:ilvl w:val="0"/>
          <w:numId w:val="2"/>
        </w:numPr>
        <w:spacing w:line="276" w:lineRule="auto"/>
        <w:ind w:left="1335" w:leftChars="472" w:hanging="297" w:hangingChars="135"/>
        <w:rPr>
          <w:rFonts w:hint="eastAsia" w:ascii="仿宋" w:hAnsi="仿宋" w:eastAsia="仿宋" w:cs="宋体"/>
          <w:color w:val="auto"/>
          <w:highlight w:val="none"/>
        </w:rPr>
      </w:pPr>
      <w:r>
        <w:rPr>
          <w:rFonts w:hint="eastAsia" w:ascii="仿宋" w:hAnsi="仿宋" w:eastAsia="仿宋" w:cs="宋体"/>
          <w:color w:val="auto"/>
          <w:highlight w:val="none"/>
        </w:rPr>
        <w:t>结构方案应与甲方沟通，得到甲方认可后方可继续设计。</w:t>
      </w:r>
    </w:p>
    <w:p w14:paraId="12F7FCF8">
      <w:pPr>
        <w:numPr>
          <w:ilvl w:val="0"/>
          <w:numId w:val="2"/>
        </w:numPr>
        <w:spacing w:line="276" w:lineRule="auto"/>
        <w:ind w:left="1335" w:leftChars="472" w:hanging="297" w:hangingChars="135"/>
        <w:rPr>
          <w:rFonts w:hint="eastAsia" w:ascii="仿宋" w:hAnsi="仿宋" w:eastAsia="仿宋" w:cs="宋体"/>
          <w:color w:val="auto"/>
          <w:highlight w:val="none"/>
        </w:rPr>
      </w:pPr>
      <w:r>
        <w:rPr>
          <w:rFonts w:hint="eastAsia" w:ascii="仿宋" w:hAnsi="仿宋" w:eastAsia="仿宋" w:cs="宋体"/>
          <w:color w:val="auto"/>
          <w:highlight w:val="none"/>
        </w:rPr>
        <w:t>完成合同范围内全部建筑（含建筑、构筑物、连廊等）的主体结构与地基基础计算分析，对于体型复杂的结构，结构计算应根据需要采用不同力学模型软件进行相互校核比对，并提供相应计算模型和计算书。绘制初步设计图纸（包含各层结构平面布置图，主要结构剖面图，典型的节点详图）。对于钢结构，应给出详细平面布置图、立面图、重要的节点详图。完成主体结构振动舒适度分析及设计。对复杂结构施工提供建议及相关分析。</w:t>
      </w:r>
    </w:p>
    <w:p w14:paraId="4EB080CC">
      <w:pPr>
        <w:numPr>
          <w:ilvl w:val="0"/>
          <w:numId w:val="2"/>
        </w:numPr>
        <w:spacing w:line="276" w:lineRule="auto"/>
        <w:ind w:left="1335" w:leftChars="472" w:hanging="297" w:hangingChars="135"/>
        <w:rPr>
          <w:rFonts w:hint="eastAsia" w:ascii="仿宋" w:hAnsi="仿宋" w:eastAsia="仿宋" w:cs="宋体"/>
          <w:color w:val="auto"/>
          <w:highlight w:val="none"/>
        </w:rPr>
      </w:pPr>
      <w:r>
        <w:rPr>
          <w:rFonts w:hint="eastAsia" w:ascii="仿宋" w:hAnsi="仿宋" w:eastAsia="仿宋" w:cs="宋体"/>
          <w:color w:val="auto"/>
          <w:highlight w:val="none"/>
        </w:rPr>
        <w:t>尽量避免结构超限，如无法避免，及时与甲方沟通后，一次性完成并通过结构超限审查（包含所需的各种补充计算分析工作）。</w:t>
      </w:r>
    </w:p>
    <w:p w14:paraId="6449EF9E">
      <w:pPr>
        <w:numPr>
          <w:ilvl w:val="0"/>
          <w:numId w:val="2"/>
        </w:numPr>
        <w:spacing w:line="276" w:lineRule="auto"/>
        <w:ind w:left="1335" w:leftChars="472" w:hanging="297" w:hangingChars="135"/>
        <w:rPr>
          <w:rFonts w:hint="eastAsia" w:ascii="仿宋" w:hAnsi="仿宋" w:eastAsia="仿宋" w:cs="宋体"/>
          <w:color w:val="auto"/>
          <w:highlight w:val="none"/>
        </w:rPr>
      </w:pPr>
      <w:r>
        <w:rPr>
          <w:rFonts w:hint="eastAsia" w:ascii="仿宋" w:hAnsi="仿宋" w:eastAsia="仿宋" w:cs="宋体"/>
          <w:color w:val="auto"/>
          <w:highlight w:val="none"/>
        </w:rPr>
        <w:t>结构设计负责人需提供《结构专业设计统一技术措施》以供业主确认。项目组各结构设计人员应始终保持技术措施、设计概念的一致性：在结构布置、构件选型、材料选用以及构造做法等结构技术措施上应协调一致，避免差异。统一技术措施包含且不限于以下内容：1）模型分析与设计的参数定义；2）设计荷载取值；3）结构计算的总体控制要求；4）后浇带的设置；5) 地基方案及基础选型；6) 地下室及上部结构的结构布置方案；7）各部位材料选用；8）各部位主要结构尺寸；</w:t>
      </w:r>
    </w:p>
    <w:p w14:paraId="6E9CDF67">
      <w:pPr>
        <w:numPr>
          <w:ilvl w:val="0"/>
          <w:numId w:val="2"/>
        </w:numPr>
        <w:spacing w:line="276" w:lineRule="auto"/>
        <w:ind w:left="1335" w:leftChars="472" w:hanging="297" w:hangingChars="135"/>
        <w:rPr>
          <w:rFonts w:hint="eastAsia" w:ascii="仿宋" w:hAnsi="仿宋" w:eastAsia="仿宋" w:cs="宋体"/>
          <w:color w:val="auto"/>
          <w:highlight w:val="none"/>
        </w:rPr>
      </w:pPr>
      <w:r>
        <w:rPr>
          <w:rFonts w:hint="eastAsia" w:ascii="仿宋" w:hAnsi="仿宋" w:eastAsia="仿宋" w:cs="宋体"/>
          <w:color w:val="auto"/>
          <w:highlight w:val="none"/>
        </w:rPr>
        <w:t>满足国家、广东省、广州市及甲方等对装配率的要求。</w:t>
      </w:r>
    </w:p>
    <w:p w14:paraId="7AC5E7D9">
      <w:pPr>
        <w:pStyle w:val="5"/>
        <w:snapToGrid w:val="0"/>
        <w:spacing w:line="360" w:lineRule="auto"/>
        <w:ind w:left="0" w:firstLine="0"/>
        <w:rPr>
          <w:rFonts w:hint="eastAsia" w:ascii="宋体" w:hAnsi="宋体" w:eastAsia="宋体" w:cs="宋体"/>
          <w:b w:val="0"/>
          <w:bCs/>
          <w:color w:val="auto"/>
          <w:highlight w:val="none"/>
        </w:rPr>
      </w:pPr>
      <w:r>
        <w:rPr>
          <w:rFonts w:ascii="宋体" w:hAnsi="宋体" w:eastAsia="宋体" w:cs="宋体"/>
          <w:b w:val="0"/>
          <w:bCs/>
          <w:color w:val="auto"/>
          <w:highlight w:val="none"/>
        </w:rPr>
        <w:t>结构其他要求</w:t>
      </w:r>
    </w:p>
    <w:p w14:paraId="155C7A3A">
      <w:pPr>
        <w:snapToGrid w:val="0"/>
        <w:spacing w:before="0" w:after="0" w:line="360" w:lineRule="auto"/>
        <w:ind w:firstLine="480" w:firstLineChars="200"/>
        <w:rPr>
          <w:rFonts w:hint="eastAsia" w:ascii="宋体" w:hAnsi="宋体" w:eastAsia="宋体" w:cs="宋体"/>
          <w:color w:val="auto"/>
          <w:sz w:val="24"/>
          <w:highlight w:val="none"/>
        </w:rPr>
      </w:pPr>
      <w:r>
        <w:rPr>
          <w:rFonts w:ascii="宋体" w:hAnsi="宋体" w:eastAsia="宋体" w:cs="宋体"/>
          <w:color w:val="auto"/>
          <w:sz w:val="24"/>
          <w:highlight w:val="none"/>
        </w:rPr>
        <w:t>1、混凝土：主体结构混凝土强度等级不得低于C25。</w:t>
      </w:r>
    </w:p>
    <w:p w14:paraId="17C9C96E">
      <w:pPr>
        <w:snapToGrid w:val="0"/>
        <w:spacing w:before="0" w:after="0" w:line="360" w:lineRule="auto"/>
        <w:ind w:firstLine="480" w:firstLineChars="200"/>
        <w:rPr>
          <w:rFonts w:hint="eastAsia" w:ascii="宋体" w:hAnsi="宋体" w:eastAsia="宋体" w:cs="宋体"/>
          <w:color w:val="auto"/>
          <w:sz w:val="24"/>
          <w:highlight w:val="none"/>
        </w:rPr>
      </w:pPr>
      <w:r>
        <w:rPr>
          <w:rFonts w:ascii="宋体" w:hAnsi="宋体" w:eastAsia="宋体" w:cs="宋体"/>
          <w:color w:val="auto"/>
          <w:sz w:val="24"/>
          <w:highlight w:val="none"/>
        </w:rPr>
        <w:t>2、钢筋：受力钢筋应采用HRB400，fy=360N/mm2及HRB500，fy=435N/mm2。非受力的构造钢筋，可采用HRB300（Ⅰ级钢），fy=270N/mm2。公共建筑不得采用冷轧带肋钢筋和焊接钢筋网。</w:t>
      </w:r>
    </w:p>
    <w:p w14:paraId="334149F1">
      <w:pPr>
        <w:snapToGrid w:val="0"/>
        <w:spacing w:before="0" w:after="0" w:line="360" w:lineRule="auto"/>
        <w:ind w:firstLine="480" w:firstLineChars="200"/>
        <w:rPr>
          <w:rFonts w:hint="eastAsia" w:ascii="宋体" w:hAnsi="宋体" w:eastAsia="宋体" w:cs="宋体"/>
          <w:color w:val="auto"/>
          <w:sz w:val="24"/>
          <w:highlight w:val="none"/>
        </w:rPr>
      </w:pPr>
      <w:r>
        <w:rPr>
          <w:rFonts w:ascii="宋体" w:hAnsi="宋体" w:eastAsia="宋体" w:cs="宋体"/>
          <w:color w:val="auto"/>
          <w:sz w:val="24"/>
          <w:highlight w:val="none"/>
        </w:rPr>
        <w:t>3、非承重墙体宜采用蒸压加气混凝土砌块，自重≤10KN/m³。外墙砌块强度不得小于A5.0，内墙砌块强度不得小于A3.5。砌体干燥收缩率应≤0.4mm/m。</w:t>
      </w:r>
    </w:p>
    <w:p w14:paraId="6ABE793E">
      <w:pPr>
        <w:snapToGrid w:val="0"/>
        <w:spacing w:before="0" w:after="0" w:line="360" w:lineRule="auto"/>
        <w:ind w:firstLine="480" w:firstLineChars="200"/>
        <w:rPr>
          <w:rFonts w:hint="eastAsia" w:ascii="宋体" w:hAnsi="宋体" w:eastAsia="宋体" w:cs="宋体"/>
          <w:color w:val="auto"/>
          <w:sz w:val="24"/>
          <w:highlight w:val="none"/>
        </w:rPr>
      </w:pPr>
      <w:r>
        <w:rPr>
          <w:rFonts w:ascii="宋体" w:hAnsi="宋体" w:eastAsia="宋体" w:cs="宋体"/>
          <w:color w:val="auto"/>
          <w:sz w:val="24"/>
          <w:highlight w:val="none"/>
        </w:rPr>
        <w:t>4、柱子截面应由轴压比控制，截面形式按建筑要求。每次收缩截面时，每个方向一般一次收缩不宜超过100mm。</w:t>
      </w:r>
    </w:p>
    <w:p w14:paraId="283E1F6F">
      <w:pPr>
        <w:snapToGrid w:val="0"/>
        <w:spacing w:before="0" w:after="0" w:line="360" w:lineRule="auto"/>
        <w:ind w:firstLine="480" w:firstLineChars="200"/>
        <w:rPr>
          <w:rFonts w:hint="eastAsia" w:ascii="宋体" w:hAnsi="宋体" w:eastAsia="宋体" w:cs="宋体"/>
          <w:color w:val="auto"/>
          <w:sz w:val="24"/>
          <w:highlight w:val="none"/>
        </w:rPr>
      </w:pPr>
      <w:r>
        <w:rPr>
          <w:rFonts w:ascii="宋体" w:hAnsi="宋体" w:eastAsia="宋体" w:cs="宋体"/>
          <w:color w:val="auto"/>
          <w:sz w:val="24"/>
          <w:highlight w:val="none"/>
        </w:rPr>
        <w:t>5、桩基础设计，应同时提交基础选型的经济技术多方案比选专题报告。</w:t>
      </w:r>
    </w:p>
    <w:p w14:paraId="7248ABFB">
      <w:pPr>
        <w:snapToGrid w:val="0"/>
        <w:spacing w:before="0" w:after="0" w:line="360" w:lineRule="auto"/>
        <w:ind w:firstLine="480" w:firstLineChars="200"/>
        <w:rPr>
          <w:rFonts w:hint="eastAsia" w:ascii="宋体" w:hAnsi="宋体" w:eastAsia="宋体" w:cs="宋体"/>
          <w:color w:val="auto"/>
          <w:sz w:val="24"/>
          <w:highlight w:val="none"/>
        </w:rPr>
      </w:pPr>
      <w:r>
        <w:rPr>
          <w:rFonts w:ascii="宋体" w:hAnsi="宋体" w:eastAsia="宋体" w:cs="宋体"/>
          <w:color w:val="auto"/>
          <w:sz w:val="24"/>
          <w:highlight w:val="none"/>
        </w:rPr>
        <w:t>6、选用静压预应力管桩基础形式时，应根据地质情况，采用复压等措施确保桩的承载力。预应力管桩桩端嵌入遇水易软化的强风化岩、全风化岩和非饱和土时，桩端应采用C20微膨胀细石混凝土进行填芯，填芯高度1.5m~2m。</w:t>
      </w:r>
    </w:p>
    <w:p w14:paraId="68FAA109">
      <w:pPr>
        <w:pStyle w:val="4"/>
        <w:snapToGrid w:val="0"/>
        <w:spacing w:before="100" w:after="100" w:line="360" w:lineRule="auto"/>
        <w:ind w:left="0" w:firstLine="0"/>
        <w:rPr>
          <w:color w:val="auto"/>
          <w:highlight w:val="none"/>
        </w:rPr>
      </w:pPr>
      <w:bookmarkStart w:id="57" w:name="_Toc5542"/>
      <w:r>
        <w:rPr>
          <w:rFonts w:ascii="宋体" w:hAnsi="宋体" w:eastAsia="宋体" w:cs="宋体"/>
          <w:color w:val="auto"/>
          <w:highlight w:val="none"/>
        </w:rPr>
        <w:t>室外工程设计要求</w:t>
      </w:r>
      <w:bookmarkEnd w:id="57"/>
    </w:p>
    <w:p w14:paraId="7200C2FD">
      <w:pPr>
        <w:pStyle w:val="5"/>
        <w:snapToGrid w:val="0"/>
        <w:spacing w:line="360" w:lineRule="auto"/>
        <w:ind w:left="0" w:firstLine="0"/>
        <w:rPr>
          <w:rFonts w:hint="eastAsia" w:ascii="宋体" w:hAnsi="宋体" w:eastAsia="宋体" w:cs="宋体"/>
          <w:b w:val="0"/>
          <w:bCs/>
          <w:color w:val="auto"/>
          <w:highlight w:val="none"/>
        </w:rPr>
      </w:pPr>
      <w:r>
        <w:rPr>
          <w:rFonts w:ascii="宋体" w:hAnsi="宋体" w:eastAsia="宋体" w:cs="宋体"/>
          <w:b w:val="0"/>
          <w:bCs/>
          <w:color w:val="auto"/>
          <w:highlight w:val="none"/>
        </w:rPr>
        <w:t>室外广场</w:t>
      </w:r>
    </w:p>
    <w:p w14:paraId="22455341">
      <w:pPr>
        <w:snapToGrid w:val="0"/>
        <w:spacing w:before="0" w:after="0" w:line="360" w:lineRule="auto"/>
        <w:ind w:firstLine="480" w:firstLineChars="200"/>
        <w:rPr>
          <w:rFonts w:hint="eastAsia" w:ascii="宋体" w:hAnsi="宋体" w:eastAsia="宋体" w:cs="宋体"/>
          <w:color w:val="auto"/>
          <w:sz w:val="24"/>
          <w:highlight w:val="none"/>
        </w:rPr>
      </w:pPr>
      <w:r>
        <w:rPr>
          <w:rFonts w:ascii="宋体" w:hAnsi="宋体" w:eastAsia="宋体" w:cs="宋体"/>
          <w:color w:val="auto"/>
          <w:sz w:val="24"/>
          <w:highlight w:val="none"/>
        </w:rPr>
        <w:t>室外广场石与侧平石等采用石材，按《广州市政府投资项目天然石材应用指引》和《广州市重点公共建设项目风景园林工程技术指引（铺装篇）》（详见附件11）要求设计施工。广场石材铺贴方案要求大方、整体性强，不宜采用拼花形式；若采用非石材或采用拼花形式，应专题报招标人同意。室外铺装不宜采用密缝铺贴方式，设计单位应根据功能和材料具体情况设计铺装缝尺寸，出具详细完整的铺装图，室外铺装详细方案图须单独报招标人确认。</w:t>
      </w:r>
    </w:p>
    <w:p w14:paraId="5897BB74">
      <w:pPr>
        <w:pStyle w:val="5"/>
        <w:snapToGrid w:val="0"/>
        <w:spacing w:line="360" w:lineRule="auto"/>
        <w:ind w:left="0" w:firstLine="0"/>
        <w:rPr>
          <w:rFonts w:hint="eastAsia" w:ascii="宋体" w:hAnsi="宋体" w:eastAsia="宋体" w:cs="宋体"/>
          <w:b w:val="0"/>
          <w:bCs/>
          <w:color w:val="auto"/>
          <w:highlight w:val="none"/>
        </w:rPr>
      </w:pPr>
      <w:r>
        <w:rPr>
          <w:rFonts w:ascii="宋体" w:hAnsi="宋体" w:eastAsia="宋体" w:cs="宋体"/>
          <w:b w:val="0"/>
          <w:bCs/>
          <w:color w:val="auto"/>
          <w:highlight w:val="none"/>
        </w:rPr>
        <w:t>室外管网</w:t>
      </w:r>
    </w:p>
    <w:p w14:paraId="4FFF3EFC">
      <w:pPr>
        <w:snapToGrid w:val="0"/>
        <w:spacing w:before="0" w:after="0" w:line="360" w:lineRule="auto"/>
        <w:ind w:firstLine="480" w:firstLineChars="200"/>
        <w:rPr>
          <w:rFonts w:hint="eastAsia" w:ascii="宋体" w:hAnsi="宋体" w:eastAsia="宋体" w:cs="宋体"/>
          <w:color w:val="auto"/>
          <w:sz w:val="24"/>
          <w:highlight w:val="none"/>
        </w:rPr>
      </w:pPr>
      <w:r>
        <w:rPr>
          <w:rFonts w:ascii="宋体" w:hAnsi="宋体" w:eastAsia="宋体" w:cs="宋体"/>
          <w:color w:val="auto"/>
          <w:sz w:val="24"/>
          <w:highlight w:val="none"/>
        </w:rPr>
        <w:t>红线内室外管网新建工程及管线迁移工程，包括水、电、燃气等的接入与迁移工程。</w:t>
      </w:r>
    </w:p>
    <w:p w14:paraId="0E202E54">
      <w:pPr>
        <w:snapToGrid w:val="0"/>
        <w:spacing w:before="0" w:after="0" w:line="360" w:lineRule="auto"/>
        <w:ind w:firstLine="480" w:firstLineChars="200"/>
        <w:rPr>
          <w:rFonts w:hint="eastAsia" w:ascii="宋体" w:hAnsi="宋体" w:eastAsia="宋体" w:cs="宋体"/>
          <w:color w:val="auto"/>
          <w:sz w:val="24"/>
          <w:highlight w:val="none"/>
        </w:rPr>
      </w:pPr>
      <w:r>
        <w:rPr>
          <w:rFonts w:ascii="宋体" w:hAnsi="宋体" w:eastAsia="宋体" w:cs="宋体"/>
          <w:color w:val="auto"/>
          <w:sz w:val="24"/>
          <w:highlight w:val="none"/>
        </w:rPr>
        <w:t>道路照明按《广州市城市道路照明设施移交管理办法》和《广州市照明建设管理中心关于拟移交中心管养道路的照明项目有关要求的函(穗照明函[2015]44号)》的要求进行设计。</w:t>
      </w:r>
    </w:p>
    <w:p w14:paraId="039E0BC2">
      <w:pPr>
        <w:snapToGrid w:val="0"/>
        <w:spacing w:before="0" w:after="0" w:line="360" w:lineRule="auto"/>
        <w:ind w:firstLine="480" w:firstLineChars="200"/>
        <w:rPr>
          <w:rFonts w:hint="eastAsia" w:ascii="宋体" w:hAnsi="宋体" w:eastAsia="宋体" w:cs="宋体"/>
          <w:color w:val="auto"/>
          <w:sz w:val="24"/>
          <w:highlight w:val="none"/>
        </w:rPr>
      </w:pPr>
      <w:r>
        <w:rPr>
          <w:rFonts w:ascii="宋体" w:hAnsi="宋体" w:eastAsia="宋体" w:cs="宋体"/>
          <w:color w:val="auto"/>
          <w:sz w:val="24"/>
          <w:highlight w:val="none"/>
        </w:rPr>
        <w:t>井盖设施的设计应当执行国家、省、市技术标准和规范，并满足《广州市井盖设施管理试行办法》、《广州城市道路井盖建设实施指引》的要求。井盖和井壁应当标明井盖设施权属单位名称和报修电话。</w:t>
      </w:r>
    </w:p>
    <w:p w14:paraId="6135D0A4">
      <w:pPr>
        <w:pStyle w:val="5"/>
        <w:snapToGrid w:val="0"/>
        <w:spacing w:line="360" w:lineRule="auto"/>
        <w:ind w:left="0" w:firstLine="0"/>
        <w:rPr>
          <w:rFonts w:hint="eastAsia" w:ascii="宋体" w:hAnsi="宋体" w:eastAsia="宋体" w:cs="宋体"/>
          <w:b w:val="0"/>
          <w:bCs/>
          <w:color w:val="auto"/>
          <w:highlight w:val="none"/>
        </w:rPr>
      </w:pPr>
      <w:r>
        <w:rPr>
          <w:rFonts w:ascii="宋体" w:hAnsi="宋体" w:eastAsia="宋体" w:cs="宋体"/>
          <w:b w:val="0"/>
          <w:bCs/>
          <w:color w:val="auto"/>
          <w:highlight w:val="none"/>
        </w:rPr>
        <w:t>室外照明</w:t>
      </w:r>
    </w:p>
    <w:p w14:paraId="68920223">
      <w:pPr>
        <w:snapToGrid w:val="0"/>
        <w:spacing w:before="0" w:after="0" w:line="360" w:lineRule="auto"/>
        <w:ind w:firstLine="480" w:firstLineChars="200"/>
        <w:rPr>
          <w:color w:val="auto"/>
          <w:highlight w:val="none"/>
        </w:rPr>
      </w:pPr>
      <w:r>
        <w:rPr>
          <w:rFonts w:ascii="宋体" w:hAnsi="宋体" w:eastAsia="宋体" w:cs="宋体"/>
          <w:color w:val="auto"/>
          <w:sz w:val="24"/>
          <w:highlight w:val="none"/>
        </w:rPr>
        <w:t>室外广场设高杆照明，道路照明采用马路弯灯，绿地设草坪灯及绿化景观灯，建筑物立面设泛光照明。泛光照明需进行方案比较，报招标人确认。</w:t>
      </w:r>
    </w:p>
    <w:p w14:paraId="4468DB65">
      <w:pPr>
        <w:pStyle w:val="4"/>
        <w:snapToGrid w:val="0"/>
        <w:spacing w:before="100" w:after="100" w:line="360" w:lineRule="auto"/>
        <w:ind w:left="0" w:firstLine="0"/>
        <w:rPr>
          <w:color w:val="auto"/>
          <w:sz w:val="24"/>
          <w:szCs w:val="22"/>
          <w:highlight w:val="none"/>
        </w:rPr>
      </w:pPr>
      <w:bookmarkStart w:id="58" w:name="_Toc18997"/>
      <w:r>
        <w:rPr>
          <w:rFonts w:ascii="宋体" w:hAnsi="宋体" w:eastAsia="宋体" w:cs="宋体"/>
          <w:color w:val="auto"/>
          <w:sz w:val="24"/>
          <w:szCs w:val="22"/>
          <w:highlight w:val="none"/>
        </w:rPr>
        <w:t>给排水设计要求</w:t>
      </w:r>
      <w:bookmarkEnd w:id="58"/>
    </w:p>
    <w:p w14:paraId="05B59400">
      <w:pPr>
        <w:snapToGrid w:val="0"/>
        <w:spacing w:before="0" w:after="0" w:line="360" w:lineRule="auto"/>
        <w:ind w:firstLine="480" w:firstLineChars="200"/>
        <w:rPr>
          <w:rFonts w:hint="eastAsia" w:ascii="宋体" w:hAnsi="宋体" w:eastAsia="宋体" w:cs="宋体"/>
          <w:color w:val="auto"/>
          <w:sz w:val="24"/>
          <w:highlight w:val="none"/>
        </w:rPr>
      </w:pPr>
      <w:r>
        <w:rPr>
          <w:rFonts w:ascii="宋体" w:hAnsi="宋体" w:eastAsia="宋体" w:cs="宋体"/>
          <w:color w:val="auto"/>
          <w:sz w:val="24"/>
          <w:highlight w:val="none"/>
        </w:rPr>
        <w:t>1、明确给水量、消防水量和污水、废水量、供水方式，应充分利用市政水压,水质应符合中国卫生标准；考虑餐饮、员工食堂、商业用水等污水排放，考虑油污水处理，隔油池、化粪池等须充分满足运营后的使用要求，并保证满足环保相关要求;明确消防水系统的范围和分区，考虑特殊场所的针对性消防设施。</w:t>
      </w:r>
    </w:p>
    <w:p w14:paraId="21FB8377">
      <w:pPr>
        <w:snapToGrid w:val="0"/>
        <w:spacing w:before="0" w:after="0" w:line="360" w:lineRule="auto"/>
        <w:ind w:firstLine="480" w:firstLineChars="200"/>
        <w:rPr>
          <w:rFonts w:hint="eastAsia" w:ascii="宋体" w:hAnsi="宋体" w:eastAsia="宋体" w:cs="宋体"/>
          <w:color w:val="auto"/>
          <w:sz w:val="24"/>
          <w:highlight w:val="none"/>
        </w:rPr>
      </w:pPr>
      <w:r>
        <w:rPr>
          <w:rFonts w:ascii="宋体" w:hAnsi="宋体" w:eastAsia="宋体" w:cs="宋体"/>
          <w:color w:val="auto"/>
          <w:sz w:val="24"/>
          <w:highlight w:val="none"/>
        </w:rPr>
        <w:t>2、竖向排水的考虑：平面规划设计应提供场地与建筑的竖向标高，地面标高不得低于城建标高，需综合考虑竖向排水，满足海绵城市要求，在符合绿建设计的前提下尽量节约成本。</w:t>
      </w:r>
    </w:p>
    <w:p w14:paraId="48EF404D">
      <w:pPr>
        <w:snapToGrid w:val="0"/>
        <w:spacing w:before="0" w:after="0" w:line="360" w:lineRule="auto"/>
        <w:ind w:firstLine="480" w:firstLineChars="200"/>
        <w:rPr>
          <w:rFonts w:hint="eastAsia" w:ascii="宋体" w:hAnsi="宋体" w:eastAsia="宋体" w:cs="宋体"/>
          <w:color w:val="auto"/>
          <w:sz w:val="24"/>
          <w:highlight w:val="none"/>
        </w:rPr>
      </w:pPr>
      <w:r>
        <w:rPr>
          <w:rFonts w:ascii="宋体" w:hAnsi="宋体" w:eastAsia="宋体" w:cs="宋体"/>
          <w:color w:val="auto"/>
          <w:sz w:val="24"/>
          <w:highlight w:val="none"/>
        </w:rPr>
        <w:t>3、应结合地形处理好场地与外部道路的高差，以及地块内部场地排水问题。必须处理好场地与建筑内部的高差，建筑周围不应有积水，排水通畅。</w:t>
      </w:r>
    </w:p>
    <w:p w14:paraId="1D829C2C">
      <w:pPr>
        <w:snapToGrid w:val="0"/>
        <w:spacing w:before="0" w:after="0" w:line="360" w:lineRule="auto"/>
        <w:ind w:firstLine="480" w:firstLineChars="200"/>
        <w:rPr>
          <w:rFonts w:hint="eastAsia" w:ascii="宋体" w:hAnsi="宋体" w:eastAsia="宋体" w:cs="宋体"/>
          <w:color w:val="auto"/>
          <w:sz w:val="24"/>
          <w:highlight w:val="none"/>
        </w:rPr>
      </w:pPr>
      <w:r>
        <w:rPr>
          <w:rFonts w:ascii="宋体" w:hAnsi="宋体" w:eastAsia="宋体" w:cs="宋体"/>
          <w:color w:val="auto"/>
          <w:sz w:val="24"/>
          <w:highlight w:val="none"/>
        </w:rPr>
        <w:t>4、水专业总图设计应考虑场地内雨水管网系统，海绵城市设计要求，场地内必须的设备管道及化粪池等应尽量隐蔽，且应注意安全问题。</w:t>
      </w:r>
    </w:p>
    <w:p w14:paraId="36AE016D">
      <w:pPr>
        <w:snapToGrid w:val="0"/>
        <w:spacing w:before="0" w:after="0" w:line="360" w:lineRule="auto"/>
        <w:ind w:firstLine="480" w:firstLineChars="200"/>
        <w:rPr>
          <w:rFonts w:hint="eastAsia" w:ascii="宋体" w:hAnsi="宋体" w:eastAsia="宋体" w:cs="宋体"/>
          <w:color w:val="auto"/>
          <w:sz w:val="24"/>
          <w:highlight w:val="none"/>
        </w:rPr>
      </w:pPr>
      <w:r>
        <w:rPr>
          <w:rFonts w:ascii="宋体" w:hAnsi="宋体" w:eastAsia="宋体" w:cs="宋体"/>
          <w:color w:val="auto"/>
          <w:sz w:val="24"/>
          <w:highlight w:val="none"/>
        </w:rPr>
        <w:t>5、供水系统：考虑冷热水供应系统，如绿建需求考虑中水处理系统则一并考虑设计。</w:t>
      </w:r>
    </w:p>
    <w:p w14:paraId="4C798A57">
      <w:pPr>
        <w:snapToGrid w:val="0"/>
        <w:spacing w:before="0" w:after="0" w:line="360" w:lineRule="auto"/>
        <w:ind w:firstLine="480" w:firstLineChars="200"/>
        <w:rPr>
          <w:rFonts w:hint="eastAsia" w:ascii="宋体" w:hAnsi="宋体" w:eastAsia="宋体" w:cs="宋体"/>
          <w:color w:val="auto"/>
          <w:sz w:val="24"/>
          <w:highlight w:val="none"/>
        </w:rPr>
      </w:pPr>
      <w:r>
        <w:rPr>
          <w:rFonts w:ascii="宋体" w:hAnsi="宋体" w:eastAsia="宋体" w:cs="宋体"/>
          <w:color w:val="auto"/>
          <w:sz w:val="24"/>
          <w:highlight w:val="none"/>
        </w:rPr>
        <w:t>6、应考虑所有地下室斜坡车道的排水系统及地下室车道口的防淹措施。</w:t>
      </w:r>
    </w:p>
    <w:p w14:paraId="6DBCF9FA">
      <w:pPr>
        <w:pStyle w:val="4"/>
        <w:snapToGrid w:val="0"/>
        <w:spacing w:before="100" w:after="100" w:line="360" w:lineRule="auto"/>
        <w:ind w:left="0" w:firstLine="0"/>
        <w:rPr>
          <w:rFonts w:hint="eastAsia" w:ascii="宋体" w:hAnsi="宋体" w:eastAsia="宋体" w:cs="宋体"/>
          <w:color w:val="auto"/>
          <w:sz w:val="24"/>
          <w:szCs w:val="22"/>
          <w:highlight w:val="none"/>
        </w:rPr>
      </w:pPr>
      <w:bookmarkStart w:id="59" w:name="_Toc18688"/>
      <w:r>
        <w:rPr>
          <w:rFonts w:ascii="宋体" w:hAnsi="宋体" w:eastAsia="宋体" w:cs="宋体"/>
          <w:color w:val="auto"/>
          <w:sz w:val="24"/>
          <w:szCs w:val="22"/>
          <w:highlight w:val="none"/>
        </w:rPr>
        <w:t>电气设计要求</w:t>
      </w:r>
      <w:bookmarkEnd w:id="59"/>
    </w:p>
    <w:p w14:paraId="05CEEBE0">
      <w:pPr>
        <w:pStyle w:val="5"/>
        <w:snapToGrid w:val="0"/>
        <w:spacing w:line="360" w:lineRule="auto"/>
        <w:ind w:left="0" w:firstLine="0"/>
        <w:rPr>
          <w:color w:val="auto"/>
          <w:highlight w:val="none"/>
        </w:rPr>
      </w:pPr>
      <w:r>
        <w:rPr>
          <w:rFonts w:ascii="宋体" w:hAnsi="宋体" w:eastAsia="宋体" w:cs="宋体"/>
          <w:color w:val="auto"/>
          <w:highlight w:val="none"/>
        </w:rPr>
        <w:t>变压器选择</w:t>
      </w:r>
    </w:p>
    <w:p w14:paraId="6E3BB42F">
      <w:pPr>
        <w:spacing w:before="0" w:after="0"/>
        <w:jc w:val="left"/>
        <w:rPr>
          <w:rFonts w:hint="eastAsia" w:ascii="宋体" w:hAnsi="宋体" w:eastAsia="宋体" w:cs="宋体"/>
          <w:color w:val="auto"/>
          <w:highlight w:val="none"/>
        </w:rPr>
      </w:pPr>
      <w:r>
        <w:rPr>
          <w:rFonts w:hint="eastAsia" w:ascii="宋体" w:hAnsi="宋体" w:eastAsia="宋体" w:cs="宋体"/>
          <w:color w:val="auto"/>
          <w:highlight w:val="none"/>
        </w:rPr>
        <w:t>1、变压器容量选择原则：</w:t>
      </w:r>
    </w:p>
    <w:p w14:paraId="037C57AE">
      <w:pPr>
        <w:snapToGrid w:val="0"/>
        <w:spacing w:before="0" w:after="0" w:line="360" w:lineRule="auto"/>
        <w:ind w:firstLine="480" w:firstLineChars="200"/>
        <w:rPr>
          <w:rFonts w:hint="eastAsia" w:ascii="宋体" w:hAnsi="宋体" w:eastAsia="宋体" w:cs="宋体"/>
          <w:color w:val="auto"/>
          <w:sz w:val="24"/>
          <w:highlight w:val="none"/>
        </w:rPr>
      </w:pPr>
      <w:r>
        <w:rPr>
          <w:rFonts w:ascii="宋体" w:hAnsi="宋体" w:eastAsia="宋体" w:cs="宋体"/>
          <w:color w:val="auto"/>
          <w:sz w:val="24"/>
          <w:highlight w:val="none"/>
        </w:rPr>
        <w:t>（1）专用变压器容量选择：配电变压器的长期工作负荷宜在75%~85%之间，单台变压器容量不宜大于2000KVA，当仅有一台时，不宜大于1250KVA。</w:t>
      </w:r>
    </w:p>
    <w:p w14:paraId="543C5134">
      <w:pPr>
        <w:spacing w:before="0" w:after="0"/>
        <w:jc w:val="left"/>
        <w:rPr>
          <w:rFonts w:hint="eastAsia" w:ascii="宋体" w:hAnsi="宋体" w:eastAsia="宋体" w:cs="宋体"/>
          <w:color w:val="auto"/>
          <w:highlight w:val="none"/>
        </w:rPr>
      </w:pPr>
      <w:r>
        <w:rPr>
          <w:rFonts w:hint="eastAsia" w:ascii="宋体" w:hAnsi="宋体" w:eastAsia="宋体" w:cs="宋体"/>
          <w:color w:val="auto"/>
          <w:highlight w:val="none"/>
        </w:rPr>
        <w:t>2、应选用SCB14型干式配电变压器。</w:t>
      </w:r>
    </w:p>
    <w:p w14:paraId="29040B10">
      <w:pPr>
        <w:pStyle w:val="5"/>
        <w:snapToGrid w:val="0"/>
        <w:spacing w:line="360" w:lineRule="auto"/>
        <w:ind w:left="0" w:firstLine="0"/>
        <w:rPr>
          <w:rFonts w:hint="eastAsia" w:ascii="宋体" w:hAnsi="宋体" w:eastAsia="宋体" w:cs="宋体"/>
          <w:color w:val="auto"/>
          <w:highlight w:val="none"/>
        </w:rPr>
      </w:pPr>
      <w:r>
        <w:rPr>
          <w:rFonts w:ascii="宋体" w:hAnsi="宋体" w:eastAsia="宋体" w:cs="宋体"/>
          <w:color w:val="auto"/>
          <w:highlight w:val="none"/>
        </w:rPr>
        <w:t>电能计量</w:t>
      </w:r>
    </w:p>
    <w:p w14:paraId="1B29301E">
      <w:pPr>
        <w:snapToGrid w:val="0"/>
        <w:spacing w:before="0" w:after="0" w:line="360" w:lineRule="auto"/>
        <w:ind w:firstLine="566" w:firstLineChars="236"/>
        <w:rPr>
          <w:color w:val="auto"/>
          <w:highlight w:val="none"/>
        </w:rPr>
      </w:pPr>
      <w:r>
        <w:rPr>
          <w:rFonts w:ascii="宋体" w:hAnsi="宋体" w:eastAsia="宋体" w:cs="宋体"/>
          <w:color w:val="auto"/>
          <w:sz w:val="24"/>
          <w:highlight w:val="none"/>
        </w:rPr>
        <w:t>1、商业用电采用低压计量，实行一户一表，并安装集中抄表装置。</w:t>
      </w:r>
    </w:p>
    <w:p w14:paraId="1627B76F">
      <w:pPr>
        <w:snapToGrid w:val="0"/>
        <w:spacing w:before="0" w:after="0" w:line="360" w:lineRule="auto"/>
        <w:ind w:firstLine="566" w:firstLineChars="236"/>
        <w:rPr>
          <w:color w:val="auto"/>
          <w:highlight w:val="none"/>
        </w:rPr>
      </w:pPr>
      <w:r>
        <w:rPr>
          <w:rFonts w:ascii="宋体" w:hAnsi="宋体" w:eastAsia="宋体" w:cs="宋体"/>
          <w:color w:val="auto"/>
          <w:sz w:val="24"/>
          <w:highlight w:val="none"/>
        </w:rPr>
        <w:t>2、电梯、生活水泵、公共照明（地下室照明除外）应各自独立设置电能计量装置。</w:t>
      </w:r>
    </w:p>
    <w:p w14:paraId="0CB4CA36">
      <w:pPr>
        <w:pStyle w:val="5"/>
        <w:snapToGrid w:val="0"/>
        <w:spacing w:line="360" w:lineRule="auto"/>
        <w:ind w:left="0" w:firstLine="0"/>
        <w:rPr>
          <w:rFonts w:hint="eastAsia" w:ascii="宋体" w:hAnsi="宋体" w:eastAsia="宋体" w:cs="宋体"/>
          <w:color w:val="auto"/>
          <w:highlight w:val="none"/>
        </w:rPr>
      </w:pPr>
      <w:r>
        <w:rPr>
          <w:rFonts w:ascii="宋体" w:hAnsi="宋体" w:eastAsia="宋体" w:cs="宋体"/>
          <w:color w:val="auto"/>
          <w:highlight w:val="none"/>
        </w:rPr>
        <w:t>变配电所址选择</w:t>
      </w:r>
    </w:p>
    <w:p w14:paraId="0EBE2587">
      <w:pPr>
        <w:snapToGrid w:val="0"/>
        <w:spacing w:before="0" w:after="0" w:line="360" w:lineRule="auto"/>
        <w:ind w:firstLine="480" w:firstLineChars="200"/>
        <w:rPr>
          <w:rFonts w:hint="eastAsia" w:ascii="宋体" w:hAnsi="宋体" w:eastAsia="宋体" w:cs="宋体"/>
          <w:color w:val="auto"/>
          <w:sz w:val="24"/>
          <w:highlight w:val="none"/>
        </w:rPr>
      </w:pPr>
      <w:r>
        <w:rPr>
          <w:rFonts w:ascii="宋体" w:hAnsi="宋体" w:eastAsia="宋体" w:cs="宋体"/>
          <w:color w:val="auto"/>
          <w:sz w:val="24"/>
          <w:highlight w:val="none"/>
        </w:rPr>
        <w:t>1、设计方应与当地供电部门协调永久电房设置要求。</w:t>
      </w:r>
    </w:p>
    <w:p w14:paraId="2FB27074">
      <w:pPr>
        <w:snapToGrid w:val="0"/>
        <w:spacing w:before="0" w:after="0" w:line="360" w:lineRule="auto"/>
        <w:ind w:firstLine="480" w:firstLineChars="200"/>
        <w:rPr>
          <w:rFonts w:hint="eastAsia" w:ascii="宋体" w:hAnsi="宋体" w:eastAsia="宋体" w:cs="宋体"/>
          <w:color w:val="auto"/>
          <w:sz w:val="24"/>
          <w:highlight w:val="none"/>
        </w:rPr>
      </w:pPr>
      <w:r>
        <w:rPr>
          <w:rFonts w:ascii="宋体" w:hAnsi="宋体" w:eastAsia="宋体" w:cs="宋体"/>
          <w:color w:val="auto"/>
          <w:sz w:val="24"/>
          <w:highlight w:val="none"/>
        </w:rPr>
        <w:t>2、市政10kV开关房、专用高压配电房、专用变压器房、专用低压配电房的尺寸根据变配电系统负荷计算确定。</w:t>
      </w:r>
    </w:p>
    <w:p w14:paraId="6B90E5C2">
      <w:pPr>
        <w:pStyle w:val="5"/>
        <w:snapToGrid w:val="0"/>
        <w:spacing w:line="360" w:lineRule="auto"/>
        <w:ind w:left="0" w:firstLine="0"/>
        <w:rPr>
          <w:rFonts w:hint="eastAsia" w:ascii="宋体" w:hAnsi="宋体" w:eastAsia="宋体" w:cs="宋体"/>
          <w:color w:val="auto"/>
          <w:highlight w:val="none"/>
        </w:rPr>
      </w:pPr>
      <w:r>
        <w:rPr>
          <w:rFonts w:ascii="宋体" w:hAnsi="宋体" w:eastAsia="宋体" w:cs="宋体"/>
          <w:color w:val="auto"/>
          <w:highlight w:val="none"/>
        </w:rPr>
        <w:t>发、配电系统</w:t>
      </w:r>
    </w:p>
    <w:p w14:paraId="30CB3897">
      <w:pPr>
        <w:snapToGrid w:val="0"/>
        <w:spacing w:before="0" w:after="0" w:line="360" w:lineRule="auto"/>
        <w:ind w:firstLine="480" w:firstLineChars="200"/>
        <w:rPr>
          <w:rFonts w:hint="eastAsia" w:ascii="宋体" w:hAnsi="宋体" w:eastAsia="宋体" w:cs="宋体"/>
          <w:color w:val="auto"/>
          <w:sz w:val="24"/>
          <w:highlight w:val="none"/>
        </w:rPr>
      </w:pPr>
      <w:r>
        <w:rPr>
          <w:rFonts w:ascii="宋体" w:hAnsi="宋体" w:eastAsia="宋体" w:cs="宋体"/>
          <w:color w:val="auto"/>
          <w:sz w:val="24"/>
          <w:highlight w:val="none"/>
        </w:rPr>
        <w:t>1、本工程从市政两个不同变压站分别引来一路10kV高压电源供电，10kV配电系统采用单母线分段运行方式，平时两路电源同时供电，各带50%负荷，当一路电源故障，联络开关自投，由另一路电源供全部负荷。</w:t>
      </w:r>
    </w:p>
    <w:p w14:paraId="7F46CF18">
      <w:pPr>
        <w:snapToGrid w:val="0"/>
        <w:spacing w:before="0" w:after="0" w:line="360" w:lineRule="auto"/>
        <w:ind w:firstLine="480" w:firstLineChars="200"/>
        <w:rPr>
          <w:rFonts w:hint="eastAsia" w:ascii="宋体" w:hAnsi="宋体" w:eastAsia="宋体" w:cs="宋体"/>
          <w:color w:val="auto"/>
          <w:sz w:val="24"/>
          <w:highlight w:val="none"/>
        </w:rPr>
      </w:pPr>
      <w:r>
        <w:rPr>
          <w:rFonts w:ascii="宋体" w:hAnsi="宋体" w:eastAsia="宋体" w:cs="宋体"/>
          <w:color w:val="auto"/>
          <w:sz w:val="24"/>
          <w:highlight w:val="none"/>
        </w:rPr>
        <w:t>2、配置柴油发电机作为备用电源。</w:t>
      </w:r>
    </w:p>
    <w:p w14:paraId="5A83CE8B">
      <w:pPr>
        <w:snapToGrid w:val="0"/>
        <w:spacing w:before="0" w:after="0" w:line="360" w:lineRule="auto"/>
        <w:ind w:firstLine="480" w:firstLineChars="200"/>
        <w:rPr>
          <w:rFonts w:hint="eastAsia" w:ascii="宋体" w:hAnsi="宋体" w:eastAsia="宋体" w:cs="宋体"/>
          <w:color w:val="auto"/>
          <w:sz w:val="24"/>
          <w:highlight w:val="none"/>
        </w:rPr>
      </w:pPr>
      <w:r>
        <w:rPr>
          <w:rFonts w:ascii="宋体" w:hAnsi="宋体" w:eastAsia="宋体" w:cs="宋体"/>
          <w:color w:val="auto"/>
          <w:sz w:val="24"/>
          <w:highlight w:val="none"/>
        </w:rPr>
        <w:t>3、房间内空调、普通插座和照明应分回路配电。</w:t>
      </w:r>
    </w:p>
    <w:p w14:paraId="0D978A08">
      <w:pPr>
        <w:snapToGrid w:val="0"/>
        <w:spacing w:before="0" w:after="0" w:line="360" w:lineRule="auto"/>
        <w:ind w:firstLine="480" w:firstLineChars="200"/>
        <w:rPr>
          <w:rFonts w:hint="eastAsia" w:ascii="宋体" w:hAnsi="宋体" w:eastAsia="宋体" w:cs="宋体"/>
          <w:color w:val="auto"/>
          <w:sz w:val="24"/>
          <w:highlight w:val="none"/>
        </w:rPr>
      </w:pPr>
      <w:r>
        <w:rPr>
          <w:rFonts w:ascii="宋体" w:hAnsi="宋体" w:eastAsia="宋体" w:cs="宋体"/>
          <w:color w:val="auto"/>
          <w:sz w:val="24"/>
          <w:highlight w:val="none"/>
        </w:rPr>
        <w:t>4、柜式空调电源插座回路应装设剩余电流动作保护器。</w:t>
      </w:r>
    </w:p>
    <w:p w14:paraId="09971F17">
      <w:pPr>
        <w:snapToGrid w:val="0"/>
        <w:spacing w:before="0" w:after="0" w:line="360" w:lineRule="auto"/>
        <w:ind w:firstLine="480" w:firstLineChars="200"/>
        <w:rPr>
          <w:rFonts w:hint="eastAsia" w:ascii="宋体" w:hAnsi="宋体" w:eastAsia="宋体" w:cs="宋体"/>
          <w:color w:val="auto"/>
          <w:sz w:val="24"/>
          <w:highlight w:val="none"/>
        </w:rPr>
      </w:pPr>
      <w:r>
        <w:rPr>
          <w:rFonts w:ascii="宋体" w:hAnsi="宋体" w:eastAsia="宋体" w:cs="宋体"/>
          <w:color w:val="auto"/>
          <w:sz w:val="24"/>
          <w:highlight w:val="none"/>
        </w:rPr>
        <w:t>5、普通插座（包括卫生间排气扇插座）应有剩余电流动作保护。</w:t>
      </w:r>
    </w:p>
    <w:p w14:paraId="05906217">
      <w:pPr>
        <w:snapToGrid w:val="0"/>
        <w:spacing w:before="0" w:after="0" w:line="360" w:lineRule="auto"/>
        <w:ind w:firstLine="480" w:firstLineChars="200"/>
        <w:rPr>
          <w:rFonts w:hint="eastAsia" w:ascii="宋体" w:hAnsi="宋体" w:eastAsia="宋体" w:cs="宋体"/>
          <w:color w:val="auto"/>
          <w:sz w:val="24"/>
          <w:highlight w:val="none"/>
        </w:rPr>
      </w:pPr>
      <w:r>
        <w:rPr>
          <w:rFonts w:ascii="宋体" w:hAnsi="宋体" w:eastAsia="宋体" w:cs="宋体"/>
          <w:color w:val="auto"/>
          <w:sz w:val="24"/>
          <w:highlight w:val="none"/>
        </w:rPr>
        <w:t>6、应预留房间配线箱（弱电箱）电源插座。</w:t>
      </w:r>
    </w:p>
    <w:p w14:paraId="0F0FD0B2">
      <w:pPr>
        <w:pStyle w:val="5"/>
        <w:snapToGrid w:val="0"/>
        <w:spacing w:line="360" w:lineRule="auto"/>
        <w:ind w:left="0" w:firstLine="0"/>
        <w:rPr>
          <w:rFonts w:hint="eastAsia" w:ascii="宋体" w:hAnsi="宋体" w:eastAsia="宋体" w:cs="宋体"/>
          <w:color w:val="auto"/>
          <w:highlight w:val="none"/>
        </w:rPr>
      </w:pPr>
      <w:r>
        <w:rPr>
          <w:rFonts w:ascii="宋体" w:hAnsi="宋体" w:eastAsia="宋体" w:cs="宋体"/>
          <w:color w:val="auto"/>
          <w:highlight w:val="none"/>
        </w:rPr>
        <w:t>线路敷设要求</w:t>
      </w:r>
    </w:p>
    <w:p w14:paraId="6CC5E2F3">
      <w:pPr>
        <w:snapToGrid w:val="0"/>
        <w:spacing w:before="0" w:after="0" w:line="360" w:lineRule="auto"/>
        <w:ind w:firstLine="480" w:firstLineChars="200"/>
        <w:rPr>
          <w:rFonts w:hint="eastAsia" w:ascii="宋体" w:hAnsi="宋体" w:eastAsia="宋体" w:cs="宋体"/>
          <w:color w:val="auto"/>
          <w:sz w:val="24"/>
          <w:highlight w:val="none"/>
        </w:rPr>
      </w:pPr>
      <w:r>
        <w:rPr>
          <w:rFonts w:ascii="宋体" w:hAnsi="宋体" w:eastAsia="宋体" w:cs="宋体"/>
          <w:color w:val="auto"/>
          <w:sz w:val="24"/>
          <w:highlight w:val="none"/>
        </w:rPr>
        <w:t>1、建筑物内应设强、弱电竖井，竖向电气干线应在管井内敷设。</w:t>
      </w:r>
    </w:p>
    <w:p w14:paraId="7EA07D82">
      <w:pPr>
        <w:snapToGrid w:val="0"/>
        <w:spacing w:before="0" w:after="0" w:line="360" w:lineRule="auto"/>
        <w:ind w:firstLine="480" w:firstLineChars="200"/>
        <w:rPr>
          <w:rFonts w:hint="eastAsia" w:ascii="宋体" w:hAnsi="宋体" w:eastAsia="宋体" w:cs="宋体"/>
          <w:color w:val="auto"/>
          <w:sz w:val="24"/>
          <w:highlight w:val="none"/>
        </w:rPr>
      </w:pPr>
      <w:r>
        <w:rPr>
          <w:rFonts w:ascii="宋体" w:hAnsi="宋体" w:eastAsia="宋体" w:cs="宋体"/>
          <w:color w:val="auto"/>
          <w:sz w:val="24"/>
          <w:highlight w:val="none"/>
        </w:rPr>
        <w:t>2、标准层电气线路原则上采用穿管暗敷方式，特殊情况可根据现场实际改用其它敷设方式。</w:t>
      </w:r>
    </w:p>
    <w:p w14:paraId="6DFBE088">
      <w:pPr>
        <w:pStyle w:val="5"/>
        <w:snapToGrid w:val="0"/>
        <w:spacing w:line="360" w:lineRule="auto"/>
        <w:ind w:left="0" w:firstLine="0"/>
        <w:rPr>
          <w:rFonts w:hint="eastAsia" w:ascii="宋体" w:hAnsi="宋体" w:eastAsia="宋体" w:cs="宋体"/>
          <w:color w:val="auto"/>
          <w:highlight w:val="none"/>
        </w:rPr>
      </w:pPr>
      <w:r>
        <w:rPr>
          <w:rFonts w:ascii="宋体" w:hAnsi="宋体" w:eastAsia="宋体" w:cs="宋体"/>
          <w:color w:val="auto"/>
          <w:highlight w:val="none"/>
        </w:rPr>
        <w:t>房间内电气设置要求及安装</w:t>
      </w:r>
    </w:p>
    <w:p w14:paraId="72E1A86E">
      <w:pPr>
        <w:snapToGrid w:val="0"/>
        <w:spacing w:before="0" w:after="0" w:line="360" w:lineRule="auto"/>
        <w:ind w:firstLine="480" w:firstLineChars="200"/>
        <w:rPr>
          <w:rFonts w:hint="eastAsia" w:ascii="宋体" w:hAnsi="宋体" w:eastAsia="宋体" w:cs="宋体"/>
          <w:color w:val="auto"/>
          <w:sz w:val="24"/>
          <w:highlight w:val="none"/>
        </w:rPr>
      </w:pPr>
      <w:r>
        <w:rPr>
          <w:rFonts w:ascii="宋体" w:hAnsi="宋体" w:eastAsia="宋体" w:cs="宋体"/>
          <w:color w:val="auto"/>
          <w:sz w:val="24"/>
          <w:highlight w:val="none"/>
        </w:rPr>
        <w:t>1、房间内灯具、插座等电气设备布置应遵循合理设置、方便使用、经济适用的原则。</w:t>
      </w:r>
    </w:p>
    <w:p w14:paraId="56077ADF">
      <w:pPr>
        <w:snapToGrid w:val="0"/>
        <w:spacing w:before="0" w:after="0" w:line="360" w:lineRule="auto"/>
        <w:ind w:firstLine="480" w:firstLineChars="200"/>
        <w:rPr>
          <w:rFonts w:hint="eastAsia" w:ascii="宋体" w:hAnsi="宋体" w:eastAsia="宋体" w:cs="宋体"/>
          <w:color w:val="auto"/>
          <w:sz w:val="24"/>
          <w:highlight w:val="none"/>
        </w:rPr>
      </w:pPr>
      <w:r>
        <w:rPr>
          <w:rFonts w:ascii="宋体" w:hAnsi="宋体" w:eastAsia="宋体" w:cs="宋体"/>
          <w:color w:val="auto"/>
          <w:sz w:val="24"/>
          <w:highlight w:val="none"/>
        </w:rPr>
        <w:t>2、房间内应设配电箱。配电箱安装位置在进户门后墙面上，如该位置为混凝土柱或剪力墙，可移至附近墙面上。</w:t>
      </w:r>
    </w:p>
    <w:p w14:paraId="7801A10A">
      <w:pPr>
        <w:pStyle w:val="5"/>
        <w:snapToGrid w:val="0"/>
        <w:spacing w:line="360" w:lineRule="auto"/>
        <w:ind w:left="0" w:firstLine="0"/>
        <w:rPr>
          <w:rFonts w:hint="eastAsia" w:ascii="宋体" w:hAnsi="宋体" w:eastAsia="宋体" w:cs="宋体"/>
          <w:color w:val="auto"/>
          <w:highlight w:val="none"/>
        </w:rPr>
      </w:pPr>
      <w:r>
        <w:rPr>
          <w:rFonts w:ascii="宋体" w:hAnsi="宋体" w:eastAsia="宋体" w:cs="宋体"/>
          <w:color w:val="auto"/>
          <w:highlight w:val="none"/>
        </w:rPr>
        <w:t>电气照明</w:t>
      </w:r>
    </w:p>
    <w:p w14:paraId="718BE947">
      <w:pPr>
        <w:snapToGrid w:val="0"/>
        <w:spacing w:before="0" w:after="0" w:line="360" w:lineRule="auto"/>
        <w:ind w:firstLine="480" w:firstLineChars="200"/>
        <w:rPr>
          <w:rFonts w:hint="eastAsia" w:ascii="宋体" w:hAnsi="宋体" w:eastAsia="宋体" w:cs="宋体"/>
          <w:color w:val="auto"/>
          <w:sz w:val="24"/>
          <w:highlight w:val="none"/>
        </w:rPr>
      </w:pPr>
      <w:r>
        <w:rPr>
          <w:rFonts w:ascii="宋体" w:hAnsi="宋体" w:eastAsia="宋体" w:cs="宋体"/>
          <w:color w:val="auto"/>
          <w:sz w:val="24"/>
          <w:highlight w:val="none"/>
        </w:rPr>
        <w:t>1、标准层走道及楼梯间照明应采用高效节能的照明灯具和光源，楼梯间照明灯具采用节能自熄开关控制。</w:t>
      </w:r>
    </w:p>
    <w:p w14:paraId="1F813152">
      <w:pPr>
        <w:snapToGrid w:val="0"/>
        <w:spacing w:before="0" w:after="0" w:line="360" w:lineRule="auto"/>
        <w:ind w:firstLine="480" w:firstLineChars="200"/>
        <w:rPr>
          <w:rFonts w:hint="eastAsia" w:ascii="宋体" w:hAnsi="宋体" w:eastAsia="宋体" w:cs="宋体"/>
          <w:color w:val="auto"/>
          <w:sz w:val="24"/>
          <w:highlight w:val="none"/>
        </w:rPr>
      </w:pPr>
      <w:r>
        <w:rPr>
          <w:rFonts w:ascii="宋体" w:hAnsi="宋体" w:eastAsia="宋体" w:cs="宋体"/>
          <w:color w:val="auto"/>
          <w:sz w:val="24"/>
          <w:highlight w:val="none"/>
        </w:rPr>
        <w:t>2、当应急照明采用集中控制集中电源型，在应急情况下，设有应急照明应自动点亮；无火灾自动报警系统的应急照明可集中点亮。</w:t>
      </w:r>
    </w:p>
    <w:p w14:paraId="3A4DD940">
      <w:pPr>
        <w:snapToGrid w:val="0"/>
        <w:spacing w:before="0" w:after="0" w:line="360" w:lineRule="auto"/>
        <w:ind w:firstLine="480" w:firstLineChars="200"/>
        <w:rPr>
          <w:rFonts w:hint="eastAsia" w:ascii="宋体" w:hAnsi="宋体" w:eastAsia="宋体" w:cs="宋体"/>
          <w:color w:val="auto"/>
          <w:sz w:val="24"/>
          <w:highlight w:val="none"/>
        </w:rPr>
      </w:pPr>
      <w:r>
        <w:rPr>
          <w:rFonts w:ascii="宋体" w:hAnsi="宋体" w:eastAsia="宋体" w:cs="宋体"/>
          <w:color w:val="auto"/>
          <w:sz w:val="24"/>
          <w:highlight w:val="none"/>
        </w:rPr>
        <w:t>3、高层建筑应按照当地空管局规定设置航空障碍标志灯。</w:t>
      </w:r>
    </w:p>
    <w:p w14:paraId="57944A82">
      <w:pPr>
        <w:snapToGrid w:val="0"/>
        <w:spacing w:before="0" w:after="0" w:line="360" w:lineRule="auto"/>
        <w:ind w:firstLine="480" w:firstLineChars="200"/>
        <w:rPr>
          <w:rFonts w:hint="eastAsia" w:ascii="宋体" w:hAnsi="宋体" w:eastAsia="宋体" w:cs="宋体"/>
          <w:color w:val="auto"/>
          <w:sz w:val="24"/>
          <w:highlight w:val="none"/>
        </w:rPr>
      </w:pPr>
      <w:r>
        <w:rPr>
          <w:rFonts w:ascii="宋体" w:hAnsi="宋体" w:eastAsia="宋体" w:cs="宋体"/>
          <w:color w:val="auto"/>
          <w:sz w:val="24"/>
          <w:highlight w:val="none"/>
        </w:rPr>
        <w:t>4、楼层设备间和强、弱电竖井应设照明和检修插座。</w:t>
      </w:r>
    </w:p>
    <w:p w14:paraId="6EFB4A65">
      <w:pPr>
        <w:pStyle w:val="5"/>
        <w:snapToGrid w:val="0"/>
        <w:spacing w:line="360" w:lineRule="auto"/>
        <w:ind w:left="0" w:firstLine="0"/>
        <w:rPr>
          <w:rFonts w:hint="eastAsia" w:ascii="宋体" w:hAnsi="宋体" w:eastAsia="宋体" w:cs="宋体"/>
          <w:color w:val="auto"/>
          <w:highlight w:val="none"/>
        </w:rPr>
      </w:pPr>
      <w:r>
        <w:rPr>
          <w:rFonts w:ascii="宋体" w:hAnsi="宋体" w:eastAsia="宋体" w:cs="宋体"/>
          <w:color w:val="auto"/>
          <w:highlight w:val="none"/>
        </w:rPr>
        <w:t>建筑物防雷接地及安全系统</w:t>
      </w:r>
    </w:p>
    <w:p w14:paraId="3961F77B">
      <w:pPr>
        <w:snapToGrid w:val="0"/>
        <w:spacing w:before="0" w:after="0" w:line="360" w:lineRule="auto"/>
        <w:ind w:firstLine="480" w:firstLineChars="200"/>
        <w:rPr>
          <w:rFonts w:hint="eastAsia" w:ascii="宋体" w:hAnsi="宋体" w:eastAsia="宋体" w:cs="宋体"/>
          <w:color w:val="auto"/>
          <w:sz w:val="24"/>
          <w:highlight w:val="none"/>
        </w:rPr>
      </w:pPr>
      <w:r>
        <w:rPr>
          <w:rFonts w:ascii="宋体" w:hAnsi="宋体" w:eastAsia="宋体" w:cs="宋体"/>
          <w:color w:val="auto"/>
          <w:sz w:val="24"/>
          <w:highlight w:val="none"/>
        </w:rPr>
        <w:t xml:space="preserve"> 1、本工程按第二类防雷措施；电子信息系统雷电防护等级为B级设防。</w:t>
      </w:r>
    </w:p>
    <w:p w14:paraId="7E600E02">
      <w:pPr>
        <w:snapToGrid w:val="0"/>
        <w:spacing w:before="0" w:after="0" w:line="360" w:lineRule="auto"/>
        <w:ind w:firstLine="480" w:firstLineChars="200"/>
        <w:rPr>
          <w:rFonts w:hint="eastAsia" w:ascii="宋体" w:hAnsi="宋体" w:eastAsia="宋体" w:cs="宋体"/>
          <w:color w:val="auto"/>
          <w:sz w:val="24"/>
          <w:highlight w:val="none"/>
        </w:rPr>
      </w:pPr>
      <w:r>
        <w:rPr>
          <w:rFonts w:ascii="宋体" w:hAnsi="宋体" w:eastAsia="宋体" w:cs="宋体"/>
          <w:color w:val="auto"/>
          <w:sz w:val="24"/>
          <w:highlight w:val="none"/>
        </w:rPr>
        <w:t xml:space="preserve"> 2、接闪器、防雷引下线、接地装置、接地端子、防雷测试装置等需按规范设置。</w:t>
      </w:r>
    </w:p>
    <w:p w14:paraId="46066B3F">
      <w:pPr>
        <w:snapToGrid w:val="0"/>
        <w:spacing w:before="0" w:after="0" w:line="360" w:lineRule="auto"/>
        <w:ind w:firstLine="480" w:firstLineChars="200"/>
        <w:rPr>
          <w:rFonts w:hint="eastAsia" w:ascii="宋体" w:hAnsi="宋体" w:eastAsia="宋体" w:cs="宋体"/>
          <w:color w:val="auto"/>
          <w:sz w:val="24"/>
          <w:highlight w:val="none"/>
        </w:rPr>
      </w:pPr>
      <w:r>
        <w:rPr>
          <w:rFonts w:ascii="宋体" w:hAnsi="宋体" w:eastAsia="宋体" w:cs="宋体"/>
          <w:color w:val="auto"/>
          <w:sz w:val="24"/>
          <w:highlight w:val="none"/>
        </w:rPr>
        <w:t xml:space="preserve"> 3、本工程防雷装置、电气和电子系统、保护性接地和功能性接地等共用接地装置，要求接地电阻不大于1Ω，当实测不满足要求时，应增设人工接地极。</w:t>
      </w:r>
    </w:p>
    <w:p w14:paraId="7F4D27ED">
      <w:pPr>
        <w:snapToGrid w:val="0"/>
        <w:spacing w:before="0" w:after="0" w:line="360" w:lineRule="auto"/>
        <w:ind w:firstLine="480" w:firstLineChars="200"/>
        <w:rPr>
          <w:rFonts w:hint="eastAsia" w:ascii="宋体" w:hAnsi="宋体" w:eastAsia="宋体" w:cs="宋体"/>
          <w:color w:val="auto"/>
          <w:sz w:val="24"/>
          <w:highlight w:val="none"/>
        </w:rPr>
      </w:pPr>
      <w:r>
        <w:rPr>
          <w:rFonts w:ascii="宋体" w:hAnsi="宋体" w:eastAsia="宋体" w:cs="宋体"/>
          <w:color w:val="auto"/>
          <w:sz w:val="24"/>
          <w:highlight w:val="none"/>
        </w:rPr>
        <w:t xml:space="preserve"> 4、在变压器高压侧装设避雷器，在低压侧装设Ⅰ级试验的电涌保护器。在低压配电从室外引入的建筑物，在低压电源线路引入的总配电箱（柜）处装设Ⅰ级试验的电涌保护器。</w:t>
      </w:r>
    </w:p>
    <w:p w14:paraId="4E019958">
      <w:pPr>
        <w:pStyle w:val="5"/>
        <w:snapToGrid w:val="0"/>
        <w:spacing w:line="360" w:lineRule="auto"/>
        <w:ind w:left="0" w:firstLine="0"/>
        <w:rPr>
          <w:rFonts w:hint="eastAsia" w:ascii="宋体" w:hAnsi="宋体" w:eastAsia="宋体" w:cs="宋体"/>
          <w:color w:val="auto"/>
          <w:highlight w:val="none"/>
        </w:rPr>
      </w:pPr>
      <w:r>
        <w:rPr>
          <w:rFonts w:ascii="宋体" w:hAnsi="宋体" w:eastAsia="宋体" w:cs="宋体"/>
          <w:color w:val="auto"/>
          <w:highlight w:val="none"/>
        </w:rPr>
        <w:t>火灾自动报警系统</w:t>
      </w:r>
    </w:p>
    <w:p w14:paraId="2E64B4B0">
      <w:pPr>
        <w:snapToGrid w:val="0"/>
        <w:spacing w:before="0" w:after="0" w:line="360" w:lineRule="auto"/>
        <w:ind w:firstLine="566" w:firstLineChars="236"/>
        <w:rPr>
          <w:color w:val="auto"/>
          <w:highlight w:val="none"/>
        </w:rPr>
      </w:pPr>
      <w:r>
        <w:rPr>
          <w:rFonts w:ascii="宋体" w:hAnsi="宋体" w:eastAsia="宋体" w:cs="宋体"/>
          <w:color w:val="auto"/>
          <w:sz w:val="24"/>
          <w:highlight w:val="none"/>
        </w:rPr>
        <w:t>1、应作火灾自动报警系统的总体设计，并合理设置火灾自动报警中心及分中心位置。</w:t>
      </w:r>
    </w:p>
    <w:p w14:paraId="6874971B">
      <w:pPr>
        <w:snapToGrid w:val="0"/>
        <w:spacing w:before="0" w:after="0" w:line="360" w:lineRule="auto"/>
        <w:ind w:firstLine="566" w:firstLineChars="236"/>
        <w:rPr>
          <w:color w:val="auto"/>
          <w:highlight w:val="none"/>
        </w:rPr>
      </w:pPr>
      <w:r>
        <w:rPr>
          <w:rFonts w:ascii="宋体" w:hAnsi="宋体" w:eastAsia="宋体" w:cs="宋体"/>
          <w:color w:val="auto"/>
          <w:sz w:val="24"/>
          <w:highlight w:val="none"/>
        </w:rPr>
        <w:t>2、按《火灾自动报警设计规范》要求设置火灾探测器，消火栓按钮、消防广播及声光报警器等设施；并对消防水泵、消防风机、防火卷帘等消防设备进行相关联动控制设计。</w:t>
      </w:r>
    </w:p>
    <w:p w14:paraId="5BD5D879">
      <w:pPr>
        <w:pStyle w:val="5"/>
        <w:snapToGrid w:val="0"/>
        <w:spacing w:line="360" w:lineRule="auto"/>
        <w:ind w:left="0" w:firstLine="0"/>
        <w:rPr>
          <w:rFonts w:hint="eastAsia" w:ascii="宋体" w:hAnsi="宋体" w:eastAsia="宋体" w:cs="宋体"/>
          <w:color w:val="auto"/>
          <w:highlight w:val="none"/>
        </w:rPr>
      </w:pPr>
      <w:bookmarkStart w:id="60" w:name="_Toc31016"/>
      <w:r>
        <w:rPr>
          <w:rFonts w:ascii="宋体" w:hAnsi="宋体" w:eastAsia="宋体" w:cs="宋体"/>
          <w:color w:val="auto"/>
          <w:highlight w:val="none"/>
        </w:rPr>
        <w:t>通风空调设计要求</w:t>
      </w:r>
      <w:bookmarkEnd w:id="60"/>
    </w:p>
    <w:p w14:paraId="49794F52">
      <w:pPr>
        <w:snapToGrid w:val="0"/>
        <w:spacing w:before="0" w:after="0"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w:t>
      </w:r>
      <w:r>
        <w:rPr>
          <w:rFonts w:ascii="宋体" w:hAnsi="宋体" w:eastAsia="宋体" w:cs="宋体"/>
          <w:color w:val="auto"/>
          <w:sz w:val="24"/>
          <w:highlight w:val="none"/>
        </w:rPr>
        <w:t>、平层公寓（4星级酒店）空调系统</w:t>
      </w:r>
    </w:p>
    <w:p w14:paraId="4DE4E790">
      <w:pPr>
        <w:snapToGrid w:val="0"/>
        <w:spacing w:before="0" w:after="0" w:line="360" w:lineRule="auto"/>
        <w:ind w:firstLine="480" w:firstLineChars="200"/>
        <w:rPr>
          <w:rFonts w:hint="eastAsia" w:ascii="宋体" w:hAnsi="宋体" w:eastAsia="宋体" w:cs="宋体"/>
          <w:color w:val="auto"/>
          <w:sz w:val="24"/>
          <w:highlight w:val="none"/>
        </w:rPr>
      </w:pPr>
      <w:r>
        <w:rPr>
          <w:rFonts w:ascii="宋体" w:hAnsi="宋体" w:eastAsia="宋体" w:cs="宋体"/>
          <w:color w:val="auto"/>
          <w:sz w:val="24"/>
          <w:highlight w:val="none"/>
        </w:rPr>
        <w:t>原则上应按照集中空调设置，具体形式需对比分析确定。</w:t>
      </w:r>
    </w:p>
    <w:p w14:paraId="619452EE">
      <w:pPr>
        <w:snapToGrid w:val="0"/>
        <w:spacing w:before="0" w:after="0"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w:t>
      </w:r>
      <w:r>
        <w:rPr>
          <w:rFonts w:ascii="宋体" w:hAnsi="宋体" w:eastAsia="宋体" w:cs="宋体"/>
          <w:color w:val="auto"/>
          <w:sz w:val="24"/>
          <w:highlight w:val="none"/>
        </w:rPr>
        <w:t>、办公空调系统</w:t>
      </w:r>
    </w:p>
    <w:p w14:paraId="123E6994">
      <w:pPr>
        <w:snapToGrid w:val="0"/>
        <w:spacing w:before="0" w:after="0" w:line="360" w:lineRule="auto"/>
        <w:ind w:firstLine="480" w:firstLineChars="200"/>
        <w:rPr>
          <w:rFonts w:hint="eastAsia" w:ascii="宋体" w:hAnsi="宋体" w:eastAsia="宋体" w:cs="宋体"/>
          <w:color w:val="auto"/>
          <w:sz w:val="24"/>
          <w:highlight w:val="none"/>
        </w:rPr>
      </w:pPr>
      <w:r>
        <w:rPr>
          <w:rFonts w:ascii="宋体" w:hAnsi="宋体" w:eastAsia="宋体" w:cs="宋体"/>
          <w:color w:val="auto"/>
          <w:sz w:val="24"/>
          <w:highlight w:val="none"/>
        </w:rPr>
        <w:t>原则上应按照集中空调设置，具体形式需对比分析确定。</w:t>
      </w:r>
    </w:p>
    <w:p w14:paraId="7F650291">
      <w:pPr>
        <w:snapToGrid w:val="0"/>
        <w:spacing w:before="0" w:after="0"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3</w:t>
      </w:r>
      <w:r>
        <w:rPr>
          <w:rFonts w:ascii="宋体" w:hAnsi="宋体" w:eastAsia="宋体" w:cs="宋体"/>
          <w:color w:val="auto"/>
          <w:sz w:val="24"/>
          <w:highlight w:val="none"/>
        </w:rPr>
        <w:t>、商业空调系统</w:t>
      </w:r>
    </w:p>
    <w:p w14:paraId="61207088">
      <w:pPr>
        <w:snapToGrid w:val="0"/>
        <w:spacing w:before="0" w:after="0" w:line="360" w:lineRule="auto"/>
        <w:ind w:firstLine="480" w:firstLineChars="200"/>
        <w:rPr>
          <w:rFonts w:hint="eastAsia" w:ascii="宋体" w:hAnsi="宋体" w:eastAsia="宋体" w:cs="宋体"/>
          <w:color w:val="auto"/>
          <w:sz w:val="24"/>
          <w:highlight w:val="none"/>
        </w:rPr>
      </w:pPr>
      <w:r>
        <w:rPr>
          <w:rFonts w:ascii="宋体" w:hAnsi="宋体" w:eastAsia="宋体" w:cs="宋体"/>
          <w:color w:val="auto"/>
          <w:sz w:val="24"/>
          <w:highlight w:val="none"/>
        </w:rPr>
        <w:t>原则上应按照集中空调设置，采用水冷冷水机组形式。</w:t>
      </w:r>
    </w:p>
    <w:p w14:paraId="3489F4FD">
      <w:pPr>
        <w:snapToGrid w:val="0"/>
        <w:spacing w:before="0" w:after="0"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4</w:t>
      </w:r>
      <w:r>
        <w:rPr>
          <w:rFonts w:ascii="宋体" w:hAnsi="宋体" w:eastAsia="宋体" w:cs="宋体"/>
          <w:color w:val="auto"/>
          <w:sz w:val="24"/>
          <w:highlight w:val="none"/>
        </w:rPr>
        <w:t>、通风系统</w:t>
      </w:r>
    </w:p>
    <w:p w14:paraId="2B8850BF">
      <w:pPr>
        <w:snapToGrid w:val="0"/>
        <w:spacing w:before="0" w:after="0" w:line="360" w:lineRule="auto"/>
        <w:ind w:firstLine="480" w:firstLineChars="200"/>
        <w:rPr>
          <w:rFonts w:hint="eastAsia" w:ascii="宋体" w:hAnsi="宋体" w:eastAsia="宋体" w:cs="宋体"/>
          <w:color w:val="auto"/>
          <w:sz w:val="24"/>
          <w:highlight w:val="none"/>
        </w:rPr>
      </w:pPr>
      <w:r>
        <w:rPr>
          <w:rFonts w:ascii="宋体" w:hAnsi="宋体" w:eastAsia="宋体" w:cs="宋体"/>
          <w:color w:val="auto"/>
          <w:sz w:val="24"/>
          <w:highlight w:val="none"/>
        </w:rPr>
        <w:t>地下车库应设置机械通风系统，并宜根据空气中一氧化碳的浓度自动运行控制，通风系统宜和排烟系统合用一套管道设备。</w:t>
      </w:r>
    </w:p>
    <w:p w14:paraId="278E8A20">
      <w:pPr>
        <w:snapToGrid w:val="0"/>
        <w:spacing w:before="0" w:after="0"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5</w:t>
      </w:r>
      <w:r>
        <w:rPr>
          <w:rFonts w:ascii="宋体" w:hAnsi="宋体" w:eastAsia="宋体" w:cs="宋体"/>
          <w:color w:val="auto"/>
          <w:sz w:val="24"/>
          <w:highlight w:val="none"/>
        </w:rPr>
        <w:t>、人防地下室通风系统</w:t>
      </w:r>
    </w:p>
    <w:p w14:paraId="2255C631">
      <w:pPr>
        <w:snapToGrid w:val="0"/>
        <w:spacing w:before="0" w:after="0" w:line="360" w:lineRule="auto"/>
        <w:ind w:firstLine="480" w:firstLineChars="200"/>
        <w:rPr>
          <w:rFonts w:hint="eastAsia" w:ascii="宋体" w:hAnsi="宋体" w:eastAsia="宋体" w:cs="宋体"/>
          <w:color w:val="auto"/>
          <w:sz w:val="24"/>
          <w:highlight w:val="none"/>
        </w:rPr>
      </w:pPr>
      <w:r>
        <w:rPr>
          <w:rFonts w:ascii="宋体" w:hAnsi="宋体" w:eastAsia="宋体" w:cs="宋体"/>
          <w:color w:val="auto"/>
          <w:sz w:val="24"/>
          <w:highlight w:val="none"/>
        </w:rPr>
        <w:t>人防地下室的战时通风系统设计应符合相关的国家人防工程设计规范，并应考虑平战结合设计。</w:t>
      </w:r>
    </w:p>
    <w:p w14:paraId="4FA1141A">
      <w:pPr>
        <w:snapToGrid w:val="0"/>
        <w:spacing w:before="0" w:after="0"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6</w:t>
      </w:r>
      <w:r>
        <w:rPr>
          <w:rFonts w:ascii="宋体" w:hAnsi="宋体" w:eastAsia="宋体" w:cs="宋体"/>
          <w:color w:val="auto"/>
          <w:sz w:val="24"/>
          <w:highlight w:val="none"/>
        </w:rPr>
        <w:t>、防烟、排烟与通风空调系统防火措施满足国家相关规范要求。</w:t>
      </w:r>
    </w:p>
    <w:p w14:paraId="718CFC2A">
      <w:pPr>
        <w:snapToGrid w:val="0"/>
        <w:spacing w:before="0" w:after="0"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7</w:t>
      </w:r>
      <w:r>
        <w:rPr>
          <w:rFonts w:ascii="宋体" w:hAnsi="宋体" w:eastAsia="宋体" w:cs="宋体"/>
          <w:color w:val="auto"/>
          <w:sz w:val="24"/>
          <w:highlight w:val="none"/>
        </w:rPr>
        <w:t>、空调通风设备应选用高效节能、低噪声、质量可靠、技术先进、维护、保养方便、使用寿命长和综合性价比优的产品。 </w:t>
      </w:r>
    </w:p>
    <w:p w14:paraId="48B2C57A">
      <w:pPr>
        <w:pStyle w:val="4"/>
        <w:snapToGrid w:val="0"/>
        <w:spacing w:before="100" w:after="100" w:line="360" w:lineRule="auto"/>
        <w:ind w:left="0" w:firstLine="0"/>
        <w:rPr>
          <w:color w:val="auto"/>
          <w:sz w:val="24"/>
          <w:szCs w:val="22"/>
          <w:highlight w:val="none"/>
        </w:rPr>
      </w:pPr>
      <w:bookmarkStart w:id="61" w:name="_Toc7495"/>
      <w:r>
        <w:rPr>
          <w:rFonts w:ascii="宋体" w:hAnsi="宋体" w:eastAsia="宋体" w:cs="宋体"/>
          <w:color w:val="auto"/>
          <w:sz w:val="24"/>
          <w:szCs w:val="22"/>
          <w:highlight w:val="none"/>
        </w:rPr>
        <w:t>智能化工程设计要求</w:t>
      </w:r>
      <w:bookmarkEnd w:id="61"/>
    </w:p>
    <w:p w14:paraId="0D4EBAA8">
      <w:pPr>
        <w:snapToGrid w:val="0"/>
        <w:spacing w:before="0" w:after="0" w:line="360" w:lineRule="auto"/>
        <w:ind w:firstLine="480" w:firstLineChars="200"/>
        <w:rPr>
          <w:rFonts w:hint="eastAsia" w:ascii="宋体" w:hAnsi="宋体" w:eastAsia="宋体" w:cs="宋体"/>
          <w:color w:val="auto"/>
          <w:sz w:val="24"/>
          <w:highlight w:val="none"/>
        </w:rPr>
      </w:pPr>
      <w:r>
        <w:rPr>
          <w:rFonts w:ascii="宋体" w:hAnsi="宋体" w:eastAsia="宋体" w:cs="宋体"/>
          <w:color w:val="auto"/>
          <w:sz w:val="24"/>
          <w:highlight w:val="none"/>
        </w:rPr>
        <w:t>1、应遵循安全可靠、经济合理、安装维护方便的原则。</w:t>
      </w:r>
    </w:p>
    <w:p w14:paraId="205B70A3">
      <w:pPr>
        <w:snapToGrid w:val="0"/>
        <w:spacing w:before="0" w:after="0" w:line="360" w:lineRule="auto"/>
        <w:ind w:firstLine="480" w:firstLineChars="200"/>
        <w:rPr>
          <w:rFonts w:hint="eastAsia" w:ascii="宋体" w:hAnsi="宋体" w:eastAsia="宋体" w:cs="宋体"/>
          <w:color w:val="auto"/>
          <w:sz w:val="24"/>
          <w:highlight w:val="none"/>
        </w:rPr>
      </w:pPr>
      <w:r>
        <w:rPr>
          <w:rFonts w:ascii="宋体" w:hAnsi="宋体" w:eastAsia="宋体" w:cs="宋体"/>
          <w:color w:val="auto"/>
          <w:sz w:val="24"/>
          <w:highlight w:val="none"/>
        </w:rPr>
        <w:t>2、设计单位按照《广东省安全技术防范管理条例》、《广东省安全技术防范管理条例实施办法》、《广东省公共安全视频图像信息系统管理办法》等规定进行安防设计和设备设施选用，若需按要求另行委托对应资质的单位进行设计的，必须报承建单位同意，且费用不另行计算。</w:t>
      </w:r>
    </w:p>
    <w:p w14:paraId="6EFCDA21">
      <w:pPr>
        <w:snapToGrid w:val="0"/>
        <w:spacing w:before="0" w:after="0" w:line="360" w:lineRule="auto"/>
        <w:ind w:firstLine="480" w:firstLineChars="200"/>
        <w:rPr>
          <w:rFonts w:hint="eastAsia" w:ascii="宋体" w:hAnsi="宋体" w:eastAsia="宋体" w:cs="宋体"/>
          <w:color w:val="auto"/>
          <w:sz w:val="24"/>
          <w:highlight w:val="none"/>
        </w:rPr>
      </w:pPr>
      <w:r>
        <w:rPr>
          <w:rFonts w:ascii="宋体" w:hAnsi="宋体" w:eastAsia="宋体" w:cs="宋体"/>
          <w:color w:val="auto"/>
          <w:sz w:val="24"/>
          <w:highlight w:val="none"/>
        </w:rPr>
        <w:t>2、设计内容包括：</w:t>
      </w:r>
    </w:p>
    <w:p w14:paraId="754917AD">
      <w:pPr>
        <w:snapToGrid w:val="0"/>
        <w:spacing w:before="0" w:after="0" w:line="360" w:lineRule="auto"/>
        <w:ind w:firstLine="480" w:firstLineChars="200"/>
        <w:rPr>
          <w:rFonts w:hint="eastAsia" w:ascii="宋体" w:hAnsi="宋体" w:eastAsia="宋体" w:cs="宋体"/>
          <w:color w:val="auto"/>
          <w:sz w:val="24"/>
          <w:highlight w:val="none"/>
        </w:rPr>
      </w:pPr>
      <w:r>
        <w:rPr>
          <w:rFonts w:ascii="宋体" w:hAnsi="宋体" w:eastAsia="宋体" w:cs="宋体"/>
          <w:color w:val="auto"/>
          <w:sz w:val="24"/>
          <w:highlight w:val="none"/>
        </w:rPr>
        <w:t>1）综合布线系统（GCS）（含网络布线，电话布线）</w:t>
      </w:r>
    </w:p>
    <w:p w14:paraId="101E3313">
      <w:pPr>
        <w:snapToGrid w:val="0"/>
        <w:spacing w:before="0" w:after="0" w:line="360" w:lineRule="auto"/>
        <w:ind w:firstLine="480" w:firstLineChars="200"/>
        <w:rPr>
          <w:rFonts w:hint="eastAsia" w:ascii="宋体" w:hAnsi="宋体" w:eastAsia="宋体" w:cs="宋体"/>
          <w:color w:val="auto"/>
          <w:sz w:val="24"/>
          <w:highlight w:val="none"/>
        </w:rPr>
      </w:pPr>
      <w:r>
        <w:rPr>
          <w:rFonts w:ascii="宋体" w:hAnsi="宋体" w:eastAsia="宋体" w:cs="宋体"/>
          <w:color w:val="auto"/>
          <w:sz w:val="24"/>
          <w:highlight w:val="none"/>
        </w:rPr>
        <w:t>2) 计算机网络系统</w:t>
      </w:r>
    </w:p>
    <w:p w14:paraId="719A10AE">
      <w:pPr>
        <w:snapToGrid w:val="0"/>
        <w:spacing w:before="0" w:after="0" w:line="360" w:lineRule="auto"/>
        <w:ind w:firstLine="480" w:firstLineChars="200"/>
        <w:rPr>
          <w:rFonts w:hint="eastAsia" w:ascii="宋体" w:hAnsi="宋体" w:eastAsia="宋体" w:cs="宋体"/>
          <w:color w:val="auto"/>
          <w:sz w:val="24"/>
          <w:highlight w:val="none"/>
        </w:rPr>
      </w:pPr>
      <w:r>
        <w:rPr>
          <w:rFonts w:ascii="宋体" w:hAnsi="宋体" w:eastAsia="宋体" w:cs="宋体"/>
          <w:color w:val="auto"/>
          <w:sz w:val="24"/>
          <w:highlight w:val="none"/>
        </w:rPr>
        <w:t>3）光纤到户系统</w:t>
      </w:r>
    </w:p>
    <w:p w14:paraId="3E7EC691">
      <w:pPr>
        <w:snapToGrid w:val="0"/>
        <w:spacing w:before="0" w:after="0" w:line="360" w:lineRule="auto"/>
        <w:ind w:firstLine="480" w:firstLineChars="200"/>
        <w:rPr>
          <w:rFonts w:hint="eastAsia" w:ascii="宋体" w:hAnsi="宋体" w:eastAsia="宋体" w:cs="宋体"/>
          <w:color w:val="auto"/>
          <w:sz w:val="24"/>
          <w:highlight w:val="none"/>
        </w:rPr>
      </w:pPr>
      <w:r>
        <w:rPr>
          <w:rFonts w:ascii="宋体" w:hAnsi="宋体" w:eastAsia="宋体" w:cs="宋体"/>
          <w:color w:val="auto"/>
          <w:sz w:val="24"/>
          <w:highlight w:val="none"/>
        </w:rPr>
        <w:t>4）电子信息发布系统</w:t>
      </w:r>
    </w:p>
    <w:p w14:paraId="20947D1F">
      <w:pPr>
        <w:snapToGrid w:val="0"/>
        <w:spacing w:before="0" w:after="0" w:line="360" w:lineRule="auto"/>
        <w:ind w:firstLine="480" w:firstLineChars="200"/>
        <w:rPr>
          <w:rFonts w:hint="eastAsia" w:ascii="宋体" w:hAnsi="宋体" w:eastAsia="宋体" w:cs="宋体"/>
          <w:color w:val="auto"/>
          <w:sz w:val="24"/>
          <w:highlight w:val="none"/>
        </w:rPr>
      </w:pPr>
      <w:r>
        <w:rPr>
          <w:rFonts w:ascii="宋体" w:hAnsi="宋体" w:eastAsia="宋体" w:cs="宋体"/>
          <w:color w:val="auto"/>
          <w:sz w:val="24"/>
          <w:highlight w:val="none"/>
        </w:rPr>
        <w:t>5）多功能会议系统</w:t>
      </w:r>
    </w:p>
    <w:p w14:paraId="7B90DCEF">
      <w:pPr>
        <w:snapToGrid w:val="0"/>
        <w:spacing w:before="0" w:after="0" w:line="360" w:lineRule="auto"/>
        <w:ind w:firstLine="480" w:firstLineChars="200"/>
        <w:rPr>
          <w:rFonts w:hint="eastAsia" w:ascii="宋体" w:hAnsi="宋体" w:eastAsia="宋体" w:cs="宋体"/>
          <w:color w:val="auto"/>
          <w:sz w:val="24"/>
          <w:highlight w:val="none"/>
        </w:rPr>
      </w:pPr>
      <w:r>
        <w:rPr>
          <w:rFonts w:ascii="宋体" w:hAnsi="宋体" w:eastAsia="宋体" w:cs="宋体"/>
          <w:color w:val="auto"/>
          <w:sz w:val="24"/>
          <w:highlight w:val="none"/>
        </w:rPr>
        <w:t>6）视频监控系统</w:t>
      </w:r>
    </w:p>
    <w:p w14:paraId="7F78B262">
      <w:pPr>
        <w:snapToGrid w:val="0"/>
        <w:spacing w:before="0" w:after="0" w:line="360" w:lineRule="auto"/>
        <w:ind w:firstLine="480" w:firstLineChars="200"/>
        <w:rPr>
          <w:rFonts w:hint="eastAsia" w:ascii="宋体" w:hAnsi="宋体" w:eastAsia="宋体" w:cs="宋体"/>
          <w:color w:val="auto"/>
          <w:sz w:val="24"/>
          <w:highlight w:val="none"/>
        </w:rPr>
      </w:pPr>
      <w:r>
        <w:rPr>
          <w:rFonts w:ascii="宋体" w:hAnsi="宋体" w:eastAsia="宋体" w:cs="宋体"/>
          <w:color w:val="auto"/>
          <w:sz w:val="24"/>
          <w:highlight w:val="none"/>
        </w:rPr>
        <w:t>7）停车场管理系统</w:t>
      </w:r>
    </w:p>
    <w:p w14:paraId="546059A7">
      <w:pPr>
        <w:snapToGrid w:val="0"/>
        <w:spacing w:before="0" w:after="0" w:line="360" w:lineRule="auto"/>
        <w:ind w:firstLine="480" w:firstLineChars="200"/>
        <w:rPr>
          <w:rFonts w:hint="eastAsia" w:ascii="宋体" w:hAnsi="宋体" w:eastAsia="宋体" w:cs="宋体"/>
          <w:color w:val="auto"/>
          <w:sz w:val="24"/>
          <w:highlight w:val="none"/>
        </w:rPr>
      </w:pPr>
      <w:r>
        <w:rPr>
          <w:rFonts w:ascii="宋体" w:hAnsi="宋体" w:eastAsia="宋体" w:cs="宋体"/>
          <w:color w:val="auto"/>
          <w:sz w:val="24"/>
          <w:highlight w:val="none"/>
        </w:rPr>
        <w:t>8）出入口管理（门禁系统、访客系统）</w:t>
      </w:r>
    </w:p>
    <w:p w14:paraId="0F5C45D8">
      <w:pPr>
        <w:snapToGrid w:val="0"/>
        <w:spacing w:before="0" w:after="0" w:line="360" w:lineRule="auto"/>
        <w:ind w:firstLine="480" w:firstLineChars="200"/>
        <w:rPr>
          <w:rFonts w:hint="eastAsia" w:ascii="宋体" w:hAnsi="宋体" w:eastAsia="宋体" w:cs="宋体"/>
          <w:color w:val="auto"/>
          <w:sz w:val="24"/>
          <w:highlight w:val="none"/>
        </w:rPr>
      </w:pPr>
      <w:r>
        <w:rPr>
          <w:rFonts w:ascii="宋体" w:hAnsi="宋体" w:eastAsia="宋体" w:cs="宋体"/>
          <w:color w:val="auto"/>
          <w:sz w:val="24"/>
          <w:highlight w:val="none"/>
        </w:rPr>
        <w:t>9）入侵报警系统</w:t>
      </w:r>
    </w:p>
    <w:p w14:paraId="61F031B4">
      <w:pPr>
        <w:snapToGrid w:val="0"/>
        <w:spacing w:before="0" w:after="0" w:line="360" w:lineRule="auto"/>
        <w:ind w:firstLine="480" w:firstLineChars="200"/>
        <w:rPr>
          <w:rFonts w:hint="eastAsia" w:ascii="宋体" w:hAnsi="宋体" w:eastAsia="宋体" w:cs="宋体"/>
          <w:color w:val="auto"/>
          <w:sz w:val="24"/>
          <w:highlight w:val="none"/>
        </w:rPr>
      </w:pPr>
      <w:r>
        <w:rPr>
          <w:rFonts w:ascii="宋体" w:hAnsi="宋体" w:eastAsia="宋体" w:cs="宋体"/>
          <w:color w:val="auto"/>
          <w:sz w:val="24"/>
          <w:highlight w:val="none"/>
        </w:rPr>
        <w:t>10）无线巡更系统</w:t>
      </w:r>
    </w:p>
    <w:p w14:paraId="56AFB61C">
      <w:pPr>
        <w:snapToGrid w:val="0"/>
        <w:spacing w:before="0" w:after="0" w:line="360" w:lineRule="auto"/>
        <w:ind w:firstLine="480" w:firstLineChars="200"/>
        <w:rPr>
          <w:rFonts w:hint="eastAsia" w:ascii="宋体" w:hAnsi="宋体" w:eastAsia="宋体" w:cs="宋体"/>
          <w:color w:val="auto"/>
          <w:sz w:val="24"/>
          <w:highlight w:val="none"/>
        </w:rPr>
      </w:pPr>
      <w:r>
        <w:rPr>
          <w:rFonts w:ascii="宋体" w:hAnsi="宋体" w:eastAsia="宋体" w:cs="宋体"/>
          <w:color w:val="auto"/>
          <w:sz w:val="24"/>
          <w:highlight w:val="none"/>
        </w:rPr>
        <w:t>11）无线对讲系统</w:t>
      </w:r>
    </w:p>
    <w:p w14:paraId="2DEA2358">
      <w:pPr>
        <w:snapToGrid w:val="0"/>
        <w:spacing w:before="0" w:after="0" w:line="360" w:lineRule="auto"/>
        <w:ind w:firstLine="480" w:firstLineChars="200"/>
        <w:rPr>
          <w:rFonts w:hint="eastAsia" w:ascii="宋体" w:hAnsi="宋体" w:eastAsia="宋体" w:cs="宋体"/>
          <w:color w:val="auto"/>
          <w:sz w:val="24"/>
          <w:highlight w:val="none"/>
        </w:rPr>
      </w:pPr>
      <w:r>
        <w:rPr>
          <w:rFonts w:ascii="宋体" w:hAnsi="宋体" w:eastAsia="宋体" w:cs="宋体"/>
          <w:color w:val="auto"/>
          <w:sz w:val="24"/>
          <w:highlight w:val="none"/>
        </w:rPr>
        <w:t>12）公共广播及背景音乐</w:t>
      </w:r>
    </w:p>
    <w:p w14:paraId="0A5AB246">
      <w:pPr>
        <w:snapToGrid w:val="0"/>
        <w:spacing w:before="0" w:after="0" w:line="360" w:lineRule="auto"/>
        <w:ind w:firstLine="480" w:firstLineChars="200"/>
        <w:rPr>
          <w:rFonts w:hint="eastAsia" w:ascii="宋体" w:hAnsi="宋体" w:eastAsia="宋体" w:cs="宋体"/>
          <w:color w:val="auto"/>
          <w:sz w:val="24"/>
          <w:highlight w:val="none"/>
        </w:rPr>
      </w:pPr>
      <w:r>
        <w:rPr>
          <w:rFonts w:ascii="宋体" w:hAnsi="宋体" w:eastAsia="宋体" w:cs="宋体"/>
          <w:color w:val="auto"/>
          <w:sz w:val="24"/>
          <w:highlight w:val="none"/>
        </w:rPr>
        <w:t>13）电梯五方通话</w:t>
      </w:r>
    </w:p>
    <w:p w14:paraId="5475EFF6">
      <w:pPr>
        <w:snapToGrid w:val="0"/>
        <w:spacing w:before="0" w:after="0" w:line="360" w:lineRule="auto"/>
        <w:ind w:firstLine="480" w:firstLineChars="200"/>
        <w:rPr>
          <w:rFonts w:hint="eastAsia" w:ascii="宋体" w:hAnsi="宋体" w:eastAsia="宋体" w:cs="宋体"/>
          <w:color w:val="auto"/>
          <w:sz w:val="24"/>
          <w:highlight w:val="none"/>
        </w:rPr>
      </w:pPr>
      <w:r>
        <w:rPr>
          <w:rFonts w:ascii="宋体" w:hAnsi="宋体" w:eastAsia="宋体" w:cs="宋体"/>
          <w:color w:val="auto"/>
          <w:sz w:val="24"/>
          <w:highlight w:val="none"/>
        </w:rPr>
        <w:t>14）建筑设备监控系统（BAS）</w:t>
      </w:r>
    </w:p>
    <w:p w14:paraId="4B83839D">
      <w:pPr>
        <w:snapToGrid w:val="0"/>
        <w:spacing w:before="0" w:after="0" w:line="360" w:lineRule="auto"/>
        <w:ind w:firstLine="480" w:firstLineChars="200"/>
        <w:rPr>
          <w:rFonts w:hint="eastAsia" w:ascii="宋体" w:hAnsi="宋体" w:eastAsia="宋体" w:cs="宋体"/>
          <w:color w:val="auto"/>
          <w:sz w:val="24"/>
          <w:highlight w:val="none"/>
        </w:rPr>
      </w:pPr>
      <w:r>
        <w:rPr>
          <w:rFonts w:ascii="宋体" w:hAnsi="宋体" w:eastAsia="宋体" w:cs="宋体"/>
          <w:color w:val="auto"/>
          <w:sz w:val="24"/>
          <w:highlight w:val="none"/>
        </w:rPr>
        <w:t>15）智能照明系统</w:t>
      </w:r>
    </w:p>
    <w:p w14:paraId="0F5CF04F">
      <w:pPr>
        <w:snapToGrid w:val="0"/>
        <w:spacing w:before="0" w:after="0" w:line="360" w:lineRule="auto"/>
        <w:ind w:firstLine="480" w:firstLineChars="200"/>
        <w:rPr>
          <w:rFonts w:hint="eastAsia" w:ascii="宋体" w:hAnsi="宋体" w:eastAsia="宋体" w:cs="宋体"/>
          <w:color w:val="auto"/>
          <w:sz w:val="24"/>
          <w:highlight w:val="none"/>
        </w:rPr>
      </w:pPr>
      <w:r>
        <w:rPr>
          <w:rFonts w:ascii="宋体" w:hAnsi="宋体" w:eastAsia="宋体" w:cs="宋体"/>
          <w:color w:val="auto"/>
          <w:sz w:val="24"/>
          <w:highlight w:val="none"/>
        </w:rPr>
        <w:t>16）远程智能抄表系统</w:t>
      </w:r>
    </w:p>
    <w:p w14:paraId="7B7BCB1B">
      <w:pPr>
        <w:snapToGrid w:val="0"/>
        <w:spacing w:before="0" w:after="0" w:line="360" w:lineRule="auto"/>
        <w:ind w:firstLine="480" w:firstLineChars="200"/>
        <w:rPr>
          <w:rFonts w:hint="eastAsia" w:ascii="宋体" w:hAnsi="宋体" w:eastAsia="宋体" w:cs="宋体"/>
          <w:color w:val="auto"/>
          <w:sz w:val="24"/>
          <w:highlight w:val="none"/>
        </w:rPr>
      </w:pPr>
      <w:r>
        <w:rPr>
          <w:rFonts w:ascii="宋体" w:hAnsi="宋体" w:eastAsia="宋体" w:cs="宋体"/>
          <w:color w:val="auto"/>
          <w:sz w:val="24"/>
          <w:highlight w:val="none"/>
        </w:rPr>
        <w:t>17）智能化可视化综合管理平台</w:t>
      </w:r>
    </w:p>
    <w:p w14:paraId="572BC4CA">
      <w:pPr>
        <w:snapToGrid w:val="0"/>
        <w:spacing w:before="0" w:after="0" w:line="360" w:lineRule="auto"/>
        <w:ind w:firstLine="480" w:firstLineChars="200"/>
        <w:rPr>
          <w:rFonts w:hint="eastAsia" w:ascii="宋体" w:hAnsi="宋体" w:eastAsia="宋体" w:cs="宋体"/>
          <w:color w:val="auto"/>
          <w:sz w:val="24"/>
          <w:highlight w:val="none"/>
        </w:rPr>
      </w:pPr>
      <w:r>
        <w:rPr>
          <w:rFonts w:ascii="宋体" w:hAnsi="宋体" w:eastAsia="宋体" w:cs="宋体"/>
          <w:color w:val="auto"/>
          <w:sz w:val="24"/>
          <w:highlight w:val="none"/>
        </w:rPr>
        <w:t>18）智能化系统的配电（含UPS配电）</w:t>
      </w:r>
    </w:p>
    <w:p w14:paraId="45296E7F">
      <w:pPr>
        <w:snapToGrid w:val="0"/>
        <w:spacing w:before="0" w:after="0" w:line="360" w:lineRule="auto"/>
        <w:ind w:firstLine="480" w:firstLineChars="200"/>
        <w:rPr>
          <w:rFonts w:hint="eastAsia" w:ascii="宋体" w:hAnsi="宋体" w:eastAsia="宋体" w:cs="宋体"/>
          <w:color w:val="auto"/>
          <w:sz w:val="24"/>
          <w:highlight w:val="none"/>
        </w:rPr>
      </w:pPr>
      <w:r>
        <w:rPr>
          <w:rFonts w:ascii="宋体" w:hAnsi="宋体" w:eastAsia="宋体" w:cs="宋体"/>
          <w:color w:val="auto"/>
          <w:sz w:val="24"/>
          <w:highlight w:val="none"/>
        </w:rPr>
        <w:t>19）机房工程</w:t>
      </w:r>
    </w:p>
    <w:p w14:paraId="6180D44D">
      <w:pPr>
        <w:snapToGrid w:val="0"/>
        <w:spacing w:before="0" w:after="0" w:line="360" w:lineRule="auto"/>
        <w:ind w:firstLine="480" w:firstLineChars="200"/>
        <w:rPr>
          <w:rFonts w:hint="eastAsia" w:ascii="宋体" w:hAnsi="宋体" w:eastAsia="宋体" w:cs="宋体"/>
          <w:color w:val="auto"/>
          <w:sz w:val="24"/>
          <w:highlight w:val="none"/>
        </w:rPr>
      </w:pPr>
      <w:r>
        <w:rPr>
          <w:rFonts w:ascii="宋体" w:hAnsi="宋体" w:eastAsia="宋体" w:cs="宋体"/>
          <w:color w:val="auto"/>
          <w:sz w:val="24"/>
          <w:highlight w:val="none"/>
        </w:rPr>
        <w:t>20）智能化系统防雷与接地</w:t>
      </w:r>
    </w:p>
    <w:p w14:paraId="265D89D5">
      <w:pPr>
        <w:snapToGrid w:val="0"/>
        <w:spacing w:before="0" w:after="0" w:line="360" w:lineRule="auto"/>
        <w:ind w:firstLine="480" w:firstLineChars="200"/>
        <w:rPr>
          <w:rFonts w:hint="eastAsia" w:ascii="宋体" w:hAnsi="宋体" w:eastAsia="宋体" w:cs="宋体"/>
          <w:color w:val="auto"/>
          <w:sz w:val="24"/>
          <w:highlight w:val="none"/>
        </w:rPr>
      </w:pPr>
      <w:r>
        <w:rPr>
          <w:rFonts w:ascii="宋体" w:hAnsi="宋体" w:eastAsia="宋体" w:cs="宋体"/>
          <w:color w:val="auto"/>
          <w:sz w:val="24"/>
          <w:highlight w:val="none"/>
        </w:rPr>
        <w:t>3、安防控制中心与消防控制中心合并或紧邻设置。</w:t>
      </w:r>
    </w:p>
    <w:p w14:paraId="6D7D6D85">
      <w:pPr>
        <w:snapToGrid w:val="0"/>
        <w:spacing w:before="0" w:after="0" w:line="360" w:lineRule="auto"/>
        <w:ind w:firstLine="480" w:firstLineChars="200"/>
        <w:rPr>
          <w:rFonts w:hint="eastAsia" w:ascii="宋体" w:hAnsi="宋体" w:eastAsia="宋体" w:cs="宋体"/>
          <w:color w:val="auto"/>
          <w:sz w:val="24"/>
          <w:highlight w:val="none"/>
        </w:rPr>
      </w:pPr>
      <w:r>
        <w:rPr>
          <w:rFonts w:ascii="宋体" w:hAnsi="宋体" w:eastAsia="宋体" w:cs="宋体"/>
          <w:color w:val="auto"/>
          <w:sz w:val="24"/>
          <w:highlight w:val="none"/>
        </w:rPr>
        <w:t>4、智能化系统的设计应充分考虑各专业的协调配合。</w:t>
      </w:r>
    </w:p>
    <w:p w14:paraId="7FDF698B">
      <w:pPr>
        <w:snapToGrid w:val="0"/>
        <w:spacing w:before="0" w:after="0" w:line="360" w:lineRule="auto"/>
        <w:ind w:firstLine="480" w:firstLineChars="200"/>
        <w:rPr>
          <w:rFonts w:hint="eastAsia" w:ascii="宋体" w:hAnsi="宋体" w:eastAsia="宋体" w:cs="宋体"/>
          <w:color w:val="auto"/>
          <w:sz w:val="24"/>
          <w:highlight w:val="none"/>
        </w:rPr>
      </w:pPr>
      <w:r>
        <w:rPr>
          <w:rFonts w:ascii="宋体" w:hAnsi="宋体" w:eastAsia="宋体" w:cs="宋体"/>
          <w:color w:val="auto"/>
          <w:sz w:val="24"/>
          <w:highlight w:val="none"/>
        </w:rPr>
        <w:t>5、各功能区域、各智能化系统应作为一个整体进行统筹优化设计，既满足各功能区域智能化系统的有机联系，又满足各系统独立管理的要求。</w:t>
      </w:r>
    </w:p>
    <w:p w14:paraId="38E0FECB">
      <w:pPr>
        <w:snapToGrid w:val="0"/>
        <w:spacing w:before="0" w:after="0" w:line="360" w:lineRule="auto"/>
        <w:ind w:firstLine="480" w:firstLineChars="200"/>
        <w:rPr>
          <w:rFonts w:hint="eastAsia" w:ascii="宋体" w:hAnsi="宋体" w:eastAsia="宋体" w:cs="宋体"/>
          <w:color w:val="auto"/>
          <w:sz w:val="24"/>
          <w:highlight w:val="none"/>
        </w:rPr>
      </w:pPr>
      <w:r>
        <w:rPr>
          <w:rFonts w:ascii="宋体" w:hAnsi="宋体" w:eastAsia="宋体" w:cs="宋体"/>
          <w:color w:val="auto"/>
          <w:sz w:val="24"/>
          <w:highlight w:val="none"/>
        </w:rPr>
        <w:t>6、系统设计与设备选型应采用先进成熟、稳定可靠的主流技术和主流产品，并已在国内工程得到成熟应用的技术和设备。</w:t>
      </w:r>
    </w:p>
    <w:p w14:paraId="2A9B90FB">
      <w:pPr>
        <w:snapToGrid w:val="0"/>
        <w:spacing w:before="0" w:after="0" w:line="360" w:lineRule="auto"/>
        <w:ind w:firstLine="480" w:firstLineChars="200"/>
        <w:rPr>
          <w:rFonts w:hint="eastAsia" w:ascii="宋体" w:hAnsi="宋体" w:eastAsia="宋体" w:cs="宋体"/>
          <w:color w:val="auto"/>
          <w:sz w:val="24"/>
          <w:highlight w:val="none"/>
        </w:rPr>
      </w:pPr>
      <w:r>
        <w:rPr>
          <w:rFonts w:ascii="宋体" w:hAnsi="宋体" w:eastAsia="宋体" w:cs="宋体"/>
          <w:color w:val="auto"/>
          <w:sz w:val="24"/>
          <w:highlight w:val="none"/>
        </w:rPr>
        <w:t>7、所有系统设备应选用标准化产品，设备选型应与技术发展的趋势相适应。遵循开放性原则，软件、硬件、通信接口、网络操作系统和数据库管理系统等应符合国际标准，使系统具备良好的兼容性和扩展性。</w:t>
      </w:r>
    </w:p>
    <w:p w14:paraId="2D15C1DB">
      <w:pPr>
        <w:snapToGrid w:val="0"/>
        <w:spacing w:before="0" w:after="0" w:line="360" w:lineRule="auto"/>
        <w:ind w:firstLine="480" w:firstLineChars="200"/>
        <w:rPr>
          <w:rFonts w:hint="eastAsia" w:ascii="宋体" w:hAnsi="宋体" w:eastAsia="宋体" w:cs="宋体"/>
          <w:color w:val="auto"/>
          <w:sz w:val="24"/>
          <w:highlight w:val="none"/>
        </w:rPr>
      </w:pPr>
      <w:r>
        <w:rPr>
          <w:rFonts w:ascii="宋体" w:hAnsi="宋体" w:eastAsia="宋体" w:cs="宋体"/>
          <w:color w:val="auto"/>
          <w:sz w:val="24"/>
          <w:highlight w:val="none"/>
        </w:rPr>
        <w:t>8、系统软件应采用中文操作界面。</w:t>
      </w:r>
    </w:p>
    <w:p w14:paraId="36BAABC7">
      <w:pPr>
        <w:snapToGrid w:val="0"/>
        <w:spacing w:before="0" w:after="0" w:line="360" w:lineRule="auto"/>
        <w:ind w:firstLine="480" w:firstLineChars="200"/>
        <w:rPr>
          <w:rFonts w:hint="eastAsia" w:ascii="宋体" w:hAnsi="宋体" w:eastAsia="宋体" w:cs="宋体"/>
          <w:color w:val="auto"/>
          <w:sz w:val="24"/>
          <w:highlight w:val="none"/>
        </w:rPr>
      </w:pPr>
      <w:r>
        <w:rPr>
          <w:rFonts w:ascii="宋体" w:hAnsi="宋体" w:eastAsia="宋体" w:cs="宋体"/>
          <w:color w:val="auto"/>
          <w:sz w:val="24"/>
          <w:highlight w:val="none"/>
        </w:rPr>
        <w:t>9、各建筑物应预埋一定数量的弱电进户管道与室外的管网相连。</w:t>
      </w:r>
    </w:p>
    <w:p w14:paraId="325CB421">
      <w:pPr>
        <w:pStyle w:val="4"/>
        <w:snapToGrid w:val="0"/>
        <w:spacing w:before="100" w:after="100" w:line="360" w:lineRule="auto"/>
        <w:ind w:left="0" w:firstLine="0"/>
        <w:rPr>
          <w:color w:val="auto"/>
          <w:sz w:val="24"/>
          <w:szCs w:val="22"/>
          <w:highlight w:val="none"/>
        </w:rPr>
      </w:pPr>
      <w:bookmarkStart w:id="62" w:name="_Toc9369"/>
      <w:r>
        <w:rPr>
          <w:rFonts w:ascii="宋体" w:hAnsi="宋体" w:eastAsia="宋体" w:cs="宋体"/>
          <w:color w:val="auto"/>
          <w:sz w:val="24"/>
          <w:szCs w:val="22"/>
          <w:highlight w:val="none"/>
        </w:rPr>
        <w:t>电梯设备设计要求</w:t>
      </w:r>
      <w:bookmarkEnd w:id="62"/>
    </w:p>
    <w:p w14:paraId="297730BA">
      <w:pPr>
        <w:snapToGrid w:val="0"/>
        <w:spacing w:before="0" w:after="0" w:line="360" w:lineRule="auto"/>
        <w:ind w:firstLine="480" w:firstLineChars="200"/>
        <w:rPr>
          <w:rFonts w:hint="eastAsia" w:ascii="宋体" w:hAnsi="宋体" w:eastAsia="宋体" w:cs="宋体"/>
          <w:color w:val="auto"/>
          <w:sz w:val="24"/>
          <w:highlight w:val="none"/>
        </w:rPr>
      </w:pPr>
      <w:r>
        <w:rPr>
          <w:rFonts w:ascii="宋体" w:hAnsi="宋体" w:eastAsia="宋体" w:cs="宋体"/>
          <w:color w:val="auto"/>
          <w:sz w:val="24"/>
          <w:highlight w:val="none"/>
        </w:rPr>
        <w:t>1、本项目要根据工程方案中楼房的层高、层数和建筑面积、功能、人流状况设置电梯。</w:t>
      </w:r>
    </w:p>
    <w:p w14:paraId="5C952822">
      <w:pPr>
        <w:snapToGrid w:val="0"/>
        <w:spacing w:before="0" w:after="0" w:line="360" w:lineRule="auto"/>
        <w:ind w:firstLine="480" w:firstLineChars="200"/>
        <w:rPr>
          <w:rFonts w:hint="eastAsia" w:ascii="宋体" w:hAnsi="宋体" w:eastAsia="宋体" w:cs="宋体"/>
          <w:color w:val="auto"/>
          <w:sz w:val="24"/>
          <w:highlight w:val="none"/>
        </w:rPr>
      </w:pPr>
      <w:r>
        <w:rPr>
          <w:rFonts w:ascii="宋体" w:hAnsi="宋体" w:eastAsia="宋体" w:cs="宋体"/>
          <w:color w:val="auto"/>
          <w:sz w:val="24"/>
          <w:highlight w:val="none"/>
        </w:rPr>
        <w:t>2、电梯的型号和厢门材料、结构、上升速度、设置数量，均应在规划设计阶段配合建筑类型和装饰标准考虑。</w:t>
      </w:r>
    </w:p>
    <w:p w14:paraId="61319503">
      <w:pPr>
        <w:snapToGrid w:val="0"/>
        <w:spacing w:before="0" w:after="0" w:line="360" w:lineRule="auto"/>
        <w:ind w:firstLine="480" w:firstLineChars="200"/>
        <w:rPr>
          <w:rFonts w:hint="eastAsia" w:ascii="宋体" w:hAnsi="宋体" w:eastAsia="宋体" w:cs="宋体"/>
          <w:color w:val="auto"/>
          <w:sz w:val="24"/>
          <w:highlight w:val="none"/>
        </w:rPr>
      </w:pPr>
      <w:r>
        <w:rPr>
          <w:rFonts w:ascii="宋体" w:hAnsi="宋体" w:eastAsia="宋体" w:cs="宋体"/>
          <w:color w:val="auto"/>
          <w:sz w:val="24"/>
          <w:highlight w:val="none"/>
        </w:rPr>
        <w:t>3、结构井道预留需满足多数品牌电梯安装要求。</w:t>
      </w:r>
    </w:p>
    <w:p w14:paraId="462E8D2D">
      <w:pPr>
        <w:pStyle w:val="4"/>
        <w:snapToGrid w:val="0"/>
        <w:spacing w:before="100" w:after="100" w:line="360" w:lineRule="auto"/>
        <w:ind w:left="0" w:firstLine="0"/>
        <w:rPr>
          <w:color w:val="auto"/>
          <w:sz w:val="24"/>
          <w:highlight w:val="none"/>
        </w:rPr>
      </w:pPr>
      <w:bookmarkStart w:id="63" w:name="_Toc16196"/>
      <w:r>
        <w:rPr>
          <w:rFonts w:ascii="宋体" w:hAnsi="宋体" w:eastAsia="宋体" w:cs="宋体"/>
          <w:color w:val="auto"/>
          <w:sz w:val="24"/>
          <w:highlight w:val="none"/>
        </w:rPr>
        <w:t>市政设计(管廊)</w:t>
      </w:r>
      <w:bookmarkEnd w:id="63"/>
    </w:p>
    <w:p w14:paraId="02EABF35">
      <w:pPr>
        <w:pStyle w:val="5"/>
        <w:snapToGrid w:val="0"/>
        <w:spacing w:line="360" w:lineRule="auto"/>
        <w:ind w:left="0" w:firstLine="0"/>
        <w:rPr>
          <w:color w:val="auto"/>
          <w:highlight w:val="none"/>
        </w:rPr>
      </w:pPr>
      <w:r>
        <w:rPr>
          <w:rFonts w:ascii="宋体" w:hAnsi="宋体" w:eastAsia="宋体" w:cs="宋体"/>
          <w:color w:val="auto"/>
          <w:highlight w:val="none"/>
        </w:rPr>
        <w:t>总体及道路工程</w:t>
      </w:r>
    </w:p>
    <w:p w14:paraId="02B60F27">
      <w:pPr>
        <w:snapToGrid w:val="0"/>
        <w:spacing w:before="0" w:after="0" w:line="360" w:lineRule="auto"/>
        <w:ind w:firstLine="480" w:firstLineChars="200"/>
        <w:rPr>
          <w:rFonts w:hint="eastAsia" w:ascii="宋体" w:hAnsi="宋体" w:eastAsia="宋体" w:cs="宋体"/>
          <w:color w:val="auto"/>
          <w:sz w:val="24"/>
          <w:highlight w:val="none"/>
        </w:rPr>
      </w:pPr>
      <w:r>
        <w:rPr>
          <w:rFonts w:ascii="宋体" w:hAnsi="宋体" w:eastAsia="宋体" w:cs="宋体"/>
          <w:color w:val="auto"/>
          <w:sz w:val="24"/>
          <w:highlight w:val="none"/>
        </w:rPr>
        <w:t>根据道路的规划功能定位和现场实际条件，正确使用技术标准，妥善处理技术与经济、局部与整体、当前与长远的关系。在造价增加不多的情况下，尽量选用较高的技术指标。</w:t>
      </w:r>
    </w:p>
    <w:p w14:paraId="1D6FF5CF">
      <w:pPr>
        <w:snapToGrid w:val="0"/>
        <w:spacing w:before="0" w:after="0" w:line="360" w:lineRule="auto"/>
        <w:ind w:firstLine="480" w:firstLineChars="200"/>
        <w:rPr>
          <w:rFonts w:hint="eastAsia" w:ascii="宋体" w:hAnsi="宋体" w:eastAsia="宋体" w:cs="宋体"/>
          <w:color w:val="auto"/>
          <w:sz w:val="24"/>
          <w:highlight w:val="none"/>
        </w:rPr>
      </w:pPr>
      <w:r>
        <w:rPr>
          <w:rFonts w:ascii="宋体" w:hAnsi="宋体" w:eastAsia="宋体" w:cs="宋体"/>
          <w:color w:val="auto"/>
          <w:sz w:val="24"/>
          <w:highlight w:val="none"/>
        </w:rPr>
        <w:t>域内的城市道路按道路在路网中的地位、交通功能以及对沿线的服务功能，划分为城市次干路和城市支路两个等级。设计需合理布置道路横断面，车行道、人行道、绿化设施带等的布置需满足流量及绿化率的要求。</w:t>
      </w:r>
    </w:p>
    <w:p w14:paraId="6B35B7DF">
      <w:pPr>
        <w:snapToGrid w:val="0"/>
        <w:spacing w:before="0" w:after="0" w:line="360" w:lineRule="auto"/>
        <w:ind w:firstLine="480" w:firstLineChars="200"/>
        <w:rPr>
          <w:rFonts w:hint="eastAsia" w:ascii="宋体" w:hAnsi="宋体" w:eastAsia="宋体" w:cs="宋体"/>
          <w:color w:val="auto"/>
          <w:sz w:val="24"/>
          <w:highlight w:val="none"/>
        </w:rPr>
      </w:pPr>
      <w:r>
        <w:rPr>
          <w:rFonts w:ascii="宋体" w:hAnsi="宋体" w:eastAsia="宋体" w:cs="宋体"/>
          <w:color w:val="auto"/>
          <w:sz w:val="24"/>
          <w:highlight w:val="none"/>
        </w:rPr>
        <w:t>设计包括但不限于路基、路面、人行道铺装、边坡防护等，且满足城市道路工程相关规范标准。</w:t>
      </w:r>
    </w:p>
    <w:p w14:paraId="06DBC89F">
      <w:pPr>
        <w:pStyle w:val="5"/>
        <w:snapToGrid w:val="0"/>
        <w:spacing w:line="360" w:lineRule="auto"/>
        <w:ind w:left="0" w:firstLine="0"/>
        <w:rPr>
          <w:rFonts w:hint="eastAsia" w:ascii="宋体" w:hAnsi="宋体" w:eastAsia="宋体" w:cs="宋体"/>
          <w:color w:val="auto"/>
          <w:highlight w:val="none"/>
        </w:rPr>
      </w:pPr>
      <w:r>
        <w:rPr>
          <w:rFonts w:ascii="宋体" w:hAnsi="宋体" w:eastAsia="宋体" w:cs="宋体"/>
          <w:color w:val="auto"/>
          <w:highlight w:val="none"/>
        </w:rPr>
        <w:t>桥梁工程</w:t>
      </w:r>
    </w:p>
    <w:p w14:paraId="38AC30BD">
      <w:pPr>
        <w:snapToGrid w:val="0"/>
        <w:spacing w:before="0" w:after="0" w:line="360" w:lineRule="auto"/>
        <w:ind w:firstLine="480" w:firstLineChars="200"/>
        <w:rPr>
          <w:rFonts w:hint="eastAsia" w:ascii="宋体" w:hAnsi="宋体" w:eastAsia="宋体" w:cs="宋体"/>
          <w:color w:val="auto"/>
          <w:sz w:val="24"/>
          <w:highlight w:val="none"/>
        </w:rPr>
      </w:pPr>
      <w:r>
        <w:rPr>
          <w:rFonts w:ascii="宋体" w:hAnsi="宋体" w:eastAsia="宋体" w:cs="宋体"/>
          <w:color w:val="auto"/>
          <w:sz w:val="24"/>
          <w:highlight w:val="none"/>
        </w:rPr>
        <w:t>1、桥梁设计洪水频率：百年一遇。桥梁结构的设计基准期为 100年。</w:t>
      </w:r>
    </w:p>
    <w:p w14:paraId="40D6863F">
      <w:pPr>
        <w:snapToGrid w:val="0"/>
        <w:spacing w:before="0" w:after="0" w:line="360" w:lineRule="auto"/>
        <w:ind w:firstLine="480" w:firstLineChars="200"/>
        <w:rPr>
          <w:rFonts w:hint="eastAsia" w:ascii="宋体" w:hAnsi="宋体" w:eastAsia="宋体" w:cs="宋体"/>
          <w:color w:val="auto"/>
          <w:sz w:val="24"/>
          <w:highlight w:val="none"/>
        </w:rPr>
      </w:pPr>
      <w:r>
        <w:rPr>
          <w:rFonts w:ascii="宋体" w:hAnsi="宋体" w:eastAsia="宋体" w:cs="宋体"/>
          <w:color w:val="auto"/>
          <w:sz w:val="24"/>
          <w:highlight w:val="none"/>
        </w:rPr>
        <w:t>2、桥梁净宽设计应以车（人）流量计算为依据，与桥头道路匹配，以满足通行要求。</w:t>
      </w:r>
    </w:p>
    <w:p w14:paraId="00E8F296">
      <w:pPr>
        <w:snapToGrid w:val="0"/>
        <w:spacing w:before="0" w:after="0" w:line="360" w:lineRule="auto"/>
        <w:ind w:firstLine="480" w:firstLineChars="200"/>
        <w:rPr>
          <w:rFonts w:hint="eastAsia" w:ascii="宋体" w:hAnsi="宋体" w:eastAsia="宋体" w:cs="宋体"/>
          <w:color w:val="auto"/>
          <w:sz w:val="24"/>
          <w:highlight w:val="none"/>
        </w:rPr>
      </w:pPr>
      <w:r>
        <w:rPr>
          <w:rFonts w:ascii="宋体" w:hAnsi="宋体" w:eastAsia="宋体" w:cs="宋体"/>
          <w:color w:val="auto"/>
          <w:sz w:val="24"/>
          <w:highlight w:val="none"/>
        </w:rPr>
        <w:t>3、重视工程桥梁立面、栏杆及花槽的安全、美观、耐久和方便检修维护。</w:t>
      </w:r>
    </w:p>
    <w:p w14:paraId="03AF13DA">
      <w:pPr>
        <w:snapToGrid w:val="0"/>
        <w:spacing w:before="0" w:after="0" w:line="360" w:lineRule="auto"/>
        <w:ind w:firstLine="480" w:firstLineChars="200"/>
        <w:rPr>
          <w:rFonts w:hint="eastAsia" w:ascii="宋体" w:hAnsi="宋体" w:eastAsia="宋体" w:cs="宋体"/>
          <w:color w:val="auto"/>
          <w:sz w:val="24"/>
          <w:highlight w:val="none"/>
        </w:rPr>
      </w:pPr>
      <w:r>
        <w:rPr>
          <w:rFonts w:ascii="宋体" w:hAnsi="宋体" w:eastAsia="宋体" w:cs="宋体"/>
          <w:color w:val="auto"/>
          <w:sz w:val="24"/>
          <w:highlight w:val="none"/>
        </w:rPr>
        <w:t>4、人行天桥桥面铺装应简洁、美观、防滑。</w:t>
      </w:r>
    </w:p>
    <w:p w14:paraId="6E993DE1">
      <w:pPr>
        <w:snapToGrid w:val="0"/>
        <w:spacing w:before="0" w:after="0" w:line="360" w:lineRule="auto"/>
        <w:ind w:firstLine="480" w:firstLineChars="200"/>
        <w:rPr>
          <w:rFonts w:hint="eastAsia" w:ascii="宋体" w:hAnsi="宋体" w:eastAsia="宋体" w:cs="宋体"/>
          <w:color w:val="auto"/>
          <w:sz w:val="24"/>
          <w:highlight w:val="none"/>
        </w:rPr>
      </w:pPr>
      <w:r>
        <w:rPr>
          <w:rFonts w:ascii="宋体" w:hAnsi="宋体" w:eastAsia="宋体" w:cs="宋体"/>
          <w:color w:val="auto"/>
          <w:sz w:val="24"/>
          <w:highlight w:val="none"/>
        </w:rPr>
        <w:t>5、应完善桥梁排水系统设计，如有花槽，还应完善花槽的给排水设施的设计。</w:t>
      </w:r>
    </w:p>
    <w:p w14:paraId="07E7C21B">
      <w:pPr>
        <w:snapToGrid w:val="0"/>
        <w:spacing w:before="0" w:after="0" w:line="360" w:lineRule="auto"/>
        <w:ind w:firstLine="480" w:firstLineChars="200"/>
        <w:rPr>
          <w:rFonts w:hint="eastAsia" w:ascii="宋体" w:hAnsi="宋体" w:eastAsia="宋体" w:cs="宋体"/>
          <w:color w:val="auto"/>
          <w:sz w:val="24"/>
          <w:highlight w:val="none"/>
        </w:rPr>
      </w:pPr>
      <w:r>
        <w:rPr>
          <w:rFonts w:ascii="宋体" w:hAnsi="宋体" w:eastAsia="宋体" w:cs="宋体"/>
          <w:color w:val="auto"/>
          <w:sz w:val="24"/>
          <w:highlight w:val="none"/>
        </w:rPr>
        <w:t>6、桥梁设计中应注意上、下部结构的构造和外观，尽量采用轻盈、美观的桥型。</w:t>
      </w:r>
    </w:p>
    <w:p w14:paraId="610E4678">
      <w:pPr>
        <w:snapToGrid w:val="0"/>
        <w:spacing w:before="0" w:after="0" w:line="360" w:lineRule="auto"/>
        <w:ind w:firstLine="480" w:firstLineChars="200"/>
        <w:rPr>
          <w:rFonts w:hint="eastAsia" w:ascii="宋体" w:hAnsi="宋体" w:eastAsia="宋体" w:cs="宋体"/>
          <w:color w:val="auto"/>
          <w:sz w:val="24"/>
          <w:highlight w:val="none"/>
        </w:rPr>
      </w:pPr>
      <w:r>
        <w:rPr>
          <w:rFonts w:ascii="宋体" w:hAnsi="宋体" w:eastAsia="宋体" w:cs="宋体"/>
          <w:color w:val="auto"/>
          <w:sz w:val="24"/>
          <w:highlight w:val="none"/>
        </w:rPr>
        <w:t>7、根据地形环境、桥高合理布置桥跨、墩（柱）数量，且墩体量合适；墩的造型、风格要协调；切忌各种不同型式、大小不一的桥墩杂乱堆砌的现象。</w:t>
      </w:r>
    </w:p>
    <w:p w14:paraId="7BB2606D">
      <w:pPr>
        <w:snapToGrid w:val="0"/>
        <w:spacing w:before="0" w:after="0" w:line="360" w:lineRule="auto"/>
        <w:ind w:firstLine="480" w:firstLineChars="200"/>
        <w:rPr>
          <w:rFonts w:hint="eastAsia" w:ascii="宋体" w:hAnsi="宋体" w:eastAsia="宋体" w:cs="宋体"/>
          <w:color w:val="auto"/>
          <w:sz w:val="24"/>
          <w:highlight w:val="none"/>
        </w:rPr>
      </w:pPr>
      <w:r>
        <w:rPr>
          <w:rFonts w:ascii="宋体" w:hAnsi="宋体" w:eastAsia="宋体" w:cs="宋体"/>
          <w:color w:val="auto"/>
          <w:sz w:val="24"/>
          <w:highlight w:val="none"/>
        </w:rPr>
        <w:t>8、桥梁伸缩缝设计要求安装牢固、平顺，兼具防水、防积垃圾功能，应深化其细部设计。</w:t>
      </w:r>
    </w:p>
    <w:p w14:paraId="052A38F3">
      <w:pPr>
        <w:snapToGrid w:val="0"/>
        <w:spacing w:before="0" w:after="0" w:line="360" w:lineRule="auto"/>
        <w:ind w:firstLine="480" w:firstLineChars="200"/>
        <w:rPr>
          <w:rFonts w:hint="eastAsia" w:ascii="宋体" w:hAnsi="宋体" w:eastAsia="宋体" w:cs="宋体"/>
          <w:color w:val="auto"/>
          <w:sz w:val="24"/>
          <w:highlight w:val="none"/>
        </w:rPr>
      </w:pPr>
      <w:r>
        <w:rPr>
          <w:rFonts w:ascii="宋体" w:hAnsi="宋体" w:eastAsia="宋体" w:cs="宋体"/>
          <w:color w:val="auto"/>
          <w:sz w:val="24"/>
          <w:highlight w:val="none"/>
        </w:rPr>
        <w:t>9、做好桥头填土的防沉降设计。</w:t>
      </w:r>
    </w:p>
    <w:p w14:paraId="3FD785CA">
      <w:pPr>
        <w:pStyle w:val="5"/>
        <w:snapToGrid w:val="0"/>
        <w:spacing w:line="360" w:lineRule="auto"/>
        <w:ind w:left="0" w:firstLine="0"/>
        <w:rPr>
          <w:rFonts w:hint="eastAsia" w:ascii="宋体" w:hAnsi="宋体" w:eastAsia="宋体" w:cs="宋体"/>
          <w:color w:val="auto"/>
          <w:highlight w:val="none"/>
        </w:rPr>
      </w:pPr>
      <w:r>
        <w:rPr>
          <w:rFonts w:ascii="宋体" w:hAnsi="宋体" w:eastAsia="宋体" w:cs="宋体"/>
          <w:color w:val="auto"/>
          <w:highlight w:val="none"/>
        </w:rPr>
        <w:t>交通工程</w:t>
      </w:r>
    </w:p>
    <w:p w14:paraId="4A34631C">
      <w:pPr>
        <w:snapToGrid w:val="0"/>
        <w:spacing w:before="0" w:after="0" w:line="360" w:lineRule="auto"/>
        <w:ind w:firstLine="480" w:firstLineChars="200"/>
        <w:rPr>
          <w:rFonts w:hint="eastAsia" w:ascii="宋体" w:hAnsi="宋体" w:eastAsia="宋体" w:cs="宋体"/>
          <w:color w:val="auto"/>
          <w:sz w:val="24"/>
          <w:highlight w:val="none"/>
        </w:rPr>
      </w:pPr>
      <w:r>
        <w:rPr>
          <w:rFonts w:ascii="宋体" w:hAnsi="宋体" w:eastAsia="宋体" w:cs="宋体"/>
          <w:color w:val="auto"/>
          <w:sz w:val="24"/>
          <w:highlight w:val="none"/>
        </w:rPr>
        <w:t>严格按国标GB5768-2009《道路交通标志和标线》第1、2、3部分及广州市最新指引的规定设计，合理配置清楚明确的交通标志和标线，标志的内容力求简洁、清晰以及连续，给道路使用者提供正确、合理、及时的道路交通信息及安全、畅通、舒适的交通环境，保障行车安全与快捷，提高道路通行能力。</w:t>
      </w:r>
    </w:p>
    <w:p w14:paraId="56CB0303">
      <w:pPr>
        <w:snapToGrid w:val="0"/>
        <w:spacing w:before="0" w:after="0" w:line="360" w:lineRule="auto"/>
        <w:ind w:firstLine="480" w:firstLineChars="200"/>
        <w:rPr>
          <w:color w:val="auto"/>
          <w:highlight w:val="none"/>
        </w:rPr>
      </w:pPr>
      <w:r>
        <w:rPr>
          <w:rFonts w:ascii="宋体" w:hAnsi="宋体" w:eastAsia="宋体" w:cs="宋体"/>
          <w:color w:val="auto"/>
          <w:sz w:val="24"/>
          <w:highlight w:val="none"/>
        </w:rPr>
        <w:t>设计内容包括但不限于交通标线的设计、交通标志的布设、设置交通信号灯、电子警察及交通监控等。</w:t>
      </w:r>
    </w:p>
    <w:p w14:paraId="453F5BC3">
      <w:pPr>
        <w:pStyle w:val="5"/>
        <w:snapToGrid w:val="0"/>
        <w:spacing w:line="360" w:lineRule="auto"/>
        <w:ind w:left="0" w:firstLine="0"/>
        <w:rPr>
          <w:rFonts w:hint="eastAsia" w:ascii="宋体" w:hAnsi="宋体" w:eastAsia="宋体" w:cs="宋体"/>
          <w:color w:val="auto"/>
          <w:highlight w:val="none"/>
        </w:rPr>
      </w:pPr>
      <w:r>
        <w:rPr>
          <w:rFonts w:ascii="宋体" w:hAnsi="宋体" w:eastAsia="宋体" w:cs="宋体"/>
          <w:color w:val="auto"/>
          <w:highlight w:val="none"/>
        </w:rPr>
        <w:t>给排水及管线综合工程</w:t>
      </w:r>
    </w:p>
    <w:p w14:paraId="2AB0213B">
      <w:pPr>
        <w:snapToGrid w:val="0"/>
        <w:spacing w:before="0" w:after="0" w:line="360" w:lineRule="auto"/>
        <w:ind w:firstLine="480" w:firstLineChars="200"/>
        <w:rPr>
          <w:rFonts w:hint="eastAsia" w:ascii="宋体" w:hAnsi="宋体" w:eastAsia="宋体" w:cs="宋体"/>
          <w:color w:val="auto"/>
          <w:sz w:val="24"/>
          <w:highlight w:val="none"/>
        </w:rPr>
      </w:pPr>
      <w:r>
        <w:rPr>
          <w:rFonts w:ascii="宋体" w:hAnsi="宋体" w:eastAsia="宋体" w:cs="宋体"/>
          <w:color w:val="auto"/>
          <w:sz w:val="24"/>
          <w:highlight w:val="none"/>
        </w:rPr>
        <w:t>给水工程设计应以批准的城镇总体规划和给排水专业规划为主要依据，按远期规划、近远期结合、以近期为主的原则进行设计，并满足城市给水、生活饮用水相关规范标准。</w:t>
      </w:r>
    </w:p>
    <w:p w14:paraId="41F7A2A9">
      <w:pPr>
        <w:snapToGrid w:val="0"/>
        <w:spacing w:before="0" w:after="0" w:line="360" w:lineRule="auto"/>
        <w:ind w:firstLine="480" w:firstLineChars="200"/>
        <w:rPr>
          <w:rFonts w:hint="eastAsia" w:ascii="宋体" w:hAnsi="宋体" w:eastAsia="宋体" w:cs="宋体"/>
          <w:color w:val="auto"/>
          <w:sz w:val="24"/>
          <w:highlight w:val="none"/>
        </w:rPr>
      </w:pPr>
      <w:r>
        <w:rPr>
          <w:rFonts w:ascii="宋体" w:hAnsi="宋体" w:eastAsia="宋体" w:cs="宋体"/>
          <w:color w:val="auto"/>
          <w:sz w:val="24"/>
          <w:highlight w:val="none"/>
        </w:rPr>
        <w:t>排水工程应根据城市规划、现状情况、道路坡向等进行设计，采用雨污分流制，管材采用机制钢筋混凝土管，过河管或者过桥管道采用钢管，雨污水检查井采用预制混凝土井，相关设计需满足排水工程相关规范标准。</w:t>
      </w:r>
    </w:p>
    <w:p w14:paraId="5427F925">
      <w:pPr>
        <w:snapToGrid w:val="0"/>
        <w:spacing w:before="0" w:after="0" w:line="360" w:lineRule="auto"/>
        <w:ind w:firstLine="480" w:firstLineChars="200"/>
        <w:rPr>
          <w:rFonts w:hint="eastAsia" w:ascii="宋体" w:hAnsi="宋体" w:eastAsia="宋体" w:cs="宋体"/>
          <w:color w:val="auto"/>
          <w:sz w:val="24"/>
          <w:highlight w:val="none"/>
        </w:rPr>
      </w:pPr>
      <w:r>
        <w:rPr>
          <w:rFonts w:ascii="宋体" w:hAnsi="宋体" w:eastAsia="宋体" w:cs="宋体"/>
          <w:color w:val="auto"/>
          <w:sz w:val="24"/>
          <w:highlight w:val="none"/>
        </w:rPr>
        <w:t>管线综合需考虑单项工程设计、布置要求，进行管线综合平衡，协调、安排各种管线的建设，以利今后的施工和管理。工程管线均采用地下敷设的方式，针对本区道路横断面的设计方案，尽可能将管线布置在人行道和非机动车道下，相关平面位置及竖向位置均需满足《城市工程管线综合规划规范》（GB 50289-2016）。</w:t>
      </w:r>
    </w:p>
    <w:p w14:paraId="1C8DF2C9">
      <w:pPr>
        <w:pStyle w:val="5"/>
        <w:snapToGrid w:val="0"/>
        <w:spacing w:line="360" w:lineRule="auto"/>
        <w:ind w:left="0" w:firstLine="0"/>
        <w:rPr>
          <w:rFonts w:hint="eastAsia" w:ascii="宋体" w:hAnsi="宋体" w:eastAsia="宋体" w:cs="宋体"/>
          <w:color w:val="auto"/>
          <w:highlight w:val="none"/>
        </w:rPr>
      </w:pPr>
      <w:r>
        <w:rPr>
          <w:rFonts w:ascii="宋体" w:hAnsi="宋体" w:eastAsia="宋体" w:cs="宋体"/>
          <w:color w:val="auto"/>
          <w:highlight w:val="none"/>
        </w:rPr>
        <w:t>绿化工程</w:t>
      </w:r>
    </w:p>
    <w:p w14:paraId="0CA7C38B">
      <w:pPr>
        <w:snapToGrid w:val="0"/>
        <w:spacing w:before="0" w:after="0" w:line="360" w:lineRule="auto"/>
        <w:ind w:firstLine="480" w:firstLineChars="200"/>
        <w:rPr>
          <w:rFonts w:hint="eastAsia" w:ascii="宋体" w:hAnsi="宋体" w:eastAsia="宋体" w:cs="宋体"/>
          <w:color w:val="auto"/>
          <w:sz w:val="24"/>
          <w:highlight w:val="none"/>
        </w:rPr>
      </w:pPr>
      <w:r>
        <w:rPr>
          <w:rFonts w:ascii="宋体" w:hAnsi="宋体" w:eastAsia="宋体" w:cs="宋体"/>
          <w:color w:val="auto"/>
          <w:sz w:val="24"/>
          <w:highlight w:val="none"/>
        </w:rPr>
        <w:t>市政道路绿化以市政道路红线内的行道树、绿化带及渠化岛为主，设计应结合当地气候环境合理选择绿植，按照《广州市行道树技术工作手册（修编）》、《广州市园林绿地树木支撑技术指引（试行）》等进行设计，并满足绿化相关规范标准。</w:t>
      </w:r>
    </w:p>
    <w:p w14:paraId="1B0559A8">
      <w:pPr>
        <w:pStyle w:val="5"/>
        <w:snapToGrid w:val="0"/>
        <w:spacing w:line="360" w:lineRule="auto"/>
        <w:ind w:left="0" w:firstLine="0"/>
        <w:rPr>
          <w:rFonts w:hint="eastAsia" w:ascii="宋体" w:hAnsi="宋体" w:eastAsia="宋体" w:cs="宋体"/>
          <w:color w:val="auto"/>
          <w:highlight w:val="none"/>
        </w:rPr>
      </w:pPr>
      <w:r>
        <w:rPr>
          <w:rFonts w:ascii="宋体" w:hAnsi="宋体" w:eastAsia="宋体" w:cs="宋体"/>
          <w:color w:val="auto"/>
          <w:highlight w:val="none"/>
        </w:rPr>
        <w:t>园区室外照明工程</w:t>
      </w:r>
    </w:p>
    <w:p w14:paraId="374D3150">
      <w:pPr>
        <w:snapToGrid w:val="0"/>
        <w:spacing w:before="0" w:after="0" w:line="360" w:lineRule="auto"/>
        <w:ind w:firstLine="480" w:firstLineChars="200"/>
        <w:rPr>
          <w:rFonts w:hint="eastAsia" w:ascii="宋体" w:hAnsi="宋体" w:eastAsia="宋体" w:cs="宋体"/>
          <w:color w:val="auto"/>
          <w:sz w:val="24"/>
          <w:highlight w:val="none"/>
        </w:rPr>
      </w:pPr>
      <w:r>
        <w:rPr>
          <w:rFonts w:ascii="宋体" w:hAnsi="宋体" w:eastAsia="宋体" w:cs="宋体"/>
          <w:color w:val="auto"/>
          <w:sz w:val="24"/>
          <w:highlight w:val="none"/>
        </w:rPr>
        <w:t>照明设计应根据国家规范《城市道路照明设计标准》 （CJJ45-2015），结合园区道路和场所的特点及照明要求，应充分考虑道路的使用性能、通行能力、通行速度，以及路面使用材料的反射特性等方面的因素，选择常规合适的照明方式。</w:t>
      </w:r>
    </w:p>
    <w:p w14:paraId="27699524">
      <w:pPr>
        <w:snapToGrid w:val="0"/>
        <w:spacing w:before="0" w:after="0" w:line="360" w:lineRule="auto"/>
        <w:ind w:firstLine="480" w:firstLineChars="200"/>
        <w:rPr>
          <w:rFonts w:hint="eastAsia" w:ascii="宋体" w:hAnsi="宋体" w:eastAsia="宋体" w:cs="宋体"/>
          <w:color w:val="auto"/>
          <w:sz w:val="24"/>
          <w:highlight w:val="none"/>
        </w:rPr>
      </w:pPr>
      <w:r>
        <w:rPr>
          <w:rFonts w:ascii="宋体" w:hAnsi="宋体" w:eastAsia="宋体" w:cs="宋体"/>
          <w:color w:val="auto"/>
          <w:sz w:val="24"/>
          <w:highlight w:val="none"/>
        </w:rPr>
        <w:t>为方便管理，园区内道路照明灯具采用LED灯，路灯高度建议采用 8m。</w:t>
      </w:r>
    </w:p>
    <w:p w14:paraId="188B6012">
      <w:pPr>
        <w:pStyle w:val="5"/>
        <w:snapToGrid w:val="0"/>
        <w:spacing w:line="360" w:lineRule="auto"/>
        <w:ind w:left="0" w:firstLine="0"/>
        <w:rPr>
          <w:rFonts w:hint="eastAsia" w:ascii="宋体" w:hAnsi="宋体" w:eastAsia="宋体" w:cs="宋体"/>
          <w:color w:val="auto"/>
          <w:highlight w:val="none"/>
        </w:rPr>
      </w:pPr>
      <w:r>
        <w:rPr>
          <w:rFonts w:ascii="宋体" w:hAnsi="宋体" w:eastAsia="宋体" w:cs="宋体"/>
          <w:color w:val="auto"/>
          <w:highlight w:val="none"/>
        </w:rPr>
        <w:t>室外缆线工程</w:t>
      </w:r>
    </w:p>
    <w:p w14:paraId="35F14BC9">
      <w:pPr>
        <w:snapToGrid w:val="0"/>
        <w:spacing w:before="0" w:after="0" w:line="360" w:lineRule="auto"/>
        <w:ind w:firstLine="480" w:firstLineChars="200"/>
        <w:rPr>
          <w:color w:val="auto"/>
          <w:highlight w:val="none"/>
        </w:rPr>
      </w:pPr>
      <w:r>
        <w:rPr>
          <w:rFonts w:ascii="宋体" w:hAnsi="宋体" w:eastAsia="宋体" w:cs="宋体"/>
          <w:color w:val="auto"/>
          <w:sz w:val="24"/>
          <w:highlight w:val="none"/>
        </w:rPr>
        <w:t>本项目室外线缆敷设包含电力及通信管线，于道路人行道下埋管敷设。</w:t>
      </w:r>
    </w:p>
    <w:p w14:paraId="04F52F2C">
      <w:pPr>
        <w:pStyle w:val="5"/>
        <w:snapToGrid w:val="0"/>
        <w:spacing w:line="360" w:lineRule="auto"/>
        <w:ind w:left="0" w:firstLine="0"/>
        <w:rPr>
          <w:rFonts w:hint="eastAsia" w:ascii="宋体" w:hAnsi="宋体" w:eastAsia="宋体" w:cs="宋体"/>
          <w:color w:val="auto"/>
          <w:highlight w:val="none"/>
        </w:rPr>
      </w:pPr>
      <w:r>
        <w:rPr>
          <w:rFonts w:ascii="宋体" w:hAnsi="宋体" w:eastAsia="宋体" w:cs="宋体"/>
          <w:color w:val="auto"/>
          <w:highlight w:val="none"/>
        </w:rPr>
        <w:t>其他</w:t>
      </w:r>
    </w:p>
    <w:p w14:paraId="4D1F5398">
      <w:pPr>
        <w:snapToGrid w:val="0"/>
        <w:spacing w:before="0" w:after="0" w:line="360" w:lineRule="auto"/>
        <w:ind w:firstLine="480" w:firstLineChars="200"/>
        <w:rPr>
          <w:rFonts w:hint="eastAsia" w:ascii="宋体" w:hAnsi="宋体" w:eastAsia="宋体" w:cs="宋体"/>
          <w:color w:val="auto"/>
          <w:sz w:val="24"/>
          <w:highlight w:val="none"/>
        </w:rPr>
      </w:pPr>
      <w:r>
        <w:rPr>
          <w:rFonts w:ascii="宋体" w:hAnsi="宋体" w:eastAsia="宋体" w:cs="宋体"/>
          <w:color w:val="auto"/>
          <w:sz w:val="24"/>
          <w:highlight w:val="none"/>
        </w:rPr>
        <w:t>市政设计应严格按照相关规范、标准进行，并根据广州当地相关指引标准完善设计，广州当地标准包括但不限于《广州市城市道路标准横断面设计指引（试行）》、《广州市道路工程路面结构设计指引》、《广州市城市家具建设指引》、《广州市行道树技术工作手册（修编）》、《广州市园林绿地树木支撑技术指引（试行）》、《广州市缆线管廊工程技术指引》等。</w:t>
      </w:r>
    </w:p>
    <w:p w14:paraId="45D6D94B">
      <w:pPr>
        <w:pStyle w:val="4"/>
        <w:snapToGrid w:val="0"/>
        <w:spacing w:before="100" w:after="100" w:line="360" w:lineRule="auto"/>
        <w:ind w:left="0" w:firstLine="0"/>
        <w:rPr>
          <w:color w:val="auto"/>
          <w:sz w:val="24"/>
          <w:szCs w:val="22"/>
          <w:highlight w:val="none"/>
        </w:rPr>
      </w:pPr>
      <w:bookmarkStart w:id="64" w:name="_Toc31307"/>
      <w:r>
        <w:rPr>
          <w:rFonts w:ascii="宋体" w:hAnsi="宋体" w:eastAsia="宋体" w:cs="宋体"/>
          <w:color w:val="auto"/>
          <w:sz w:val="24"/>
          <w:szCs w:val="22"/>
          <w:highlight w:val="none"/>
        </w:rPr>
        <w:t>BIM设计要求</w:t>
      </w:r>
      <w:bookmarkEnd w:id="64"/>
    </w:p>
    <w:p w14:paraId="5E5ADB60">
      <w:pPr>
        <w:pStyle w:val="5"/>
        <w:snapToGrid w:val="0"/>
        <w:spacing w:line="360" w:lineRule="auto"/>
        <w:ind w:left="0" w:firstLine="0"/>
        <w:rPr>
          <w:color w:val="auto"/>
          <w:sz w:val="22"/>
          <w:szCs w:val="22"/>
          <w:highlight w:val="none"/>
        </w:rPr>
      </w:pPr>
      <w:r>
        <w:rPr>
          <w:rFonts w:ascii="宋体" w:hAnsi="宋体" w:eastAsia="宋体" w:cs="宋体"/>
          <w:color w:val="auto"/>
          <w:szCs w:val="22"/>
          <w:highlight w:val="none"/>
        </w:rPr>
        <w:t>总则</w:t>
      </w:r>
    </w:p>
    <w:p w14:paraId="5E9ED681">
      <w:pPr>
        <w:snapToGrid w:val="0"/>
        <w:spacing w:before="0" w:after="0" w:line="360" w:lineRule="auto"/>
        <w:ind w:firstLine="480" w:firstLineChars="200"/>
        <w:rPr>
          <w:rFonts w:hint="eastAsia" w:ascii="宋体" w:hAnsi="宋体" w:eastAsia="宋体" w:cs="宋体"/>
          <w:color w:val="auto"/>
          <w:sz w:val="24"/>
          <w:highlight w:val="none"/>
        </w:rPr>
      </w:pPr>
      <w:r>
        <w:rPr>
          <w:rFonts w:ascii="宋体" w:hAnsi="宋体" w:eastAsia="宋体" w:cs="宋体"/>
          <w:color w:val="auto"/>
          <w:sz w:val="24"/>
          <w:highlight w:val="none"/>
        </w:rPr>
        <w:t>1、结合本项目的工程特点和BIM实施需求优先制定BIM实施方案指引明确各参与单位设计BIM实施职责。在统一规范的实施标准下分阶段分主次实施BIM应用有序推行流程管理和综合图模管理充分发挥BIM管理平台优势，协同各投标人共同落实BIM实施的具体应用点，在阶段性BIM成果中体现BIM实施和应用价值。</w:t>
      </w:r>
    </w:p>
    <w:p w14:paraId="0E97EA88">
      <w:pPr>
        <w:snapToGrid w:val="0"/>
        <w:spacing w:before="0" w:after="0" w:line="360" w:lineRule="auto"/>
        <w:ind w:firstLine="480" w:firstLineChars="200"/>
        <w:rPr>
          <w:rFonts w:hint="eastAsia" w:ascii="宋体" w:hAnsi="宋体" w:eastAsia="宋体" w:cs="宋体"/>
          <w:color w:val="auto"/>
          <w:sz w:val="24"/>
          <w:highlight w:val="none"/>
        </w:rPr>
      </w:pPr>
      <w:r>
        <w:rPr>
          <w:rFonts w:ascii="宋体" w:hAnsi="宋体" w:eastAsia="宋体" w:cs="宋体"/>
          <w:color w:val="auto"/>
          <w:sz w:val="24"/>
          <w:highlight w:val="none"/>
        </w:rPr>
        <w:t>2、将BIM技术与工程实际紧密结合，实现BIM技术落地应用，承担全过程设计BIM应用的示范和验证作用，体现BIM技术在项目全生命周期中的应用价值。</w:t>
      </w:r>
    </w:p>
    <w:p w14:paraId="750D2ACF">
      <w:pPr>
        <w:snapToGrid w:val="0"/>
        <w:spacing w:before="0" w:after="0" w:line="360" w:lineRule="auto"/>
        <w:ind w:firstLine="480" w:firstLineChars="200"/>
        <w:rPr>
          <w:rFonts w:hint="eastAsia" w:ascii="宋体" w:hAnsi="宋体" w:eastAsia="宋体" w:cs="宋体"/>
          <w:color w:val="auto"/>
          <w:sz w:val="24"/>
          <w:highlight w:val="none"/>
        </w:rPr>
      </w:pPr>
      <w:r>
        <w:rPr>
          <w:rFonts w:ascii="宋体" w:hAnsi="宋体" w:eastAsia="宋体" w:cs="宋体"/>
          <w:color w:val="auto"/>
          <w:sz w:val="24"/>
          <w:highlight w:val="none"/>
        </w:rPr>
        <w:t>3、采用BIM辅助设计完成设计工作。</w:t>
      </w:r>
    </w:p>
    <w:p w14:paraId="15304B60">
      <w:pPr>
        <w:snapToGrid w:val="0"/>
        <w:spacing w:before="0" w:after="0" w:line="360" w:lineRule="auto"/>
        <w:ind w:firstLine="480" w:firstLineChars="200"/>
        <w:rPr>
          <w:rFonts w:hint="eastAsia" w:ascii="宋体" w:hAnsi="宋体" w:eastAsia="宋体" w:cs="宋体"/>
          <w:color w:val="auto"/>
          <w:sz w:val="24"/>
          <w:highlight w:val="none"/>
        </w:rPr>
      </w:pPr>
      <w:r>
        <w:rPr>
          <w:rFonts w:ascii="宋体" w:hAnsi="宋体" w:eastAsia="宋体" w:cs="宋体"/>
          <w:color w:val="auto"/>
          <w:sz w:val="24"/>
          <w:highlight w:val="none"/>
        </w:rPr>
        <w:t>4、完成住建局等政府部门要求的相关工作。</w:t>
      </w:r>
    </w:p>
    <w:p w14:paraId="78C8653B">
      <w:pPr>
        <w:pStyle w:val="5"/>
        <w:snapToGrid w:val="0"/>
        <w:spacing w:line="360" w:lineRule="auto"/>
        <w:ind w:left="0" w:firstLine="0"/>
        <w:rPr>
          <w:color w:val="auto"/>
          <w:highlight w:val="none"/>
        </w:rPr>
      </w:pPr>
      <w:bookmarkStart w:id="65" w:name="_Hlk75791310"/>
      <w:bookmarkEnd w:id="65"/>
      <w:r>
        <w:rPr>
          <w:rFonts w:ascii="宋体" w:hAnsi="宋体" w:eastAsia="宋体" w:cs="宋体"/>
          <w:color w:val="auto"/>
          <w:highlight w:val="none"/>
        </w:rPr>
        <w:t>BIM应用要求</w:t>
      </w:r>
    </w:p>
    <w:p w14:paraId="3AE093F3">
      <w:pPr>
        <w:spacing w:before="0" w:after="0"/>
        <w:jc w:val="left"/>
        <w:rPr>
          <w:rFonts w:hint="eastAsia" w:ascii="宋体" w:hAnsi="宋体" w:eastAsia="宋体" w:cs="宋体"/>
          <w:color w:val="auto"/>
          <w:highlight w:val="none"/>
        </w:rPr>
      </w:pPr>
      <w:r>
        <w:rPr>
          <w:rFonts w:hint="eastAsia" w:ascii="宋体" w:hAnsi="宋体" w:eastAsia="宋体" w:cs="宋体"/>
          <w:color w:val="auto"/>
          <w:highlight w:val="none"/>
        </w:rPr>
        <w:t>1、完成项目BIM实施方案，包括但不限于下列文件：</w:t>
      </w:r>
    </w:p>
    <w:p w14:paraId="5498B382">
      <w:pPr>
        <w:snapToGrid w:val="0"/>
        <w:spacing w:before="0" w:after="0" w:line="360" w:lineRule="auto"/>
        <w:ind w:firstLine="480" w:firstLineChars="200"/>
        <w:rPr>
          <w:rFonts w:hint="eastAsia" w:ascii="宋体" w:hAnsi="宋体" w:eastAsia="宋体" w:cs="宋体"/>
          <w:color w:val="auto"/>
          <w:sz w:val="24"/>
          <w:highlight w:val="none"/>
        </w:rPr>
      </w:pPr>
      <w:r>
        <w:rPr>
          <w:rFonts w:ascii="宋体" w:hAnsi="宋体" w:eastAsia="宋体" w:cs="宋体"/>
          <w:color w:val="auto"/>
          <w:sz w:val="24"/>
          <w:highlight w:val="none"/>
        </w:rPr>
        <w:t>a)《BIM初步设计实施方案》；</w:t>
      </w:r>
    </w:p>
    <w:p w14:paraId="012B6117">
      <w:pPr>
        <w:snapToGrid w:val="0"/>
        <w:spacing w:before="0" w:after="0" w:line="360" w:lineRule="auto"/>
        <w:ind w:firstLine="480" w:firstLineChars="200"/>
        <w:rPr>
          <w:rFonts w:hint="eastAsia" w:ascii="宋体" w:hAnsi="宋体" w:eastAsia="宋体" w:cs="宋体"/>
          <w:color w:val="auto"/>
          <w:sz w:val="24"/>
          <w:highlight w:val="none"/>
        </w:rPr>
      </w:pPr>
      <w:r>
        <w:rPr>
          <w:rFonts w:ascii="宋体" w:hAnsi="宋体" w:eastAsia="宋体" w:cs="宋体"/>
          <w:color w:val="auto"/>
          <w:sz w:val="24"/>
          <w:highlight w:val="none"/>
        </w:rPr>
        <w:t>b)《BIM实施过程管控方案》；</w:t>
      </w:r>
    </w:p>
    <w:p w14:paraId="7838612E">
      <w:pPr>
        <w:spacing w:before="0" w:after="0"/>
        <w:jc w:val="left"/>
        <w:rPr>
          <w:rFonts w:hint="eastAsia" w:ascii="宋体" w:hAnsi="宋体" w:eastAsia="宋体" w:cs="宋体"/>
          <w:color w:val="auto"/>
          <w:highlight w:val="none"/>
        </w:rPr>
      </w:pPr>
      <w:r>
        <w:rPr>
          <w:rFonts w:hint="eastAsia" w:ascii="宋体" w:hAnsi="宋体" w:eastAsia="宋体" w:cs="宋体"/>
          <w:color w:val="auto"/>
          <w:highlight w:val="none"/>
        </w:rPr>
        <w:t>2、方案设计阶段</w:t>
      </w:r>
    </w:p>
    <w:p w14:paraId="25F519E6">
      <w:pPr>
        <w:snapToGrid w:val="0"/>
        <w:spacing w:before="0" w:after="0" w:line="360" w:lineRule="auto"/>
        <w:ind w:firstLine="480" w:firstLineChars="200"/>
        <w:rPr>
          <w:rFonts w:hint="eastAsia" w:ascii="宋体" w:hAnsi="宋体" w:eastAsia="宋体" w:cs="宋体"/>
          <w:color w:val="auto"/>
          <w:sz w:val="24"/>
          <w:highlight w:val="none"/>
        </w:rPr>
      </w:pPr>
      <w:r>
        <w:rPr>
          <w:rFonts w:ascii="宋体" w:hAnsi="宋体" w:eastAsia="宋体" w:cs="宋体"/>
          <w:color w:val="auto"/>
          <w:sz w:val="24"/>
          <w:highlight w:val="none"/>
        </w:rPr>
        <w:t>a. 按照相关标准和要求，制定对应项目《方案设计阶段BIM实施方案》；</w:t>
      </w:r>
    </w:p>
    <w:p w14:paraId="46EF590E">
      <w:pPr>
        <w:snapToGrid w:val="0"/>
        <w:spacing w:before="0" w:after="0" w:line="360" w:lineRule="auto"/>
        <w:ind w:firstLine="480" w:firstLineChars="200"/>
        <w:rPr>
          <w:rFonts w:hint="eastAsia" w:ascii="宋体" w:hAnsi="宋体" w:eastAsia="宋体" w:cs="宋体"/>
          <w:color w:val="auto"/>
          <w:sz w:val="24"/>
          <w:highlight w:val="none"/>
        </w:rPr>
      </w:pPr>
      <w:r>
        <w:rPr>
          <w:rFonts w:ascii="宋体" w:hAnsi="宋体" w:eastAsia="宋体" w:cs="宋体"/>
          <w:color w:val="auto"/>
          <w:sz w:val="24"/>
          <w:highlight w:val="none"/>
        </w:rPr>
        <w:t>b. 根据《广东省建筑信息模型应用统一标准》和深度要求，创建方案设计阶段BIM模型；</w:t>
      </w:r>
    </w:p>
    <w:p w14:paraId="67385962">
      <w:pPr>
        <w:snapToGrid w:val="0"/>
        <w:spacing w:before="0" w:after="0" w:line="360" w:lineRule="auto"/>
        <w:ind w:firstLine="480" w:firstLineChars="200"/>
        <w:rPr>
          <w:rFonts w:hint="eastAsia" w:ascii="宋体" w:hAnsi="宋体" w:eastAsia="宋体" w:cs="宋体"/>
          <w:color w:val="auto"/>
          <w:sz w:val="24"/>
          <w:highlight w:val="none"/>
        </w:rPr>
      </w:pPr>
      <w:r>
        <w:rPr>
          <w:rFonts w:ascii="宋体" w:hAnsi="宋体" w:eastAsia="宋体" w:cs="宋体"/>
          <w:color w:val="auto"/>
          <w:sz w:val="24"/>
          <w:highlight w:val="none"/>
        </w:rPr>
        <w:t>c. 根据本阶段的BIM应用特点，进行项目设计方案比选；</w:t>
      </w:r>
    </w:p>
    <w:p w14:paraId="77C9E2A2">
      <w:pPr>
        <w:snapToGrid w:val="0"/>
        <w:spacing w:before="0" w:after="0" w:line="360" w:lineRule="auto"/>
        <w:ind w:firstLine="480" w:firstLineChars="200"/>
        <w:rPr>
          <w:rFonts w:hint="eastAsia" w:ascii="宋体" w:hAnsi="宋体" w:eastAsia="宋体" w:cs="宋体"/>
          <w:color w:val="auto"/>
          <w:sz w:val="24"/>
          <w:highlight w:val="none"/>
        </w:rPr>
      </w:pPr>
      <w:r>
        <w:rPr>
          <w:rFonts w:ascii="宋体" w:hAnsi="宋体" w:eastAsia="宋体" w:cs="宋体"/>
          <w:color w:val="auto"/>
          <w:sz w:val="24"/>
          <w:highlight w:val="none"/>
        </w:rPr>
        <w:t>d. 应用BIM技术进行项目建设条件分析；</w:t>
      </w:r>
    </w:p>
    <w:p w14:paraId="17085F7C">
      <w:pPr>
        <w:snapToGrid w:val="0"/>
        <w:spacing w:before="0" w:after="0" w:line="360" w:lineRule="auto"/>
        <w:ind w:firstLine="480" w:firstLineChars="200"/>
        <w:rPr>
          <w:rFonts w:hint="eastAsia" w:ascii="宋体" w:hAnsi="宋体" w:eastAsia="宋体" w:cs="宋体"/>
          <w:color w:val="auto"/>
          <w:sz w:val="24"/>
          <w:highlight w:val="none"/>
        </w:rPr>
      </w:pPr>
      <w:r>
        <w:rPr>
          <w:rFonts w:ascii="宋体" w:hAnsi="宋体" w:eastAsia="宋体" w:cs="宋体"/>
          <w:color w:val="auto"/>
          <w:sz w:val="24"/>
          <w:highlight w:val="none"/>
        </w:rPr>
        <w:t>e. 进行场地分析等相关应用；</w:t>
      </w:r>
    </w:p>
    <w:p w14:paraId="3743CAA0">
      <w:pPr>
        <w:snapToGrid w:val="0"/>
        <w:spacing w:before="0" w:after="0" w:line="360" w:lineRule="auto"/>
        <w:ind w:firstLine="480" w:firstLineChars="200"/>
        <w:rPr>
          <w:rFonts w:hint="eastAsia" w:ascii="宋体" w:hAnsi="宋体" w:eastAsia="宋体" w:cs="宋体"/>
          <w:color w:val="auto"/>
          <w:sz w:val="24"/>
          <w:highlight w:val="none"/>
        </w:rPr>
      </w:pPr>
      <w:r>
        <w:rPr>
          <w:rFonts w:ascii="宋体" w:hAnsi="宋体" w:eastAsia="宋体" w:cs="宋体"/>
          <w:color w:val="auto"/>
          <w:sz w:val="24"/>
          <w:highlight w:val="none"/>
        </w:rPr>
        <w:t>f. 提交方案设计阶段BIM应用成果；</w:t>
      </w:r>
    </w:p>
    <w:p w14:paraId="3EC126E7">
      <w:pPr>
        <w:snapToGrid w:val="0"/>
        <w:spacing w:before="0" w:after="0" w:line="360" w:lineRule="auto"/>
        <w:ind w:firstLine="480" w:firstLineChars="200"/>
        <w:rPr>
          <w:rFonts w:hint="eastAsia" w:ascii="宋体" w:hAnsi="宋体" w:eastAsia="宋体" w:cs="宋体"/>
          <w:color w:val="auto"/>
          <w:sz w:val="24"/>
          <w:highlight w:val="none"/>
        </w:rPr>
      </w:pPr>
      <w:r>
        <w:rPr>
          <w:rFonts w:ascii="宋体" w:hAnsi="宋体" w:eastAsia="宋体" w:cs="宋体"/>
          <w:color w:val="auto"/>
          <w:sz w:val="24"/>
          <w:highlight w:val="none"/>
        </w:rPr>
        <w:t>g. 完成合同规定的BIM应用其他具体要求。</w:t>
      </w:r>
    </w:p>
    <w:p w14:paraId="12FE5066">
      <w:pPr>
        <w:spacing w:before="0" w:after="0"/>
        <w:jc w:val="left"/>
        <w:rPr>
          <w:rFonts w:hint="eastAsia" w:ascii="宋体" w:hAnsi="宋体" w:eastAsia="宋体" w:cs="宋体"/>
          <w:color w:val="auto"/>
          <w:highlight w:val="none"/>
        </w:rPr>
      </w:pPr>
      <w:r>
        <w:rPr>
          <w:rFonts w:hint="eastAsia" w:ascii="宋体" w:hAnsi="宋体" w:eastAsia="宋体" w:cs="宋体"/>
          <w:color w:val="auto"/>
          <w:highlight w:val="none"/>
        </w:rPr>
        <w:t>3、初步设计阶段</w:t>
      </w:r>
    </w:p>
    <w:p w14:paraId="415F22C9">
      <w:pPr>
        <w:snapToGrid w:val="0"/>
        <w:spacing w:before="0" w:after="0" w:line="360" w:lineRule="auto"/>
        <w:ind w:firstLine="480" w:firstLineChars="200"/>
        <w:rPr>
          <w:rFonts w:hint="eastAsia" w:ascii="宋体" w:hAnsi="宋体" w:eastAsia="宋体" w:cs="宋体"/>
          <w:color w:val="auto"/>
          <w:sz w:val="24"/>
          <w:highlight w:val="none"/>
        </w:rPr>
      </w:pPr>
      <w:r>
        <w:rPr>
          <w:rFonts w:ascii="宋体" w:hAnsi="宋体" w:eastAsia="宋体" w:cs="宋体"/>
          <w:color w:val="auto"/>
          <w:sz w:val="24"/>
          <w:highlight w:val="none"/>
        </w:rPr>
        <w:t>a. 按照相关标准和要求，制定对应项目《初步设计阶段BIM实施方案》；</w:t>
      </w:r>
    </w:p>
    <w:p w14:paraId="79C648AA">
      <w:pPr>
        <w:snapToGrid w:val="0"/>
        <w:spacing w:before="0" w:after="0" w:line="360" w:lineRule="auto"/>
        <w:ind w:firstLine="480" w:firstLineChars="200"/>
        <w:rPr>
          <w:rFonts w:hint="eastAsia" w:ascii="宋体" w:hAnsi="宋体" w:eastAsia="宋体" w:cs="宋体"/>
          <w:color w:val="auto"/>
          <w:sz w:val="24"/>
          <w:highlight w:val="none"/>
        </w:rPr>
      </w:pPr>
      <w:r>
        <w:rPr>
          <w:rFonts w:ascii="宋体" w:hAnsi="宋体" w:eastAsia="宋体" w:cs="宋体"/>
          <w:color w:val="auto"/>
          <w:sz w:val="24"/>
          <w:highlight w:val="none"/>
        </w:rPr>
        <w:t>b. 根据《广东省建筑信息模型应用统一标准》和深度要求，创建初步设计阶段BIM模型；</w:t>
      </w:r>
    </w:p>
    <w:p w14:paraId="46DEA52F">
      <w:pPr>
        <w:snapToGrid w:val="0"/>
        <w:spacing w:before="0" w:after="0" w:line="360" w:lineRule="auto"/>
        <w:ind w:firstLine="480" w:firstLineChars="200"/>
        <w:rPr>
          <w:rFonts w:hint="eastAsia" w:ascii="宋体" w:hAnsi="宋体" w:eastAsia="宋体" w:cs="宋体"/>
          <w:color w:val="auto"/>
          <w:sz w:val="24"/>
          <w:highlight w:val="none"/>
        </w:rPr>
      </w:pPr>
      <w:r>
        <w:rPr>
          <w:rFonts w:ascii="宋体" w:hAnsi="宋体" w:eastAsia="宋体" w:cs="宋体"/>
          <w:color w:val="auto"/>
          <w:sz w:val="24"/>
          <w:highlight w:val="none"/>
        </w:rPr>
        <w:t>c. 根据本阶段的BIM应用特点，进行建筑性能模拟分析；</w:t>
      </w:r>
    </w:p>
    <w:p w14:paraId="6673C6A0">
      <w:pPr>
        <w:snapToGrid w:val="0"/>
        <w:spacing w:before="0" w:after="0" w:line="360" w:lineRule="auto"/>
        <w:ind w:firstLine="480" w:firstLineChars="200"/>
        <w:rPr>
          <w:rFonts w:hint="eastAsia" w:ascii="宋体" w:hAnsi="宋体" w:eastAsia="宋体" w:cs="宋体"/>
          <w:color w:val="auto"/>
          <w:sz w:val="24"/>
          <w:highlight w:val="none"/>
        </w:rPr>
      </w:pPr>
      <w:r>
        <w:rPr>
          <w:rFonts w:ascii="宋体" w:hAnsi="宋体" w:eastAsia="宋体" w:cs="宋体"/>
          <w:color w:val="auto"/>
          <w:sz w:val="24"/>
          <w:highlight w:val="none"/>
        </w:rPr>
        <w:t>d. 利用BIM技术，进行设计方案比选；</w:t>
      </w:r>
    </w:p>
    <w:p w14:paraId="0297DE11">
      <w:pPr>
        <w:snapToGrid w:val="0"/>
        <w:spacing w:before="0" w:after="0" w:line="360" w:lineRule="auto"/>
        <w:ind w:firstLine="480" w:firstLineChars="200"/>
        <w:rPr>
          <w:rFonts w:hint="eastAsia" w:ascii="宋体" w:hAnsi="宋体" w:eastAsia="宋体" w:cs="宋体"/>
          <w:color w:val="auto"/>
          <w:sz w:val="24"/>
          <w:highlight w:val="none"/>
        </w:rPr>
      </w:pPr>
      <w:r>
        <w:rPr>
          <w:rFonts w:ascii="宋体" w:hAnsi="宋体" w:eastAsia="宋体" w:cs="宋体"/>
          <w:color w:val="auto"/>
          <w:sz w:val="24"/>
          <w:highlight w:val="none"/>
        </w:rPr>
        <w:t>e. 应用BIM技术支持对应项目报批报建工作；</w:t>
      </w:r>
    </w:p>
    <w:p w14:paraId="172EE1E8">
      <w:pPr>
        <w:snapToGrid w:val="0"/>
        <w:spacing w:before="0" w:after="0" w:line="360" w:lineRule="auto"/>
        <w:ind w:firstLine="480" w:firstLineChars="200"/>
        <w:rPr>
          <w:rFonts w:hint="eastAsia" w:ascii="宋体" w:hAnsi="宋体" w:eastAsia="宋体" w:cs="宋体"/>
          <w:color w:val="auto"/>
          <w:sz w:val="24"/>
          <w:highlight w:val="none"/>
        </w:rPr>
      </w:pPr>
      <w:r>
        <w:rPr>
          <w:rFonts w:ascii="宋体" w:hAnsi="宋体" w:eastAsia="宋体" w:cs="宋体"/>
          <w:color w:val="auto"/>
          <w:sz w:val="24"/>
          <w:highlight w:val="none"/>
        </w:rPr>
        <w:t>f. 提交初步设计阶段BIM应用成果；</w:t>
      </w:r>
    </w:p>
    <w:p w14:paraId="7C9D4FCE">
      <w:pPr>
        <w:snapToGrid w:val="0"/>
        <w:spacing w:before="0" w:after="0" w:line="360" w:lineRule="auto"/>
        <w:ind w:firstLine="480" w:firstLineChars="200"/>
        <w:rPr>
          <w:rFonts w:hint="eastAsia" w:ascii="宋体" w:hAnsi="宋体" w:eastAsia="宋体" w:cs="宋体"/>
          <w:color w:val="auto"/>
          <w:sz w:val="24"/>
          <w:highlight w:val="none"/>
        </w:rPr>
      </w:pPr>
      <w:r>
        <w:rPr>
          <w:rFonts w:ascii="宋体" w:hAnsi="宋体" w:eastAsia="宋体" w:cs="宋体"/>
          <w:color w:val="auto"/>
          <w:sz w:val="24"/>
          <w:highlight w:val="none"/>
        </w:rPr>
        <w:t>g. 完成合同规定的BIM应用其他具体要求。</w:t>
      </w:r>
    </w:p>
    <w:p w14:paraId="3A0B9077">
      <w:pPr>
        <w:pStyle w:val="4"/>
        <w:snapToGrid w:val="0"/>
        <w:spacing w:before="100" w:after="100" w:line="360" w:lineRule="auto"/>
        <w:ind w:left="0" w:firstLine="0"/>
        <w:rPr>
          <w:color w:val="auto"/>
          <w:sz w:val="24"/>
          <w:szCs w:val="22"/>
          <w:highlight w:val="none"/>
        </w:rPr>
      </w:pPr>
      <w:bookmarkStart w:id="66" w:name="_Toc4429"/>
      <w:r>
        <w:rPr>
          <w:rFonts w:ascii="宋体" w:hAnsi="宋体" w:eastAsia="宋体" w:cs="宋体"/>
          <w:color w:val="auto"/>
          <w:sz w:val="24"/>
          <w:szCs w:val="22"/>
          <w:highlight w:val="none"/>
        </w:rPr>
        <w:t>绿色建筑设计</w:t>
      </w:r>
      <w:bookmarkEnd w:id="66"/>
    </w:p>
    <w:p w14:paraId="68B1FE2B">
      <w:pPr>
        <w:pStyle w:val="5"/>
        <w:snapToGrid w:val="0"/>
        <w:spacing w:line="360" w:lineRule="auto"/>
        <w:ind w:left="0" w:firstLine="0"/>
        <w:rPr>
          <w:color w:val="auto"/>
          <w:highlight w:val="none"/>
        </w:rPr>
      </w:pPr>
      <w:r>
        <w:rPr>
          <w:rFonts w:ascii="宋体" w:hAnsi="宋体" w:eastAsia="宋体" w:cs="宋体"/>
          <w:color w:val="auto"/>
          <w:highlight w:val="none"/>
        </w:rPr>
        <w:t>一般规定</w:t>
      </w:r>
    </w:p>
    <w:p w14:paraId="0F70A8C4">
      <w:pPr>
        <w:snapToGrid w:val="0"/>
        <w:spacing w:before="0" w:after="0" w:line="360" w:lineRule="auto"/>
        <w:ind w:firstLine="480" w:firstLineChars="200"/>
        <w:rPr>
          <w:rFonts w:hint="eastAsia" w:ascii="宋体" w:hAnsi="宋体" w:eastAsia="宋体" w:cs="宋体"/>
          <w:color w:val="auto"/>
          <w:sz w:val="24"/>
          <w:highlight w:val="none"/>
        </w:rPr>
      </w:pPr>
      <w:r>
        <w:rPr>
          <w:rFonts w:ascii="宋体" w:hAnsi="宋体" w:eastAsia="宋体" w:cs="宋体"/>
          <w:color w:val="auto"/>
          <w:sz w:val="24"/>
          <w:highlight w:val="none"/>
        </w:rPr>
        <w:t>1、设计均应满足国家和广东省节能相关规范要求，规划应体现“绿色节能、生态宜居”的设计理念。本项目按国家绿色建筑评价标准三星绿色建筑标准规划设计。</w:t>
      </w:r>
    </w:p>
    <w:p w14:paraId="70072551">
      <w:pPr>
        <w:snapToGrid w:val="0"/>
        <w:spacing w:before="0" w:after="0" w:line="360" w:lineRule="auto"/>
        <w:ind w:firstLine="480" w:firstLineChars="200"/>
        <w:rPr>
          <w:rFonts w:hint="eastAsia" w:ascii="宋体" w:hAnsi="宋体" w:eastAsia="宋体" w:cs="宋体"/>
          <w:color w:val="auto"/>
          <w:sz w:val="24"/>
          <w:highlight w:val="none"/>
        </w:rPr>
      </w:pPr>
      <w:r>
        <w:rPr>
          <w:rFonts w:ascii="宋体" w:hAnsi="宋体" w:eastAsia="宋体" w:cs="宋体"/>
          <w:color w:val="auto"/>
          <w:sz w:val="24"/>
          <w:highlight w:val="none"/>
        </w:rPr>
        <w:t>2、绿色建筑应遵循因地制宜的原则，结合建筑所在地域的气候、资源、生态环境、经济、人文等特点进行。</w:t>
      </w:r>
    </w:p>
    <w:p w14:paraId="5D2F8484">
      <w:pPr>
        <w:snapToGrid w:val="0"/>
        <w:spacing w:before="0" w:after="0" w:line="360" w:lineRule="auto"/>
        <w:ind w:firstLine="480" w:firstLineChars="200"/>
        <w:rPr>
          <w:rFonts w:hint="eastAsia" w:ascii="宋体" w:hAnsi="宋体" w:eastAsia="宋体" w:cs="宋体"/>
          <w:color w:val="auto"/>
          <w:sz w:val="24"/>
          <w:highlight w:val="none"/>
        </w:rPr>
      </w:pPr>
      <w:r>
        <w:rPr>
          <w:rFonts w:ascii="宋体" w:hAnsi="宋体" w:eastAsia="宋体" w:cs="宋体"/>
          <w:color w:val="auto"/>
          <w:sz w:val="24"/>
          <w:highlight w:val="none"/>
        </w:rPr>
        <w:t>3、设计应按照被动措施优先的原则，优化建筑体型和内部空间布局，充分利用天然采光、自然通风，采用外围护结构保温、隔热、遮阳等措施，</w:t>
      </w:r>
      <w:r>
        <w:rPr>
          <w:rFonts w:hint="eastAsia" w:ascii="宋体" w:hAnsi="宋体" w:eastAsia="宋体" w:cs="宋体"/>
          <w:color w:val="auto"/>
          <w:sz w:val="24"/>
          <w:highlight w:val="none"/>
        </w:rPr>
        <w:t>按照不低于超低能耗建筑的节能标准进行建设</w:t>
      </w:r>
      <w:r>
        <w:rPr>
          <w:rFonts w:ascii="宋体" w:hAnsi="宋体" w:eastAsia="宋体" w:cs="宋体"/>
          <w:color w:val="auto"/>
          <w:sz w:val="24"/>
          <w:highlight w:val="none"/>
        </w:rPr>
        <w:t>。</w:t>
      </w:r>
    </w:p>
    <w:p w14:paraId="02FBB1F8">
      <w:pPr>
        <w:pStyle w:val="5"/>
        <w:snapToGrid w:val="0"/>
        <w:spacing w:line="360" w:lineRule="auto"/>
        <w:ind w:left="0" w:firstLine="0"/>
        <w:rPr>
          <w:color w:val="auto"/>
          <w:highlight w:val="none"/>
        </w:rPr>
      </w:pPr>
      <w:r>
        <w:rPr>
          <w:rFonts w:ascii="宋体" w:hAnsi="宋体" w:eastAsia="宋体" w:cs="宋体"/>
          <w:color w:val="auto"/>
          <w:highlight w:val="none"/>
        </w:rPr>
        <w:t>规划专业</w:t>
      </w:r>
    </w:p>
    <w:p w14:paraId="0CE72DCB">
      <w:pPr>
        <w:snapToGrid w:val="0"/>
        <w:spacing w:before="0" w:after="0" w:line="360" w:lineRule="auto"/>
        <w:ind w:firstLine="480" w:firstLineChars="200"/>
        <w:rPr>
          <w:rFonts w:hint="eastAsia" w:ascii="宋体" w:hAnsi="宋体" w:eastAsia="宋体" w:cs="宋体"/>
          <w:color w:val="auto"/>
          <w:sz w:val="24"/>
          <w:highlight w:val="none"/>
        </w:rPr>
      </w:pPr>
      <w:r>
        <w:rPr>
          <w:rFonts w:ascii="宋体" w:hAnsi="宋体" w:eastAsia="宋体" w:cs="宋体"/>
          <w:color w:val="auto"/>
          <w:sz w:val="24"/>
          <w:highlight w:val="none"/>
        </w:rPr>
        <w:t>1、规划阶段应制定水系统规划方案，统筹、综合利用各种水资源，增加水资源循环利用率，减少市政供水量和污水排放量。</w:t>
      </w:r>
    </w:p>
    <w:p w14:paraId="1BD48F28">
      <w:pPr>
        <w:snapToGrid w:val="0"/>
        <w:spacing w:before="0" w:after="0" w:line="360" w:lineRule="auto"/>
        <w:ind w:firstLine="480" w:firstLineChars="200"/>
        <w:rPr>
          <w:rFonts w:hint="eastAsia" w:ascii="宋体" w:hAnsi="宋体" w:eastAsia="宋体" w:cs="宋体"/>
          <w:color w:val="auto"/>
          <w:sz w:val="24"/>
          <w:highlight w:val="none"/>
        </w:rPr>
      </w:pPr>
      <w:r>
        <w:rPr>
          <w:rFonts w:ascii="宋体" w:hAnsi="宋体" w:eastAsia="宋体" w:cs="宋体"/>
          <w:color w:val="auto"/>
          <w:sz w:val="24"/>
          <w:highlight w:val="none"/>
        </w:rPr>
        <w:t>2、</w:t>
      </w:r>
      <w:r>
        <w:rPr>
          <w:rFonts w:hint="eastAsia" w:ascii="宋体" w:hAnsi="宋体" w:eastAsia="宋体" w:cs="宋体"/>
          <w:color w:val="auto"/>
          <w:sz w:val="24"/>
          <w:highlight w:val="none"/>
        </w:rPr>
        <w:t>设计</w:t>
      </w:r>
      <w:r>
        <w:rPr>
          <w:rFonts w:ascii="宋体" w:hAnsi="宋体" w:eastAsia="宋体" w:cs="宋体"/>
          <w:color w:val="auto"/>
          <w:sz w:val="24"/>
          <w:highlight w:val="none"/>
        </w:rPr>
        <w:t>必须按《广州市城市生活垃圾分类管理暂行规定》要求，设置生活垃圾分类收集站和容器。垃圾收集站应设置于下风向及隐蔽处。</w:t>
      </w:r>
    </w:p>
    <w:p w14:paraId="4484A3CC">
      <w:pPr>
        <w:snapToGrid w:val="0"/>
        <w:spacing w:before="0" w:after="0" w:line="360" w:lineRule="auto"/>
        <w:ind w:firstLine="480" w:firstLineChars="200"/>
        <w:rPr>
          <w:rFonts w:hint="eastAsia" w:ascii="宋体" w:hAnsi="宋体" w:eastAsia="宋体" w:cs="宋体"/>
          <w:color w:val="auto"/>
          <w:sz w:val="24"/>
          <w:highlight w:val="none"/>
        </w:rPr>
      </w:pPr>
      <w:r>
        <w:rPr>
          <w:rFonts w:ascii="宋体" w:hAnsi="宋体" w:eastAsia="宋体" w:cs="宋体"/>
          <w:color w:val="auto"/>
          <w:sz w:val="24"/>
          <w:highlight w:val="none"/>
        </w:rPr>
        <w:t>3、建筑布局应充分考虑对噪声的控制 , 当噪声无法通过规划设计改善时，应在交通干线两侧建筑的临街外窗和围护结构等方面采取有效的隔声措施。</w:t>
      </w:r>
    </w:p>
    <w:p w14:paraId="2F8CB57F">
      <w:pPr>
        <w:snapToGrid w:val="0"/>
        <w:spacing w:before="0" w:after="0" w:line="360" w:lineRule="auto"/>
        <w:ind w:firstLine="480" w:firstLineChars="200"/>
        <w:rPr>
          <w:rFonts w:hint="eastAsia" w:ascii="宋体" w:hAnsi="宋体" w:eastAsia="宋体" w:cs="宋体"/>
          <w:color w:val="auto"/>
          <w:sz w:val="24"/>
          <w:highlight w:val="none"/>
        </w:rPr>
      </w:pPr>
      <w:r>
        <w:rPr>
          <w:rFonts w:ascii="宋体" w:hAnsi="宋体" w:eastAsia="宋体" w:cs="宋体"/>
          <w:color w:val="auto"/>
          <w:sz w:val="24"/>
          <w:highlight w:val="none"/>
        </w:rPr>
        <w:t>4、公建配套热水系统的热源优先选用太阳能等可再生能源。太阳能热水系统应统一规划，与建筑工程同时投入使用。</w:t>
      </w:r>
    </w:p>
    <w:p w14:paraId="441B85FB">
      <w:pPr>
        <w:snapToGrid w:val="0"/>
        <w:spacing w:before="0" w:after="0" w:line="360" w:lineRule="auto"/>
        <w:ind w:firstLine="480" w:firstLineChars="200"/>
        <w:rPr>
          <w:rFonts w:hint="eastAsia" w:ascii="宋体" w:hAnsi="宋体" w:eastAsia="宋体" w:cs="宋体"/>
          <w:color w:val="auto"/>
          <w:sz w:val="24"/>
          <w:highlight w:val="none"/>
        </w:rPr>
      </w:pPr>
      <w:r>
        <w:rPr>
          <w:rFonts w:ascii="宋体" w:hAnsi="宋体" w:eastAsia="宋体" w:cs="宋体"/>
          <w:color w:val="auto"/>
          <w:sz w:val="24"/>
          <w:highlight w:val="none"/>
        </w:rPr>
        <w:t>5、选址和出入口的设置应方便利用公共交通网络。出入口 500m范围内应有公交站点或地铁站。</w:t>
      </w:r>
    </w:p>
    <w:p w14:paraId="6EEFB48A">
      <w:pPr>
        <w:pStyle w:val="5"/>
        <w:snapToGrid w:val="0"/>
        <w:spacing w:line="360" w:lineRule="auto"/>
        <w:ind w:left="0" w:firstLine="0"/>
        <w:rPr>
          <w:color w:val="auto"/>
          <w:highlight w:val="none"/>
        </w:rPr>
      </w:pPr>
      <w:r>
        <w:rPr>
          <w:rFonts w:ascii="宋体" w:hAnsi="宋体" w:eastAsia="宋体" w:cs="宋体"/>
          <w:color w:val="auto"/>
          <w:highlight w:val="none"/>
        </w:rPr>
        <w:t>建筑专业</w:t>
      </w:r>
    </w:p>
    <w:p w14:paraId="7CEE0179">
      <w:pPr>
        <w:snapToGrid w:val="0"/>
        <w:spacing w:before="0" w:after="0" w:line="360" w:lineRule="auto"/>
        <w:ind w:firstLine="480" w:firstLineChars="200"/>
        <w:rPr>
          <w:rFonts w:hint="eastAsia" w:ascii="宋体" w:hAnsi="宋体" w:eastAsia="宋体" w:cs="宋体"/>
          <w:color w:val="auto"/>
          <w:sz w:val="24"/>
          <w:highlight w:val="none"/>
        </w:rPr>
      </w:pPr>
      <w:r>
        <w:rPr>
          <w:rFonts w:ascii="宋体" w:hAnsi="宋体" w:eastAsia="宋体" w:cs="宋体"/>
          <w:color w:val="auto"/>
          <w:sz w:val="24"/>
          <w:highlight w:val="none"/>
        </w:rPr>
        <w:t>本项目绿色建筑设计须满足规划条件，满足《广州市绿色建筑发展专项规划（2021-2035年）》要求，根据专项规划图集中的绿色建筑目标单元划定图，该地块位于基础目标单元。</w:t>
      </w:r>
    </w:p>
    <w:p w14:paraId="51BB7C29">
      <w:pPr>
        <w:snapToGrid w:val="0"/>
        <w:spacing w:before="0" w:after="0" w:line="360" w:lineRule="auto"/>
        <w:ind w:firstLine="480" w:firstLineChars="200"/>
        <w:rPr>
          <w:rFonts w:hint="eastAsia" w:ascii="宋体" w:hAnsi="宋体" w:eastAsia="宋体" w:cs="宋体"/>
          <w:color w:val="auto"/>
          <w:sz w:val="24"/>
          <w:highlight w:val="none"/>
        </w:rPr>
      </w:pPr>
      <w:r>
        <w:rPr>
          <w:rFonts w:ascii="宋体" w:hAnsi="宋体" w:eastAsia="宋体" w:cs="宋体"/>
          <w:color w:val="auto"/>
          <w:sz w:val="24"/>
          <w:highlight w:val="none"/>
        </w:rPr>
        <w:t>1、设计应遵循循环经济理念，尽可能参照绿色建筑要求应用新技术，采用新型节能环保材料，地块内的建筑都要达到绿色建筑标准的要求。鼓励建筑设计按《智能建筑设计标准（GB/T50314-2006）》的要求，采用 BIM 技术进行设计。</w:t>
      </w:r>
    </w:p>
    <w:p w14:paraId="20971ED1">
      <w:pPr>
        <w:snapToGrid w:val="0"/>
        <w:spacing w:before="0" w:after="0" w:line="360" w:lineRule="auto"/>
        <w:ind w:firstLine="480" w:firstLineChars="200"/>
        <w:rPr>
          <w:rFonts w:hint="eastAsia" w:ascii="宋体" w:hAnsi="宋体" w:eastAsia="宋体" w:cs="宋体"/>
          <w:color w:val="auto"/>
          <w:sz w:val="24"/>
          <w:highlight w:val="none"/>
        </w:rPr>
      </w:pPr>
      <w:r>
        <w:rPr>
          <w:rFonts w:ascii="宋体" w:hAnsi="宋体" w:eastAsia="宋体" w:cs="宋体"/>
          <w:color w:val="auto"/>
          <w:sz w:val="24"/>
          <w:highlight w:val="none"/>
        </w:rPr>
        <w:t>2、规划方案及初步设计阶段应提交绿色建筑专篇，施工图设计阶段应提交绿色建筑说明专篇及相关模拟计算书、对应分析报告等。</w:t>
      </w:r>
    </w:p>
    <w:p w14:paraId="6085FD4F">
      <w:pPr>
        <w:snapToGrid w:val="0"/>
        <w:spacing w:before="0" w:after="0" w:line="360" w:lineRule="auto"/>
        <w:ind w:firstLine="480" w:firstLineChars="200"/>
        <w:rPr>
          <w:rFonts w:hint="eastAsia" w:ascii="宋体" w:hAnsi="宋体" w:eastAsia="宋体" w:cs="宋体"/>
          <w:color w:val="auto"/>
          <w:sz w:val="24"/>
          <w:highlight w:val="none"/>
        </w:rPr>
      </w:pPr>
      <w:r>
        <w:rPr>
          <w:rFonts w:ascii="宋体" w:hAnsi="宋体" w:eastAsia="宋体" w:cs="宋体"/>
          <w:color w:val="auto"/>
          <w:sz w:val="24"/>
          <w:highlight w:val="none"/>
        </w:rPr>
        <w:t>3、建筑立面设计鼓励采用被动节能措施，宜采用综合遮阳，挡板遮阳或垂直绿化遮阳等措施，不宜采用镜面反射玻璃或抛光金属板等材料。</w:t>
      </w:r>
    </w:p>
    <w:p w14:paraId="0F53A12F">
      <w:pPr>
        <w:pStyle w:val="5"/>
        <w:snapToGrid w:val="0"/>
        <w:spacing w:line="360" w:lineRule="auto"/>
        <w:ind w:left="0" w:firstLine="0"/>
        <w:rPr>
          <w:rFonts w:hint="eastAsia" w:ascii="宋体" w:hAnsi="宋体" w:eastAsia="宋体" w:cs="宋体"/>
          <w:color w:val="auto"/>
          <w:highlight w:val="none"/>
        </w:rPr>
      </w:pPr>
      <w:r>
        <w:rPr>
          <w:rFonts w:ascii="宋体" w:hAnsi="宋体" w:eastAsia="宋体" w:cs="宋体"/>
          <w:color w:val="auto"/>
          <w:highlight w:val="none"/>
        </w:rPr>
        <w:t>结构专业</w:t>
      </w:r>
    </w:p>
    <w:p w14:paraId="165B479E">
      <w:pPr>
        <w:snapToGrid w:val="0"/>
        <w:spacing w:before="0" w:after="0" w:line="360" w:lineRule="auto"/>
        <w:ind w:firstLine="480" w:firstLineChars="200"/>
        <w:rPr>
          <w:rFonts w:hint="eastAsia" w:ascii="宋体" w:hAnsi="宋体" w:eastAsia="宋体" w:cs="宋体"/>
          <w:color w:val="auto"/>
          <w:sz w:val="24"/>
          <w:highlight w:val="none"/>
        </w:rPr>
      </w:pPr>
      <w:r>
        <w:rPr>
          <w:rFonts w:ascii="宋体" w:hAnsi="宋体" w:eastAsia="宋体" w:cs="宋体"/>
          <w:color w:val="auto"/>
          <w:sz w:val="24"/>
          <w:highlight w:val="none"/>
        </w:rPr>
        <w:t>1、现浇混凝土采用预拌混凝土。</w:t>
      </w:r>
    </w:p>
    <w:p w14:paraId="46D72D13">
      <w:pPr>
        <w:snapToGrid w:val="0"/>
        <w:spacing w:before="0" w:after="0" w:line="360" w:lineRule="auto"/>
        <w:ind w:firstLine="480" w:firstLineChars="200"/>
        <w:rPr>
          <w:color w:val="auto"/>
          <w:highlight w:val="none"/>
        </w:rPr>
      </w:pPr>
      <w:r>
        <w:rPr>
          <w:rFonts w:ascii="宋体" w:hAnsi="宋体" w:eastAsia="宋体" w:cs="宋体"/>
          <w:color w:val="auto"/>
          <w:sz w:val="24"/>
          <w:highlight w:val="none"/>
        </w:rPr>
        <w:t>2、建筑结构材料合理采用高性能混凝土、高强度钢。</w:t>
      </w:r>
    </w:p>
    <w:p w14:paraId="47E8FFFA">
      <w:pPr>
        <w:pStyle w:val="5"/>
        <w:snapToGrid w:val="0"/>
        <w:spacing w:line="360" w:lineRule="auto"/>
        <w:ind w:left="0" w:firstLine="0"/>
        <w:rPr>
          <w:rFonts w:hint="eastAsia" w:ascii="宋体" w:hAnsi="宋体" w:eastAsia="宋体" w:cs="宋体"/>
          <w:color w:val="auto"/>
          <w:highlight w:val="none"/>
        </w:rPr>
      </w:pPr>
      <w:r>
        <w:rPr>
          <w:rFonts w:ascii="宋体" w:hAnsi="宋体" w:eastAsia="宋体" w:cs="宋体"/>
          <w:color w:val="auto"/>
          <w:highlight w:val="none"/>
        </w:rPr>
        <w:t>给排水专业</w:t>
      </w:r>
    </w:p>
    <w:p w14:paraId="50B0FE00">
      <w:pPr>
        <w:snapToGrid w:val="0"/>
        <w:spacing w:before="0" w:after="0" w:line="360" w:lineRule="auto"/>
        <w:ind w:firstLine="480" w:firstLineChars="200"/>
        <w:rPr>
          <w:rFonts w:hint="eastAsia" w:ascii="宋体" w:hAnsi="宋体" w:eastAsia="宋体" w:cs="宋体"/>
          <w:color w:val="auto"/>
          <w:sz w:val="24"/>
          <w:highlight w:val="none"/>
        </w:rPr>
      </w:pPr>
      <w:r>
        <w:rPr>
          <w:rFonts w:ascii="宋体" w:hAnsi="宋体" w:eastAsia="宋体" w:cs="宋体"/>
          <w:color w:val="auto"/>
          <w:sz w:val="24"/>
          <w:highlight w:val="none"/>
        </w:rPr>
        <w:t>1、采取有效措施避免管网损漏。</w:t>
      </w:r>
    </w:p>
    <w:p w14:paraId="310D1A38">
      <w:pPr>
        <w:snapToGrid w:val="0"/>
        <w:spacing w:before="0" w:after="0" w:line="360" w:lineRule="auto"/>
        <w:ind w:firstLine="480" w:firstLineChars="200"/>
        <w:rPr>
          <w:rFonts w:hint="eastAsia" w:ascii="宋体" w:hAnsi="宋体" w:eastAsia="宋体" w:cs="宋体"/>
          <w:color w:val="auto"/>
          <w:sz w:val="24"/>
          <w:highlight w:val="none"/>
        </w:rPr>
      </w:pPr>
      <w:r>
        <w:rPr>
          <w:rFonts w:ascii="宋体" w:hAnsi="宋体" w:eastAsia="宋体" w:cs="宋体"/>
          <w:color w:val="auto"/>
          <w:sz w:val="24"/>
          <w:highlight w:val="none"/>
        </w:rPr>
        <w:t>2、采用节水器具和设备。</w:t>
      </w:r>
    </w:p>
    <w:p w14:paraId="5EB3B67A">
      <w:pPr>
        <w:snapToGrid w:val="0"/>
        <w:spacing w:before="0" w:after="0" w:line="360" w:lineRule="auto"/>
        <w:ind w:firstLine="480" w:firstLineChars="200"/>
        <w:rPr>
          <w:rFonts w:hint="eastAsia" w:ascii="宋体" w:hAnsi="宋体" w:eastAsia="宋体" w:cs="宋体"/>
          <w:color w:val="auto"/>
          <w:sz w:val="24"/>
          <w:highlight w:val="none"/>
        </w:rPr>
      </w:pPr>
      <w:r>
        <w:rPr>
          <w:rFonts w:ascii="宋体" w:hAnsi="宋体" w:eastAsia="宋体" w:cs="宋体"/>
          <w:color w:val="auto"/>
          <w:sz w:val="24"/>
          <w:highlight w:val="none"/>
        </w:rPr>
        <w:t>3、调速泵在额定转速时的工作点，应位于水泵高效区的末端。</w:t>
      </w:r>
    </w:p>
    <w:p w14:paraId="2F6C41E2">
      <w:pPr>
        <w:snapToGrid w:val="0"/>
        <w:spacing w:before="0" w:after="0" w:line="360" w:lineRule="auto"/>
        <w:ind w:firstLine="480" w:firstLineChars="200"/>
        <w:rPr>
          <w:rFonts w:hint="eastAsia" w:ascii="宋体" w:hAnsi="宋体" w:eastAsia="宋体" w:cs="宋体"/>
          <w:color w:val="auto"/>
          <w:sz w:val="24"/>
          <w:highlight w:val="none"/>
        </w:rPr>
      </w:pPr>
      <w:r>
        <w:rPr>
          <w:rFonts w:ascii="宋体" w:hAnsi="宋体" w:eastAsia="宋体" w:cs="宋体"/>
          <w:color w:val="auto"/>
          <w:sz w:val="24"/>
          <w:highlight w:val="none"/>
        </w:rPr>
        <w:t>4、合理设计雨水的径流控制利用途径，减少雨水受污染机率，削减雨洪峰流量。通过技术经济比较，合理确定雨水集蓄及利用方案。</w:t>
      </w:r>
    </w:p>
    <w:p w14:paraId="67285397">
      <w:pPr>
        <w:pStyle w:val="5"/>
        <w:snapToGrid w:val="0"/>
        <w:spacing w:line="360" w:lineRule="auto"/>
        <w:ind w:left="0" w:firstLine="0"/>
        <w:rPr>
          <w:rFonts w:hint="eastAsia" w:ascii="宋体" w:hAnsi="宋体" w:eastAsia="宋体" w:cs="宋体"/>
          <w:color w:val="auto"/>
          <w:highlight w:val="none"/>
        </w:rPr>
      </w:pPr>
      <w:r>
        <w:rPr>
          <w:rFonts w:ascii="宋体" w:hAnsi="宋体" w:eastAsia="宋体" w:cs="宋体"/>
          <w:color w:val="auto"/>
          <w:highlight w:val="none"/>
        </w:rPr>
        <w:t>电气专业</w:t>
      </w:r>
    </w:p>
    <w:p w14:paraId="111BB58E">
      <w:pPr>
        <w:spacing w:before="0" w:after="0"/>
        <w:jc w:val="left"/>
        <w:rPr>
          <w:rFonts w:hint="eastAsia" w:ascii="宋体" w:hAnsi="宋体" w:eastAsia="宋体" w:cs="宋体"/>
          <w:color w:val="auto"/>
          <w:highlight w:val="none"/>
        </w:rPr>
      </w:pPr>
      <w:r>
        <w:rPr>
          <w:rFonts w:hint="eastAsia" w:ascii="宋体" w:hAnsi="宋体" w:eastAsia="宋体" w:cs="宋体"/>
          <w:color w:val="auto"/>
          <w:highlight w:val="none"/>
        </w:rPr>
        <w:t>1、供配电系统节能设计</w:t>
      </w:r>
    </w:p>
    <w:p w14:paraId="6F10B910">
      <w:pPr>
        <w:snapToGrid w:val="0"/>
        <w:spacing w:before="0" w:after="0" w:line="360" w:lineRule="auto"/>
        <w:ind w:firstLine="480" w:firstLineChars="200"/>
        <w:rPr>
          <w:rFonts w:hint="eastAsia" w:ascii="宋体" w:hAnsi="宋体" w:eastAsia="宋体" w:cs="宋体"/>
          <w:color w:val="auto"/>
          <w:sz w:val="24"/>
          <w:highlight w:val="none"/>
        </w:rPr>
      </w:pPr>
      <w:r>
        <w:rPr>
          <w:rFonts w:ascii="宋体" w:hAnsi="宋体" w:eastAsia="宋体" w:cs="宋体"/>
          <w:color w:val="auto"/>
          <w:sz w:val="24"/>
          <w:highlight w:val="none"/>
        </w:rPr>
        <w:t>（1）变配电系统设备应采用节能、高效型设备，实现变配电系统的经济运行。</w:t>
      </w:r>
    </w:p>
    <w:p w14:paraId="6F9888A8">
      <w:pPr>
        <w:snapToGrid w:val="0"/>
        <w:spacing w:before="0" w:after="0" w:line="360" w:lineRule="auto"/>
        <w:ind w:firstLine="480" w:firstLineChars="200"/>
        <w:rPr>
          <w:rFonts w:hint="eastAsia" w:ascii="宋体" w:hAnsi="宋体" w:eastAsia="宋体" w:cs="宋体"/>
          <w:color w:val="auto"/>
          <w:sz w:val="24"/>
          <w:highlight w:val="none"/>
        </w:rPr>
      </w:pPr>
      <w:r>
        <w:rPr>
          <w:rFonts w:ascii="宋体" w:hAnsi="宋体" w:eastAsia="宋体" w:cs="宋体"/>
          <w:color w:val="auto"/>
          <w:sz w:val="24"/>
          <w:highlight w:val="none"/>
        </w:rPr>
        <w:t>（2）变电所的位置应靠近负荷中心，低压配电级数不宜多于三级，减少正常运行时的线路损耗，降低配电系统自身的能耗。</w:t>
      </w:r>
    </w:p>
    <w:p w14:paraId="49BF79F6">
      <w:pPr>
        <w:snapToGrid w:val="0"/>
        <w:spacing w:before="0" w:after="0" w:line="360" w:lineRule="auto"/>
        <w:ind w:firstLine="480" w:firstLineChars="200"/>
        <w:rPr>
          <w:rFonts w:hint="eastAsia" w:ascii="宋体" w:hAnsi="宋体" w:eastAsia="宋体" w:cs="宋体"/>
          <w:color w:val="auto"/>
          <w:sz w:val="24"/>
          <w:highlight w:val="none"/>
        </w:rPr>
      </w:pPr>
      <w:r>
        <w:rPr>
          <w:rFonts w:ascii="宋体" w:hAnsi="宋体" w:eastAsia="宋体" w:cs="宋体"/>
          <w:color w:val="auto"/>
          <w:sz w:val="24"/>
          <w:highlight w:val="none"/>
        </w:rPr>
        <w:t>（3）应按照经济电流合理选择电缆截面，降低线路损耗。</w:t>
      </w:r>
    </w:p>
    <w:p w14:paraId="51B69F9E">
      <w:pPr>
        <w:snapToGrid w:val="0"/>
        <w:spacing w:before="0" w:after="0" w:line="360" w:lineRule="auto"/>
        <w:ind w:firstLine="480" w:firstLineChars="200"/>
        <w:rPr>
          <w:rFonts w:hint="eastAsia" w:ascii="宋体" w:hAnsi="宋体" w:eastAsia="宋体" w:cs="宋体"/>
          <w:color w:val="auto"/>
          <w:sz w:val="24"/>
          <w:highlight w:val="none"/>
        </w:rPr>
      </w:pPr>
      <w:r>
        <w:rPr>
          <w:rFonts w:ascii="宋体" w:hAnsi="宋体" w:eastAsia="宋体" w:cs="宋体"/>
          <w:color w:val="auto"/>
          <w:sz w:val="24"/>
          <w:highlight w:val="none"/>
        </w:rPr>
        <w:t>（4）在低压配电系统设功率因数自动补偿装置，补偿后的功率因数大于 0.9，减少无功损耗。</w:t>
      </w:r>
    </w:p>
    <w:p w14:paraId="661654A7">
      <w:pPr>
        <w:snapToGrid w:val="0"/>
        <w:spacing w:before="0" w:after="0" w:line="360" w:lineRule="auto"/>
        <w:ind w:firstLine="480" w:firstLineChars="200"/>
        <w:rPr>
          <w:rFonts w:hint="eastAsia" w:ascii="宋体" w:hAnsi="宋体" w:eastAsia="宋体" w:cs="宋体"/>
          <w:color w:val="auto"/>
          <w:sz w:val="24"/>
          <w:highlight w:val="none"/>
        </w:rPr>
      </w:pPr>
      <w:r>
        <w:rPr>
          <w:rFonts w:ascii="宋体" w:hAnsi="宋体" w:eastAsia="宋体" w:cs="宋体"/>
          <w:color w:val="auto"/>
          <w:sz w:val="24"/>
          <w:highlight w:val="none"/>
        </w:rPr>
        <w:t>（5）空调器、水泵等采用节能型电动机，提高电动机的能效。</w:t>
      </w:r>
    </w:p>
    <w:p w14:paraId="01BA65DC">
      <w:pPr>
        <w:spacing w:before="0" w:after="0"/>
        <w:jc w:val="left"/>
        <w:rPr>
          <w:rFonts w:hint="eastAsia" w:ascii="宋体" w:hAnsi="宋体" w:eastAsia="宋体" w:cs="宋体"/>
          <w:color w:val="auto"/>
          <w:highlight w:val="none"/>
        </w:rPr>
      </w:pPr>
      <w:r>
        <w:rPr>
          <w:rFonts w:hint="eastAsia" w:ascii="宋体" w:hAnsi="宋体" w:eastAsia="宋体" w:cs="宋体"/>
          <w:color w:val="auto"/>
          <w:highlight w:val="none"/>
        </w:rPr>
        <w:t>2、照明节能设计</w:t>
      </w:r>
    </w:p>
    <w:p w14:paraId="66E25E92">
      <w:pPr>
        <w:snapToGrid w:val="0"/>
        <w:spacing w:before="0" w:after="0" w:line="360" w:lineRule="auto"/>
        <w:ind w:firstLine="480" w:firstLineChars="200"/>
        <w:rPr>
          <w:rFonts w:hint="eastAsia" w:ascii="宋体" w:hAnsi="宋体" w:eastAsia="宋体" w:cs="宋体"/>
          <w:color w:val="auto"/>
          <w:sz w:val="24"/>
          <w:highlight w:val="none"/>
        </w:rPr>
      </w:pPr>
      <w:r>
        <w:rPr>
          <w:rFonts w:ascii="宋体" w:hAnsi="宋体" w:eastAsia="宋体" w:cs="宋体"/>
          <w:color w:val="auto"/>
          <w:sz w:val="24"/>
          <w:highlight w:val="none"/>
        </w:rPr>
        <w:t>（1）应按照建筑照明设计标准，严格控制各个场所的照度标准值与照明功率密度值，并满足眩光值、效率、显指、色温要求。</w:t>
      </w:r>
    </w:p>
    <w:p w14:paraId="1552E2FB">
      <w:pPr>
        <w:snapToGrid w:val="0"/>
        <w:spacing w:before="0" w:after="0" w:line="360" w:lineRule="auto"/>
        <w:ind w:firstLine="480" w:firstLineChars="200"/>
        <w:rPr>
          <w:rFonts w:hint="eastAsia" w:ascii="宋体" w:hAnsi="宋体" w:eastAsia="宋体" w:cs="宋体"/>
          <w:color w:val="auto"/>
          <w:sz w:val="24"/>
          <w:highlight w:val="none"/>
        </w:rPr>
      </w:pPr>
      <w:r>
        <w:rPr>
          <w:rFonts w:ascii="宋体" w:hAnsi="宋体" w:eastAsia="宋体" w:cs="宋体"/>
          <w:color w:val="auto"/>
          <w:sz w:val="24"/>
          <w:highlight w:val="none"/>
        </w:rPr>
        <w:t>（2）一般照明应采用直接照明为主方式，所有照明灯具、光源、电气附件等均选用高效、节能型，提高照明效率。</w:t>
      </w:r>
    </w:p>
    <w:p w14:paraId="27DA7CCB">
      <w:pPr>
        <w:snapToGrid w:val="0"/>
        <w:spacing w:before="0" w:after="0" w:line="360" w:lineRule="auto"/>
        <w:ind w:firstLine="480" w:firstLineChars="200"/>
        <w:rPr>
          <w:rFonts w:hint="eastAsia" w:ascii="宋体" w:hAnsi="宋体" w:eastAsia="宋体" w:cs="宋体"/>
          <w:color w:val="auto"/>
          <w:sz w:val="24"/>
          <w:highlight w:val="none"/>
        </w:rPr>
      </w:pPr>
      <w:r>
        <w:rPr>
          <w:rFonts w:ascii="宋体" w:hAnsi="宋体" w:eastAsia="宋体" w:cs="宋体"/>
          <w:color w:val="auto"/>
          <w:sz w:val="24"/>
          <w:highlight w:val="none"/>
        </w:rPr>
        <w:t>（3）如采用荧光灯配电子镇流器，功率因数不小于 0.9</w:t>
      </w:r>
    </w:p>
    <w:p w14:paraId="03F247C6">
      <w:pPr>
        <w:snapToGrid w:val="0"/>
        <w:spacing w:before="0" w:after="0" w:line="360" w:lineRule="auto"/>
        <w:ind w:firstLine="480" w:firstLineChars="200"/>
        <w:rPr>
          <w:rFonts w:hint="eastAsia" w:ascii="宋体" w:hAnsi="宋体" w:eastAsia="宋体" w:cs="宋体"/>
          <w:color w:val="auto"/>
          <w:sz w:val="24"/>
          <w:highlight w:val="none"/>
        </w:rPr>
      </w:pPr>
      <w:r>
        <w:rPr>
          <w:rFonts w:ascii="宋体" w:hAnsi="宋体" w:eastAsia="宋体" w:cs="宋体"/>
          <w:color w:val="auto"/>
          <w:sz w:val="24"/>
          <w:highlight w:val="none"/>
        </w:rPr>
        <w:t>（4）照明控制：楼梯灯采用节能自熄开关控制；门厅灯采用就地控制；地下室车库照明采用集中控制。</w:t>
      </w:r>
    </w:p>
    <w:p w14:paraId="00B82A1C">
      <w:pPr>
        <w:pStyle w:val="5"/>
        <w:snapToGrid w:val="0"/>
        <w:spacing w:line="360" w:lineRule="auto"/>
        <w:ind w:left="0" w:firstLine="0"/>
        <w:rPr>
          <w:color w:val="auto"/>
          <w:highlight w:val="none"/>
        </w:rPr>
      </w:pPr>
      <w:r>
        <w:rPr>
          <w:rFonts w:ascii="宋体" w:hAnsi="宋体" w:eastAsia="宋体" w:cs="宋体"/>
          <w:color w:val="auto"/>
          <w:highlight w:val="none"/>
        </w:rPr>
        <w:t>暖通空调专业</w:t>
      </w:r>
    </w:p>
    <w:p w14:paraId="343429F9">
      <w:pPr>
        <w:snapToGrid w:val="0"/>
        <w:spacing w:before="0" w:after="0" w:line="360" w:lineRule="auto"/>
        <w:ind w:firstLine="480" w:firstLineChars="200"/>
        <w:rPr>
          <w:rFonts w:hint="eastAsia" w:ascii="宋体" w:hAnsi="宋体" w:eastAsia="宋体" w:cs="宋体"/>
          <w:color w:val="auto"/>
          <w:sz w:val="24"/>
          <w:highlight w:val="none"/>
        </w:rPr>
      </w:pPr>
      <w:r>
        <w:rPr>
          <w:rFonts w:ascii="宋体" w:hAnsi="宋体" w:eastAsia="宋体" w:cs="宋体"/>
          <w:color w:val="auto"/>
          <w:sz w:val="24"/>
          <w:highlight w:val="none"/>
        </w:rPr>
        <w:t>1、空调器的能源效率等级指标应达到国家标准确定的节能型要求，所选产品能效应达到 2级以上。</w:t>
      </w:r>
    </w:p>
    <w:p w14:paraId="503AF8F8">
      <w:pPr>
        <w:snapToGrid w:val="0"/>
        <w:spacing w:before="0" w:after="0" w:line="360" w:lineRule="auto"/>
        <w:ind w:firstLine="480" w:firstLineChars="200"/>
        <w:rPr>
          <w:rFonts w:hint="eastAsia" w:ascii="宋体" w:hAnsi="宋体" w:eastAsia="宋体" w:cs="宋体"/>
          <w:color w:val="auto"/>
          <w:sz w:val="24"/>
          <w:highlight w:val="none"/>
        </w:rPr>
      </w:pPr>
      <w:r>
        <w:rPr>
          <w:rFonts w:ascii="宋体" w:hAnsi="宋体" w:eastAsia="宋体" w:cs="宋体"/>
          <w:color w:val="auto"/>
          <w:sz w:val="24"/>
          <w:highlight w:val="none"/>
        </w:rPr>
        <w:t>2、配套公共建筑采用多联机或分体式空调机时，应考虑空调机的安放位置和搁板构造，设计安放位置时应避免多台相邻室外机排风气流的相互干扰，设计板构造时应有利于空调机吸入和排出气流的通畅，空调室外机的进、排风口不应遮挡，为美观而设的遮蔽百叶应采用水平百叶，且透气率应达到 80%上，不应将空调室外机设置在闭口天井内，或宽度小于 4m且进深大于 6m 的凹槽内。</w:t>
      </w:r>
    </w:p>
    <w:p w14:paraId="016E1A53">
      <w:pPr>
        <w:snapToGrid w:val="0"/>
        <w:spacing w:before="0" w:after="0" w:line="360" w:lineRule="auto"/>
        <w:ind w:firstLine="480" w:firstLineChars="200"/>
        <w:rPr>
          <w:rFonts w:hint="eastAsia" w:ascii="宋体" w:hAnsi="宋体" w:eastAsia="宋体" w:cs="宋体"/>
          <w:color w:val="auto"/>
          <w:sz w:val="24"/>
          <w:highlight w:val="none"/>
        </w:rPr>
      </w:pPr>
      <w:r>
        <w:rPr>
          <w:rFonts w:ascii="宋体" w:hAnsi="宋体" w:eastAsia="宋体" w:cs="宋体"/>
          <w:color w:val="auto"/>
          <w:sz w:val="24"/>
          <w:highlight w:val="none"/>
        </w:rPr>
        <w:t>3.商业部分采用水冷中央空调系统时，应采用高效制冷主机及多联机组，能效比达到国家二级能效以上。</w:t>
      </w:r>
    </w:p>
    <w:p w14:paraId="77F4A43C">
      <w:pPr>
        <w:pStyle w:val="4"/>
        <w:snapToGrid w:val="0"/>
        <w:spacing w:before="100" w:after="100" w:line="360" w:lineRule="auto"/>
        <w:ind w:left="0" w:firstLine="0"/>
        <w:rPr>
          <w:color w:val="auto"/>
          <w:sz w:val="24"/>
          <w:szCs w:val="22"/>
          <w:highlight w:val="none"/>
        </w:rPr>
      </w:pPr>
      <w:bookmarkStart w:id="67" w:name="_Toc30837"/>
      <w:r>
        <w:rPr>
          <w:rFonts w:ascii="宋体" w:hAnsi="宋体" w:eastAsia="宋体" w:cs="宋体"/>
          <w:color w:val="auto"/>
          <w:sz w:val="24"/>
          <w:szCs w:val="22"/>
          <w:highlight w:val="none"/>
        </w:rPr>
        <w:t>其它设计要求</w:t>
      </w:r>
      <w:bookmarkEnd w:id="67"/>
    </w:p>
    <w:p w14:paraId="7F4D99F0">
      <w:pPr>
        <w:snapToGrid w:val="0"/>
        <w:spacing w:before="0" w:after="0" w:line="360" w:lineRule="auto"/>
        <w:ind w:firstLine="480" w:firstLineChars="200"/>
        <w:rPr>
          <w:rFonts w:hint="eastAsia" w:ascii="宋体" w:hAnsi="宋体" w:eastAsia="宋体" w:cs="宋体"/>
          <w:color w:val="auto"/>
          <w:sz w:val="24"/>
          <w:highlight w:val="none"/>
        </w:rPr>
      </w:pPr>
      <w:r>
        <w:rPr>
          <w:rFonts w:ascii="宋体" w:hAnsi="宋体" w:eastAsia="宋体" w:cs="宋体"/>
          <w:color w:val="auto"/>
          <w:sz w:val="24"/>
          <w:highlight w:val="none"/>
        </w:rPr>
        <w:t>1.项目前期摸查报告编制。报告包含但不限于项目概况、项目现状、周边市政条件、报批报建工作进展、勘察设计工作进展、建设工作界面、勘察设计工作计划、存在的问题及相关建议等内容，前期摸查报告需经甲方审核通过后视为完成。</w:t>
      </w:r>
    </w:p>
    <w:p w14:paraId="276B9351">
      <w:pPr>
        <w:snapToGrid w:val="0"/>
        <w:spacing w:before="0" w:after="0"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w:t>
      </w:r>
      <w:r>
        <w:rPr>
          <w:rFonts w:ascii="宋体" w:hAnsi="宋体" w:eastAsia="宋体" w:cs="宋体"/>
          <w:color w:val="auto"/>
          <w:sz w:val="24"/>
          <w:highlight w:val="none"/>
        </w:rPr>
        <w:t>.幕墙设计：须进行技术方案比选分析。</w:t>
      </w:r>
    </w:p>
    <w:p w14:paraId="64FF4804">
      <w:pPr>
        <w:snapToGrid w:val="0"/>
        <w:spacing w:before="0" w:after="0"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3</w:t>
      </w:r>
      <w:r>
        <w:rPr>
          <w:rFonts w:ascii="宋体" w:hAnsi="宋体" w:eastAsia="宋体" w:cs="宋体"/>
          <w:color w:val="auto"/>
          <w:sz w:val="24"/>
          <w:highlight w:val="none"/>
        </w:rPr>
        <w:t>.防雷设计，按《建筑物防雷设计规范》设计。</w:t>
      </w:r>
    </w:p>
    <w:p w14:paraId="307AA722">
      <w:pPr>
        <w:snapToGrid w:val="0"/>
        <w:spacing w:before="0" w:after="0"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4</w:t>
      </w:r>
      <w:r>
        <w:rPr>
          <w:rFonts w:ascii="宋体" w:hAnsi="宋体" w:eastAsia="宋体" w:cs="宋体"/>
          <w:color w:val="auto"/>
          <w:sz w:val="24"/>
          <w:highlight w:val="none"/>
        </w:rPr>
        <w:t>.建筑节能新技术的应用及设计：进行技术方案比选分析。</w:t>
      </w:r>
    </w:p>
    <w:p w14:paraId="6C6A897B">
      <w:pPr>
        <w:snapToGrid w:val="0"/>
        <w:spacing w:before="0" w:after="0"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5</w:t>
      </w:r>
      <w:r>
        <w:rPr>
          <w:rFonts w:ascii="宋体" w:hAnsi="宋体" w:eastAsia="宋体" w:cs="宋体"/>
          <w:color w:val="auto"/>
          <w:sz w:val="24"/>
          <w:highlight w:val="none"/>
        </w:rPr>
        <w:t>.标识导引（按照任务书或项目承建单位制定的范围进行设计）：设计单位在方案、初步设计中以单独篇章提交标志标识系统设计成果。</w:t>
      </w:r>
    </w:p>
    <w:p w14:paraId="4E29347C">
      <w:pPr>
        <w:snapToGrid w:val="0"/>
        <w:spacing w:before="0" w:after="0"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6</w:t>
      </w:r>
      <w:r>
        <w:rPr>
          <w:rFonts w:ascii="宋体" w:hAnsi="宋体" w:eastAsia="宋体" w:cs="宋体"/>
          <w:color w:val="auto"/>
          <w:sz w:val="24"/>
          <w:highlight w:val="none"/>
        </w:rPr>
        <w:t>.管线综合平衡设计：各种专业设备、系统的管线在建筑物内系统设计、外的路由平衡设计(要求小管线、线槽做穿梁设计)，进行技术方案比选分析，所有管线不同平面、剖面画出具体定位，画至末端。</w:t>
      </w:r>
    </w:p>
    <w:p w14:paraId="1DCF5C2E">
      <w:pPr>
        <w:snapToGrid w:val="0"/>
        <w:spacing w:before="0" w:after="0"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7</w:t>
      </w:r>
      <w:r>
        <w:rPr>
          <w:rFonts w:ascii="宋体" w:hAnsi="宋体" w:eastAsia="宋体" w:cs="宋体"/>
          <w:color w:val="auto"/>
          <w:sz w:val="24"/>
          <w:highlight w:val="none"/>
        </w:rPr>
        <w:t>.若采用自主创新、自主知识产权的新型产品，应在项目可行性研究报告报送前，提交专题方案比较论证报告报招标人确认，可行性研究报告中应有明确采购自主创新产品的具体要求。</w:t>
      </w:r>
    </w:p>
    <w:p w14:paraId="3710101A">
      <w:pPr>
        <w:pStyle w:val="4"/>
        <w:snapToGrid w:val="0"/>
        <w:spacing w:before="100" w:after="100" w:line="360" w:lineRule="auto"/>
        <w:ind w:left="0" w:firstLine="0"/>
        <w:rPr>
          <w:color w:val="auto"/>
          <w:sz w:val="24"/>
          <w:szCs w:val="22"/>
          <w:highlight w:val="none"/>
        </w:rPr>
      </w:pPr>
      <w:bookmarkStart w:id="68" w:name="_Toc28965"/>
      <w:r>
        <w:rPr>
          <w:rFonts w:ascii="宋体" w:hAnsi="宋体" w:eastAsia="宋体" w:cs="宋体"/>
          <w:color w:val="auto"/>
          <w:sz w:val="24"/>
          <w:szCs w:val="22"/>
          <w:highlight w:val="none"/>
        </w:rPr>
        <w:t>造价工作要求</w:t>
      </w:r>
      <w:bookmarkEnd w:id="68"/>
    </w:p>
    <w:p w14:paraId="7E46828B">
      <w:pPr>
        <w:pStyle w:val="5"/>
        <w:snapToGrid w:val="0"/>
        <w:spacing w:line="360" w:lineRule="auto"/>
        <w:ind w:left="0" w:firstLine="0"/>
        <w:rPr>
          <w:color w:val="auto"/>
          <w:highlight w:val="none"/>
        </w:rPr>
      </w:pPr>
      <w:r>
        <w:rPr>
          <w:rFonts w:ascii="宋体" w:hAnsi="宋体" w:eastAsia="宋体" w:cs="宋体"/>
          <w:color w:val="auto"/>
          <w:highlight w:val="none"/>
        </w:rPr>
        <w:t>造价文件编制及报审工作</w:t>
      </w:r>
    </w:p>
    <w:p w14:paraId="720B0B2D">
      <w:pPr>
        <w:snapToGrid w:val="0"/>
        <w:spacing w:before="0" w:after="0" w:line="360" w:lineRule="auto"/>
        <w:ind w:firstLine="480" w:firstLineChars="200"/>
        <w:rPr>
          <w:rFonts w:hint="eastAsia" w:ascii="宋体" w:hAnsi="宋体" w:eastAsia="宋体" w:cs="宋体"/>
          <w:color w:val="auto"/>
          <w:sz w:val="24"/>
          <w:highlight w:val="none"/>
        </w:rPr>
      </w:pPr>
      <w:r>
        <w:rPr>
          <w:rFonts w:ascii="宋体" w:hAnsi="宋体" w:eastAsia="宋体" w:cs="宋体"/>
          <w:color w:val="auto"/>
          <w:sz w:val="24"/>
          <w:highlight w:val="none"/>
        </w:rPr>
        <w:t>1.编制合同设计范围内方案估算（按分布分项进行限额控制）、初步设计概算；</w:t>
      </w:r>
    </w:p>
    <w:p w14:paraId="2CB8A0C7">
      <w:pPr>
        <w:snapToGrid w:val="0"/>
        <w:spacing w:before="0" w:after="0" w:line="360" w:lineRule="auto"/>
        <w:ind w:firstLine="480" w:firstLineChars="200"/>
        <w:rPr>
          <w:rFonts w:hint="eastAsia" w:ascii="宋体" w:hAnsi="宋体" w:eastAsia="宋体" w:cs="宋体"/>
          <w:color w:val="auto"/>
          <w:sz w:val="24"/>
          <w:highlight w:val="none"/>
        </w:rPr>
      </w:pPr>
      <w:r>
        <w:rPr>
          <w:rFonts w:ascii="宋体" w:hAnsi="宋体" w:eastAsia="宋体" w:cs="宋体"/>
          <w:color w:val="auto"/>
          <w:sz w:val="24"/>
          <w:highlight w:val="none"/>
        </w:rPr>
        <w:t>2.负责配合初步设计概算送报审工作；</w:t>
      </w:r>
    </w:p>
    <w:p w14:paraId="41FCCDA1">
      <w:pPr>
        <w:snapToGrid w:val="0"/>
        <w:spacing w:before="0" w:after="0" w:line="360" w:lineRule="auto"/>
        <w:ind w:firstLine="480" w:firstLineChars="200"/>
        <w:rPr>
          <w:rFonts w:hint="eastAsia" w:ascii="宋体" w:hAnsi="宋体" w:eastAsia="宋体" w:cs="宋体"/>
          <w:color w:val="auto"/>
          <w:sz w:val="24"/>
          <w:highlight w:val="none"/>
        </w:rPr>
      </w:pPr>
      <w:r>
        <w:rPr>
          <w:rFonts w:ascii="宋体" w:hAnsi="宋体" w:eastAsia="宋体" w:cs="宋体"/>
          <w:color w:val="auto"/>
          <w:sz w:val="24"/>
          <w:highlight w:val="none"/>
        </w:rPr>
        <w:t>3.各设计阶段进行各类方案比选时编制造价分析材料，给出造价分析结论。</w:t>
      </w:r>
    </w:p>
    <w:p w14:paraId="1A698371">
      <w:pPr>
        <w:pStyle w:val="5"/>
        <w:snapToGrid w:val="0"/>
        <w:spacing w:line="360" w:lineRule="auto"/>
        <w:ind w:left="0" w:firstLine="0"/>
        <w:rPr>
          <w:rFonts w:hint="eastAsia" w:ascii="宋体" w:hAnsi="宋体" w:eastAsia="宋体" w:cs="宋体"/>
          <w:color w:val="auto"/>
          <w:highlight w:val="none"/>
        </w:rPr>
      </w:pPr>
      <w:r>
        <w:rPr>
          <w:rFonts w:ascii="宋体" w:hAnsi="宋体" w:eastAsia="宋体" w:cs="宋体"/>
          <w:color w:val="auto"/>
          <w:highlight w:val="none"/>
        </w:rPr>
        <w:t>造价控制要求及工作要求</w:t>
      </w:r>
    </w:p>
    <w:p w14:paraId="5CE43362">
      <w:pPr>
        <w:snapToGrid w:val="0"/>
        <w:spacing w:before="0" w:after="0" w:line="360" w:lineRule="auto"/>
        <w:ind w:firstLine="480" w:firstLineChars="200"/>
        <w:rPr>
          <w:rFonts w:hint="eastAsia" w:ascii="宋体" w:hAnsi="宋体" w:eastAsia="宋体" w:cs="宋体"/>
          <w:color w:val="auto"/>
          <w:sz w:val="24"/>
          <w:highlight w:val="none"/>
        </w:rPr>
      </w:pPr>
      <w:r>
        <w:rPr>
          <w:rFonts w:ascii="宋体" w:hAnsi="宋体" w:eastAsia="宋体" w:cs="宋体"/>
          <w:color w:val="auto"/>
          <w:sz w:val="24"/>
          <w:highlight w:val="none"/>
        </w:rPr>
        <w:t>乙方除按合同要求做好工程投资控制外，还要做到以下要求：</w:t>
      </w:r>
    </w:p>
    <w:p w14:paraId="39940C52">
      <w:pPr>
        <w:snapToGrid w:val="0"/>
        <w:spacing w:before="0" w:after="0" w:line="360" w:lineRule="auto"/>
        <w:ind w:firstLine="480" w:firstLineChars="200"/>
        <w:rPr>
          <w:rFonts w:hint="eastAsia" w:ascii="宋体" w:hAnsi="宋体" w:eastAsia="宋体" w:cs="宋体"/>
          <w:color w:val="auto"/>
          <w:sz w:val="24"/>
          <w:highlight w:val="none"/>
        </w:rPr>
      </w:pPr>
      <w:r>
        <w:rPr>
          <w:rFonts w:ascii="宋体" w:hAnsi="宋体" w:eastAsia="宋体" w:cs="宋体"/>
          <w:color w:val="auto"/>
          <w:sz w:val="24"/>
          <w:highlight w:val="none"/>
        </w:rPr>
        <w:t>1．各阶段的造价文件编制需满足对应阶段造价文件深度要求。各阶段造价成果文件误差控制不超过±10%。</w:t>
      </w:r>
    </w:p>
    <w:p w14:paraId="7FA977D5">
      <w:pPr>
        <w:snapToGrid w:val="0"/>
        <w:spacing w:before="0" w:after="0" w:line="360" w:lineRule="auto"/>
        <w:ind w:firstLine="480" w:firstLineChars="200"/>
        <w:rPr>
          <w:rFonts w:hint="eastAsia" w:ascii="宋体" w:hAnsi="宋体" w:eastAsia="宋体" w:cs="宋体"/>
          <w:color w:val="auto"/>
          <w:sz w:val="24"/>
          <w:highlight w:val="none"/>
        </w:rPr>
      </w:pPr>
      <w:r>
        <w:rPr>
          <w:rFonts w:ascii="宋体" w:hAnsi="宋体" w:eastAsia="宋体" w:cs="宋体"/>
          <w:color w:val="auto"/>
          <w:sz w:val="24"/>
          <w:highlight w:val="none"/>
        </w:rPr>
        <w:t>2.乙方须根据甲方的相关规定和要求进行工程设计概算的编制，概算文件中的开项必须齐全完整，造价指标必须准确，须满足工程投资控制的要求。乙方编制的工程概算须同时满足甲方信息化管理的相关要求。</w:t>
      </w:r>
    </w:p>
    <w:p w14:paraId="2367229D">
      <w:pPr>
        <w:snapToGrid w:val="0"/>
        <w:spacing w:before="0" w:after="0" w:line="360" w:lineRule="auto"/>
        <w:ind w:firstLine="480" w:firstLineChars="200"/>
        <w:rPr>
          <w:rFonts w:hint="eastAsia" w:ascii="宋体" w:hAnsi="宋体" w:eastAsia="宋体" w:cs="宋体"/>
          <w:color w:val="auto"/>
          <w:sz w:val="24"/>
          <w:highlight w:val="none"/>
        </w:rPr>
      </w:pPr>
      <w:r>
        <w:rPr>
          <w:rFonts w:ascii="宋体" w:hAnsi="宋体" w:eastAsia="宋体" w:cs="宋体"/>
          <w:color w:val="auto"/>
          <w:sz w:val="24"/>
          <w:highlight w:val="none"/>
        </w:rPr>
        <w:t>3. 如果乙方的概算编制质量和进度不能满足本合同约定或甲方要求，则甲方可从甲方公开征集的造价咨询单位库中另行委托专业造价咨询单位实施设计概算编制工作，所发生的费用根据《关于调整我省建设工程造价咨询服务收费的复函》（粤价函[2011]742号）规定并结合专业造价咨询单位实际工作比例计取，由乙方负责支付。</w:t>
      </w:r>
    </w:p>
    <w:p w14:paraId="46A79ACE">
      <w:pPr>
        <w:snapToGrid w:val="0"/>
        <w:spacing w:before="0" w:after="0" w:line="360" w:lineRule="auto"/>
        <w:ind w:firstLine="519" w:firstLineChars="236"/>
        <w:rPr>
          <w:color w:val="auto"/>
          <w:highlight w:val="none"/>
        </w:rPr>
      </w:pPr>
    </w:p>
    <w:p w14:paraId="26EAAC66">
      <w:pPr>
        <w:snapToGrid w:val="0"/>
        <w:spacing w:before="0" w:after="0" w:line="360" w:lineRule="auto"/>
        <w:ind w:firstLine="519" w:firstLineChars="236"/>
        <w:rPr>
          <w:color w:val="auto"/>
          <w:highlight w:val="none"/>
        </w:rPr>
      </w:pPr>
    </w:p>
    <w:p w14:paraId="13E49D8C">
      <w:pPr>
        <w:pStyle w:val="2"/>
        <w:snapToGrid w:val="0"/>
        <w:spacing w:line="360" w:lineRule="auto"/>
        <w:ind w:left="0" w:firstLine="0"/>
        <w:jc w:val="center"/>
        <w:rPr>
          <w:color w:val="auto"/>
          <w:highlight w:val="none"/>
        </w:rPr>
      </w:pPr>
      <w:bookmarkStart w:id="69" w:name="_Toc75504391"/>
      <w:bookmarkEnd w:id="69"/>
      <w:bookmarkStart w:id="70" w:name="_Toc9355"/>
      <w:r>
        <w:rPr>
          <w:rFonts w:ascii="宋体" w:hAnsi="宋体" w:cs="宋体"/>
          <w:color w:val="auto"/>
          <w:highlight w:val="none"/>
        </w:rPr>
        <w:t>勘察设计人员组织管理要求</w:t>
      </w:r>
      <w:bookmarkEnd w:id="70"/>
    </w:p>
    <w:p w14:paraId="447CCB31">
      <w:pPr>
        <w:pStyle w:val="3"/>
        <w:rPr>
          <w:rFonts w:hint="eastAsia" w:ascii="宋体" w:hAnsi="宋体" w:cs="宋体"/>
          <w:color w:val="auto"/>
          <w:sz w:val="28"/>
          <w:szCs w:val="22"/>
          <w:highlight w:val="none"/>
        </w:rPr>
      </w:pPr>
      <w:bookmarkStart w:id="71" w:name="_Toc75504392"/>
      <w:bookmarkEnd w:id="71"/>
      <w:bookmarkStart w:id="72" w:name="_Toc31275"/>
      <w:r>
        <w:rPr>
          <w:rFonts w:hint="eastAsia" w:ascii="宋体" w:hAnsi="宋体" w:cs="宋体"/>
          <w:color w:val="auto"/>
          <w:sz w:val="28"/>
          <w:szCs w:val="22"/>
          <w:highlight w:val="none"/>
        </w:rPr>
        <w:t>设计人员组织管理</w:t>
      </w:r>
      <w:bookmarkEnd w:id="72"/>
    </w:p>
    <w:p w14:paraId="028BEDA6">
      <w:pPr>
        <w:snapToGrid w:val="0"/>
        <w:spacing w:before="0" w:after="0" w:line="360" w:lineRule="auto"/>
        <w:ind w:firstLine="480" w:firstLineChars="200"/>
        <w:rPr>
          <w:rFonts w:hint="eastAsia" w:ascii="宋体" w:hAnsi="宋体" w:eastAsia="宋体" w:cs="宋体"/>
          <w:color w:val="auto"/>
          <w:sz w:val="24"/>
          <w:highlight w:val="none"/>
        </w:rPr>
      </w:pPr>
      <w:r>
        <w:rPr>
          <w:rFonts w:ascii="宋体" w:hAnsi="宋体" w:eastAsia="宋体" w:cs="宋体"/>
          <w:color w:val="auto"/>
          <w:sz w:val="24"/>
          <w:highlight w:val="none"/>
        </w:rPr>
        <w:t>1、为便于甲方与乙方及时沟通及协调，以保证乙方的设计成果文件能更好地体现甲方的建设意图，乙方应根据甲方的要求，分阶段在指定的地点投入本合同约定的专业人员、设备及设施，实施本合同工程的设计工作。</w:t>
      </w:r>
    </w:p>
    <w:p w14:paraId="4D289A6C">
      <w:pPr>
        <w:snapToGrid w:val="0"/>
        <w:spacing w:before="0" w:after="0" w:line="360" w:lineRule="auto"/>
        <w:ind w:firstLine="480" w:firstLineChars="200"/>
        <w:rPr>
          <w:rFonts w:hint="eastAsia" w:ascii="宋体" w:hAnsi="宋体" w:eastAsia="宋体" w:cs="宋体"/>
          <w:color w:val="auto"/>
          <w:sz w:val="24"/>
          <w:highlight w:val="none"/>
        </w:rPr>
      </w:pPr>
      <w:bookmarkStart w:id="73" w:name="_Hlk75250235"/>
      <w:bookmarkEnd w:id="73"/>
      <w:r>
        <w:rPr>
          <w:rFonts w:ascii="宋体" w:hAnsi="宋体" w:eastAsia="宋体" w:cs="宋体"/>
          <w:color w:val="auto"/>
          <w:sz w:val="24"/>
          <w:highlight w:val="none"/>
        </w:rPr>
        <w:t>乙方应根据项目设计任务及工期要求建立项目组，具体见合同约定。</w:t>
      </w:r>
    </w:p>
    <w:p w14:paraId="29B90604">
      <w:pPr>
        <w:snapToGrid w:val="0"/>
        <w:spacing w:before="0" w:after="0" w:line="360" w:lineRule="auto"/>
        <w:ind w:firstLine="480" w:firstLineChars="200"/>
        <w:rPr>
          <w:rFonts w:hint="eastAsia" w:ascii="宋体" w:hAnsi="宋体" w:eastAsia="宋体" w:cs="宋体"/>
          <w:color w:val="auto"/>
          <w:sz w:val="24"/>
          <w:highlight w:val="none"/>
        </w:rPr>
      </w:pPr>
      <w:r>
        <w:rPr>
          <w:rFonts w:ascii="宋体" w:hAnsi="宋体" w:eastAsia="宋体" w:cs="宋体"/>
          <w:color w:val="auto"/>
          <w:sz w:val="24"/>
          <w:highlight w:val="none"/>
        </w:rPr>
        <w:t>2、在设计高峰或项目承建单位认为有必要时，设计方必须集中力量确保设计进度。</w:t>
      </w:r>
    </w:p>
    <w:p w14:paraId="3A289DB2">
      <w:pPr>
        <w:snapToGrid w:val="0"/>
        <w:spacing w:before="0" w:after="0" w:line="360" w:lineRule="auto"/>
        <w:ind w:firstLine="480" w:firstLineChars="200"/>
        <w:rPr>
          <w:rFonts w:hint="eastAsia" w:ascii="宋体" w:hAnsi="宋体" w:eastAsia="宋体" w:cs="宋体"/>
          <w:color w:val="auto"/>
          <w:sz w:val="24"/>
          <w:highlight w:val="none"/>
        </w:rPr>
      </w:pPr>
      <w:r>
        <w:rPr>
          <w:rFonts w:ascii="宋体" w:hAnsi="宋体" w:eastAsia="宋体" w:cs="宋体"/>
          <w:color w:val="auto"/>
          <w:sz w:val="24"/>
          <w:highlight w:val="none"/>
        </w:rPr>
        <w:t>3、设计单位在明确分工各负其责的基础上，按照招标文件所列要求承诺为本项目合同约定项目指定的设计总负责人、各专业设计负责人、各专业设计人、报建协调人，并向建设管理单位出具相应的授权文件。</w:t>
      </w:r>
    </w:p>
    <w:p w14:paraId="43369220">
      <w:pPr>
        <w:snapToGrid w:val="0"/>
        <w:spacing w:before="0" w:after="0" w:line="360" w:lineRule="auto"/>
        <w:ind w:firstLine="480" w:firstLineChars="200"/>
        <w:rPr>
          <w:rFonts w:hint="eastAsia" w:ascii="宋体" w:hAnsi="宋体" w:eastAsia="宋体" w:cs="宋体"/>
          <w:color w:val="auto"/>
          <w:sz w:val="24"/>
          <w:highlight w:val="none"/>
        </w:rPr>
      </w:pPr>
      <w:r>
        <w:rPr>
          <w:rFonts w:ascii="宋体" w:hAnsi="宋体" w:eastAsia="宋体" w:cs="宋体"/>
          <w:color w:val="auto"/>
          <w:sz w:val="24"/>
          <w:highlight w:val="none"/>
        </w:rPr>
        <w:t>4、项目设计总负责人，各专业设计负责人应能够胜任所承担任务的设计、组织、计划、协调工作。</w:t>
      </w:r>
    </w:p>
    <w:p w14:paraId="1F90B503">
      <w:pPr>
        <w:snapToGrid w:val="0"/>
        <w:spacing w:before="0" w:after="0" w:line="360" w:lineRule="auto"/>
        <w:ind w:firstLine="480" w:firstLineChars="200"/>
        <w:rPr>
          <w:rFonts w:hint="eastAsia" w:ascii="宋体" w:hAnsi="宋体" w:eastAsia="宋体" w:cs="宋体"/>
          <w:color w:val="auto"/>
          <w:sz w:val="24"/>
          <w:highlight w:val="none"/>
        </w:rPr>
      </w:pPr>
      <w:r>
        <w:rPr>
          <w:rFonts w:ascii="宋体" w:hAnsi="宋体" w:eastAsia="宋体" w:cs="宋体"/>
          <w:color w:val="auto"/>
          <w:sz w:val="24"/>
          <w:highlight w:val="none"/>
        </w:rPr>
        <w:t>5、须报送项目设计总负责人、各专业设计负责人、其他参与设计工作的人员姓名、年龄、学历、专业、职称、职务、相关经历和主要技术成果以及在本合同约定项目中负责的设计任务等资料。</w:t>
      </w:r>
    </w:p>
    <w:p w14:paraId="0D7CF056">
      <w:pPr>
        <w:snapToGrid w:val="0"/>
        <w:spacing w:before="0" w:after="0" w:line="360" w:lineRule="auto"/>
        <w:ind w:firstLine="480" w:firstLineChars="200"/>
        <w:rPr>
          <w:rFonts w:hint="eastAsia" w:ascii="宋体" w:hAnsi="宋体" w:eastAsia="宋体" w:cs="宋体"/>
          <w:color w:val="auto"/>
          <w:sz w:val="24"/>
          <w:highlight w:val="none"/>
        </w:rPr>
      </w:pPr>
      <w:r>
        <w:rPr>
          <w:rFonts w:ascii="宋体" w:hAnsi="宋体" w:eastAsia="宋体" w:cs="宋体"/>
          <w:color w:val="auto"/>
          <w:sz w:val="24"/>
          <w:highlight w:val="none"/>
        </w:rPr>
        <w:t>6、必须保证参与本项目各设计单位人员的稳定性，不可随意撤换，且短时离开本地须向项目承建单位请假并制定离开后的协调人，否则必须承担相应责任。</w:t>
      </w:r>
    </w:p>
    <w:p w14:paraId="0D1CC838">
      <w:pPr>
        <w:snapToGrid w:val="0"/>
        <w:spacing w:before="0" w:after="0" w:line="360" w:lineRule="auto"/>
        <w:ind w:firstLine="480" w:firstLineChars="200"/>
        <w:rPr>
          <w:rFonts w:hint="eastAsia" w:ascii="宋体" w:hAnsi="宋体" w:eastAsia="宋体" w:cs="宋体"/>
          <w:color w:val="auto"/>
          <w:sz w:val="24"/>
          <w:highlight w:val="none"/>
        </w:rPr>
      </w:pPr>
      <w:r>
        <w:rPr>
          <w:rFonts w:ascii="宋体" w:hAnsi="宋体" w:eastAsia="宋体" w:cs="宋体"/>
          <w:color w:val="auto"/>
          <w:sz w:val="24"/>
          <w:highlight w:val="none"/>
        </w:rPr>
        <w:t>7、设计单位的设计人员数量、专业水平、专业配套等达不到设计所需时，需更换及补充设计人员；未能在指定时间内及时更换和补充的，将视为违约行为, 项目承建单位将根据项目设计(咨询)单位综合考评办法予以相应的处罚。</w:t>
      </w:r>
    </w:p>
    <w:p w14:paraId="2439CFEE">
      <w:pPr>
        <w:snapToGrid w:val="0"/>
        <w:spacing w:before="0" w:after="0" w:line="360" w:lineRule="auto"/>
        <w:ind w:firstLine="480" w:firstLineChars="200"/>
        <w:rPr>
          <w:rFonts w:hint="eastAsia" w:ascii="宋体" w:hAnsi="宋体" w:eastAsia="宋体" w:cs="宋体"/>
          <w:color w:val="auto"/>
          <w:sz w:val="24"/>
          <w:highlight w:val="none"/>
        </w:rPr>
      </w:pPr>
      <w:r>
        <w:rPr>
          <w:rFonts w:ascii="宋体" w:hAnsi="宋体" w:eastAsia="宋体" w:cs="宋体"/>
          <w:color w:val="auto"/>
          <w:sz w:val="24"/>
          <w:highlight w:val="none"/>
        </w:rPr>
        <w:t>8、</w:t>
      </w:r>
      <w:bookmarkStart w:id="74" w:name="_Hlk75250093"/>
      <w:r>
        <w:rPr>
          <w:rFonts w:ascii="宋体" w:hAnsi="宋体" w:eastAsia="宋体" w:cs="宋体"/>
          <w:color w:val="auto"/>
          <w:sz w:val="24"/>
          <w:highlight w:val="none"/>
        </w:rPr>
        <w:t>设计单位应安排专人全面配合跟进所有报审报建工作（包括</w:t>
      </w:r>
      <w:bookmarkEnd w:id="74"/>
      <w:r>
        <w:rPr>
          <w:rFonts w:ascii="宋体" w:hAnsi="宋体" w:eastAsia="宋体" w:cs="宋体"/>
          <w:color w:val="auto"/>
          <w:sz w:val="24"/>
          <w:highlight w:val="none"/>
        </w:rPr>
        <w:t>但不限于提供项目承建单位报审报建及有关外出协调所需的交通工具，包括购买地形图、管线图纸、加晒加印图纸资料等相关报建费用、各阶段的汇报文件和送审文件晒制费用已包含在勘察设计费中）。</w:t>
      </w:r>
    </w:p>
    <w:p w14:paraId="58EAB128">
      <w:pPr>
        <w:snapToGrid w:val="0"/>
        <w:spacing w:before="0" w:after="0" w:line="360" w:lineRule="auto"/>
        <w:ind w:firstLine="519" w:firstLineChars="236"/>
        <w:rPr>
          <w:color w:val="auto"/>
          <w:highlight w:val="none"/>
        </w:rPr>
      </w:pPr>
    </w:p>
    <w:p w14:paraId="3E9B2140">
      <w:pPr>
        <w:snapToGrid w:val="0"/>
        <w:spacing w:before="0" w:after="0" w:line="360" w:lineRule="auto"/>
        <w:rPr>
          <w:color w:val="auto"/>
          <w:highlight w:val="none"/>
        </w:rPr>
      </w:pPr>
    </w:p>
    <w:p w14:paraId="6057664B">
      <w:pPr>
        <w:pStyle w:val="2"/>
        <w:snapToGrid w:val="0"/>
        <w:spacing w:line="360" w:lineRule="auto"/>
        <w:ind w:left="0" w:firstLine="0"/>
        <w:jc w:val="center"/>
        <w:rPr>
          <w:color w:val="auto"/>
          <w:highlight w:val="none"/>
        </w:rPr>
      </w:pPr>
      <w:bookmarkStart w:id="75" w:name="_Toc75504393"/>
      <w:bookmarkEnd w:id="75"/>
      <w:bookmarkStart w:id="76" w:name="_Toc4417"/>
      <w:r>
        <w:rPr>
          <w:rFonts w:ascii="宋体" w:hAnsi="宋体" w:cs="宋体"/>
          <w:color w:val="auto"/>
          <w:highlight w:val="none"/>
        </w:rPr>
        <w:t>勘察设计成果提交要求</w:t>
      </w:r>
      <w:bookmarkEnd w:id="76"/>
    </w:p>
    <w:p w14:paraId="13FC477B">
      <w:pPr>
        <w:pStyle w:val="3"/>
        <w:rPr>
          <w:rFonts w:hint="eastAsia" w:ascii="宋体" w:hAnsi="宋体" w:cs="宋体"/>
          <w:color w:val="auto"/>
          <w:sz w:val="28"/>
          <w:szCs w:val="22"/>
          <w:highlight w:val="none"/>
        </w:rPr>
      </w:pPr>
      <w:bookmarkStart w:id="77" w:name="_Toc75504394"/>
      <w:bookmarkEnd w:id="77"/>
      <w:bookmarkStart w:id="78" w:name="_Toc3532"/>
      <w:r>
        <w:rPr>
          <w:rFonts w:hint="eastAsia" w:ascii="宋体" w:hAnsi="宋体" w:cs="宋体"/>
          <w:color w:val="auto"/>
          <w:sz w:val="28"/>
          <w:szCs w:val="22"/>
          <w:highlight w:val="none"/>
        </w:rPr>
        <w:t>通用要求</w:t>
      </w:r>
      <w:bookmarkEnd w:id="78"/>
    </w:p>
    <w:p w14:paraId="504EF34E">
      <w:pPr>
        <w:snapToGrid w:val="0"/>
        <w:spacing w:before="0" w:after="0" w:line="360" w:lineRule="auto"/>
        <w:ind w:firstLine="480" w:firstLineChars="200"/>
        <w:rPr>
          <w:rFonts w:hint="eastAsia" w:ascii="宋体" w:hAnsi="宋体" w:eastAsia="宋体" w:cs="宋体"/>
          <w:color w:val="auto"/>
          <w:sz w:val="24"/>
          <w:highlight w:val="none"/>
        </w:rPr>
      </w:pPr>
      <w:r>
        <w:rPr>
          <w:rFonts w:ascii="宋体" w:hAnsi="宋体" w:eastAsia="宋体" w:cs="宋体"/>
          <w:color w:val="auto"/>
          <w:sz w:val="24"/>
          <w:highlight w:val="none"/>
        </w:rPr>
        <w:t>1、设计成果文件要求齐全、完整，内容、深度应符合规定，文字说明、图纸要准确清晰,各阶段设计应达到中华人民共和国建设部颁发的《建筑工程设计文件编制深度规定》、《市政公用工程设计文件编制深度规定》设计阶段深度。</w:t>
      </w:r>
    </w:p>
    <w:p w14:paraId="7FD8C4F5">
      <w:pPr>
        <w:snapToGrid w:val="0"/>
        <w:spacing w:before="0" w:after="0" w:line="360" w:lineRule="auto"/>
        <w:ind w:firstLine="480" w:firstLineChars="200"/>
        <w:rPr>
          <w:rFonts w:hint="eastAsia" w:ascii="宋体" w:hAnsi="宋体" w:eastAsia="宋体" w:cs="宋体"/>
          <w:color w:val="auto"/>
          <w:sz w:val="24"/>
          <w:highlight w:val="none"/>
        </w:rPr>
      </w:pPr>
      <w:r>
        <w:rPr>
          <w:rFonts w:ascii="宋体" w:hAnsi="宋体" w:eastAsia="宋体" w:cs="宋体"/>
          <w:color w:val="auto"/>
          <w:sz w:val="24"/>
          <w:highlight w:val="none"/>
        </w:rPr>
        <w:t>2、凡是涉及到报批报建图纸文件，均需要按专业主管部门的报审要求，按时报送，并负责通过审批。</w:t>
      </w:r>
    </w:p>
    <w:p w14:paraId="3A08F21A">
      <w:pPr>
        <w:pStyle w:val="3"/>
        <w:rPr>
          <w:rFonts w:hint="eastAsia" w:ascii="宋体" w:hAnsi="宋体" w:cs="宋体"/>
          <w:color w:val="auto"/>
          <w:sz w:val="28"/>
          <w:szCs w:val="22"/>
          <w:highlight w:val="none"/>
        </w:rPr>
      </w:pPr>
      <w:bookmarkStart w:id="79" w:name="_Toc74837374"/>
      <w:bookmarkEnd w:id="79"/>
      <w:bookmarkStart w:id="80" w:name="_Toc30135"/>
      <w:bookmarkStart w:id="81" w:name="_Toc75504395"/>
      <w:r>
        <w:rPr>
          <w:rFonts w:hint="eastAsia" w:ascii="宋体" w:hAnsi="宋体" w:cs="宋体"/>
          <w:color w:val="auto"/>
          <w:sz w:val="28"/>
          <w:szCs w:val="22"/>
          <w:highlight w:val="none"/>
        </w:rPr>
        <w:t>设计成果要求</w:t>
      </w:r>
      <w:bookmarkEnd w:id="80"/>
      <w:bookmarkEnd w:id="81"/>
    </w:p>
    <w:p w14:paraId="043C961B">
      <w:pPr>
        <w:snapToGrid w:val="0"/>
        <w:spacing w:before="0" w:after="0" w:line="360" w:lineRule="auto"/>
        <w:ind w:firstLine="480" w:firstLineChars="200"/>
        <w:rPr>
          <w:rFonts w:hint="eastAsia" w:ascii="宋体" w:hAnsi="宋体" w:eastAsia="宋体" w:cs="宋体"/>
          <w:color w:val="auto"/>
          <w:sz w:val="24"/>
          <w:highlight w:val="none"/>
        </w:rPr>
      </w:pPr>
      <w:r>
        <w:rPr>
          <w:rFonts w:ascii="宋体" w:hAnsi="宋体" w:eastAsia="宋体" w:cs="宋体"/>
          <w:color w:val="auto"/>
          <w:sz w:val="24"/>
          <w:highlight w:val="none"/>
        </w:rPr>
        <w:t>1、设计文件要求（设计图纸包括且不限于以下内容）：</w:t>
      </w:r>
    </w:p>
    <w:p w14:paraId="2357484D">
      <w:pPr>
        <w:snapToGrid w:val="0"/>
        <w:spacing w:before="0" w:after="0" w:line="360" w:lineRule="auto"/>
        <w:ind w:firstLine="480" w:firstLineChars="200"/>
        <w:rPr>
          <w:rFonts w:hint="eastAsia" w:ascii="宋体" w:hAnsi="宋体" w:eastAsia="宋体" w:cs="宋体"/>
          <w:color w:val="auto"/>
          <w:sz w:val="24"/>
          <w:highlight w:val="none"/>
        </w:rPr>
      </w:pPr>
      <w:bookmarkStart w:id="82" w:name="_Hlk75250406"/>
      <w:bookmarkEnd w:id="82"/>
      <w:r>
        <w:rPr>
          <w:rFonts w:ascii="宋体" w:hAnsi="宋体" w:eastAsia="宋体" w:cs="宋体"/>
          <w:color w:val="auto"/>
          <w:sz w:val="24"/>
          <w:highlight w:val="none"/>
        </w:rPr>
        <w:t>（1）方案设计</w:t>
      </w:r>
      <w:bookmarkStart w:id="83" w:name="_Hlk75250413"/>
      <w:bookmarkEnd w:id="83"/>
      <w:r>
        <w:rPr>
          <w:rFonts w:ascii="宋体" w:hAnsi="宋体" w:eastAsia="宋体" w:cs="宋体"/>
          <w:color w:val="auto"/>
          <w:sz w:val="24"/>
          <w:highlight w:val="none"/>
        </w:rPr>
        <w:t>阶段</w:t>
      </w:r>
    </w:p>
    <w:p w14:paraId="667D782E">
      <w:pPr>
        <w:snapToGrid w:val="0"/>
        <w:spacing w:before="0" w:after="0" w:line="360" w:lineRule="auto"/>
        <w:ind w:firstLine="480" w:firstLineChars="200"/>
        <w:rPr>
          <w:rFonts w:hint="eastAsia" w:ascii="宋体" w:hAnsi="宋体" w:eastAsia="宋体" w:cs="宋体"/>
          <w:color w:val="auto"/>
          <w:sz w:val="24"/>
          <w:highlight w:val="none"/>
        </w:rPr>
      </w:pPr>
      <w:r>
        <w:rPr>
          <w:rFonts w:ascii="宋体" w:hAnsi="宋体" w:eastAsia="宋体" w:cs="宋体"/>
          <w:color w:val="auto"/>
          <w:sz w:val="24"/>
          <w:highlight w:val="none"/>
        </w:rPr>
        <w:t>A.基地区位图</w:t>
      </w:r>
    </w:p>
    <w:p w14:paraId="76785E1D">
      <w:pPr>
        <w:snapToGrid w:val="0"/>
        <w:spacing w:before="0" w:after="0" w:line="360" w:lineRule="auto"/>
        <w:ind w:firstLine="480" w:firstLineChars="200"/>
        <w:rPr>
          <w:rFonts w:hint="eastAsia" w:ascii="宋体" w:hAnsi="宋体" w:eastAsia="宋体" w:cs="宋体"/>
          <w:color w:val="auto"/>
          <w:sz w:val="24"/>
          <w:highlight w:val="none"/>
        </w:rPr>
      </w:pPr>
      <w:r>
        <w:rPr>
          <w:rFonts w:ascii="宋体" w:hAnsi="宋体" w:eastAsia="宋体" w:cs="宋体"/>
          <w:color w:val="auto"/>
          <w:sz w:val="24"/>
          <w:highlight w:val="none"/>
        </w:rPr>
        <w:t>B.基地现状图</w:t>
      </w:r>
    </w:p>
    <w:p w14:paraId="02BF83D6">
      <w:pPr>
        <w:snapToGrid w:val="0"/>
        <w:spacing w:before="0" w:after="0" w:line="360" w:lineRule="auto"/>
        <w:ind w:firstLine="480" w:firstLineChars="200"/>
        <w:rPr>
          <w:rFonts w:hint="eastAsia" w:ascii="宋体" w:hAnsi="宋体" w:eastAsia="宋体" w:cs="宋体"/>
          <w:color w:val="auto"/>
          <w:sz w:val="24"/>
          <w:highlight w:val="none"/>
        </w:rPr>
      </w:pPr>
      <w:r>
        <w:rPr>
          <w:rFonts w:ascii="宋体" w:hAnsi="宋体" w:eastAsia="宋体" w:cs="宋体"/>
          <w:color w:val="auto"/>
          <w:sz w:val="24"/>
          <w:highlight w:val="none"/>
        </w:rPr>
        <w:t>C.与周边环境及空间关系分析图</w:t>
      </w:r>
    </w:p>
    <w:p w14:paraId="0831619E">
      <w:pPr>
        <w:snapToGrid w:val="0"/>
        <w:spacing w:before="0" w:after="0" w:line="360" w:lineRule="auto"/>
        <w:ind w:firstLine="480" w:firstLineChars="200"/>
        <w:rPr>
          <w:rFonts w:hint="eastAsia" w:ascii="宋体" w:hAnsi="宋体" w:eastAsia="宋体" w:cs="宋体"/>
          <w:color w:val="auto"/>
          <w:sz w:val="24"/>
          <w:highlight w:val="none"/>
        </w:rPr>
      </w:pPr>
      <w:r>
        <w:rPr>
          <w:rFonts w:ascii="宋体" w:hAnsi="宋体" w:eastAsia="宋体" w:cs="宋体"/>
          <w:color w:val="auto"/>
          <w:sz w:val="24"/>
          <w:highlight w:val="none"/>
        </w:rPr>
        <w:t>D.交通系统分析图</w:t>
      </w:r>
    </w:p>
    <w:p w14:paraId="697A98B4">
      <w:pPr>
        <w:snapToGrid w:val="0"/>
        <w:spacing w:before="0" w:after="0" w:line="360" w:lineRule="auto"/>
        <w:ind w:firstLine="480" w:firstLineChars="200"/>
        <w:rPr>
          <w:rFonts w:hint="eastAsia" w:ascii="宋体" w:hAnsi="宋体" w:eastAsia="宋体" w:cs="宋体"/>
          <w:color w:val="auto"/>
          <w:sz w:val="24"/>
          <w:highlight w:val="none"/>
        </w:rPr>
      </w:pPr>
      <w:r>
        <w:rPr>
          <w:rFonts w:ascii="宋体" w:hAnsi="宋体" w:eastAsia="宋体" w:cs="宋体"/>
          <w:color w:val="auto"/>
          <w:sz w:val="24"/>
          <w:highlight w:val="none"/>
        </w:rPr>
        <w:t>E.出入口、联系通道、垂直交通、公共交通设施等分布图</w:t>
      </w:r>
    </w:p>
    <w:p w14:paraId="1F412BF7">
      <w:pPr>
        <w:snapToGrid w:val="0"/>
        <w:spacing w:before="0" w:after="0" w:line="360" w:lineRule="auto"/>
        <w:ind w:firstLine="480" w:firstLineChars="200"/>
        <w:rPr>
          <w:rFonts w:hint="eastAsia" w:ascii="宋体" w:hAnsi="宋体" w:eastAsia="宋体" w:cs="宋体"/>
          <w:color w:val="auto"/>
          <w:sz w:val="24"/>
          <w:highlight w:val="none"/>
        </w:rPr>
      </w:pPr>
      <w:r>
        <w:rPr>
          <w:rFonts w:ascii="宋体" w:hAnsi="宋体" w:eastAsia="宋体" w:cs="宋体"/>
          <w:color w:val="auto"/>
          <w:sz w:val="24"/>
          <w:highlight w:val="none"/>
        </w:rPr>
        <w:t>F.总平面设计图 （建议明确比例）</w:t>
      </w:r>
    </w:p>
    <w:p w14:paraId="22407395">
      <w:pPr>
        <w:snapToGrid w:val="0"/>
        <w:spacing w:before="0" w:after="0" w:line="360" w:lineRule="auto"/>
        <w:ind w:firstLine="480" w:firstLineChars="200"/>
        <w:rPr>
          <w:rFonts w:hint="eastAsia" w:ascii="宋体" w:hAnsi="宋体" w:eastAsia="宋体" w:cs="宋体"/>
          <w:color w:val="auto"/>
          <w:sz w:val="24"/>
          <w:highlight w:val="none"/>
        </w:rPr>
      </w:pPr>
      <w:r>
        <w:rPr>
          <w:rFonts w:ascii="宋体" w:hAnsi="宋体" w:eastAsia="宋体" w:cs="宋体"/>
          <w:color w:val="auto"/>
          <w:sz w:val="24"/>
          <w:highlight w:val="none"/>
        </w:rPr>
        <w:t>G.各层平面图(电子制图比例为1：200)</w:t>
      </w:r>
    </w:p>
    <w:p w14:paraId="1D9ECE3C">
      <w:pPr>
        <w:snapToGrid w:val="0"/>
        <w:spacing w:before="0" w:after="0" w:line="360" w:lineRule="auto"/>
        <w:ind w:firstLine="480" w:firstLineChars="200"/>
        <w:rPr>
          <w:rFonts w:hint="eastAsia" w:ascii="宋体" w:hAnsi="宋体" w:eastAsia="宋体" w:cs="宋体"/>
          <w:color w:val="auto"/>
          <w:sz w:val="24"/>
          <w:highlight w:val="none"/>
        </w:rPr>
      </w:pPr>
      <w:r>
        <w:rPr>
          <w:rFonts w:ascii="宋体" w:hAnsi="宋体" w:eastAsia="宋体" w:cs="宋体"/>
          <w:color w:val="auto"/>
          <w:sz w:val="24"/>
          <w:highlight w:val="none"/>
        </w:rPr>
        <w:t>H.主要剖面和立面图(电子制图比例为1：200)</w:t>
      </w:r>
    </w:p>
    <w:p w14:paraId="705A82A0">
      <w:pPr>
        <w:snapToGrid w:val="0"/>
        <w:spacing w:before="0" w:after="0" w:line="360" w:lineRule="auto"/>
        <w:ind w:firstLine="480" w:firstLineChars="200"/>
        <w:rPr>
          <w:rFonts w:hint="eastAsia" w:ascii="宋体" w:hAnsi="宋体" w:eastAsia="宋体" w:cs="宋体"/>
          <w:color w:val="auto"/>
          <w:sz w:val="24"/>
          <w:highlight w:val="none"/>
        </w:rPr>
      </w:pPr>
      <w:r>
        <w:rPr>
          <w:rFonts w:ascii="宋体" w:hAnsi="宋体" w:eastAsia="宋体" w:cs="宋体"/>
          <w:color w:val="auto"/>
          <w:sz w:val="24"/>
          <w:highlight w:val="none"/>
        </w:rPr>
        <w:t>I.主要出入口、广场、下沉空间等重要空间节点效果图</w:t>
      </w:r>
    </w:p>
    <w:p w14:paraId="5B52221E">
      <w:pPr>
        <w:snapToGrid w:val="0"/>
        <w:spacing w:before="0" w:after="0" w:line="360" w:lineRule="auto"/>
        <w:ind w:firstLine="480" w:firstLineChars="200"/>
        <w:rPr>
          <w:rFonts w:hint="eastAsia" w:ascii="宋体" w:hAnsi="宋体" w:eastAsia="宋体" w:cs="宋体"/>
          <w:color w:val="auto"/>
          <w:sz w:val="24"/>
          <w:highlight w:val="none"/>
        </w:rPr>
      </w:pPr>
      <w:r>
        <w:rPr>
          <w:rFonts w:ascii="宋体" w:hAnsi="宋体" w:eastAsia="宋体" w:cs="宋体"/>
          <w:color w:val="auto"/>
          <w:sz w:val="24"/>
          <w:highlight w:val="none"/>
        </w:rPr>
        <w:t>J.主要空间节点透视图</w:t>
      </w:r>
    </w:p>
    <w:p w14:paraId="78F3CB9C">
      <w:pPr>
        <w:snapToGrid w:val="0"/>
        <w:spacing w:before="0" w:after="0" w:line="360" w:lineRule="auto"/>
        <w:ind w:firstLine="480" w:firstLineChars="200"/>
        <w:rPr>
          <w:rFonts w:hint="eastAsia" w:ascii="宋体" w:hAnsi="宋体" w:eastAsia="宋体" w:cs="宋体"/>
          <w:color w:val="auto"/>
          <w:sz w:val="24"/>
          <w:highlight w:val="none"/>
        </w:rPr>
      </w:pPr>
      <w:r>
        <w:rPr>
          <w:rFonts w:ascii="宋体" w:hAnsi="宋体" w:eastAsia="宋体" w:cs="宋体"/>
          <w:color w:val="auto"/>
          <w:sz w:val="24"/>
          <w:highlight w:val="none"/>
        </w:rPr>
        <w:t>K.防灾系统方案图和相关分析图</w:t>
      </w:r>
    </w:p>
    <w:p w14:paraId="3BD72365">
      <w:pPr>
        <w:snapToGrid w:val="0"/>
        <w:spacing w:before="0" w:after="0" w:line="360" w:lineRule="auto"/>
        <w:ind w:firstLine="480" w:firstLineChars="200"/>
        <w:rPr>
          <w:rFonts w:hint="eastAsia" w:ascii="宋体" w:hAnsi="宋体" w:eastAsia="宋体" w:cs="宋体"/>
          <w:color w:val="auto"/>
          <w:sz w:val="24"/>
          <w:highlight w:val="none"/>
        </w:rPr>
      </w:pPr>
      <w:r>
        <w:rPr>
          <w:rFonts w:ascii="宋体" w:hAnsi="宋体" w:eastAsia="宋体" w:cs="宋体"/>
          <w:color w:val="auto"/>
          <w:sz w:val="24"/>
          <w:highlight w:val="none"/>
        </w:rPr>
        <w:t>L.机电设备系统方案图</w:t>
      </w:r>
    </w:p>
    <w:p w14:paraId="4775C01E">
      <w:pPr>
        <w:snapToGrid w:val="0"/>
        <w:spacing w:before="0" w:after="0" w:line="360" w:lineRule="auto"/>
        <w:ind w:firstLine="480" w:firstLineChars="200"/>
        <w:rPr>
          <w:rFonts w:hint="eastAsia" w:ascii="宋体" w:hAnsi="宋体" w:eastAsia="宋体" w:cs="宋体"/>
          <w:color w:val="auto"/>
          <w:sz w:val="24"/>
          <w:highlight w:val="none"/>
        </w:rPr>
      </w:pPr>
      <w:r>
        <w:rPr>
          <w:rFonts w:ascii="宋体" w:hAnsi="宋体" w:eastAsia="宋体" w:cs="宋体"/>
          <w:color w:val="auto"/>
          <w:sz w:val="24"/>
          <w:highlight w:val="none"/>
        </w:rPr>
        <w:t>M.信息通信网络传输系统图</w:t>
      </w:r>
    </w:p>
    <w:p w14:paraId="0B58245B">
      <w:pPr>
        <w:snapToGrid w:val="0"/>
        <w:spacing w:before="0" w:after="0" w:line="360" w:lineRule="auto"/>
        <w:ind w:firstLine="480" w:firstLineChars="200"/>
        <w:rPr>
          <w:rFonts w:hint="eastAsia" w:ascii="宋体" w:hAnsi="宋体" w:eastAsia="宋体" w:cs="宋体"/>
          <w:color w:val="auto"/>
          <w:sz w:val="24"/>
          <w:highlight w:val="none"/>
        </w:rPr>
      </w:pPr>
      <w:r>
        <w:rPr>
          <w:rFonts w:ascii="宋体" w:hAnsi="宋体" w:eastAsia="宋体" w:cs="宋体"/>
          <w:color w:val="auto"/>
          <w:sz w:val="24"/>
          <w:highlight w:val="none"/>
        </w:rPr>
        <w:t>O.综合管线系统方案图</w:t>
      </w:r>
    </w:p>
    <w:p w14:paraId="4F776849">
      <w:pPr>
        <w:snapToGrid w:val="0"/>
        <w:spacing w:before="0" w:after="0" w:line="360" w:lineRule="auto"/>
        <w:ind w:firstLine="480" w:firstLineChars="200"/>
        <w:rPr>
          <w:rFonts w:hint="eastAsia" w:ascii="宋体" w:hAnsi="宋体" w:eastAsia="宋体" w:cs="宋体"/>
          <w:color w:val="auto"/>
          <w:sz w:val="24"/>
          <w:highlight w:val="none"/>
        </w:rPr>
      </w:pPr>
      <w:r>
        <w:rPr>
          <w:rFonts w:ascii="宋体" w:hAnsi="宋体" w:eastAsia="宋体" w:cs="宋体"/>
          <w:color w:val="auto"/>
          <w:sz w:val="24"/>
          <w:highlight w:val="none"/>
        </w:rPr>
        <w:t>P.给排水设计图</w:t>
      </w:r>
    </w:p>
    <w:p w14:paraId="32E89F53">
      <w:pPr>
        <w:snapToGrid w:val="0"/>
        <w:spacing w:before="0" w:after="0" w:line="360" w:lineRule="auto"/>
        <w:ind w:firstLine="480" w:firstLineChars="200"/>
        <w:rPr>
          <w:rFonts w:hint="eastAsia" w:ascii="宋体" w:hAnsi="宋体" w:eastAsia="宋体" w:cs="宋体"/>
          <w:color w:val="auto"/>
          <w:sz w:val="24"/>
          <w:highlight w:val="none"/>
        </w:rPr>
      </w:pPr>
      <w:r>
        <w:rPr>
          <w:rFonts w:ascii="宋体" w:hAnsi="宋体" w:eastAsia="宋体" w:cs="宋体"/>
          <w:color w:val="auto"/>
          <w:sz w:val="24"/>
          <w:highlight w:val="none"/>
        </w:rPr>
        <w:t>Q.相关竖向设计图</w:t>
      </w:r>
    </w:p>
    <w:p w14:paraId="2134EEB9">
      <w:pPr>
        <w:snapToGrid w:val="0"/>
        <w:spacing w:before="0" w:after="0" w:line="360" w:lineRule="auto"/>
        <w:ind w:firstLine="480" w:firstLineChars="200"/>
        <w:rPr>
          <w:rFonts w:hint="eastAsia" w:ascii="宋体" w:hAnsi="宋体" w:eastAsia="宋体" w:cs="宋体"/>
          <w:color w:val="auto"/>
          <w:sz w:val="24"/>
          <w:highlight w:val="none"/>
        </w:rPr>
      </w:pPr>
      <w:r>
        <w:rPr>
          <w:rFonts w:ascii="宋体" w:hAnsi="宋体" w:eastAsia="宋体" w:cs="宋体"/>
          <w:color w:val="auto"/>
          <w:sz w:val="24"/>
          <w:highlight w:val="none"/>
        </w:rPr>
        <w:t>R.景观设计图</w:t>
      </w:r>
    </w:p>
    <w:p w14:paraId="06B6F232">
      <w:pPr>
        <w:snapToGrid w:val="0"/>
        <w:spacing w:before="0" w:after="0" w:line="360" w:lineRule="auto"/>
        <w:ind w:firstLine="480" w:firstLineChars="200"/>
        <w:rPr>
          <w:rFonts w:hint="eastAsia" w:ascii="宋体" w:hAnsi="宋体" w:eastAsia="宋体" w:cs="宋体"/>
          <w:color w:val="auto"/>
          <w:sz w:val="24"/>
          <w:highlight w:val="none"/>
        </w:rPr>
      </w:pPr>
      <w:r>
        <w:rPr>
          <w:rFonts w:ascii="宋体" w:hAnsi="宋体" w:eastAsia="宋体" w:cs="宋体"/>
          <w:color w:val="auto"/>
          <w:sz w:val="24"/>
          <w:highlight w:val="none"/>
        </w:rPr>
        <w:t>S.相关分析图和鸟瞰图</w:t>
      </w:r>
    </w:p>
    <w:p w14:paraId="33762A7A">
      <w:pPr>
        <w:snapToGrid w:val="0"/>
        <w:spacing w:before="0" w:after="0" w:line="360" w:lineRule="auto"/>
        <w:ind w:firstLine="480" w:firstLineChars="200"/>
        <w:rPr>
          <w:rFonts w:hint="eastAsia" w:ascii="宋体" w:hAnsi="宋体" w:eastAsia="宋体" w:cs="宋体"/>
          <w:color w:val="auto"/>
          <w:sz w:val="24"/>
          <w:highlight w:val="none"/>
        </w:rPr>
      </w:pPr>
      <w:r>
        <w:rPr>
          <w:rFonts w:ascii="宋体" w:hAnsi="宋体" w:eastAsia="宋体" w:cs="宋体"/>
          <w:color w:val="auto"/>
          <w:sz w:val="24"/>
          <w:highlight w:val="none"/>
        </w:rPr>
        <w:t>T.项目估算及投资分析报告</w:t>
      </w:r>
    </w:p>
    <w:p w14:paraId="57485AA4">
      <w:pPr>
        <w:snapToGrid w:val="0"/>
        <w:spacing w:before="0" w:after="0" w:line="360" w:lineRule="auto"/>
        <w:ind w:firstLine="480" w:firstLineChars="200"/>
        <w:rPr>
          <w:rFonts w:hint="eastAsia" w:ascii="宋体" w:hAnsi="宋体" w:eastAsia="宋体" w:cs="宋体"/>
          <w:color w:val="auto"/>
          <w:sz w:val="24"/>
          <w:highlight w:val="none"/>
        </w:rPr>
      </w:pPr>
      <w:r>
        <w:rPr>
          <w:rFonts w:ascii="宋体" w:hAnsi="宋体" w:eastAsia="宋体" w:cs="宋体"/>
          <w:color w:val="auto"/>
          <w:sz w:val="24"/>
          <w:highlight w:val="none"/>
        </w:rPr>
        <w:t>U.项目其它设计方案图</w:t>
      </w:r>
    </w:p>
    <w:p w14:paraId="0DCA3AFF">
      <w:pPr>
        <w:snapToGrid w:val="0"/>
        <w:spacing w:before="0" w:after="0" w:line="360" w:lineRule="auto"/>
        <w:ind w:firstLine="480" w:firstLineChars="200"/>
        <w:rPr>
          <w:rFonts w:hint="eastAsia" w:ascii="宋体" w:hAnsi="宋体" w:eastAsia="宋体" w:cs="宋体"/>
          <w:color w:val="auto"/>
          <w:sz w:val="24"/>
          <w:highlight w:val="none"/>
        </w:rPr>
      </w:pPr>
      <w:r>
        <w:rPr>
          <w:rFonts w:ascii="宋体" w:hAnsi="宋体" w:eastAsia="宋体" w:cs="宋体"/>
          <w:color w:val="auto"/>
          <w:sz w:val="24"/>
          <w:highlight w:val="none"/>
        </w:rPr>
        <w:t>（2）初步设计阶段</w:t>
      </w:r>
    </w:p>
    <w:p w14:paraId="2245EDF4">
      <w:pPr>
        <w:snapToGrid w:val="0"/>
        <w:spacing w:before="0" w:after="0" w:line="360" w:lineRule="auto"/>
        <w:ind w:firstLine="480" w:firstLineChars="200"/>
        <w:rPr>
          <w:rFonts w:hint="eastAsia" w:ascii="宋体" w:hAnsi="宋体" w:eastAsia="宋体" w:cs="宋体"/>
          <w:color w:val="auto"/>
          <w:sz w:val="24"/>
          <w:highlight w:val="none"/>
        </w:rPr>
      </w:pPr>
      <w:r>
        <w:rPr>
          <w:rFonts w:ascii="宋体" w:hAnsi="宋体" w:eastAsia="宋体" w:cs="宋体"/>
          <w:color w:val="auto"/>
          <w:sz w:val="24"/>
          <w:highlight w:val="none"/>
        </w:rPr>
        <w:t>A.建筑专业初步设计</w:t>
      </w:r>
    </w:p>
    <w:p w14:paraId="6FC66EA6">
      <w:pPr>
        <w:snapToGrid w:val="0"/>
        <w:spacing w:before="0" w:after="0" w:line="360" w:lineRule="auto"/>
        <w:ind w:firstLine="480" w:firstLineChars="200"/>
        <w:rPr>
          <w:rFonts w:hint="eastAsia" w:ascii="宋体" w:hAnsi="宋体" w:eastAsia="宋体" w:cs="宋体"/>
          <w:color w:val="auto"/>
          <w:sz w:val="24"/>
          <w:highlight w:val="none"/>
        </w:rPr>
      </w:pPr>
      <w:r>
        <w:rPr>
          <w:rFonts w:ascii="宋体" w:hAnsi="宋体" w:eastAsia="宋体" w:cs="宋体"/>
          <w:color w:val="auto"/>
          <w:sz w:val="24"/>
          <w:highlight w:val="none"/>
        </w:rPr>
        <w:t>B.结构专业初步设计</w:t>
      </w:r>
      <w:bookmarkStart w:id="84" w:name="_Hlk75250453"/>
      <w:bookmarkEnd w:id="84"/>
    </w:p>
    <w:p w14:paraId="2A8FBB4F">
      <w:pPr>
        <w:snapToGrid w:val="0"/>
        <w:spacing w:before="0" w:after="0" w:line="360" w:lineRule="auto"/>
        <w:ind w:firstLine="480" w:firstLineChars="200"/>
        <w:rPr>
          <w:rFonts w:hint="eastAsia" w:ascii="宋体" w:hAnsi="宋体" w:eastAsia="宋体" w:cs="宋体"/>
          <w:color w:val="auto"/>
          <w:sz w:val="24"/>
          <w:highlight w:val="none"/>
        </w:rPr>
      </w:pPr>
      <w:r>
        <w:rPr>
          <w:rFonts w:ascii="宋体" w:hAnsi="宋体" w:eastAsia="宋体" w:cs="宋体"/>
          <w:color w:val="auto"/>
          <w:sz w:val="24"/>
          <w:highlight w:val="none"/>
        </w:rPr>
        <w:t>C.基坑支护初步设计</w:t>
      </w:r>
    </w:p>
    <w:p w14:paraId="671199D7">
      <w:pPr>
        <w:snapToGrid w:val="0"/>
        <w:spacing w:before="0" w:after="0" w:line="360" w:lineRule="auto"/>
        <w:ind w:firstLine="480" w:firstLineChars="200"/>
        <w:rPr>
          <w:rFonts w:hint="eastAsia" w:ascii="宋体" w:hAnsi="宋体" w:eastAsia="宋体" w:cs="宋体"/>
          <w:color w:val="auto"/>
          <w:sz w:val="24"/>
          <w:highlight w:val="none"/>
        </w:rPr>
      </w:pPr>
      <w:r>
        <w:rPr>
          <w:rFonts w:ascii="宋体" w:hAnsi="宋体" w:eastAsia="宋体" w:cs="宋体"/>
          <w:color w:val="auto"/>
          <w:sz w:val="24"/>
          <w:highlight w:val="none"/>
        </w:rPr>
        <w:t>D.给排水专业初步设计</w:t>
      </w:r>
    </w:p>
    <w:p w14:paraId="2947CCA3">
      <w:pPr>
        <w:snapToGrid w:val="0"/>
        <w:spacing w:before="0" w:after="0" w:line="360" w:lineRule="auto"/>
        <w:ind w:firstLine="480" w:firstLineChars="200"/>
        <w:rPr>
          <w:rFonts w:hint="eastAsia" w:ascii="宋体" w:hAnsi="宋体" w:eastAsia="宋体" w:cs="宋体"/>
          <w:color w:val="auto"/>
          <w:sz w:val="24"/>
          <w:highlight w:val="none"/>
        </w:rPr>
      </w:pPr>
      <w:r>
        <w:rPr>
          <w:rFonts w:ascii="宋体" w:hAnsi="宋体" w:eastAsia="宋体" w:cs="宋体"/>
          <w:color w:val="auto"/>
          <w:sz w:val="24"/>
          <w:highlight w:val="none"/>
        </w:rPr>
        <w:t>E.电气及智能化专业初步设计</w:t>
      </w:r>
    </w:p>
    <w:p w14:paraId="42824289">
      <w:pPr>
        <w:snapToGrid w:val="0"/>
        <w:spacing w:before="0" w:after="0" w:line="360" w:lineRule="auto"/>
        <w:ind w:firstLine="480" w:firstLineChars="200"/>
        <w:rPr>
          <w:rFonts w:hint="eastAsia" w:ascii="宋体" w:hAnsi="宋体" w:eastAsia="宋体" w:cs="宋体"/>
          <w:color w:val="auto"/>
          <w:sz w:val="24"/>
          <w:highlight w:val="none"/>
        </w:rPr>
      </w:pPr>
      <w:r>
        <w:rPr>
          <w:rFonts w:ascii="宋体" w:hAnsi="宋体" w:eastAsia="宋体" w:cs="宋体"/>
          <w:color w:val="auto"/>
          <w:sz w:val="24"/>
          <w:highlight w:val="none"/>
        </w:rPr>
        <w:t>F.暖通专业初步设计</w:t>
      </w:r>
    </w:p>
    <w:p w14:paraId="1A3F59E3">
      <w:pPr>
        <w:snapToGrid w:val="0"/>
        <w:spacing w:before="0" w:after="0" w:line="360" w:lineRule="auto"/>
        <w:ind w:firstLine="480" w:firstLineChars="200"/>
        <w:rPr>
          <w:rFonts w:hint="eastAsia" w:ascii="宋体" w:hAnsi="宋体" w:eastAsia="宋体" w:cs="宋体"/>
          <w:color w:val="auto"/>
          <w:sz w:val="24"/>
          <w:highlight w:val="none"/>
        </w:rPr>
      </w:pPr>
      <w:r>
        <w:rPr>
          <w:rFonts w:ascii="宋体" w:hAnsi="宋体" w:eastAsia="宋体" w:cs="宋体"/>
          <w:color w:val="auto"/>
          <w:sz w:val="24"/>
          <w:highlight w:val="none"/>
        </w:rPr>
        <w:t>G.景观专业初步设计</w:t>
      </w:r>
    </w:p>
    <w:p w14:paraId="0B682452">
      <w:pPr>
        <w:snapToGrid w:val="0"/>
        <w:spacing w:before="0" w:after="0" w:line="360" w:lineRule="auto"/>
        <w:ind w:firstLine="480" w:firstLineChars="200"/>
        <w:rPr>
          <w:rFonts w:hint="eastAsia" w:ascii="宋体" w:hAnsi="宋体" w:eastAsia="宋体" w:cs="宋体"/>
          <w:color w:val="auto"/>
          <w:sz w:val="24"/>
          <w:highlight w:val="none"/>
        </w:rPr>
      </w:pPr>
      <w:r>
        <w:rPr>
          <w:rFonts w:ascii="宋体" w:hAnsi="宋体" w:eastAsia="宋体" w:cs="宋体"/>
          <w:color w:val="auto"/>
          <w:sz w:val="24"/>
          <w:highlight w:val="none"/>
        </w:rPr>
        <w:t>H.市政专业初步设计</w:t>
      </w:r>
    </w:p>
    <w:p w14:paraId="354622E0">
      <w:pPr>
        <w:snapToGrid w:val="0"/>
        <w:spacing w:before="0" w:after="0" w:line="360" w:lineRule="auto"/>
        <w:ind w:firstLine="480" w:firstLineChars="200"/>
        <w:rPr>
          <w:rFonts w:hint="eastAsia" w:ascii="宋体" w:hAnsi="宋体" w:eastAsia="宋体" w:cs="宋体"/>
          <w:color w:val="auto"/>
          <w:sz w:val="24"/>
          <w:highlight w:val="none"/>
        </w:rPr>
      </w:pPr>
      <w:r>
        <w:rPr>
          <w:rFonts w:ascii="宋体" w:hAnsi="宋体" w:eastAsia="宋体" w:cs="宋体"/>
          <w:color w:val="auto"/>
          <w:sz w:val="24"/>
          <w:highlight w:val="none"/>
        </w:rPr>
        <w:t>I.市政管线专业初步设计</w:t>
      </w:r>
    </w:p>
    <w:p w14:paraId="5EB4B0FB">
      <w:pPr>
        <w:snapToGrid w:val="0"/>
        <w:spacing w:before="0" w:after="0" w:line="360" w:lineRule="auto"/>
        <w:ind w:firstLine="480" w:firstLineChars="200"/>
        <w:rPr>
          <w:rFonts w:hint="eastAsia" w:ascii="宋体" w:hAnsi="宋体" w:eastAsia="宋体" w:cs="宋体"/>
          <w:color w:val="auto"/>
          <w:sz w:val="24"/>
          <w:highlight w:val="none"/>
        </w:rPr>
      </w:pPr>
      <w:r>
        <w:rPr>
          <w:rFonts w:ascii="宋体" w:hAnsi="宋体" w:eastAsia="宋体" w:cs="宋体"/>
          <w:color w:val="auto"/>
          <w:sz w:val="24"/>
          <w:highlight w:val="none"/>
        </w:rPr>
        <w:t>J.绿色建筑、建筑节能初步设计</w:t>
      </w:r>
    </w:p>
    <w:p w14:paraId="54F68392">
      <w:pPr>
        <w:snapToGrid w:val="0"/>
        <w:spacing w:before="0" w:after="0" w:line="360" w:lineRule="auto"/>
        <w:ind w:firstLine="480" w:firstLineChars="200"/>
        <w:rPr>
          <w:rFonts w:hint="eastAsia" w:ascii="宋体" w:hAnsi="宋体" w:eastAsia="宋体" w:cs="宋体"/>
          <w:color w:val="auto"/>
          <w:sz w:val="24"/>
          <w:highlight w:val="none"/>
        </w:rPr>
      </w:pPr>
      <w:r>
        <w:rPr>
          <w:rFonts w:ascii="宋体" w:hAnsi="宋体" w:eastAsia="宋体" w:cs="宋体"/>
          <w:color w:val="auto"/>
          <w:sz w:val="24"/>
          <w:highlight w:val="none"/>
        </w:rPr>
        <w:t>K.海绵城市初步设计</w:t>
      </w:r>
    </w:p>
    <w:p w14:paraId="10225195">
      <w:pPr>
        <w:snapToGrid w:val="0"/>
        <w:spacing w:before="0" w:after="0" w:line="360" w:lineRule="auto"/>
        <w:ind w:firstLine="480" w:firstLineChars="200"/>
        <w:rPr>
          <w:rFonts w:hint="eastAsia" w:ascii="宋体" w:hAnsi="宋体" w:eastAsia="宋体" w:cs="宋体"/>
          <w:color w:val="auto"/>
          <w:sz w:val="24"/>
          <w:highlight w:val="none"/>
        </w:rPr>
      </w:pPr>
      <w:r>
        <w:rPr>
          <w:rFonts w:ascii="宋体" w:hAnsi="宋体" w:eastAsia="宋体" w:cs="宋体"/>
          <w:color w:val="auto"/>
          <w:sz w:val="24"/>
          <w:highlight w:val="none"/>
        </w:rPr>
        <w:t>L.人防初步设计</w:t>
      </w:r>
    </w:p>
    <w:p w14:paraId="0FA076EE">
      <w:pPr>
        <w:snapToGrid w:val="0"/>
        <w:spacing w:before="0" w:after="0" w:line="360" w:lineRule="auto"/>
        <w:ind w:firstLine="480" w:firstLineChars="200"/>
        <w:rPr>
          <w:rFonts w:hint="eastAsia" w:ascii="宋体" w:hAnsi="宋体" w:eastAsia="宋体" w:cs="宋体"/>
          <w:color w:val="auto"/>
          <w:sz w:val="24"/>
          <w:highlight w:val="none"/>
        </w:rPr>
      </w:pPr>
      <w:r>
        <w:rPr>
          <w:rFonts w:ascii="宋体" w:hAnsi="宋体" w:eastAsia="宋体" w:cs="宋体"/>
          <w:color w:val="auto"/>
          <w:sz w:val="24"/>
          <w:highlight w:val="none"/>
        </w:rPr>
        <w:t>M.初步设计概算编制等</w:t>
      </w:r>
    </w:p>
    <w:p w14:paraId="19FF4BF9">
      <w:pPr>
        <w:snapToGrid w:val="0"/>
        <w:spacing w:before="0" w:after="0" w:line="360" w:lineRule="auto"/>
        <w:ind w:firstLine="480" w:firstLineChars="200"/>
        <w:rPr>
          <w:rFonts w:hint="eastAsia" w:ascii="宋体" w:hAnsi="宋体" w:eastAsia="宋体" w:cs="宋体"/>
          <w:color w:val="auto"/>
          <w:sz w:val="24"/>
          <w:highlight w:val="none"/>
        </w:rPr>
      </w:pPr>
      <w:r>
        <w:rPr>
          <w:rFonts w:ascii="宋体" w:hAnsi="宋体" w:eastAsia="宋体" w:cs="宋体"/>
          <w:color w:val="auto"/>
          <w:sz w:val="24"/>
          <w:highlight w:val="none"/>
        </w:rPr>
        <w:t>N.管线综合平衡图</w:t>
      </w:r>
    </w:p>
    <w:p w14:paraId="456750EA">
      <w:pPr>
        <w:snapToGrid w:val="0"/>
        <w:spacing w:before="0" w:after="0" w:line="360" w:lineRule="auto"/>
        <w:ind w:firstLine="480" w:firstLineChars="200"/>
        <w:rPr>
          <w:rFonts w:hint="eastAsia" w:ascii="宋体" w:hAnsi="宋体" w:eastAsia="宋体" w:cs="宋体"/>
          <w:color w:val="auto"/>
          <w:sz w:val="24"/>
          <w:highlight w:val="none"/>
        </w:rPr>
      </w:pPr>
      <w:r>
        <w:rPr>
          <w:rFonts w:ascii="宋体" w:hAnsi="宋体" w:eastAsia="宋体" w:cs="宋体"/>
          <w:color w:val="auto"/>
          <w:sz w:val="24"/>
          <w:highlight w:val="none"/>
        </w:rPr>
        <w:t>O.其它专项初步设计（如需要）</w:t>
      </w:r>
    </w:p>
    <w:p w14:paraId="2797F2C2">
      <w:pPr>
        <w:snapToGrid w:val="0"/>
        <w:spacing w:before="0" w:after="0" w:line="360" w:lineRule="auto"/>
        <w:ind w:firstLine="480" w:firstLineChars="200"/>
        <w:rPr>
          <w:rFonts w:hint="eastAsia" w:ascii="宋体" w:hAnsi="宋体" w:eastAsia="宋体" w:cs="宋体"/>
          <w:color w:val="auto"/>
          <w:sz w:val="24"/>
          <w:highlight w:val="none"/>
        </w:rPr>
      </w:pPr>
      <w:r>
        <w:rPr>
          <w:rFonts w:ascii="宋体" w:hAnsi="宋体" w:eastAsia="宋体" w:cs="宋体"/>
          <w:color w:val="auto"/>
          <w:sz w:val="24"/>
          <w:highlight w:val="none"/>
        </w:rPr>
        <w:t>2、三维数据模型：设计单位在中标后，设计方案通过确认后30天内提交三维数据模型（通用3ds max格式、revit格式等）。并有责任协助建设单位将其他设计单位提供的三维数据模型进行整合工作。</w:t>
      </w:r>
    </w:p>
    <w:p w14:paraId="0B48B679">
      <w:pPr>
        <w:snapToGrid w:val="0"/>
        <w:spacing w:before="0" w:after="0" w:line="360" w:lineRule="auto"/>
        <w:ind w:firstLine="480" w:firstLineChars="200"/>
        <w:rPr>
          <w:rFonts w:hint="eastAsia" w:ascii="宋体" w:hAnsi="宋体" w:eastAsia="宋体" w:cs="宋体"/>
          <w:color w:val="auto"/>
          <w:sz w:val="24"/>
          <w:highlight w:val="none"/>
        </w:rPr>
      </w:pPr>
      <w:r>
        <w:rPr>
          <w:rFonts w:ascii="宋体" w:hAnsi="宋体" w:eastAsia="宋体" w:cs="宋体"/>
          <w:color w:val="auto"/>
          <w:sz w:val="24"/>
          <w:highlight w:val="none"/>
        </w:rPr>
        <w:t>3、工程勘察成果文件（包括但不限于）</w:t>
      </w:r>
    </w:p>
    <w:p w14:paraId="7F8D0A0F">
      <w:pPr>
        <w:snapToGrid w:val="0"/>
        <w:spacing w:before="0" w:after="0" w:line="360" w:lineRule="auto"/>
        <w:ind w:firstLine="480" w:firstLineChars="200"/>
        <w:rPr>
          <w:rFonts w:hint="eastAsia" w:ascii="宋体" w:hAnsi="宋体" w:eastAsia="宋体" w:cs="宋体"/>
          <w:color w:val="auto"/>
          <w:sz w:val="24"/>
          <w:highlight w:val="none"/>
        </w:rPr>
      </w:pPr>
      <w:r>
        <w:rPr>
          <w:rFonts w:ascii="宋体" w:hAnsi="宋体" w:eastAsia="宋体" w:cs="宋体"/>
          <w:color w:val="auto"/>
          <w:sz w:val="24"/>
          <w:highlight w:val="none"/>
        </w:rPr>
        <w:t>（1）工程可行性研究阶段</w:t>
      </w:r>
    </w:p>
    <w:p w14:paraId="60C7D3F0">
      <w:pPr>
        <w:snapToGrid w:val="0"/>
        <w:spacing w:before="0" w:after="0" w:line="360" w:lineRule="auto"/>
        <w:ind w:firstLine="480" w:firstLineChars="200"/>
        <w:rPr>
          <w:rFonts w:hint="eastAsia" w:ascii="宋体" w:hAnsi="宋体" w:eastAsia="宋体" w:cs="宋体"/>
          <w:color w:val="auto"/>
          <w:sz w:val="24"/>
          <w:highlight w:val="none"/>
        </w:rPr>
      </w:pPr>
      <w:r>
        <w:rPr>
          <w:rFonts w:ascii="宋体" w:hAnsi="宋体" w:eastAsia="宋体" w:cs="宋体"/>
          <w:color w:val="auto"/>
          <w:sz w:val="24"/>
          <w:highlight w:val="none"/>
        </w:rPr>
        <w:t>《岩土工程勘察大纲》</w:t>
      </w:r>
    </w:p>
    <w:p w14:paraId="6D1A8D01">
      <w:pPr>
        <w:snapToGrid w:val="0"/>
        <w:spacing w:before="0" w:after="0" w:line="360" w:lineRule="auto"/>
        <w:ind w:firstLine="480" w:firstLineChars="200"/>
        <w:rPr>
          <w:rFonts w:hint="eastAsia" w:ascii="宋体" w:hAnsi="宋体" w:eastAsia="宋体" w:cs="宋体"/>
          <w:color w:val="auto"/>
          <w:sz w:val="24"/>
          <w:highlight w:val="none"/>
        </w:rPr>
      </w:pPr>
      <w:r>
        <w:rPr>
          <w:rFonts w:ascii="宋体" w:hAnsi="宋体" w:eastAsia="宋体" w:cs="宋体"/>
          <w:color w:val="auto"/>
          <w:sz w:val="24"/>
          <w:highlight w:val="none"/>
        </w:rPr>
        <w:t>（2）勘察阶段</w:t>
      </w:r>
    </w:p>
    <w:p w14:paraId="2EA05201">
      <w:pPr>
        <w:snapToGrid w:val="0"/>
        <w:spacing w:before="0" w:after="0" w:line="360" w:lineRule="auto"/>
        <w:ind w:firstLine="480" w:firstLineChars="200"/>
        <w:rPr>
          <w:rFonts w:hint="eastAsia" w:ascii="宋体" w:hAnsi="宋体" w:eastAsia="宋体" w:cs="宋体"/>
          <w:color w:val="auto"/>
          <w:sz w:val="24"/>
          <w:highlight w:val="none"/>
        </w:rPr>
      </w:pPr>
      <w:r>
        <w:rPr>
          <w:rFonts w:ascii="宋体" w:hAnsi="宋体" w:eastAsia="宋体" w:cs="宋体"/>
          <w:color w:val="auto"/>
          <w:sz w:val="24"/>
          <w:highlight w:val="none"/>
        </w:rPr>
        <w:t>《初勘阶段岩土工程勘察技术要求及验收标准》</w:t>
      </w:r>
    </w:p>
    <w:p w14:paraId="5776C6E8">
      <w:pPr>
        <w:snapToGrid w:val="0"/>
        <w:spacing w:before="0" w:after="0" w:line="360" w:lineRule="auto"/>
        <w:ind w:firstLine="480" w:firstLineChars="200"/>
        <w:rPr>
          <w:rFonts w:hint="eastAsia" w:ascii="宋体" w:hAnsi="宋体" w:eastAsia="宋体" w:cs="宋体"/>
          <w:color w:val="auto"/>
          <w:sz w:val="24"/>
          <w:highlight w:val="none"/>
        </w:rPr>
      </w:pPr>
      <w:r>
        <w:rPr>
          <w:rFonts w:ascii="宋体" w:hAnsi="宋体" w:eastAsia="宋体" w:cs="宋体"/>
          <w:color w:val="auto"/>
          <w:sz w:val="24"/>
          <w:highlight w:val="none"/>
        </w:rPr>
        <w:t>《初勘阶段岩土工程勘察大纲》</w:t>
      </w:r>
    </w:p>
    <w:p w14:paraId="02B98442">
      <w:pPr>
        <w:snapToGrid w:val="0"/>
        <w:spacing w:before="0" w:after="0" w:line="360" w:lineRule="auto"/>
        <w:ind w:firstLine="480" w:firstLineChars="200"/>
        <w:rPr>
          <w:rFonts w:hint="eastAsia" w:ascii="宋体" w:hAnsi="宋体" w:eastAsia="宋体" w:cs="宋体"/>
          <w:color w:val="auto"/>
          <w:sz w:val="24"/>
          <w:highlight w:val="none"/>
        </w:rPr>
      </w:pPr>
      <w:r>
        <w:rPr>
          <w:rFonts w:ascii="宋体" w:hAnsi="宋体" w:eastAsia="宋体" w:cs="宋体"/>
          <w:color w:val="auto"/>
          <w:sz w:val="24"/>
          <w:highlight w:val="none"/>
        </w:rPr>
        <w:t>《初勘阶段岩土工程勘察报告》</w:t>
      </w:r>
    </w:p>
    <w:p w14:paraId="22138084">
      <w:pPr>
        <w:snapToGrid w:val="0"/>
        <w:spacing w:before="0" w:after="0" w:line="360" w:lineRule="auto"/>
        <w:ind w:firstLine="480" w:firstLineChars="200"/>
        <w:rPr>
          <w:rFonts w:hint="eastAsia" w:ascii="宋体" w:hAnsi="宋体" w:eastAsia="宋体" w:cs="宋体"/>
          <w:color w:val="auto"/>
          <w:sz w:val="24"/>
          <w:highlight w:val="none"/>
        </w:rPr>
      </w:pPr>
      <w:r>
        <w:rPr>
          <w:rFonts w:ascii="宋体" w:hAnsi="宋体" w:eastAsia="宋体" w:cs="宋体"/>
          <w:color w:val="auto"/>
          <w:sz w:val="24"/>
          <w:highlight w:val="none"/>
        </w:rPr>
        <w:t>《详勘阶段岩土工程勘察技术要求》</w:t>
      </w:r>
    </w:p>
    <w:p w14:paraId="613605B2">
      <w:pPr>
        <w:snapToGrid w:val="0"/>
        <w:spacing w:before="0" w:after="0" w:line="360" w:lineRule="auto"/>
        <w:ind w:firstLine="480" w:firstLineChars="200"/>
        <w:rPr>
          <w:rFonts w:hint="eastAsia" w:ascii="宋体" w:hAnsi="宋体" w:eastAsia="宋体" w:cs="宋体"/>
          <w:color w:val="auto"/>
          <w:sz w:val="24"/>
          <w:highlight w:val="none"/>
        </w:rPr>
      </w:pPr>
      <w:r>
        <w:rPr>
          <w:rFonts w:ascii="宋体" w:hAnsi="宋体" w:eastAsia="宋体" w:cs="宋体"/>
          <w:color w:val="auto"/>
          <w:sz w:val="24"/>
          <w:highlight w:val="none"/>
        </w:rPr>
        <w:t>《详勘阶段岩土工程勘察大纲》</w:t>
      </w:r>
    </w:p>
    <w:p w14:paraId="708561EA">
      <w:pPr>
        <w:snapToGrid w:val="0"/>
        <w:spacing w:before="0" w:after="0" w:line="360" w:lineRule="auto"/>
        <w:ind w:firstLine="480" w:firstLineChars="200"/>
        <w:rPr>
          <w:rFonts w:hint="eastAsia" w:ascii="宋体" w:hAnsi="宋体" w:eastAsia="宋体" w:cs="宋体"/>
          <w:color w:val="auto"/>
          <w:sz w:val="24"/>
          <w:highlight w:val="none"/>
        </w:rPr>
      </w:pPr>
      <w:r>
        <w:rPr>
          <w:rFonts w:ascii="宋体" w:hAnsi="宋体" w:eastAsia="宋体" w:cs="宋体"/>
          <w:color w:val="auto"/>
          <w:sz w:val="24"/>
          <w:highlight w:val="none"/>
        </w:rPr>
        <w:t>《详勘阶段岩土工程勘察报告》</w:t>
      </w:r>
    </w:p>
    <w:p w14:paraId="480A4F8F">
      <w:pPr>
        <w:snapToGrid w:val="0"/>
        <w:spacing w:before="0" w:after="0" w:line="360" w:lineRule="auto"/>
        <w:ind w:firstLine="480" w:firstLineChars="200"/>
        <w:rPr>
          <w:rFonts w:hint="eastAsia" w:ascii="宋体" w:hAnsi="宋体" w:eastAsia="宋体" w:cs="宋体"/>
          <w:color w:val="auto"/>
          <w:sz w:val="24"/>
          <w:highlight w:val="none"/>
        </w:rPr>
      </w:pPr>
      <w:r>
        <w:rPr>
          <w:rFonts w:ascii="宋体" w:hAnsi="宋体" w:eastAsia="宋体" w:cs="宋体"/>
          <w:color w:val="auto"/>
          <w:sz w:val="24"/>
          <w:highlight w:val="none"/>
        </w:rPr>
        <w:t>4、造价成果文件（包括但不限于）</w:t>
      </w:r>
    </w:p>
    <w:p w14:paraId="4E9AFD09">
      <w:pPr>
        <w:snapToGrid w:val="0"/>
        <w:spacing w:before="0" w:after="0" w:line="360" w:lineRule="auto"/>
        <w:ind w:firstLine="480" w:firstLineChars="200"/>
        <w:rPr>
          <w:rFonts w:hint="eastAsia" w:ascii="宋体" w:hAnsi="宋体" w:eastAsia="宋体" w:cs="宋体"/>
          <w:color w:val="auto"/>
          <w:sz w:val="24"/>
          <w:highlight w:val="none"/>
        </w:rPr>
      </w:pPr>
      <w:r>
        <w:rPr>
          <w:rFonts w:ascii="宋体" w:hAnsi="宋体" w:eastAsia="宋体" w:cs="宋体"/>
          <w:color w:val="auto"/>
          <w:sz w:val="24"/>
          <w:highlight w:val="none"/>
        </w:rPr>
        <w:t>除按要求提交概算成果外，还需要</w:t>
      </w:r>
      <w:r>
        <w:rPr>
          <w:rFonts w:hint="eastAsia" w:ascii="宋体" w:hAnsi="宋体" w:eastAsia="宋体" w:cs="宋体"/>
          <w:color w:val="auto"/>
          <w:sz w:val="24"/>
          <w:highlight w:val="none"/>
          <w:lang w:val="en-US" w:eastAsia="zh-CN"/>
        </w:rPr>
        <w:t>参照</w:t>
      </w:r>
      <w:r>
        <w:rPr>
          <w:rFonts w:ascii="宋体" w:hAnsi="宋体" w:eastAsia="宋体" w:cs="宋体"/>
          <w:color w:val="auto"/>
          <w:sz w:val="24"/>
          <w:highlight w:val="none"/>
        </w:rPr>
        <w:t>《关于财政投资评审实行预受理制度的通知》（穗财建[2012]446号），</w:t>
      </w:r>
      <w:r>
        <w:rPr>
          <w:rFonts w:hint="eastAsia" w:ascii="宋体" w:hAnsi="宋体" w:eastAsia="宋体" w:cs="宋体"/>
          <w:color w:val="auto"/>
          <w:sz w:val="24"/>
          <w:highlight w:val="none"/>
          <w:lang w:val="en-US" w:eastAsia="zh-CN"/>
        </w:rPr>
        <w:t>按照广州市海珠区城中村改造建设指挥部办公室关于印发《海珠区城中村改造审批流程工作指引》的通知（海建局</w:t>
      </w:r>
      <w:r>
        <w:rPr>
          <w:rFonts w:hint="eastAsia" w:ascii="微软雅黑" w:hAnsi="微软雅黑" w:eastAsia="微软雅黑" w:cs="微软雅黑"/>
          <w:color w:val="auto"/>
          <w:sz w:val="24"/>
          <w:highlight w:val="none"/>
          <w:lang w:val="en-US" w:eastAsia="zh-CN"/>
        </w:rPr>
        <w:t>〔</w:t>
      </w:r>
      <w:r>
        <w:rPr>
          <w:rFonts w:hint="eastAsia" w:ascii="宋体" w:hAnsi="宋体" w:eastAsia="宋体" w:cs="宋体"/>
          <w:color w:val="auto"/>
          <w:sz w:val="24"/>
          <w:highlight w:val="none"/>
          <w:lang w:val="en-US" w:eastAsia="zh-CN"/>
        </w:rPr>
        <w:t>2025</w:t>
      </w:r>
      <w:r>
        <w:rPr>
          <w:rFonts w:hint="eastAsia" w:ascii="微软雅黑" w:hAnsi="微软雅黑" w:eastAsia="微软雅黑" w:cs="微软雅黑"/>
          <w:color w:val="auto"/>
          <w:sz w:val="24"/>
          <w:highlight w:val="none"/>
          <w:lang w:val="en-US" w:eastAsia="zh-CN"/>
        </w:rPr>
        <w:t>〕</w:t>
      </w:r>
      <w:r>
        <w:rPr>
          <w:rFonts w:hint="eastAsia" w:ascii="宋体" w:hAnsi="宋体" w:eastAsia="宋体" w:cs="宋体"/>
          <w:color w:val="auto"/>
          <w:sz w:val="24"/>
          <w:highlight w:val="none"/>
          <w:lang w:val="en-US" w:eastAsia="zh-CN"/>
        </w:rPr>
        <w:t>36号）及政府主管部门的要求</w:t>
      </w:r>
      <w:r>
        <w:rPr>
          <w:rFonts w:ascii="宋体" w:hAnsi="宋体" w:eastAsia="宋体" w:cs="宋体"/>
          <w:color w:val="auto"/>
          <w:sz w:val="24"/>
          <w:highlight w:val="none"/>
        </w:rPr>
        <w:t>准备设计图纸等送审资料，并配合</w:t>
      </w:r>
      <w:r>
        <w:rPr>
          <w:rFonts w:hint="eastAsia" w:ascii="宋体" w:hAnsi="宋体" w:eastAsia="宋体" w:cs="宋体"/>
          <w:color w:val="auto"/>
          <w:sz w:val="24"/>
          <w:highlight w:val="none"/>
          <w:lang w:val="en-US" w:eastAsia="zh-CN"/>
        </w:rPr>
        <w:t>政府主管</w:t>
      </w:r>
      <w:r>
        <w:rPr>
          <w:rFonts w:ascii="宋体" w:hAnsi="宋体" w:eastAsia="宋体" w:cs="宋体"/>
          <w:color w:val="auto"/>
          <w:sz w:val="24"/>
          <w:highlight w:val="none"/>
        </w:rPr>
        <w:t>部门的核审工作。</w:t>
      </w:r>
    </w:p>
    <w:p w14:paraId="2AEA252D">
      <w:pPr>
        <w:pStyle w:val="3"/>
        <w:rPr>
          <w:rFonts w:hint="eastAsia" w:ascii="宋体" w:hAnsi="宋体" w:cs="宋体"/>
          <w:color w:val="auto"/>
          <w:sz w:val="28"/>
          <w:szCs w:val="22"/>
          <w:highlight w:val="none"/>
        </w:rPr>
      </w:pPr>
      <w:bookmarkStart w:id="85" w:name="_Toc75504396"/>
      <w:bookmarkEnd w:id="85"/>
      <w:bookmarkStart w:id="86" w:name="_Toc74837375"/>
      <w:bookmarkStart w:id="87" w:name="_Toc31874"/>
      <w:r>
        <w:rPr>
          <w:rFonts w:hint="eastAsia" w:ascii="宋体" w:hAnsi="宋体" w:cs="宋体"/>
          <w:color w:val="auto"/>
          <w:sz w:val="28"/>
          <w:szCs w:val="22"/>
          <w:highlight w:val="none"/>
        </w:rPr>
        <w:t>提交设计资料要求</w:t>
      </w:r>
      <w:bookmarkEnd w:id="86"/>
      <w:bookmarkEnd w:id="87"/>
    </w:p>
    <w:p w14:paraId="73A10031">
      <w:pPr>
        <w:snapToGrid w:val="0"/>
        <w:spacing w:before="0" w:after="0" w:line="360" w:lineRule="auto"/>
        <w:ind w:firstLine="480" w:firstLineChars="200"/>
        <w:rPr>
          <w:rFonts w:hint="eastAsia" w:ascii="宋体" w:hAnsi="宋体" w:eastAsia="宋体" w:cs="宋体"/>
          <w:color w:val="auto"/>
          <w:sz w:val="28"/>
          <w:highlight w:val="none"/>
        </w:rPr>
      </w:pPr>
      <w:r>
        <w:rPr>
          <w:rFonts w:ascii="宋体" w:hAnsi="宋体" w:eastAsia="宋体" w:cs="宋体"/>
          <w:color w:val="auto"/>
          <w:sz w:val="24"/>
          <w:highlight w:val="none"/>
        </w:rPr>
        <w:t>1、中标设计单位设计成果文件的提交时间以符合合同约定质量的设计成果文件的提交时间为准。设计成果文件提交的时间及份数如下</w:t>
      </w:r>
    </w:p>
    <w:p w14:paraId="029157A2">
      <w:pPr>
        <w:snapToGrid w:val="0"/>
        <w:spacing w:before="0" w:after="0" w:line="360" w:lineRule="auto"/>
        <w:jc w:val="center"/>
        <w:rPr>
          <w:color w:val="auto"/>
          <w:highlight w:val="none"/>
        </w:rPr>
      </w:pPr>
      <w:r>
        <w:rPr>
          <w:rFonts w:ascii="宋体" w:hAnsi="宋体" w:eastAsia="宋体" w:cs="宋体"/>
          <w:color w:val="auto"/>
          <w:sz w:val="24"/>
          <w:highlight w:val="none"/>
        </w:rPr>
        <w:t>表</w:t>
      </w:r>
      <w:r>
        <w:rPr>
          <w:rFonts w:hint="eastAsia" w:ascii="宋体" w:hAnsi="宋体" w:eastAsia="宋体" w:cs="宋体"/>
          <w:color w:val="auto"/>
          <w:sz w:val="24"/>
          <w:highlight w:val="none"/>
        </w:rPr>
        <w:t>5</w:t>
      </w:r>
      <w:r>
        <w:rPr>
          <w:rFonts w:ascii="宋体" w:hAnsi="宋体" w:eastAsia="宋体" w:cs="宋体"/>
          <w:color w:val="auto"/>
          <w:sz w:val="24"/>
          <w:highlight w:val="none"/>
        </w:rPr>
        <w:t>-1 设计各阶段提交时间控制表</w:t>
      </w:r>
    </w:p>
    <w:tbl>
      <w:tblPr>
        <w:tblStyle w:val="21"/>
        <w:tblW w:w="0" w:type="auto"/>
        <w:tblInd w:w="0" w:type="dxa"/>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Layout w:type="fixed"/>
        <w:tblCellMar>
          <w:top w:w="0" w:type="dxa"/>
          <w:left w:w="108" w:type="dxa"/>
          <w:bottom w:w="0" w:type="dxa"/>
          <w:right w:w="108" w:type="dxa"/>
        </w:tblCellMar>
      </w:tblPr>
      <w:tblGrid>
        <w:gridCol w:w="654"/>
        <w:gridCol w:w="2897"/>
        <w:gridCol w:w="1373"/>
        <w:gridCol w:w="1326"/>
        <w:gridCol w:w="1458"/>
      </w:tblGrid>
      <w:tr w14:paraId="25F363A3">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417" w:hRule="atLeast"/>
        </w:trPr>
        <w:tc>
          <w:tcPr>
            <w:tcW w:w="654" w:type="dxa"/>
            <w:tcBorders>
              <w:top w:val="single" w:color="000000" w:sz="8" w:space="0"/>
              <w:left w:val="single" w:color="000000" w:sz="8" w:space="0"/>
              <w:bottom w:val="single" w:color="000000" w:sz="8" w:space="0"/>
              <w:right w:val="single" w:color="000000" w:sz="8" w:space="0"/>
            </w:tcBorders>
            <w:tcMar>
              <w:top w:w="120" w:type="dxa"/>
              <w:left w:w="60" w:type="dxa"/>
              <w:bottom w:w="120" w:type="dxa"/>
              <w:right w:w="60" w:type="dxa"/>
            </w:tcMar>
            <w:vAlign w:val="center"/>
          </w:tcPr>
          <w:p w14:paraId="1CDB90D6">
            <w:pPr>
              <w:snapToGrid w:val="0"/>
              <w:spacing w:before="0" w:after="0" w:line="360" w:lineRule="auto"/>
              <w:jc w:val="center"/>
              <w:rPr>
                <w:color w:val="auto"/>
                <w:sz w:val="21"/>
                <w:szCs w:val="21"/>
                <w:highlight w:val="none"/>
              </w:rPr>
            </w:pPr>
            <w:r>
              <w:rPr>
                <w:rFonts w:ascii="宋体" w:hAnsi="宋体" w:eastAsia="宋体" w:cs="宋体"/>
                <w:color w:val="auto"/>
                <w:sz w:val="21"/>
                <w:szCs w:val="21"/>
                <w:highlight w:val="none"/>
              </w:rPr>
              <w:t>序号</w:t>
            </w:r>
          </w:p>
        </w:tc>
        <w:tc>
          <w:tcPr>
            <w:tcW w:w="2897" w:type="dxa"/>
            <w:tcBorders>
              <w:top w:val="single" w:color="000000" w:sz="8" w:space="0"/>
              <w:left w:val="single" w:color="000000" w:sz="0" w:space="0"/>
              <w:bottom w:val="single" w:color="000000" w:sz="8" w:space="0"/>
              <w:right w:val="single" w:color="000000" w:sz="8" w:space="0"/>
            </w:tcBorders>
            <w:tcMar>
              <w:top w:w="120" w:type="dxa"/>
              <w:left w:w="60" w:type="dxa"/>
              <w:bottom w:w="120" w:type="dxa"/>
              <w:right w:w="60" w:type="dxa"/>
            </w:tcMar>
            <w:vAlign w:val="center"/>
          </w:tcPr>
          <w:p w14:paraId="2E5010F3">
            <w:pPr>
              <w:snapToGrid w:val="0"/>
              <w:spacing w:before="0" w:after="0" w:line="360" w:lineRule="auto"/>
              <w:ind w:firstLine="27" w:firstLineChars="13"/>
              <w:jc w:val="center"/>
              <w:rPr>
                <w:color w:val="auto"/>
                <w:sz w:val="21"/>
                <w:szCs w:val="21"/>
                <w:highlight w:val="none"/>
              </w:rPr>
            </w:pPr>
            <w:r>
              <w:rPr>
                <w:rFonts w:ascii="宋体" w:hAnsi="宋体" w:eastAsia="宋体" w:cs="宋体"/>
                <w:color w:val="auto"/>
                <w:sz w:val="21"/>
                <w:szCs w:val="21"/>
                <w:highlight w:val="none"/>
              </w:rPr>
              <w:t>资料及文件名称</w:t>
            </w:r>
          </w:p>
        </w:tc>
        <w:tc>
          <w:tcPr>
            <w:tcW w:w="1373" w:type="dxa"/>
            <w:tcBorders>
              <w:top w:val="single" w:color="000000" w:sz="8" w:space="0"/>
              <w:left w:val="single" w:color="000000" w:sz="0" w:space="0"/>
              <w:bottom w:val="single" w:color="000000" w:sz="8" w:space="0"/>
              <w:right w:val="single" w:color="000000" w:sz="8" w:space="0"/>
            </w:tcBorders>
            <w:tcMar>
              <w:top w:w="120" w:type="dxa"/>
              <w:left w:w="60" w:type="dxa"/>
              <w:bottom w:w="120" w:type="dxa"/>
              <w:right w:w="60" w:type="dxa"/>
            </w:tcMar>
            <w:vAlign w:val="center"/>
          </w:tcPr>
          <w:p w14:paraId="50A71564">
            <w:pPr>
              <w:snapToGrid w:val="0"/>
              <w:spacing w:before="0" w:after="0" w:line="360" w:lineRule="auto"/>
              <w:ind w:firstLine="50" w:firstLineChars="24"/>
              <w:jc w:val="center"/>
              <w:rPr>
                <w:color w:val="auto"/>
                <w:sz w:val="21"/>
                <w:szCs w:val="21"/>
                <w:highlight w:val="none"/>
              </w:rPr>
            </w:pPr>
            <w:r>
              <w:rPr>
                <w:rFonts w:ascii="宋体" w:hAnsi="宋体" w:eastAsia="宋体" w:cs="宋体"/>
                <w:color w:val="auto"/>
                <w:sz w:val="21"/>
                <w:szCs w:val="21"/>
                <w:highlight w:val="none"/>
              </w:rPr>
              <w:t>提交日期</w:t>
            </w:r>
          </w:p>
        </w:tc>
        <w:tc>
          <w:tcPr>
            <w:tcW w:w="1326" w:type="dxa"/>
            <w:tcBorders>
              <w:top w:val="single" w:color="000000" w:sz="8" w:space="0"/>
              <w:left w:val="single" w:color="000000" w:sz="0" w:space="0"/>
              <w:bottom w:val="single" w:color="000000" w:sz="8" w:space="0"/>
              <w:right w:val="single" w:color="000000" w:sz="8" w:space="0"/>
            </w:tcBorders>
            <w:tcMar>
              <w:top w:w="120" w:type="dxa"/>
              <w:left w:w="60" w:type="dxa"/>
              <w:bottom w:w="120" w:type="dxa"/>
              <w:right w:w="60" w:type="dxa"/>
            </w:tcMar>
            <w:vAlign w:val="center"/>
          </w:tcPr>
          <w:p w14:paraId="34EC725F">
            <w:pPr>
              <w:snapToGrid w:val="0"/>
              <w:spacing w:before="0" w:after="0" w:line="360" w:lineRule="auto"/>
              <w:ind w:firstLine="75" w:firstLineChars="36"/>
              <w:jc w:val="center"/>
              <w:rPr>
                <w:color w:val="auto"/>
                <w:sz w:val="21"/>
                <w:szCs w:val="21"/>
                <w:highlight w:val="none"/>
              </w:rPr>
            </w:pPr>
            <w:r>
              <w:rPr>
                <w:rFonts w:ascii="宋体" w:hAnsi="宋体" w:eastAsia="宋体" w:cs="宋体"/>
                <w:color w:val="auto"/>
                <w:sz w:val="21"/>
                <w:szCs w:val="21"/>
                <w:highlight w:val="none"/>
              </w:rPr>
              <w:t>份数</w:t>
            </w:r>
          </w:p>
        </w:tc>
        <w:tc>
          <w:tcPr>
            <w:tcW w:w="1458" w:type="dxa"/>
            <w:tcBorders>
              <w:top w:val="single" w:color="000000" w:sz="8" w:space="0"/>
              <w:left w:val="single" w:color="000000" w:sz="0" w:space="0"/>
              <w:bottom w:val="single" w:color="000000" w:sz="8" w:space="0"/>
              <w:right w:val="single" w:color="000000" w:sz="8" w:space="0"/>
            </w:tcBorders>
            <w:tcMar>
              <w:top w:w="120" w:type="dxa"/>
              <w:left w:w="60" w:type="dxa"/>
              <w:bottom w:w="120" w:type="dxa"/>
              <w:right w:w="60" w:type="dxa"/>
            </w:tcMar>
            <w:vAlign w:val="center"/>
          </w:tcPr>
          <w:p w14:paraId="6DEC8691">
            <w:pPr>
              <w:snapToGrid w:val="0"/>
              <w:spacing w:before="0" w:after="0" w:line="360" w:lineRule="auto"/>
              <w:jc w:val="center"/>
              <w:rPr>
                <w:color w:val="auto"/>
                <w:sz w:val="21"/>
                <w:szCs w:val="21"/>
                <w:highlight w:val="none"/>
              </w:rPr>
            </w:pPr>
            <w:r>
              <w:rPr>
                <w:rFonts w:ascii="宋体" w:hAnsi="宋体" w:eastAsia="宋体" w:cs="宋体"/>
                <w:color w:val="auto"/>
                <w:sz w:val="21"/>
                <w:szCs w:val="21"/>
                <w:highlight w:val="none"/>
              </w:rPr>
              <w:t>备注</w:t>
            </w:r>
          </w:p>
        </w:tc>
      </w:tr>
      <w:tr w14:paraId="0F6DCE51">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1862" w:hRule="atLeast"/>
        </w:trPr>
        <w:tc>
          <w:tcPr>
            <w:tcW w:w="654" w:type="dxa"/>
            <w:tcBorders>
              <w:top w:val="single" w:color="000000" w:sz="0" w:space="0"/>
              <w:left w:val="single" w:color="000000" w:sz="8" w:space="0"/>
              <w:bottom w:val="single" w:color="000000" w:sz="8" w:space="0"/>
              <w:right w:val="single" w:color="000000" w:sz="8" w:space="0"/>
            </w:tcBorders>
            <w:tcMar>
              <w:top w:w="120" w:type="dxa"/>
              <w:left w:w="60" w:type="dxa"/>
              <w:bottom w:w="120" w:type="dxa"/>
              <w:right w:w="60" w:type="dxa"/>
            </w:tcMar>
            <w:vAlign w:val="center"/>
          </w:tcPr>
          <w:p w14:paraId="05421A8B">
            <w:pPr>
              <w:snapToGrid w:val="0"/>
              <w:spacing w:before="0" w:after="0" w:line="360" w:lineRule="auto"/>
              <w:jc w:val="center"/>
              <w:rPr>
                <w:color w:val="auto"/>
                <w:sz w:val="21"/>
                <w:szCs w:val="21"/>
                <w:highlight w:val="none"/>
              </w:rPr>
            </w:pPr>
            <w:r>
              <w:rPr>
                <w:rFonts w:ascii="宋体" w:hAnsi="宋体" w:eastAsia="宋体" w:cs="宋体"/>
                <w:color w:val="auto"/>
                <w:sz w:val="21"/>
                <w:szCs w:val="21"/>
                <w:highlight w:val="none"/>
              </w:rPr>
              <w:t>1</w:t>
            </w:r>
          </w:p>
        </w:tc>
        <w:tc>
          <w:tcPr>
            <w:tcW w:w="2897" w:type="dxa"/>
            <w:tcBorders>
              <w:top w:val="single" w:color="000000" w:sz="0" w:space="0"/>
              <w:left w:val="single" w:color="000000" w:sz="0" w:space="0"/>
              <w:bottom w:val="single" w:color="000000" w:sz="8" w:space="0"/>
              <w:right w:val="single" w:color="000000" w:sz="8" w:space="0"/>
            </w:tcBorders>
            <w:tcMar>
              <w:top w:w="120" w:type="dxa"/>
              <w:left w:w="60" w:type="dxa"/>
              <w:bottom w:w="120" w:type="dxa"/>
              <w:right w:w="60" w:type="dxa"/>
            </w:tcMar>
            <w:vAlign w:val="center"/>
          </w:tcPr>
          <w:p w14:paraId="5400EE0F">
            <w:pPr>
              <w:snapToGrid w:val="0"/>
              <w:spacing w:before="0" w:after="0" w:line="360" w:lineRule="auto"/>
              <w:ind w:firstLine="27" w:firstLineChars="13"/>
              <w:jc w:val="left"/>
              <w:rPr>
                <w:color w:val="auto"/>
                <w:sz w:val="21"/>
                <w:szCs w:val="21"/>
                <w:highlight w:val="none"/>
              </w:rPr>
            </w:pPr>
            <w:r>
              <w:rPr>
                <w:rFonts w:ascii="宋体" w:hAnsi="宋体" w:eastAsia="宋体" w:cs="宋体"/>
                <w:color w:val="auto"/>
                <w:sz w:val="21"/>
                <w:szCs w:val="21"/>
                <w:highlight w:val="none"/>
              </w:rPr>
              <w:t>勘察成果文件</w:t>
            </w:r>
          </w:p>
        </w:tc>
        <w:tc>
          <w:tcPr>
            <w:tcW w:w="1373" w:type="dxa"/>
            <w:tcBorders>
              <w:top w:val="single" w:color="000000" w:sz="0" w:space="0"/>
              <w:left w:val="single" w:color="000000" w:sz="0" w:space="0"/>
              <w:bottom w:val="single" w:color="000000" w:sz="8" w:space="0"/>
              <w:right w:val="single" w:color="000000" w:sz="8" w:space="0"/>
            </w:tcBorders>
            <w:tcMar>
              <w:top w:w="120" w:type="dxa"/>
              <w:left w:w="60" w:type="dxa"/>
              <w:bottom w:w="120" w:type="dxa"/>
              <w:right w:w="60" w:type="dxa"/>
            </w:tcMar>
            <w:vAlign w:val="center"/>
          </w:tcPr>
          <w:p w14:paraId="42B98BB1">
            <w:pPr>
              <w:snapToGrid w:val="0"/>
              <w:spacing w:before="0" w:after="0" w:line="360" w:lineRule="auto"/>
              <w:ind w:firstLine="50" w:firstLineChars="24"/>
              <w:jc w:val="left"/>
              <w:rPr>
                <w:color w:val="auto"/>
                <w:sz w:val="21"/>
                <w:szCs w:val="21"/>
                <w:highlight w:val="none"/>
              </w:rPr>
            </w:pPr>
            <w:r>
              <w:rPr>
                <w:rFonts w:ascii="宋体" w:hAnsi="宋体" w:eastAsia="宋体" w:cs="宋体"/>
                <w:color w:val="auto"/>
                <w:sz w:val="21"/>
                <w:szCs w:val="21"/>
                <w:highlight w:val="none"/>
              </w:rPr>
              <w:t>各阶段勘察任务在收到发包人进场通知后60天内</w:t>
            </w:r>
          </w:p>
        </w:tc>
        <w:tc>
          <w:tcPr>
            <w:tcW w:w="1326" w:type="dxa"/>
            <w:tcBorders>
              <w:top w:val="single" w:color="000000" w:sz="0" w:space="0"/>
              <w:left w:val="single" w:color="000000" w:sz="0" w:space="0"/>
              <w:bottom w:val="single" w:color="000000" w:sz="8" w:space="0"/>
              <w:right w:val="single" w:color="000000" w:sz="8" w:space="0"/>
            </w:tcBorders>
            <w:tcMar>
              <w:top w:w="120" w:type="dxa"/>
              <w:left w:w="60" w:type="dxa"/>
              <w:bottom w:w="120" w:type="dxa"/>
              <w:right w:w="60" w:type="dxa"/>
            </w:tcMar>
            <w:vAlign w:val="center"/>
          </w:tcPr>
          <w:p w14:paraId="6330E1C3">
            <w:pPr>
              <w:snapToGrid w:val="0"/>
              <w:spacing w:before="0" w:after="0" w:line="360" w:lineRule="auto"/>
              <w:ind w:firstLine="210" w:firstLineChars="100"/>
              <w:jc w:val="left"/>
              <w:rPr>
                <w:color w:val="auto"/>
                <w:sz w:val="21"/>
                <w:szCs w:val="21"/>
                <w:highlight w:val="none"/>
              </w:rPr>
            </w:pPr>
            <w:r>
              <w:rPr>
                <w:rFonts w:ascii="宋体" w:hAnsi="宋体" w:eastAsia="宋体" w:cs="宋体"/>
                <w:color w:val="auto"/>
                <w:sz w:val="21"/>
                <w:szCs w:val="21"/>
                <w:highlight w:val="none"/>
              </w:rPr>
              <w:t>10份</w:t>
            </w:r>
          </w:p>
        </w:tc>
        <w:tc>
          <w:tcPr>
            <w:tcW w:w="1458" w:type="dxa"/>
            <w:tcBorders>
              <w:top w:val="single" w:color="000000" w:sz="0" w:space="0"/>
              <w:left w:val="single" w:color="000000" w:sz="0" w:space="0"/>
              <w:bottom w:val="single" w:color="000000" w:sz="8" w:space="0"/>
              <w:right w:val="single" w:color="000000" w:sz="8" w:space="0"/>
            </w:tcBorders>
            <w:tcMar>
              <w:top w:w="120" w:type="dxa"/>
              <w:left w:w="60" w:type="dxa"/>
              <w:bottom w:w="120" w:type="dxa"/>
              <w:right w:w="60" w:type="dxa"/>
            </w:tcMar>
            <w:vAlign w:val="center"/>
          </w:tcPr>
          <w:p w14:paraId="6551D539">
            <w:pPr>
              <w:snapToGrid w:val="0"/>
              <w:spacing w:before="0" w:after="0" w:line="360" w:lineRule="auto"/>
              <w:jc w:val="left"/>
              <w:rPr>
                <w:color w:val="auto"/>
                <w:sz w:val="21"/>
                <w:szCs w:val="21"/>
                <w:highlight w:val="none"/>
              </w:rPr>
            </w:pPr>
            <w:r>
              <w:rPr>
                <w:rFonts w:ascii="宋体" w:hAnsi="宋体" w:eastAsia="宋体" w:cs="宋体"/>
                <w:color w:val="auto"/>
                <w:sz w:val="21"/>
                <w:szCs w:val="21"/>
                <w:highlight w:val="none"/>
              </w:rPr>
              <w:t>电子文档各3份</w:t>
            </w:r>
          </w:p>
        </w:tc>
      </w:tr>
      <w:tr w14:paraId="00EC003E">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1056" w:hRule="atLeast"/>
        </w:trPr>
        <w:tc>
          <w:tcPr>
            <w:tcW w:w="654" w:type="dxa"/>
            <w:tcBorders>
              <w:top w:val="single" w:color="000000" w:sz="0" w:space="0"/>
              <w:left w:val="single" w:color="000000" w:sz="8" w:space="0"/>
              <w:bottom w:val="single" w:color="000000" w:sz="8" w:space="0"/>
              <w:right w:val="single" w:color="000000" w:sz="8" w:space="0"/>
            </w:tcBorders>
            <w:tcMar>
              <w:top w:w="120" w:type="dxa"/>
              <w:left w:w="60" w:type="dxa"/>
              <w:bottom w:w="120" w:type="dxa"/>
              <w:right w:w="60" w:type="dxa"/>
            </w:tcMar>
            <w:vAlign w:val="center"/>
          </w:tcPr>
          <w:p w14:paraId="0290AE67">
            <w:pPr>
              <w:snapToGrid w:val="0"/>
              <w:spacing w:before="0" w:after="0" w:line="360" w:lineRule="auto"/>
              <w:jc w:val="center"/>
              <w:rPr>
                <w:color w:val="auto"/>
                <w:sz w:val="21"/>
                <w:szCs w:val="21"/>
                <w:highlight w:val="none"/>
              </w:rPr>
            </w:pPr>
            <w:r>
              <w:rPr>
                <w:rFonts w:ascii="宋体" w:hAnsi="宋体" w:eastAsia="宋体" w:cs="宋体"/>
                <w:color w:val="auto"/>
                <w:sz w:val="21"/>
                <w:szCs w:val="21"/>
                <w:highlight w:val="none"/>
              </w:rPr>
              <w:t>2</w:t>
            </w:r>
          </w:p>
        </w:tc>
        <w:tc>
          <w:tcPr>
            <w:tcW w:w="2897" w:type="dxa"/>
            <w:tcBorders>
              <w:top w:val="single" w:color="000000" w:sz="0" w:space="0"/>
              <w:left w:val="single" w:color="000000" w:sz="0" w:space="0"/>
              <w:bottom w:val="single" w:color="000000" w:sz="8" w:space="0"/>
              <w:right w:val="single" w:color="000000" w:sz="8" w:space="0"/>
            </w:tcBorders>
            <w:tcMar>
              <w:top w:w="120" w:type="dxa"/>
              <w:left w:w="60" w:type="dxa"/>
              <w:bottom w:w="120" w:type="dxa"/>
              <w:right w:w="60" w:type="dxa"/>
            </w:tcMar>
            <w:vAlign w:val="center"/>
          </w:tcPr>
          <w:p w14:paraId="037F6902">
            <w:pPr>
              <w:snapToGrid w:val="0"/>
              <w:spacing w:before="0" w:after="0" w:line="360" w:lineRule="auto"/>
              <w:ind w:firstLine="27" w:firstLineChars="13"/>
              <w:jc w:val="left"/>
              <w:rPr>
                <w:color w:val="auto"/>
                <w:sz w:val="21"/>
                <w:szCs w:val="21"/>
                <w:highlight w:val="none"/>
              </w:rPr>
            </w:pPr>
            <w:r>
              <w:rPr>
                <w:rFonts w:ascii="宋体" w:hAnsi="宋体" w:eastAsia="宋体" w:cs="宋体"/>
                <w:color w:val="auto"/>
                <w:sz w:val="21"/>
                <w:szCs w:val="21"/>
                <w:highlight w:val="none"/>
              </w:rPr>
              <w:t>深化方案设计成果文件（含总平面规划设计、工程估算）</w:t>
            </w:r>
          </w:p>
        </w:tc>
        <w:tc>
          <w:tcPr>
            <w:tcW w:w="1373" w:type="dxa"/>
            <w:tcBorders>
              <w:top w:val="single" w:color="000000" w:sz="0" w:space="0"/>
              <w:left w:val="single" w:color="000000" w:sz="0" w:space="0"/>
              <w:bottom w:val="single" w:color="000000" w:sz="8" w:space="0"/>
              <w:right w:val="single" w:color="000000" w:sz="8" w:space="0"/>
            </w:tcBorders>
            <w:tcMar>
              <w:top w:w="120" w:type="dxa"/>
              <w:left w:w="60" w:type="dxa"/>
              <w:bottom w:w="120" w:type="dxa"/>
              <w:right w:w="60" w:type="dxa"/>
            </w:tcMar>
            <w:vAlign w:val="center"/>
          </w:tcPr>
          <w:p w14:paraId="49EC1F0F">
            <w:pPr>
              <w:snapToGrid w:val="0"/>
              <w:spacing w:before="0" w:after="0" w:line="360" w:lineRule="auto"/>
              <w:ind w:firstLine="50" w:firstLineChars="24"/>
              <w:jc w:val="left"/>
              <w:rPr>
                <w:color w:val="auto"/>
                <w:sz w:val="21"/>
                <w:szCs w:val="21"/>
                <w:highlight w:val="none"/>
              </w:rPr>
            </w:pPr>
            <w:r>
              <w:rPr>
                <w:rFonts w:ascii="宋体" w:hAnsi="宋体" w:eastAsia="宋体" w:cs="宋体"/>
                <w:color w:val="auto"/>
                <w:sz w:val="21"/>
                <w:szCs w:val="21"/>
                <w:highlight w:val="none"/>
              </w:rPr>
              <w:t>中标后30天内</w:t>
            </w:r>
          </w:p>
        </w:tc>
        <w:tc>
          <w:tcPr>
            <w:tcW w:w="1326" w:type="dxa"/>
            <w:tcBorders>
              <w:top w:val="single" w:color="000000" w:sz="0" w:space="0"/>
              <w:left w:val="single" w:color="000000" w:sz="0" w:space="0"/>
              <w:bottom w:val="single" w:color="000000" w:sz="8" w:space="0"/>
              <w:right w:val="single" w:color="000000" w:sz="8" w:space="0"/>
            </w:tcBorders>
            <w:tcMar>
              <w:top w:w="120" w:type="dxa"/>
              <w:left w:w="60" w:type="dxa"/>
              <w:bottom w:w="120" w:type="dxa"/>
              <w:right w:w="60" w:type="dxa"/>
            </w:tcMar>
            <w:vAlign w:val="center"/>
          </w:tcPr>
          <w:p w14:paraId="02706F2A">
            <w:pPr>
              <w:snapToGrid w:val="0"/>
              <w:spacing w:before="0" w:after="0" w:line="360" w:lineRule="auto"/>
              <w:ind w:firstLine="75" w:firstLineChars="36"/>
              <w:jc w:val="left"/>
              <w:rPr>
                <w:color w:val="auto"/>
                <w:sz w:val="21"/>
                <w:szCs w:val="21"/>
                <w:highlight w:val="none"/>
              </w:rPr>
            </w:pPr>
            <w:r>
              <w:rPr>
                <w:rFonts w:ascii="宋体" w:hAnsi="宋体" w:eastAsia="宋体" w:cs="宋体"/>
                <w:color w:val="auto"/>
                <w:sz w:val="21"/>
                <w:szCs w:val="21"/>
                <w:highlight w:val="none"/>
              </w:rPr>
              <w:t>30份，或按甲方要求提供</w:t>
            </w:r>
          </w:p>
        </w:tc>
        <w:tc>
          <w:tcPr>
            <w:tcW w:w="1458" w:type="dxa"/>
            <w:tcBorders>
              <w:top w:val="single" w:color="000000" w:sz="0" w:space="0"/>
              <w:left w:val="single" w:color="000000" w:sz="0" w:space="0"/>
              <w:bottom w:val="single" w:color="000000" w:sz="8" w:space="0"/>
              <w:right w:val="single" w:color="000000" w:sz="8" w:space="0"/>
            </w:tcBorders>
            <w:tcMar>
              <w:top w:w="120" w:type="dxa"/>
              <w:left w:w="60" w:type="dxa"/>
              <w:bottom w:w="120" w:type="dxa"/>
              <w:right w:w="60" w:type="dxa"/>
            </w:tcMar>
            <w:vAlign w:val="center"/>
          </w:tcPr>
          <w:p w14:paraId="2E6557F4">
            <w:pPr>
              <w:snapToGrid w:val="0"/>
              <w:spacing w:before="0" w:after="0" w:line="360" w:lineRule="auto"/>
              <w:jc w:val="left"/>
              <w:rPr>
                <w:color w:val="auto"/>
                <w:sz w:val="21"/>
                <w:szCs w:val="21"/>
                <w:highlight w:val="none"/>
              </w:rPr>
            </w:pPr>
            <w:r>
              <w:rPr>
                <w:rFonts w:ascii="宋体" w:hAnsi="宋体" w:eastAsia="宋体" w:cs="宋体"/>
                <w:color w:val="auto"/>
                <w:sz w:val="21"/>
                <w:szCs w:val="21"/>
                <w:highlight w:val="none"/>
              </w:rPr>
              <w:t>电子文档3份</w:t>
            </w:r>
          </w:p>
        </w:tc>
      </w:tr>
      <w:tr w14:paraId="0B187207">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889" w:hRule="atLeast"/>
        </w:trPr>
        <w:tc>
          <w:tcPr>
            <w:tcW w:w="654" w:type="dxa"/>
            <w:tcBorders>
              <w:top w:val="single" w:color="000000" w:sz="0" w:space="0"/>
              <w:left w:val="single" w:color="000000" w:sz="8" w:space="0"/>
              <w:bottom w:val="single" w:color="000000" w:sz="8" w:space="0"/>
              <w:right w:val="single" w:color="000000" w:sz="8" w:space="0"/>
            </w:tcBorders>
            <w:tcMar>
              <w:top w:w="120" w:type="dxa"/>
              <w:left w:w="60" w:type="dxa"/>
              <w:bottom w:w="120" w:type="dxa"/>
              <w:right w:w="60" w:type="dxa"/>
            </w:tcMar>
            <w:vAlign w:val="center"/>
          </w:tcPr>
          <w:p w14:paraId="78D1F168">
            <w:pPr>
              <w:snapToGrid w:val="0"/>
              <w:spacing w:before="0" w:after="0" w:line="360" w:lineRule="auto"/>
              <w:jc w:val="center"/>
              <w:rPr>
                <w:color w:val="auto"/>
                <w:sz w:val="21"/>
                <w:szCs w:val="21"/>
                <w:highlight w:val="none"/>
              </w:rPr>
            </w:pPr>
            <w:r>
              <w:rPr>
                <w:rFonts w:ascii="宋体" w:hAnsi="宋体" w:eastAsia="宋体" w:cs="宋体"/>
                <w:color w:val="auto"/>
                <w:sz w:val="21"/>
                <w:szCs w:val="21"/>
                <w:highlight w:val="none"/>
              </w:rPr>
              <w:t>3</w:t>
            </w:r>
          </w:p>
        </w:tc>
        <w:tc>
          <w:tcPr>
            <w:tcW w:w="2897" w:type="dxa"/>
            <w:tcBorders>
              <w:top w:val="single" w:color="000000" w:sz="0" w:space="0"/>
              <w:left w:val="single" w:color="000000" w:sz="0" w:space="0"/>
              <w:bottom w:val="single" w:color="000000" w:sz="8" w:space="0"/>
              <w:right w:val="single" w:color="000000" w:sz="8" w:space="0"/>
            </w:tcBorders>
            <w:tcMar>
              <w:top w:w="120" w:type="dxa"/>
              <w:left w:w="60" w:type="dxa"/>
              <w:bottom w:w="120" w:type="dxa"/>
              <w:right w:w="60" w:type="dxa"/>
            </w:tcMar>
            <w:vAlign w:val="center"/>
          </w:tcPr>
          <w:p w14:paraId="29272D67">
            <w:pPr>
              <w:snapToGrid w:val="0"/>
              <w:spacing w:before="0" w:after="0" w:line="360" w:lineRule="auto"/>
              <w:ind w:firstLine="27" w:firstLineChars="13"/>
              <w:jc w:val="left"/>
              <w:rPr>
                <w:color w:val="auto"/>
                <w:sz w:val="21"/>
                <w:szCs w:val="21"/>
                <w:highlight w:val="none"/>
              </w:rPr>
            </w:pPr>
            <w:r>
              <w:rPr>
                <w:rFonts w:ascii="宋体" w:hAnsi="宋体" w:eastAsia="宋体" w:cs="宋体"/>
                <w:color w:val="auto"/>
                <w:sz w:val="21"/>
                <w:szCs w:val="21"/>
                <w:highlight w:val="none"/>
              </w:rPr>
              <w:t>规划报建相关设计成果文件</w:t>
            </w:r>
          </w:p>
        </w:tc>
        <w:tc>
          <w:tcPr>
            <w:tcW w:w="1373" w:type="dxa"/>
            <w:tcBorders>
              <w:top w:val="single" w:color="000000" w:sz="0" w:space="0"/>
              <w:left w:val="single" w:color="000000" w:sz="0" w:space="0"/>
              <w:bottom w:val="single" w:color="000000" w:sz="8" w:space="0"/>
              <w:right w:val="single" w:color="000000" w:sz="8" w:space="0"/>
            </w:tcBorders>
            <w:tcMar>
              <w:top w:w="120" w:type="dxa"/>
              <w:left w:w="60" w:type="dxa"/>
              <w:bottom w:w="120" w:type="dxa"/>
              <w:right w:w="60" w:type="dxa"/>
            </w:tcMar>
            <w:vAlign w:val="center"/>
          </w:tcPr>
          <w:p w14:paraId="5F0588C8">
            <w:pPr>
              <w:snapToGrid w:val="0"/>
              <w:spacing w:before="0" w:after="0" w:line="360" w:lineRule="auto"/>
              <w:jc w:val="left"/>
              <w:rPr>
                <w:color w:val="auto"/>
                <w:sz w:val="21"/>
                <w:szCs w:val="21"/>
                <w:highlight w:val="none"/>
              </w:rPr>
            </w:pPr>
            <w:r>
              <w:rPr>
                <w:rFonts w:ascii="宋体" w:hAnsi="宋体" w:eastAsia="宋体" w:cs="宋体"/>
                <w:color w:val="auto"/>
                <w:sz w:val="21"/>
                <w:szCs w:val="21"/>
                <w:highlight w:val="none"/>
              </w:rPr>
              <w:t>按工作计划</w:t>
            </w:r>
          </w:p>
        </w:tc>
        <w:tc>
          <w:tcPr>
            <w:tcW w:w="1326" w:type="dxa"/>
            <w:tcBorders>
              <w:top w:val="single" w:color="000000" w:sz="0" w:space="0"/>
              <w:left w:val="single" w:color="000000" w:sz="0" w:space="0"/>
              <w:bottom w:val="single" w:color="000000" w:sz="8" w:space="0"/>
              <w:right w:val="single" w:color="000000" w:sz="8" w:space="0"/>
            </w:tcBorders>
            <w:tcMar>
              <w:top w:w="120" w:type="dxa"/>
              <w:left w:w="60" w:type="dxa"/>
              <w:bottom w:w="120" w:type="dxa"/>
              <w:right w:w="60" w:type="dxa"/>
            </w:tcMar>
            <w:vAlign w:val="center"/>
          </w:tcPr>
          <w:p w14:paraId="725D3B9E">
            <w:pPr>
              <w:snapToGrid w:val="0"/>
              <w:spacing w:before="0" w:after="0" w:line="360" w:lineRule="auto"/>
              <w:ind w:firstLine="75" w:firstLineChars="36"/>
              <w:jc w:val="left"/>
              <w:rPr>
                <w:color w:val="auto"/>
                <w:sz w:val="21"/>
                <w:szCs w:val="21"/>
                <w:highlight w:val="none"/>
              </w:rPr>
            </w:pPr>
            <w:r>
              <w:rPr>
                <w:rFonts w:ascii="宋体" w:hAnsi="宋体" w:eastAsia="宋体" w:cs="宋体"/>
                <w:color w:val="auto"/>
                <w:sz w:val="21"/>
                <w:szCs w:val="21"/>
                <w:highlight w:val="none"/>
              </w:rPr>
              <w:t>按报建要求或甲方要求提供</w:t>
            </w:r>
          </w:p>
        </w:tc>
        <w:tc>
          <w:tcPr>
            <w:tcW w:w="1458" w:type="dxa"/>
            <w:tcBorders>
              <w:top w:val="single" w:color="000000" w:sz="0" w:space="0"/>
              <w:left w:val="single" w:color="000000" w:sz="0" w:space="0"/>
              <w:bottom w:val="single" w:color="000000" w:sz="8" w:space="0"/>
              <w:right w:val="single" w:color="000000" w:sz="8" w:space="0"/>
            </w:tcBorders>
            <w:tcMar>
              <w:top w:w="120" w:type="dxa"/>
              <w:left w:w="60" w:type="dxa"/>
              <w:bottom w:w="120" w:type="dxa"/>
              <w:right w:w="60" w:type="dxa"/>
            </w:tcMar>
            <w:vAlign w:val="center"/>
          </w:tcPr>
          <w:p w14:paraId="7DC509DD">
            <w:pPr>
              <w:snapToGrid w:val="0"/>
              <w:spacing w:before="0" w:after="0" w:line="360" w:lineRule="auto"/>
              <w:jc w:val="left"/>
              <w:rPr>
                <w:color w:val="auto"/>
                <w:sz w:val="21"/>
                <w:szCs w:val="21"/>
                <w:highlight w:val="none"/>
              </w:rPr>
            </w:pPr>
            <w:r>
              <w:rPr>
                <w:rFonts w:ascii="宋体" w:hAnsi="宋体" w:eastAsia="宋体" w:cs="宋体"/>
                <w:color w:val="auto"/>
                <w:sz w:val="21"/>
                <w:szCs w:val="21"/>
                <w:highlight w:val="none"/>
              </w:rPr>
              <w:t>电子文档3份</w:t>
            </w:r>
          </w:p>
        </w:tc>
      </w:tr>
      <w:tr w14:paraId="6C1B3065">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1602" w:hRule="atLeast"/>
        </w:trPr>
        <w:tc>
          <w:tcPr>
            <w:tcW w:w="654" w:type="dxa"/>
            <w:tcBorders>
              <w:top w:val="single" w:color="000000" w:sz="0" w:space="0"/>
              <w:left w:val="single" w:color="000000" w:sz="8" w:space="0"/>
              <w:bottom w:val="single" w:color="000000" w:sz="8" w:space="0"/>
              <w:right w:val="single" w:color="000000" w:sz="8" w:space="0"/>
            </w:tcBorders>
            <w:tcMar>
              <w:top w:w="120" w:type="dxa"/>
              <w:left w:w="60" w:type="dxa"/>
              <w:bottom w:w="120" w:type="dxa"/>
              <w:right w:w="60" w:type="dxa"/>
            </w:tcMar>
            <w:vAlign w:val="center"/>
          </w:tcPr>
          <w:p w14:paraId="43DB2B11">
            <w:pPr>
              <w:snapToGrid w:val="0"/>
              <w:spacing w:before="0" w:after="0" w:line="360" w:lineRule="auto"/>
              <w:jc w:val="center"/>
              <w:rPr>
                <w:color w:val="auto"/>
                <w:sz w:val="21"/>
                <w:szCs w:val="21"/>
                <w:highlight w:val="none"/>
              </w:rPr>
            </w:pPr>
            <w:r>
              <w:rPr>
                <w:rFonts w:ascii="宋体" w:hAnsi="宋体" w:eastAsia="宋体" w:cs="宋体"/>
                <w:color w:val="auto"/>
                <w:sz w:val="21"/>
                <w:szCs w:val="21"/>
                <w:highlight w:val="none"/>
              </w:rPr>
              <w:t>4</w:t>
            </w:r>
          </w:p>
        </w:tc>
        <w:tc>
          <w:tcPr>
            <w:tcW w:w="2897" w:type="dxa"/>
            <w:tcBorders>
              <w:top w:val="single" w:color="000000" w:sz="0" w:space="0"/>
              <w:left w:val="single" w:color="000000" w:sz="0" w:space="0"/>
              <w:bottom w:val="single" w:color="000000" w:sz="8" w:space="0"/>
              <w:right w:val="single" w:color="000000" w:sz="8" w:space="0"/>
            </w:tcBorders>
            <w:tcMar>
              <w:top w:w="120" w:type="dxa"/>
              <w:left w:w="60" w:type="dxa"/>
              <w:bottom w:w="120" w:type="dxa"/>
              <w:right w:w="60" w:type="dxa"/>
            </w:tcMar>
            <w:vAlign w:val="center"/>
          </w:tcPr>
          <w:p w14:paraId="4A1011AD">
            <w:pPr>
              <w:snapToGrid w:val="0"/>
              <w:spacing w:before="0" w:after="0" w:line="360" w:lineRule="auto"/>
              <w:ind w:firstLine="27" w:firstLineChars="13"/>
              <w:jc w:val="left"/>
              <w:rPr>
                <w:color w:val="auto"/>
                <w:sz w:val="21"/>
                <w:szCs w:val="21"/>
                <w:highlight w:val="none"/>
              </w:rPr>
            </w:pPr>
            <w:r>
              <w:rPr>
                <w:rFonts w:ascii="宋体" w:hAnsi="宋体" w:eastAsia="宋体" w:cs="宋体"/>
                <w:color w:val="auto"/>
                <w:sz w:val="21"/>
                <w:szCs w:val="21"/>
                <w:highlight w:val="none"/>
              </w:rPr>
              <w:t>方案审批设计成果文件</w:t>
            </w:r>
          </w:p>
        </w:tc>
        <w:tc>
          <w:tcPr>
            <w:tcW w:w="1373" w:type="dxa"/>
            <w:tcBorders>
              <w:top w:val="single" w:color="000000" w:sz="0" w:space="0"/>
              <w:left w:val="single" w:color="000000" w:sz="0" w:space="0"/>
              <w:bottom w:val="single" w:color="000000" w:sz="8" w:space="0"/>
              <w:right w:val="single" w:color="000000" w:sz="8" w:space="0"/>
            </w:tcBorders>
            <w:tcMar>
              <w:top w:w="120" w:type="dxa"/>
              <w:left w:w="60" w:type="dxa"/>
              <w:bottom w:w="120" w:type="dxa"/>
              <w:right w:w="60" w:type="dxa"/>
            </w:tcMar>
            <w:vAlign w:val="center"/>
          </w:tcPr>
          <w:p w14:paraId="65830644">
            <w:pPr>
              <w:snapToGrid w:val="0"/>
              <w:spacing w:before="0" w:after="0" w:line="360" w:lineRule="auto"/>
              <w:jc w:val="left"/>
              <w:rPr>
                <w:color w:val="auto"/>
                <w:sz w:val="21"/>
                <w:szCs w:val="21"/>
                <w:highlight w:val="none"/>
              </w:rPr>
            </w:pPr>
            <w:r>
              <w:rPr>
                <w:rFonts w:ascii="宋体" w:hAnsi="宋体" w:eastAsia="宋体" w:cs="宋体"/>
                <w:color w:val="auto"/>
                <w:sz w:val="21"/>
                <w:szCs w:val="21"/>
                <w:highlight w:val="none"/>
              </w:rPr>
              <w:t>按工作计划</w:t>
            </w:r>
          </w:p>
        </w:tc>
        <w:tc>
          <w:tcPr>
            <w:tcW w:w="1326" w:type="dxa"/>
            <w:tcBorders>
              <w:top w:val="single" w:color="000000" w:sz="0" w:space="0"/>
              <w:left w:val="single" w:color="000000" w:sz="0" w:space="0"/>
              <w:bottom w:val="single" w:color="000000" w:sz="8" w:space="0"/>
              <w:right w:val="single" w:color="000000" w:sz="8" w:space="0"/>
            </w:tcBorders>
            <w:tcMar>
              <w:top w:w="120" w:type="dxa"/>
              <w:left w:w="60" w:type="dxa"/>
              <w:bottom w:w="120" w:type="dxa"/>
              <w:right w:w="60" w:type="dxa"/>
            </w:tcMar>
            <w:vAlign w:val="center"/>
          </w:tcPr>
          <w:p w14:paraId="6E945889">
            <w:pPr>
              <w:snapToGrid w:val="0"/>
              <w:spacing w:before="0" w:after="0" w:line="360" w:lineRule="auto"/>
              <w:ind w:firstLine="75" w:firstLineChars="36"/>
              <w:jc w:val="left"/>
              <w:rPr>
                <w:color w:val="auto"/>
                <w:sz w:val="21"/>
                <w:szCs w:val="21"/>
                <w:highlight w:val="none"/>
              </w:rPr>
            </w:pPr>
            <w:r>
              <w:rPr>
                <w:rFonts w:ascii="宋体" w:hAnsi="宋体" w:eastAsia="宋体" w:cs="宋体"/>
                <w:color w:val="auto"/>
                <w:sz w:val="21"/>
                <w:szCs w:val="21"/>
                <w:highlight w:val="none"/>
              </w:rPr>
              <w:t>按报建要求或甲方要求提供</w:t>
            </w:r>
          </w:p>
        </w:tc>
        <w:tc>
          <w:tcPr>
            <w:tcW w:w="1458" w:type="dxa"/>
            <w:tcBorders>
              <w:top w:val="single" w:color="000000" w:sz="0" w:space="0"/>
              <w:left w:val="single" w:color="000000" w:sz="0" w:space="0"/>
              <w:bottom w:val="single" w:color="000000" w:sz="8" w:space="0"/>
              <w:right w:val="single" w:color="000000" w:sz="8" w:space="0"/>
            </w:tcBorders>
            <w:tcMar>
              <w:top w:w="120" w:type="dxa"/>
              <w:left w:w="60" w:type="dxa"/>
              <w:bottom w:w="120" w:type="dxa"/>
              <w:right w:w="60" w:type="dxa"/>
            </w:tcMar>
            <w:vAlign w:val="center"/>
          </w:tcPr>
          <w:p w14:paraId="4C1566F2">
            <w:pPr>
              <w:snapToGrid w:val="0"/>
              <w:spacing w:before="0" w:after="0" w:line="360" w:lineRule="auto"/>
              <w:jc w:val="left"/>
              <w:rPr>
                <w:color w:val="auto"/>
                <w:sz w:val="21"/>
                <w:szCs w:val="21"/>
                <w:highlight w:val="none"/>
              </w:rPr>
            </w:pPr>
            <w:r>
              <w:rPr>
                <w:rFonts w:ascii="宋体" w:hAnsi="宋体" w:eastAsia="宋体" w:cs="宋体"/>
                <w:color w:val="auto"/>
                <w:sz w:val="21"/>
                <w:szCs w:val="21"/>
                <w:highlight w:val="none"/>
              </w:rPr>
              <w:t>电子文档3份</w:t>
            </w:r>
          </w:p>
        </w:tc>
      </w:tr>
      <w:tr w14:paraId="2452A7AC">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1669" w:hRule="atLeast"/>
        </w:trPr>
        <w:tc>
          <w:tcPr>
            <w:tcW w:w="654" w:type="dxa"/>
            <w:tcBorders>
              <w:top w:val="single" w:color="000000" w:sz="0" w:space="0"/>
              <w:left w:val="single" w:color="000000" w:sz="8" w:space="0"/>
              <w:bottom w:val="single" w:color="000000" w:sz="8" w:space="0"/>
              <w:right w:val="single" w:color="000000" w:sz="8" w:space="0"/>
            </w:tcBorders>
            <w:tcMar>
              <w:top w:w="120" w:type="dxa"/>
              <w:left w:w="60" w:type="dxa"/>
              <w:bottom w:w="120" w:type="dxa"/>
              <w:right w:w="60" w:type="dxa"/>
            </w:tcMar>
            <w:vAlign w:val="center"/>
          </w:tcPr>
          <w:p w14:paraId="6A1C94C4">
            <w:pPr>
              <w:snapToGrid w:val="0"/>
              <w:spacing w:before="0" w:after="0" w:line="360" w:lineRule="auto"/>
              <w:jc w:val="center"/>
              <w:rPr>
                <w:color w:val="auto"/>
                <w:sz w:val="21"/>
                <w:szCs w:val="21"/>
                <w:highlight w:val="none"/>
              </w:rPr>
            </w:pPr>
            <w:r>
              <w:rPr>
                <w:rFonts w:ascii="宋体" w:hAnsi="宋体" w:eastAsia="宋体" w:cs="宋体"/>
                <w:color w:val="auto"/>
                <w:sz w:val="21"/>
                <w:szCs w:val="21"/>
                <w:highlight w:val="none"/>
              </w:rPr>
              <w:t>5</w:t>
            </w:r>
          </w:p>
        </w:tc>
        <w:tc>
          <w:tcPr>
            <w:tcW w:w="2897" w:type="dxa"/>
            <w:tcBorders>
              <w:top w:val="single" w:color="000000" w:sz="0" w:space="0"/>
              <w:left w:val="single" w:color="000000" w:sz="0" w:space="0"/>
              <w:bottom w:val="single" w:color="000000" w:sz="8" w:space="0"/>
              <w:right w:val="single" w:color="000000" w:sz="8" w:space="0"/>
            </w:tcBorders>
            <w:tcMar>
              <w:top w:w="120" w:type="dxa"/>
              <w:left w:w="60" w:type="dxa"/>
              <w:bottom w:w="120" w:type="dxa"/>
              <w:right w:w="60" w:type="dxa"/>
            </w:tcMar>
            <w:vAlign w:val="center"/>
          </w:tcPr>
          <w:p w14:paraId="658409A1">
            <w:pPr>
              <w:snapToGrid w:val="0"/>
              <w:spacing w:before="0" w:after="0" w:line="360" w:lineRule="auto"/>
              <w:ind w:firstLine="27" w:firstLineChars="13"/>
              <w:jc w:val="left"/>
              <w:rPr>
                <w:color w:val="auto"/>
                <w:sz w:val="21"/>
                <w:szCs w:val="21"/>
                <w:highlight w:val="none"/>
              </w:rPr>
            </w:pPr>
            <w:r>
              <w:rPr>
                <w:rFonts w:ascii="宋体" w:hAnsi="宋体" w:eastAsia="宋体" w:cs="宋体"/>
                <w:color w:val="auto"/>
                <w:sz w:val="21"/>
                <w:szCs w:val="21"/>
                <w:highlight w:val="none"/>
              </w:rPr>
              <w:t>初步设计成果文件（含概算）</w:t>
            </w:r>
          </w:p>
        </w:tc>
        <w:tc>
          <w:tcPr>
            <w:tcW w:w="1373" w:type="dxa"/>
            <w:tcBorders>
              <w:top w:val="single" w:color="000000" w:sz="0" w:space="0"/>
              <w:left w:val="single" w:color="000000" w:sz="0" w:space="0"/>
              <w:bottom w:val="single" w:color="000000" w:sz="8" w:space="0"/>
              <w:right w:val="single" w:color="000000" w:sz="8" w:space="0"/>
            </w:tcBorders>
            <w:tcMar>
              <w:top w:w="120" w:type="dxa"/>
              <w:left w:w="60" w:type="dxa"/>
              <w:bottom w:w="120" w:type="dxa"/>
              <w:right w:w="60" w:type="dxa"/>
            </w:tcMar>
            <w:vAlign w:val="center"/>
          </w:tcPr>
          <w:p w14:paraId="15724AF2">
            <w:pPr>
              <w:snapToGrid w:val="0"/>
              <w:spacing w:before="0" w:after="0" w:line="360" w:lineRule="auto"/>
              <w:jc w:val="left"/>
              <w:rPr>
                <w:color w:val="auto"/>
                <w:sz w:val="21"/>
                <w:szCs w:val="21"/>
                <w:highlight w:val="none"/>
              </w:rPr>
            </w:pPr>
            <w:r>
              <w:rPr>
                <w:rFonts w:ascii="宋体" w:hAnsi="宋体" w:eastAsia="宋体" w:cs="宋体"/>
                <w:color w:val="auto"/>
                <w:sz w:val="21"/>
                <w:szCs w:val="21"/>
                <w:highlight w:val="none"/>
              </w:rPr>
              <w:t>深化方案确定后45天内</w:t>
            </w:r>
          </w:p>
        </w:tc>
        <w:tc>
          <w:tcPr>
            <w:tcW w:w="1326" w:type="dxa"/>
            <w:tcBorders>
              <w:top w:val="single" w:color="000000" w:sz="0" w:space="0"/>
              <w:left w:val="single" w:color="000000" w:sz="0" w:space="0"/>
              <w:bottom w:val="single" w:color="000000" w:sz="8" w:space="0"/>
              <w:right w:val="single" w:color="000000" w:sz="8" w:space="0"/>
            </w:tcBorders>
            <w:tcMar>
              <w:top w:w="120" w:type="dxa"/>
              <w:left w:w="60" w:type="dxa"/>
              <w:bottom w:w="120" w:type="dxa"/>
              <w:right w:w="60" w:type="dxa"/>
            </w:tcMar>
            <w:vAlign w:val="center"/>
          </w:tcPr>
          <w:p w14:paraId="5CB1D724">
            <w:pPr>
              <w:snapToGrid w:val="0"/>
              <w:spacing w:before="0" w:after="0" w:line="360" w:lineRule="auto"/>
              <w:ind w:firstLine="75" w:firstLineChars="36"/>
              <w:jc w:val="left"/>
              <w:rPr>
                <w:color w:val="auto"/>
                <w:sz w:val="21"/>
                <w:szCs w:val="21"/>
                <w:highlight w:val="none"/>
              </w:rPr>
            </w:pPr>
            <w:r>
              <w:rPr>
                <w:rFonts w:ascii="宋体" w:hAnsi="宋体" w:eastAsia="宋体" w:cs="宋体"/>
                <w:color w:val="auto"/>
                <w:sz w:val="21"/>
                <w:szCs w:val="21"/>
                <w:highlight w:val="none"/>
              </w:rPr>
              <w:t>15份，或按甲方要求提供</w:t>
            </w:r>
          </w:p>
        </w:tc>
        <w:tc>
          <w:tcPr>
            <w:tcW w:w="1458" w:type="dxa"/>
            <w:tcBorders>
              <w:top w:val="single" w:color="000000" w:sz="0" w:space="0"/>
              <w:left w:val="single" w:color="000000" w:sz="0" w:space="0"/>
              <w:bottom w:val="single" w:color="000000" w:sz="8" w:space="0"/>
              <w:right w:val="single" w:color="000000" w:sz="8" w:space="0"/>
            </w:tcBorders>
            <w:tcMar>
              <w:top w:w="120" w:type="dxa"/>
              <w:left w:w="60" w:type="dxa"/>
              <w:bottom w:w="120" w:type="dxa"/>
              <w:right w:w="60" w:type="dxa"/>
            </w:tcMar>
            <w:vAlign w:val="center"/>
          </w:tcPr>
          <w:p w14:paraId="2D9766E2">
            <w:pPr>
              <w:snapToGrid w:val="0"/>
              <w:spacing w:before="0" w:after="0" w:line="360" w:lineRule="auto"/>
              <w:jc w:val="left"/>
              <w:rPr>
                <w:color w:val="auto"/>
                <w:sz w:val="21"/>
                <w:szCs w:val="21"/>
                <w:highlight w:val="none"/>
              </w:rPr>
            </w:pPr>
            <w:r>
              <w:rPr>
                <w:rFonts w:ascii="宋体" w:hAnsi="宋体" w:eastAsia="宋体" w:cs="宋体"/>
                <w:color w:val="auto"/>
                <w:sz w:val="21"/>
                <w:szCs w:val="21"/>
                <w:highlight w:val="none"/>
              </w:rPr>
              <w:t>电子文档3份（含符合评审要求的软件版）</w:t>
            </w:r>
          </w:p>
        </w:tc>
      </w:tr>
      <w:tr w14:paraId="1E34CE54">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912" w:hRule="atLeast"/>
        </w:trPr>
        <w:tc>
          <w:tcPr>
            <w:tcW w:w="654" w:type="dxa"/>
            <w:tcBorders>
              <w:top w:val="single" w:color="000000" w:sz="0" w:space="0"/>
              <w:left w:val="single" w:color="000000" w:sz="8" w:space="0"/>
              <w:bottom w:val="single" w:color="000000" w:sz="8" w:space="0"/>
              <w:right w:val="single" w:color="000000" w:sz="8" w:space="0"/>
            </w:tcBorders>
            <w:tcMar>
              <w:top w:w="120" w:type="dxa"/>
              <w:left w:w="60" w:type="dxa"/>
              <w:bottom w:w="120" w:type="dxa"/>
              <w:right w:w="60" w:type="dxa"/>
            </w:tcMar>
            <w:vAlign w:val="center"/>
          </w:tcPr>
          <w:p w14:paraId="11F73479">
            <w:pPr>
              <w:snapToGrid w:val="0"/>
              <w:spacing w:before="0" w:after="0" w:line="360" w:lineRule="auto"/>
              <w:jc w:val="center"/>
              <w:rPr>
                <w:color w:val="auto"/>
                <w:sz w:val="21"/>
                <w:szCs w:val="21"/>
                <w:highlight w:val="none"/>
              </w:rPr>
            </w:pPr>
            <w:r>
              <w:rPr>
                <w:rFonts w:ascii="宋体" w:hAnsi="宋体" w:eastAsia="宋体" w:cs="宋体"/>
                <w:color w:val="auto"/>
                <w:sz w:val="21"/>
                <w:szCs w:val="21"/>
                <w:highlight w:val="none"/>
              </w:rPr>
              <w:t>6</w:t>
            </w:r>
          </w:p>
        </w:tc>
        <w:tc>
          <w:tcPr>
            <w:tcW w:w="2897" w:type="dxa"/>
            <w:tcBorders>
              <w:top w:val="single" w:color="000000" w:sz="0" w:space="0"/>
              <w:left w:val="single" w:color="000000" w:sz="0" w:space="0"/>
              <w:bottom w:val="single" w:color="000000" w:sz="8" w:space="0"/>
              <w:right w:val="single" w:color="000000" w:sz="8" w:space="0"/>
            </w:tcBorders>
            <w:tcMar>
              <w:top w:w="120" w:type="dxa"/>
              <w:left w:w="60" w:type="dxa"/>
              <w:bottom w:w="120" w:type="dxa"/>
              <w:right w:w="60" w:type="dxa"/>
            </w:tcMar>
            <w:vAlign w:val="center"/>
          </w:tcPr>
          <w:p w14:paraId="53A4C845">
            <w:pPr>
              <w:snapToGrid w:val="0"/>
              <w:spacing w:before="0" w:after="0" w:line="360" w:lineRule="auto"/>
              <w:ind w:firstLine="27" w:firstLineChars="13"/>
              <w:jc w:val="left"/>
              <w:rPr>
                <w:color w:val="auto"/>
                <w:sz w:val="21"/>
                <w:szCs w:val="21"/>
                <w:highlight w:val="none"/>
              </w:rPr>
            </w:pPr>
            <w:r>
              <w:rPr>
                <w:rFonts w:ascii="宋体" w:hAnsi="宋体" w:eastAsia="宋体" w:cs="宋体"/>
                <w:color w:val="auto"/>
                <w:sz w:val="21"/>
                <w:szCs w:val="21"/>
                <w:highlight w:val="none"/>
              </w:rPr>
              <w:t>初步设计阶段相关报批成果文件</w:t>
            </w:r>
          </w:p>
        </w:tc>
        <w:tc>
          <w:tcPr>
            <w:tcW w:w="1373" w:type="dxa"/>
            <w:tcBorders>
              <w:top w:val="single" w:color="000000" w:sz="0" w:space="0"/>
              <w:left w:val="single" w:color="000000" w:sz="0" w:space="0"/>
              <w:bottom w:val="single" w:color="000000" w:sz="8" w:space="0"/>
              <w:right w:val="single" w:color="000000" w:sz="8" w:space="0"/>
            </w:tcBorders>
            <w:tcMar>
              <w:top w:w="120" w:type="dxa"/>
              <w:left w:w="60" w:type="dxa"/>
              <w:bottom w:w="120" w:type="dxa"/>
              <w:right w:w="60" w:type="dxa"/>
            </w:tcMar>
            <w:vAlign w:val="center"/>
          </w:tcPr>
          <w:p w14:paraId="73A3CF63">
            <w:pPr>
              <w:snapToGrid w:val="0"/>
              <w:spacing w:before="0" w:after="0" w:line="360" w:lineRule="auto"/>
              <w:jc w:val="left"/>
              <w:rPr>
                <w:color w:val="auto"/>
                <w:sz w:val="21"/>
                <w:szCs w:val="21"/>
                <w:highlight w:val="none"/>
              </w:rPr>
            </w:pPr>
            <w:r>
              <w:rPr>
                <w:rFonts w:ascii="宋体" w:hAnsi="宋体" w:eastAsia="宋体" w:cs="宋体"/>
                <w:color w:val="auto"/>
                <w:sz w:val="21"/>
                <w:szCs w:val="21"/>
                <w:highlight w:val="none"/>
              </w:rPr>
              <w:t>按工作计划</w:t>
            </w:r>
          </w:p>
        </w:tc>
        <w:tc>
          <w:tcPr>
            <w:tcW w:w="1326" w:type="dxa"/>
            <w:tcBorders>
              <w:top w:val="single" w:color="000000" w:sz="0" w:space="0"/>
              <w:left w:val="single" w:color="000000" w:sz="0" w:space="0"/>
              <w:bottom w:val="single" w:color="000000" w:sz="8" w:space="0"/>
              <w:right w:val="single" w:color="000000" w:sz="8" w:space="0"/>
            </w:tcBorders>
            <w:tcMar>
              <w:top w:w="120" w:type="dxa"/>
              <w:left w:w="60" w:type="dxa"/>
              <w:bottom w:w="120" w:type="dxa"/>
              <w:right w:w="60" w:type="dxa"/>
            </w:tcMar>
            <w:vAlign w:val="center"/>
          </w:tcPr>
          <w:p w14:paraId="6E57FE60">
            <w:pPr>
              <w:snapToGrid w:val="0"/>
              <w:spacing w:before="0" w:after="0" w:line="360" w:lineRule="auto"/>
              <w:ind w:firstLine="75" w:firstLineChars="36"/>
              <w:jc w:val="left"/>
              <w:rPr>
                <w:color w:val="auto"/>
                <w:sz w:val="21"/>
                <w:szCs w:val="21"/>
                <w:highlight w:val="none"/>
              </w:rPr>
            </w:pPr>
            <w:r>
              <w:rPr>
                <w:rFonts w:ascii="宋体" w:hAnsi="宋体" w:eastAsia="宋体" w:cs="宋体"/>
                <w:color w:val="auto"/>
                <w:sz w:val="21"/>
                <w:szCs w:val="21"/>
                <w:highlight w:val="none"/>
              </w:rPr>
              <w:t>按报建要求或甲方要求提供</w:t>
            </w:r>
          </w:p>
        </w:tc>
        <w:tc>
          <w:tcPr>
            <w:tcW w:w="1458" w:type="dxa"/>
            <w:tcBorders>
              <w:top w:val="single" w:color="000000" w:sz="0" w:space="0"/>
              <w:left w:val="single" w:color="000000" w:sz="0" w:space="0"/>
              <w:bottom w:val="single" w:color="000000" w:sz="8" w:space="0"/>
              <w:right w:val="single" w:color="000000" w:sz="8" w:space="0"/>
            </w:tcBorders>
            <w:tcMar>
              <w:top w:w="120" w:type="dxa"/>
              <w:left w:w="60" w:type="dxa"/>
              <w:bottom w:w="120" w:type="dxa"/>
              <w:right w:w="60" w:type="dxa"/>
            </w:tcMar>
            <w:vAlign w:val="center"/>
          </w:tcPr>
          <w:p w14:paraId="40C69AFE">
            <w:pPr>
              <w:snapToGrid w:val="0"/>
              <w:spacing w:before="0" w:after="0" w:line="360" w:lineRule="auto"/>
              <w:jc w:val="left"/>
              <w:rPr>
                <w:color w:val="auto"/>
                <w:sz w:val="21"/>
                <w:szCs w:val="21"/>
                <w:highlight w:val="none"/>
              </w:rPr>
            </w:pPr>
            <w:r>
              <w:rPr>
                <w:rFonts w:ascii="宋体" w:hAnsi="宋体" w:eastAsia="宋体" w:cs="宋体"/>
                <w:color w:val="auto"/>
                <w:sz w:val="21"/>
                <w:szCs w:val="21"/>
                <w:highlight w:val="none"/>
              </w:rPr>
              <w:t>电子文档3份</w:t>
            </w:r>
          </w:p>
        </w:tc>
      </w:tr>
      <w:tr w14:paraId="15474ADD">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1355" w:hRule="atLeast"/>
        </w:trPr>
        <w:tc>
          <w:tcPr>
            <w:tcW w:w="654" w:type="dxa"/>
            <w:tcBorders>
              <w:top w:val="single" w:color="000000" w:sz="0" w:space="0"/>
              <w:left w:val="single" w:color="000000" w:sz="8" w:space="0"/>
              <w:bottom w:val="single" w:color="000000" w:sz="8" w:space="0"/>
              <w:right w:val="single" w:color="000000" w:sz="8" w:space="0"/>
            </w:tcBorders>
            <w:tcMar>
              <w:top w:w="120" w:type="dxa"/>
              <w:left w:w="60" w:type="dxa"/>
              <w:bottom w:w="120" w:type="dxa"/>
              <w:right w:w="60" w:type="dxa"/>
            </w:tcMar>
            <w:vAlign w:val="center"/>
          </w:tcPr>
          <w:p w14:paraId="6ADC2E00">
            <w:pPr>
              <w:snapToGrid w:val="0"/>
              <w:spacing w:before="0" w:after="0" w:line="360" w:lineRule="auto"/>
              <w:jc w:val="center"/>
              <w:rPr>
                <w:color w:val="auto"/>
                <w:sz w:val="21"/>
                <w:szCs w:val="21"/>
                <w:highlight w:val="none"/>
              </w:rPr>
            </w:pPr>
            <w:r>
              <w:rPr>
                <w:rFonts w:ascii="宋体" w:hAnsi="宋体" w:eastAsia="宋体" w:cs="宋体"/>
                <w:color w:val="auto"/>
                <w:sz w:val="21"/>
                <w:szCs w:val="21"/>
                <w:highlight w:val="none"/>
              </w:rPr>
              <w:t>7</w:t>
            </w:r>
          </w:p>
        </w:tc>
        <w:tc>
          <w:tcPr>
            <w:tcW w:w="2897" w:type="dxa"/>
            <w:tcBorders>
              <w:top w:val="single" w:color="000000" w:sz="0" w:space="0"/>
              <w:left w:val="single" w:color="000000" w:sz="0" w:space="0"/>
              <w:bottom w:val="single" w:color="000000" w:sz="8" w:space="0"/>
              <w:right w:val="single" w:color="000000" w:sz="8" w:space="0"/>
            </w:tcBorders>
            <w:tcMar>
              <w:top w:w="120" w:type="dxa"/>
              <w:left w:w="60" w:type="dxa"/>
              <w:bottom w:w="120" w:type="dxa"/>
              <w:right w:w="60" w:type="dxa"/>
            </w:tcMar>
            <w:vAlign w:val="center"/>
          </w:tcPr>
          <w:p w14:paraId="1BDDACC4">
            <w:pPr>
              <w:snapToGrid w:val="0"/>
              <w:spacing w:before="0" w:after="0" w:line="360" w:lineRule="auto"/>
              <w:ind w:firstLine="27" w:firstLineChars="13"/>
              <w:jc w:val="left"/>
              <w:rPr>
                <w:color w:val="auto"/>
                <w:sz w:val="21"/>
                <w:szCs w:val="21"/>
                <w:highlight w:val="none"/>
              </w:rPr>
            </w:pPr>
            <w:r>
              <w:rPr>
                <w:rFonts w:ascii="宋体" w:hAnsi="宋体" w:eastAsia="宋体" w:cs="宋体"/>
                <w:color w:val="auto"/>
                <w:sz w:val="21"/>
                <w:szCs w:val="21"/>
                <w:highlight w:val="none"/>
              </w:rPr>
              <w:t>最终设计成果文件（包括地块内各相关专业、管线综合、园林景观等初步设计内容）</w:t>
            </w:r>
          </w:p>
        </w:tc>
        <w:tc>
          <w:tcPr>
            <w:tcW w:w="1373" w:type="dxa"/>
            <w:tcBorders>
              <w:top w:val="single" w:color="000000" w:sz="0" w:space="0"/>
              <w:left w:val="single" w:color="000000" w:sz="0" w:space="0"/>
              <w:bottom w:val="single" w:color="000000" w:sz="8" w:space="0"/>
              <w:right w:val="single" w:color="000000" w:sz="8" w:space="0"/>
            </w:tcBorders>
            <w:tcMar>
              <w:top w:w="120" w:type="dxa"/>
              <w:left w:w="60" w:type="dxa"/>
              <w:bottom w:w="120" w:type="dxa"/>
              <w:right w:w="60" w:type="dxa"/>
            </w:tcMar>
            <w:vAlign w:val="center"/>
          </w:tcPr>
          <w:p w14:paraId="22398AEF">
            <w:pPr>
              <w:snapToGrid w:val="0"/>
              <w:spacing w:before="0" w:after="0" w:line="360" w:lineRule="auto"/>
              <w:jc w:val="left"/>
              <w:rPr>
                <w:color w:val="auto"/>
                <w:sz w:val="21"/>
                <w:szCs w:val="21"/>
                <w:highlight w:val="none"/>
              </w:rPr>
            </w:pPr>
            <w:r>
              <w:rPr>
                <w:rFonts w:ascii="宋体" w:hAnsi="宋体" w:eastAsia="宋体" w:cs="宋体"/>
                <w:color w:val="auto"/>
                <w:sz w:val="21"/>
                <w:szCs w:val="21"/>
                <w:highlight w:val="none"/>
              </w:rPr>
              <w:t>根据实际情况，按工作计划</w:t>
            </w:r>
          </w:p>
        </w:tc>
        <w:tc>
          <w:tcPr>
            <w:tcW w:w="1326" w:type="dxa"/>
            <w:tcBorders>
              <w:top w:val="single" w:color="000000" w:sz="0" w:space="0"/>
              <w:left w:val="single" w:color="000000" w:sz="0" w:space="0"/>
              <w:bottom w:val="single" w:color="000000" w:sz="8" w:space="0"/>
              <w:right w:val="single" w:color="000000" w:sz="8" w:space="0"/>
            </w:tcBorders>
            <w:tcMar>
              <w:top w:w="120" w:type="dxa"/>
              <w:left w:w="60" w:type="dxa"/>
              <w:bottom w:w="120" w:type="dxa"/>
              <w:right w:w="60" w:type="dxa"/>
            </w:tcMar>
            <w:vAlign w:val="center"/>
          </w:tcPr>
          <w:p w14:paraId="1493C15A">
            <w:pPr>
              <w:snapToGrid w:val="0"/>
              <w:spacing w:before="0" w:after="0" w:line="360" w:lineRule="auto"/>
              <w:ind w:firstLine="75" w:firstLineChars="36"/>
              <w:jc w:val="left"/>
              <w:rPr>
                <w:color w:val="auto"/>
                <w:sz w:val="21"/>
                <w:szCs w:val="21"/>
                <w:highlight w:val="none"/>
              </w:rPr>
            </w:pPr>
            <w:r>
              <w:rPr>
                <w:rFonts w:ascii="宋体" w:hAnsi="宋体" w:eastAsia="宋体" w:cs="宋体"/>
                <w:color w:val="auto"/>
                <w:sz w:val="21"/>
                <w:szCs w:val="21"/>
                <w:highlight w:val="none"/>
              </w:rPr>
              <w:t>按甲方要求提供</w:t>
            </w:r>
          </w:p>
        </w:tc>
        <w:tc>
          <w:tcPr>
            <w:tcW w:w="1458" w:type="dxa"/>
            <w:tcBorders>
              <w:top w:val="single" w:color="000000" w:sz="0" w:space="0"/>
              <w:left w:val="single" w:color="000000" w:sz="0" w:space="0"/>
              <w:bottom w:val="single" w:color="000000" w:sz="8" w:space="0"/>
              <w:right w:val="single" w:color="000000" w:sz="8" w:space="0"/>
            </w:tcBorders>
            <w:tcMar>
              <w:top w:w="120" w:type="dxa"/>
              <w:left w:w="60" w:type="dxa"/>
              <w:bottom w:w="120" w:type="dxa"/>
              <w:right w:w="60" w:type="dxa"/>
            </w:tcMar>
            <w:vAlign w:val="center"/>
          </w:tcPr>
          <w:p w14:paraId="036D5AF6">
            <w:pPr>
              <w:snapToGrid w:val="0"/>
              <w:spacing w:before="0" w:after="0" w:line="360" w:lineRule="auto"/>
              <w:jc w:val="left"/>
              <w:rPr>
                <w:color w:val="auto"/>
                <w:sz w:val="21"/>
                <w:szCs w:val="21"/>
                <w:highlight w:val="none"/>
              </w:rPr>
            </w:pPr>
            <w:r>
              <w:rPr>
                <w:rFonts w:ascii="宋体" w:hAnsi="宋体" w:eastAsia="宋体" w:cs="宋体"/>
                <w:color w:val="auto"/>
                <w:sz w:val="21"/>
                <w:szCs w:val="21"/>
                <w:highlight w:val="none"/>
              </w:rPr>
              <w:t>电子文档3份</w:t>
            </w:r>
          </w:p>
        </w:tc>
      </w:tr>
    </w:tbl>
    <w:p w14:paraId="6B0FBC4D">
      <w:pPr>
        <w:snapToGrid w:val="0"/>
        <w:spacing w:before="0" w:after="0" w:line="360" w:lineRule="auto"/>
        <w:rPr>
          <w:color w:val="auto"/>
          <w:highlight w:val="none"/>
        </w:rPr>
      </w:pPr>
      <w:r>
        <w:rPr>
          <w:rFonts w:ascii="宋体" w:hAnsi="宋体" w:eastAsia="宋体" w:cs="宋体"/>
          <w:color w:val="auto"/>
          <w:sz w:val="24"/>
          <w:highlight w:val="none"/>
        </w:rPr>
        <w:t>（备注：上述各阶段成果提交时间由建设单位控制，可根据实际情况调整。）</w:t>
      </w:r>
    </w:p>
    <w:p w14:paraId="55B7C2C4">
      <w:pPr>
        <w:snapToGrid w:val="0"/>
        <w:spacing w:before="0" w:after="0" w:line="360" w:lineRule="auto"/>
        <w:ind w:firstLine="480" w:firstLineChars="200"/>
        <w:rPr>
          <w:rFonts w:hint="eastAsia" w:ascii="宋体" w:hAnsi="宋体" w:eastAsia="宋体" w:cs="宋体"/>
          <w:color w:val="auto"/>
          <w:sz w:val="24"/>
          <w:highlight w:val="none"/>
        </w:rPr>
      </w:pPr>
      <w:r>
        <w:rPr>
          <w:rFonts w:ascii="宋体" w:hAnsi="宋体" w:eastAsia="宋体" w:cs="宋体"/>
          <w:color w:val="auto"/>
          <w:sz w:val="24"/>
          <w:highlight w:val="none"/>
        </w:rPr>
        <w:t>2、各阶段所有提供的效果图必须同时提交PSD或PDF电子版文件，精度要求：分辨率不低于4kx4k。</w:t>
      </w:r>
    </w:p>
    <w:p w14:paraId="05B7CF85">
      <w:pPr>
        <w:snapToGrid w:val="0"/>
        <w:spacing w:before="0" w:after="0" w:line="360" w:lineRule="auto"/>
        <w:ind w:firstLine="480" w:firstLineChars="200"/>
        <w:rPr>
          <w:rFonts w:hint="eastAsia" w:ascii="宋体" w:hAnsi="宋体" w:eastAsia="宋体" w:cs="宋体"/>
          <w:color w:val="auto"/>
          <w:sz w:val="24"/>
          <w:highlight w:val="none"/>
        </w:rPr>
      </w:pPr>
      <w:r>
        <w:rPr>
          <w:rFonts w:ascii="宋体" w:hAnsi="宋体" w:eastAsia="宋体" w:cs="宋体"/>
          <w:color w:val="auto"/>
          <w:sz w:val="24"/>
          <w:highlight w:val="none"/>
        </w:rPr>
        <w:t>3、在规划红线范围内，设计人应保证按规划及建筑功能要求、配套设施要求完成本工程造价中包含的全部项目的专业专项设计。限于专业资质问题不能进行的专项设计（如10千伏高压供电、红线外市政给排水及供电工程、环保工程、燃气工程、幕墙、装修、园林景观、泛光照明等），由设计人报甲方同意后进行分包，专项分包设计费由设计人承担。建筑主体设计单位全面负责管理和协调专业分包单位。专项分包各阶段设计文件中，须设计人校核确认，并由项目负责人及专项分包方人员进行会签、盖章确认（设计图要求含有两个单位的图签，双图签出图）。</w:t>
      </w:r>
    </w:p>
    <w:p w14:paraId="77A0CD85">
      <w:pPr>
        <w:snapToGrid w:val="0"/>
        <w:spacing w:before="0" w:after="0" w:line="360" w:lineRule="auto"/>
        <w:ind w:firstLine="480" w:firstLineChars="200"/>
        <w:rPr>
          <w:rFonts w:hint="eastAsia" w:ascii="宋体" w:hAnsi="宋体" w:eastAsia="宋体" w:cs="宋体"/>
          <w:color w:val="auto"/>
          <w:sz w:val="24"/>
          <w:highlight w:val="none"/>
        </w:rPr>
      </w:pPr>
      <w:r>
        <w:rPr>
          <w:rFonts w:ascii="宋体" w:hAnsi="宋体" w:eastAsia="宋体" w:cs="宋体"/>
          <w:color w:val="auto"/>
          <w:sz w:val="24"/>
          <w:highlight w:val="none"/>
        </w:rPr>
        <w:t>4、若中标设计单位为建筑主体设计单位，对整个项目的设计进行总体技术把控，由项目承建单位另行招标的设计内容，相关设计图须经过建筑主体设计单位全面审核确认（以建筑主体设计单位签名盖公章形式或项目承建单位指定方式确认）。</w:t>
      </w:r>
    </w:p>
    <w:p w14:paraId="6EF96DF6">
      <w:pPr>
        <w:snapToGrid w:val="0"/>
        <w:spacing w:before="0" w:after="0" w:line="360" w:lineRule="auto"/>
        <w:ind w:firstLine="480" w:firstLineChars="200"/>
        <w:rPr>
          <w:rFonts w:hint="eastAsia" w:ascii="宋体" w:hAnsi="宋体" w:eastAsia="宋体" w:cs="宋体"/>
          <w:color w:val="auto"/>
          <w:sz w:val="24"/>
          <w:highlight w:val="none"/>
        </w:rPr>
      </w:pPr>
      <w:r>
        <w:rPr>
          <w:rFonts w:ascii="宋体" w:hAnsi="宋体" w:eastAsia="宋体" w:cs="宋体"/>
          <w:color w:val="auto"/>
          <w:sz w:val="24"/>
          <w:highlight w:val="none"/>
        </w:rPr>
        <w:t>5、中标设计单位按合同约定的时限将设计成果文件或资料交付至本项目建设单位指定的地点，相关费用（包括运输、邮寄、电传、关税等费用）已经含于设计费中。</w:t>
      </w:r>
    </w:p>
    <w:p w14:paraId="71FC5FF0">
      <w:pPr>
        <w:snapToGrid w:val="0"/>
        <w:spacing w:before="0" w:after="0" w:line="360" w:lineRule="auto"/>
        <w:ind w:firstLine="480" w:firstLineChars="200"/>
        <w:rPr>
          <w:rFonts w:hint="eastAsia" w:ascii="宋体" w:hAnsi="宋体" w:eastAsia="宋体" w:cs="宋体"/>
          <w:color w:val="auto"/>
          <w:sz w:val="24"/>
          <w:highlight w:val="none"/>
        </w:rPr>
      </w:pPr>
      <w:r>
        <w:rPr>
          <w:rFonts w:ascii="宋体" w:hAnsi="宋体" w:eastAsia="宋体" w:cs="宋体"/>
          <w:color w:val="auto"/>
          <w:sz w:val="24"/>
          <w:highlight w:val="none"/>
        </w:rPr>
        <w:t>6、在报建过程中需要提供设计成果文件或设计中间资料的电子文档的，中标设计单位应无偿提供。报建费用（除行政事业性收费由甲方负责缴纳外）由设计单位负责，包括购买地形图、管线图纸、加晒加印图纸资料、修详通、报建通编制等，不再单独计取。各阶段的汇报文件和送审文件晒制费用包含在设计费中，不再单独计取。</w:t>
      </w:r>
    </w:p>
    <w:p w14:paraId="79F977D7">
      <w:pPr>
        <w:snapToGrid w:val="0"/>
        <w:spacing w:before="0" w:after="0" w:line="360" w:lineRule="auto"/>
        <w:ind w:firstLine="480" w:firstLineChars="200"/>
        <w:rPr>
          <w:rFonts w:hint="eastAsia" w:ascii="宋体" w:hAnsi="宋体" w:eastAsia="宋体" w:cs="宋体"/>
          <w:color w:val="auto"/>
          <w:sz w:val="24"/>
          <w:highlight w:val="none"/>
        </w:rPr>
      </w:pPr>
      <w:r>
        <w:rPr>
          <w:rFonts w:ascii="宋体" w:hAnsi="宋体" w:eastAsia="宋体" w:cs="宋体"/>
          <w:color w:val="auto"/>
          <w:sz w:val="24"/>
          <w:highlight w:val="none"/>
        </w:rPr>
        <w:t>7、按照设计成果质量审核实施的要求，甲方可根据项目推进情况及重要性，组织相关专家对乙方提供的方案、初步设计（含概算）、节能和绿色建筑咨询及评估工作等设计成果进行评审。甲方根据需要召开的各阶段设计成果（含概算）专家评审/审核会的场地费、专家费、交通费、餐费等相关费用已包含在本合同勘察设计收费里，不另外计取。设计成果（含概算）必须经过乙方内部各专业总工审核（分包的单项设计由乙方统筹负责，所以也要由乙方内部各专业总工审核）方可提交专家评审/审核会。</w:t>
      </w:r>
    </w:p>
    <w:p w14:paraId="72776478">
      <w:pPr>
        <w:snapToGrid w:val="0"/>
        <w:spacing w:before="0" w:after="0" w:line="360" w:lineRule="auto"/>
        <w:ind w:firstLine="480" w:firstLineChars="200"/>
        <w:rPr>
          <w:rFonts w:hint="eastAsia" w:ascii="宋体" w:hAnsi="宋体" w:eastAsia="宋体" w:cs="宋体"/>
          <w:color w:val="auto"/>
          <w:sz w:val="24"/>
          <w:highlight w:val="none"/>
        </w:rPr>
      </w:pPr>
      <w:r>
        <w:rPr>
          <w:rFonts w:ascii="宋体" w:hAnsi="宋体" w:eastAsia="宋体" w:cs="宋体"/>
          <w:color w:val="auto"/>
          <w:sz w:val="24"/>
          <w:highlight w:val="none"/>
        </w:rPr>
        <w:t>建筑节能新技术的应用及设计：包括节能、环保、绿色建筑等专项工程设计。乙方必须按照广州市绿色建筑和建筑节能管理规定开展设计工作提交绿色建筑设计专题报告（包括本项目采用绿建标准进行设计的论证报告及造价分析），确保达到甲方要求的星级标准设计。</w:t>
      </w:r>
    </w:p>
    <w:p w14:paraId="6956490D">
      <w:pPr>
        <w:snapToGrid w:val="0"/>
        <w:spacing w:before="0" w:after="0" w:line="360" w:lineRule="auto"/>
        <w:ind w:firstLine="480" w:firstLineChars="200"/>
        <w:rPr>
          <w:rFonts w:hint="eastAsia" w:ascii="宋体" w:hAnsi="宋体" w:eastAsia="宋体" w:cs="宋体"/>
          <w:color w:val="auto"/>
          <w:sz w:val="24"/>
          <w:highlight w:val="none"/>
        </w:rPr>
      </w:pPr>
      <w:r>
        <w:rPr>
          <w:rFonts w:ascii="宋体" w:hAnsi="宋体" w:eastAsia="宋体" w:cs="宋体"/>
          <w:color w:val="auto"/>
          <w:sz w:val="24"/>
          <w:highlight w:val="none"/>
        </w:rPr>
        <w:t>如乙方未能在设计评审的最终意见发出之日起3日内积极响应或逾期未能完成相关设计成果文件的修改完善工作，乙方应按合同条款的相关约定承担违约责任。甲方有权直接按设计评审的最终评审意见实施（但不因此免除乙方的相关设计责任）或直接委托其他设计单位进行相关的设计修改和完善，另行委托设计的相关费用（按需要进行修改完善部分的建安工程费占审定概算建安工程费之和的比例乘以本合同设计费计取）从本合同设计收费中扣取。</w:t>
      </w:r>
    </w:p>
    <w:p w14:paraId="2E3D627F">
      <w:pPr>
        <w:snapToGrid w:val="0"/>
        <w:spacing w:before="0" w:after="0" w:line="360" w:lineRule="auto"/>
        <w:ind w:firstLine="519" w:firstLineChars="236"/>
        <w:rPr>
          <w:color w:val="auto"/>
          <w:highlight w:val="none"/>
        </w:rPr>
      </w:pPr>
    </w:p>
    <w:p w14:paraId="03F875C3">
      <w:pPr>
        <w:snapToGrid w:val="0"/>
        <w:spacing w:before="0" w:after="0" w:line="360" w:lineRule="auto"/>
        <w:ind w:firstLine="519" w:firstLineChars="236"/>
        <w:rPr>
          <w:color w:val="auto"/>
          <w:highlight w:val="none"/>
        </w:rPr>
      </w:pPr>
    </w:p>
    <w:p w14:paraId="6DCA6239">
      <w:pPr>
        <w:pStyle w:val="2"/>
        <w:snapToGrid w:val="0"/>
        <w:spacing w:line="360" w:lineRule="auto"/>
        <w:ind w:left="0" w:firstLine="0"/>
        <w:jc w:val="center"/>
        <w:rPr>
          <w:color w:val="auto"/>
          <w:highlight w:val="none"/>
        </w:rPr>
      </w:pPr>
      <w:bookmarkStart w:id="88" w:name="_Toc75504397"/>
      <w:bookmarkEnd w:id="88"/>
      <w:bookmarkStart w:id="89" w:name="_Toc26350"/>
      <w:r>
        <w:rPr>
          <w:rFonts w:ascii="宋体" w:hAnsi="宋体" w:cs="宋体"/>
          <w:color w:val="auto"/>
          <w:highlight w:val="none"/>
        </w:rPr>
        <w:t>附则</w:t>
      </w:r>
      <w:bookmarkEnd w:id="89"/>
    </w:p>
    <w:p w14:paraId="0827213E">
      <w:pPr>
        <w:snapToGrid w:val="0"/>
        <w:spacing w:before="0" w:after="0" w:line="360" w:lineRule="auto"/>
        <w:ind w:firstLine="480" w:firstLineChars="200"/>
        <w:rPr>
          <w:rFonts w:hint="eastAsia" w:ascii="宋体" w:hAnsi="宋体" w:eastAsia="宋体" w:cs="宋体"/>
          <w:color w:val="auto"/>
          <w:sz w:val="24"/>
          <w:highlight w:val="none"/>
        </w:rPr>
      </w:pPr>
      <w:r>
        <w:rPr>
          <w:rFonts w:ascii="宋体" w:hAnsi="宋体" w:eastAsia="宋体" w:cs="宋体"/>
          <w:color w:val="auto"/>
          <w:sz w:val="24"/>
          <w:highlight w:val="none"/>
        </w:rPr>
        <w:t>1、本设计任务书对于设计技术审查与评审办法、中标实施方案的规定、及相关法律责任等方面的规定参照设计招标文件相应内容执行。</w:t>
      </w:r>
    </w:p>
    <w:p w14:paraId="6032F6CD">
      <w:pPr>
        <w:snapToGrid w:val="0"/>
        <w:spacing w:before="0" w:after="0" w:line="360" w:lineRule="auto"/>
        <w:ind w:firstLine="480" w:firstLineChars="200"/>
        <w:rPr>
          <w:rFonts w:hint="eastAsia" w:ascii="宋体" w:hAnsi="宋体" w:eastAsia="宋体" w:cs="宋体"/>
          <w:color w:val="auto"/>
          <w:sz w:val="24"/>
          <w:highlight w:val="none"/>
        </w:rPr>
      </w:pPr>
      <w:r>
        <w:rPr>
          <w:rFonts w:ascii="宋体" w:hAnsi="宋体" w:eastAsia="宋体" w:cs="宋体"/>
          <w:color w:val="auto"/>
          <w:sz w:val="24"/>
          <w:highlight w:val="none"/>
        </w:rPr>
        <w:t>2、设计成果评审后不予退回。</w:t>
      </w:r>
    </w:p>
    <w:p w14:paraId="1E3307EB">
      <w:pPr>
        <w:snapToGrid w:val="0"/>
        <w:spacing w:before="0" w:after="0" w:line="360" w:lineRule="auto"/>
        <w:ind w:firstLine="480" w:firstLineChars="200"/>
        <w:rPr>
          <w:rFonts w:hint="eastAsia" w:ascii="宋体" w:hAnsi="宋体" w:eastAsia="宋体" w:cs="宋体"/>
          <w:color w:val="auto"/>
          <w:sz w:val="24"/>
          <w:highlight w:val="none"/>
        </w:rPr>
      </w:pPr>
      <w:r>
        <w:rPr>
          <w:rFonts w:ascii="宋体" w:hAnsi="宋体" w:eastAsia="宋体" w:cs="宋体"/>
          <w:color w:val="auto"/>
          <w:sz w:val="24"/>
          <w:highlight w:val="none"/>
        </w:rPr>
        <w:t>3、甲方有权使用实施方案的设计成果，并根据需要要求设计方对选定的实施方案进行调整或修改。</w:t>
      </w:r>
    </w:p>
    <w:p w14:paraId="26C37600">
      <w:pPr>
        <w:snapToGrid w:val="0"/>
        <w:spacing w:before="0" w:after="0" w:line="360" w:lineRule="auto"/>
        <w:ind w:firstLine="480" w:firstLineChars="200"/>
        <w:rPr>
          <w:rFonts w:hint="eastAsia" w:ascii="宋体" w:hAnsi="宋体" w:eastAsia="宋体" w:cs="宋体"/>
          <w:color w:val="auto"/>
          <w:sz w:val="24"/>
          <w:highlight w:val="none"/>
        </w:rPr>
      </w:pPr>
      <w:r>
        <w:rPr>
          <w:rFonts w:ascii="宋体" w:hAnsi="宋体" w:eastAsia="宋体" w:cs="宋体"/>
          <w:color w:val="auto"/>
          <w:sz w:val="24"/>
          <w:highlight w:val="none"/>
        </w:rPr>
        <w:t>4、投标单位在此前所收到的公告、邀请函、通知等文件内容与本技术文件有矛盾时，以技术文件为准；招标期间由招标组织单位发出的有关投标答疑文件与其它文件内容有矛盾时，以日期较晚的文件为准。</w:t>
      </w:r>
    </w:p>
    <w:p w14:paraId="3392973F">
      <w:pPr>
        <w:snapToGrid w:val="0"/>
        <w:spacing w:before="0" w:after="0" w:line="360" w:lineRule="auto"/>
        <w:ind w:firstLine="480" w:firstLineChars="200"/>
        <w:rPr>
          <w:rFonts w:hint="eastAsia" w:ascii="宋体" w:hAnsi="宋体" w:eastAsia="宋体" w:cs="宋体"/>
          <w:color w:val="auto"/>
          <w:sz w:val="24"/>
          <w:highlight w:val="none"/>
        </w:rPr>
      </w:pPr>
      <w:r>
        <w:rPr>
          <w:rFonts w:ascii="宋体" w:hAnsi="宋体" w:eastAsia="宋体" w:cs="宋体"/>
          <w:color w:val="auto"/>
          <w:sz w:val="24"/>
          <w:highlight w:val="none"/>
        </w:rPr>
        <w:t>5、投标设计成果有下列情况之一者无效：提交的成果不符合本技术文件规定的成果内容和格式；逾期送达；图示和文字辨认不清、内容不全、深度不够或粗制滥造；投标方案经技术委员会和评审委员会鉴定有明显的抄袭行为；将设计任务转包其他单位；未经招标组织单位同意与其它单位或其他单位个人合作完成设计成果；提交成果未按要求密封。技术审查委员会、评审委员会、招标委员会任一委员会均可裁决投标设计成果无效。</w:t>
      </w:r>
    </w:p>
    <w:p w14:paraId="19C11D09">
      <w:pPr>
        <w:snapToGrid w:val="0"/>
        <w:spacing w:before="0" w:after="0" w:line="360" w:lineRule="auto"/>
        <w:ind w:firstLine="480" w:firstLineChars="200"/>
        <w:rPr>
          <w:rFonts w:hint="eastAsia" w:ascii="宋体" w:hAnsi="宋体" w:eastAsia="宋体" w:cs="宋体"/>
          <w:color w:val="auto"/>
          <w:sz w:val="24"/>
          <w:highlight w:val="none"/>
        </w:rPr>
      </w:pPr>
      <w:r>
        <w:rPr>
          <w:rFonts w:ascii="宋体" w:hAnsi="宋体" w:eastAsia="宋体" w:cs="宋体"/>
          <w:color w:val="auto"/>
          <w:sz w:val="24"/>
          <w:highlight w:val="none"/>
        </w:rPr>
        <w:t>6、如对本任务书有疑问，按照招标文件的相关规定进行答疑。</w:t>
      </w:r>
    </w:p>
    <w:p w14:paraId="2083B13F">
      <w:pPr>
        <w:snapToGrid w:val="0"/>
        <w:spacing w:before="0" w:after="0" w:line="360" w:lineRule="auto"/>
        <w:ind w:firstLine="480" w:firstLineChars="200"/>
        <w:rPr>
          <w:rFonts w:hint="eastAsia" w:ascii="宋体" w:hAnsi="宋体" w:eastAsia="宋体" w:cs="宋体"/>
          <w:color w:val="auto"/>
          <w:sz w:val="24"/>
          <w:highlight w:val="none"/>
        </w:rPr>
      </w:pPr>
      <w:r>
        <w:rPr>
          <w:rFonts w:ascii="宋体" w:hAnsi="宋体" w:eastAsia="宋体" w:cs="宋体"/>
          <w:color w:val="auto"/>
          <w:sz w:val="24"/>
          <w:highlight w:val="none"/>
        </w:rPr>
        <w:t>7、本文件的解释权归本次招标委员会所有。本次招标提供的各种技术资料都只能在此次项目中使用，未经竞赛委员会允许，任何个人、公司及各种机构在任何其他方面的使用都将被视为违反技术文件要求行为，招标委员会将保留追究其法律责任的权利。</w:t>
      </w:r>
    </w:p>
    <w:p w14:paraId="77338298">
      <w:pPr>
        <w:snapToGrid w:val="0"/>
        <w:spacing w:before="0" w:after="0" w:line="360" w:lineRule="auto"/>
        <w:rPr>
          <w:color w:val="auto"/>
          <w:highlight w:val="none"/>
        </w:rPr>
        <w:sectPr>
          <w:pgSz w:w="11906" w:h="16838"/>
          <w:pgMar w:top="1440" w:right="1797" w:bottom="1440" w:left="1797" w:header="851" w:footer="992" w:gutter="0"/>
          <w:cols w:space="0" w:num="1"/>
          <w:docGrid w:type="lines" w:linePitch="387" w:charSpace="0"/>
        </w:sectPr>
      </w:pPr>
    </w:p>
    <w:p w14:paraId="0E25F0B7">
      <w:pPr>
        <w:snapToGrid w:val="0"/>
        <w:spacing w:before="0" w:after="0" w:line="360" w:lineRule="auto"/>
        <w:rPr>
          <w:color w:val="auto"/>
          <w:highlight w:val="none"/>
        </w:rPr>
      </w:pPr>
    </w:p>
    <w:p w14:paraId="60905ABF">
      <w:pPr>
        <w:pStyle w:val="18"/>
        <w:snapToGrid w:val="0"/>
        <w:spacing w:before="240" w:line="360" w:lineRule="auto"/>
        <w:ind w:firstLine="758" w:firstLineChars="236"/>
        <w:outlineLvl w:val="9"/>
        <w:rPr>
          <w:color w:val="auto"/>
          <w:highlight w:val="none"/>
        </w:rPr>
      </w:pPr>
      <w:bookmarkStart w:id="90" w:name="_Toc75504398"/>
      <w:bookmarkEnd w:id="90"/>
      <w:r>
        <w:rPr>
          <w:rFonts w:ascii="宋体" w:hAnsi="宋体" w:eastAsia="宋体" w:cs="宋体"/>
          <w:color w:val="auto"/>
          <w:sz w:val="32"/>
          <w:highlight w:val="none"/>
        </w:rPr>
        <w:t>附件目录</w:t>
      </w:r>
    </w:p>
    <w:p w14:paraId="1CF6290E">
      <w:pPr>
        <w:snapToGrid w:val="0"/>
        <w:spacing w:before="0" w:after="0" w:line="360" w:lineRule="auto"/>
        <w:ind w:firstLine="566" w:firstLineChars="236"/>
        <w:rPr>
          <w:color w:val="auto"/>
          <w:highlight w:val="none"/>
        </w:rPr>
      </w:pPr>
      <w:r>
        <w:rPr>
          <w:rFonts w:ascii="宋体" w:hAnsi="宋体" w:eastAsia="宋体" w:cs="宋体"/>
          <w:color w:val="auto"/>
          <w:sz w:val="24"/>
          <w:highlight w:val="none"/>
        </w:rPr>
        <w:t>1. 用地红线图（CAD版本）</w:t>
      </w:r>
    </w:p>
    <w:p w14:paraId="2A91C57F">
      <w:pPr>
        <w:snapToGrid w:val="0"/>
        <w:spacing w:before="0" w:after="0" w:line="360" w:lineRule="auto"/>
        <w:ind w:firstLine="566" w:firstLineChars="236"/>
        <w:rPr>
          <w:color w:val="auto"/>
          <w:highlight w:val="none"/>
        </w:rPr>
      </w:pPr>
      <w:r>
        <w:rPr>
          <w:rFonts w:ascii="宋体" w:hAnsi="宋体" w:eastAsia="宋体" w:cs="宋体"/>
          <w:color w:val="auto"/>
          <w:sz w:val="24"/>
          <w:highlight w:val="none"/>
        </w:rPr>
        <w:t>2. 项目规划条件（pdf版）</w:t>
      </w:r>
    </w:p>
    <w:p w14:paraId="31EA4DDB">
      <w:pPr>
        <w:rPr>
          <w:color w:val="auto"/>
          <w:highlight w:val="none"/>
        </w:rPr>
      </w:pPr>
    </w:p>
    <w:bookmarkEnd w:id="91"/>
    <w:sectPr>
      <w:pgSz w:w="11906" w:h="16838"/>
      <w:pgMar w:top="1440" w:right="1797" w:bottom="1440" w:left="1797" w:header="851" w:footer="992" w:gutter="0"/>
      <w:cols w:space="0" w:num="1"/>
      <w:docGrid w:type="lines" w:linePitch="387"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Monaco">
    <w:altName w:val="Courier New"/>
    <w:panose1 w:val="00000000000000000000"/>
    <w:charset w:val="00"/>
    <w:family w:val="auto"/>
    <w:pitch w:val="default"/>
    <w:sig w:usb0="00000000" w:usb1="00000000" w:usb2="00000000" w:usb3="00000000" w:csb0="00000197" w:csb1="00000000"/>
  </w:font>
  <w:font w:name="仿宋">
    <w:panose1 w:val="02010609060101010101"/>
    <w:charset w:val="86"/>
    <w:family w:val="modern"/>
    <w:pitch w:val="default"/>
    <w:sig w:usb0="800002BF" w:usb1="38CF7CFA" w:usb2="00000016" w:usb3="00000000" w:csb0="0004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pPr>
      <w:r>
        <w:separator/>
      </w:r>
    </w:p>
  </w:footnote>
  <w:footnote w:type="continuationSeparator" w:id="1">
    <w:p>
      <w:pPr>
        <w:spacing w:before="0"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88140BC"/>
    <w:multiLevelType w:val="multilevel"/>
    <w:tmpl w:val="988140BC"/>
    <w:lvl w:ilvl="0" w:tentative="0">
      <w:start w:val="1"/>
      <w:numFmt w:val="chineseCounting"/>
      <w:pStyle w:val="2"/>
      <w:suff w:val="nothing"/>
      <w:lvlText w:val="第%1章 "/>
      <w:lvlJc w:val="left"/>
      <w:pPr>
        <w:ind w:left="432" w:hanging="432"/>
      </w:pPr>
      <w:rPr>
        <w:rFonts w:hint="eastAsia" w:ascii="宋体" w:hAnsi="宋体" w:eastAsia="宋体" w:cs="宋体"/>
        <w:sz w:val="28"/>
        <w:szCs w:val="28"/>
      </w:rPr>
    </w:lvl>
    <w:lvl w:ilvl="1" w:tentative="0">
      <w:start w:val="1"/>
      <w:numFmt w:val="decimal"/>
      <w:pStyle w:val="3"/>
      <w:isLgl/>
      <w:lvlText w:val="%1.%2."/>
      <w:lvlJc w:val="left"/>
      <w:pPr>
        <w:ind w:left="575" w:hanging="575"/>
      </w:pPr>
      <w:rPr>
        <w:rFonts w:hint="default" w:ascii="宋体" w:hAnsi="宋体" w:eastAsia="宋体" w:cs="宋体"/>
      </w:rPr>
    </w:lvl>
    <w:lvl w:ilvl="2" w:tentative="0">
      <w:start w:val="1"/>
      <w:numFmt w:val="decimal"/>
      <w:pStyle w:val="4"/>
      <w:isLgl/>
      <w:lvlText w:val="%1.%2.%3."/>
      <w:lvlJc w:val="left"/>
      <w:pPr>
        <w:ind w:left="720" w:hanging="720"/>
      </w:pPr>
      <w:rPr>
        <w:rFonts w:hint="default" w:ascii="宋体" w:hAnsi="宋体" w:eastAsia="宋体" w:cs="宋体"/>
        <w:b w:val="0"/>
        <w:bCs w:val="0"/>
        <w:color w:val="auto"/>
        <w:sz w:val="24"/>
        <w:szCs w:val="24"/>
      </w:rPr>
    </w:lvl>
    <w:lvl w:ilvl="3" w:tentative="0">
      <w:start w:val="1"/>
      <w:numFmt w:val="decimal"/>
      <w:pStyle w:val="5"/>
      <w:isLgl/>
      <w:lvlText w:val="%1.%2.%3.%4."/>
      <w:lvlJc w:val="left"/>
      <w:pPr>
        <w:ind w:left="864" w:hanging="864"/>
      </w:pPr>
      <w:rPr>
        <w:rFonts w:hint="default" w:ascii="宋体" w:hAnsi="宋体" w:eastAsia="宋体" w:cs="宋体"/>
        <w:sz w:val="24"/>
        <w:szCs w:val="24"/>
      </w:rPr>
    </w:lvl>
    <w:lvl w:ilvl="4" w:tentative="0">
      <w:start w:val="1"/>
      <w:numFmt w:val="decimal"/>
      <w:pStyle w:val="6"/>
      <w:isLgl/>
      <w:lvlText w:val="%1.%2.%3.%4.%5."/>
      <w:lvlJc w:val="left"/>
      <w:pPr>
        <w:ind w:left="1008" w:hanging="1008"/>
      </w:pPr>
      <w:rPr>
        <w:rFonts w:hint="eastAsia"/>
      </w:rPr>
    </w:lvl>
    <w:lvl w:ilvl="5" w:tentative="0">
      <w:start w:val="1"/>
      <w:numFmt w:val="decimal"/>
      <w:pStyle w:val="7"/>
      <w:isLgl/>
      <w:lvlText w:val="%1.%2.%3.%4.%5.%6."/>
      <w:lvlJc w:val="left"/>
      <w:pPr>
        <w:ind w:left="1151" w:hanging="1151"/>
      </w:pPr>
      <w:rPr>
        <w:rFonts w:hint="eastAsia"/>
      </w:rPr>
    </w:lvl>
    <w:lvl w:ilvl="6" w:tentative="0">
      <w:start w:val="1"/>
      <w:numFmt w:val="decimal"/>
      <w:pStyle w:val="8"/>
      <w:isLgl/>
      <w:lvlText w:val="%1.%2.%3.%4.%5.%6.%7."/>
      <w:lvlJc w:val="left"/>
      <w:pPr>
        <w:ind w:left="1296" w:hanging="1296"/>
      </w:pPr>
      <w:rPr>
        <w:rFonts w:hint="eastAsia"/>
      </w:rPr>
    </w:lvl>
    <w:lvl w:ilvl="7" w:tentative="0">
      <w:start w:val="1"/>
      <w:numFmt w:val="decimal"/>
      <w:pStyle w:val="9"/>
      <w:isLgl/>
      <w:lvlText w:val="%1.%2.%3.%4.%5.%6.%7.%8."/>
      <w:lvlJc w:val="left"/>
      <w:pPr>
        <w:ind w:left="1440" w:hanging="1440"/>
      </w:pPr>
      <w:rPr>
        <w:rFonts w:hint="eastAsia"/>
      </w:rPr>
    </w:lvl>
    <w:lvl w:ilvl="8" w:tentative="0">
      <w:start w:val="1"/>
      <w:numFmt w:val="decimal"/>
      <w:pStyle w:val="10"/>
      <w:isLgl/>
      <w:lvlText w:val="%1.%2.%3.%4.%5.%6.%7.%8.%9."/>
      <w:lvlJc w:val="left"/>
      <w:pPr>
        <w:ind w:left="1583" w:hanging="1583"/>
      </w:pPr>
      <w:rPr>
        <w:rFonts w:hint="eastAsia"/>
      </w:rPr>
    </w:lvl>
  </w:abstractNum>
  <w:abstractNum w:abstractNumId="1">
    <w:nsid w:val="0CF95A65"/>
    <w:multiLevelType w:val="multilevel"/>
    <w:tmpl w:val="0CF95A65"/>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HorizontalSpacing w:val="220"/>
  <w:drawingGridVerticalSpacing w:val="387"/>
  <w:displayHorizontalDrawingGridEvery w:val="0"/>
  <w:characterSpacingControl w:val="compressPunctuation"/>
  <w:footnotePr>
    <w:footnote w:id="0"/>
    <w:footnote w:id="1"/>
  </w:foot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1AA24D9F"/>
    <w:rsid w:val="000B62CA"/>
    <w:rsid w:val="002A53AA"/>
    <w:rsid w:val="002C60DD"/>
    <w:rsid w:val="003A4B18"/>
    <w:rsid w:val="005A2F5C"/>
    <w:rsid w:val="005C35DE"/>
    <w:rsid w:val="00626AA2"/>
    <w:rsid w:val="0068574D"/>
    <w:rsid w:val="006E696F"/>
    <w:rsid w:val="0071681D"/>
    <w:rsid w:val="007C7A70"/>
    <w:rsid w:val="00890FE1"/>
    <w:rsid w:val="008B1A61"/>
    <w:rsid w:val="0090731C"/>
    <w:rsid w:val="009E7FC9"/>
    <w:rsid w:val="009F75EF"/>
    <w:rsid w:val="00A85D95"/>
    <w:rsid w:val="00AB1D25"/>
    <w:rsid w:val="00AD3D80"/>
    <w:rsid w:val="00B13BAC"/>
    <w:rsid w:val="00B727BA"/>
    <w:rsid w:val="00BE0D57"/>
    <w:rsid w:val="00C46191"/>
    <w:rsid w:val="00C50CF1"/>
    <w:rsid w:val="00E221DF"/>
    <w:rsid w:val="00F50C8B"/>
    <w:rsid w:val="0148269D"/>
    <w:rsid w:val="01CB100E"/>
    <w:rsid w:val="025008C3"/>
    <w:rsid w:val="047728CD"/>
    <w:rsid w:val="04B4709D"/>
    <w:rsid w:val="0584760A"/>
    <w:rsid w:val="07011CC2"/>
    <w:rsid w:val="07644792"/>
    <w:rsid w:val="07AE1028"/>
    <w:rsid w:val="090E2789"/>
    <w:rsid w:val="09284798"/>
    <w:rsid w:val="0B0C512F"/>
    <w:rsid w:val="0B7F5D75"/>
    <w:rsid w:val="0F104659"/>
    <w:rsid w:val="0F2B6FD9"/>
    <w:rsid w:val="13BA6FDB"/>
    <w:rsid w:val="14C8078D"/>
    <w:rsid w:val="1666025D"/>
    <w:rsid w:val="18256883"/>
    <w:rsid w:val="183C240D"/>
    <w:rsid w:val="18AC3409"/>
    <w:rsid w:val="1A0B7F69"/>
    <w:rsid w:val="1AA24D9F"/>
    <w:rsid w:val="1C4A255E"/>
    <w:rsid w:val="20B70D13"/>
    <w:rsid w:val="21543357"/>
    <w:rsid w:val="21FC7CC7"/>
    <w:rsid w:val="237844F1"/>
    <w:rsid w:val="27FBD2E2"/>
    <w:rsid w:val="28DA2E89"/>
    <w:rsid w:val="2A0A5C85"/>
    <w:rsid w:val="2A4254F9"/>
    <w:rsid w:val="2A677CA8"/>
    <w:rsid w:val="2C15108D"/>
    <w:rsid w:val="2D1F32F4"/>
    <w:rsid w:val="2DF27A16"/>
    <w:rsid w:val="302C48AB"/>
    <w:rsid w:val="31C76C46"/>
    <w:rsid w:val="323B4D81"/>
    <w:rsid w:val="33112893"/>
    <w:rsid w:val="34B70380"/>
    <w:rsid w:val="3AE174A3"/>
    <w:rsid w:val="401B3861"/>
    <w:rsid w:val="42863347"/>
    <w:rsid w:val="43446334"/>
    <w:rsid w:val="44A84E71"/>
    <w:rsid w:val="477DCE1E"/>
    <w:rsid w:val="4A7144FF"/>
    <w:rsid w:val="4D1C287E"/>
    <w:rsid w:val="51054EEC"/>
    <w:rsid w:val="55F04E72"/>
    <w:rsid w:val="56250663"/>
    <w:rsid w:val="573E1E21"/>
    <w:rsid w:val="592759BD"/>
    <w:rsid w:val="5A0B517B"/>
    <w:rsid w:val="5B487E91"/>
    <w:rsid w:val="5BF208CF"/>
    <w:rsid w:val="5CF9550F"/>
    <w:rsid w:val="5D137698"/>
    <w:rsid w:val="5E801448"/>
    <w:rsid w:val="5EFEBDE8"/>
    <w:rsid w:val="62C47A88"/>
    <w:rsid w:val="68CA2609"/>
    <w:rsid w:val="68CC1AED"/>
    <w:rsid w:val="69BB0F42"/>
    <w:rsid w:val="6A637494"/>
    <w:rsid w:val="6AB93C00"/>
    <w:rsid w:val="6BCF62E6"/>
    <w:rsid w:val="6CD3A16D"/>
    <w:rsid w:val="6D535020"/>
    <w:rsid w:val="6E2D792F"/>
    <w:rsid w:val="6E5F49A6"/>
    <w:rsid w:val="6ECB111E"/>
    <w:rsid w:val="6FFF37D2"/>
    <w:rsid w:val="707F2C23"/>
    <w:rsid w:val="70DE2EF1"/>
    <w:rsid w:val="73630C39"/>
    <w:rsid w:val="7567044C"/>
    <w:rsid w:val="768C44EF"/>
    <w:rsid w:val="7C5F4108"/>
    <w:rsid w:val="7D576E43"/>
    <w:rsid w:val="7F79C282"/>
    <w:rsid w:val="7F7B6CAE"/>
    <w:rsid w:val="7FBF6DD0"/>
    <w:rsid w:val="7FCD17FE"/>
    <w:rsid w:val="7FD7E9A0"/>
    <w:rsid w:val="7FE9FBB2"/>
    <w:rsid w:val="8FFFA67E"/>
    <w:rsid w:val="A97F623E"/>
    <w:rsid w:val="AFBF8780"/>
    <w:rsid w:val="BEEFCB4B"/>
    <w:rsid w:val="BFE6F841"/>
    <w:rsid w:val="BFFBDBCA"/>
    <w:rsid w:val="D5DE8897"/>
    <w:rsid w:val="E7FE3684"/>
    <w:rsid w:val="E95E2A0D"/>
    <w:rsid w:val="EFFF70E4"/>
    <w:rsid w:val="F7EEC240"/>
    <w:rsid w:val="FBF75102"/>
    <w:rsid w:val="FDDC5620"/>
    <w:rsid w:val="FDEA700A"/>
    <w:rsid w:val="FFBFCE42"/>
    <w:rsid w:val="FFFF40C2"/>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Arial" w:hAnsi="Arial" w:eastAsia="微软雅黑" w:cs="Arial"/>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iPriority="0" w:semiHidden="0" w:name="heading 7"/>
    <w:lsdException w:qFormat="1" w:uiPriority="0" w:semiHidden="0" w:name="heading 8"/>
    <w:lsdException w:qFormat="1"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99" w:semiHidden="0" w:name="toc 1"/>
    <w:lsdException w:qFormat="1" w:unhideWhenUsed="0" w:uiPriority="99" w:semiHidden="0" w:name="toc 2"/>
    <w:lsdException w:unhideWhenUsed="0" w:uiPriority="99" w:semiHidden="0" w:name="toc 3"/>
    <w:lsdException w:unhideWhenUsed="0" w:uiPriority="99" w:semiHidden="0" w:name="toc 4"/>
    <w:lsdException w:unhideWhenUsed="0" w:uiPriority="99" w:semiHidden="0" w:name="toc 5"/>
    <w:lsdException w:unhideWhenUsed="0" w:uiPriority="99" w:semiHidden="0" w:name="toc 6"/>
    <w:lsdException w:unhideWhenUsed="0" w:uiPriority="99" w:semiHidden="0" w:name="toc 7"/>
    <w:lsdException w:qFormat="1" w:unhideWhenUsed="0" w:uiPriority="99" w:semiHidden="0" w:name="toc 8"/>
    <w:lsdException w:unhideWhenUsed="0" w:uiPriority="99" w:semiHidden="0" w:name="toc 9"/>
    <w:lsdException w:unhideWhenUsed="0" w:uiPriority="0" w:semiHidden="0" w:name="Normal Indent"/>
    <w:lsdException w:uiPriority="99"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iPriority="99"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99" w:semiHidden="0" w:name="HTML Acronym"/>
    <w:lsdException w:unhideWhenUsed="0" w:uiPriority="99" w:semiHidden="0" w:name="HTML Address"/>
    <w:lsdException w:unhideWhenUsed="0" w:uiPriority="99" w:semiHidden="0" w:name="HTML Cite"/>
    <w:lsdException w:unhideWhenUsed="0" w:uiPriority="99" w:semiHidden="0" w:name="HTML Code"/>
    <w:lsdException w:unhideWhenUsed="0" w:uiPriority="99" w:semiHidden="0" w:name="HTML Definition"/>
    <w:lsdException w:unhideWhenUsed="0" w:uiPriority="99" w:semiHidden="0" w:name="HTML Keyboard"/>
    <w:lsdException w:unhideWhenUsed="0" w:uiPriority="99" w:semiHidden="0" w:name="HTML Preformatted"/>
    <w:lsdException w:unhideWhenUsed="0" w:uiPriority="99" w:semiHidden="0" w:name="HTML Sample"/>
    <w:lsdException w:unhideWhenUsed="0" w:uiPriority="99" w:semiHidden="0" w:name="HTML Typewriter"/>
    <w:lsdException w:unhideWhenUsed="0" w:uiPriority="99"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before="60" w:after="60"/>
      <w:jc w:val="both"/>
    </w:pPr>
    <w:rPr>
      <w:rFonts w:ascii="Arial" w:hAnsi="Arial" w:eastAsia="微软雅黑" w:cs="Arial"/>
      <w:color w:val="333333"/>
      <w:kern w:val="2"/>
      <w:sz w:val="22"/>
      <w:szCs w:val="24"/>
      <w:lang w:val="en-US" w:eastAsia="zh-CN" w:bidi="ar-SA"/>
    </w:rPr>
  </w:style>
  <w:style w:type="paragraph" w:styleId="2">
    <w:name w:val="heading 1"/>
    <w:basedOn w:val="1"/>
    <w:next w:val="1"/>
    <w:qFormat/>
    <w:uiPriority w:val="0"/>
    <w:pPr>
      <w:keepNext/>
      <w:keepLines/>
      <w:numPr>
        <w:ilvl w:val="0"/>
        <w:numId w:val="1"/>
      </w:numPr>
      <w:outlineLvl w:val="0"/>
    </w:pPr>
    <w:rPr>
      <w:rFonts w:eastAsia="宋体"/>
      <w:b/>
      <w:kern w:val="44"/>
      <w:sz w:val="32"/>
    </w:rPr>
  </w:style>
  <w:style w:type="paragraph" w:styleId="3">
    <w:name w:val="heading 2"/>
    <w:basedOn w:val="1"/>
    <w:next w:val="1"/>
    <w:qFormat/>
    <w:uiPriority w:val="0"/>
    <w:pPr>
      <w:keepNext/>
      <w:keepLines/>
      <w:numPr>
        <w:ilvl w:val="1"/>
        <w:numId w:val="1"/>
      </w:numPr>
      <w:outlineLvl w:val="1"/>
    </w:pPr>
    <w:rPr>
      <w:rFonts w:eastAsia="宋体"/>
      <w:sz w:val="32"/>
    </w:rPr>
  </w:style>
  <w:style w:type="paragraph" w:styleId="4">
    <w:name w:val="heading 3"/>
    <w:basedOn w:val="1"/>
    <w:next w:val="1"/>
    <w:qFormat/>
    <w:uiPriority w:val="0"/>
    <w:pPr>
      <w:keepNext/>
      <w:keepLines/>
      <w:numPr>
        <w:ilvl w:val="2"/>
        <w:numId w:val="1"/>
      </w:numPr>
      <w:outlineLvl w:val="2"/>
    </w:pPr>
    <w:rPr>
      <w:b/>
      <w:sz w:val="28"/>
    </w:rPr>
  </w:style>
  <w:style w:type="paragraph" w:styleId="5">
    <w:name w:val="heading 4"/>
    <w:basedOn w:val="1"/>
    <w:next w:val="1"/>
    <w:qFormat/>
    <w:uiPriority w:val="0"/>
    <w:pPr>
      <w:keepNext/>
      <w:keepLines/>
      <w:numPr>
        <w:ilvl w:val="3"/>
        <w:numId w:val="1"/>
      </w:numPr>
      <w:outlineLvl w:val="3"/>
    </w:pPr>
    <w:rPr>
      <w:b/>
      <w:sz w:val="24"/>
    </w:rPr>
  </w:style>
  <w:style w:type="paragraph" w:styleId="6">
    <w:name w:val="heading 5"/>
    <w:basedOn w:val="1"/>
    <w:next w:val="1"/>
    <w:qFormat/>
    <w:uiPriority w:val="0"/>
    <w:pPr>
      <w:keepNext/>
      <w:keepLines/>
      <w:numPr>
        <w:ilvl w:val="4"/>
        <w:numId w:val="1"/>
      </w:numPr>
      <w:spacing w:line="480" w:lineRule="auto"/>
      <w:outlineLvl w:val="4"/>
    </w:pPr>
    <w:rPr>
      <w:b/>
    </w:rPr>
  </w:style>
  <w:style w:type="paragraph" w:styleId="7">
    <w:name w:val="heading 6"/>
    <w:basedOn w:val="1"/>
    <w:next w:val="1"/>
    <w:qFormat/>
    <w:uiPriority w:val="0"/>
    <w:pPr>
      <w:keepNext/>
      <w:keepLines/>
      <w:numPr>
        <w:ilvl w:val="5"/>
        <w:numId w:val="1"/>
      </w:numPr>
      <w:spacing w:line="480" w:lineRule="auto"/>
      <w:outlineLvl w:val="5"/>
    </w:pPr>
    <w:rPr>
      <w:b/>
    </w:rPr>
  </w:style>
  <w:style w:type="paragraph" w:styleId="8">
    <w:name w:val="heading 7"/>
    <w:basedOn w:val="1"/>
    <w:next w:val="1"/>
    <w:unhideWhenUsed/>
    <w:qFormat/>
    <w:uiPriority w:val="0"/>
    <w:pPr>
      <w:keepNext/>
      <w:keepLines/>
      <w:numPr>
        <w:ilvl w:val="6"/>
        <w:numId w:val="1"/>
      </w:numPr>
      <w:spacing w:line="480" w:lineRule="auto"/>
      <w:outlineLvl w:val="6"/>
    </w:pPr>
    <w:rPr>
      <w:b/>
    </w:rPr>
  </w:style>
  <w:style w:type="paragraph" w:styleId="9">
    <w:name w:val="heading 8"/>
    <w:basedOn w:val="1"/>
    <w:next w:val="1"/>
    <w:unhideWhenUsed/>
    <w:qFormat/>
    <w:uiPriority w:val="0"/>
    <w:pPr>
      <w:keepNext/>
      <w:keepLines/>
      <w:numPr>
        <w:ilvl w:val="7"/>
        <w:numId w:val="1"/>
      </w:numPr>
      <w:spacing w:line="480" w:lineRule="auto"/>
      <w:outlineLvl w:val="7"/>
    </w:pPr>
    <w:rPr>
      <w:b/>
    </w:rPr>
  </w:style>
  <w:style w:type="paragraph" w:styleId="10">
    <w:name w:val="heading 9"/>
    <w:basedOn w:val="1"/>
    <w:next w:val="1"/>
    <w:unhideWhenUsed/>
    <w:qFormat/>
    <w:uiPriority w:val="0"/>
    <w:pPr>
      <w:keepNext/>
      <w:keepLines/>
      <w:numPr>
        <w:ilvl w:val="8"/>
        <w:numId w:val="1"/>
      </w:numPr>
      <w:spacing w:line="480" w:lineRule="auto"/>
      <w:outlineLvl w:val="8"/>
    </w:pPr>
    <w:rPr>
      <w:b/>
    </w:rPr>
  </w:style>
  <w:style w:type="character" w:default="1" w:styleId="22">
    <w:name w:val="Default Paragraph Font"/>
    <w:semiHidden/>
    <w:unhideWhenUsed/>
    <w:qFormat/>
    <w:uiPriority w:val="1"/>
  </w:style>
  <w:style w:type="table" w:default="1" w:styleId="20">
    <w:name w:val="Normal Table"/>
    <w:semiHidden/>
    <w:unhideWhenUsed/>
    <w:qFormat/>
    <w:uiPriority w:val="99"/>
    <w:tblPr>
      <w:tblCellMar>
        <w:top w:w="0" w:type="dxa"/>
        <w:left w:w="108" w:type="dxa"/>
        <w:bottom w:w="0" w:type="dxa"/>
        <w:right w:w="108" w:type="dxa"/>
      </w:tblCellMar>
    </w:tblPr>
  </w:style>
  <w:style w:type="paragraph" w:styleId="11">
    <w:name w:val="annotation text"/>
    <w:basedOn w:val="1"/>
    <w:link w:val="29"/>
    <w:qFormat/>
    <w:uiPriority w:val="0"/>
    <w:pPr>
      <w:jc w:val="left"/>
    </w:pPr>
  </w:style>
  <w:style w:type="paragraph" w:styleId="12">
    <w:name w:val="toc 8"/>
    <w:basedOn w:val="1"/>
    <w:next w:val="1"/>
    <w:autoRedefine/>
    <w:qFormat/>
    <w:uiPriority w:val="99"/>
    <w:pPr>
      <w:ind w:left="2940" w:leftChars="1400"/>
    </w:pPr>
  </w:style>
  <w:style w:type="paragraph" w:styleId="13">
    <w:name w:val="footer"/>
    <w:basedOn w:val="1"/>
    <w:qFormat/>
    <w:uiPriority w:val="0"/>
    <w:pPr>
      <w:tabs>
        <w:tab w:val="center" w:pos="4153"/>
        <w:tab w:val="right" w:pos="8306"/>
      </w:tabs>
      <w:snapToGrid w:val="0"/>
      <w:jc w:val="center"/>
    </w:pPr>
    <w:rPr>
      <w:sz w:val="18"/>
      <w:szCs w:val="18"/>
    </w:rPr>
  </w:style>
  <w:style w:type="paragraph" w:styleId="14">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5">
    <w:name w:val="toc 1"/>
    <w:basedOn w:val="1"/>
    <w:next w:val="1"/>
    <w:qFormat/>
    <w:uiPriority w:val="99"/>
  </w:style>
  <w:style w:type="paragraph" w:styleId="16">
    <w:name w:val="Subtitle"/>
    <w:basedOn w:val="1"/>
    <w:next w:val="1"/>
    <w:link w:val="25"/>
    <w:qFormat/>
    <w:uiPriority w:val="0"/>
    <w:pPr>
      <w:jc w:val="center"/>
      <w:outlineLvl w:val="1"/>
    </w:pPr>
    <w:rPr>
      <w:rFonts w:cstheme="minorBidi"/>
      <w:b/>
      <w:bCs/>
      <w:kern w:val="28"/>
      <w:sz w:val="44"/>
      <w:szCs w:val="32"/>
    </w:rPr>
  </w:style>
  <w:style w:type="paragraph" w:styleId="17">
    <w:name w:val="toc 2"/>
    <w:basedOn w:val="1"/>
    <w:next w:val="1"/>
    <w:qFormat/>
    <w:uiPriority w:val="99"/>
    <w:pPr>
      <w:ind w:left="420" w:leftChars="200"/>
    </w:pPr>
  </w:style>
  <w:style w:type="paragraph" w:styleId="18">
    <w:name w:val="Title"/>
    <w:basedOn w:val="1"/>
    <w:next w:val="1"/>
    <w:link w:val="26"/>
    <w:qFormat/>
    <w:uiPriority w:val="0"/>
    <w:pPr>
      <w:jc w:val="center"/>
      <w:outlineLvl w:val="0"/>
    </w:pPr>
    <w:rPr>
      <w:rFonts w:cstheme="majorBidi"/>
      <w:b/>
      <w:bCs/>
      <w:sz w:val="48"/>
      <w:szCs w:val="32"/>
    </w:rPr>
  </w:style>
  <w:style w:type="paragraph" w:styleId="19">
    <w:name w:val="annotation subject"/>
    <w:basedOn w:val="11"/>
    <w:next w:val="11"/>
    <w:link w:val="30"/>
    <w:qFormat/>
    <w:uiPriority w:val="0"/>
    <w:rPr>
      <w:b/>
      <w:bCs/>
    </w:rPr>
  </w:style>
  <w:style w:type="table" w:styleId="21">
    <w:name w:val="Table Grid"/>
    <w:basedOn w:val="20"/>
    <w:qFormat/>
    <w:uiPriority w:val="0"/>
    <w:tblPr>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Pr>
    <w:tcPr>
      <w:vAlign w:val="center"/>
    </w:tcPr>
  </w:style>
  <w:style w:type="character" w:styleId="23">
    <w:name w:val="Hyperlink"/>
    <w:basedOn w:val="22"/>
    <w:qFormat/>
    <w:uiPriority w:val="0"/>
    <w:rPr>
      <w:color w:val="1E6FFF"/>
      <w:u w:val="single"/>
    </w:rPr>
  </w:style>
  <w:style w:type="character" w:styleId="24">
    <w:name w:val="annotation reference"/>
    <w:basedOn w:val="22"/>
    <w:qFormat/>
    <w:uiPriority w:val="0"/>
    <w:rPr>
      <w:sz w:val="21"/>
      <w:szCs w:val="21"/>
    </w:rPr>
  </w:style>
  <w:style w:type="character" w:customStyle="1" w:styleId="25">
    <w:name w:val="副标题 字符"/>
    <w:basedOn w:val="22"/>
    <w:link w:val="16"/>
    <w:qFormat/>
    <w:uiPriority w:val="0"/>
    <w:rPr>
      <w:rFonts w:ascii="Arial" w:hAnsi="Arial" w:eastAsia="微软雅黑" w:cstheme="minorBidi"/>
      <w:b/>
      <w:bCs/>
      <w:kern w:val="28"/>
      <w:sz w:val="44"/>
      <w:szCs w:val="32"/>
    </w:rPr>
  </w:style>
  <w:style w:type="character" w:customStyle="1" w:styleId="26">
    <w:name w:val="标题 字符"/>
    <w:basedOn w:val="22"/>
    <w:link w:val="18"/>
    <w:qFormat/>
    <w:uiPriority w:val="0"/>
    <w:rPr>
      <w:rFonts w:ascii="Arial" w:hAnsi="Arial" w:eastAsia="微软雅黑" w:cstheme="majorBidi"/>
      <w:b/>
      <w:bCs/>
      <w:kern w:val="2"/>
      <w:sz w:val="48"/>
      <w:szCs w:val="32"/>
    </w:rPr>
  </w:style>
  <w:style w:type="paragraph" w:customStyle="1" w:styleId="27">
    <w:name w:val="melo-codeblock-Base-theme-para"/>
    <w:qFormat/>
    <w:uiPriority w:val="99"/>
    <w:pPr>
      <w:snapToGrid w:val="0"/>
      <w:spacing w:line="360" w:lineRule="auto"/>
    </w:pPr>
    <w:rPr>
      <w:rFonts w:ascii="Monaco" w:hAnsi="Monaco" w:eastAsia="Monaco" w:cs="Monaco"/>
      <w:color w:val="000000"/>
      <w:sz w:val="21"/>
      <w:lang w:val="en-US" w:eastAsia="zh-CN" w:bidi="ar-SA"/>
    </w:rPr>
  </w:style>
  <w:style w:type="character" w:customStyle="1" w:styleId="28">
    <w:name w:val="melo-codeblock-Base-theme-char"/>
    <w:qFormat/>
    <w:uiPriority w:val="99"/>
    <w:rPr>
      <w:rFonts w:ascii="Monaco" w:hAnsi="Monaco" w:eastAsia="Monaco" w:cs="Monaco"/>
      <w:color w:val="000000"/>
      <w:sz w:val="21"/>
    </w:rPr>
  </w:style>
  <w:style w:type="character" w:customStyle="1" w:styleId="29">
    <w:name w:val="批注文字 字符"/>
    <w:basedOn w:val="22"/>
    <w:link w:val="11"/>
    <w:qFormat/>
    <w:uiPriority w:val="0"/>
    <w:rPr>
      <w:color w:val="333333"/>
      <w:kern w:val="2"/>
      <w:sz w:val="22"/>
      <w:szCs w:val="24"/>
    </w:rPr>
  </w:style>
  <w:style w:type="character" w:customStyle="1" w:styleId="30">
    <w:name w:val="批注主题 字符"/>
    <w:basedOn w:val="29"/>
    <w:link w:val="19"/>
    <w:qFormat/>
    <w:uiPriority w:val="0"/>
    <w:rPr>
      <w:b/>
      <w:bCs/>
      <w:color w:val="333333"/>
      <w:kern w:val="2"/>
      <w:sz w:val="22"/>
      <w:szCs w:val="24"/>
    </w:rPr>
  </w:style>
  <w:style w:type="paragraph" w:customStyle="1" w:styleId="31">
    <w:name w:val="修订1"/>
    <w:hidden/>
    <w:unhideWhenUsed/>
    <w:qFormat/>
    <w:uiPriority w:val="99"/>
    <w:rPr>
      <w:rFonts w:ascii="Arial" w:hAnsi="Arial" w:eastAsia="微软雅黑" w:cs="Arial"/>
      <w:color w:val="333333"/>
      <w:kern w:val="2"/>
      <w:sz w:val="22"/>
      <w:szCs w:val="24"/>
      <w:lang w:val="en-US" w:eastAsia="zh-CN" w:bidi="ar-SA"/>
    </w:rPr>
  </w:style>
  <w:style w:type="paragraph" w:customStyle="1" w:styleId="32">
    <w:name w:val="Revision"/>
    <w:hidden/>
    <w:unhideWhenUsed/>
    <w:qFormat/>
    <w:uiPriority w:val="99"/>
    <w:rPr>
      <w:rFonts w:ascii="Arial" w:hAnsi="Arial" w:eastAsia="微软雅黑" w:cs="Arial"/>
      <w:color w:val="333333"/>
      <w:kern w:val="2"/>
      <w:sz w:val="22"/>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numbering" Target="numbering.xml"/><Relationship Id="rId7" Type="http://schemas.openxmlformats.org/officeDocument/2006/relationships/customXml" Target="../customXml/item1.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notes" Target="footnotes.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1E6FFF"/>
      </a:hlink>
      <a:folHlink>
        <a:srgbClr val="954F72"/>
      </a:folHlink>
    </a:clrScheme>
    <a:fontScheme name="Office">
      <a:majorFont>
        <a:latin typeface="Calibri Light"/>
        <a:ea typeface=""/>
        <a:cs typeface=""/>
        <a:font script="Jpan" typeface="ＭＳ ゴシック"/>
        <a:font script="Hang" typeface="맑은 고딕"/>
        <a:font script="Hans" typeface="微软雅黑"/>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微软雅黑"/>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43</Pages>
  <Words>24751</Words>
  <Characters>25614</Characters>
  <Lines>219</Lines>
  <Paragraphs>61</Paragraphs>
  <TotalTime>12</TotalTime>
  <ScaleCrop>false</ScaleCrop>
  <LinksUpToDate>false</LinksUpToDate>
  <CharactersWithSpaces>25916</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2025-06-08T08:41:00Z</dcterms:created>
  <dc:creator>Administrator</dc:creator>
  <cp:lastModifiedBy>LH</cp:lastModifiedBy>
  <dcterms:modified xsi:type="dcterms:W3CDTF">2025-06-10T09:57:43Z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eyJoZGlkIjoiYjQ1M2JkZjI5ZWYzOWYyYzQxMDIwZTA2ODkxZGJjZTkiLCJ1c2VySWQiOiIxNjAxMjI1NDI5In0=</vt:lpwstr>
  </property>
  <property fmtid="{D5CDD505-2E9C-101B-9397-08002B2CF9AE}" pid="3" name="KSOProductBuildVer">
    <vt:lpwstr>2052-12.1.0.21541</vt:lpwstr>
  </property>
  <property fmtid="{D5CDD505-2E9C-101B-9397-08002B2CF9AE}" pid="4" name="ICV">
    <vt:lpwstr>77E9ED0925A14B7684D6C2AA0B4296E6_13</vt:lpwstr>
  </property>
</Properties>
</file>