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kern w:val="0"/>
          <w:sz w:val="24"/>
          <w:szCs w:val="24"/>
          <w:highlight w:val="none"/>
        </w:rPr>
      </w:pPr>
      <w:bookmarkStart w:id="11" w:name="_GoBack"/>
      <w:bookmarkEnd w:id="11"/>
      <w:r>
        <w:rPr>
          <w:rFonts w:hint="eastAsia" w:ascii="宋体" w:hAnsi="宋体" w:eastAsia="宋体" w:cs="宋体"/>
          <w:b/>
          <w:color w:val="auto"/>
          <w:kern w:val="0"/>
          <w:sz w:val="24"/>
          <w:szCs w:val="24"/>
          <w:highlight w:val="none"/>
          <w:lang w:eastAsia="zh-CN"/>
        </w:rPr>
        <w:t>黄埔区2023年至2024年水利设施维修改造工程施工Ⅲ标</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0" w:name="_Toc11696"/>
      <w:r>
        <w:rPr>
          <w:rFonts w:hint="eastAsia" w:ascii="宋体" w:hAnsi="宋体" w:eastAsia="宋体" w:cs="宋体"/>
          <w:b/>
          <w:bCs/>
          <w:color w:val="auto"/>
          <w:kern w:val="44"/>
          <w:sz w:val="24"/>
          <w:szCs w:val="24"/>
          <w:highlight w:val="none"/>
          <w:lang w:val="en-US" w:eastAsia="zh-CN" w:bidi="ar-SA"/>
        </w:rPr>
        <w:t>招标条件</w:t>
      </w:r>
      <w:bookmarkEnd w:id="0"/>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 w:name="_Toc7299"/>
      <w:r>
        <w:rPr>
          <w:rFonts w:hint="eastAsia" w:ascii="宋体" w:hAnsi="宋体" w:eastAsia="宋体" w:cs="宋体"/>
          <w:b/>
          <w:bCs/>
          <w:color w:val="auto"/>
          <w:kern w:val="44"/>
          <w:sz w:val="24"/>
          <w:szCs w:val="24"/>
          <w:highlight w:val="none"/>
          <w:lang w:val="en-US" w:eastAsia="zh-CN" w:bidi="ar-SA"/>
        </w:rPr>
        <w:t>项目概况与招标范围</w:t>
      </w:r>
      <w:bookmarkEnd w:id="1"/>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none"/>
          <w:lang w:eastAsia="zh-CN"/>
        </w:rPr>
        <w:t>，共分</w:t>
      </w:r>
      <w:r>
        <w:rPr>
          <w:rFonts w:hint="eastAsia" w:ascii="宋体" w:hAnsi="宋体" w:eastAsia="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eastAsia="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标段一：黄埔区2023年至2024年水利设施维修改造工程施工Ⅰ标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标段二：黄埔区2023年至2024年水利设施维修改造工程施工Ⅱ标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标段三：黄埔区2023年至2024年水利设施维修改造工程施工Ⅲ标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（1）工程范围：包括全区所有的水闸、泵站、补水闸阀及附属设施。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闸室（含闸板等）、翼墙、消能设施、闸站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清疏及闸门周边清疏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标段四：黄埔区2023年至2024年水利设施维修改造工程景观标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（1）工程范围：包括河湖、水闸、泵站及补水闸阀。</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二、投标说明</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2" w:name="_Toc22384"/>
      <w:r>
        <w:rPr>
          <w:rFonts w:hint="eastAsia" w:ascii="宋体" w:hAnsi="宋体" w:eastAsia="宋体" w:cs="宋体"/>
          <w:b/>
          <w:bCs/>
          <w:color w:val="auto"/>
          <w:kern w:val="44"/>
          <w:sz w:val="24"/>
          <w:szCs w:val="24"/>
          <w:highlight w:val="none"/>
          <w:lang w:val="en-US" w:eastAsia="zh-CN" w:bidi="ar-SA"/>
        </w:rPr>
        <w:t>投标人资格要求</w:t>
      </w:r>
      <w:bookmarkEnd w:id="2"/>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eastAsia="宋体" w:cs="宋体"/>
          <w:b/>
          <w:bCs/>
          <w:sz w:val="24"/>
          <w:szCs w:val="24"/>
          <w:highlight w:val="none"/>
          <w:lang w:eastAsia="zh-CN"/>
        </w:rPr>
        <w:t>施工Ⅲ标</w:t>
      </w:r>
      <w:r>
        <w:rPr>
          <w:rFonts w:hint="eastAsia" w:ascii="宋体" w:hAnsi="宋体" w:eastAsia="宋体" w:cs="宋体"/>
          <w:color w:val="auto"/>
          <w:kern w:val="0"/>
          <w:sz w:val="24"/>
          <w:szCs w:val="24"/>
          <w:highlight w:val="none"/>
        </w:rPr>
        <w:t>具体要求如下：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37" w:firstLineChars="224"/>
        <w:rPr>
          <w:rFonts w:hint="default" w:ascii="Calibri" w:hAnsi="Calibri" w:eastAsia="宋体" w:cs="Times New Roman"/>
          <w:b w:val="0"/>
          <w:bCs/>
          <w:szCs w:val="22"/>
          <w:highlight w:val="none"/>
          <w:lang w:eastAsia="zh-CN"/>
        </w:rPr>
      </w:pPr>
      <w:r>
        <w:rPr>
          <w:rFonts w:hint="eastAsia" w:ascii="宋体" w:hAnsi="宋体" w:eastAsia="宋体" w:cs="宋体"/>
          <w:color w:val="auto"/>
          <w:kern w:val="0"/>
          <w:sz w:val="24"/>
          <w:szCs w:val="24"/>
          <w:highlight w:val="none"/>
          <w:lang w:bidi="ar"/>
        </w:rPr>
        <w:t>投标人具有承接本工程所需的水利水电工程施工总承包</w:t>
      </w:r>
      <w:r>
        <w:rPr>
          <w:rFonts w:hint="eastAsia" w:ascii="宋体" w:hAnsi="宋体" w:eastAsia="宋体" w:cs="宋体"/>
          <w:color w:val="auto"/>
          <w:kern w:val="0"/>
          <w:sz w:val="24"/>
          <w:szCs w:val="24"/>
          <w:highlight w:val="none"/>
          <w:u w:val="none"/>
          <w:lang w:val="en-US" w:eastAsia="zh-CN" w:bidi="ar"/>
        </w:rPr>
        <w:t>三</w:t>
      </w:r>
      <w:r>
        <w:rPr>
          <w:rFonts w:hint="eastAsia" w:ascii="宋体" w:hAnsi="宋体" w:eastAsia="宋体" w:cs="宋体"/>
          <w:color w:val="auto"/>
          <w:kern w:val="0"/>
          <w:sz w:val="24"/>
          <w:szCs w:val="24"/>
          <w:highlight w:val="none"/>
          <w:lang w:bidi="ar"/>
        </w:rPr>
        <w:t>级或以上级别资质。</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（1）投标人拟担任本工程项目负责人的人员须具有水利水电专业二级或以上级</w:t>
      </w:r>
      <w:r>
        <w:rPr>
          <w:rFonts w:hint="eastAsia" w:ascii="宋体" w:hAnsi="宋体" w:eastAsia="宋体" w:cs="宋体"/>
          <w:color w:val="auto"/>
          <w:sz w:val="24"/>
          <w:szCs w:val="24"/>
          <w:highlight w:val="none"/>
        </w:rPr>
        <w:t>别的注册建造师。</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（2）项目负责人持有水行政主管部门颁发的安全生产考核合格证（B类）</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专职安全员须具有水行政主管部门颁发的安全生产考核合格证（C类）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eastAsia="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widowControl w:val="0"/>
        <w:spacing w:after="120"/>
        <w:ind w:firstLine="420"/>
        <w:jc w:val="both"/>
        <w:rPr>
          <w:rFonts w:hint="eastAsia" w:ascii="宋体" w:hAnsi="宋体" w:eastAsia="宋体" w:cs="宋体"/>
          <w:color w:val="auto"/>
          <w:kern w:val="0"/>
          <w:sz w:val="24"/>
          <w:szCs w:val="24"/>
          <w:highlight w:val="none"/>
          <w:lang w:val="en-US" w:eastAsia="zh-CN" w:bidi="ar-SA"/>
        </w:rPr>
      </w:pP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3" w:name="_Toc16364"/>
      <w:r>
        <w:rPr>
          <w:rFonts w:hint="eastAsia" w:ascii="宋体" w:hAnsi="宋体" w:eastAsia="宋体" w:cs="宋体"/>
          <w:b/>
          <w:bCs/>
          <w:color w:val="auto"/>
          <w:kern w:val="44"/>
          <w:sz w:val="24"/>
          <w:szCs w:val="24"/>
          <w:highlight w:val="none"/>
          <w:lang w:val="en-US" w:eastAsia="zh-CN" w:bidi="ar-SA"/>
        </w:rPr>
        <w:t>招标公告和招标文件的获取</w:t>
      </w:r>
      <w:bookmarkEnd w:id="3"/>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4" w:name="_Toc27749"/>
      <w:r>
        <w:rPr>
          <w:rFonts w:hint="eastAsia" w:ascii="宋体" w:hAnsi="宋体" w:eastAsia="宋体" w:cs="宋体"/>
          <w:b/>
          <w:bCs/>
          <w:color w:val="auto"/>
          <w:kern w:val="44"/>
          <w:sz w:val="24"/>
          <w:szCs w:val="24"/>
          <w:highlight w:val="none"/>
          <w:lang w:val="en-US" w:eastAsia="zh-CN" w:bidi="ar-SA"/>
        </w:rPr>
        <w:t>投标文件的递交</w:t>
      </w:r>
      <w:bookmarkEnd w:id="4"/>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47"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2"/>
        </w:numPr>
        <w:spacing w:line="360" w:lineRule="auto"/>
        <w:ind w:left="846" w:hanging="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5" w:name="_Toc24608"/>
      <w:r>
        <w:rPr>
          <w:rFonts w:hint="eastAsia" w:ascii="宋体" w:hAnsi="宋体" w:eastAsia="宋体" w:cs="宋体"/>
          <w:b/>
          <w:bCs/>
          <w:color w:val="auto"/>
          <w:kern w:val="44"/>
          <w:sz w:val="24"/>
          <w:szCs w:val="24"/>
          <w:highlight w:val="none"/>
          <w:lang w:val="en-US" w:eastAsia="zh-CN" w:bidi="ar-SA"/>
        </w:rPr>
        <w:t>投标保证金</w:t>
      </w:r>
      <w:bookmarkEnd w:id="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6" w:name="_Toc22701"/>
      <w:r>
        <w:rPr>
          <w:rFonts w:hint="eastAsia" w:ascii="宋体" w:hAnsi="宋体" w:eastAsia="宋体" w:cs="宋体"/>
          <w:b/>
          <w:bCs/>
          <w:color w:val="auto"/>
          <w:kern w:val="44"/>
          <w:sz w:val="24"/>
          <w:szCs w:val="24"/>
          <w:highlight w:val="none"/>
          <w:lang w:val="en-US" w:eastAsia="zh-CN" w:bidi="ar-SA"/>
        </w:rPr>
        <w:t>资格审查方式</w:t>
      </w:r>
      <w:bookmarkEnd w:id="6"/>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7" w:name="_Toc30267"/>
      <w:r>
        <w:rPr>
          <w:rFonts w:hint="eastAsia" w:ascii="宋体" w:hAnsi="宋体" w:eastAsia="宋体" w:cs="宋体"/>
          <w:b/>
          <w:bCs/>
          <w:color w:val="auto"/>
          <w:kern w:val="44"/>
          <w:sz w:val="24"/>
          <w:szCs w:val="24"/>
          <w:highlight w:val="none"/>
          <w:lang w:val="en-US" w:eastAsia="zh-CN" w:bidi="ar-SA"/>
        </w:rPr>
        <w:t>企业信息登记</w:t>
      </w:r>
      <w:bookmarkEnd w:id="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8" w:name="_Toc16543"/>
      <w:r>
        <w:rPr>
          <w:rFonts w:hint="eastAsia" w:ascii="宋体" w:hAnsi="宋体" w:eastAsia="宋体" w:cs="宋体"/>
          <w:b/>
          <w:bCs/>
          <w:color w:val="auto"/>
          <w:kern w:val="44"/>
          <w:sz w:val="24"/>
          <w:szCs w:val="24"/>
          <w:highlight w:val="none"/>
          <w:lang w:val="en-US" w:eastAsia="zh-CN" w:bidi="ar-SA"/>
        </w:rPr>
        <w:t>诚信得分</w:t>
      </w:r>
      <w:bookmarkEnd w:id="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投标人诚信评价得分按广州市水务工程企业库及诚信评价系统（http://120.236.111.11:8001/#/website）中的“企业诚信得分&gt;&gt;施工—水利”的“诚信评价总分”计算；</w:t>
      </w:r>
      <w:r>
        <w:rPr>
          <w:rFonts w:hint="eastAsia" w:ascii="宋体" w:hAnsi="宋体" w:eastAsia="宋体" w:cs="宋体"/>
          <w:color w:val="auto"/>
          <w:sz w:val="24"/>
          <w:szCs w:val="24"/>
          <w:highlight w:val="none"/>
          <w:lang w:eastAsia="zh-CN"/>
        </w:rPr>
        <w:t>未在“诚信管理系统”录入企业信息的投标人（简称“未入库企业”），其诚信评价总分取基准分80分。“评价周期”应为招标公告发布第1天所在季度的上一季度。</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9" w:name="_Toc3644"/>
      <w:r>
        <w:rPr>
          <w:rFonts w:hint="eastAsia" w:ascii="宋体" w:hAnsi="宋体" w:eastAsia="宋体" w:cs="宋体"/>
          <w:b/>
          <w:bCs/>
          <w:color w:val="auto"/>
          <w:kern w:val="44"/>
          <w:sz w:val="24"/>
          <w:szCs w:val="24"/>
          <w:highlight w:val="none"/>
          <w:lang w:val="en-US" w:eastAsia="zh-CN" w:bidi="ar-SA"/>
        </w:rPr>
        <w:t>疑问、异议、投诉处理</w:t>
      </w:r>
      <w:bookmarkEnd w:id="9"/>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0" w:name="_Toc7479"/>
      <w:r>
        <w:rPr>
          <w:rFonts w:hint="eastAsia" w:ascii="宋体" w:hAnsi="宋体" w:eastAsia="宋体" w:cs="宋体"/>
          <w:b/>
          <w:bCs/>
          <w:color w:val="auto"/>
          <w:kern w:val="44"/>
          <w:sz w:val="24"/>
          <w:szCs w:val="24"/>
          <w:highlight w:val="none"/>
          <w:lang w:val="en-US" w:eastAsia="zh-CN" w:bidi="ar-SA"/>
        </w:rPr>
        <w:t>联系方式</w:t>
      </w:r>
      <w:bookmarkEnd w:id="10"/>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eastAsia="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eastAsia="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1">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AB13E1"/>
    <w:multiLevelType w:val="multilevel"/>
    <w:tmpl w:val="74AB13E1"/>
    <w:lvl w:ilvl="0" w:tentative="0">
      <w:start w:val="1"/>
      <w:numFmt w:val="decimal"/>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22314FD9"/>
    <w:rsid w:val="22314FD9"/>
    <w:rsid w:val="417B23BF"/>
    <w:rsid w:val="4720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6592</Words>
  <Characters>6992</Characters>
  <Lines>0</Lines>
  <Paragraphs>0</Paragraphs>
  <TotalTime>1</TotalTime>
  <ScaleCrop>false</ScaleCrop>
  <LinksUpToDate>false</LinksUpToDate>
  <CharactersWithSpaces>7119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2022-11-17T09:01:00Z</dcterms:created>
  <dc:creator>Administrator</dc:creator>
  <cp:lastModifiedBy>Administrator</cp:lastModifiedBy>
  <dcterms:modified xsi:type="dcterms:W3CDTF">2022-11-17T09:02:41Z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5A582E2D2070416F8CC549FFE9E92C45</vt:lpwstr>
  </property>
</Properties>
</file>