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color w:val="auto"/>
          <w:sz w:val="24"/>
          <w:szCs w:val="24"/>
          <w:highlight w:val="none"/>
        </w:rPr>
      </w:pPr>
    </w:p>
    <w:p>
      <w:pPr>
        <w:widowControl/>
        <w:ind w:firstLine="803" w:firstLineChars="249"/>
        <w:jc w:val="left"/>
        <w:rPr>
          <w:rFonts w:hint="eastAsia" w:ascii="宋体" w:hAnsi="宋体" w:eastAsia="宋体" w:cs="宋体"/>
          <w:b/>
          <w:color w:val="auto"/>
          <w:sz w:val="32"/>
          <w:szCs w:val="32"/>
          <w:highlight w:val="none"/>
          <w:u w:val="single"/>
        </w:rPr>
      </w:pPr>
    </w:p>
    <w:p>
      <w:pPr>
        <w:widowControl/>
        <w:jc w:val="center"/>
        <w:rPr>
          <w:rFonts w:hint="eastAsia" w:ascii="宋体" w:hAnsi="宋体" w:eastAsia="宋体" w:cs="宋体"/>
          <w:b/>
          <w:color w:val="auto"/>
          <w:sz w:val="52"/>
          <w:szCs w:val="52"/>
          <w:highlight w:val="none"/>
          <w:lang w:eastAsia="zh-CN"/>
        </w:rPr>
      </w:pPr>
      <w:bookmarkStart w:id="309" w:name="_GoBack"/>
      <w:r>
        <w:rPr>
          <w:rFonts w:hint="eastAsia" w:ascii="宋体" w:hAnsi="宋体" w:eastAsia="宋体" w:cs="宋体"/>
          <w:b/>
          <w:color w:val="auto"/>
          <w:sz w:val="52"/>
          <w:szCs w:val="52"/>
          <w:highlight w:val="none"/>
          <w:lang w:eastAsia="zh-CN"/>
        </w:rPr>
        <w:t>黄埔区2023年至2024年水利设施维修改造工程</w:t>
      </w:r>
      <w:r>
        <w:rPr>
          <w:rFonts w:hint="eastAsia" w:ascii="宋体" w:hAnsi="宋体" w:cs="宋体"/>
          <w:b/>
          <w:color w:val="auto"/>
          <w:sz w:val="52"/>
          <w:szCs w:val="52"/>
          <w:highlight w:val="none"/>
          <w:lang w:eastAsia="zh-CN"/>
        </w:rPr>
        <w:t>施工Ⅲ标</w:t>
      </w:r>
    </w:p>
    <w:p>
      <w:pPr>
        <w:widowControl/>
        <w:jc w:val="center"/>
        <w:rPr>
          <w:rFonts w:hint="eastAsia" w:ascii="宋体" w:hAnsi="宋体" w:eastAsia="宋体" w:cs="宋体"/>
          <w:b/>
          <w:color w:val="auto"/>
          <w:sz w:val="52"/>
          <w:szCs w:val="52"/>
          <w:highlight w:val="none"/>
        </w:rPr>
      </w:pPr>
    </w:p>
    <w:p>
      <w:pPr>
        <w:widowControl/>
        <w:jc w:val="left"/>
        <w:rPr>
          <w:rFonts w:hint="eastAsia" w:ascii="宋体" w:hAnsi="宋体" w:eastAsia="宋体" w:cs="宋体"/>
          <w:b/>
          <w:color w:val="auto"/>
          <w:sz w:val="52"/>
          <w:szCs w:val="52"/>
          <w:highlight w:val="none"/>
        </w:rPr>
      </w:pPr>
    </w:p>
    <w:p>
      <w:pPr>
        <w:widowControl/>
        <w:jc w:val="left"/>
        <w:rPr>
          <w:rFonts w:hint="eastAsia" w:ascii="宋体" w:hAnsi="宋体" w:eastAsia="宋体" w:cs="宋体"/>
          <w:b/>
          <w:color w:val="auto"/>
          <w:sz w:val="52"/>
          <w:szCs w:val="52"/>
          <w:highlight w:val="none"/>
        </w:rPr>
      </w:pPr>
    </w:p>
    <w:p>
      <w:pPr>
        <w:spacing w:line="360" w:lineRule="auto"/>
        <w:jc w:val="center"/>
        <w:rPr>
          <w:rFonts w:hint="eastAsia" w:ascii="宋体" w:hAnsi="宋体" w:eastAsia="宋体" w:cs="宋体"/>
          <w:b/>
          <w:bCs/>
          <w:color w:val="auto"/>
          <w:spacing w:val="26"/>
          <w:sz w:val="52"/>
          <w:szCs w:val="52"/>
          <w:highlight w:val="none"/>
        </w:rPr>
      </w:pPr>
      <w:r>
        <w:rPr>
          <w:rFonts w:hint="eastAsia" w:ascii="宋体" w:hAnsi="宋体" w:eastAsia="宋体" w:cs="宋体"/>
          <w:b/>
          <w:bCs/>
          <w:color w:val="auto"/>
          <w:spacing w:val="26"/>
          <w:sz w:val="52"/>
          <w:szCs w:val="52"/>
          <w:highlight w:val="none"/>
        </w:rPr>
        <w:t>招 标 文 件</w:t>
      </w: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pStyle w:val="116"/>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招标人：广州市黄埔区水务设施管理所（盖单位章）</w:t>
      </w:r>
    </w:p>
    <w:p>
      <w:pPr>
        <w:widowControl/>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招标代理机构：</w:t>
      </w:r>
      <w:r>
        <w:rPr>
          <w:rFonts w:hint="eastAsia" w:ascii="宋体" w:hAnsi="宋体" w:eastAsia="宋体" w:cs="宋体"/>
          <w:b/>
          <w:bCs/>
          <w:color w:val="auto"/>
          <w:sz w:val="32"/>
          <w:szCs w:val="32"/>
          <w:highlight w:val="none"/>
          <w:lang w:eastAsia="zh-CN"/>
        </w:rPr>
        <w:t>广东省建筑工程监理有限公司</w:t>
      </w:r>
      <w:r>
        <w:rPr>
          <w:rFonts w:hint="eastAsia" w:ascii="宋体" w:hAnsi="宋体" w:eastAsia="宋体" w:cs="宋体"/>
          <w:b/>
          <w:bCs/>
          <w:color w:val="auto"/>
          <w:sz w:val="32"/>
          <w:szCs w:val="32"/>
          <w:highlight w:val="none"/>
        </w:rPr>
        <w:t>（盖单位章）</w:t>
      </w:r>
    </w:p>
    <w:p>
      <w:pPr>
        <w:widowControl/>
        <w:jc w:val="center"/>
        <w:rPr>
          <w:rFonts w:hint="eastAsia" w:ascii="宋体" w:hAnsi="宋体" w:eastAsia="宋体" w:cs="宋体"/>
          <w:color w:val="auto"/>
          <w:sz w:val="32"/>
          <w:szCs w:val="32"/>
          <w:highlight w:val="none"/>
        </w:rPr>
      </w:pPr>
    </w:p>
    <w:p>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2022</w:t>
      </w:r>
      <w:r>
        <w:rPr>
          <w:rFonts w:hint="eastAsia" w:ascii="宋体" w:hAnsi="宋体" w:eastAsia="宋体" w:cs="宋体"/>
          <w:b/>
          <w:bCs/>
          <w:color w:val="auto"/>
          <w:sz w:val="32"/>
          <w:szCs w:val="32"/>
          <w:highlight w:val="none"/>
        </w:rPr>
        <w:t>年11月  日</w:t>
      </w:r>
    </w:p>
    <w:p>
      <w:pPr>
        <w:rPr>
          <w:rFonts w:hint="eastAsia" w:ascii="宋体" w:hAnsi="宋体" w:eastAsia="宋体" w:cs="宋体"/>
          <w:color w:val="auto"/>
          <w:sz w:val="32"/>
          <w:szCs w:val="32"/>
          <w:highlight w:val="none"/>
        </w:rPr>
        <w:sectPr>
          <w:footerReference r:id="rId3" w:type="default"/>
          <w:pgSz w:w="11906" w:h="16838"/>
          <w:pgMar w:top="1440" w:right="1797" w:bottom="1440" w:left="1797" w:header="851" w:footer="992" w:gutter="0"/>
          <w:pgNumType w:start="1"/>
          <w:cols w:space="720" w:num="1"/>
          <w:docGrid w:type="linesAndChars" w:linePitch="312" w:charSpace="640"/>
        </w:sectPr>
      </w:pPr>
    </w:p>
    <w:bookmarkEnd w:id="309"/>
    <w:p>
      <w:pPr>
        <w:pStyle w:val="116"/>
        <w:rPr>
          <w:rFonts w:hint="eastAsia" w:ascii="宋体" w:hAnsi="宋体" w:eastAsia="宋体" w:cs="宋体"/>
          <w:color w:val="auto"/>
          <w:sz w:val="24"/>
          <w:szCs w:val="24"/>
          <w:highlight w:val="none"/>
        </w:rPr>
      </w:pPr>
    </w:p>
    <w:p>
      <w:pPr>
        <w:pStyle w:val="28"/>
        <w:tabs>
          <w:tab w:val="right" w:leader="dot" w:pos="8312"/>
        </w:tabs>
        <w:rPr>
          <w:rFonts w:hint="eastAsia" w:ascii="宋体" w:hAnsi="宋体" w:eastAsia="宋体" w:cs="宋体"/>
          <w:sz w:val="28"/>
          <w:szCs w:val="28"/>
          <w:highlight w:val="none"/>
        </w:rPr>
      </w:pPr>
      <w:bookmarkStart w:id="0" w:name="_Toc17464"/>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_Toc21625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第一章招标公告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_Toc21625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_Toc7224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_Toc7224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_Toc18590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第三章评标办法（综合评估法）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_Toc18590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_Toc27158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第四章合同条款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_Toc27158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_Toc16024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章技术标准和要求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_Toc16024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_Toc7796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章投标文件格式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_Toc7796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91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_Toc4024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章否决性条款汇总</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_Toc4024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Cs w:val="24"/>
          <w:highlight w:val="none"/>
        </w:rPr>
      </w:pPr>
      <w:r>
        <w:rPr>
          <w:rFonts w:hint="eastAsia" w:ascii="宋体" w:hAnsi="宋体" w:eastAsia="宋体" w:cs="宋体"/>
          <w:sz w:val="28"/>
          <w:szCs w:val="28"/>
          <w:highlight w:val="none"/>
        </w:rPr>
        <w:fldChar w:fldCharType="end"/>
      </w:r>
    </w:p>
    <w:bookmarkEnd w:id="0"/>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3"/>
        <w:jc w:val="center"/>
        <w:rPr>
          <w:rFonts w:hint="eastAsia" w:ascii="宋体" w:hAnsi="宋体" w:eastAsia="宋体" w:cs="宋体"/>
          <w:color w:val="auto"/>
          <w:sz w:val="24"/>
          <w:szCs w:val="24"/>
          <w:highlight w:val="none"/>
        </w:rPr>
        <w:sectPr>
          <w:footerReference r:id="rId4" w:type="default"/>
          <w:pgSz w:w="11906" w:h="16838"/>
          <w:pgMar w:top="1440" w:right="1797" w:bottom="1440" w:left="1797" w:header="851" w:footer="992" w:gutter="0"/>
          <w:pgNumType w:fmt="decimal" w:start="1"/>
          <w:cols w:space="720" w:num="1"/>
          <w:docGrid w:type="linesAndChars" w:linePitch="312" w:charSpace="640"/>
        </w:sectPr>
      </w:pPr>
      <w:bookmarkStart w:id="1" w:name="_Toc23634"/>
    </w:p>
    <w:p>
      <w:pPr>
        <w:pStyle w:val="3"/>
        <w:jc w:val="center"/>
        <w:rPr>
          <w:rFonts w:hint="eastAsia" w:ascii="宋体" w:hAnsi="宋体" w:eastAsia="宋体" w:cs="宋体"/>
          <w:color w:val="auto"/>
          <w:sz w:val="24"/>
          <w:szCs w:val="24"/>
          <w:highlight w:val="none"/>
        </w:rPr>
      </w:pPr>
      <w:bookmarkStart w:id="2" w:name="_Toc21625"/>
      <w:r>
        <w:rPr>
          <w:rFonts w:hint="eastAsia" w:ascii="宋体" w:hAnsi="宋体" w:eastAsia="宋体" w:cs="宋体"/>
          <w:color w:val="auto"/>
          <w:sz w:val="24"/>
          <w:szCs w:val="24"/>
          <w:highlight w:val="none"/>
        </w:rPr>
        <w:t>第一章招标公告</w:t>
      </w:r>
      <w:bookmarkEnd w:id="1"/>
      <w:bookmarkEnd w:id="2"/>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黄埔区2023年至2024年水利设施维修改造工程</w:t>
      </w:r>
      <w:r>
        <w:rPr>
          <w:rFonts w:hint="eastAsia" w:ascii="宋体" w:hAnsi="宋体" w:cs="宋体"/>
          <w:b/>
          <w:color w:val="auto"/>
          <w:kern w:val="0"/>
          <w:sz w:val="24"/>
          <w:szCs w:val="24"/>
          <w:highlight w:val="none"/>
          <w:lang w:eastAsia="zh-CN"/>
        </w:rPr>
        <w:t>施工Ⅲ标</w:t>
      </w:r>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招标公告</w:t>
      </w:r>
    </w:p>
    <w:p>
      <w:pPr>
        <w:pStyle w:val="4"/>
        <w:rPr>
          <w:rFonts w:hint="eastAsia" w:ascii="宋体" w:hAnsi="宋体" w:eastAsia="宋体" w:cs="宋体"/>
          <w:color w:val="auto"/>
          <w:sz w:val="24"/>
          <w:szCs w:val="24"/>
          <w:highlight w:val="none"/>
        </w:rPr>
      </w:pPr>
      <w:bookmarkStart w:id="3" w:name="_Toc11696"/>
      <w:r>
        <w:rPr>
          <w:rFonts w:hint="eastAsia" w:ascii="宋体" w:hAnsi="宋体" w:eastAsia="宋体" w:cs="宋体"/>
          <w:color w:val="auto"/>
          <w:sz w:val="24"/>
          <w:szCs w:val="24"/>
          <w:highlight w:val="none"/>
        </w:rPr>
        <w:t>招标条件</w:t>
      </w:r>
      <w:bookmarkEnd w:id="3"/>
    </w:p>
    <w:p>
      <w:pPr>
        <w:spacing w:line="360" w:lineRule="auto"/>
        <w:ind w:firstLine="546"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黄埔区2023年至2024年水利设施维修改造工程</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lang w:eastAsia="zh-CN"/>
        </w:rPr>
        <w:t>黄埔区水务局水务设施管理所党支部委员会</w:t>
      </w:r>
      <w:r>
        <w:rPr>
          <w:rFonts w:hint="eastAsia" w:ascii="宋体" w:hAnsi="宋体" w:eastAsia="宋体" w:cs="宋体"/>
          <w:color w:val="auto"/>
          <w:sz w:val="24"/>
          <w:szCs w:val="24"/>
          <w:highlight w:val="none"/>
        </w:rPr>
        <w:t>以</w:t>
      </w:r>
      <w:r>
        <w:rPr>
          <w:rFonts w:hint="eastAsia" w:ascii="宋体" w:hAnsi="宋体" w:eastAsia="宋体" w:cs="宋体"/>
          <w:b w:val="0"/>
          <w:bCs w:val="0"/>
          <w:color w:val="auto"/>
          <w:sz w:val="24"/>
          <w:szCs w:val="24"/>
          <w:highlight w:val="none"/>
          <w:u w:val="single"/>
          <w:lang w:eastAsia="zh-CN"/>
        </w:rPr>
        <w:t>埔水设党支委会纪﹝202</w:t>
      </w:r>
      <w:r>
        <w:rPr>
          <w:rFonts w:hint="eastAsia" w:ascii="宋体" w:hAnsi="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eastAsia="zh-CN"/>
        </w:rPr>
        <w:t>﹞</w:t>
      </w:r>
      <w:r>
        <w:rPr>
          <w:rFonts w:hint="eastAsia" w:ascii="宋体" w:hAnsi="宋体" w:cs="宋体"/>
          <w:b w:val="0"/>
          <w:bCs w:val="0"/>
          <w:color w:val="auto"/>
          <w:sz w:val="24"/>
          <w:szCs w:val="24"/>
          <w:highlight w:val="none"/>
          <w:u w:val="single"/>
          <w:lang w:val="en-US" w:eastAsia="zh-CN"/>
        </w:rPr>
        <w:t>20</w:t>
      </w:r>
      <w:r>
        <w:rPr>
          <w:rFonts w:hint="eastAsia" w:ascii="宋体" w:hAnsi="宋体" w:eastAsia="宋体" w:cs="宋体"/>
          <w:b w:val="0"/>
          <w:bCs w:val="0"/>
          <w:color w:val="auto"/>
          <w:sz w:val="24"/>
          <w:szCs w:val="24"/>
          <w:highlight w:val="none"/>
          <w:u w:val="single"/>
          <w:lang w:eastAsia="zh-CN"/>
        </w:rPr>
        <w:t>号</w:t>
      </w:r>
      <w:r>
        <w:rPr>
          <w:rFonts w:hint="eastAsia" w:ascii="宋体" w:hAnsi="宋体" w:eastAsia="宋体" w:cs="宋体"/>
          <w:color w:val="auto"/>
          <w:sz w:val="24"/>
          <w:szCs w:val="24"/>
          <w:highlight w:val="none"/>
        </w:rPr>
        <w:t>批准建设，项目业主为广州市黄埔区水务设施管理所，建设资金来自区财政资金，项目出资比例为100%, 招标人为广州市黄埔区水务设施管理所。项目已具备招标条件，现对该项目施工进行公开招标。</w:t>
      </w:r>
    </w:p>
    <w:p>
      <w:pPr>
        <w:pStyle w:val="4"/>
        <w:rPr>
          <w:rFonts w:hint="eastAsia" w:ascii="宋体" w:hAnsi="宋体" w:eastAsia="宋体" w:cs="宋体"/>
          <w:color w:val="auto"/>
          <w:sz w:val="24"/>
          <w:szCs w:val="24"/>
          <w:highlight w:val="none"/>
        </w:rPr>
      </w:pPr>
      <w:bookmarkStart w:id="4" w:name="_Toc7299"/>
      <w:r>
        <w:rPr>
          <w:rFonts w:hint="eastAsia" w:ascii="宋体" w:hAnsi="宋体" w:eastAsia="宋体" w:cs="宋体"/>
          <w:color w:val="auto"/>
          <w:sz w:val="24"/>
          <w:szCs w:val="24"/>
          <w:highlight w:val="none"/>
        </w:rPr>
        <w:t>项目概况与招标范围</w:t>
      </w:r>
      <w:bookmarkEnd w:id="4"/>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r>
        <w:rPr>
          <w:rFonts w:hint="eastAsia" w:ascii="宋体" w:hAnsi="宋体" w:cs="宋体"/>
          <w:color w:val="auto"/>
          <w:sz w:val="24"/>
          <w:szCs w:val="24"/>
          <w:highlight w:val="none"/>
          <w:lang w:eastAsia="zh-CN"/>
        </w:rPr>
        <w:t>项目总限额</w:t>
      </w:r>
      <w:r>
        <w:rPr>
          <w:rFonts w:hint="eastAsia" w:ascii="宋体" w:hAnsi="宋体" w:eastAsia="宋体" w:cs="宋体"/>
          <w:color w:val="auto"/>
          <w:sz w:val="24"/>
          <w:szCs w:val="24"/>
          <w:highlight w:val="none"/>
          <w:u w:val="single"/>
          <w:lang w:val="en-US" w:eastAsia="zh-CN"/>
        </w:rPr>
        <w:t>24000</w:t>
      </w:r>
      <w:r>
        <w:rPr>
          <w:rFonts w:hint="eastAsia" w:ascii="宋体" w:hAnsi="宋体" w:eastAsia="宋体" w:cs="宋体"/>
          <w:color w:val="auto"/>
          <w:sz w:val="24"/>
          <w:szCs w:val="24"/>
          <w:highlight w:val="none"/>
          <w:u w:val="single"/>
        </w:rPr>
        <w:t>万元</w:t>
      </w:r>
      <w:r>
        <w:rPr>
          <w:rFonts w:hint="eastAsia" w:ascii="宋体" w:hAnsi="宋体" w:cs="宋体"/>
          <w:color w:val="auto"/>
          <w:sz w:val="24"/>
          <w:szCs w:val="24"/>
          <w:highlight w:val="none"/>
          <w:u w:val="none"/>
          <w:lang w:eastAsia="zh-CN"/>
        </w:rPr>
        <w:t>，共分</w:t>
      </w:r>
      <w:r>
        <w:rPr>
          <w:rFonts w:hint="eastAsia" w:ascii="宋体" w:hAnsi="宋体" w:cs="宋体"/>
          <w:color w:val="auto"/>
          <w:sz w:val="24"/>
          <w:szCs w:val="24"/>
          <w:highlight w:val="none"/>
          <w:u w:val="none"/>
          <w:lang w:val="en-US" w:eastAsia="zh-CN"/>
        </w:rPr>
        <w:t>4个标段</w:t>
      </w:r>
      <w:r>
        <w:rPr>
          <w:rFonts w:hint="eastAsia" w:ascii="宋体" w:hAnsi="宋体" w:eastAsia="宋体" w:cs="宋体"/>
          <w:color w:val="auto"/>
          <w:sz w:val="24"/>
          <w:szCs w:val="24"/>
          <w:highlight w:val="none"/>
        </w:rPr>
        <w:t>。分别为：</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8000</w:t>
      </w:r>
      <w:r>
        <w:rPr>
          <w:rFonts w:hint="eastAsia" w:ascii="宋体" w:hAnsi="宋体" w:eastAsia="宋体" w:cs="宋体"/>
          <w:color w:val="auto"/>
          <w:sz w:val="24"/>
          <w:szCs w:val="24"/>
          <w:highlight w:val="none"/>
        </w:rPr>
        <w:t>万元；黄埔区2023年至2024年水利设施维修改造工程施工Ⅱ标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cs="宋体"/>
          <w:color w:val="auto"/>
          <w:sz w:val="24"/>
          <w:szCs w:val="24"/>
          <w:highlight w:val="none"/>
          <w:lang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4000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黄埔区2023年至2024年水利设施维修改造工程</w:t>
      </w:r>
      <w:r>
        <w:rPr>
          <w:rFonts w:hint="eastAsia" w:ascii="宋体" w:hAnsi="宋体" w:cs="宋体"/>
          <w:color w:val="auto"/>
          <w:sz w:val="24"/>
          <w:szCs w:val="24"/>
          <w:highlight w:val="none"/>
          <w:lang w:eastAsia="zh-CN"/>
        </w:rPr>
        <w:t>景观标，</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合同期限：</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招标内容：对</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施工Ⅱ标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cs="宋体"/>
          <w:color w:val="auto"/>
          <w:sz w:val="24"/>
          <w:szCs w:val="24"/>
          <w:highlight w:val="none"/>
          <w:lang w:val="en-US" w:eastAsia="zh-CN"/>
        </w:rPr>
        <w:t>景观</w:t>
      </w:r>
      <w:r>
        <w:rPr>
          <w:rFonts w:hint="eastAsia" w:ascii="宋体" w:hAnsi="宋体" w:eastAsia="宋体" w:cs="宋体"/>
          <w:color w:val="auto"/>
          <w:sz w:val="24"/>
          <w:szCs w:val="24"/>
          <w:highlight w:val="none"/>
        </w:rPr>
        <w:t>标进行招标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详见以下第2.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项标段划分。</w:t>
      </w:r>
    </w:p>
    <w:p>
      <w:pPr>
        <w:numPr>
          <w:ilvl w:val="1"/>
          <w:numId w:val="1"/>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个标段，分别为：</w:t>
      </w:r>
    </w:p>
    <w:p>
      <w:pPr>
        <w:pStyle w:val="116"/>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标段一：</w:t>
      </w:r>
      <w:r>
        <w:rPr>
          <w:rFonts w:hint="eastAsia" w:ascii="宋体" w:hAnsi="宋体" w:eastAsia="宋体" w:cs="宋体"/>
          <w:b/>
          <w:bCs/>
          <w:sz w:val="24"/>
          <w:szCs w:val="24"/>
          <w:highlight w:val="none"/>
        </w:rPr>
        <w:t>黄埔区2023年至2024年水利设施维修改造工程施工Ⅰ标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工程范围：包括开发大道东部、东北部片区河湖（含东滘涌、东江北干流、沙涌、沙步涌、南岗河、笔岗涌、四清河、天窿河、宏岗河、细陂河、牛屎圳、大坑涌、水声涌、沙田涌、龟咀涌、塘尾涌、珠山涌、芳尾河、华埔涌、金坑河、潭洞河、罗屋河、黄豆坑涌、平岗河、流沙河、凤凰河、黄田河、狮岭涌、塘面村河、平排二支涌、大沙河、沙形河、白汾水、柯木窿水、黄枝窿水、腰坑水、水响水、刘家庄河、伯坑涌、横坑涌、佛塱河、南村河、黄田河、凤凰湖、九龙湖等）堤岸及附属设施，堤防约304公里，山洪沟（截水沟）及附属设施。    </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以内）、堤身杂草（树）清理、防汛功能为主通道排水渠（沟）清疏、堤岸建筑垃圾清理等）；山洪沟（截水沟）清疏及维修改造等。</w:t>
      </w:r>
    </w:p>
    <w:p>
      <w:pPr>
        <w:pStyle w:val="116"/>
        <w:rPr>
          <w:rFonts w:hint="default" w:ascii="宋体" w:hAnsi="宋体" w:eastAsia="宋体" w:cs="宋体"/>
          <w:sz w:val="24"/>
          <w:szCs w:val="24"/>
          <w:highlight w:val="none"/>
          <w:lang w:val="en-US" w:eastAsia="zh-CN"/>
        </w:rPr>
      </w:pPr>
    </w:p>
    <w:p>
      <w:pPr>
        <w:pStyle w:val="116"/>
        <w:rPr>
          <w:rFonts w:hint="default" w:ascii="宋体" w:hAnsi="宋体" w:eastAsia="宋体" w:cs="宋体"/>
          <w:sz w:val="24"/>
          <w:szCs w:val="24"/>
          <w:highlight w:val="none"/>
          <w:lang w:val="en-US" w:eastAsia="zh-CN"/>
        </w:rPr>
      </w:pPr>
    </w:p>
    <w:p>
      <w:pPr>
        <w:pStyle w:val="116"/>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标段二：</w:t>
      </w:r>
      <w:r>
        <w:rPr>
          <w:rFonts w:hint="eastAsia" w:ascii="宋体" w:hAnsi="宋体" w:eastAsia="宋体" w:cs="宋体"/>
          <w:b/>
          <w:bCs/>
          <w:sz w:val="24"/>
          <w:szCs w:val="24"/>
          <w:highlight w:val="none"/>
        </w:rPr>
        <w:t>黄埔区2023年至2024年水利设施维修改造工程施工Ⅱ标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开发大道西部片区河湖（含鹤子坦涌、墩头涌、深涌、乌涌、下沙涌、乌涌左右支涌、小乌涌、本田厂排水渠、莲塘排水渠、青年圳、文涌、文涌支涌、双岗涌、双岗涌支涌、庙头涌、南湾涌、西滘河、米塔涌等）、长洲岛河涌（含长洲1号涌、2号涌、3号涌、4号涌、5号涌、6号涌、7号涌、新担涌、深井涌、江沥海）、大吉沙岛、娥眉沙岛、生物岛等堤岸及附属设施，堤防约380公里，山洪沟（截洪沟）及附属设施。</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以内）、堤身杂草（树）清理、防汛功能为主通道排水渠（沟）清疏、堤岸建筑垃圾清理等）；山洪沟（截水沟）清疏及维修改造等。</w:t>
      </w:r>
    </w:p>
    <w:p>
      <w:pPr>
        <w:pStyle w:val="116"/>
        <w:rPr>
          <w:rFonts w:hint="eastAsia" w:ascii="宋体" w:hAnsi="宋体" w:eastAsia="宋体" w:cs="宋体"/>
          <w:sz w:val="24"/>
          <w:szCs w:val="24"/>
          <w:highlight w:val="none"/>
        </w:rPr>
      </w:pPr>
    </w:p>
    <w:p>
      <w:pPr>
        <w:pStyle w:val="116"/>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标段三：</w:t>
      </w:r>
      <w:r>
        <w:rPr>
          <w:rFonts w:hint="eastAsia" w:ascii="宋体" w:hAnsi="宋体" w:eastAsia="宋体" w:cs="宋体"/>
          <w:b/>
          <w:bCs/>
          <w:sz w:val="24"/>
          <w:szCs w:val="24"/>
          <w:highlight w:val="none"/>
        </w:rPr>
        <w:t>黄埔区2023年至2024年水利设施维修改造工程施工Ⅲ标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（1）工程范围：包括全区所有的水闸、泵站、补水闸阀及附属设施。</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（2）工程内容：闸室（含闸板等）、翼墙、消能设施、</w:t>
      </w:r>
      <w:r>
        <w:rPr>
          <w:rFonts w:hint="eastAsia" w:ascii="宋体" w:hAnsi="宋体" w:cs="宋体"/>
          <w:sz w:val="24"/>
          <w:szCs w:val="24"/>
          <w:highlight w:val="none"/>
          <w:lang w:eastAsia="zh-CN"/>
        </w:rPr>
        <w:t>闸站</w:t>
      </w:r>
      <w:r>
        <w:rPr>
          <w:rFonts w:hint="eastAsia" w:ascii="宋体" w:hAnsi="宋体" w:eastAsia="宋体" w:cs="宋体"/>
          <w:sz w:val="24"/>
          <w:szCs w:val="24"/>
          <w:highlight w:val="none"/>
        </w:rPr>
        <w:t>护栏、标示牌、警示牌、管理责任牌、界桩、闸门及附属设施（包括启闭系统、应急发电系统、配电系统等）、泵房、水泵及附属设施（包括电机、输水管道、配电系统等）、水位尺、管理用房及配套设施（包括避雷装置、消防器材、值班设施、配电系统等）、视频监控系统、闸站控制系统、闸站监测系统、泵站进水池</w:t>
      </w:r>
      <w:r>
        <w:rPr>
          <w:rFonts w:hint="eastAsia" w:ascii="宋体" w:hAnsi="宋体" w:cs="宋体"/>
          <w:sz w:val="24"/>
          <w:szCs w:val="24"/>
          <w:highlight w:val="none"/>
          <w:lang w:eastAsia="zh-CN"/>
        </w:rPr>
        <w:t>清疏及闸门周边</w:t>
      </w:r>
      <w:r>
        <w:rPr>
          <w:rFonts w:hint="eastAsia" w:ascii="宋体" w:hAnsi="宋体" w:eastAsia="宋体" w:cs="宋体"/>
          <w:sz w:val="24"/>
          <w:szCs w:val="24"/>
          <w:highlight w:val="none"/>
        </w:rPr>
        <w:t>清疏等。</w:t>
      </w:r>
    </w:p>
    <w:p>
      <w:pPr>
        <w:pStyle w:val="116"/>
        <w:rPr>
          <w:rFonts w:hint="eastAsia" w:ascii="宋体" w:hAnsi="宋体" w:eastAsia="宋体" w:cs="宋体"/>
          <w:sz w:val="24"/>
          <w:szCs w:val="24"/>
          <w:highlight w:val="none"/>
        </w:rPr>
      </w:pPr>
    </w:p>
    <w:p>
      <w:pPr>
        <w:pStyle w:val="116"/>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标段四：</w:t>
      </w:r>
      <w:r>
        <w:rPr>
          <w:rFonts w:hint="eastAsia" w:ascii="宋体" w:hAnsi="宋体" w:eastAsia="宋体" w:cs="宋体"/>
          <w:b/>
          <w:bCs/>
          <w:sz w:val="24"/>
          <w:szCs w:val="24"/>
          <w:highlight w:val="none"/>
        </w:rPr>
        <w:t>黄埔区2023年至2024年水利设施维修改造工程</w:t>
      </w:r>
      <w:r>
        <w:rPr>
          <w:rFonts w:hint="eastAsia" w:ascii="宋体" w:hAnsi="宋体" w:cs="宋体"/>
          <w:b/>
          <w:bCs/>
          <w:sz w:val="24"/>
          <w:szCs w:val="24"/>
          <w:highlight w:val="none"/>
          <w:lang w:eastAsia="zh-CN"/>
        </w:rPr>
        <w:t>景观标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（1）工程范围：包括河湖、水闸、泵站及补水闸阀。</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河湖栏杆（如临水栏杆（含跨涌桥）、临水铁链、非临水栏杆等）、亲水设施（如平台、廊道、栈道、台阶、构架等）、道路（不涉及防汛功能的道路，如景观碧道、园路、汀步、广场等）、河湖标牌（如指引牌、标示牌、制度牌、宣传牌（栏）、布展牌、树木标牌等）、河湖结构（具备景观功能的结构，如凉亭、花架、构架等）、装饰面（如堤身饰面、跨涌桥饰面、箱涵饰面、栏杆饰面等）、景观配套设施（如管理房、监控室、值班室、驿站、展览馆、风雨长廊、小苑、公共卫生间、停车场等）、景观附属设施（休闲坐凳、垃圾桶、雕塑、景观小品、非防汛功能为主通道排水沟渠及盖板等）、景观附属系统（景观照明系统、庭院灯照明系统、喷淋喷灌系统等）维修改造；河湖绿化（含水生植物）缺失区域复绿种植、绿化景观升级改造、重要节点绿化景观造型布设、绿化喷灌系统增设等。</w:t>
      </w:r>
    </w:p>
    <w:p>
      <w:pPr>
        <w:pStyle w:val="116"/>
        <w:rPr>
          <w:rFonts w:hint="default" w:ascii="宋体" w:hAnsi="宋体" w:eastAsia="宋体" w:cs="宋体"/>
          <w:sz w:val="24"/>
          <w:szCs w:val="24"/>
          <w:highlight w:val="none"/>
          <w:lang w:val="en-US" w:eastAsia="zh-CN"/>
        </w:rPr>
      </w:pPr>
    </w:p>
    <w:p>
      <w:pPr>
        <w:pStyle w:val="116"/>
        <w:rPr>
          <w:rFonts w:hint="eastAsia" w:ascii="宋体" w:hAnsi="宋体" w:eastAsia="宋体" w:cs="宋体"/>
          <w:sz w:val="24"/>
          <w:szCs w:val="24"/>
          <w:highlight w:val="none"/>
        </w:rPr>
      </w:pPr>
    </w:p>
    <w:p>
      <w:pPr>
        <w:pStyle w:val="116"/>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w:t>
      </w:r>
      <w:r>
        <w:rPr>
          <w:rFonts w:hint="eastAsia" w:ascii="宋体" w:hAnsi="宋体" w:cs="宋体"/>
          <w:sz w:val="24"/>
          <w:szCs w:val="24"/>
          <w:highlight w:val="none"/>
          <w:lang w:eastAsia="zh-CN"/>
        </w:rPr>
        <w:t>投标说明</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w:t>
      </w:r>
    </w:p>
    <w:p>
      <w:pPr>
        <w:pStyle w:val="4"/>
        <w:rPr>
          <w:rFonts w:hint="eastAsia" w:ascii="宋体" w:hAnsi="宋体" w:eastAsia="宋体" w:cs="宋体"/>
          <w:color w:val="auto"/>
          <w:sz w:val="24"/>
          <w:szCs w:val="24"/>
          <w:highlight w:val="none"/>
        </w:rPr>
      </w:pPr>
      <w:bookmarkStart w:id="5" w:name="_Toc22384"/>
      <w:r>
        <w:rPr>
          <w:rFonts w:hint="eastAsia" w:ascii="宋体" w:hAnsi="宋体" w:eastAsia="宋体" w:cs="宋体"/>
          <w:color w:val="auto"/>
          <w:sz w:val="24"/>
          <w:szCs w:val="24"/>
          <w:highlight w:val="none"/>
        </w:rPr>
        <w:t>投标人资格要求</w:t>
      </w:r>
      <w:bookmarkEnd w:id="5"/>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投标人应具备承担本工程施工的资质条件、能力和信誉，</w:t>
      </w:r>
      <w:r>
        <w:rPr>
          <w:rFonts w:hint="eastAsia" w:ascii="宋体" w:hAnsi="宋体" w:cs="宋体"/>
          <w:b/>
          <w:bCs/>
          <w:sz w:val="24"/>
          <w:szCs w:val="24"/>
          <w:highlight w:val="none"/>
          <w:lang w:eastAsia="zh-CN"/>
        </w:rPr>
        <w:t>施工Ⅲ标</w:t>
      </w:r>
      <w:r>
        <w:rPr>
          <w:rFonts w:hint="eastAsia" w:ascii="宋体" w:hAnsi="宋体" w:eastAsia="宋体" w:cs="宋体"/>
          <w:color w:val="auto"/>
          <w:kern w:val="0"/>
          <w:sz w:val="24"/>
          <w:szCs w:val="24"/>
          <w:highlight w:val="none"/>
        </w:rPr>
        <w:t>具体要求如下：</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投标人应具有独立法人资格并依法取得营业执照，营业执照处于有效期。</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bidi="ar"/>
        </w:rPr>
        <w:t>投标人应持有建设行政主管部门颁发的企业资质证书及安全生产许可证。</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3.3</w:t>
      </w:r>
      <w:r>
        <w:rPr>
          <w:rFonts w:hint="eastAsia" w:ascii="宋体" w:hAnsi="宋体" w:eastAsia="宋体" w:cs="宋体"/>
          <w:color w:val="auto"/>
          <w:kern w:val="0"/>
          <w:sz w:val="24"/>
          <w:szCs w:val="24"/>
          <w:highlight w:val="none"/>
          <w:lang w:bidi="ar"/>
        </w:rPr>
        <w:t>投标人应具备以下资质：</w:t>
      </w:r>
    </w:p>
    <w:p>
      <w:pPr>
        <w:widowControl/>
        <w:adjustRightInd w:val="0"/>
        <w:snapToGrid w:val="0"/>
        <w:spacing w:line="480" w:lineRule="exact"/>
        <w:ind w:firstLine="543" w:firstLineChars="224"/>
        <w:rPr>
          <w:rFonts w:hint="default" w:eastAsia="宋体"/>
          <w:b w:val="0"/>
          <w:bCs/>
          <w:highlight w:val="none"/>
          <w:lang w:eastAsia="zh-CN"/>
        </w:rPr>
      </w:pPr>
      <w:r>
        <w:rPr>
          <w:rFonts w:hint="eastAsia" w:ascii="宋体" w:hAnsi="宋体" w:eastAsia="宋体" w:cs="宋体"/>
          <w:color w:val="auto"/>
          <w:kern w:val="0"/>
          <w:sz w:val="24"/>
          <w:szCs w:val="24"/>
          <w:highlight w:val="none"/>
          <w:lang w:bidi="ar"/>
        </w:rPr>
        <w:t>投标人具有承接本工程所需的水利水电工程施工总承包</w:t>
      </w:r>
      <w:r>
        <w:rPr>
          <w:rFonts w:hint="eastAsia" w:ascii="宋体" w:hAnsi="宋体" w:cs="宋体"/>
          <w:color w:val="auto"/>
          <w:kern w:val="0"/>
          <w:sz w:val="24"/>
          <w:szCs w:val="24"/>
          <w:highlight w:val="none"/>
          <w:u w:val="none"/>
          <w:lang w:val="en-US" w:eastAsia="zh-CN" w:bidi="ar"/>
        </w:rPr>
        <w:t>三</w:t>
      </w:r>
      <w:r>
        <w:rPr>
          <w:rFonts w:hint="eastAsia" w:ascii="宋体" w:hAnsi="宋体" w:eastAsia="宋体" w:cs="宋体"/>
          <w:color w:val="auto"/>
          <w:kern w:val="0"/>
          <w:sz w:val="24"/>
          <w:szCs w:val="24"/>
          <w:highlight w:val="none"/>
          <w:lang w:bidi="ar"/>
        </w:rPr>
        <w:t>级或以上级别资质。</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3.4</w:t>
      </w:r>
      <w:r>
        <w:rPr>
          <w:rFonts w:hint="eastAsia" w:ascii="宋体" w:hAnsi="宋体" w:eastAsia="宋体" w:cs="宋体"/>
          <w:color w:val="auto"/>
          <w:kern w:val="0"/>
          <w:sz w:val="24"/>
          <w:szCs w:val="24"/>
          <w:highlight w:val="none"/>
          <w:lang w:bidi="ar"/>
        </w:rPr>
        <w:t>对投标人拟派项目负责人的要求：</w:t>
      </w:r>
    </w:p>
    <w:p>
      <w:pPr>
        <w:widowControl/>
        <w:adjustRightInd w:val="0"/>
        <w:snapToGrid w:val="0"/>
        <w:spacing w:line="480" w:lineRule="exact"/>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（1）投标人拟担任本工程项目负责人的人员须具有水利水电专业二级或以上级</w:t>
      </w:r>
      <w:r>
        <w:rPr>
          <w:rFonts w:hint="eastAsia" w:ascii="宋体" w:hAnsi="宋体" w:eastAsia="宋体" w:cs="宋体"/>
          <w:color w:val="auto"/>
          <w:sz w:val="24"/>
          <w:szCs w:val="24"/>
          <w:highlight w:val="none"/>
        </w:rPr>
        <w:t>别的注册建造师。</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（2）项目负责人持有水行政主管部门颁发的安全生产考核合格证（B类）</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val="en-US" w:eastAsia="zh-CN" w:bidi="ar"/>
        </w:rPr>
      </w:pP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对投标人拟派专职安全员的要求：</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专职安全员须具有水行政主管部门颁发的安全生产考核合格证（C类）</w:t>
      </w:r>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提交社保文件的要求</w:t>
      </w:r>
    </w:p>
    <w:p>
      <w:pPr>
        <w:widowControl/>
        <w:spacing w:line="360" w:lineRule="auto"/>
        <w:ind w:firstLine="56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投标申请人须保证授权的委托代理人及项目部主要组成人员（项目负责人、技术负责人（如有）、专职安全员）均为本单位的正式职工，必须具有离投标截止时间最近</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个</w:t>
      </w:r>
      <w:r>
        <w:rPr>
          <w:rFonts w:hint="eastAsia" w:ascii="宋体" w:hAnsi="宋体" w:eastAsia="宋体" w:cs="宋体"/>
          <w:color w:val="auto"/>
          <w:kern w:val="0"/>
          <w:sz w:val="24"/>
          <w:szCs w:val="24"/>
          <w:highlight w:val="none"/>
        </w:rPr>
        <w:t>月（时间为：</w:t>
      </w:r>
      <w:r>
        <w:rPr>
          <w:rFonts w:hint="eastAsia" w:ascii="宋体" w:hAnsi="宋体" w:eastAsia="宋体" w:cs="宋体"/>
          <w:color w:val="auto"/>
          <w:kern w:val="0"/>
          <w:sz w:val="24"/>
          <w:szCs w:val="24"/>
          <w:highlight w:val="none"/>
          <w:lang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月）在本单位交纳的社保证明文件（以加盖社会保险基金管理中心印章的《投保单》或《社会保险参保人员证明》资料为准）。</w:t>
      </w:r>
    </w:p>
    <w:p>
      <w:pPr>
        <w:widowControl/>
        <w:spacing w:line="360" w:lineRule="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投标人已按公告附件一规定格式签署盖章的投标人声明，且</w:t>
      </w:r>
      <w:r>
        <w:rPr>
          <w:rFonts w:hint="eastAsia" w:ascii="宋体" w:hAnsi="宋体" w:cs="宋体"/>
          <w:color w:val="auto"/>
          <w:kern w:val="0"/>
          <w:sz w:val="24"/>
          <w:szCs w:val="24"/>
          <w:highlight w:val="none"/>
          <w:lang w:val="en-US" w:eastAsia="zh-CN" w:bidi="ar"/>
        </w:rPr>
        <w:t>法定代表人、</w:t>
      </w:r>
      <w:r>
        <w:rPr>
          <w:rFonts w:hint="eastAsia" w:ascii="宋体" w:hAnsi="宋体" w:eastAsia="宋体" w:cs="宋体"/>
          <w:color w:val="auto"/>
          <w:kern w:val="0"/>
          <w:sz w:val="24"/>
          <w:szCs w:val="24"/>
          <w:highlight w:val="none"/>
          <w:lang w:bidi="ar"/>
        </w:rPr>
        <w:t>项目负责人、技术负责人需签字确认。</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关于联合体投标：本次招标不接受联合体投标。</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投标人未被纳入失信联合惩戒名单，失信联合惩戒名单以“信用广州”网站公布的“失信黑名单”为准。（提供网页打印页）。</w:t>
      </w:r>
    </w:p>
    <w:p>
      <w:pPr>
        <w:pStyle w:val="39"/>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bookmarkStart w:id="6" w:name="_Toc16364"/>
      <w:r>
        <w:rPr>
          <w:rFonts w:hint="eastAsia" w:ascii="宋体" w:hAnsi="宋体" w:eastAsia="宋体" w:cs="宋体"/>
          <w:color w:val="auto"/>
          <w:sz w:val="24"/>
          <w:szCs w:val="24"/>
          <w:highlight w:val="none"/>
        </w:rPr>
        <w:t>招标公告和招标文件的获取</w:t>
      </w:r>
      <w:bookmarkEnd w:id="6"/>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招标公告发布时间</w:t>
      </w:r>
    </w:p>
    <w:p>
      <w:pPr>
        <w:widowControl/>
        <w:shd w:val="clear" w:color="auto" w:fill="FFFFFF"/>
        <w:snapToGrid w:val="0"/>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从</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日至</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分（注：发布招标公告的时间为招标公告发出之日起至投标截止时间止）。</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招标文件获取方式</w:t>
      </w:r>
    </w:p>
    <w:p>
      <w:pPr>
        <w:widowControl/>
        <w:shd w:val="clear" w:color="auto" w:fill="FFFFFF"/>
        <w:snapToGrid w:val="0"/>
        <w:spacing w:line="360" w:lineRule="auto"/>
        <w:ind w:firstLine="486"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rPr>
        <w:t>广州公共资源交易网发布</w:t>
      </w:r>
      <w:r>
        <w:rPr>
          <w:rFonts w:hint="eastAsia" w:ascii="宋体" w:hAnsi="宋体" w:eastAsia="宋体" w:cs="宋体"/>
          <w:color w:val="auto"/>
          <w:kern w:val="0"/>
          <w:sz w:val="24"/>
          <w:szCs w:val="24"/>
          <w:highlight w:val="none"/>
        </w:rPr>
        <w:t>，由投标人自行下载。</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招标公告网上发布时，同时发布招标文件。</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招标公告、招标文件发布媒体</w:t>
      </w:r>
    </w:p>
    <w:p>
      <w:pPr>
        <w:widowControl/>
        <w:shd w:val="clear" w:color="auto" w:fill="FFFFFF"/>
        <w:snapToGrid w:val="0"/>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本公告在广州公共资源交易中心网（网址：http://www.gzggzy.cn）、广东省招标投标监管网（网址： http://zbtb.gd.gov.cn/login）和中国招标投标公共服务平台（网址：http://www.cebpubservice.com/）发布，本公告的修改、补充，在广州公共资源交易中心网发布。</w:t>
      </w:r>
    </w:p>
    <w:p>
      <w:pPr>
        <w:pStyle w:val="4"/>
        <w:rPr>
          <w:rFonts w:hint="eastAsia" w:ascii="宋体" w:hAnsi="宋体" w:eastAsia="宋体" w:cs="宋体"/>
          <w:color w:val="auto"/>
          <w:sz w:val="24"/>
          <w:szCs w:val="24"/>
          <w:highlight w:val="none"/>
        </w:rPr>
      </w:pPr>
      <w:bookmarkStart w:id="7" w:name="_Toc27749"/>
      <w:r>
        <w:rPr>
          <w:rFonts w:hint="eastAsia" w:ascii="宋体" w:hAnsi="宋体" w:eastAsia="宋体" w:cs="宋体"/>
          <w:color w:val="auto"/>
          <w:sz w:val="24"/>
          <w:szCs w:val="24"/>
          <w:highlight w:val="none"/>
        </w:rPr>
        <w:t>投标文件的递交</w:t>
      </w:r>
      <w:bookmarkEnd w:id="7"/>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投标文件递交的截止时间（投标截止时间，下同）为</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spacing w:line="360" w:lineRule="auto"/>
        <w:ind w:left="859" w:leftChars="402" w:hanging="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投标人投标文件解密时间为投标截止时间后</w:t>
      </w:r>
      <w:r>
        <w:rPr>
          <w:rFonts w:hint="eastAsia" w:ascii="宋体" w:hAnsi="宋体" w:eastAsia="宋体" w:cs="宋体"/>
          <w:color w:val="auto"/>
          <w:sz w:val="24"/>
          <w:szCs w:val="24"/>
          <w:highlight w:val="none"/>
          <w:u w:val="single"/>
        </w:rPr>
        <w:t>0.5</w:t>
      </w:r>
      <w:r>
        <w:rPr>
          <w:rFonts w:hint="eastAsia" w:ascii="宋体" w:hAnsi="宋体" w:eastAsia="宋体" w:cs="宋体"/>
          <w:color w:val="auto"/>
          <w:sz w:val="24"/>
          <w:szCs w:val="24"/>
          <w:highlight w:val="none"/>
        </w:rPr>
        <w:t>小时（注：由招标人自行选择投标截止后1小时或30分钟），即：</w:t>
      </w:r>
    </w:p>
    <w:p>
      <w:pPr>
        <w:spacing w:line="360" w:lineRule="auto"/>
        <w:ind w:firstLine="546"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_分至</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r>
        <w:rPr>
          <w:rFonts w:hint="eastAsia" w:ascii="宋体" w:hAnsi="宋体" w:eastAsia="宋体" w:cs="宋体"/>
          <w:color w:val="auto"/>
          <w:sz w:val="24"/>
          <w:szCs w:val="24"/>
          <w:highlight w:val="none"/>
        </w:rPr>
        <w:t xml:space="preserve">    </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投标截止时间与开标时间是否有变化，请密切留意招标答疑中的相关信息。递交投标文件截止时间后，开标时间因故推迟的，相关评标信息仍以原递交投标文件截止时间的信息为准。</w:t>
      </w:r>
    </w:p>
    <w:p>
      <w:pPr>
        <w:numPr>
          <w:ilvl w:val="0"/>
          <w:numId w:val="5"/>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交易平台网站办理网上投标登记手续；完成所有投标文件的上传，并取得回执码，投标截止时间前未完成投标文件传输的，视为未递交投标文件。</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在投标文件递交截止时间之前，投标人可以撤回或替换已递交的投标文件；可以修改网上投标登记相关信息。</w:t>
      </w:r>
    </w:p>
    <w:p>
      <w:pPr>
        <w:pStyle w:val="4"/>
        <w:rPr>
          <w:rFonts w:hint="eastAsia" w:ascii="宋体" w:hAnsi="宋体" w:eastAsia="宋体" w:cs="宋体"/>
          <w:color w:val="auto"/>
          <w:sz w:val="24"/>
          <w:szCs w:val="24"/>
          <w:highlight w:val="none"/>
        </w:rPr>
      </w:pPr>
      <w:bookmarkStart w:id="8" w:name="_Toc24608"/>
      <w:r>
        <w:rPr>
          <w:rFonts w:hint="eastAsia" w:ascii="宋体" w:hAnsi="宋体" w:eastAsia="宋体" w:cs="宋体"/>
          <w:color w:val="auto"/>
          <w:sz w:val="24"/>
          <w:szCs w:val="24"/>
          <w:highlight w:val="none"/>
        </w:rPr>
        <w:t>投标保证金</w:t>
      </w:r>
      <w:bookmarkEnd w:id="8"/>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万元/标段，投标保证金须按招标文件规定的方式在开标前完成缴纳。</w:t>
      </w:r>
    </w:p>
    <w:p>
      <w:pPr>
        <w:pStyle w:val="4"/>
        <w:rPr>
          <w:rFonts w:hint="eastAsia" w:ascii="宋体" w:hAnsi="宋体" w:eastAsia="宋体" w:cs="宋体"/>
          <w:color w:val="auto"/>
          <w:sz w:val="24"/>
          <w:szCs w:val="24"/>
          <w:highlight w:val="none"/>
        </w:rPr>
      </w:pPr>
      <w:bookmarkStart w:id="9" w:name="_Toc22701"/>
      <w:r>
        <w:rPr>
          <w:rFonts w:hint="eastAsia" w:ascii="宋体" w:hAnsi="宋体" w:eastAsia="宋体" w:cs="宋体"/>
          <w:color w:val="auto"/>
          <w:sz w:val="24"/>
          <w:szCs w:val="24"/>
          <w:highlight w:val="none"/>
        </w:rPr>
        <w:t>资格审查方式</w:t>
      </w:r>
      <w:bookmarkEnd w:id="9"/>
    </w:p>
    <w:p>
      <w:pPr>
        <w:numPr>
          <w:ilvl w:val="0"/>
          <w:numId w:val="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pPr>
        <w:numPr>
          <w:ilvl w:val="0"/>
          <w:numId w:val="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资格审查结果将在广州公共资源交易网和广东省招标投标监管网公示，公示时间不得少于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w:t>
      </w:r>
    </w:p>
    <w:p>
      <w:pPr>
        <w:pStyle w:val="4"/>
        <w:rPr>
          <w:rFonts w:hint="eastAsia" w:ascii="宋体" w:hAnsi="宋体" w:eastAsia="宋体" w:cs="宋体"/>
          <w:color w:val="auto"/>
          <w:sz w:val="24"/>
          <w:szCs w:val="24"/>
          <w:highlight w:val="none"/>
        </w:rPr>
      </w:pPr>
      <w:bookmarkStart w:id="10" w:name="_Toc30267"/>
      <w:r>
        <w:rPr>
          <w:rFonts w:hint="eastAsia" w:ascii="宋体" w:hAnsi="宋体" w:eastAsia="宋体" w:cs="宋体"/>
          <w:color w:val="auto"/>
          <w:sz w:val="24"/>
          <w:szCs w:val="24"/>
          <w:highlight w:val="none"/>
        </w:rPr>
        <w:t>企业信息登记</w:t>
      </w:r>
      <w:bookmarkEnd w:id="10"/>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本次招标要求投标人办理网上投标登记前，须在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交易平台完成企业信息登记，及拟担任本工程项目负责人、专职安全员须是本企业信息登记中的在册人员。</w:t>
      </w:r>
      <w:r>
        <w:rPr>
          <w:rFonts w:hint="eastAsia" w:ascii="宋体" w:hAnsi="宋体" w:eastAsia="宋体" w:cs="宋体"/>
          <w:color w:val="auto"/>
          <w:kern w:val="0"/>
          <w:sz w:val="24"/>
          <w:szCs w:val="24"/>
          <w:highlight w:val="none"/>
        </w:rPr>
        <w:t>企业信息登记应按照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kern w:val="0"/>
          <w:sz w:val="24"/>
          <w:szCs w:val="24"/>
          <w:highlight w:val="none"/>
        </w:rPr>
        <w:t>交易平台关于企业信息登记的相关指南进行操作。详见：广州公共资源交易中心网-服务指南-办事指引。</w:t>
      </w:r>
    </w:p>
    <w:p>
      <w:pPr>
        <w:pStyle w:val="4"/>
        <w:rPr>
          <w:rFonts w:hint="eastAsia" w:ascii="宋体" w:hAnsi="宋体" w:eastAsia="宋体" w:cs="宋体"/>
          <w:color w:val="auto"/>
          <w:sz w:val="24"/>
          <w:szCs w:val="24"/>
          <w:highlight w:val="none"/>
        </w:rPr>
      </w:pPr>
      <w:bookmarkStart w:id="11" w:name="_Toc16543"/>
      <w:r>
        <w:rPr>
          <w:rFonts w:hint="eastAsia" w:ascii="宋体" w:hAnsi="宋体" w:eastAsia="宋体" w:cs="宋体"/>
          <w:color w:val="auto"/>
          <w:sz w:val="24"/>
          <w:szCs w:val="24"/>
          <w:highlight w:val="none"/>
        </w:rPr>
        <w:t>诚信得分</w:t>
      </w:r>
      <w:bookmarkEnd w:id="11"/>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投标人诚信评价得分按广州市水务工程企业库及诚信评价系统（http://120.236.111.11:8001/#/website）中的“企业诚信得分&gt;&gt;施工—水利”的“诚信评价总分”计算；</w:t>
      </w:r>
      <w:r>
        <w:rPr>
          <w:rFonts w:hint="eastAsia" w:ascii="宋体" w:hAnsi="宋体" w:eastAsia="宋体" w:cs="宋体"/>
          <w:color w:val="auto"/>
          <w:sz w:val="24"/>
          <w:szCs w:val="24"/>
          <w:highlight w:val="none"/>
          <w:lang w:eastAsia="zh-CN"/>
        </w:rPr>
        <w:t>未在“诚信管理系统”录入企业信息的投标人（简称“未入库企业”），其诚信评价总分取基准分80分。“评价周期”应为招标公告发布第1天所在季度的上一季度。</w:t>
      </w:r>
    </w:p>
    <w:p>
      <w:pPr>
        <w:pStyle w:val="4"/>
        <w:rPr>
          <w:rFonts w:hint="eastAsia" w:ascii="宋体" w:hAnsi="宋体" w:eastAsia="宋体" w:cs="宋体"/>
          <w:color w:val="auto"/>
          <w:sz w:val="24"/>
          <w:szCs w:val="24"/>
          <w:highlight w:val="none"/>
        </w:rPr>
      </w:pPr>
      <w:bookmarkStart w:id="12" w:name="_Toc3644"/>
      <w:r>
        <w:rPr>
          <w:rFonts w:hint="eastAsia" w:ascii="宋体" w:hAnsi="宋体" w:eastAsia="宋体" w:cs="宋体"/>
          <w:color w:val="auto"/>
          <w:sz w:val="24"/>
          <w:szCs w:val="24"/>
          <w:highlight w:val="none"/>
        </w:rPr>
        <w:t>疑问、异议、投诉处理</w:t>
      </w:r>
      <w:bookmarkEnd w:id="12"/>
    </w:p>
    <w:p>
      <w:pPr>
        <w:numPr>
          <w:ilvl w:val="0"/>
          <w:numId w:val="7"/>
        </w:numPr>
        <w:spacing w:line="360" w:lineRule="auto"/>
        <w:ind w:left="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numPr>
          <w:ilvl w:val="0"/>
          <w:numId w:val="7"/>
        </w:numPr>
        <w:spacing w:line="360" w:lineRule="auto"/>
        <w:ind w:left="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潜在投标人或利害关系人对本招标告及招标文件、开标、评标结果有疑问或异议的，向招标人书面提出，由招标人受理。投诉由本招标项目的招标监督机构受理。</w:t>
      </w:r>
    </w:p>
    <w:p>
      <w:pPr>
        <w:pStyle w:val="4"/>
        <w:rPr>
          <w:rFonts w:hint="eastAsia" w:ascii="宋体" w:hAnsi="宋体" w:eastAsia="宋体" w:cs="宋体"/>
          <w:color w:val="auto"/>
          <w:sz w:val="24"/>
          <w:szCs w:val="24"/>
          <w:highlight w:val="none"/>
        </w:rPr>
      </w:pPr>
      <w:bookmarkStart w:id="13" w:name="_Toc7479"/>
      <w:r>
        <w:rPr>
          <w:rFonts w:hint="eastAsia" w:ascii="宋体" w:hAnsi="宋体" w:eastAsia="宋体" w:cs="宋体"/>
          <w:color w:val="auto"/>
          <w:sz w:val="24"/>
          <w:szCs w:val="24"/>
          <w:highlight w:val="none"/>
        </w:rPr>
        <w:t>联系方式</w:t>
      </w:r>
      <w:bookmarkEnd w:id="13"/>
    </w:p>
    <w:p>
      <w:pPr>
        <w:spacing w:line="360" w:lineRule="auto"/>
        <w:ind w:firstLine="486"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招标单位：广州市黄埔区水务设施管理所</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钟</w:t>
      </w:r>
      <w:r>
        <w:rPr>
          <w:rFonts w:hint="eastAsia" w:ascii="宋体" w:hAnsi="宋体" w:eastAsia="宋体" w:cs="宋体"/>
          <w:color w:val="auto"/>
          <w:sz w:val="24"/>
          <w:szCs w:val="24"/>
          <w:highlight w:val="none"/>
        </w:rPr>
        <w:t>工    联系电话：020-82287753</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val="en-US" w:eastAsia="zh-CN"/>
        </w:rPr>
        <w:t>广东省建筑工程监理有限公司</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020-86673560  13430282848</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招标监督机构：广州市黄埔区水务工程招标投标管理办公室</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监督电话：020-82378991</w:t>
      </w:r>
    </w:p>
    <w:p>
      <w:pPr>
        <w:spacing w:line="360" w:lineRule="auto"/>
        <w:ind w:firstLine="486"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widowControl/>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bidi="ar"/>
        </w:rPr>
        <w:t>附件一：</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投标人声明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（参考格式）</w:t>
      </w:r>
    </w:p>
    <w:p>
      <w:pPr>
        <w:spacing w:line="360" w:lineRule="auto"/>
        <w:jc w:val="center"/>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广州市水务局、本招标项目招标人及招标监管机构：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本公司就参加投标工作，作出郑重声明：</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本公司保证投标报名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二、本公司保证在本项目投标中不与其他单位围标、串标，不出让投标资格，不向招标人或评标委员会成员行贿。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三、本公司不存在下列情形：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（1）为招标人不具有独立法人资格的附属机构（单位）；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（2）为本标段前期准备提供设计或咨询服务或者与本项目设计人或提供咨询服务的机构存在附属关系的；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（3）为本项目监理人或者与本项目监理人存在隶属关系或者其他利害关系；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（4）为本标段的代建人；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（5）为本标段提供招标代理服务的；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（6）与本标段的监理人或代建人或招标代理机构同为一个法定代表人的；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（7）与本标段的监理人或代建人或招标代理机构互相控股或参股的；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（8）与本标段的监理人或代建人或招标代理机构相互任职或工作的；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（9）与本标段的检测机构有隶属关系或者其他利害关系；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（10）与招标人存在利害关系且可能影响招标公正性；</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（11）与本标段的其他投标人为同一个单位负责人；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（12）与本标段的其他投标人存在控股、管理关系；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（13）被依法暂停或取消投标资格的；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（14）被责令停产停业、暂扣或者吊销许可证、暂扣或者吊销执照的；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（15）进入清算程序，或被宣布破产，或其他丧失履约能力的情形；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（16）在最近三年内有骗取中标或严重违约或重大工程质量问题的；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（17）被工商行政管理机关在全国企业信用信息公示系统中列入严重违法失信企业名单；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（18）被最高人民法院在“信用中国”网站（www.creditchina.gov.cn）</w:t>
      </w:r>
      <w:r>
        <w:rPr>
          <w:rFonts w:hint="eastAsia" w:ascii="宋体" w:hAnsi="宋体" w:cs="宋体"/>
          <w:color w:val="auto"/>
          <w:sz w:val="24"/>
          <w:szCs w:val="24"/>
          <w:highlight w:val="none"/>
          <w:lang w:val="en-US" w:eastAsia="zh-CN" w:bidi="ar"/>
        </w:rPr>
        <w:t>或“信用广州”网站（https://credit.gz.gov.cn/）</w:t>
      </w:r>
      <w:r>
        <w:rPr>
          <w:rFonts w:hint="eastAsia" w:ascii="宋体" w:hAnsi="宋体" w:eastAsia="宋体" w:cs="宋体"/>
          <w:color w:val="auto"/>
          <w:sz w:val="24"/>
          <w:szCs w:val="24"/>
          <w:highlight w:val="none"/>
          <w:lang w:bidi="ar"/>
        </w:rPr>
        <w:t>或</w:t>
      </w:r>
      <w:r>
        <w:rPr>
          <w:rFonts w:hint="eastAsia" w:ascii="宋体" w:hAnsi="宋体" w:cs="宋体"/>
          <w:color w:val="auto"/>
          <w:sz w:val="24"/>
          <w:szCs w:val="24"/>
          <w:highlight w:val="none"/>
          <w:lang w:val="en-US" w:eastAsia="zh-CN" w:bidi="ar"/>
        </w:rPr>
        <w:t>其它</w:t>
      </w:r>
      <w:r>
        <w:rPr>
          <w:rFonts w:hint="eastAsia" w:ascii="宋体" w:hAnsi="宋体" w:eastAsia="宋体" w:cs="宋体"/>
          <w:color w:val="auto"/>
          <w:sz w:val="24"/>
          <w:szCs w:val="24"/>
          <w:highlight w:val="none"/>
          <w:lang w:bidi="ar"/>
        </w:rPr>
        <w:t>各级信用信息共享平台中列入失信被执行人名单；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（19）被发改委、人力资源社会保障、质检总局等有关部门、单位在“信用中国”网站中列入联合惩戒失信黑名单。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（20）未在以往工程中因不诚信行为或不充分履约行为被本项目招标人书面拒绝投标的，或未被纳入联合惩戒范围的（如有，提供具体名单；如无，则删除。）。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（21）在近三年内投标人或其法定代表人、拟委派的项目负责人有行贿犯罪行为的；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（22）法律法规规定的其他情形。</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四、本公司保证本项目拟派的项目负责人和安全员没有在其他在建项目中任职。</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七、与本公司单位负责人为同一人或者与本公司存在控股、管理关系的其他单位包括：</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。（注：本条由投标人如实填写，如有，应列出全部满足招标公告资质要求的相关单位的名称；如无，则填写“无”。）</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jc w:val="left"/>
        <w:rPr>
          <w:rFonts w:hint="eastAsia" w:ascii="宋体" w:hAnsi="宋体" w:eastAsia="宋体" w:cs="宋体"/>
          <w:color w:val="auto"/>
          <w:sz w:val="24"/>
          <w:szCs w:val="24"/>
          <w:highlight w:val="none"/>
        </w:rPr>
      </w:pP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声明企业：</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法定代表人签字：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项目负责人（签字）：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技术负责人（签字）：</w:t>
      </w:r>
    </w:p>
    <w:p>
      <w:pPr>
        <w:spacing w:line="360" w:lineRule="auto"/>
        <w:jc w:val="righ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（企业公章）</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年</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日</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4" w:name="_Toc20031"/>
      <w:bookmarkStart w:id="15" w:name="_Toc7224"/>
      <w:r>
        <w:rPr>
          <w:rFonts w:hint="eastAsia" w:ascii="宋体" w:hAnsi="宋体" w:eastAsia="宋体" w:cs="宋体"/>
          <w:color w:val="auto"/>
          <w:sz w:val="24"/>
          <w:szCs w:val="24"/>
          <w:highlight w:val="none"/>
        </w:rPr>
        <w:t>第二章投标人须知</w:t>
      </w:r>
      <w:bookmarkEnd w:id="14"/>
      <w:bookmarkEnd w:id="15"/>
    </w:p>
    <w:p>
      <w:pPr>
        <w:spacing w:line="360" w:lineRule="auto"/>
        <w:jc w:val="center"/>
        <w:outlineLvl w:val="2"/>
        <w:rPr>
          <w:rFonts w:hint="eastAsia" w:ascii="宋体" w:hAnsi="宋体" w:eastAsia="宋体" w:cs="宋体"/>
          <w:color w:val="auto"/>
          <w:sz w:val="24"/>
          <w:szCs w:val="24"/>
          <w:highlight w:val="none"/>
        </w:rPr>
      </w:pPr>
      <w:bookmarkStart w:id="16" w:name="_Toc4336"/>
      <w:r>
        <w:rPr>
          <w:rFonts w:hint="eastAsia" w:ascii="宋体" w:hAnsi="宋体" w:eastAsia="宋体" w:cs="宋体"/>
          <w:color w:val="auto"/>
          <w:sz w:val="24"/>
          <w:szCs w:val="24"/>
          <w:highlight w:val="none"/>
        </w:rPr>
        <w:t>投标须知修改表</w:t>
      </w:r>
      <w:bookmarkEnd w:id="16"/>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须知使用SWZB2019-02试行版招标文件范本的投标须知通用条款，与该通用条款不同之处，均在本表中列明，并以现文为准，原文不再有效。本招标文件范本请投标人自行到广州市水务局网站（网址：http://www.gzwater.gov.cn）下载查阅。</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条款号：9.1、9.2             修改类型：增加</w:t>
      </w:r>
    </w:p>
    <w:p>
      <w:pP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现文：9.1中标后，中标人须提供与电子投标文件一致的纸质版投标文件一正三副。</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交易服务费：中标人应按招标人通知的日期向广州公共资源交易中心缴纳交易服务费、向广州公共资源交易中心索取发票，并在取得发票后及时告知招标代理。（该交易服务费为中标金额的0.9‰，具体收费标准投标人可以在广州公共资源交易中心网站查阅，如有变更以广州公共资源交易中心最新发布的标准</w:t>
      </w:r>
      <w:r>
        <w:rPr>
          <w:rFonts w:hint="eastAsia" w:ascii="宋体" w:hAnsi="宋体" w:eastAsia="宋体" w:cs="宋体"/>
          <w:color w:val="auto"/>
          <w:sz w:val="24"/>
          <w:szCs w:val="24"/>
          <w:highlight w:val="none"/>
          <w:lang w:bidi="ar"/>
        </w:rPr>
        <w:t>为准）。</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             修改类型：删除</w:t>
      </w:r>
    </w:p>
    <w:p>
      <w:pPr>
        <w:pBdr>
          <w:bottom w:val="single" w:color="auto" w:sz="6" w:space="1"/>
        </w:pBd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条款号：2.1.1             修改类型：修改</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bidi="ar"/>
        </w:rPr>
        <w:t>原文：</w:t>
      </w:r>
      <w:r>
        <w:rPr>
          <w:rFonts w:hint="eastAsia" w:ascii="宋体" w:hAnsi="宋体" w:eastAsia="宋体" w:cs="宋体"/>
          <w:bCs/>
          <w:color w:val="auto"/>
          <w:sz w:val="24"/>
          <w:szCs w:val="24"/>
          <w:highlight w:val="none"/>
          <w:lang w:bidi="ar"/>
        </w:rPr>
        <w:t>2.1.1</w:t>
      </w:r>
      <w:r>
        <w:rPr>
          <w:rFonts w:hint="eastAsia" w:ascii="宋体" w:hAnsi="宋体" w:eastAsia="宋体" w:cs="宋体"/>
          <w:color w:val="auto"/>
          <w:sz w:val="24"/>
          <w:szCs w:val="24"/>
          <w:highlight w:val="none"/>
          <w:lang w:bidi="ar"/>
        </w:rPr>
        <w:t>本招标文件包括：</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（1）招标公告（或投标邀请书）；</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（2）投标人须知；</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（3）评标办法；</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（4）合同条款；</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（5）工程量清单；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（6）图纸及勘察资料；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（7）技术标准和要求；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（8）投标文件格式；</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（9）否决性条款汇总；</w:t>
      </w:r>
    </w:p>
    <w:p>
      <w:pPr>
        <w:widowControl/>
        <w:ind w:firstLine="486" w:firstLineChars="200"/>
        <w:jc w:val="left"/>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（10）最高投标限价（招标控制价）</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sz w:val="24"/>
          <w:szCs w:val="24"/>
          <w:highlight w:val="none"/>
          <w:lang w:bidi="ar"/>
        </w:rPr>
        <w:t>2.1.1本招标文件包括：</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（1）招标公告；</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（2）投标人须知；</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（3）评标办法；</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（4）合同条款； </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（5）技术标准和要求； </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（6）投标文件格式；</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（7）否决性条款汇总；</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条款号：2.2.1、2.2.2、2.2.3             修改类型：修改</w:t>
      </w:r>
    </w:p>
    <w:p>
      <w:pPr>
        <w:spacing w:line="360" w:lineRule="auto"/>
        <w:ind w:firstLine="543" w:firstLineChars="224"/>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bidi="ar"/>
        </w:rPr>
        <w:t>原文：</w:t>
      </w:r>
      <w:r>
        <w:rPr>
          <w:rFonts w:hint="eastAsia" w:ascii="宋体" w:hAnsi="宋体" w:eastAsia="宋体" w:cs="宋体"/>
          <w:bCs/>
          <w:color w:val="auto"/>
          <w:sz w:val="24"/>
          <w:szCs w:val="24"/>
          <w:highlight w:val="none"/>
          <w:lang w:bidi="ar"/>
        </w:rPr>
        <w:t>2.2.1 招标答疑采用网上答疑方式进行。投标人若对招标文件（包括招标图纸、清单、招标控制价）有疑问的，应按照广州公共资源交易平台关于全流程电子化项目的相关指南进行操作。提问一律不得署名。</w:t>
      </w:r>
    </w:p>
    <w:p>
      <w:pPr>
        <w:spacing w:line="360" w:lineRule="auto"/>
        <w:ind w:firstLine="543" w:firstLineChars="22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2.2.2答疑纪要一经在</w:t>
      </w:r>
      <w:r>
        <w:rPr>
          <w:rFonts w:hint="eastAsia" w:ascii="宋体" w:hAnsi="宋体" w:eastAsia="宋体" w:cs="宋体"/>
          <w:bCs/>
          <w:color w:val="auto"/>
          <w:sz w:val="24"/>
          <w:szCs w:val="24"/>
          <w:highlight w:val="none"/>
          <w:u w:val="single"/>
          <w:lang w:bidi="ar"/>
        </w:rPr>
        <w:t>广州公共资源</w:t>
      </w:r>
      <w:r>
        <w:rPr>
          <w:rFonts w:hint="eastAsia" w:ascii="宋体" w:hAnsi="宋体" w:eastAsia="宋体" w:cs="宋体"/>
          <w:bCs/>
          <w:color w:val="auto"/>
          <w:sz w:val="24"/>
          <w:szCs w:val="24"/>
          <w:highlight w:val="none"/>
          <w:lang w:bidi="ar"/>
        </w:rPr>
        <w:t>交易平台发布，视作已发放给所有投标人。</w:t>
      </w:r>
    </w:p>
    <w:p>
      <w:pP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2.2.3招标答疑纪要为招标文件的一部分。</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现文：</w:t>
      </w:r>
      <w:r>
        <w:rPr>
          <w:rFonts w:hint="eastAsia" w:ascii="宋体" w:hAnsi="宋体" w:eastAsia="宋体" w:cs="宋体"/>
          <w:bCs/>
          <w:color w:val="auto"/>
          <w:sz w:val="24"/>
          <w:szCs w:val="24"/>
          <w:highlight w:val="none"/>
          <w:lang w:bidi="ar"/>
        </w:rPr>
        <w:t>2.2.1</w:t>
      </w:r>
      <w:r>
        <w:rPr>
          <w:rFonts w:hint="eastAsia" w:ascii="宋体" w:hAnsi="宋体" w:eastAsia="宋体" w:cs="宋体"/>
          <w:color w:val="auto"/>
          <w:sz w:val="24"/>
          <w:szCs w:val="24"/>
          <w:highlight w:val="none"/>
          <w:lang w:bidi="ar"/>
        </w:rPr>
        <w:t>投标人应仔细阅读和检查招标文件的全部内容。如发现缺页或附件不全，应及时向招标人提出，以便补齐。如有疑问，应在本章第 4.3.1 项规定的投标截止时间18日前在广州公共资源交易中心网站按“投标人网上答疑操作指南”将提出的问题送达招标人，要求招标人对招标文件予以澄清，提出澄清时一律不得署名。</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投标人网上答疑操作指南：按照广州公共资源交易平台关于全流程电子化项目的相关指南进行操作，详见：广州公共资源交易中心网站发布的最新版操作指引。 提问一律不得署名。</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2.2.2</w:t>
      </w:r>
      <w:r>
        <w:rPr>
          <w:rFonts w:hint="eastAsia" w:ascii="宋体" w:hAnsi="宋体" w:eastAsia="宋体" w:cs="宋体"/>
          <w:color w:val="auto"/>
          <w:sz w:val="24"/>
          <w:szCs w:val="24"/>
          <w:highlight w:val="none"/>
          <w:lang w:bidi="ar"/>
        </w:rPr>
        <w:t>招标文件的澄清在广州公共资源交易中心网站“项目答疑纪要”专区发布，但不指明澄清问题的来源。澄清发出的时间距本章第 4.3.1 项规定的投标截止时间不足 15 日的，并且澄清内容可能影响投标文件编制的，将相应延长投标截止时间。</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2.2.3</w:t>
      </w:r>
      <w:r>
        <w:rPr>
          <w:rFonts w:hint="eastAsia" w:ascii="宋体" w:hAnsi="宋体" w:eastAsia="宋体" w:cs="宋体"/>
          <w:color w:val="auto"/>
          <w:sz w:val="24"/>
          <w:szCs w:val="24"/>
          <w:highlight w:val="none"/>
          <w:lang w:bidi="ar"/>
        </w:rPr>
        <w:t>招标文件的澄清一经在广州公共资源交易中心网站发布，视作已发放给所有投标人，招标文件的澄清内容作为招标文件的组成部分，具有约束作用。</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条款号：3.1             修改类型：修改</w:t>
      </w:r>
    </w:p>
    <w:p>
      <w:pPr>
        <w:widowControl/>
        <w:spacing w:line="360" w:lineRule="auto"/>
        <w:ind w:left="539"/>
        <w:jc w:val="left"/>
        <w:outlineLvl w:val="2"/>
        <w:rPr>
          <w:rFonts w:hint="eastAsia" w:ascii="宋体" w:hAnsi="宋体" w:eastAsia="宋体" w:cs="宋体"/>
          <w:color w:val="auto"/>
          <w:kern w:val="0"/>
          <w:sz w:val="24"/>
          <w:szCs w:val="24"/>
          <w:highlight w:val="none"/>
          <w:lang w:bidi="ar"/>
        </w:rPr>
      </w:pPr>
      <w:bookmarkStart w:id="17" w:name="_Toc14454"/>
      <w:r>
        <w:rPr>
          <w:rFonts w:hint="eastAsia" w:ascii="宋体" w:hAnsi="宋体" w:eastAsia="宋体" w:cs="宋体"/>
          <w:b/>
          <w:bCs/>
          <w:color w:val="auto"/>
          <w:sz w:val="24"/>
          <w:szCs w:val="24"/>
          <w:highlight w:val="none"/>
          <w:lang w:bidi="ar"/>
        </w:rPr>
        <w:t>原文：</w:t>
      </w:r>
      <w:r>
        <w:rPr>
          <w:rFonts w:hint="eastAsia" w:ascii="宋体" w:hAnsi="宋体" w:eastAsia="宋体" w:cs="宋体"/>
          <w:color w:val="auto"/>
          <w:kern w:val="0"/>
          <w:sz w:val="24"/>
          <w:szCs w:val="24"/>
          <w:highlight w:val="none"/>
          <w:lang w:bidi="ar"/>
        </w:rPr>
        <w:t>3.1投标文件的组成</w:t>
      </w:r>
      <w:bookmarkEnd w:id="17"/>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（2）法定代表人身份证明或附有法定代表人身份证明的授权委托书；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（3）联合体协议书（注：非联合体投标无需提交）；</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（5）已标价工程量清单；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（6）施工组织设计（不要求技术标的可不编制，提交施工组织设计要点）；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（7）项目管理机构；</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（8）资格审查资料；</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（9）投标人声明</w:t>
      </w:r>
    </w:p>
    <w:p>
      <w:pPr>
        <w:widowControl/>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（10）其他应提交的材料。</w:t>
      </w:r>
    </w:p>
    <w:p>
      <w:pPr>
        <w:widowControl/>
        <w:spacing w:line="360" w:lineRule="auto"/>
        <w:ind w:left="539"/>
        <w:jc w:val="left"/>
        <w:outlineLvl w:val="2"/>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szCs w:val="24"/>
          <w:highlight w:val="none"/>
          <w:lang w:bidi="ar"/>
        </w:rPr>
        <w:t xml:space="preserve"> </w:t>
      </w:r>
      <w:bookmarkStart w:id="18" w:name="_Toc24647"/>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kern w:val="0"/>
          <w:sz w:val="24"/>
          <w:szCs w:val="24"/>
          <w:highlight w:val="none"/>
          <w:lang w:bidi="ar"/>
        </w:rPr>
        <w:t>3.1投标文件的组成</w:t>
      </w:r>
      <w:bookmarkEnd w:id="18"/>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（2）法定代表人身份证明</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（5）项目管理机构；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（6）资格审查资料；</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（7）投标人须知前附表规定的其他材料；</w:t>
      </w:r>
    </w:p>
    <w:p>
      <w:pPr>
        <w:pBdr>
          <w:bottom w:val="single" w:color="auto" w:sz="6" w:space="1"/>
        </w:pBdr>
        <w:spacing w:line="360" w:lineRule="auto"/>
        <w:rPr>
          <w:rFonts w:hint="eastAsia" w:ascii="宋体" w:hAnsi="宋体" w:eastAsia="宋体" w:cs="宋体"/>
          <w:color w:val="auto"/>
          <w:sz w:val="24"/>
          <w:szCs w:val="24"/>
          <w:highlight w:val="none"/>
        </w:rPr>
      </w:pP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条款号：3.2             修改类型：修改</w:t>
      </w:r>
    </w:p>
    <w:p>
      <w:pPr>
        <w:pStyle w:val="35"/>
        <w:widowControl w:val="0"/>
        <w:spacing w:before="0" w:beforeAutospacing="0" w:after="0" w:afterAutospacing="0" w:line="360" w:lineRule="auto"/>
        <w:ind w:firstLine="486" w:firstLineChars="200"/>
        <w:jc w:val="both"/>
        <w:rPr>
          <w:rFonts w:hint="eastAsia" w:ascii="宋体" w:hAnsi="宋体" w:eastAsia="宋体" w:cs="宋体"/>
          <w:b/>
          <w:bCs/>
          <w:color w:val="auto"/>
          <w:kern w:val="2"/>
          <w:sz w:val="24"/>
          <w:szCs w:val="24"/>
          <w:highlight w:val="none"/>
          <w:lang w:bidi="ar"/>
        </w:rPr>
      </w:pPr>
      <w:r>
        <w:rPr>
          <w:rFonts w:hint="eastAsia" w:ascii="宋体" w:hAnsi="宋体" w:eastAsia="宋体" w:cs="宋体"/>
          <w:b/>
          <w:bCs/>
          <w:color w:val="auto"/>
          <w:kern w:val="2"/>
          <w:sz w:val="24"/>
          <w:szCs w:val="24"/>
          <w:highlight w:val="none"/>
          <w:lang w:bidi="ar"/>
        </w:rPr>
        <w:t>原文：3.2投标报价</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3.2.1 投标人应按第五章“工程量清单”的要求填写相应表格（注：此条不适用于综合评估法三）。</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 投标人在投标截止时间前修改投标函中的投标报价总额，应同时修改“已标价工程量清单”中的相应报价，投标报价总额为各分项金额之和。此修改须符合本章第4.3款的有关要求。（注：适用于综合评估法一、综合评估法二、经评审最低价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3.2.2投标人在投标截止时间前修改投标函中的投标报价总额，并根据评标办法列明的方法重新计算投标单价下浮率。此修改须符合本章第4.3款的有关要求。（注：适用于综合评估法三）</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3.2.3投标人的投标报价不得超过最高投标限价，最高投标限价见投标人须知前附表。</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3.2.4</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9"/>
        <w:spacing w:after="0" w:line="360" w:lineRule="auto"/>
        <w:ind w:firstLine="486" w:firstLineChars="200"/>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现文：3.2投标报价</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 </w:t>
      </w:r>
      <w:r>
        <w:rPr>
          <w:rFonts w:hint="eastAsia" w:ascii="宋体" w:hAnsi="宋体" w:eastAsia="宋体" w:cs="宋体"/>
          <w:color w:val="auto"/>
          <w:sz w:val="24"/>
          <w:szCs w:val="24"/>
          <w:highlight w:val="none"/>
          <w:lang w:val="en-US" w:eastAsia="zh-CN"/>
        </w:rPr>
        <w:t>投标人根据招标文件要求以及企业自身情况填报下浮率，投标报价为最高投标限价×（1-投标报价下浮率），投标报价不得高于最高投标限价。投标人的投标报价下浮率作为结算的依据。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w:t>
      </w:r>
      <w:r>
        <w:rPr>
          <w:rFonts w:hint="eastAsia" w:ascii="宋体" w:hAnsi="宋体" w:eastAsia="宋体" w:cs="宋体"/>
          <w:color w:val="auto"/>
          <w:sz w:val="24"/>
          <w:szCs w:val="24"/>
          <w:highlight w:val="none"/>
        </w:rPr>
        <w:t>财政局</w:t>
      </w:r>
      <w:r>
        <w:rPr>
          <w:rFonts w:hint="eastAsia" w:ascii="宋体" w:hAnsi="宋体" w:eastAsia="宋体" w:cs="宋体"/>
          <w:color w:val="auto"/>
          <w:sz w:val="24"/>
          <w:szCs w:val="24"/>
          <w:highlight w:val="none"/>
          <w:lang w:val="en-US" w:eastAsia="zh-CN"/>
        </w:rPr>
        <w:t>审核，最终以区</w:t>
      </w:r>
      <w:r>
        <w:rPr>
          <w:rFonts w:hint="eastAsia" w:ascii="宋体" w:hAnsi="宋体" w:eastAsia="宋体" w:cs="宋体"/>
          <w:color w:val="auto"/>
          <w:sz w:val="24"/>
          <w:szCs w:val="24"/>
          <w:highlight w:val="none"/>
        </w:rPr>
        <w:t>财政局</w:t>
      </w:r>
      <w:r>
        <w:rPr>
          <w:rFonts w:hint="eastAsia" w:ascii="宋体" w:hAnsi="宋体" w:eastAsia="宋体" w:cs="宋体"/>
          <w:color w:val="auto"/>
          <w:sz w:val="24"/>
          <w:szCs w:val="24"/>
          <w:highlight w:val="none"/>
          <w:lang w:val="en-US" w:eastAsia="zh-CN"/>
        </w:rPr>
        <w:t>审定价为准。维修服务期限为从合同生效之日起至2024年12月31日</w:t>
      </w:r>
      <w:r>
        <w:rPr>
          <w:rFonts w:hint="eastAsia" w:ascii="宋体" w:hAnsi="宋体" w:eastAsia="宋体" w:cs="宋体"/>
          <w:color w:val="auto"/>
          <w:sz w:val="24"/>
          <w:szCs w:val="24"/>
          <w:highlight w:val="none"/>
        </w:rPr>
        <w:t>。</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投标人在投标截止时间前修改投标函中的投标报价总额，应同时修改相应</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下浮率</w:t>
      </w:r>
      <w:r>
        <w:rPr>
          <w:rFonts w:hint="eastAsia" w:ascii="宋体" w:hAnsi="宋体" w:eastAsia="宋体" w:cs="宋体"/>
          <w:color w:val="auto"/>
          <w:sz w:val="24"/>
          <w:szCs w:val="24"/>
          <w:highlight w:val="none"/>
        </w:rPr>
        <w:t>，投标报价总额为最高投标限价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下浮率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。此修改须符合本章第4.3款的有关要求。（注：适用于综合评估法一、综合评估法二、经评审最低价法）</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投标人在投标截止时间前修改投标函中的投标报价总额，并根据评标办法列明的方法重新计算投标单价下浮率。此修改须符合本章第4.3款的有关要求。（注：适用于综合评估法三）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投标人的投标报价不得超过最高投标限价，最高投标限价见投标人须知前附表。</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见投标人须知前附表。在评标过程中，评标委员会发现投标人的报价明显低于其他投标报价或者低于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，应当要求该投标人作出书面说明并提供相关证明材料。投标人不能合理说明或者不能提供相关证明材料的，由评标委员会认定该投标人以低于成本报价竞标，应当否决其投标。</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条款号：3.3.1             修改类型：修改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b/>
          <w:bCs/>
          <w:color w:val="auto"/>
          <w:kern w:val="2"/>
          <w:sz w:val="24"/>
          <w:szCs w:val="24"/>
          <w:highlight w:val="none"/>
          <w:lang w:bidi="ar"/>
        </w:rPr>
        <w:t>原文：</w:t>
      </w:r>
      <w:r>
        <w:rPr>
          <w:rFonts w:hint="eastAsia" w:ascii="宋体" w:hAnsi="宋体" w:eastAsia="宋体" w:cs="宋体"/>
          <w:color w:val="auto"/>
          <w:sz w:val="24"/>
          <w:szCs w:val="24"/>
          <w:highlight w:val="none"/>
        </w:rPr>
        <w:t>3.3.1除投标人须知前附表另外有规定外，投标有效期为60天。</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sz w:val="24"/>
          <w:szCs w:val="24"/>
          <w:highlight w:val="none"/>
        </w:rPr>
        <w:t>3.3.1除投标人须知前附表另外有规定外，投标有效期为90天。</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条款号：3.5            修改类型：修改</w:t>
      </w:r>
    </w:p>
    <w:p>
      <w:pPr>
        <w:widowControl/>
        <w:spacing w:line="360" w:lineRule="auto"/>
        <w:ind w:left="539"/>
        <w:jc w:val="left"/>
        <w:outlineLvl w:val="2"/>
        <w:rPr>
          <w:rFonts w:hint="eastAsia" w:ascii="宋体" w:hAnsi="宋体" w:eastAsia="宋体" w:cs="宋体"/>
          <w:b/>
          <w:bCs/>
          <w:color w:val="auto"/>
          <w:sz w:val="24"/>
          <w:szCs w:val="24"/>
          <w:highlight w:val="none"/>
          <w:lang w:bidi="ar"/>
        </w:rPr>
      </w:pPr>
      <w:bookmarkStart w:id="19" w:name="_Toc1562"/>
      <w:r>
        <w:rPr>
          <w:rFonts w:hint="eastAsia" w:ascii="宋体" w:hAnsi="宋体" w:eastAsia="宋体" w:cs="宋体"/>
          <w:b/>
          <w:bCs/>
          <w:color w:val="auto"/>
          <w:sz w:val="24"/>
          <w:szCs w:val="24"/>
          <w:highlight w:val="none"/>
          <w:lang w:bidi="ar"/>
        </w:rPr>
        <w:t>原文：3.5 资格审查资料</w:t>
      </w:r>
      <w:bookmarkEnd w:id="19"/>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3.5.1投标人声明；</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3.5.2法定代表人证明书、法定代表人签字或盖章的本投标文件授权委托证明书；</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3.5.3“投标人基本情况表”应附投标人企业营业执照、企业资质证书和建筑施工企业安全生产许可证等；</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3.5.4项目负责人的建造师证（或小型项目负责人相关证明）和安全培训考核合格证明或在有效期内的安全考核合格证书（B类）；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3.5.5专职安全员须具有在有效期内的安全考核合格证书（C类）；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3.5.6 “近年完成的类似项目情况表”应按照投标前附表的要求附中标通知书、施工合同、单位工程验收鉴定书（或合同工程完工验收鉴定书或工程竣工验收鉴定书）纸质原件的</w:t>
      </w:r>
      <w:r>
        <w:rPr>
          <w:rFonts w:hint="eastAsia" w:ascii="宋体" w:hAnsi="宋体" w:eastAsia="宋体" w:cs="宋体"/>
          <w:color w:val="auto"/>
          <w:kern w:val="0"/>
          <w:sz w:val="24"/>
          <w:szCs w:val="24"/>
          <w:highlight w:val="none"/>
          <w:lang w:eastAsia="zh-CN" w:bidi="ar"/>
        </w:rPr>
        <w:t>复印件</w:t>
      </w:r>
      <w:r>
        <w:rPr>
          <w:rFonts w:hint="eastAsia" w:ascii="宋体" w:hAnsi="宋体" w:eastAsia="宋体" w:cs="宋体"/>
          <w:color w:val="auto"/>
          <w:kern w:val="0"/>
          <w:sz w:val="24"/>
          <w:szCs w:val="24"/>
          <w:highlight w:val="none"/>
          <w:lang w:bidi="ar"/>
        </w:rPr>
        <w:t>。每张表格只填写一个项目，并标明序号。</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3.5.7授权的委托代理人及项目部主要组成人员（项目负责人、技术负责人（如有）、专职安全员）在本单位交纳的社保证明文件（以加盖社会保险基金管理中心印章的《投保单》或《社会保险参保人员证明》资料为准）。</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3.5.8投标人须知前附表规定接受联合体投标的，本章第3.5.1项至第3.5.6项规定的表格和资料应包括联合体各方相关情况。</w:t>
      </w:r>
    </w:p>
    <w:p>
      <w:pPr>
        <w:pBdr>
          <w:bottom w:val="single" w:color="auto" w:sz="6" w:space="1"/>
        </w:pBdr>
        <w:spacing w:line="360" w:lineRule="auto"/>
        <w:ind w:firstLine="543" w:firstLineChars="224"/>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现文：3.5资格审查资料</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3.5.1投标人声明；</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3.5.2法定代表人证明书、法定代表人签字或盖章的本投标文件授权委托证明书；</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3.5.3“投标人基本情况表”应附投标人企业营业执照、企业资质证书和建筑施工企业安全生产许可证等；</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3.5.4项目负责人的建造师证</w:t>
      </w:r>
      <w:r>
        <w:rPr>
          <w:rFonts w:hint="eastAsia" w:ascii="宋体" w:hAnsi="宋体" w:eastAsia="宋体" w:cs="宋体"/>
          <w:strike/>
          <w:dstrike w:val="0"/>
          <w:color w:val="auto"/>
          <w:kern w:val="0"/>
          <w:sz w:val="24"/>
          <w:szCs w:val="24"/>
          <w:highlight w:val="none"/>
          <w:lang w:bidi="ar"/>
        </w:rPr>
        <w:t>（或小型项目负责人相关证明）</w:t>
      </w:r>
      <w:r>
        <w:rPr>
          <w:rFonts w:hint="eastAsia" w:ascii="宋体" w:hAnsi="宋体" w:eastAsia="宋体" w:cs="宋体"/>
          <w:color w:val="auto"/>
          <w:kern w:val="0"/>
          <w:sz w:val="24"/>
          <w:szCs w:val="24"/>
          <w:highlight w:val="none"/>
          <w:lang w:bidi="ar"/>
        </w:rPr>
        <w:t>和安全培训考核合格证明或在有效期内的安全考核合格证书（B类）；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3.5.5专职安全员须具有在有效期内的安全考核合格证书（C类）；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3.5.6授权的委托代理人及项目部主要组成人员（项目负责人、技术负责人（如有）、专职安全员）在本单位交纳的社保证明文件（以加盖社会保险基金管理中心印章的《投保单》或《社会保险参保人员证明》资料为准）。</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3.5.7资审要求的其他材料。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注：以上修改，仅限于本范本中有可供选择条款的情形。</w:t>
      </w: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outlineLvl w:val="2"/>
        <w:rPr>
          <w:rFonts w:hint="eastAsia" w:ascii="宋体" w:hAnsi="宋体" w:eastAsia="宋体" w:cs="宋体"/>
          <w:color w:val="auto"/>
          <w:sz w:val="24"/>
          <w:szCs w:val="24"/>
          <w:highlight w:val="none"/>
        </w:rPr>
      </w:pPr>
      <w:bookmarkStart w:id="20" w:name="_Toc4990"/>
      <w:r>
        <w:rPr>
          <w:rFonts w:hint="eastAsia" w:ascii="宋体" w:hAnsi="宋体" w:eastAsia="宋体" w:cs="宋体"/>
          <w:b/>
          <w:bCs/>
          <w:color w:val="auto"/>
          <w:sz w:val="24"/>
          <w:szCs w:val="24"/>
          <w:highlight w:val="none"/>
        </w:rPr>
        <w:t>投标人须知前附表</w:t>
      </w:r>
      <w:bookmarkEnd w:id="20"/>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061"/>
        <w:gridCol w:w="4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4963" w:type="dxa"/>
            <w:noWrap w:val="0"/>
            <w:vAlign w:val="center"/>
          </w:tcPr>
          <w:p>
            <w:pPr>
              <w:keepNext w:val="0"/>
              <w:keepLines w:val="0"/>
              <w:suppressLineNumbers w:val="0"/>
              <w:spacing w:before="0" w:beforeAutospacing="0" w:after="0" w:afterAutospacing="0"/>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定义</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招标人（即发包人）：广州市黄埔区水务设施管理所</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项目建设管理单位：/</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设计单位：/</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w:t>
            </w:r>
            <w:bookmarkStart w:id="21" w:name="_Toc359263248"/>
            <w:bookmarkEnd w:id="21"/>
            <w:bookmarkStart w:id="22" w:name="_Toc221950008"/>
            <w:bookmarkStart w:id="23" w:name="_Toc359263249"/>
            <w:r>
              <w:rPr>
                <w:rFonts w:hint="eastAsia" w:ascii="宋体" w:hAnsi="宋体" w:eastAsia="宋体" w:cs="宋体"/>
                <w:color w:val="auto"/>
                <w:sz w:val="24"/>
                <w:szCs w:val="24"/>
                <w:highlight w:val="none"/>
              </w:rPr>
              <w:t>/</w:t>
            </w:r>
          </w:p>
          <w:bookmarkEnd w:id="22"/>
          <w:bookmarkEnd w:id="23"/>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检测机构：</w:t>
            </w:r>
            <w:bookmarkStart w:id="24" w:name="_Toc221950011"/>
            <w:bookmarkEnd w:id="24"/>
            <w:bookmarkStart w:id="25" w:name="_Toc221950010"/>
            <w:bookmarkEnd w:id="25"/>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黄埔区2023年至2024年水利设施维修改造工程</w:t>
            </w:r>
            <w:r>
              <w:rPr>
                <w:rFonts w:hint="eastAsia" w:ascii="宋体" w:hAnsi="宋体" w:cs="宋体"/>
                <w:color w:val="auto"/>
                <w:sz w:val="24"/>
                <w:szCs w:val="24"/>
                <w:highlight w:val="none"/>
                <w:lang w:eastAsia="zh-CN"/>
              </w:rPr>
              <w:t>施工Ⅲ标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广州市黄埔区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资金来源及比例</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区财政资金100%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详见本工程招标公告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合同期限</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合格</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w:t>
            </w:r>
          </w:p>
        </w:tc>
        <w:tc>
          <w:tcPr>
            <w:tcW w:w="4963" w:type="dxa"/>
            <w:noWrap w:val="0"/>
            <w:vAlign w:val="center"/>
          </w:tcPr>
          <w:p>
            <w:pPr>
              <w:pStyle w:val="16"/>
              <w:keepNext w:val="0"/>
              <w:keepLines w:val="0"/>
              <w:suppressLineNumbers w:val="0"/>
              <w:topLinePunct/>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□固定总价</w:t>
            </w:r>
          </w:p>
          <w:p>
            <w:pPr>
              <w:pStyle w:val="16"/>
              <w:keepNext w:val="0"/>
              <w:keepLines w:val="0"/>
              <w:suppressLineNumbers w:val="0"/>
              <w:topLinePunct/>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□综合单价</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按《黄埔区水利设施维修改造管理办法（最新）》执行。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投标人资质条件、</w:t>
            </w:r>
          </w:p>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能力、信誉</w:t>
            </w:r>
          </w:p>
        </w:tc>
        <w:tc>
          <w:tcPr>
            <w:tcW w:w="4963" w:type="dxa"/>
            <w:noWrap w:val="0"/>
            <w:vAlign w:val="center"/>
          </w:tcPr>
          <w:p>
            <w:pPr>
              <w:pStyle w:val="16"/>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w:t>
            </w:r>
            <w:bookmarkStart w:id="26" w:name="_Toc221950015"/>
            <w:r>
              <w:rPr>
                <w:rFonts w:hint="eastAsia" w:ascii="宋体" w:hAnsi="宋体" w:eastAsia="宋体" w:cs="宋体"/>
                <w:color w:val="auto"/>
                <w:sz w:val="24"/>
                <w:szCs w:val="24"/>
                <w:highlight w:val="none"/>
                <w:lang w:val="en-US" w:eastAsia="zh-CN"/>
              </w:rPr>
              <w:t>见本项目招</w:t>
            </w:r>
            <w:bookmarkEnd w:id="26"/>
            <w:r>
              <w:rPr>
                <w:rFonts w:hint="eastAsia" w:ascii="宋体" w:hAnsi="宋体" w:eastAsia="宋体" w:cs="宋体"/>
                <w:color w:val="auto"/>
                <w:sz w:val="24"/>
                <w:szCs w:val="24"/>
                <w:highlight w:val="none"/>
                <w:lang w:val="en-US" w:eastAsia="zh-CN"/>
              </w:rPr>
              <w:t>标公告</w:t>
            </w:r>
          </w:p>
        </w:tc>
        <w:bookmarkStart w:id="27" w:name="_Toc221950017"/>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w:t>
            </w:r>
          </w:p>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w:t>
            </w:r>
            <w:bookmarkStart w:id="28" w:name="_Toc221950019"/>
            <w:r>
              <w:rPr>
                <w:rFonts w:hint="eastAsia" w:ascii="宋体" w:hAnsi="宋体" w:eastAsia="宋体" w:cs="宋体"/>
                <w:color w:val="auto"/>
                <w:sz w:val="24"/>
                <w:szCs w:val="24"/>
                <w:highlight w:val="none"/>
              </w:rPr>
              <w:t>体投标</w:t>
            </w:r>
          </w:p>
          <w:bookmarkEnd w:id="28"/>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w:t>
            </w:r>
            <w:bookmarkStart w:id="29" w:name="_Toc221950031"/>
            <w:r>
              <w:rPr>
                <w:rFonts w:hint="eastAsia" w:ascii="宋体" w:hAnsi="宋体" w:eastAsia="宋体" w:cs="宋体"/>
                <w:color w:val="auto"/>
                <w:sz w:val="24"/>
                <w:szCs w:val="24"/>
                <w:highlight w:val="none"/>
              </w:rPr>
              <w:t>应满足下</w:t>
            </w:r>
            <w:bookmarkEnd w:id="29"/>
            <w:r>
              <w:rPr>
                <w:rFonts w:hint="eastAsia" w:ascii="宋体" w:hAnsi="宋体" w:eastAsia="宋体" w:cs="宋体"/>
                <w:color w:val="auto"/>
                <w:sz w:val="24"/>
                <w:szCs w:val="24"/>
                <w:highlight w:val="none"/>
              </w:rPr>
              <w:t>列要求：________</w:t>
            </w:r>
            <w:bookmarkStart w:id="30" w:name="_Toc221950037"/>
            <w:r>
              <w:rPr>
                <w:rFonts w:hint="eastAsia" w:ascii="宋体" w:hAnsi="宋体" w:eastAsia="宋体" w:cs="宋体"/>
                <w:color w:val="auto"/>
                <w:sz w:val="24"/>
                <w:szCs w:val="24"/>
                <w:highlight w:val="none"/>
              </w:rPr>
              <w:t>____</w:t>
            </w:r>
            <w:bookmarkEnd w:id="30"/>
            <w:r>
              <w:rPr>
                <w:rFonts w:hint="eastAsia" w:ascii="宋体" w:hAnsi="宋体" w:eastAsia="宋体" w:cs="宋体"/>
                <w:color w:val="auto"/>
                <w:sz w:val="24"/>
                <w:szCs w:val="24"/>
                <w:highlight w:val="none"/>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bookmarkStart w:id="31" w:name="_Toc221950039"/>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bookmarkEnd w:id="31"/>
            <w:r>
              <w:rPr>
                <w:rFonts w:hint="eastAsia" w:ascii="宋体" w:hAnsi="宋体" w:eastAsia="宋体" w:cs="宋体"/>
                <w:color w:val="auto"/>
                <w:sz w:val="24"/>
                <w:szCs w:val="24"/>
                <w:highlight w:val="none"/>
              </w:rPr>
              <w:t>审</w:t>
            </w:r>
            <w:bookmarkStart w:id="32" w:name="_Toc221950040"/>
            <w:r>
              <w:rPr>
                <w:rFonts w:hint="eastAsia" w:ascii="宋体" w:hAnsi="宋体" w:eastAsia="宋体" w:cs="宋体"/>
                <w:color w:val="auto"/>
                <w:sz w:val="24"/>
                <w:szCs w:val="24"/>
                <w:highlight w:val="none"/>
              </w:rPr>
              <w:t>查方式</w:t>
            </w:r>
          </w:p>
        </w:tc>
        <w:tc>
          <w:tcPr>
            <w:tcW w:w="4963" w:type="dxa"/>
            <w:noWrap w:val="0"/>
            <w:vAlign w:val="center"/>
          </w:tcPr>
          <w:p>
            <w:pPr>
              <w:pStyle w:val="16"/>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bookmarkEnd w:id="32"/>
        </w:tc>
        <w:tc>
          <w:tcPr>
            <w:tcW w:w="20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w:t>
            </w:r>
            <w:bookmarkStart w:id="33" w:name="_Toc221950041"/>
            <w:r>
              <w:rPr>
                <w:rFonts w:hint="eastAsia" w:ascii="宋体" w:hAnsi="宋体" w:eastAsia="宋体" w:cs="宋体"/>
                <w:color w:val="auto"/>
                <w:sz w:val="24"/>
                <w:szCs w:val="24"/>
                <w:highlight w:val="none"/>
              </w:rPr>
              <w:t>勘现场</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招标人不集中组织，由投标人自行踏勘；</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w:t>
            </w:r>
            <w:bookmarkEnd w:id="33"/>
            <w:r>
              <w:rPr>
                <w:rFonts w:hint="eastAsia" w:ascii="宋体" w:hAnsi="宋体" w:eastAsia="宋体" w:cs="宋体"/>
                <w:color w:val="auto"/>
                <w:sz w:val="24"/>
                <w:szCs w:val="24"/>
                <w:highlight w:val="none"/>
              </w:rPr>
              <w:t>间</w:t>
            </w:r>
            <w:bookmarkStart w:id="34" w:name="_Toc221950042"/>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11</w:t>
            </w:r>
            <w:r>
              <w:rPr>
                <w:rFonts w:hint="eastAsia" w:ascii="宋体" w:hAnsi="宋体" w:eastAsia="宋体" w:cs="宋体"/>
                <w:color w:val="auto"/>
                <w:sz w:val="24"/>
                <w:szCs w:val="24"/>
                <w:highlight w:val="none"/>
              </w:rPr>
              <w:t>月___日起具备现场踏勘条</w:t>
            </w:r>
            <w:bookmarkEnd w:id="34"/>
            <w:r>
              <w:rPr>
                <w:rFonts w:hint="eastAsia" w:ascii="宋体" w:hAnsi="宋体" w:eastAsia="宋体" w:cs="宋体"/>
                <w:color w:val="auto"/>
                <w:sz w:val="24"/>
                <w:szCs w:val="24"/>
                <w:highlight w:val="none"/>
              </w:rPr>
              <w:t>件；</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现场详细地</w:t>
            </w:r>
            <w:bookmarkStart w:id="35" w:name="_Toc221950044"/>
            <w:r>
              <w:rPr>
                <w:rFonts w:hint="eastAsia" w:ascii="宋体" w:hAnsi="宋体" w:eastAsia="宋体" w:cs="宋体"/>
                <w:color w:val="auto"/>
                <w:sz w:val="24"/>
                <w:szCs w:val="24"/>
                <w:highlight w:val="none"/>
              </w:rPr>
              <w:t>点：</w:t>
            </w:r>
            <w:bookmarkEnd w:id="35"/>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4963" w:type="dxa"/>
            <w:noWrap w:val="0"/>
            <w:vAlign w:val="center"/>
          </w:tcPr>
          <w:p>
            <w:pPr>
              <w:pStyle w:val="16"/>
              <w:keepNext w:val="0"/>
              <w:keepLines w:val="0"/>
              <w:suppressLineNumbers w:val="0"/>
              <w:topLinePunct/>
              <w:spacing w:before="0" w:beforeAutospacing="0" w:after="0" w:afterAutospacing="0"/>
              <w:ind w:left="0" w:right="0"/>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bCs/>
                <w:color w:val="auto"/>
                <w:sz w:val="24"/>
                <w:szCs w:val="24"/>
                <w:highlight w:val="none"/>
                <w:lang w:val="en-US" w:eastAsia="zh-CN"/>
              </w:rPr>
              <w:t>不允许</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允许。偏离允许幅度及其处理方法：__</w:t>
            </w:r>
            <w:bookmarkStart w:id="36" w:name="_Toc221950046"/>
            <w:r>
              <w:rPr>
                <w:rFonts w:hint="eastAsia" w:ascii="宋体" w:hAnsi="宋体" w:eastAsia="宋体" w:cs="宋体"/>
                <w:bCs/>
                <w:color w:val="auto"/>
                <w:sz w:val="24"/>
                <w:szCs w:val="24"/>
                <w:highlight w:val="none"/>
              </w:rPr>
              <w:t>____________</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招标答疑</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疑问提交时间：在递交投标文件截止日期前18 日；</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形式：投标人的疑问通过广州公共资源交易平台提交。</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具体要求：按照广州公共资源交易平台关于全流程电子化项目的相关指南进行操作，详见：广州公共资源交易中心网站发布的最新版操作指引。 提问一律不得署名。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招标文件修改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招标文件的修改期限：招标人在投标截止时间</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投标文件的组成</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采用综合评估法（一）：投标文件由资格审查文件、商务文件和技术文件组成</w:t>
            </w:r>
            <w:r>
              <w:rPr>
                <w:rFonts w:hint="eastAsia" w:ascii="宋体" w:hAnsi="宋体" w:eastAsia="宋体" w:cs="宋体"/>
                <w:color w:val="auto"/>
                <w:sz w:val="24"/>
                <w:szCs w:val="24"/>
                <w:highlight w:val="none"/>
              </w:rPr>
              <w:t>。</w:t>
            </w:r>
          </w:p>
          <w:p>
            <w:pPr>
              <w:keepNext w:val="0"/>
              <w:keepLines w:val="0"/>
              <w:suppressLineNumbers w:val="0"/>
              <w:spacing w:before="0" w:beforeAutospacing="0" w:after="0" w:afterAutospacing="0"/>
              <w:ind w:left="0" w:right="0"/>
              <w:contextualSpacing/>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采用综合评估法二（需提交技术文件）：投标文件由资格审查文件、商务文件和技术文件组成。</w:t>
            </w:r>
          </w:p>
          <w:p>
            <w:pPr>
              <w:keepNext w:val="0"/>
              <w:keepLines w:val="0"/>
              <w:suppressLineNumbers w:val="0"/>
              <w:spacing w:before="0" w:beforeAutospacing="0" w:after="0" w:afterAutospacing="0"/>
              <w:ind w:left="0" w:right="0"/>
              <w:contextualSpacing/>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采用综合评估法三（不需要技术文件）：投标文件由资格审查文件、商务文件组成。</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采用最低投标报价法：投标文件由资格审查文件、商务文件和技术文件组成。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cs="宋体"/>
                <w:color w:val="auto"/>
                <w:sz w:val="24"/>
                <w:szCs w:val="24"/>
                <w:highlight w:val="none"/>
                <w:lang w:eastAsia="zh-CN"/>
              </w:rPr>
              <w:t>施工Ⅲ标，</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000</w:t>
            </w:r>
            <w:r>
              <w:rPr>
                <w:rFonts w:hint="eastAsia" w:ascii="宋体" w:hAnsi="宋体" w:eastAsia="宋体" w:cs="宋体"/>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警示价</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警示价</w:t>
            </w:r>
            <w:r>
              <w:rPr>
                <w:rFonts w:hint="eastAsia" w:ascii="宋体" w:hAnsi="宋体" w:eastAsia="宋体" w:cs="宋体"/>
                <w:b/>
                <w:bCs/>
                <w:color w:val="auto"/>
                <w:sz w:val="24"/>
                <w:szCs w:val="24"/>
                <w:highlight w:val="none"/>
              </w:rPr>
              <w:t>分别为：</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cs="宋体"/>
                <w:color w:val="auto"/>
                <w:sz w:val="24"/>
                <w:szCs w:val="24"/>
                <w:highlight w:val="none"/>
                <w:lang w:eastAsia="zh-CN"/>
              </w:rPr>
              <w:t>施工Ⅲ标</w:t>
            </w:r>
            <w:r>
              <w:rPr>
                <w:rFonts w:hint="eastAsia" w:ascii="宋体" w:hAnsi="宋体" w:cs="宋体"/>
                <w:color w:val="auto"/>
                <w:sz w:val="24"/>
                <w:szCs w:val="24"/>
                <w:highlight w:val="none"/>
                <w:lang w:val="en-US" w:eastAsia="zh-CN"/>
              </w:rPr>
              <w:t>3600</w:t>
            </w:r>
            <w:r>
              <w:rPr>
                <w:rFonts w:hint="eastAsia" w:ascii="宋体" w:hAnsi="宋体" w:eastAsia="宋体" w:cs="宋体"/>
                <w:color w:val="auto"/>
                <w:sz w:val="24"/>
                <w:szCs w:val="24"/>
                <w:highlight w:val="none"/>
              </w:rPr>
              <w:t>万元；</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（招标控制价的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%设置为</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4963" w:type="dxa"/>
            <w:noWrap w:val="0"/>
            <w:vAlign w:val="center"/>
          </w:tcPr>
          <w:p>
            <w:pPr>
              <w:pStyle w:val="16"/>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是否要求投标人递交投标保证金：</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要求，按以下方式递交：</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1.广州公</w:t>
            </w:r>
            <w:r>
              <w:rPr>
                <w:rFonts w:hint="eastAsia" w:ascii="宋体" w:hAnsi="宋体" w:eastAsia="宋体" w:cs="宋体"/>
                <w:color w:val="auto"/>
                <w:sz w:val="24"/>
                <w:szCs w:val="24"/>
                <w:highlight w:val="none"/>
                <w:lang w:val="en-US" w:eastAsia="zh-CN"/>
              </w:rPr>
              <w:t>共</w:t>
            </w:r>
            <w:r>
              <w:rPr>
                <w:rFonts w:hint="eastAsia" w:ascii="宋体" w:hAnsi="宋体" w:eastAsia="宋体" w:cs="宋体"/>
                <w:color w:val="auto"/>
                <w:sz w:val="24"/>
                <w:szCs w:val="24"/>
                <w:highlight w:val="none"/>
              </w:rPr>
              <w:t>资源交易平台代收</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2.提供银行投标保函</w:t>
            </w:r>
          </w:p>
          <w:p>
            <w:pPr>
              <w:pStyle w:val="52"/>
              <w:keepNext w:val="0"/>
              <w:keepLines w:val="0"/>
              <w:suppressLineNumbers w:val="0"/>
              <w:spacing w:before="0" w:beforeAutospacing="0" w:after="0" w:afterAutospacing="0"/>
              <w:ind w:left="0" w:right="0"/>
              <w:jc w:val="both"/>
              <w:rPr>
                <w:rFonts w:hint="eastAsia" w:ascii="宋体" w:hAnsi="宋体" w:eastAsia="宋体" w:cs="宋体"/>
                <w:strike/>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3.投标保证保险</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万元人民币/标段；</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缴纳时间：在投标截止前</w:t>
            </w:r>
            <w:r>
              <w:rPr>
                <w:rFonts w:hint="eastAsia" w:ascii="宋体" w:hAnsi="宋体" w:eastAsia="宋体" w:cs="宋体"/>
                <w:color w:val="auto"/>
                <w:sz w:val="24"/>
                <w:szCs w:val="24"/>
                <w:highlight w:val="none"/>
                <w:lang w:eastAsia="zh-CN"/>
              </w:rPr>
              <w:t>，广州公共资源交易平台</w:t>
            </w:r>
            <w:r>
              <w:rPr>
                <w:rFonts w:hint="eastAsia" w:ascii="宋体" w:hAnsi="宋体" w:eastAsia="宋体" w:cs="宋体"/>
                <w:color w:val="auto"/>
                <w:sz w:val="24"/>
                <w:szCs w:val="24"/>
                <w:highlight w:val="none"/>
                <w:lang w:val="en-US" w:eastAsia="zh-CN"/>
              </w:rPr>
              <w:t>递交投标保证金的方法可以在广州公共资源交易中心网站查阅，如有变更以广州公共资源交易中心最新发布的标准为准</w:t>
            </w:r>
            <w:r>
              <w:rPr>
                <w:rFonts w:hint="eastAsia" w:ascii="宋体" w:hAnsi="宋体" w:eastAsia="宋体" w:cs="宋体"/>
                <w:color w:val="auto"/>
                <w:sz w:val="24"/>
                <w:szCs w:val="24"/>
                <w:highlight w:val="none"/>
              </w:rPr>
              <w:t>。投标人如采用投标保函或投标保证保险的形式递交的，须在投标截止前单独密封递交至开标室。</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签字和盖章要求</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投标文件格式规定需个人签字的，应签字或签章后扫描上传。投标文件格式规定盖单位公章的页面必须盖单位公章（公章与电子公章具有相同法律效力）。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电子投标文件递交截止时间：</w:t>
            </w: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 月   日   时（北京时间）</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上述时间及地点是否有改变，请密切留意招标答疑纪要的相关信息。截止时间以广州公共资源交易中心电子评标系统服务器从中国科学院国家授时中心取得的北京时间为准。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投标文件解密</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w:t>
            </w:r>
            <w:r>
              <w:rPr>
                <w:rFonts w:hint="eastAsia" w:ascii="宋体" w:hAnsi="宋体" w:eastAsia="宋体" w:cs="宋体"/>
                <w:color w:val="auto"/>
                <w:sz w:val="24"/>
                <w:szCs w:val="24"/>
                <w:highlight w:val="none"/>
                <w:u w:val="single"/>
              </w:rPr>
              <w:t xml:space="preserve"> 0.5小时</w:t>
            </w:r>
            <w:r>
              <w:rPr>
                <w:rFonts w:hint="eastAsia" w:ascii="宋体" w:hAnsi="宋体" w:eastAsia="宋体" w:cs="宋体"/>
                <w:color w:val="auto"/>
                <w:sz w:val="24"/>
                <w:szCs w:val="24"/>
                <w:highlight w:val="none"/>
              </w:rPr>
              <w:t>内，投标人通过广州公共资源交易平台对已递交的电子投标文件进行解密。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1、开标时间：____年__月__日__时__分</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2、地点：____</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开标评标办法</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综合评估法（一）</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□综合评估法（二）</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□综合评估法（三）</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□经评审的最低价法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bookmarkStart w:id="37" w:name="_Toc221950065"/>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人，其中招</w:t>
            </w:r>
            <w:bookmarkEnd w:id="37"/>
            <w:r>
              <w:rPr>
                <w:rFonts w:hint="eastAsia" w:ascii="宋体" w:hAnsi="宋体" w:eastAsia="宋体" w:cs="宋体"/>
                <w:color w:val="auto"/>
                <w:sz w:val="24"/>
                <w:szCs w:val="24"/>
                <w:highlight w:val="none"/>
              </w:rPr>
              <w:t>标人代表</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人；评标专家确定方式：</w:t>
            </w:r>
            <w:r>
              <w:rPr>
                <w:rFonts w:hint="eastAsia" w:ascii="宋体" w:hAnsi="宋体" w:eastAsia="宋体" w:cs="宋体"/>
                <w:color w:val="auto"/>
                <w:sz w:val="24"/>
                <w:szCs w:val="24"/>
                <w:highlight w:val="none"/>
                <w:u w:val="single"/>
              </w:rPr>
              <w:t>在广东省综合评标评审专家库中随机抽取。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4963" w:type="dxa"/>
            <w:noWrap w:val="0"/>
            <w:vAlign w:val="center"/>
          </w:tcPr>
          <w:p>
            <w:pPr>
              <w:keepNext w:val="0"/>
              <w:keepLines w:val="0"/>
              <w:suppressLineNumbers w:val="0"/>
              <w:spacing w:before="0" w:beforeAutospacing="0" w:after="0" w:afterAutospacing="0"/>
              <w:ind w:left="0" w:right="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履约保函，为中标价款的10%。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u w:val="single"/>
              </w:rPr>
              <w:t>是</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否，</w:t>
            </w:r>
            <w:r>
              <w:rPr>
                <w:rFonts w:hint="eastAsia" w:ascii="宋体" w:hAnsi="宋体" w:eastAsia="宋体" w:cs="宋体"/>
                <w:color w:val="auto"/>
                <w:sz w:val="24"/>
                <w:szCs w:val="24"/>
                <w:highlight w:val="none"/>
              </w:rPr>
              <w:t>推荐中标候选人的人数</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中标候选人公示媒介</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广东省招标投标监管网、广州公共资源交易中心网站、中国招标投标公共服务平台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zh-CN"/>
              </w:rPr>
              <w:t>不允许；</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color w:val="auto"/>
                <w:kern w:val="0"/>
                <w:sz w:val="24"/>
                <w:szCs w:val="24"/>
                <w:highlight w:val="none"/>
                <w:lang w:val="zh-CN"/>
              </w:rPr>
              <w:t>□允许：</w:t>
            </w:r>
            <w:r>
              <w:rPr>
                <w:rFonts w:hint="eastAsia" w:ascii="宋体" w:hAnsi="宋体" w:eastAsia="宋体" w:cs="宋体"/>
                <w:strike/>
                <w:dstrike w:val="0"/>
                <w:color w:val="auto"/>
                <w:kern w:val="0"/>
                <w:sz w:val="24"/>
                <w:szCs w:val="24"/>
                <w:highlight w:val="none"/>
                <w:lang w:val="zh-CN"/>
              </w:rPr>
              <w:t>分包内容要要求：</w:t>
            </w:r>
            <w:r>
              <w:rPr>
                <w:rFonts w:hint="eastAsia" w:ascii="宋体" w:hAnsi="宋体" w:eastAsia="宋体" w:cs="宋体"/>
                <w:strike/>
                <w:dstrike w:val="0"/>
                <w:color w:val="auto"/>
                <w:kern w:val="0"/>
                <w:sz w:val="24"/>
                <w:szCs w:val="24"/>
                <w:highlight w:val="none"/>
                <w:u w:val="single"/>
                <w:lang w:val="zh-CN"/>
              </w:rPr>
              <w:t>中标人按照合同约定或者经招标人同意，可以将中标项目的部分非主体、非关键性工作分包给他人完成。</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strike/>
                <w:dstrike w:val="0"/>
                <w:color w:val="auto"/>
                <w:kern w:val="0"/>
                <w:sz w:val="24"/>
                <w:szCs w:val="24"/>
                <w:highlight w:val="none"/>
                <w:lang w:val="zh-CN"/>
              </w:rPr>
              <w:t>分包金额要求：</w:t>
            </w:r>
            <w:r>
              <w:rPr>
                <w:rFonts w:hint="eastAsia" w:ascii="宋体" w:hAnsi="宋体" w:eastAsia="宋体" w:cs="宋体"/>
                <w:strike/>
                <w:dstrike w:val="0"/>
                <w:color w:val="auto"/>
                <w:kern w:val="0"/>
                <w:sz w:val="24"/>
                <w:szCs w:val="24"/>
                <w:highlight w:val="none"/>
                <w:u w:val="single"/>
                <w:lang w:val="zh-CN"/>
              </w:rPr>
              <w:t>根据实际情况确定。</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strike/>
                <w:dstrike w:val="0"/>
                <w:color w:val="auto"/>
                <w:kern w:val="0"/>
                <w:sz w:val="24"/>
                <w:szCs w:val="24"/>
                <w:highlight w:val="none"/>
                <w:lang w:val="zh-CN"/>
              </w:rPr>
              <w:t>对分包人的资质要求：</w:t>
            </w:r>
            <w:r>
              <w:rPr>
                <w:rFonts w:hint="eastAsia" w:ascii="宋体" w:hAnsi="宋体" w:eastAsia="宋体" w:cs="宋体"/>
                <w:strike/>
                <w:dstrike w:val="0"/>
                <w:color w:val="auto"/>
                <w:kern w:val="0"/>
                <w:sz w:val="24"/>
                <w:szCs w:val="24"/>
                <w:highlight w:val="none"/>
                <w:u w:val="single"/>
                <w:lang w:val="zh-CN"/>
              </w:rPr>
              <w:t>接受分包的人应当具备相应的资质条件，并不得再次分包。</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strike/>
                <w:dstrike w:val="0"/>
                <w:color w:val="auto"/>
                <w:kern w:val="0"/>
                <w:sz w:val="24"/>
                <w:szCs w:val="24"/>
                <w:highlight w:val="none"/>
                <w:lang w:val="zh-CN"/>
              </w:rPr>
              <w:t>对分包人的其他要求：</w:t>
            </w:r>
            <w:r>
              <w:rPr>
                <w:rFonts w:hint="eastAsia" w:ascii="宋体" w:hAnsi="宋体" w:eastAsia="宋体" w:cs="宋体"/>
                <w:strike/>
                <w:dstrike w:val="0"/>
                <w:color w:val="auto"/>
                <w:kern w:val="0"/>
                <w:sz w:val="24"/>
                <w:szCs w:val="24"/>
                <w:highlight w:val="none"/>
              </w:rPr>
              <w:t>/</w:t>
            </w:r>
            <w:r>
              <w:rPr>
                <w:rFonts w:hint="eastAsia" w:ascii="宋体" w:hAnsi="宋体" w:eastAsia="宋体" w:cs="宋体"/>
                <w:strike/>
                <w:dstrike w:val="0"/>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9.1中标后，中标人须提供与电子投标文件一致的纸质版投标文件一正三副。</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9.2交易服务费</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按招标人通知的日期向广州公共资源交易中心缴纳交易服务费、向广州公共资源交易中心索取发票，并在取得发票后及时告知招标代理。（该交易服务费为中标金额的0.9‰，具体收费标准投标人可以在广州公共资源交易中心网站查阅，如有变更以广州公共资源交易中心最新发布的标准为准）。</w:t>
            </w:r>
          </w:p>
        </w:tc>
      </w:tr>
    </w:tbl>
    <w:p>
      <w:pPr>
        <w:jc w:val="right"/>
        <w:rPr>
          <w:rFonts w:hint="eastAsia" w:ascii="宋体" w:hAnsi="宋体" w:eastAsia="宋体" w:cs="宋体"/>
          <w:color w:val="auto"/>
          <w:sz w:val="24"/>
          <w:szCs w:val="24"/>
          <w:highlight w:val="none"/>
        </w:rPr>
      </w:pP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outlineLvl w:val="2"/>
        <w:rPr>
          <w:rFonts w:hint="eastAsia" w:ascii="宋体" w:hAnsi="宋体" w:eastAsia="宋体" w:cs="宋体"/>
          <w:b/>
          <w:bCs/>
          <w:color w:val="auto"/>
          <w:sz w:val="24"/>
          <w:szCs w:val="24"/>
          <w:highlight w:val="none"/>
        </w:rPr>
      </w:pPr>
      <w:bookmarkStart w:id="38" w:name="_Toc10919"/>
      <w:r>
        <w:rPr>
          <w:rFonts w:hint="eastAsia" w:ascii="宋体" w:hAnsi="宋体" w:eastAsia="宋体" w:cs="宋体"/>
          <w:b/>
          <w:bCs/>
          <w:color w:val="auto"/>
          <w:sz w:val="24"/>
          <w:szCs w:val="24"/>
          <w:highlight w:val="none"/>
        </w:rPr>
        <w:t>投标须知通用条款</w:t>
      </w:r>
      <w:bookmarkEnd w:id="38"/>
    </w:p>
    <w:p>
      <w:pPr>
        <w:pStyle w:val="4"/>
        <w:numPr>
          <w:ilvl w:val="0"/>
          <w:numId w:val="8"/>
        </w:numPr>
        <w:rPr>
          <w:rFonts w:hint="eastAsia" w:ascii="宋体" w:hAnsi="宋体" w:eastAsia="宋体" w:cs="宋体"/>
          <w:color w:val="auto"/>
          <w:sz w:val="24"/>
          <w:szCs w:val="24"/>
          <w:highlight w:val="none"/>
        </w:rPr>
      </w:pPr>
      <w:bookmarkStart w:id="39" w:name="_Toc13150"/>
      <w:r>
        <w:rPr>
          <w:rFonts w:hint="eastAsia" w:ascii="宋体" w:hAnsi="宋体" w:eastAsia="宋体" w:cs="宋体"/>
          <w:color w:val="auto"/>
          <w:sz w:val="24"/>
          <w:szCs w:val="24"/>
          <w:highlight w:val="none"/>
        </w:rPr>
        <w:t>总则</w:t>
      </w:r>
      <w:bookmarkEnd w:id="39"/>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本招标文件使用的下列词语具有如下规定的意义：</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（1）“招标人”（即发包人）、“项目建设管理单位”（或称“项目代建单位”）、“招标代理”、“设计单位”、“监理单位”均已在投标须知前附表中列明。</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（2）“投标人”指向招标人提交投标文件的当事人。   </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（3）“承包人”指其投标被招标人接受并与其签订承包合同的当事人。</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（4）“招标文件”指由招标代理发出的本文件（包括全部章节、附件）及招标答疑会会议纪要和招标文件的澄清与修改文件。</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（5）“投标文件</w:t>
      </w:r>
      <w:bookmarkStart w:id="40" w:name="_Toc359263251"/>
      <w:r>
        <w:rPr>
          <w:rFonts w:hint="eastAsia" w:ascii="宋体" w:hAnsi="宋体" w:eastAsia="宋体" w:cs="宋体"/>
          <w:bCs/>
          <w:color w:val="auto"/>
          <w:kern w:val="2"/>
          <w:sz w:val="24"/>
          <w:szCs w:val="24"/>
          <w:highlight w:val="none"/>
        </w:rPr>
        <w:t>”指投标人根据本项目</w:t>
      </w:r>
      <w:bookmarkEnd w:id="40"/>
      <w:r>
        <w:rPr>
          <w:rFonts w:hint="eastAsia" w:ascii="宋体" w:hAnsi="宋体" w:eastAsia="宋体" w:cs="宋体"/>
          <w:bCs/>
          <w:color w:val="auto"/>
          <w:kern w:val="2"/>
          <w:sz w:val="24"/>
          <w:szCs w:val="24"/>
          <w:highlight w:val="none"/>
        </w:rPr>
        <w:t>招</w:t>
      </w:r>
      <w:bookmarkStart w:id="41" w:name="_Toc262229163"/>
      <w:bookmarkStart w:id="42" w:name="_Toc85505512"/>
      <w:bookmarkStart w:id="43" w:name="_Toc101777612"/>
      <w:r>
        <w:rPr>
          <w:rFonts w:hint="eastAsia" w:ascii="宋体" w:hAnsi="宋体" w:eastAsia="宋体" w:cs="宋体"/>
          <w:bCs/>
          <w:color w:val="auto"/>
          <w:kern w:val="2"/>
          <w:sz w:val="24"/>
          <w:szCs w:val="24"/>
          <w:highlight w:val="none"/>
        </w:rPr>
        <w:t>标文件向招</w:t>
      </w:r>
      <w:bookmarkEnd w:id="41"/>
      <w:bookmarkEnd w:id="42"/>
      <w:bookmarkEnd w:id="43"/>
      <w:r>
        <w:rPr>
          <w:rFonts w:hint="eastAsia" w:ascii="宋体" w:hAnsi="宋体" w:eastAsia="宋体" w:cs="宋体"/>
          <w:bCs/>
          <w:color w:val="auto"/>
          <w:kern w:val="2"/>
          <w:sz w:val="24"/>
          <w:szCs w:val="24"/>
          <w:highlight w:val="none"/>
        </w:rPr>
        <w:t>标人提交的全部文件。</w:t>
      </w:r>
    </w:p>
    <w:p>
      <w:pPr>
        <w:pStyle w:val="39"/>
        <w:spacing w:after="0"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（6）“书面形式”指打字或印刷的文件和数据电文（包括电报、电传、传真、电子数据交换和电子邮件）。</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根据《中华人民共和国招标投标法》等有关法律、法规和规章的规定，本招标项目已具备招标条件，现对本标段施工进行招标。</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本标段招标代理机构：见投标人须知前附表。</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本招标项目名称：见投标人须知前附表。</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本标段建设地点：见投标人须知前附表。</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资金来源和落实情况</w:t>
      </w:r>
    </w:p>
    <w:p>
      <w:pPr>
        <w:pStyle w:val="8"/>
        <w:numPr>
          <w:ilvl w:val="0"/>
          <w:numId w:val="10"/>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本招标项目的资金来源及出资比例：见投标人须知前附表。</w:t>
      </w:r>
    </w:p>
    <w:p>
      <w:pPr>
        <w:pStyle w:val="8"/>
        <w:numPr>
          <w:ilvl w:val="0"/>
          <w:numId w:val="10"/>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本招标项目的资金来落实情况：见投标人须知前附表。</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招标范围、计划工期和质量要求</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本次招标范围：见投标人须知前附表。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本标段的计划工期：见投标人须知前附表。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本标段的质量要求：见投标人须知前附表。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本招标项目的承包方式：见投标人须知前附表。</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投标人资格要求</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1.4.1投标人应具备承担本项目施工的资质条件、能力和信誉。详见本项目《招标公告》</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投标人须知前附表规定接受联合体投标的，除应符合本章第1.4.1项和投标人须知前附表的要求外，还应遵守以下规定：</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（1）联合体各方应按招标文件提供的格式签订联合体协议书，明确联合体主办方和各方权利义务；</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（3）联合体各方不得再以自己名义单独或参加其他联合体在同一标段中投标。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（2）为本次招标项目前期准备提供设计或咨询服务的；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（3）为本次招标项目的监理人；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（4）为本次招标项目的代建人；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（5）为本次招标项目提供招标代理服务的；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（6）与本次招标项目的监理人或代建人或招标代理机构同为一个法定代表人的；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（7）与本次招标项目的监理人或代建人或招标代理机构相互控股或参股的；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（8）与本次招标项目的监理人或代建人或招标代理机构相互任职或工作的；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（9）被责令停业的；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（10）被暂停或取消投标资格的；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（12）在最近三年内有骗取中标或严重违约或重大工程质量问题的。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1.4.4单位负责人为同一人或者存在控股、管理关系的不同单位，不得同时参加本招标项目投标。</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费用承担</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语言文字</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除专用术语外，与招标投标有关的语言均使用中文。必要时专用术语应附有中文注释。</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投标人按投标人须知前附表规定的时间、地点自行踏勘项目现场。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投标人踏勘现场发生的费用自理。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除招标人的原因外，投标人自行负责在踏勘现场中所发生的人员伤亡和财产损失。</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招标人在踏勘现场中了解的工程场地和相关的周边环境情况，供投标人在编制投标文件时参考，招标人不对投标人据此作出的判断和决策负责。</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投标人须知前附表允许投标文件偏离招标文件某些要求的，偏离应当符合招标文件规定的偏离范围和幅度。</w:t>
      </w:r>
    </w:p>
    <w:p>
      <w:pPr>
        <w:pStyle w:val="4"/>
        <w:rPr>
          <w:rFonts w:hint="eastAsia" w:ascii="宋体" w:hAnsi="宋体" w:eastAsia="宋体" w:cs="宋体"/>
          <w:color w:val="auto"/>
          <w:sz w:val="24"/>
          <w:szCs w:val="24"/>
          <w:highlight w:val="none"/>
        </w:rPr>
      </w:pPr>
      <w:bookmarkStart w:id="44" w:name="_Toc18967"/>
      <w:r>
        <w:rPr>
          <w:rFonts w:hint="eastAsia" w:ascii="宋体" w:hAnsi="宋体" w:eastAsia="宋体" w:cs="宋体"/>
          <w:color w:val="auto"/>
          <w:sz w:val="24"/>
          <w:szCs w:val="24"/>
          <w:highlight w:val="none"/>
        </w:rPr>
        <w:t>招标文件</w:t>
      </w:r>
      <w:bookmarkEnd w:id="44"/>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5" w:name="_Toc24829"/>
      <w:r>
        <w:rPr>
          <w:rFonts w:hint="eastAsia" w:ascii="宋体" w:hAnsi="宋体" w:eastAsia="宋体" w:cs="宋体"/>
          <w:b/>
          <w:color w:val="auto"/>
          <w:sz w:val="24"/>
          <w:szCs w:val="24"/>
          <w:highlight w:val="none"/>
        </w:rPr>
        <w:t>招标文件的组成</w:t>
      </w:r>
      <w:bookmarkEnd w:id="45"/>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w:t>
      </w:r>
      <w:r>
        <w:rPr>
          <w:rFonts w:hint="eastAsia" w:ascii="宋体" w:hAnsi="宋体" w:eastAsia="宋体" w:cs="宋体"/>
          <w:color w:val="auto"/>
          <w:sz w:val="24"/>
          <w:szCs w:val="24"/>
          <w:highlight w:val="none"/>
        </w:rPr>
        <w:t>本招标文件包括：</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（1）招标公告；</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（2）投标人须知；</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（3）评标办法；</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（4）合同条款；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（5）技术标准和要求；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（6）投标文件格式；</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（7）否决性条款汇总；</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2.1.2根据本章第2.2款和第2.3款对招标文件所作的澄清、修改，构成招标文件的组成部分。</w:t>
      </w:r>
      <w:bookmarkStart w:id="46" w:name="_Toc262229164"/>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2.1.3 </w:t>
      </w:r>
      <w:bookmarkEnd w:id="46"/>
      <w:r>
        <w:rPr>
          <w:rFonts w:hint="eastAsia" w:ascii="宋体" w:hAnsi="宋体" w:eastAsia="宋体" w:cs="宋体"/>
          <w:bCs/>
          <w:color w:val="auto"/>
          <w:sz w:val="24"/>
          <w:szCs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 投标人一旦中标，招标文件的内容对招标人和中标人双方均有约束力。</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2.1.5招标人应在招标文件中明确投标文件主要内容编制的格式要求。</w:t>
      </w:r>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7" w:name="_Toc522"/>
      <w:r>
        <w:rPr>
          <w:rFonts w:hint="eastAsia" w:ascii="宋体" w:hAnsi="宋体" w:eastAsia="宋体" w:cs="宋体"/>
          <w:b/>
          <w:color w:val="auto"/>
          <w:sz w:val="24"/>
          <w:szCs w:val="24"/>
          <w:highlight w:val="none"/>
        </w:rPr>
        <w:t>招标答疑</w:t>
      </w:r>
      <w:bookmarkEnd w:id="47"/>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2.2.1投标人应仔细阅读和检查招标文件的全部内容。如发现缺页或附件不全，应及时向招标人提出，以便补齐。如有疑问，应在本章第 4.3.1 项规定的投标截止时间18日前在广州公共资源交易中心网站按“投标人网上答疑操作指南”将提出的问题送达招标人，要求招标人对招标文件予以澄清，提出澄清时一律不得署名。</w:t>
      </w:r>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投标人网上答疑操作指南：按照广州公共资源交易平台关于全流程电子化项目的相关指南进行操作，详见：广州公共资源交易中心网站发布的最新版操作指引。 提问一律不得署名。</w:t>
      </w:r>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2.2.2招标文件的澄清在广州公共资源交易中心网站“项目答疑纪要”专区发布，但不指明澄清问题的来源。澄清发出的时间距本章第 4.3.1 项规定的投标截止时间不足 15 日的，并且澄清内容可能影响投标文件编制的，将相应延长投标截止时间。</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2.2.3招标文件的澄清一经在广州公共资源交易中心网站发布，视作已发放给所有投标人，招标文件的澄清内容作为招标文件的组成部分，具有约束作用。</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2.2.4若招标答疑纪要与招标文件有矛盾时，以广州公共资源交</w:t>
      </w:r>
      <w:r>
        <w:rPr>
          <w:rFonts w:hint="eastAsia" w:ascii="宋体" w:hAnsi="宋体" w:eastAsia="宋体" w:cs="宋体"/>
          <w:color w:val="auto"/>
          <w:kern w:val="2"/>
          <w:sz w:val="24"/>
          <w:szCs w:val="24"/>
          <w:highlight w:val="none"/>
        </w:rPr>
        <w:t>易平台</w:t>
      </w:r>
      <w:r>
        <w:rPr>
          <w:rFonts w:hint="eastAsia" w:ascii="宋体" w:hAnsi="宋体" w:eastAsia="宋体" w:cs="宋体"/>
          <w:color w:val="auto"/>
          <w:sz w:val="24"/>
          <w:szCs w:val="24"/>
          <w:highlight w:val="none"/>
        </w:rPr>
        <w:t>最后发布的答疑纪要为准。</w:t>
      </w:r>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8" w:name="_Toc18651"/>
      <w:r>
        <w:rPr>
          <w:rFonts w:hint="eastAsia" w:ascii="宋体" w:hAnsi="宋体" w:eastAsia="宋体" w:cs="宋体"/>
          <w:b/>
          <w:color w:val="auto"/>
          <w:sz w:val="24"/>
          <w:szCs w:val="24"/>
          <w:highlight w:val="none"/>
        </w:rPr>
        <w:t>招标文件的澄清与修改</w:t>
      </w:r>
      <w:bookmarkEnd w:id="48"/>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w:t>
      </w:r>
      <w:r>
        <w:rPr>
          <w:rFonts w:hint="eastAsia" w:ascii="宋体" w:hAnsi="宋体" w:eastAsia="宋体" w:cs="宋体"/>
          <w:color w:val="auto"/>
          <w:sz w:val="24"/>
          <w:szCs w:val="24"/>
          <w:highlight w:val="none"/>
        </w:rPr>
        <w:t>招标文件的澄清或修改在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交易平台发布。招标文件的澄清或修改一经在在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交易平台发布，视作已发放给所有投标人。</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2.3.2</w:t>
      </w:r>
      <w:r>
        <w:rPr>
          <w:rFonts w:hint="eastAsia" w:ascii="宋体" w:hAnsi="宋体" w:eastAsia="宋体" w:cs="宋体"/>
          <w:color w:val="auto"/>
          <w:sz w:val="24"/>
          <w:szCs w:val="24"/>
          <w:highlight w:val="none"/>
        </w:rPr>
        <w:t>招标文件的澄清、修改作为招标文件的组成部分，具有约束作用。</w:t>
      </w:r>
    </w:p>
    <w:p>
      <w:pPr>
        <w:pStyle w:val="39"/>
        <w:spacing w:before="50" w:after="50" w:line="360" w:lineRule="auto"/>
        <w:ind w:firstLine="486"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2.3.3招标文件的澄清、修改均以广州公共资源交易平台发布的内容为准。当招标文件的澄清、修改在同一内容的表述不一致时，以广州公共资源交易平台最后发布的内容为准。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4"/>
        <w:rPr>
          <w:rFonts w:hint="eastAsia" w:ascii="宋体" w:hAnsi="宋体" w:eastAsia="宋体" w:cs="宋体"/>
          <w:color w:val="auto"/>
          <w:sz w:val="24"/>
          <w:szCs w:val="24"/>
          <w:highlight w:val="none"/>
        </w:rPr>
      </w:pPr>
      <w:bookmarkStart w:id="49" w:name="_Toc9452"/>
      <w:r>
        <w:rPr>
          <w:rFonts w:hint="eastAsia" w:ascii="宋体" w:hAnsi="宋体" w:eastAsia="宋体" w:cs="宋体"/>
          <w:color w:val="auto"/>
          <w:sz w:val="24"/>
          <w:szCs w:val="24"/>
          <w:highlight w:val="none"/>
        </w:rPr>
        <w:t>投标文件</w:t>
      </w:r>
      <w:bookmarkEnd w:id="49"/>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0" w:name="_Toc13274"/>
      <w:r>
        <w:rPr>
          <w:rFonts w:hint="eastAsia" w:ascii="宋体" w:hAnsi="宋体" w:eastAsia="宋体" w:cs="宋体"/>
          <w:b/>
          <w:color w:val="auto"/>
          <w:sz w:val="24"/>
          <w:szCs w:val="24"/>
          <w:highlight w:val="none"/>
        </w:rPr>
        <w:t>投标文件的组成</w:t>
      </w:r>
      <w:bookmarkEnd w:id="50"/>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（2）法定代表人身份证明</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（5）项目管理机构；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（6）资格审查资料；</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（7）投标人须知前附表规定的其他材料；</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1" w:name="_Toc16288"/>
      <w:r>
        <w:rPr>
          <w:rFonts w:hint="eastAsia" w:ascii="宋体" w:hAnsi="宋体" w:eastAsia="宋体" w:cs="宋体"/>
          <w:b/>
          <w:color w:val="auto"/>
          <w:sz w:val="24"/>
          <w:szCs w:val="24"/>
          <w:highlight w:val="none"/>
        </w:rPr>
        <w:t>投标报价</w:t>
      </w:r>
      <w:bookmarkEnd w:id="51"/>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 </w:t>
      </w:r>
      <w:r>
        <w:rPr>
          <w:rFonts w:hint="eastAsia" w:ascii="宋体" w:hAnsi="宋体" w:eastAsia="宋体" w:cs="宋体"/>
          <w:color w:val="auto"/>
          <w:sz w:val="24"/>
          <w:szCs w:val="24"/>
          <w:highlight w:val="none"/>
          <w:lang w:val="en-US" w:eastAsia="zh-CN"/>
        </w:rPr>
        <w:t>投标人根据招标文件要求以及企业自身情况填报下浮率，投标报价为最高投标限价×（1-投标报价下浮率），投标报价不得高于最高投标限价。投标人的投标报价下浮率作为结算的依据。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维修服务期限为从合同生效之日起至2024年12月31日</w:t>
      </w:r>
      <w:r>
        <w:rPr>
          <w:rFonts w:hint="eastAsia" w:ascii="宋体" w:hAnsi="宋体" w:eastAsia="宋体" w:cs="宋体"/>
          <w:color w:val="auto"/>
          <w:sz w:val="24"/>
          <w:szCs w:val="24"/>
          <w:highlight w:val="none"/>
        </w:rPr>
        <w:t>。</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在投标截止时间前修改投标函中的投标报价总额，应同时修改相应投标报价下浮率，投标报价总额为最高投标限价×（1-投标报价下浮率）。此修改须符合本章第4.3款的有关要求。（注：适用于综合评估法一、综合评估法二、经评审最低价法）</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3.2.3投标人在投标截止时间前修改投标函中的投标报价总额，并根据评标办法列明的方法重新计算投标单价下浮率。此修改须符合本章第4.3款的有关要求。（注：适用于综合评估法三）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3.2.4投标人的投标报价不得超过最高投标限价，最高投标限价见投标人须知前附表。</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警示价见投标人须知前附表。在评标过程中，评标委员会发现投标人的报价明显低于其他投标报价或者低于警示价，应当要求该投标人作出书面说明并提供相关证明材料。投标人不能合理说明或者不能提供相关证明材料的，由评标委员会认定该投标人以低于成本报价竞标，应当否决其投标</w:t>
      </w:r>
      <w:r>
        <w:rPr>
          <w:rFonts w:hint="eastAsia" w:ascii="宋体" w:hAnsi="宋体" w:eastAsia="宋体" w:cs="宋体"/>
          <w:color w:val="auto"/>
          <w:sz w:val="24"/>
          <w:szCs w:val="24"/>
          <w:highlight w:val="none"/>
          <w:lang w:val="en-US" w:eastAsia="zh-CN"/>
        </w:rPr>
        <w:t>。</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2" w:name="_Toc19661"/>
      <w:r>
        <w:rPr>
          <w:rFonts w:hint="eastAsia" w:ascii="宋体" w:hAnsi="宋体" w:eastAsia="宋体" w:cs="宋体"/>
          <w:b/>
          <w:color w:val="auto"/>
          <w:sz w:val="24"/>
          <w:szCs w:val="24"/>
          <w:highlight w:val="none"/>
        </w:rPr>
        <w:t>投标有效期</w:t>
      </w:r>
      <w:bookmarkEnd w:id="52"/>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3.3.1除投标人须知前附表另外有规定外，投标有效期为</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0天。</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3.3.2在投标有效期内，投标人撤销或修改其投标文件的，应承担招标文件和法律规定的责任。</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3" w:name="_Toc17724"/>
      <w:r>
        <w:rPr>
          <w:rFonts w:hint="eastAsia" w:ascii="宋体" w:hAnsi="宋体" w:eastAsia="宋体" w:cs="宋体"/>
          <w:b/>
          <w:color w:val="auto"/>
          <w:sz w:val="24"/>
          <w:szCs w:val="24"/>
          <w:highlight w:val="none"/>
        </w:rPr>
        <w:t>投标保证金</w:t>
      </w:r>
      <w:bookmarkEnd w:id="53"/>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招标人可委托广州公共资源交易平台具体实施保证金的收取和退还工作。通过广州公共资源交易平台递交投标保证金的相关事宜，请自行咨询广州公共资源交易平台。广州公共资源交易平台代收投标保证金的，其缴纳情况以广州公共资源交易平台数据库记录的信息为准。（注：适用于广州公共资源交易平台代收投标保证金）</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3.4.2投标人应按照第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章“投标文件格式”规定的投标保证金格式（或银行规定的格式）提供投标保函，提交投标保函的彩色</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，并作为其投标文件的组成部分。（注：适用于投标保证金采用投标保函的形式）</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3.4.2投标人应将提交投标保证金的银行汇款或转账凭证的彩色</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必须清晰可辨）并作为其投标文件的组成部分。采用网上银行汇款或转账的，其网上银行系统提供的汇款或转账凭证必须经投标人的基本存款账户开户银行加盖确认章后方为有效。（注：适用于招标人自行收取的形式）</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3.4.3开标时投标人未按本须知第3.4.1条规定提交投标保证金的，评标委员会将否决其投标。</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3.4.4中标候选人以外的投标人的投标保证金将尽快退还，最迟不超过中标通知书发出之日起五日内。</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3.4.5中标人和其他中标候选人的投标保证金，在书面合同订立之日起五日内予以退还。</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3.4.6有下列情形之一的，投标保证金将不予退还：</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3.4.6.1因投标人原因造成投标文件未解密的；</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3.4.6.2投标人在规定的投标有效期内撤回其投标文件；</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3.4.6.3中标人未能在规定期限内按要求提交履约担保；</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3.4.6.4中标人未能在规定期限内签署合同协议。</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4" w:name="_Toc10169"/>
      <w:r>
        <w:rPr>
          <w:rFonts w:hint="eastAsia" w:ascii="宋体" w:hAnsi="宋体" w:eastAsia="宋体" w:cs="宋体"/>
          <w:b/>
          <w:color w:val="auto"/>
          <w:sz w:val="24"/>
          <w:szCs w:val="24"/>
          <w:highlight w:val="none"/>
        </w:rPr>
        <w:t>资格审查资料</w:t>
      </w:r>
      <w:bookmarkEnd w:id="54"/>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3.5.1投标人声明；</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3.5.2法定代表人证明书、法定代表人签字或盖章的本投标文件授权委托证明书；</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3.5.3“投标人基本情况表”应附投标人企业营业执照、企业资质证书和建筑施工企业安全生产许可证等；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3.5.4项目负责人的建造师证（或小型项目负责人相关证明）和安全培训考核合格证明或在有效期内的安全考核合格证书（B类）；</w:t>
      </w:r>
    </w:p>
    <w:p>
      <w:pPr>
        <w:pStyle w:val="39"/>
        <w:spacing w:after="0" w:line="360" w:lineRule="auto"/>
        <w:ind w:firstLine="486" w:firstLineChars="200"/>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3.5.5专职安全员须具有在有效期内的安全考核合格证书（C类）；</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授权的委托代理人及项目部主要组成人员（项目负责人、技术负责人（如有）、专职安全员）在本单位交纳的社保证明文件（以加盖社会保险基金管理中心印章的《投保单》或《社会保险参保人员证明》资料为准）。</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kern w:val="2"/>
          <w:sz w:val="24"/>
          <w:szCs w:val="24"/>
          <w:highlight w:val="none"/>
          <w:lang w:val="en-US" w:eastAsia="zh-CN" w:bidi="ar"/>
        </w:rPr>
        <w:t>资审要求的其他材料</w:t>
      </w:r>
      <w:r>
        <w:rPr>
          <w:rFonts w:hint="eastAsia" w:ascii="宋体" w:hAnsi="宋体" w:eastAsia="宋体" w:cs="宋体"/>
          <w:color w:val="auto"/>
          <w:sz w:val="24"/>
          <w:szCs w:val="24"/>
          <w:highlight w:val="none"/>
        </w:rPr>
        <w:t>。</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5" w:name="_Toc22994"/>
      <w:r>
        <w:rPr>
          <w:rFonts w:hint="eastAsia" w:ascii="宋体" w:hAnsi="宋体" w:eastAsia="宋体" w:cs="宋体"/>
          <w:b/>
          <w:color w:val="auto"/>
          <w:sz w:val="24"/>
          <w:szCs w:val="24"/>
          <w:highlight w:val="none"/>
        </w:rPr>
        <w:t>投标文件的编制</w:t>
      </w:r>
      <w:bookmarkEnd w:id="55"/>
    </w:p>
    <w:p>
      <w:pPr>
        <w:spacing w:line="360" w:lineRule="auto"/>
        <w:ind w:firstLine="475" w:firstLineChars="196"/>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3.6.1投标文件应当对招标文件有关招标范围、投标有效期、工期、质量</w:t>
      </w:r>
      <w:r>
        <w:rPr>
          <w:rFonts w:hint="eastAsia" w:ascii="宋体" w:hAnsi="宋体" w:eastAsia="宋体" w:cs="宋体"/>
          <w:bCs/>
          <w:color w:val="auto"/>
          <w:kern w:val="0"/>
          <w:sz w:val="24"/>
          <w:szCs w:val="24"/>
          <w:highlight w:val="none"/>
        </w:rPr>
        <w:t>要求、发包人要求等实质性内容作出响应。</w:t>
      </w:r>
    </w:p>
    <w:p>
      <w:pPr>
        <w:spacing w:line="360" w:lineRule="auto"/>
        <w:ind w:firstLine="475" w:firstLineChars="196"/>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3.6.2投标文件包括本须知3.1中规定的内容，投标人提交的投标文件应当使用招标文件所提供的投标文件全部格式（表格可以按同样格式扩展）。</w:t>
      </w:r>
    </w:p>
    <w:p>
      <w:pPr>
        <w:pStyle w:val="39"/>
        <w:spacing w:after="0"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3.6.3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3.6.4</w:t>
      </w:r>
      <w:r>
        <w:rPr>
          <w:rFonts w:hint="eastAsia" w:ascii="宋体" w:hAnsi="宋体" w:eastAsia="宋体" w:cs="宋体"/>
          <w:bCs/>
          <w:color w:val="auto"/>
          <w:sz w:val="24"/>
          <w:szCs w:val="24"/>
          <w:highlight w:val="none"/>
        </w:rPr>
        <w:t>投标文件全部采用电子文档，投标文件所附证书证件均为纸质原件的</w:t>
      </w:r>
      <w:r>
        <w:rPr>
          <w:rFonts w:hint="eastAsia" w:ascii="宋体" w:hAnsi="宋体" w:eastAsia="宋体" w:cs="宋体"/>
          <w:bCs/>
          <w:color w:val="auto"/>
          <w:sz w:val="24"/>
          <w:szCs w:val="24"/>
          <w:highlight w:val="none"/>
          <w:lang w:eastAsia="zh-CN"/>
        </w:rPr>
        <w:t>复印件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并采用单位数字证书，按招标文件要求在相应位置加盖电子印章。签字或盖章的具体要求见投标人须知前附表。</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3.6.5</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szCs w:val="24"/>
          <w:highlight w:val="none"/>
        </w:rPr>
        <w:t>照广州公共资源交易平台关于全流程电子化项目的相关指南进行编制。</w:t>
      </w:r>
      <w:r>
        <w:rPr>
          <w:rFonts w:hint="eastAsia" w:ascii="宋体" w:hAnsi="宋体" w:eastAsia="宋体" w:cs="宋体"/>
          <w:bCs/>
          <w:color w:val="auto"/>
          <w:sz w:val="24"/>
          <w:szCs w:val="24"/>
          <w:highlight w:val="none"/>
        </w:rPr>
        <w:t>如因不按上述编排要求编制而所引起系统无法检索、读取相关信息时，其后果将由投标人自行承担。</w:t>
      </w:r>
    </w:p>
    <w:p>
      <w:pPr>
        <w:pStyle w:val="4"/>
        <w:rPr>
          <w:rFonts w:hint="eastAsia" w:ascii="宋体" w:hAnsi="宋体" w:eastAsia="宋体" w:cs="宋体"/>
          <w:color w:val="auto"/>
          <w:sz w:val="24"/>
          <w:szCs w:val="24"/>
          <w:highlight w:val="none"/>
        </w:rPr>
      </w:pPr>
      <w:bookmarkStart w:id="56" w:name="_Toc17471890"/>
      <w:bookmarkEnd w:id="56"/>
      <w:bookmarkStart w:id="57" w:name="_Toc17471889"/>
      <w:bookmarkEnd w:id="57"/>
      <w:bookmarkStart w:id="58" w:name="_Toc16390"/>
      <w:r>
        <w:rPr>
          <w:rFonts w:hint="eastAsia" w:ascii="宋体" w:hAnsi="宋体" w:eastAsia="宋体" w:cs="宋体"/>
          <w:color w:val="auto"/>
          <w:sz w:val="24"/>
          <w:szCs w:val="24"/>
          <w:highlight w:val="none"/>
        </w:rPr>
        <w:t>投标</w:t>
      </w:r>
      <w:bookmarkEnd w:id="58"/>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59" w:name="_Toc15456"/>
      <w:r>
        <w:rPr>
          <w:rFonts w:hint="eastAsia" w:ascii="宋体" w:hAnsi="宋体" w:eastAsia="宋体" w:cs="宋体"/>
          <w:b/>
          <w:color w:val="auto"/>
          <w:sz w:val="24"/>
          <w:szCs w:val="24"/>
          <w:highlight w:val="none"/>
        </w:rPr>
        <w:t>投标文件的加密</w:t>
      </w:r>
      <w:bookmarkEnd w:id="59"/>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4.1.1递交的电子投标文件必须进行加密。按照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交易平台关于全流程电子化项目的相关指南进行操作。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未按要求加密的投标文件，</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交易平台将予以拒收。</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0" w:name="_Toc3362"/>
      <w:r>
        <w:rPr>
          <w:rFonts w:hint="eastAsia" w:ascii="宋体" w:hAnsi="宋体" w:eastAsia="宋体" w:cs="宋体"/>
          <w:b/>
          <w:color w:val="auto"/>
          <w:sz w:val="24"/>
          <w:szCs w:val="24"/>
          <w:highlight w:val="none"/>
        </w:rPr>
        <w:t>投标文件的递交和接收</w:t>
      </w:r>
      <w:bookmarkEnd w:id="60"/>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4.2.2投标人完成电子投标文件上传后，</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交易平台即时向投标人发出递交回执通知。递交时间以递交回执通知载明的传输完成时间为</w:t>
      </w:r>
      <w:bookmarkStart w:id="61" w:name="_Toc101777615"/>
      <w:bookmarkStart w:id="62" w:name="_Toc262229166"/>
      <w:r>
        <w:rPr>
          <w:rFonts w:hint="eastAsia" w:ascii="宋体" w:hAnsi="宋体" w:eastAsia="宋体" w:cs="宋体"/>
          <w:color w:val="auto"/>
          <w:sz w:val="24"/>
          <w:szCs w:val="24"/>
          <w:highlight w:val="none"/>
        </w:rPr>
        <w:t>准。</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4.2.3逾期</w:t>
      </w:r>
      <w:bookmarkEnd w:id="61"/>
      <w:bookmarkEnd w:id="62"/>
      <w:r>
        <w:rPr>
          <w:rFonts w:hint="eastAsia" w:ascii="宋体" w:hAnsi="宋体" w:eastAsia="宋体" w:cs="宋体"/>
          <w:color w:val="auto"/>
          <w:sz w:val="24"/>
          <w:szCs w:val="24"/>
          <w:highlight w:val="none"/>
        </w:rPr>
        <w:t>送达的电子投标文件，</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交易平台将予以拒收。</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投标截止前，招标人拒绝接收符合条件的投标文件，投标人可向招标监督机构投诉。</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3" w:name="_Toc4441"/>
      <w:r>
        <w:rPr>
          <w:rFonts w:hint="eastAsia" w:ascii="宋体" w:hAnsi="宋体" w:eastAsia="宋体" w:cs="宋体"/>
          <w:b/>
          <w:color w:val="auto"/>
          <w:sz w:val="24"/>
          <w:szCs w:val="24"/>
          <w:highlight w:val="none"/>
        </w:rPr>
        <w:t>投标文件递交的截止时间</w:t>
      </w:r>
      <w:bookmarkEnd w:id="63"/>
    </w:p>
    <w:p>
      <w:pPr>
        <w:spacing w:line="360" w:lineRule="auto"/>
        <w:ind w:firstLine="486"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4.3.1投标人应在《投标须知前附表》述的投标截止时间前提交投标文件。</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4.3.2招标人可按本须知第2.3条规定以招标文件修改的方式，酌情延长递交投标文件的截止时间。在此情况下，投标的所有权利和义务以及投标人受制约的截止时间，均以延长后新的投标截止时间为准。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 到投标截止时间止，招标人收到的投标文件少于3家的，招标人将重新组织招标（当N个标段同时招标且不允许兼中时，若有效投标人不足N+2家，则重新组织招标）。</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4" w:name="_Toc2417"/>
      <w:r>
        <w:rPr>
          <w:rFonts w:hint="eastAsia" w:ascii="宋体" w:hAnsi="宋体" w:eastAsia="宋体" w:cs="宋体"/>
          <w:b/>
          <w:color w:val="auto"/>
          <w:sz w:val="24"/>
          <w:szCs w:val="24"/>
          <w:highlight w:val="none"/>
        </w:rPr>
        <w:t>迟交的投标文件</w:t>
      </w:r>
      <w:bookmarkEnd w:id="64"/>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本须知前附表第4.3.1项规定的投标截止时间后送达的电子投标文件，广州公共资源交易平台将予以拒收。</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5" w:name="_Toc6759"/>
      <w:r>
        <w:rPr>
          <w:rFonts w:hint="eastAsia" w:ascii="宋体" w:hAnsi="宋体" w:eastAsia="宋体" w:cs="宋体"/>
          <w:b/>
          <w:color w:val="auto"/>
          <w:sz w:val="24"/>
          <w:szCs w:val="24"/>
          <w:highlight w:val="none"/>
        </w:rPr>
        <w:t>投标文件的补充、修改与撤回</w:t>
      </w:r>
      <w:bookmarkEnd w:id="65"/>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 投标人在递交投标文件以后，在规定的投标截止时间之前，可以修改或撤回已递交的投标文件。投标截止时间前未完成投标文件传输的，视为投标人撤回投标文件。</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 在投标截止时间之后，投标人不得补充、修改和更换投标文件。</w:t>
      </w:r>
    </w:p>
    <w:p>
      <w:pPr>
        <w:snapToGrid w:val="0"/>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4.5.4在投标文件递交截止时间后，至投标文件格式中规定的有效期终止日前，投标人不能撤回投标文件，否则其投标担保将被没收，且招标人有权就其撤回行为报告行政主管部门载入不良信用记录。</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6" w:name="_Toc9591"/>
      <w:r>
        <w:rPr>
          <w:rFonts w:hint="eastAsia" w:ascii="宋体" w:hAnsi="宋体" w:eastAsia="宋体" w:cs="宋体"/>
          <w:b/>
          <w:color w:val="auto"/>
          <w:sz w:val="24"/>
          <w:szCs w:val="24"/>
          <w:highlight w:val="none"/>
        </w:rPr>
        <w:t>投标文件解密</w:t>
      </w:r>
      <w:bookmarkEnd w:id="66"/>
    </w:p>
    <w:p>
      <w:pPr>
        <w:tabs>
          <w:tab w:val="left" w:pos="105"/>
        </w:tabs>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4.6.1投标人必须在《投标须知前附表》规定的时间内对投标文件进行解密。因投标人原因造成投标文件未解密或未在规定的时间内解密的，视为撤销其投标文件。</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4.6.2电子投标文件解密</w:t>
      </w:r>
      <w:r>
        <w:rPr>
          <w:rFonts w:hint="eastAsia" w:ascii="宋体" w:hAnsi="宋体" w:eastAsia="宋体" w:cs="宋体"/>
          <w:color w:val="auto"/>
          <w:kern w:val="0"/>
          <w:sz w:val="24"/>
          <w:szCs w:val="24"/>
          <w:highlight w:val="none"/>
        </w:rPr>
        <w:t>应按照</w:t>
      </w:r>
      <w:r>
        <w:rPr>
          <w:rFonts w:hint="eastAsia" w:ascii="宋体" w:hAnsi="宋体" w:eastAsia="宋体" w:cs="宋体"/>
          <w:color w:val="auto"/>
          <w:sz w:val="24"/>
          <w:szCs w:val="24"/>
          <w:highlight w:val="none"/>
        </w:rPr>
        <w:t>广州公共资源</w:t>
      </w:r>
      <w:r>
        <w:rPr>
          <w:rFonts w:hint="eastAsia" w:ascii="宋体" w:hAnsi="宋体" w:eastAsia="宋体" w:cs="宋体"/>
          <w:color w:val="auto"/>
          <w:kern w:val="0"/>
          <w:sz w:val="24"/>
          <w:szCs w:val="24"/>
          <w:highlight w:val="none"/>
        </w:rPr>
        <w:t>交易平台关于全流程电子化项目的相关指南进行操作。</w:t>
      </w:r>
    </w:p>
    <w:p>
      <w:pPr>
        <w:pStyle w:val="4"/>
        <w:rPr>
          <w:rFonts w:hint="eastAsia" w:ascii="宋体" w:hAnsi="宋体" w:eastAsia="宋体" w:cs="宋体"/>
          <w:color w:val="auto"/>
          <w:sz w:val="24"/>
          <w:szCs w:val="24"/>
          <w:highlight w:val="none"/>
        </w:rPr>
      </w:pPr>
      <w:bookmarkStart w:id="67" w:name="_Toc3419"/>
      <w:r>
        <w:rPr>
          <w:rFonts w:hint="eastAsia" w:ascii="宋体" w:hAnsi="宋体" w:eastAsia="宋体" w:cs="宋体"/>
          <w:color w:val="auto"/>
          <w:sz w:val="24"/>
          <w:szCs w:val="24"/>
          <w:highlight w:val="none"/>
        </w:rPr>
        <w:t>开标</w:t>
      </w:r>
      <w:bookmarkEnd w:id="67"/>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68" w:name="_Toc12709"/>
      <w:r>
        <w:rPr>
          <w:rFonts w:hint="eastAsia" w:ascii="宋体" w:hAnsi="宋体" w:eastAsia="宋体" w:cs="宋体"/>
          <w:b/>
          <w:color w:val="auto"/>
          <w:sz w:val="24"/>
          <w:szCs w:val="24"/>
          <w:highlight w:val="none"/>
        </w:rPr>
        <w:t>开标时间和地点</w:t>
      </w:r>
      <w:bookmarkEnd w:id="6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人按《投标须知前附表》规定的时间和地点公开开标，并邀请所有投标人参加。投标人不派代表出席开标会，则视其为放弃参与开标的权利，认可开标结果。截标后，开标开始时间因故推迟的，相关评标信息仍以原定的开标开始时间的信息为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5.1.2招标人在招标文件要求提交投标文件的截止时间前收到的投标文件，开标时都当众予以解密、公布。</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69" w:name="_Toc2907"/>
      <w:r>
        <w:rPr>
          <w:rFonts w:hint="eastAsia" w:ascii="宋体" w:hAnsi="宋体" w:eastAsia="宋体" w:cs="宋体"/>
          <w:b/>
          <w:color w:val="auto"/>
          <w:sz w:val="24"/>
          <w:szCs w:val="24"/>
          <w:highlight w:val="none"/>
        </w:rPr>
        <w:t>开标程序</w:t>
      </w:r>
      <w:bookmarkEnd w:id="69"/>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主持人按下列程序进行开标：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5.2.1投标人按照《投标人须知前附表》的要求，对电子投标文件进行解密。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5.2.2宣布开标纪律；</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5.2.3招标人或招标代理通过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交易平台对所有投标人电子投标文件进行招标人解密；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5.2.4公布招标项目名称、投标人名称、投标文件解密情况、投标保证金的递交情况、投标报价、质量要求、工期、项目负责人、专职安全员及其他内容，并记录在案；</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5.2.5公开摇取评标基准价下浮率。下浮率从2%、2.5%、3%、3.5%、4%、4.5%、5%中通过摇珠机随机抽取。（适用于采用综合评估法一、综合评估法二） </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5.2.6投标人代表、招标人代表、监标人、记录人等有关人员在开标记录上签字确认；若有关人员不签字的，不影响开标程序。</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5.2.7开标结束。</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70" w:name="_Toc23338"/>
      <w:r>
        <w:rPr>
          <w:rFonts w:hint="eastAsia" w:ascii="宋体" w:hAnsi="宋体" w:eastAsia="宋体" w:cs="宋体"/>
          <w:b/>
          <w:color w:val="auto"/>
          <w:sz w:val="24"/>
          <w:szCs w:val="24"/>
          <w:highlight w:val="none"/>
        </w:rPr>
        <w:t>开标异议</w:t>
      </w:r>
      <w:bookmarkEnd w:id="7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5.3.1投标人代表对开标有异议的，应当在开标现场提出，招标人当场作出答复，并制作记录。该投标人代表须同时出示本人身份证原件。</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5.3.2对开标的异议，招标人应当当场作出答复并予以书面记录，异议成立的，招标人应当及时采取纠正措施，或者提交评标委员会评审确认；异议不成立的，招标人应当当场给予解释说明。</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招标人应当按照同一异议提起人一份记录的方式，对异议事项的处理应逐条进行书面记录，其中异议事项由异议提起人签名确认，作出的答复由招标人签名确认。书面记录含义应清晰而明确，包括但不限于纠正的措施、解释说明的内容、相关依据等。</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71" w:name="_Toc726"/>
      <w:r>
        <w:rPr>
          <w:rFonts w:hint="eastAsia" w:ascii="宋体" w:hAnsi="宋体" w:eastAsia="宋体" w:cs="宋体"/>
          <w:b/>
          <w:color w:val="auto"/>
          <w:sz w:val="24"/>
          <w:szCs w:val="24"/>
          <w:highlight w:val="none"/>
        </w:rPr>
        <w:t>开标时重新招标情形</w:t>
      </w:r>
      <w:bookmarkEnd w:id="71"/>
    </w:p>
    <w:p>
      <w:pPr>
        <w:spacing w:line="360" w:lineRule="auto"/>
        <w:ind w:left="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5.4.1开标时，出现下列情形之一的，投标文件由招标人作否决投标处理，不参与评标：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（1）未成功递交投标文件的；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（1）因投标人原因造成投标文件未解密的；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（3）未按规定时间对投标文件进行解密的；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（4）未按招标文件要求提供投标保证金的；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（5）两个（含两个）以上的投标人加密打包投标文件电脑机器码一致的；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（6）项目负责人和安全员为同一人的；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（7）投标文件中的投标人企业名称、项目负责人、专职安全员与投标登记时的信息不一致的。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5.4.2若递交投标文件的投标人不足3家，则重新组织招标。（当N个标段同时招标且不允许兼中时，若有效投标人不足N+2家，则重新组织招标）</w:t>
      </w:r>
    </w:p>
    <w:p>
      <w:pPr>
        <w:pStyle w:val="4"/>
        <w:rPr>
          <w:rFonts w:hint="eastAsia" w:ascii="宋体" w:hAnsi="宋体" w:eastAsia="宋体" w:cs="宋体"/>
          <w:color w:val="auto"/>
          <w:sz w:val="24"/>
          <w:szCs w:val="24"/>
          <w:highlight w:val="none"/>
        </w:rPr>
      </w:pPr>
      <w:bookmarkStart w:id="72" w:name="_Toc17471903"/>
      <w:bookmarkEnd w:id="72"/>
      <w:bookmarkStart w:id="73" w:name="_Toc17471904"/>
      <w:bookmarkEnd w:id="73"/>
      <w:bookmarkStart w:id="74" w:name="_Toc31929"/>
      <w:r>
        <w:rPr>
          <w:rFonts w:hint="eastAsia" w:ascii="宋体" w:hAnsi="宋体" w:eastAsia="宋体" w:cs="宋体"/>
          <w:color w:val="auto"/>
          <w:sz w:val="24"/>
          <w:szCs w:val="24"/>
          <w:highlight w:val="none"/>
        </w:rPr>
        <w:t>评标</w:t>
      </w:r>
      <w:bookmarkEnd w:id="74"/>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5" w:name="_Toc22982"/>
      <w:r>
        <w:rPr>
          <w:rFonts w:hint="eastAsia" w:ascii="宋体" w:hAnsi="宋体" w:eastAsia="宋体" w:cs="宋体"/>
          <w:b/>
          <w:color w:val="auto"/>
          <w:sz w:val="24"/>
          <w:szCs w:val="24"/>
          <w:highlight w:val="none"/>
        </w:rPr>
        <w:t>评标委员会</w:t>
      </w:r>
      <w:bookmarkEnd w:id="75"/>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6.1.1评标由招标人依法组建的评标委员会负责。评标委员会成员人数以及技术、经济等方面专家的确定方式见《投标人须知前附表》。</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（1）招标人或投标人的主要负责人的近亲属；</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（3）与投标人有经济利益关系，可能影响对投标公正评审的；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（5）与投标人有其他利害关系。</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6" w:name="_Toc18988"/>
      <w:r>
        <w:rPr>
          <w:rFonts w:hint="eastAsia" w:ascii="宋体" w:hAnsi="宋体" w:eastAsia="宋体" w:cs="宋体"/>
          <w:b/>
          <w:color w:val="auto"/>
          <w:sz w:val="24"/>
          <w:szCs w:val="24"/>
          <w:highlight w:val="none"/>
        </w:rPr>
        <w:t>评标原则</w:t>
      </w:r>
      <w:bookmarkEnd w:id="76"/>
      <w:r>
        <w:rPr>
          <w:rFonts w:hint="eastAsia" w:ascii="宋体" w:hAnsi="宋体" w:eastAsia="宋体" w:cs="宋体"/>
          <w:b/>
          <w:color w:val="auto"/>
          <w:sz w:val="24"/>
          <w:szCs w:val="24"/>
          <w:highlight w:val="none"/>
        </w:rPr>
        <w:tab/>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7" w:name="_Toc27458"/>
      <w:r>
        <w:rPr>
          <w:rFonts w:hint="eastAsia" w:ascii="宋体" w:hAnsi="宋体" w:eastAsia="宋体" w:cs="宋体"/>
          <w:b/>
          <w:color w:val="auto"/>
          <w:sz w:val="24"/>
          <w:szCs w:val="24"/>
          <w:highlight w:val="none"/>
        </w:rPr>
        <w:t>评审</w:t>
      </w:r>
      <w:bookmarkEnd w:id="77"/>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评标委员会按照第三章“评标办法”规定的方法、评审因素、标准和程序对投标文件进行评审。第三章“评标办法”没有规定的方法、评审因素和标准，不作为评标依据。</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8" w:name="_Toc22106"/>
      <w:r>
        <w:rPr>
          <w:rFonts w:hint="eastAsia" w:ascii="宋体" w:hAnsi="宋体" w:eastAsia="宋体" w:cs="宋体"/>
          <w:b/>
          <w:color w:val="auto"/>
          <w:sz w:val="24"/>
          <w:szCs w:val="24"/>
          <w:highlight w:val="none"/>
        </w:rPr>
        <w:t>评标过程的保密</w:t>
      </w:r>
      <w:bookmarkEnd w:id="7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 开标后，直至中标公示为止，凡属于对投标文件的审查、澄清、评价和比较有关的资料以及中标候选人的推荐情况，与评标有关的其他任何情况均严格保密。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6.4.2 在投标文件的评审和比较、中标候选人推荐以及授予合同的过程中，投标人向招标人和评标委员会施加不公正影响的任何行为，都将会导致其投标被拒绝。</w:t>
      </w:r>
    </w:p>
    <w:p>
      <w:pPr>
        <w:pStyle w:val="4"/>
        <w:rPr>
          <w:rFonts w:hint="eastAsia" w:ascii="宋体" w:hAnsi="宋体" w:eastAsia="宋体" w:cs="宋体"/>
          <w:color w:val="auto"/>
          <w:sz w:val="24"/>
          <w:szCs w:val="24"/>
          <w:highlight w:val="none"/>
        </w:rPr>
      </w:pPr>
      <w:bookmarkStart w:id="79" w:name="_Toc31349"/>
      <w:r>
        <w:rPr>
          <w:rFonts w:hint="eastAsia" w:ascii="宋体" w:hAnsi="宋体" w:eastAsia="宋体" w:cs="宋体"/>
          <w:color w:val="auto"/>
          <w:sz w:val="24"/>
          <w:szCs w:val="24"/>
          <w:highlight w:val="none"/>
        </w:rPr>
        <w:t>合同授予</w:t>
      </w:r>
      <w:bookmarkEnd w:id="79"/>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0" w:name="_Toc11433"/>
      <w:r>
        <w:rPr>
          <w:rFonts w:hint="eastAsia" w:ascii="宋体" w:hAnsi="宋体" w:eastAsia="宋体" w:cs="宋体"/>
          <w:b/>
          <w:color w:val="auto"/>
          <w:sz w:val="24"/>
          <w:szCs w:val="24"/>
          <w:highlight w:val="none"/>
        </w:rPr>
        <w:t>中标候选人公示</w:t>
      </w:r>
      <w:bookmarkEnd w:id="8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7.1.1招标人在《投标人须知前附表》规定的媒介公示中标候选人，公示期为三天，最后一天应为工作日。</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7.1.2在产生中标候选人后，招标人将中标候选人的投标文件商务部分文件的所有内容（包括人员、业绩、奖项等资料）在广州公共资源交易网和广东省招标投标监管网公开。</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1" w:name="_Toc3698"/>
      <w:r>
        <w:rPr>
          <w:rFonts w:hint="eastAsia" w:ascii="宋体" w:hAnsi="宋体" w:eastAsia="宋体" w:cs="宋体"/>
          <w:b/>
          <w:color w:val="auto"/>
          <w:sz w:val="24"/>
          <w:szCs w:val="24"/>
          <w:highlight w:val="none"/>
        </w:rPr>
        <w:t>定标方式</w:t>
      </w:r>
      <w:bookmarkEnd w:id="81"/>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7.2.1除投标人须知前附表规定评标委员会直接确定中标人外，招标人依据评标委员会推荐的中标候选人确定中标人，评标委员会推荐中标候选人的人数见投标人须知前附表。</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依法必须进行公开招标的项目，招标人应当确定排名第一的中标候选人为中标人。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7.2.4 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2" w:name="_Toc17436"/>
      <w:r>
        <w:rPr>
          <w:rFonts w:hint="eastAsia" w:ascii="宋体" w:hAnsi="宋体" w:eastAsia="宋体" w:cs="宋体"/>
          <w:b/>
          <w:color w:val="auto"/>
          <w:sz w:val="24"/>
          <w:szCs w:val="24"/>
          <w:highlight w:val="none"/>
        </w:rPr>
        <w:t>中标通知</w:t>
      </w:r>
      <w:bookmarkEnd w:id="82"/>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在中标人确定之日起七日内且在《投标须知前附表》规定的投标有效期内，招标人以书面形式向中标人发出中标通知书，在广州公共资源交易网发布中标信息，视同将中标结果通知未中标的投标人。</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3" w:name="_Toc1404"/>
      <w:r>
        <w:rPr>
          <w:rFonts w:hint="eastAsia" w:ascii="宋体" w:hAnsi="宋体" w:eastAsia="宋体" w:cs="宋体"/>
          <w:b/>
          <w:color w:val="auto"/>
          <w:sz w:val="24"/>
          <w:szCs w:val="24"/>
          <w:highlight w:val="none"/>
        </w:rPr>
        <w:t>履约担保</w:t>
      </w:r>
      <w:bookmarkEnd w:id="83"/>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7.4.1在签订合同前，中标人应按《投标人须知前附表》规定的担保形式和招标文件“第四章合同条款”规定的或者事先经过招标人书面认可的履约担保格式向招标人提交履约担保。</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中标人不能按本章第7.4.1项要求提交履约担保的，视为放弃中标，其投标保证金不予退还，给招标人造成的损失超过投标保证金数额的，中标人还应当对超过部分予以赔偿。</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4" w:name="_Toc32754"/>
      <w:r>
        <w:rPr>
          <w:rFonts w:hint="eastAsia" w:ascii="宋体" w:hAnsi="宋体" w:eastAsia="宋体" w:cs="宋体"/>
          <w:b/>
          <w:color w:val="auto"/>
          <w:sz w:val="24"/>
          <w:szCs w:val="24"/>
          <w:highlight w:val="none"/>
        </w:rPr>
        <w:t>签订合同</w:t>
      </w:r>
      <w:bookmarkEnd w:id="84"/>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发出中标通知书后，招标人无正当理由拒签合同的，招标人向中标人退还投标保证金；给中标人造成损失的，还应当赔偿损失。</w:t>
      </w:r>
      <w:bookmarkStart w:id="85" w:name="_Toc17362594"/>
      <w:bookmarkEnd w:id="85"/>
    </w:p>
    <w:p>
      <w:pPr>
        <w:pStyle w:val="4"/>
        <w:rPr>
          <w:rFonts w:hint="eastAsia" w:ascii="宋体" w:hAnsi="宋体" w:eastAsia="宋体" w:cs="宋体"/>
          <w:color w:val="auto"/>
          <w:sz w:val="24"/>
          <w:szCs w:val="24"/>
          <w:highlight w:val="none"/>
        </w:rPr>
      </w:pPr>
      <w:bookmarkStart w:id="86" w:name="_Toc25532"/>
      <w:r>
        <w:rPr>
          <w:rFonts w:hint="eastAsia" w:ascii="宋体" w:hAnsi="宋体" w:eastAsia="宋体" w:cs="宋体"/>
          <w:color w:val="auto"/>
          <w:sz w:val="24"/>
          <w:szCs w:val="24"/>
          <w:highlight w:val="none"/>
        </w:rPr>
        <w:t>纪律和监督</w:t>
      </w:r>
      <w:bookmarkEnd w:id="86"/>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7" w:name="_Toc21006"/>
      <w:r>
        <w:rPr>
          <w:rFonts w:hint="eastAsia" w:ascii="宋体" w:hAnsi="宋体" w:eastAsia="宋体" w:cs="宋体"/>
          <w:b/>
          <w:color w:val="auto"/>
          <w:sz w:val="24"/>
          <w:szCs w:val="24"/>
          <w:highlight w:val="none"/>
        </w:rPr>
        <w:t>对招标人的纪律要求</w:t>
      </w:r>
      <w:bookmarkEnd w:id="87"/>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招标人不得泄漏招标投标活动中应当保密的情况和资料，不得与投标人串通损害国家利益、社会公共利益或者他人合法权益。</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8" w:name="_Toc16507"/>
      <w:r>
        <w:rPr>
          <w:rFonts w:hint="eastAsia" w:ascii="宋体" w:hAnsi="宋体" w:eastAsia="宋体" w:cs="宋体"/>
          <w:b/>
          <w:color w:val="auto"/>
          <w:sz w:val="24"/>
          <w:szCs w:val="24"/>
          <w:highlight w:val="none"/>
        </w:rPr>
        <w:t>对投标人的纪律要求</w:t>
      </w:r>
      <w:bookmarkEnd w:id="8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9" w:name="_Toc30139"/>
      <w:r>
        <w:rPr>
          <w:rFonts w:hint="eastAsia" w:ascii="宋体" w:hAnsi="宋体" w:eastAsia="宋体" w:cs="宋体"/>
          <w:b/>
          <w:color w:val="auto"/>
          <w:sz w:val="24"/>
          <w:szCs w:val="24"/>
          <w:highlight w:val="none"/>
        </w:rPr>
        <w:t>对评标委员会成员的纪律要求</w:t>
      </w:r>
      <w:bookmarkEnd w:id="89"/>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90" w:name="_Toc3673"/>
      <w:r>
        <w:rPr>
          <w:rFonts w:hint="eastAsia" w:ascii="宋体" w:hAnsi="宋体" w:eastAsia="宋体" w:cs="宋体"/>
          <w:b/>
          <w:color w:val="auto"/>
          <w:sz w:val="24"/>
          <w:szCs w:val="24"/>
          <w:highlight w:val="none"/>
        </w:rPr>
        <w:t>对与评标活动有关的工作人员的纪律要求</w:t>
      </w:r>
      <w:bookmarkEnd w:id="9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91" w:name="_Toc11665"/>
      <w:r>
        <w:rPr>
          <w:rFonts w:hint="eastAsia" w:ascii="宋体" w:hAnsi="宋体" w:eastAsia="宋体" w:cs="宋体"/>
          <w:b/>
          <w:color w:val="auto"/>
          <w:sz w:val="24"/>
          <w:szCs w:val="24"/>
          <w:highlight w:val="none"/>
        </w:rPr>
        <w:t>投诉处理</w:t>
      </w:r>
      <w:bookmarkEnd w:id="91"/>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pStyle w:val="4"/>
        <w:rPr>
          <w:rFonts w:hint="eastAsia" w:ascii="宋体" w:hAnsi="宋体" w:eastAsia="宋体" w:cs="宋体"/>
          <w:color w:val="auto"/>
          <w:sz w:val="24"/>
          <w:szCs w:val="24"/>
          <w:highlight w:val="none"/>
        </w:rPr>
      </w:pPr>
      <w:bookmarkStart w:id="92" w:name="_Toc7711"/>
      <w:r>
        <w:rPr>
          <w:rFonts w:hint="eastAsia" w:ascii="宋体" w:hAnsi="宋体" w:eastAsia="宋体" w:cs="宋体"/>
          <w:color w:val="auto"/>
          <w:sz w:val="24"/>
          <w:szCs w:val="24"/>
          <w:highlight w:val="none"/>
        </w:rPr>
        <w:t>需要补充的其他内容</w:t>
      </w:r>
      <w:bookmarkEnd w:id="92"/>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需要补充的其他内容：见投标人须知前附表。</w:t>
      </w:r>
    </w:p>
    <w:p>
      <w:pPr>
        <w:spacing w:line="360" w:lineRule="auto"/>
        <w:jc w:val="left"/>
        <w:rPr>
          <w:rFonts w:hint="eastAsia" w:ascii="宋体" w:hAnsi="宋体" w:eastAsia="宋体" w:cs="宋体"/>
          <w:color w:val="auto"/>
          <w:sz w:val="24"/>
          <w:szCs w:val="24"/>
          <w:highlight w:val="none"/>
        </w:rPr>
        <w:sectPr>
          <w:footerReference r:id="rId5" w:type="default"/>
          <w:pgSz w:w="11906" w:h="16838"/>
          <w:pgMar w:top="1440" w:right="1417" w:bottom="1440" w:left="1417" w:header="851" w:footer="992" w:gutter="0"/>
          <w:pgNumType w:fmt="decimal"/>
          <w:cols w:space="720" w:num="1"/>
          <w:docGrid w:type="linesAndChars" w:linePitch="312" w:charSpace="640"/>
        </w:sectPr>
      </w:pPr>
    </w:p>
    <w:p>
      <w:pPr>
        <w:spacing w:line="360" w:lineRule="auto"/>
        <w:jc w:val="left"/>
        <w:outlineLvl w:val="2"/>
        <w:rPr>
          <w:rFonts w:hint="eastAsia" w:ascii="宋体" w:hAnsi="宋体" w:eastAsia="宋体" w:cs="宋体"/>
          <w:color w:val="auto"/>
          <w:sz w:val="24"/>
          <w:szCs w:val="24"/>
          <w:highlight w:val="none"/>
        </w:rPr>
      </w:pPr>
      <w:bookmarkStart w:id="93" w:name="_Toc1414"/>
      <w:r>
        <w:rPr>
          <w:rFonts w:hint="eastAsia" w:ascii="宋体" w:hAnsi="宋体" w:eastAsia="宋体" w:cs="宋体"/>
          <w:color w:val="auto"/>
          <w:sz w:val="24"/>
          <w:szCs w:val="24"/>
          <w:highlight w:val="none"/>
        </w:rPr>
        <w:t>附件1：开标记录表</w:t>
      </w:r>
      <w:bookmarkEnd w:id="93"/>
    </w:p>
    <w:p>
      <w:pPr>
        <w:spacing w:line="400" w:lineRule="exact"/>
        <w:jc w:val="center"/>
        <w:outlineLvl w:val="0"/>
        <w:rPr>
          <w:rFonts w:hint="eastAsia" w:ascii="宋体" w:hAnsi="宋体" w:eastAsia="宋体" w:cs="宋体"/>
          <w:b/>
          <w:color w:val="auto"/>
          <w:sz w:val="24"/>
          <w:szCs w:val="24"/>
          <w:highlight w:val="none"/>
        </w:rPr>
      </w:pPr>
      <w:bookmarkStart w:id="94" w:name="_Toc22740"/>
      <w:bookmarkStart w:id="95" w:name="_Toc31932"/>
      <w:r>
        <w:rPr>
          <w:rFonts w:hint="eastAsia" w:ascii="宋体" w:hAnsi="宋体" w:eastAsia="宋体" w:cs="宋体"/>
          <w:b/>
          <w:color w:val="auto"/>
          <w:sz w:val="24"/>
          <w:szCs w:val="24"/>
          <w:highlight w:val="none"/>
        </w:rPr>
        <w:t>（项目名称）开标记录表</w:t>
      </w:r>
      <w:bookmarkEnd w:id="94"/>
      <w:bookmarkEnd w:id="95"/>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评标基准价下浮率：                开标时间：  年   月   日    时分</w:t>
      </w:r>
    </w:p>
    <w:tbl>
      <w:tblPr>
        <w:tblStyle w:val="40"/>
        <w:tblW w:w="0" w:type="auto"/>
        <w:tblInd w:w="0" w:type="dxa"/>
        <w:tblLayout w:type="fixed"/>
        <w:tblCellMar>
          <w:top w:w="0" w:type="dxa"/>
          <w:left w:w="108" w:type="dxa"/>
          <w:bottom w:w="0" w:type="dxa"/>
          <w:right w:w="108" w:type="dxa"/>
        </w:tblCellMar>
      </w:tblPr>
      <w:tblGrid>
        <w:gridCol w:w="392"/>
        <w:gridCol w:w="2126"/>
        <w:gridCol w:w="851"/>
        <w:gridCol w:w="1134"/>
        <w:gridCol w:w="1278"/>
        <w:gridCol w:w="1418"/>
        <w:gridCol w:w="991"/>
        <w:gridCol w:w="1134"/>
        <w:gridCol w:w="1132"/>
        <w:gridCol w:w="1132"/>
        <w:gridCol w:w="1172"/>
        <w:gridCol w:w="1564"/>
      </w:tblGrid>
      <w:tr>
        <w:tblPrEx>
          <w:tblCellMar>
            <w:top w:w="0" w:type="dxa"/>
            <w:left w:w="108" w:type="dxa"/>
            <w:bottom w:w="0" w:type="dxa"/>
            <w:right w:w="108" w:type="dxa"/>
          </w:tblCellMar>
        </w:tblPrEx>
        <w:trPr>
          <w:trHeight w:val="2003" w:hRule="atLeast"/>
        </w:trPr>
        <w:tc>
          <w:tcPr>
            <w:tcW w:w="39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85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解密情况</w:t>
            </w:r>
          </w:p>
        </w:tc>
        <w:tc>
          <w:tcPr>
            <w:tcW w:w="113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1278"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1418"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99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工期（天）</w:t>
            </w:r>
          </w:p>
        </w:tc>
        <w:tc>
          <w:tcPr>
            <w:tcW w:w="113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项目负责人投报登记时</w:t>
            </w:r>
          </w:p>
        </w:tc>
        <w:tc>
          <w:tcPr>
            <w:tcW w:w="113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项目负责人投标时</w:t>
            </w:r>
          </w:p>
        </w:tc>
        <w:tc>
          <w:tcPr>
            <w:tcW w:w="113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专职安全员投报登记时</w:t>
            </w:r>
          </w:p>
        </w:tc>
        <w:tc>
          <w:tcPr>
            <w:tcW w:w="117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专职安全员投标时</w:t>
            </w:r>
          </w:p>
        </w:tc>
        <w:tc>
          <w:tcPr>
            <w:tcW w:w="156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578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招标人编制最高投标限价（单位：元）</w:t>
            </w:r>
          </w:p>
        </w:tc>
        <w:tc>
          <w:tcPr>
            <w:tcW w:w="854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招标人代表：            记录人：</w:t>
      </w:r>
    </w:p>
    <w:p>
      <w:pPr>
        <w:wordWrap w:val="0"/>
        <w:spacing w:line="440" w:lineRule="exact"/>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月    日</w:t>
      </w:r>
    </w:p>
    <w:p>
      <w:pPr>
        <w:spacing w:line="360" w:lineRule="auto"/>
        <w:jc w:val="center"/>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type="linesAndChars" w:linePitch="312" w:charSpace="0"/>
        </w:sectPr>
      </w:pPr>
    </w:p>
    <w:p>
      <w:pPr>
        <w:spacing w:line="360" w:lineRule="auto"/>
        <w:jc w:val="center"/>
        <w:outlineLvl w:val="0"/>
        <w:rPr>
          <w:rFonts w:hint="eastAsia" w:ascii="宋体" w:hAnsi="宋体" w:eastAsia="宋体" w:cs="宋体"/>
          <w:b/>
          <w:color w:val="auto"/>
          <w:sz w:val="24"/>
          <w:szCs w:val="24"/>
          <w:highlight w:val="none"/>
        </w:rPr>
      </w:pPr>
      <w:bookmarkStart w:id="96" w:name="_Toc25641"/>
      <w:bookmarkStart w:id="97" w:name="_Toc20500"/>
      <w:r>
        <w:rPr>
          <w:rFonts w:hint="eastAsia" w:ascii="宋体" w:hAnsi="宋体" w:eastAsia="宋体" w:cs="宋体"/>
          <w:color w:val="auto"/>
          <w:sz w:val="24"/>
          <w:szCs w:val="24"/>
          <w:highlight w:val="none"/>
        </w:rPr>
        <w:t>附件2：抽取评标基准价的下浮率记录表</w:t>
      </w:r>
      <w:bookmarkEnd w:id="96"/>
      <w:bookmarkEnd w:id="97"/>
    </w:p>
    <w:p>
      <w:pPr>
        <w:spacing w:line="360" w:lineRule="auto"/>
        <w:rPr>
          <w:rFonts w:hint="eastAsia" w:ascii="宋体" w:hAnsi="宋体" w:eastAsia="宋体" w:cs="宋体"/>
          <w:b/>
          <w:color w:val="auto"/>
          <w:sz w:val="24"/>
          <w:szCs w:val="24"/>
          <w:highlight w:val="none"/>
        </w:rPr>
      </w:pPr>
    </w:p>
    <w:p>
      <w:pPr>
        <w:tabs>
          <w:tab w:val="left" w:pos="720"/>
        </w:tabs>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抽取评标基准价的下浮率记录表</w:t>
      </w:r>
    </w:p>
    <w:p>
      <w:pPr>
        <w:tabs>
          <w:tab w:val="left" w:pos="72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tabs>
          <w:tab w:val="left" w:pos="72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8"/>
        <w:gridCol w:w="1534"/>
        <w:gridCol w:w="1619"/>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球号</w:t>
            </w:r>
          </w:p>
        </w:tc>
        <w:tc>
          <w:tcPr>
            <w:tcW w:w="1534"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代表下浮率（%）</w:t>
            </w:r>
          </w:p>
        </w:tc>
        <w:tc>
          <w:tcPr>
            <w:tcW w:w="1619"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摇出球号</w:t>
            </w:r>
          </w:p>
        </w:tc>
        <w:tc>
          <w:tcPr>
            <w:tcW w:w="4261"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9" w:type="dxa"/>
            <w:vMerge w:val="restart"/>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restart"/>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注：1、计算评标基准价的下浮率从2%、2.5%、3%、3.5%、4%、4.5%、5%中随机抽取</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球号根据广州公共资源交易平台提供号球填写，如提供的球为1、2、3、4、5、6、7，则按从小到大的顺序对应填写1、2、3、4、5、6、7；如提供的球号2、2.5、3、3.5、4、4.5、5，则对应填写2、2.5、3、3.5、4、4.5、5。</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监督人：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招标代理记录人：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招标代理唱标人: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见证人员: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left"/>
        <w:outlineLvl w:val="2"/>
        <w:rPr>
          <w:rFonts w:hint="eastAsia" w:ascii="宋体" w:hAnsi="宋体" w:eastAsia="宋体" w:cs="宋体"/>
          <w:color w:val="auto"/>
          <w:sz w:val="24"/>
          <w:szCs w:val="24"/>
          <w:highlight w:val="none"/>
        </w:rPr>
      </w:pPr>
      <w:bookmarkStart w:id="98" w:name="_Toc30990"/>
      <w:r>
        <w:rPr>
          <w:rFonts w:hint="eastAsia" w:ascii="宋体" w:hAnsi="宋体" w:eastAsia="宋体" w:cs="宋体"/>
          <w:color w:val="auto"/>
          <w:sz w:val="24"/>
          <w:szCs w:val="24"/>
          <w:highlight w:val="none"/>
        </w:rPr>
        <w:t>附件3：问题澄清通知</w:t>
      </w:r>
      <w:bookmarkEnd w:id="98"/>
    </w:p>
    <w:p>
      <w:pPr>
        <w:spacing w:line="440" w:lineRule="exact"/>
        <w:jc w:val="center"/>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问题澄清通知</w:t>
      </w: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编号：__________________________</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pPr>
        <w:spacing w:line="440" w:lineRule="exact"/>
        <w:rPr>
          <w:rFonts w:hint="eastAsia" w:ascii="宋体" w:hAnsi="宋体" w:eastAsia="宋体" w:cs="宋体"/>
          <w:color w:val="auto"/>
          <w:sz w:val="24"/>
          <w:szCs w:val="24"/>
          <w:highlight w:val="none"/>
        </w:rPr>
      </w:pP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（项目名称）招标的评标委员会，对你方的投标文件进行了仔细的审查，现需你方对下列问题以书面形式予以澄清：</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请将上述问题的澄清于年月日时前递交至（详细地址）或传真至</w:t>
      </w:r>
      <w:bookmarkStart w:id="99" w:name="_Toc246996225"/>
      <w:bookmarkStart w:id="100" w:name="_Toc247085740"/>
      <w:bookmarkStart w:id="101" w:name="_Toc332641307"/>
      <w:bookmarkStart w:id="102" w:name="_Toc246996968"/>
      <w:bookmarkStart w:id="103" w:name="_Toc152045582"/>
      <w:bookmarkStart w:id="104" w:name="_Toc179632600"/>
      <w:bookmarkStart w:id="105" w:name="_Toc359263253"/>
      <w:bookmarkStart w:id="106" w:name="_Toc144974549"/>
      <w:bookmarkStart w:id="107" w:name="_Toc152042359"/>
      <w:r>
        <w:rPr>
          <w:rFonts w:hint="eastAsia" w:ascii="宋体" w:hAnsi="宋体" w:eastAsia="宋体" w:cs="宋体"/>
          <w:color w:val="auto"/>
          <w:sz w:val="24"/>
          <w:szCs w:val="24"/>
          <w:highlight w:val="none"/>
        </w:rPr>
        <w:t>（传真</w:t>
      </w:r>
      <w:bookmarkEnd w:id="99"/>
      <w:bookmarkEnd w:id="100"/>
      <w:bookmarkEnd w:id="101"/>
      <w:bookmarkEnd w:id="102"/>
      <w:bookmarkEnd w:id="103"/>
      <w:bookmarkEnd w:id="104"/>
      <w:bookmarkEnd w:id="105"/>
      <w:bookmarkEnd w:id="106"/>
      <w:bookmarkEnd w:id="107"/>
      <w:r>
        <w:rPr>
          <w:rFonts w:hint="eastAsia" w:ascii="宋体" w:hAnsi="宋体" w:eastAsia="宋体" w:cs="宋体"/>
          <w:color w:val="auto"/>
          <w:sz w:val="24"/>
          <w:szCs w:val="24"/>
          <w:highlight w:val="none"/>
        </w:rPr>
        <w:t>号码）。采用传真方式的，应在年月日时前将原件递交至（详细地址）。</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wordWrap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招标人或招标代理机构：</w:t>
      </w:r>
      <w:r>
        <w:rPr>
          <w:rFonts w:hint="eastAsia" w:ascii="宋体" w:hAnsi="宋体" w:eastAsia="宋体" w:cs="宋体"/>
          <w:color w:val="auto"/>
          <w:sz w:val="24"/>
          <w:szCs w:val="24"/>
          <w:highlight w:val="none"/>
          <w:u w:val="single"/>
        </w:rPr>
        <w:t xml:space="preserve">           （        或盖章）</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360" w:lineRule="auto"/>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08" w:name="_Toc152045583"/>
      <w:bookmarkStart w:id="109" w:name="_Toc332641308"/>
      <w:bookmarkStart w:id="110" w:name="_Toc25194"/>
      <w:bookmarkStart w:id="111" w:name="_Toc152042360"/>
      <w:bookmarkStart w:id="112" w:name="_Toc246996969"/>
      <w:bookmarkStart w:id="113" w:name="_Toc144974550"/>
      <w:bookmarkStart w:id="114" w:name="_Toc179632601"/>
      <w:bookmarkStart w:id="115" w:name="_Toc359263254"/>
      <w:bookmarkStart w:id="116" w:name="_Toc246996226"/>
      <w:bookmarkStart w:id="117" w:name="_Toc247085741"/>
      <w:r>
        <w:rPr>
          <w:rFonts w:hint="eastAsia" w:ascii="宋体" w:hAnsi="宋体" w:eastAsia="宋体" w:cs="宋体"/>
          <w:color w:val="auto"/>
          <w:sz w:val="24"/>
          <w:szCs w:val="24"/>
          <w:highlight w:val="none"/>
        </w:rPr>
        <w:t>附件4：中标通知书</w:t>
      </w:r>
      <w:bookmarkEnd w:id="108"/>
      <w:bookmarkEnd w:id="109"/>
      <w:bookmarkEnd w:id="110"/>
      <w:bookmarkEnd w:id="111"/>
      <w:bookmarkEnd w:id="112"/>
      <w:bookmarkEnd w:id="113"/>
      <w:bookmarkEnd w:id="114"/>
      <w:bookmarkEnd w:id="115"/>
      <w:bookmarkEnd w:id="116"/>
      <w:bookmarkEnd w:id="117"/>
    </w:p>
    <w:p>
      <w:pPr>
        <w:spacing w:line="360" w:lineRule="auto"/>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（注：中标通知书采用广州公共资源交易平台规定的格式）</w:t>
      </w:r>
    </w:p>
    <w:p>
      <w:pPr>
        <w:pStyle w:val="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18" w:name="_Toc22251"/>
      <w:bookmarkStart w:id="119" w:name="_Toc18590"/>
      <w:r>
        <w:rPr>
          <w:rFonts w:hint="eastAsia" w:ascii="宋体" w:hAnsi="宋体" w:eastAsia="宋体" w:cs="宋体"/>
          <w:color w:val="auto"/>
          <w:sz w:val="24"/>
          <w:szCs w:val="24"/>
          <w:highlight w:val="none"/>
        </w:rPr>
        <w:t>第三章评标办法（综合评估法）</w:t>
      </w:r>
      <w:bookmarkEnd w:id="118"/>
      <w:bookmarkEnd w:id="119"/>
    </w:p>
    <w:p>
      <w:pPr>
        <w:spacing w:line="360" w:lineRule="auto"/>
        <w:ind w:firstLine="480" w:firstLineChars="200"/>
        <w:jc w:val="center"/>
        <w:outlineLvl w:val="1"/>
        <w:rPr>
          <w:rFonts w:hint="eastAsia" w:ascii="宋体" w:hAnsi="宋体" w:eastAsia="宋体" w:cs="宋体"/>
          <w:color w:val="auto"/>
          <w:sz w:val="24"/>
          <w:szCs w:val="24"/>
          <w:highlight w:val="none"/>
        </w:rPr>
      </w:pPr>
      <w:bookmarkStart w:id="120" w:name="_Toc12895"/>
      <w:r>
        <w:rPr>
          <w:rFonts w:hint="eastAsia" w:ascii="宋体" w:hAnsi="宋体" w:eastAsia="宋体" w:cs="宋体"/>
          <w:color w:val="auto"/>
          <w:sz w:val="24"/>
          <w:szCs w:val="24"/>
          <w:highlight w:val="none"/>
        </w:rPr>
        <w:t>评标办法修改表</w:t>
      </w:r>
      <w:bookmarkEnd w:id="120"/>
    </w:p>
    <w:p>
      <w:pPr>
        <w:pStyle w:val="39"/>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声明：本评标办法使用SWZB2019-02招标文件范本的评标办法条款，与该条款不同之处，均在本表中列明，并以现文为准，原文不再有效。本招标文件范本请投标人自行到广州市水务局网站下载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w:instrText>
      </w:r>
      <w:bookmarkStart w:id="121" w:name="_Toc359263255"/>
      <w:bookmarkStart w:id="122" w:name="_Toc332641309"/>
      <w:bookmarkStart w:id="123" w:name="_Toc152045584"/>
      <w:bookmarkStart w:id="124" w:name="_Toc179632602"/>
      <w:bookmarkStart w:id="125" w:name="_Toc144974551"/>
      <w:bookmarkStart w:id="126" w:name="_Toc247085742"/>
      <w:bookmarkStart w:id="127" w:name="_Toc152042361"/>
      <w:bookmarkStart w:id="128" w:name="_Toc246996227"/>
      <w:bookmarkStart w:id="129" w:name="_Toc246996970"/>
      <w:r>
        <w:rPr>
          <w:rFonts w:hint="eastAsia" w:ascii="宋体" w:hAnsi="宋体" w:eastAsia="宋体" w:cs="宋体"/>
          <w:color w:val="auto"/>
          <w:sz w:val="24"/>
          <w:szCs w:val="24"/>
          <w:highlight w:val="none"/>
        </w:rPr>
        <w:instrText xml:space="preserve">LINK "htt</w:instrText>
      </w:r>
      <w:bookmarkEnd w:id="121"/>
      <w:bookmarkEnd w:id="122"/>
      <w:bookmarkEnd w:id="123"/>
      <w:bookmarkEnd w:id="124"/>
      <w:bookmarkEnd w:id="125"/>
      <w:bookmarkEnd w:id="126"/>
      <w:bookmarkEnd w:id="127"/>
      <w:bookmarkEnd w:id="128"/>
      <w:bookmarkEnd w:id="129"/>
      <w:r>
        <w:rPr>
          <w:rFonts w:hint="eastAsia" w:ascii="宋体" w:hAnsi="宋体" w:eastAsia="宋体" w:cs="宋体"/>
          <w:color w:val="auto"/>
          <w:sz w:val="24"/>
          <w:szCs w:val="24"/>
          <w:highlight w:val="none"/>
        </w:rPr>
        <w:instrText xml:space="preserve">p://www.gzwater.gov.cn）下载查阅" </w:instrText>
      </w:r>
      <w:r>
        <w:rPr>
          <w:rFonts w:hint="eastAsia" w:ascii="宋体" w:hAnsi="宋体" w:eastAsia="宋体" w:cs="宋体"/>
          <w:color w:val="auto"/>
          <w:sz w:val="24"/>
          <w:szCs w:val="24"/>
          <w:highlight w:val="none"/>
        </w:rPr>
        <w:fldChar w:fldCharType="separate"/>
      </w:r>
      <w:r>
        <w:rPr>
          <w:rStyle w:val="50"/>
          <w:rFonts w:hint="eastAsia" w:ascii="宋体" w:hAnsi="宋体" w:eastAsia="宋体" w:cs="宋体"/>
          <w:color w:val="auto"/>
          <w:sz w:val="24"/>
          <w:szCs w:val="24"/>
          <w:highlight w:val="none"/>
        </w:rPr>
        <w:t>http://www.gzwater.gov.cn）下载查阅</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pStyle w:val="39"/>
        <w:spacing w:after="0" w:line="360" w:lineRule="auto"/>
        <w:rPr>
          <w:rFonts w:hint="eastAsia" w:ascii="宋体" w:hAnsi="宋体" w:eastAsia="宋体" w:cs="宋体"/>
          <w:b/>
          <w:color w:val="auto"/>
          <w:sz w:val="24"/>
          <w:szCs w:val="24"/>
          <w:highlight w:val="none"/>
        </w:rPr>
      </w:pP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条款号：2.2.3             修改类型：删除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原文：可选方式一：</w:t>
      </w:r>
      <w:r>
        <w:rPr>
          <w:rFonts w:hint="eastAsia" w:ascii="宋体" w:hAnsi="宋体" w:eastAsia="宋体" w:cs="宋体"/>
          <w:color w:val="auto"/>
          <w:sz w:val="24"/>
          <w:szCs w:val="24"/>
          <w:highlight w:val="none"/>
        </w:rPr>
        <w:t>以全部或随机抽取的有效投标报价的算术平均值按随机抽取的评标基准价下浮率（2～5%，0.5一个级别）下浮作为评标基准价。具体确定方法如下：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a、当有效投标报价的投标人少于或等于5个时，取全部有效投标报价的算术平均按随机抽取的评标基准价下浮率（2～5%，0.5一个级别）下浮作为评标基准价。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在首次评标过程中，投标人未被发现存在串通投标、弄虚作假、行贿等情形的，无论是否重评，经确定的评标基准价不变。</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条款号：2.2.2             修改类型：修改</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原文：2.2.2有效投标报价</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通过初步评审且不高于最高投标限价的投标报价为有效投标报价。非竞争性费用需与招标人发布的金额一致，不一致的投标报价无效。投标报价不得低于成本价，否则投标报价为无效投标报价。</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第二章投标人须知前附表第3.2.4项。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现文：2.2.2有效投标报价</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通过初步评审且不高于最高投标限价的投标报价为有效投标报价。投标报价不得低于成本价，否则投标报价为无效投标报价。</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见第二章投标人须知前附表第3.2.4项。对低于该警示价的投标报价，在评标过程中，评标委员会发现投标人的报价明显低于其他投标报价或者低于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条款号：3.1.4            修改类型：修改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原文：3.1.4投标报价有算术错误的，评标委员会按以下原则对投标报价进行修正，修正的价格经投标人书面确认后具有约束力。投标人不接受修正价格的，其投标作否决投标处理。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（1）投标文件中的大写金额与小写金额不一致的，以大写金额为准；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（2）总价金额与依据单价计算出的结果不一致的，以单价金额为准修正总价，但单价金额小数点有明显错误的除外。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现文:3.1.3投标报价有算术错误的，评标委员会按以下原则对投标报价进行修正，修正的价格经投标人书面确认后具有约束力。投标人不接受修正价格的，其投标作否决投标处理。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（1）投标文件中的大写金额与小写金额不一致的，以大写金额为准。</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（2）投标报价与</w:t>
      </w:r>
      <w:r>
        <w:rPr>
          <w:rFonts w:hint="eastAsia" w:ascii="宋体" w:hAnsi="宋体" w:cs="宋体"/>
          <w:color w:val="auto"/>
          <w:sz w:val="24"/>
          <w:szCs w:val="24"/>
          <w:highlight w:val="none"/>
          <w:lang w:eastAsia="zh-CN" w:bidi="ar"/>
        </w:rPr>
        <w:t>投标报价下浮率</w:t>
      </w:r>
      <w:r>
        <w:rPr>
          <w:rFonts w:hint="eastAsia" w:ascii="宋体" w:hAnsi="宋体" w:eastAsia="宋体" w:cs="宋体"/>
          <w:color w:val="auto"/>
          <w:sz w:val="24"/>
          <w:szCs w:val="24"/>
          <w:highlight w:val="none"/>
          <w:lang w:bidi="ar"/>
        </w:rPr>
        <w:t>计算出的结果不一致的，以（1-</w:t>
      </w:r>
      <w:r>
        <w:rPr>
          <w:rFonts w:hint="eastAsia" w:ascii="宋体" w:hAnsi="宋体" w:cs="宋体"/>
          <w:color w:val="auto"/>
          <w:sz w:val="24"/>
          <w:szCs w:val="24"/>
          <w:highlight w:val="none"/>
          <w:lang w:eastAsia="zh-CN" w:bidi="ar"/>
        </w:rPr>
        <w:t>投标报价下浮率</w:t>
      </w:r>
      <w:r>
        <w:rPr>
          <w:rFonts w:hint="eastAsia" w:ascii="宋体" w:hAnsi="宋体" w:eastAsia="宋体" w:cs="宋体"/>
          <w:color w:val="auto"/>
          <w:sz w:val="24"/>
          <w:szCs w:val="24"/>
          <w:highlight w:val="none"/>
          <w:lang w:bidi="ar"/>
        </w:rPr>
        <w:t>）</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最高投标限价的计算结果为准修正总价，但</w:t>
      </w:r>
      <w:r>
        <w:rPr>
          <w:rFonts w:hint="eastAsia" w:ascii="宋体" w:hAnsi="宋体" w:cs="宋体"/>
          <w:color w:val="auto"/>
          <w:sz w:val="24"/>
          <w:szCs w:val="24"/>
          <w:highlight w:val="none"/>
          <w:lang w:eastAsia="zh-CN" w:bidi="ar"/>
        </w:rPr>
        <w:t>投标报价下浮率</w:t>
      </w:r>
      <w:r>
        <w:rPr>
          <w:rFonts w:hint="eastAsia" w:ascii="宋体" w:hAnsi="宋体" w:eastAsia="宋体" w:cs="宋体"/>
          <w:color w:val="auto"/>
          <w:sz w:val="24"/>
          <w:szCs w:val="24"/>
          <w:highlight w:val="none"/>
          <w:lang w:bidi="ar"/>
        </w:rPr>
        <w:t xml:space="preserve">单位有明显错误的除外。 </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（3）在《投标函附录》中，投标报价下浮率公式的计算结果与投标人填报的投标报价下浮率与不一致的，以该公式的计算结果进行修正。</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条款号：3.2.3             修改类型：修改</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原文：3.2.3投标人的得分=A*     +B*     。（注：由招标人根据相关规定自行设置计分权重）。</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现文:3.2.3投标人的得分=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技术部分得分（A）×得分权重(</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%)+商务部分得分（B）×得分权重(</w:t>
      </w:r>
      <w:r>
        <w:rPr>
          <w:rFonts w:hint="eastAsia" w:ascii="宋体" w:hAnsi="宋体" w:eastAsia="宋体" w:cs="宋体"/>
          <w:color w:val="auto"/>
          <w:sz w:val="24"/>
          <w:szCs w:val="24"/>
          <w:highlight w:val="none"/>
          <w:lang w:val="en-US" w:eastAsia="zh-CN" w:bidi="ar"/>
        </w:rPr>
        <w:t>18</w:t>
      </w:r>
      <w:r>
        <w:rPr>
          <w:rFonts w:hint="eastAsia" w:ascii="宋体" w:hAnsi="宋体" w:eastAsia="宋体" w:cs="宋体"/>
          <w:color w:val="auto"/>
          <w:sz w:val="24"/>
          <w:szCs w:val="24"/>
          <w:highlight w:val="none"/>
          <w:lang w:bidi="ar"/>
        </w:rPr>
        <w:t>%)+投标报价得分(C)×得分权重(</w:t>
      </w:r>
      <w:r>
        <w:rPr>
          <w:rFonts w:hint="eastAsia" w:ascii="宋体" w:hAnsi="宋体" w:eastAsia="宋体" w:cs="宋体"/>
          <w:color w:val="auto"/>
          <w:sz w:val="24"/>
          <w:szCs w:val="24"/>
          <w:highlight w:val="none"/>
          <w:lang w:val="en-US" w:eastAsia="zh-CN" w:bidi="ar"/>
        </w:rPr>
        <w:t>8</w:t>
      </w:r>
      <w:r>
        <w:rPr>
          <w:rFonts w:hint="eastAsia" w:ascii="宋体" w:hAnsi="宋体" w:eastAsia="宋体" w:cs="宋体"/>
          <w:color w:val="auto"/>
          <w:sz w:val="24"/>
          <w:szCs w:val="24"/>
          <w:highlight w:val="none"/>
          <w:lang w:bidi="ar"/>
        </w:rPr>
        <w:t>0%)</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×得分权重(</w:t>
      </w:r>
      <w:r>
        <w:rPr>
          <w:rFonts w:hint="eastAsia" w:ascii="宋体" w:hAnsi="宋体" w:eastAsia="宋体" w:cs="宋体"/>
          <w:color w:val="auto"/>
          <w:sz w:val="24"/>
          <w:szCs w:val="24"/>
          <w:highlight w:val="none"/>
          <w:lang w:val="en-US" w:eastAsia="zh-CN" w:bidi="ar"/>
        </w:rPr>
        <w:t>95</w:t>
      </w:r>
      <w:r>
        <w:rPr>
          <w:rFonts w:hint="eastAsia" w:ascii="宋体" w:hAnsi="宋体" w:eastAsia="宋体" w:cs="宋体"/>
          <w:color w:val="auto"/>
          <w:sz w:val="24"/>
          <w:szCs w:val="24"/>
          <w:highlight w:val="none"/>
          <w:lang w:bidi="ar"/>
        </w:rPr>
        <w:t>%)+诚信评价分（D）×得分权重(5%)。（注：由招标人根据相关规定自行设置计分权重）。</w:t>
      </w:r>
    </w:p>
    <w:p>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条款号：3.5.1                        修改类型：修改</w:t>
      </w:r>
    </w:p>
    <w:p>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3.5.1 评标委员会依据本章第2.2条评分标准进行评分，按评标办法前附表的约定计算投标人综合得分，根据得分由高到低的顺序推荐3名中标候选人，并标明推荐顺序。</w:t>
      </w:r>
    </w:p>
    <w:p>
      <w:pPr>
        <w:pBdr>
          <w:top w:val="none" w:color="auto" w:sz="0" w:space="1"/>
          <w:left w:val="none" w:color="auto" w:sz="0" w:space="4"/>
          <w:bottom w:val="single" w:color="auto" w:sz="4" w:space="1"/>
          <w:right w:val="none" w:color="auto" w:sz="0" w:space="4"/>
        </w:pBd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3.5.1 评标委员会依据本章第2.2条评分标准进行评分，按评标办法前附表的约定计算投标人最终得分，评标委员会应按照得分从高至低的顺序，确定得分前三名的投标人为第一中标候选人、第二中标候选人和第三中标候选人。</w:t>
      </w:r>
      <w:r>
        <w:rPr>
          <w:rFonts w:hint="eastAsia" w:ascii="宋体" w:hAnsi="宋体" w:eastAsia="宋体" w:cs="宋体"/>
          <w:color w:val="auto"/>
          <w:sz w:val="24"/>
          <w:szCs w:val="24"/>
          <w:highlight w:val="none"/>
          <w:u w:val="single"/>
        </w:rPr>
        <w:t>出现中标候选人得分相同的，按</w:t>
      </w:r>
      <w:r>
        <w:rPr>
          <w:rFonts w:hint="eastAsia" w:ascii="宋体" w:hAnsi="宋体" w:eastAsia="宋体" w:cs="宋体"/>
          <w:color w:val="auto"/>
          <w:sz w:val="24"/>
          <w:szCs w:val="24"/>
          <w:highlight w:val="none"/>
          <w:u w:val="single"/>
          <w:lang w:val="en-US" w:eastAsia="zh-CN"/>
        </w:rPr>
        <w:t>评标办法</w:t>
      </w:r>
      <w:r>
        <w:rPr>
          <w:rFonts w:hint="eastAsia" w:ascii="宋体" w:hAnsi="宋体" w:eastAsia="宋体" w:cs="宋体"/>
          <w:color w:val="auto"/>
          <w:sz w:val="24"/>
          <w:szCs w:val="24"/>
          <w:highlight w:val="none"/>
          <w:u w:val="single"/>
        </w:rPr>
        <w:t>的规定确定中标候选人排序。</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widowControl/>
        <w:pBdr>
          <w:top w:val="none" w:color="auto" w:sz="0" w:space="1"/>
          <w:left w:val="none" w:color="auto" w:sz="0" w:space="4"/>
          <w:bottom w:val="single" w:color="auto" w:sz="4" w:space="1"/>
          <w:right w:val="none" w:color="auto" w:sz="0" w:space="4"/>
        </w:pBdr>
        <w:spacing w:line="360" w:lineRule="auto"/>
        <w:ind w:firstLine="480" w:firstLineChars="200"/>
        <w:jc w:val="left"/>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注：以上修改，仅限于本范本中有可供选择条款的情形。</w:t>
      </w:r>
    </w:p>
    <w:p>
      <w:pPr>
        <w:widowControl/>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（以下无正文）</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30" w:name="_Toc21772"/>
      <w:r>
        <w:rPr>
          <w:rFonts w:hint="eastAsia" w:ascii="宋体" w:hAnsi="宋体" w:eastAsia="宋体" w:cs="宋体"/>
          <w:color w:val="auto"/>
          <w:sz w:val="24"/>
          <w:szCs w:val="24"/>
          <w:highlight w:val="none"/>
          <w:lang w:bidi="ar"/>
        </w:rPr>
        <w:t>可选方法一：综合评估法一（综合评估分值由技术、商务、投标报价和诚信分数组成）</w:t>
      </w:r>
      <w:bookmarkEnd w:id="130"/>
    </w:p>
    <w:p>
      <w:pPr>
        <w:spacing w:line="360" w:lineRule="auto"/>
        <w:ind w:firstLine="480" w:firstLineChars="200"/>
        <w:jc w:val="center"/>
        <w:outlineLvl w:val="1"/>
        <w:rPr>
          <w:rFonts w:hint="eastAsia" w:ascii="宋体" w:hAnsi="宋体" w:eastAsia="宋体" w:cs="宋体"/>
          <w:color w:val="auto"/>
          <w:sz w:val="24"/>
          <w:szCs w:val="24"/>
          <w:highlight w:val="none"/>
        </w:rPr>
      </w:pPr>
      <w:bookmarkStart w:id="131" w:name="_Toc28181"/>
      <w:r>
        <w:rPr>
          <w:rFonts w:hint="eastAsia" w:ascii="宋体" w:hAnsi="宋体" w:eastAsia="宋体" w:cs="宋体"/>
          <w:color w:val="auto"/>
          <w:sz w:val="24"/>
          <w:szCs w:val="24"/>
          <w:highlight w:val="none"/>
          <w:lang w:bidi="ar"/>
        </w:rPr>
        <w:t>评标办法前附表</w:t>
      </w:r>
      <w:bookmarkEnd w:id="131"/>
    </w:p>
    <w:tbl>
      <w:tblPr>
        <w:tblStyle w:val="40"/>
        <w:tblpPr w:leftFromText="180" w:rightFromText="180" w:vertAnchor="text" w:tblpX="-863" w:tblpY="1"/>
        <w:tblOverlap w:val="never"/>
        <w:tblW w:w="938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1"/>
        <w:gridCol w:w="642"/>
        <w:gridCol w:w="925"/>
        <w:gridCol w:w="1500"/>
        <w:gridCol w:w="4342"/>
        <w:gridCol w:w="110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评审因素</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bidi="ar"/>
              </w:rPr>
              <w:t>评</w:t>
            </w:r>
            <w:r>
              <w:rPr>
                <w:rFonts w:hint="eastAsia" w:ascii="宋体" w:hAnsi="宋体" w:eastAsia="宋体" w:cs="宋体"/>
                <w:b/>
                <w:color w:val="auto"/>
                <w:sz w:val="24"/>
                <w:szCs w:val="24"/>
                <w:highlight w:val="none"/>
                <w:lang w:bidi="ar"/>
              </w:rPr>
              <w:t>审标准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trPr>
        <w:tc>
          <w:tcPr>
            <w:tcW w:w="871"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642" w:type="dxa"/>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初步评审</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2.1.1</w:t>
            </w:r>
          </w:p>
        </w:tc>
        <w:tc>
          <w:tcPr>
            <w:tcW w:w="642" w:type="dxa"/>
            <w:vMerge w:val="restart"/>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资格评审标准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投标人声明签字盖章</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法定代表人、项目负责人、技术负责人签字或签章及加盖单位公章（签字和盖章要求见《投标人须知前附表》第3.6.4条）。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营业执照</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具备有效的营业执照。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安全生产许可证</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资质等级</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项目负责人</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8" w:hRule="atLeast"/>
        </w:trPr>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安全生产考核合格证</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项目负责人及专职安全员具备符合招标公告规定的行政主管部门颁发的有效安全生产考核合格证。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社保要求</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联合体要求（如有）</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符合第二章“投标人须知”第1.4.2项规定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未被纳入失信联合惩戒名单</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投标人未被纳入失信联合惩戒名单，失信联合惩戒名单以“信用广州”网站公布的“失信黑名单”为准。（提供网页打印页）。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w:t>
            </w:r>
          </w:p>
        </w:tc>
        <w:tc>
          <w:tcPr>
            <w:tcW w:w="642" w:type="dxa"/>
            <w:vMerge w:val="restart"/>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形式评审标准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投标人参加投标的意思表达清楚，投标人代表被授权有效</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投标人声明、廉洁承诺书、法定代表人证明书；委托投标的还应提供法人授权委托证明书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投标人名称</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投标函签字盖章</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法定代表人或其委托代理人签字或签章及加盖单位公章（签字和盖章要求见《投标人须知前附表》第3.6.4条）。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投标文件格式</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w:t>
            </w:r>
            <w:r>
              <w:rPr>
                <w:rFonts w:hint="eastAsia" w:ascii="宋体" w:hAnsi="宋体" w:cs="宋体"/>
                <w:color w:val="auto"/>
                <w:sz w:val="24"/>
                <w:szCs w:val="24"/>
                <w:highlight w:val="none"/>
                <w:lang w:val="en-US" w:eastAsia="zh-CN" w:bidi="ar"/>
              </w:rPr>
              <w:t>六</w:t>
            </w:r>
            <w:r>
              <w:rPr>
                <w:rFonts w:hint="eastAsia" w:ascii="宋体" w:hAnsi="宋体" w:eastAsia="宋体" w:cs="宋体"/>
                <w:color w:val="auto"/>
                <w:sz w:val="24"/>
                <w:szCs w:val="24"/>
                <w:highlight w:val="none"/>
                <w:lang w:bidi="ar"/>
              </w:rPr>
              <w:t>章“投标文件格式”的要求。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报价唯一</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只能有一个有效报价，有效报价是指符合第三章“评标办法”2.2.2的投标报价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2.1.3</w:t>
            </w:r>
          </w:p>
        </w:tc>
        <w:tc>
          <w:tcPr>
            <w:tcW w:w="642" w:type="dxa"/>
            <w:vMerge w:val="restar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响应性评审标准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符合第二章“投标人须知”第3.2.3项规定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投标内容</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工期</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符合第二章“投标人须知”第1.3.2项规定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工程质量</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符合第二章“投标人须知”第1.3.3项规定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投标有效期</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符合第二章“投标人须知”第3.3.1项规定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投标保证金</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技术标准和要求</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符合第五章“技术标准和要求”规定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条款内容</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2.2.1</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综合评估得分构成</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(总分100分)</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1.技术评审权重：</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2.商务评审权重：</w:t>
            </w:r>
            <w:r>
              <w:rPr>
                <w:rFonts w:hint="eastAsia" w:ascii="宋体" w:hAnsi="宋体" w:eastAsia="宋体" w:cs="宋体"/>
                <w:color w:val="auto"/>
                <w:sz w:val="24"/>
                <w:szCs w:val="24"/>
                <w:highlight w:val="none"/>
                <w:lang w:val="en-US" w:eastAsia="zh-CN" w:bidi="ar"/>
              </w:rPr>
              <w:t>18</w:t>
            </w:r>
            <w:r>
              <w:rPr>
                <w:rFonts w:hint="eastAsia" w:ascii="宋体" w:hAnsi="宋体" w:eastAsia="宋体" w:cs="宋体"/>
                <w:color w:val="auto"/>
                <w:sz w:val="24"/>
                <w:szCs w:val="24"/>
                <w:highlight w:val="none"/>
                <w:lang w:bidi="ar"/>
              </w:rPr>
              <w:t>%</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3.投标报价权重：</w:t>
            </w:r>
            <w:r>
              <w:rPr>
                <w:rFonts w:hint="eastAsia" w:ascii="宋体" w:hAnsi="宋体" w:eastAsia="宋体" w:cs="宋体"/>
                <w:color w:val="auto"/>
                <w:sz w:val="24"/>
                <w:szCs w:val="24"/>
                <w:highlight w:val="none"/>
                <w:lang w:val="en-US" w:eastAsia="zh-CN" w:bidi="ar"/>
              </w:rPr>
              <w:t>80</w:t>
            </w:r>
            <w:r>
              <w:rPr>
                <w:rFonts w:hint="eastAsia" w:ascii="宋体" w:hAnsi="宋体" w:eastAsia="宋体" w:cs="宋体"/>
                <w:color w:val="auto"/>
                <w:sz w:val="24"/>
                <w:szCs w:val="24"/>
                <w:highlight w:val="none"/>
                <w:lang w:bidi="ar"/>
              </w:rPr>
              <w:t>%</w:t>
            </w:r>
          </w:p>
          <w:p>
            <w:pPr>
              <w:keepNext w:val="0"/>
              <w:keepLines w:val="0"/>
              <w:suppressLineNumbers w:val="0"/>
              <w:spacing w:before="0" w:beforeAutospacing="0" w:after="0" w:afterAutospacing="0"/>
              <w:ind w:left="210" w:right="0"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上述三项评审得分总和占综合评估得分权重</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95</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；（注：投标报价权重不少于商务、技术、投标报价三者之和的60%或80%，特殊性工程不少于60%，一般性工程不少于80%。）</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4.诚信得分占综合评估得分权重：</w:t>
            </w:r>
            <w:r>
              <w:rPr>
                <w:rFonts w:hint="eastAsia" w:ascii="宋体" w:hAnsi="宋体" w:eastAsia="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w:t>
            </w:r>
          </w:p>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（注：诚信得分应根据省市相关规定设置分值权重）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2.2.3</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评标基准价计算方法</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通过初步评审的投标人位于[警示价～招标控制价]区间的投标报价算术平均值按随机抽取的评标基准价下浮率（2～5%，0.5一个级别）下浮作为评标基准价。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2.2.4</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bidi="ar"/>
              </w:rPr>
              <w:t>投标报价偏差率计算公式</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bidi="ar"/>
              </w:rPr>
              <w:t>偏差率=（投标报价-评标基准价）/评标基准价×100%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详细评审</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评分因素</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评分标准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计分方法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2.2.5(1)</w:t>
            </w: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技术</w:t>
            </w:r>
          </w:p>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评审（100*权重</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施工组织方案与技术措施100分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施工组织方案及施工方法先进，工程重点难点、施工关键技术工艺把握及应用准确，技术措施可以充分保障工程质量、工期和施工安全生产，得95-100分。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施工组织方案及施工方法较好，工程重点难点、施工关键技术工艺把握及应用较好，技术措施能保障工程质量、工期和施工安全生产，得90-95分。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施工组织方案或施工方法一般，或工程重点难点、施工关键技术工艺把握及应用基本可行，或技术措施能基本保障工程质量、工期和施工安全生产，得85-90分。</w:t>
            </w:r>
          </w:p>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eastAsia="zh-CN"/>
              </w:rPr>
              <w:t>备</w:t>
            </w:r>
            <w:r>
              <w:rPr>
                <w:rFonts w:hint="eastAsia" w:ascii="宋体" w:hAnsi="宋体" w:eastAsia="宋体" w:cs="宋体"/>
                <w:color w:val="auto"/>
                <w:sz w:val="24"/>
                <w:szCs w:val="24"/>
                <w:highlight w:val="none"/>
                <w:shd w:val="clear" w:color="auto" w:fill="FFFFFF"/>
              </w:rPr>
              <w:t>注：不符合上述条件的不得分。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去掉一个最高分值，去掉一个最低分，</w:t>
            </w:r>
            <w:r>
              <w:rPr>
                <w:rFonts w:hint="eastAsia" w:ascii="宋体" w:hAnsi="宋体" w:eastAsia="宋体" w:cs="宋体"/>
                <w:color w:val="auto"/>
                <w:sz w:val="24"/>
                <w:szCs w:val="24"/>
                <w:highlight w:val="none"/>
                <w:lang w:val="en-US" w:eastAsia="zh-CN" w:bidi="ar"/>
              </w:rPr>
              <w:t>平均后</w:t>
            </w:r>
            <w:r>
              <w:rPr>
                <w:rFonts w:hint="eastAsia" w:ascii="宋体" w:hAnsi="宋体" w:eastAsia="宋体" w:cs="宋体"/>
                <w:color w:val="auto"/>
                <w:sz w:val="24"/>
                <w:szCs w:val="24"/>
                <w:highlight w:val="none"/>
                <w:lang w:bidi="ar"/>
              </w:rPr>
              <w:t>得到技术部分评审得分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6" w:hRule="atLeast"/>
        </w:trPr>
        <w:tc>
          <w:tcPr>
            <w:tcW w:w="1513"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2.2.5(2)</w:t>
            </w:r>
          </w:p>
        </w:tc>
        <w:tc>
          <w:tcPr>
            <w:tcW w:w="925" w:type="dxa"/>
            <w:vMerge w:val="restart"/>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商务</w:t>
            </w:r>
          </w:p>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评审（100*权重</w:t>
            </w:r>
            <w:r>
              <w:rPr>
                <w:rFonts w:hint="eastAsia" w:ascii="宋体" w:hAnsi="宋体" w:eastAsia="宋体" w:cs="宋体"/>
                <w:color w:val="auto"/>
                <w:sz w:val="24"/>
                <w:szCs w:val="24"/>
                <w:highlight w:val="none"/>
                <w:lang w:val="en-US" w:eastAsia="zh-CN" w:bidi="ar"/>
              </w:rPr>
              <w:t>18%</w:t>
            </w:r>
            <w:r>
              <w:rPr>
                <w:rFonts w:hint="eastAsia" w:ascii="宋体" w:hAnsi="宋体" w:eastAsia="宋体" w:cs="宋体"/>
                <w:color w:val="auto"/>
                <w:sz w:val="24"/>
                <w:szCs w:val="24"/>
                <w:highlight w:val="none"/>
                <w:lang w:bidi="ar"/>
              </w:rPr>
              <w:t>）</w:t>
            </w:r>
          </w:p>
        </w:tc>
        <w:tc>
          <w:tcPr>
            <w:tcW w:w="150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000000"/>
                <w:sz w:val="24"/>
                <w:szCs w:val="24"/>
              </w:rPr>
              <w:t>组织机构及主要管理人员（15分）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拟投入本工程的现场主要管理人员(项目负责人、技术负责人除外)的要求：</w:t>
            </w:r>
          </w:p>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注册安全工程师、一级注册造价工程师（水利工程专业）、机电类专业</w:t>
            </w:r>
            <w:r>
              <w:rPr>
                <w:rFonts w:hint="eastAsia" w:ascii="宋体" w:hAnsi="宋体" w:eastAsia="宋体" w:cs="宋体"/>
                <w:color w:val="000000"/>
                <w:sz w:val="24"/>
                <w:szCs w:val="24"/>
                <w:lang w:val="en-US" w:eastAsia="zh-CN"/>
              </w:rPr>
              <w:t>中</w:t>
            </w:r>
            <w:r>
              <w:rPr>
                <w:rFonts w:hint="eastAsia" w:ascii="宋体" w:hAnsi="宋体" w:eastAsia="宋体" w:cs="宋体"/>
                <w:color w:val="000000"/>
                <w:sz w:val="24"/>
                <w:szCs w:val="24"/>
              </w:rPr>
              <w:t>级</w:t>
            </w:r>
            <w:r>
              <w:rPr>
                <w:rFonts w:hint="eastAsia" w:ascii="宋体" w:hAnsi="宋体" w:eastAsia="宋体" w:cs="宋体"/>
                <w:color w:val="000000"/>
                <w:spacing w:val="1"/>
                <w:kern w:val="0"/>
                <w:sz w:val="24"/>
                <w:szCs w:val="24"/>
              </w:rPr>
              <w:t>（或以上）职称</w:t>
            </w:r>
            <w:r>
              <w:rPr>
                <w:rFonts w:hint="eastAsia" w:ascii="宋体" w:hAnsi="宋体" w:eastAsia="宋体" w:cs="宋体"/>
                <w:color w:val="000000"/>
                <w:sz w:val="24"/>
                <w:szCs w:val="24"/>
              </w:rPr>
              <w:t>、</w:t>
            </w:r>
            <w:r>
              <w:rPr>
                <w:rFonts w:hint="eastAsia" w:ascii="宋体" w:hAnsi="宋体" w:eastAsia="宋体" w:cs="宋体"/>
                <w:strike w:val="0"/>
                <w:color w:val="000000"/>
                <w:sz w:val="24"/>
                <w:szCs w:val="24"/>
                <w:highlight w:val="none"/>
                <w:lang w:val="en-US" w:eastAsia="zh-CN"/>
              </w:rPr>
              <w:t>水利</w:t>
            </w:r>
            <w:r>
              <w:rPr>
                <w:rFonts w:hint="eastAsia" w:ascii="宋体" w:hAnsi="宋体" w:eastAsia="宋体" w:cs="宋体"/>
                <w:color w:val="000000"/>
                <w:sz w:val="24"/>
                <w:szCs w:val="24"/>
              </w:rPr>
              <w:t>类专业</w:t>
            </w:r>
            <w:r>
              <w:rPr>
                <w:rFonts w:hint="eastAsia" w:ascii="宋体" w:hAnsi="宋体" w:eastAsia="宋体" w:cs="宋体"/>
                <w:color w:val="000000"/>
                <w:sz w:val="24"/>
                <w:szCs w:val="24"/>
                <w:lang w:val="en-US" w:eastAsia="zh-CN"/>
              </w:rPr>
              <w:t>中级</w:t>
            </w:r>
            <w:r>
              <w:rPr>
                <w:rFonts w:hint="eastAsia" w:ascii="宋体" w:hAnsi="宋体" w:eastAsia="宋体" w:cs="宋体"/>
                <w:color w:val="000000"/>
                <w:spacing w:val="1"/>
                <w:kern w:val="0"/>
                <w:sz w:val="24"/>
                <w:szCs w:val="24"/>
              </w:rPr>
              <w:t>（或以上）职称</w:t>
            </w:r>
            <w:r>
              <w:rPr>
                <w:rFonts w:hint="eastAsia" w:ascii="宋体" w:hAnsi="宋体" w:eastAsia="宋体" w:cs="宋体"/>
                <w:color w:val="000000"/>
                <w:sz w:val="24"/>
                <w:szCs w:val="24"/>
              </w:rPr>
              <w:t>、市政类专业</w:t>
            </w:r>
            <w:r>
              <w:rPr>
                <w:rFonts w:hint="eastAsia" w:ascii="宋体" w:hAnsi="宋体" w:eastAsia="宋体" w:cs="宋体"/>
                <w:color w:val="000000"/>
                <w:spacing w:val="1"/>
                <w:kern w:val="0"/>
                <w:sz w:val="24"/>
                <w:szCs w:val="24"/>
              </w:rPr>
              <w:t>中级（或以上）职称</w:t>
            </w:r>
            <w:r>
              <w:rPr>
                <w:rFonts w:hint="eastAsia" w:ascii="宋体" w:hAnsi="宋体" w:eastAsia="宋体" w:cs="宋体"/>
                <w:color w:val="000000"/>
                <w:sz w:val="24"/>
                <w:szCs w:val="24"/>
              </w:rPr>
              <w:t>、</w:t>
            </w:r>
            <w:r>
              <w:rPr>
                <w:rFonts w:hint="eastAsia" w:ascii="宋体" w:hAnsi="宋体" w:eastAsia="宋体" w:cs="宋体"/>
                <w:color w:val="000000"/>
                <w:spacing w:val="1"/>
                <w:kern w:val="0"/>
                <w:sz w:val="24"/>
                <w:szCs w:val="24"/>
              </w:rPr>
              <w:t>安全工程</w:t>
            </w:r>
            <w:r>
              <w:rPr>
                <w:rFonts w:hint="eastAsia" w:ascii="宋体" w:hAnsi="宋体" w:eastAsia="宋体" w:cs="宋体"/>
                <w:color w:val="000000"/>
                <w:sz w:val="24"/>
                <w:szCs w:val="24"/>
              </w:rPr>
              <w:t>（或安全管理）专业</w:t>
            </w:r>
            <w:r>
              <w:rPr>
                <w:rFonts w:hint="eastAsia" w:ascii="宋体" w:hAnsi="宋体" w:eastAsia="宋体" w:cs="宋体"/>
                <w:color w:val="000000"/>
                <w:spacing w:val="1"/>
                <w:kern w:val="0"/>
                <w:sz w:val="24"/>
                <w:szCs w:val="24"/>
              </w:rPr>
              <w:t>中级（或以上）职称各1名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水利工程质量管理与技术员2名（具有省级或以上水利部门颁发的培训证书，并提供网上查询截图及查询地址）</w:t>
            </w:r>
            <w:r>
              <w:rPr>
                <w:rFonts w:hint="eastAsia" w:ascii="宋体" w:hAnsi="宋体" w:eastAsia="宋体" w:cs="宋体"/>
                <w:color w:val="000000"/>
                <w:sz w:val="24"/>
                <w:szCs w:val="24"/>
                <w:lang w:eastAsia="zh-CN"/>
              </w:rPr>
              <w:t>。</w:t>
            </w:r>
          </w:p>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满足上述现场主要管理人员的要求，得15分，</w:t>
            </w:r>
            <w:r>
              <w:rPr>
                <w:rFonts w:hint="eastAsia" w:ascii="Calibri" w:hAnsi="Calibri" w:eastAsia="宋体" w:cs="Calibri"/>
                <w:sz w:val="24"/>
                <w:szCs w:val="24"/>
              </w:rPr>
              <w:t>每缺少一名减3分，</w:t>
            </w:r>
            <w:r>
              <w:rPr>
                <w:rFonts w:hint="eastAsia" w:ascii="宋体" w:hAnsi="宋体" w:eastAsia="宋体" w:cs="Calibri"/>
                <w:sz w:val="24"/>
                <w:szCs w:val="24"/>
              </w:rPr>
              <w:t>扣完为止</w:t>
            </w:r>
            <w:r>
              <w:rPr>
                <w:rFonts w:hint="eastAsia" w:ascii="宋体" w:hAnsi="宋体" w:eastAsia="宋体" w:cs="Calibri"/>
                <w:sz w:val="24"/>
                <w:szCs w:val="24"/>
                <w:lang w:eastAsia="zh-CN"/>
              </w:rPr>
              <w:t>。</w:t>
            </w:r>
            <w:r>
              <w:rPr>
                <w:rFonts w:hint="eastAsia" w:ascii="宋体" w:hAnsi="宋体" w:eastAsia="宋体" w:cs="Calibri"/>
                <w:sz w:val="24"/>
                <w:szCs w:val="24"/>
                <w:lang w:val="en-US" w:eastAsia="zh-CN"/>
              </w:rPr>
              <w:t xml:space="preserve"> </w:t>
            </w:r>
          </w:p>
          <w:p>
            <w:pPr>
              <w:keepNext w:val="0"/>
              <w:keepLines w:val="0"/>
              <w:suppressLineNumbers w:val="0"/>
              <w:spacing w:before="0" w:beforeLines="0" w:beforeAutospacing="0" w:after="0" w:afterLines="0" w:afterAutospacing="0"/>
              <w:ind w:left="0" w:right="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备注</w:t>
            </w:r>
            <w:r>
              <w:rPr>
                <w:rFonts w:hint="eastAsia" w:ascii="宋体" w:hAnsi="宋体" w:eastAsia="宋体" w:cs="宋体"/>
                <w:color w:val="000000"/>
                <w:sz w:val="24"/>
                <w:szCs w:val="24"/>
              </w:rPr>
              <w:t>：</w:t>
            </w:r>
          </w:p>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每</w:t>
            </w:r>
            <w:r>
              <w:rPr>
                <w:rFonts w:hint="eastAsia" w:ascii="宋体" w:hAnsi="宋体" w:eastAsia="宋体" w:cs="宋体"/>
                <w:color w:val="000000"/>
                <w:sz w:val="24"/>
                <w:szCs w:val="24"/>
              </w:rPr>
              <w:t>人只能担任一个职务</w:t>
            </w:r>
            <w:r>
              <w:rPr>
                <w:rFonts w:hint="eastAsia" w:ascii="宋体" w:hAnsi="宋体" w:eastAsia="宋体" w:cs="宋体"/>
                <w:color w:val="000000"/>
                <w:sz w:val="24"/>
                <w:szCs w:val="24"/>
                <w:lang w:eastAsia="zh-CN"/>
              </w:rPr>
              <w:t>，不可重复计分；</w:t>
            </w:r>
          </w:p>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须提供</w:t>
            </w:r>
            <w:r>
              <w:rPr>
                <w:rFonts w:hint="eastAsia" w:ascii="宋体" w:hAnsi="宋体" w:eastAsia="宋体" w:cs="宋体"/>
                <w:b/>
                <w:bCs/>
                <w:color w:val="000000"/>
                <w:sz w:val="24"/>
                <w:szCs w:val="24"/>
              </w:rPr>
              <w:t>身份证</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职称证</w:t>
            </w:r>
            <w:r>
              <w:rPr>
                <w:rFonts w:hint="eastAsia" w:ascii="宋体" w:hAnsi="宋体" w:eastAsia="宋体" w:cs="宋体"/>
                <w:color w:val="000000"/>
                <w:sz w:val="24"/>
                <w:szCs w:val="24"/>
                <w:lang w:eastAsia="zh-CN"/>
              </w:rPr>
              <w:t>（</w:t>
            </w:r>
            <w:r>
              <w:rPr>
                <w:rFonts w:hint="eastAsia" w:ascii="宋体" w:hAnsi="宋体" w:eastAsia="宋体" w:cs="宋体"/>
                <w:b w:val="0"/>
                <w:bCs/>
                <w:color w:val="000000"/>
                <w:sz w:val="24"/>
                <w:szCs w:val="24"/>
              </w:rPr>
              <w:t>职称证书需提供人力资源和社会保障行政部门核准备案机构的</w:t>
            </w:r>
            <w:r>
              <w:rPr>
                <w:rFonts w:hint="eastAsia" w:ascii="宋体" w:hAnsi="宋体" w:eastAsia="宋体" w:cs="宋体"/>
                <w:b w:val="0"/>
                <w:bCs/>
                <w:color w:val="000000"/>
                <w:sz w:val="24"/>
                <w:szCs w:val="24"/>
                <w:u w:val="single"/>
              </w:rPr>
              <w:t>网页查询截图</w:t>
            </w:r>
            <w:r>
              <w:rPr>
                <w:rFonts w:hint="eastAsia" w:ascii="宋体" w:hAnsi="宋体" w:eastAsia="宋体" w:cs="宋体"/>
                <w:b w:val="0"/>
                <w:bCs/>
                <w:color w:val="000000"/>
                <w:sz w:val="24"/>
                <w:szCs w:val="24"/>
              </w:rPr>
              <w:t>）</w:t>
            </w:r>
            <w:r>
              <w:rPr>
                <w:rFonts w:hint="eastAsia" w:ascii="宋体" w:hAnsi="宋体" w:eastAsia="宋体" w:cs="宋体"/>
                <w:color w:val="000000"/>
                <w:sz w:val="24"/>
                <w:szCs w:val="24"/>
              </w:rPr>
              <w:t>或</w:t>
            </w:r>
            <w:r>
              <w:rPr>
                <w:rFonts w:hint="eastAsia" w:ascii="宋体" w:hAnsi="宋体" w:eastAsia="宋体" w:cs="宋体"/>
                <w:b/>
                <w:bCs/>
                <w:color w:val="000000"/>
                <w:sz w:val="24"/>
                <w:szCs w:val="24"/>
              </w:rPr>
              <w:t>岗位证</w:t>
            </w:r>
            <w:r>
              <w:rPr>
                <w:rFonts w:hint="eastAsia" w:ascii="宋体" w:hAnsi="宋体" w:eastAsia="宋体" w:cs="宋体"/>
                <w:color w:val="000000"/>
                <w:sz w:val="24"/>
                <w:szCs w:val="24"/>
              </w:rPr>
              <w:t>或</w:t>
            </w:r>
            <w:r>
              <w:rPr>
                <w:rFonts w:hint="eastAsia" w:ascii="宋体" w:hAnsi="宋体" w:eastAsia="宋体" w:cs="宋体"/>
                <w:b/>
                <w:bCs/>
                <w:color w:val="000000"/>
                <w:sz w:val="24"/>
                <w:szCs w:val="24"/>
              </w:rPr>
              <w:t>注册证（或执业证）</w:t>
            </w:r>
            <w:r>
              <w:rPr>
                <w:rFonts w:hint="eastAsia" w:ascii="宋体" w:hAnsi="宋体" w:eastAsia="宋体" w:cs="宋体"/>
                <w:color w:val="000000"/>
                <w:sz w:val="24"/>
                <w:szCs w:val="24"/>
              </w:rPr>
              <w:t>扫描件和近</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个月在投标单位缴纳的</w:t>
            </w:r>
            <w:r>
              <w:rPr>
                <w:rFonts w:hint="eastAsia" w:ascii="宋体" w:hAnsi="宋体" w:eastAsia="宋体" w:cs="宋体"/>
                <w:b/>
                <w:bCs/>
                <w:color w:val="000000"/>
                <w:sz w:val="24"/>
                <w:szCs w:val="24"/>
              </w:rPr>
              <w:t>社保证明</w:t>
            </w:r>
            <w:r>
              <w:rPr>
                <w:rFonts w:hint="eastAsia" w:ascii="宋体" w:hAnsi="宋体" w:eastAsia="宋体" w:cs="宋体"/>
                <w:color w:val="000000"/>
                <w:sz w:val="24"/>
                <w:szCs w:val="24"/>
              </w:rPr>
              <w:t>；</w:t>
            </w:r>
          </w:p>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kern w:val="0"/>
                <w:sz w:val="24"/>
                <w:szCs w:val="24"/>
              </w:rPr>
              <w:t>注册安全工程师证书（根据安监总人事【2017】118号文，应持有注册安全工程师执业资格证，注册类别为</w:t>
            </w:r>
            <w:r>
              <w:rPr>
                <w:rFonts w:hint="eastAsia" w:ascii="宋体" w:hAnsi="宋体" w:eastAsia="宋体" w:cs="宋体"/>
                <w:b/>
                <w:color w:val="000000"/>
                <w:kern w:val="0"/>
                <w:sz w:val="24"/>
                <w:szCs w:val="24"/>
              </w:rPr>
              <w:t>其他安全（水利）或其他安全（不含消防安全）或其他安全</w:t>
            </w:r>
            <w:r>
              <w:rPr>
                <w:rFonts w:hint="eastAsia" w:ascii="宋体" w:hAnsi="宋体" w:eastAsia="宋体" w:cs="宋体"/>
                <w:color w:val="000000"/>
                <w:kern w:val="0"/>
                <w:sz w:val="24"/>
                <w:szCs w:val="24"/>
              </w:rPr>
              <w:t>，并提供注册安全工程师注册管理系统查询结果截图</w:t>
            </w:r>
            <w:r>
              <w:rPr>
                <w:rFonts w:hint="eastAsia" w:ascii="宋体" w:hAnsi="宋体" w:eastAsia="宋体" w:cs="宋体"/>
                <w:color w:val="000000"/>
                <w:sz w:val="24"/>
                <w:szCs w:val="24"/>
                <w:lang w:eastAsia="zh-CN"/>
              </w:rPr>
              <w:t>。</w:t>
            </w:r>
          </w:p>
          <w:p>
            <w:pPr>
              <w:keepNext w:val="0"/>
              <w:keepLines w:val="0"/>
              <w:suppressLineNumbers w:val="0"/>
              <w:spacing w:before="0" w:beforeLines="0" w:beforeAutospacing="0" w:after="0" w:afterLines="0" w:afterAutospacing="0"/>
              <w:ind w:left="0" w:leftChars="0" w:right="0" w:righ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kern w:val="0"/>
                <w:sz w:val="24"/>
                <w:szCs w:val="24"/>
              </w:rPr>
              <w:t>未</w:t>
            </w:r>
            <w:r>
              <w:rPr>
                <w:rFonts w:hint="eastAsia" w:ascii="宋体" w:hAnsi="宋体" w:eastAsia="宋体" w:cs="宋体"/>
                <w:color w:val="000000"/>
                <w:kern w:val="0"/>
                <w:sz w:val="24"/>
                <w:szCs w:val="24"/>
                <w:lang w:eastAsia="zh-CN"/>
              </w:rPr>
              <w:t>能</w:t>
            </w:r>
            <w:r>
              <w:rPr>
                <w:rFonts w:hint="eastAsia" w:ascii="宋体" w:hAnsi="宋体" w:eastAsia="宋体" w:cs="宋体"/>
                <w:color w:val="000000"/>
                <w:kern w:val="0"/>
                <w:sz w:val="24"/>
                <w:szCs w:val="24"/>
              </w:rPr>
              <w:t>提供上述资料的不得分</w:t>
            </w:r>
            <w:r>
              <w:rPr>
                <w:rFonts w:hint="eastAsia" w:ascii="宋体" w:hAnsi="宋体" w:eastAsia="宋体" w:cs="宋体"/>
                <w:color w:val="000000"/>
                <w:sz w:val="24"/>
                <w:szCs w:val="24"/>
              </w:rPr>
              <w:t>。</w:t>
            </w:r>
          </w:p>
        </w:tc>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企业业绩</w:t>
            </w:r>
          </w:p>
          <w:p>
            <w:pPr>
              <w:keepNext w:val="0"/>
              <w:keepLines w:val="0"/>
              <w:suppressLineNumbers w:val="0"/>
              <w:spacing w:before="0" w:beforeLines="0" w:beforeAutospacing="0" w:after="0" w:afterLines="0" w:afterAutospacing="0"/>
              <w:ind w:left="0" w:leftChars="0" w:right="0" w:righ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（5分）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napToGrid w:val="0"/>
              <w:spacing w:before="0" w:beforeLines="0" w:beforeAutospacing="0" w:after="0" w:afterLines="0" w:afterAutospacing="0"/>
              <w:ind w:left="0" w:right="0" w:firstLine="480" w:firstLineChars="200"/>
              <w:jc w:val="both"/>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投标人近3年（2019年1月1日至今），独立完成过一项公开招标的水利水电工程施工项目业绩：</w:t>
            </w:r>
          </w:p>
          <w:p>
            <w:pPr>
              <w:keepNext w:val="0"/>
              <w:keepLines w:val="0"/>
              <w:widowControl w:val="0"/>
              <w:suppressLineNumbers w:val="0"/>
              <w:snapToGrid w:val="0"/>
              <w:spacing w:before="0" w:beforeLines="0" w:beforeAutospacing="0" w:after="0" w:afterLines="0" w:afterAutospacing="0"/>
              <w:ind w:left="0" w:right="0" w:firstLine="480" w:firstLineChars="200"/>
              <w:jc w:val="both"/>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1.合</w:t>
            </w:r>
            <w:r>
              <w:rPr>
                <w:rFonts w:hint="eastAsia" w:asciiTheme="minorEastAsia" w:hAnsiTheme="minorEastAsia" w:eastAsiaTheme="minorEastAsia" w:cstheme="minorEastAsia"/>
                <w:color w:val="000000"/>
                <w:kern w:val="2"/>
                <w:sz w:val="24"/>
                <w:szCs w:val="24"/>
                <w:highlight w:val="none"/>
                <w:lang w:val="en-US" w:eastAsia="zh-CN" w:bidi="ar-SA"/>
              </w:rPr>
              <w:t>同额2000万元及以上的，得5分；</w:t>
            </w:r>
          </w:p>
          <w:p>
            <w:pPr>
              <w:keepNext w:val="0"/>
              <w:keepLines w:val="0"/>
              <w:widowControl w:val="0"/>
              <w:suppressLineNumbers w:val="0"/>
              <w:snapToGrid w:val="0"/>
              <w:spacing w:before="0" w:beforeLines="0" w:beforeAutospacing="0" w:after="0" w:afterLines="0" w:afterAutospacing="0"/>
              <w:ind w:left="0" w:right="0" w:firstLine="480" w:firstLineChars="200"/>
              <w:jc w:val="both"/>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2.合同额</w:t>
            </w:r>
            <w:r>
              <w:rPr>
                <w:rFonts w:hint="eastAsia" w:asciiTheme="minorEastAsia" w:hAnsiTheme="minorEastAsia" w:eastAsiaTheme="minorEastAsia" w:cstheme="minorEastAsia"/>
                <w:kern w:val="2"/>
                <w:sz w:val="24"/>
                <w:szCs w:val="24"/>
                <w:highlight w:val="none"/>
                <w:lang w:val="en-US" w:eastAsia="zh-CN" w:bidi="ar-SA"/>
              </w:rPr>
              <w:t>2000万元以下～1500万元（含本数）</w:t>
            </w:r>
            <w:r>
              <w:rPr>
                <w:rFonts w:hint="eastAsia" w:asciiTheme="minorEastAsia" w:hAnsiTheme="minorEastAsia" w:eastAsiaTheme="minorEastAsia" w:cstheme="minorEastAsia"/>
                <w:color w:val="000000"/>
                <w:kern w:val="2"/>
                <w:sz w:val="24"/>
                <w:szCs w:val="24"/>
                <w:highlight w:val="none"/>
                <w:lang w:val="en-US" w:eastAsia="zh-CN" w:bidi="ar-SA"/>
              </w:rPr>
              <w:t>的，得3分；</w:t>
            </w:r>
          </w:p>
          <w:p>
            <w:pPr>
              <w:keepNext w:val="0"/>
              <w:keepLines w:val="0"/>
              <w:widowControl w:val="0"/>
              <w:suppressLineNumbers w:val="0"/>
              <w:snapToGrid w:val="0"/>
              <w:spacing w:before="0" w:beforeLines="0" w:beforeAutospacing="0" w:after="0" w:afterLines="0" w:afterAutospacing="0"/>
              <w:ind w:left="0" w:right="0" w:firstLine="480" w:firstLineChars="200"/>
              <w:jc w:val="both"/>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3.合同额</w:t>
            </w:r>
            <w:r>
              <w:rPr>
                <w:rFonts w:hint="eastAsia" w:asciiTheme="minorEastAsia" w:hAnsiTheme="minorEastAsia" w:eastAsiaTheme="minorEastAsia" w:cstheme="minorEastAsia"/>
                <w:kern w:val="2"/>
                <w:sz w:val="24"/>
                <w:szCs w:val="24"/>
                <w:highlight w:val="none"/>
                <w:lang w:val="en-US" w:eastAsia="zh-CN" w:bidi="ar-SA"/>
              </w:rPr>
              <w:t>1500万元以下～1000万元（含本数）</w:t>
            </w:r>
            <w:r>
              <w:rPr>
                <w:rFonts w:hint="eastAsia" w:asciiTheme="minorEastAsia" w:hAnsiTheme="minorEastAsia" w:eastAsiaTheme="minorEastAsia" w:cstheme="minorEastAsia"/>
                <w:color w:val="000000"/>
                <w:kern w:val="2"/>
                <w:sz w:val="24"/>
                <w:szCs w:val="24"/>
                <w:highlight w:val="none"/>
                <w:lang w:val="en-US" w:eastAsia="zh-CN" w:bidi="ar-SA"/>
              </w:rPr>
              <w:t>，得1分；</w:t>
            </w:r>
          </w:p>
          <w:p>
            <w:pPr>
              <w:keepNext w:val="0"/>
              <w:keepLines w:val="0"/>
              <w:widowControl w:val="0"/>
              <w:suppressLineNumbers w:val="0"/>
              <w:snapToGrid w:val="0"/>
              <w:spacing w:before="0" w:beforeLines="0" w:beforeAutospacing="0" w:after="0" w:afterLines="0" w:afterAutospacing="0"/>
              <w:ind w:left="0" w:right="0" w:firstLine="480" w:firstLineChars="200"/>
              <w:jc w:val="both"/>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4.1000万元以下的公开招标项目，得0.5分。</w:t>
            </w:r>
          </w:p>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color w:val="000000"/>
                <w:kern w:val="2"/>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本项最多计算</w:t>
            </w:r>
            <w:r>
              <w:rPr>
                <w:rFonts w:hint="eastAsia" w:asciiTheme="minorEastAsia" w:hAnsiTheme="minorEastAsia" w:eastAsiaTheme="minorEastAsia" w:cstheme="minorEastAsia"/>
                <w:color w:val="000000"/>
                <w:sz w:val="24"/>
                <w:szCs w:val="24"/>
                <w:highlight w:val="none"/>
                <w:lang w:eastAsia="zh-CN"/>
              </w:rPr>
              <w:t>一</w:t>
            </w:r>
            <w:r>
              <w:rPr>
                <w:rFonts w:hint="eastAsia" w:asciiTheme="minorEastAsia" w:hAnsiTheme="minorEastAsia" w:eastAsiaTheme="minorEastAsia" w:cstheme="minorEastAsia"/>
                <w:color w:val="000000"/>
                <w:sz w:val="24"/>
                <w:szCs w:val="24"/>
                <w:highlight w:val="none"/>
              </w:rPr>
              <w:t>项业绩，</w:t>
            </w:r>
            <w:r>
              <w:rPr>
                <w:rFonts w:hint="eastAsia" w:asciiTheme="minorEastAsia" w:hAnsiTheme="minorEastAsia" w:eastAsiaTheme="minorEastAsia" w:cstheme="minorEastAsia"/>
                <w:color w:val="000000"/>
                <w:sz w:val="24"/>
                <w:szCs w:val="24"/>
                <w:highlight w:val="none"/>
                <w:lang w:eastAsia="zh-CN"/>
              </w:rPr>
              <w:t>选取最高合同额项计分，</w:t>
            </w:r>
            <w:r>
              <w:rPr>
                <w:rFonts w:hint="eastAsia" w:asciiTheme="minorEastAsia" w:hAnsiTheme="minorEastAsia" w:eastAsiaTheme="minorEastAsia" w:cstheme="minorEastAsia"/>
                <w:color w:val="000000"/>
                <w:sz w:val="24"/>
                <w:szCs w:val="24"/>
                <w:highlight w:val="none"/>
              </w:rPr>
              <w:t>最多得</w:t>
            </w: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分</w:t>
            </w:r>
            <w:r>
              <w:rPr>
                <w:rFonts w:hint="eastAsia" w:ascii="宋体" w:hAnsi="宋体" w:cs="宋体"/>
                <w:color w:val="000000"/>
                <w:sz w:val="24"/>
                <w:szCs w:val="24"/>
                <w:highlight w:val="none"/>
                <w:lang w:eastAsia="zh-CN"/>
              </w:rPr>
              <w:t>。</w:t>
            </w:r>
          </w:p>
          <w:p>
            <w:pPr>
              <w:keepNext w:val="0"/>
              <w:keepLines w:val="0"/>
              <w:suppressLineNumbers w:val="0"/>
              <w:spacing w:before="0" w:beforeLines="0" w:beforeAutospacing="0" w:after="0" w:afterLines="0" w:afterAutospacing="0"/>
              <w:ind w:left="0" w:right="0"/>
              <w:jc w:val="left"/>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备注：</w:t>
            </w:r>
          </w:p>
          <w:p>
            <w:pPr>
              <w:keepNext w:val="0"/>
              <w:keepLines w:val="0"/>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highlight w:val="none"/>
                <w:lang w:val="en-US" w:eastAsia="zh-CN" w:bidi="ar-SA"/>
              </w:rPr>
              <w:t>1.需提供</w:t>
            </w:r>
            <w:r>
              <w:rPr>
                <w:rFonts w:hint="eastAsia" w:ascii="宋体" w:hAnsi="宋体" w:eastAsia="宋体" w:cs="宋体"/>
                <w:b/>
                <w:bCs/>
                <w:color w:val="000000"/>
                <w:kern w:val="2"/>
                <w:sz w:val="24"/>
                <w:szCs w:val="24"/>
                <w:highlight w:val="none"/>
                <w:lang w:val="en-US" w:eastAsia="zh-CN" w:bidi="ar-SA"/>
              </w:rPr>
              <w:t>中标通知书</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b/>
                <w:bCs/>
                <w:color w:val="000000"/>
                <w:kern w:val="2"/>
                <w:sz w:val="24"/>
                <w:szCs w:val="24"/>
                <w:highlight w:val="none"/>
                <w:lang w:val="en-US" w:eastAsia="zh-CN" w:bidi="ar-SA"/>
              </w:rPr>
              <w:t>合同</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b/>
                <w:bCs/>
                <w:color w:val="000000"/>
                <w:kern w:val="2"/>
                <w:sz w:val="24"/>
                <w:szCs w:val="24"/>
                <w:highlight w:val="none"/>
                <w:lang w:val="en-US" w:eastAsia="zh-CN" w:bidi="ar-SA"/>
              </w:rPr>
              <w:t>完工验收鉴定书或单位工程验收鉴定书或工程竣工验收鉴定书</w:t>
            </w:r>
            <w:r>
              <w:rPr>
                <w:rFonts w:hint="eastAsia" w:ascii="宋体" w:hAnsi="宋体" w:eastAsia="宋体" w:cs="宋体"/>
                <w:color w:val="000000"/>
                <w:kern w:val="2"/>
                <w:sz w:val="24"/>
                <w:szCs w:val="24"/>
                <w:highlight w:val="none"/>
                <w:lang w:val="en-US" w:eastAsia="zh-CN" w:bidi="ar-SA"/>
              </w:rPr>
              <w:t>等材料、交易中心发布的中标信息的网页截图及查询网</w:t>
            </w:r>
            <w:r>
              <w:rPr>
                <w:rFonts w:hint="eastAsia" w:ascii="宋体" w:hAnsi="宋体" w:eastAsia="宋体" w:cs="宋体"/>
                <w:color w:val="000000"/>
                <w:kern w:val="2"/>
                <w:sz w:val="24"/>
                <w:szCs w:val="24"/>
                <w:lang w:val="en-US" w:eastAsia="zh-CN" w:bidi="ar-SA"/>
              </w:rPr>
              <w:t>址；</w:t>
            </w:r>
          </w:p>
          <w:p>
            <w:pPr>
              <w:keepNext w:val="0"/>
              <w:keepLines w:val="0"/>
              <w:numPr>
                <w:ilvl w:val="0"/>
                <w:numId w:val="0"/>
              </w:numPr>
              <w:suppressLineNumbers w:val="0"/>
              <w:spacing w:before="0" w:beforeLines="0" w:beforeAutospacing="0" w:after="0" w:afterLines="0" w:afterAutospacing="0"/>
              <w:ind w:left="0" w:leftChars="0"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t>2.业绩招标公告明确该业绩为独立的水利水电施工总承包资质招标（若为水利水电EPC项目，投标人须作为项目牵头人，合同额以承担的施工合同额作为评审依据）。提供的招标公告和中标信息的网页打印件及查询网址必须来自招标公告载</w:t>
            </w:r>
            <w:r>
              <w:rPr>
                <w:rFonts w:hint="eastAsia" w:ascii="宋体" w:hAnsi="宋体" w:eastAsia="宋体" w:cs="宋体"/>
                <w:sz w:val="24"/>
                <w:szCs w:val="24"/>
              </w:rPr>
              <w:t>明的公共交易平台；</w:t>
            </w:r>
          </w:p>
          <w:p>
            <w:pPr>
              <w:keepNext w:val="0"/>
              <w:keepLines w:val="0"/>
              <w:numPr>
                <w:ilvl w:val="0"/>
                <w:numId w:val="0"/>
              </w:numPr>
              <w:suppressLineNumbers w:val="0"/>
              <w:spacing w:before="0" w:beforeLines="0" w:beforeAutospacing="0" w:after="0" w:afterLines="0" w:afterAutospacing="0"/>
              <w:ind w:left="0" w:leftChars="0" w:right="0" w:rightChars="0" w:firstLine="480" w:firstLineChars="200"/>
              <w:jc w:val="left"/>
              <w:textAlignment w:val="baseline"/>
              <w:rPr>
                <w:rFonts w:hint="eastAsia" w:ascii="Calibri" w:hAnsi="Calibri" w:eastAsia="宋体" w:cs="Calibri"/>
                <w:color w:val="000000"/>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类似业绩证明的信息须明确业绩的项目名称、中标价等。</w:t>
            </w:r>
            <w:r>
              <w:rPr>
                <w:rFonts w:hint="eastAsia" w:ascii="Calibri" w:hAnsi="Calibri" w:eastAsia="宋体" w:cs="Calibri"/>
                <w:color w:val="000000"/>
                <w:sz w:val="24"/>
                <w:szCs w:val="24"/>
              </w:rPr>
              <w:t>时间及造价以中标通知书为准，若中标通知书或</w:t>
            </w:r>
            <w:r>
              <w:rPr>
                <w:rFonts w:hint="eastAsia" w:ascii="Calibri" w:hAnsi="Calibri" w:eastAsia="宋体" w:cs="Calibri"/>
                <w:color w:val="000000"/>
                <w:sz w:val="24"/>
                <w:szCs w:val="24"/>
                <w:highlight w:val="none"/>
                <w:lang w:eastAsia="zh-CN"/>
              </w:rPr>
              <w:t>中</w:t>
            </w:r>
            <w:r>
              <w:rPr>
                <w:rFonts w:hint="eastAsia" w:ascii="Calibri" w:hAnsi="Calibri" w:eastAsia="宋体" w:cs="Calibri"/>
                <w:color w:val="000000"/>
                <w:sz w:val="24"/>
                <w:szCs w:val="24"/>
              </w:rPr>
              <w:t>标证明未能反映的，时间及造价以施工合同（不含补充合同）为准</w:t>
            </w:r>
            <w:r>
              <w:rPr>
                <w:rFonts w:hint="eastAsia" w:ascii="Calibri" w:hAnsi="Calibri" w:eastAsia="宋体" w:cs="Calibri"/>
                <w:color w:val="000000"/>
                <w:sz w:val="24"/>
                <w:szCs w:val="24"/>
                <w:lang w:eastAsia="zh-CN"/>
              </w:rPr>
              <w:t>；</w:t>
            </w:r>
          </w:p>
          <w:p>
            <w:pPr>
              <w:keepNext w:val="0"/>
              <w:keepLines w:val="0"/>
              <w:numPr>
                <w:ilvl w:val="0"/>
                <w:numId w:val="0"/>
              </w:numPr>
              <w:suppressLineNumbers w:val="0"/>
              <w:spacing w:before="0" w:beforeLines="0" w:beforeAutospacing="0" w:after="0" w:afterLines="0" w:afterAutospacing="0"/>
              <w:ind w:left="0" w:leftChars="0" w:right="0" w:rightChars="0" w:firstLine="480" w:firstLineChars="200"/>
              <w:jc w:val="left"/>
              <w:textAlignment w:val="baseline"/>
              <w:rPr>
                <w:rFonts w:hint="eastAsia" w:ascii="Calibri" w:hAnsi="Calibri" w:eastAsia="宋体" w:cs="Calibri"/>
                <w:color w:val="000000"/>
                <w:sz w:val="24"/>
                <w:szCs w:val="24"/>
                <w:lang w:val="en-US" w:eastAsia="zh-CN"/>
              </w:rPr>
            </w:pPr>
            <w:r>
              <w:rPr>
                <w:rFonts w:hint="eastAsia" w:ascii="Calibri" w:hAnsi="Calibri" w:eastAsia="宋体" w:cs="Calibri"/>
                <w:color w:val="000000"/>
                <w:sz w:val="24"/>
                <w:szCs w:val="24"/>
                <w:lang w:val="en-US" w:eastAsia="zh-CN"/>
              </w:rPr>
              <w:t>4.</w:t>
            </w:r>
            <w:r>
              <w:rPr>
                <w:rFonts w:hint="eastAsia" w:ascii="Calibri" w:hAnsi="Calibri" w:eastAsia="宋体" w:cs="Calibri"/>
                <w:color w:val="000000"/>
                <w:sz w:val="24"/>
                <w:szCs w:val="24"/>
              </w:rPr>
              <w:t>EPC项目</w:t>
            </w:r>
            <w:r>
              <w:rPr>
                <w:rFonts w:hint="eastAsia" w:ascii="Calibri" w:hAnsi="Calibri" w:eastAsia="宋体" w:cs="Calibri"/>
                <w:color w:val="000000"/>
                <w:sz w:val="24"/>
                <w:szCs w:val="24"/>
                <w:lang w:val="en-US" w:eastAsia="zh-CN"/>
              </w:rPr>
              <w:t>须提供分工情况和承担金额（比例）的证明文件；</w:t>
            </w:r>
          </w:p>
          <w:p>
            <w:pPr>
              <w:keepNext w:val="0"/>
              <w:keepLines w:val="0"/>
              <w:numPr>
                <w:ilvl w:val="0"/>
                <w:numId w:val="0"/>
              </w:numPr>
              <w:suppressLineNumbers w:val="0"/>
              <w:spacing w:before="0" w:beforeLines="0" w:beforeAutospacing="0" w:after="0" w:afterLines="0" w:afterAutospacing="0"/>
              <w:ind w:left="0" w:leftChars="0" w:right="0" w:rightChars="0" w:firstLine="480" w:firstLineChars="200"/>
              <w:jc w:val="left"/>
              <w:textAlignment w:val="baseline"/>
              <w:rPr>
                <w:rFonts w:hint="eastAsia" w:ascii="宋体" w:hAnsi="宋体" w:eastAsia="宋体" w:cs="宋体"/>
                <w:color w:val="auto"/>
                <w:sz w:val="24"/>
                <w:szCs w:val="24"/>
                <w:highlight w:val="none"/>
                <w:lang w:bidi="ar"/>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未</w:t>
            </w:r>
            <w:r>
              <w:rPr>
                <w:rFonts w:hint="eastAsia" w:ascii="宋体" w:hAnsi="宋体" w:eastAsia="宋体" w:cs="宋体"/>
                <w:color w:val="000000"/>
                <w:kern w:val="0"/>
                <w:sz w:val="24"/>
                <w:szCs w:val="24"/>
                <w:lang w:eastAsia="zh-CN"/>
              </w:rPr>
              <w:t>能</w:t>
            </w:r>
            <w:r>
              <w:rPr>
                <w:rFonts w:hint="eastAsia" w:ascii="宋体" w:hAnsi="宋体" w:eastAsia="宋体" w:cs="宋体"/>
                <w:color w:val="000000"/>
                <w:kern w:val="0"/>
                <w:sz w:val="24"/>
                <w:szCs w:val="24"/>
              </w:rPr>
              <w:t>提供上述资料的不得分</w:t>
            </w:r>
            <w:r>
              <w:rPr>
                <w:rFonts w:hint="eastAsia" w:ascii="宋体" w:hAnsi="宋体" w:eastAsia="宋体" w:cs="宋体"/>
                <w:color w:val="000000"/>
                <w:sz w:val="24"/>
                <w:szCs w:val="24"/>
              </w:rPr>
              <w:t>。</w:t>
            </w: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工程获奖情况（20分）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zh-CN"/>
              </w:rPr>
              <w:t>投标人</w:t>
            </w:r>
            <w:r>
              <w:rPr>
                <w:rFonts w:hint="eastAsia" w:ascii="宋体" w:hAnsi="宋体" w:eastAsia="宋体" w:cs="宋体"/>
                <w:sz w:val="24"/>
                <w:szCs w:val="24"/>
              </w:rPr>
              <w:t>2019年1月1日至今，承接或参与承建的水利水电工程施工项目</w:t>
            </w:r>
            <w:r>
              <w:rPr>
                <w:rFonts w:hint="eastAsia" w:ascii="宋体" w:hAnsi="宋体" w:eastAsia="宋体" w:cs="宋体"/>
                <w:sz w:val="24"/>
                <w:szCs w:val="24"/>
                <w:lang w:eastAsia="zh-CN"/>
              </w:rPr>
              <w:t>：</w:t>
            </w:r>
          </w:p>
          <w:p>
            <w:pPr>
              <w:keepNext w:val="0"/>
              <w:keepLines w:val="0"/>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获得过省部级（含省级）或以上工程奖，得20分；</w:t>
            </w:r>
          </w:p>
          <w:p>
            <w:pPr>
              <w:keepNext w:val="0"/>
              <w:keepLines w:val="0"/>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获得过市级（含副省级）工程奖，</w:t>
            </w:r>
            <w:r>
              <w:rPr>
                <w:rFonts w:hint="eastAsia" w:ascii="宋体" w:hAnsi="宋体" w:eastAsia="宋体" w:cs="宋体"/>
                <w:sz w:val="24"/>
                <w:szCs w:val="24"/>
                <w:lang w:val="en-US" w:eastAsia="zh-CN"/>
              </w:rPr>
              <w:t>每个</w:t>
            </w:r>
            <w:r>
              <w:rPr>
                <w:rFonts w:hint="eastAsia" w:ascii="宋体" w:hAnsi="宋体" w:eastAsia="宋体" w:cs="宋体"/>
                <w:sz w:val="24"/>
                <w:szCs w:val="24"/>
              </w:rPr>
              <w:t>得10分；本项最高得20分。</w:t>
            </w:r>
          </w:p>
          <w:p>
            <w:pPr>
              <w:keepNext w:val="0"/>
              <w:keepLines w:val="0"/>
              <w:suppressLineNumbers w:val="0"/>
              <w:spacing w:before="0" w:beforeLines="0" w:beforeAutospacing="0" w:after="0" w:afterLines="0" w:afterAutospacing="0"/>
              <w:ind w:left="0" w:right="0"/>
              <w:jc w:val="left"/>
              <w:textAlignment w:val="baseline"/>
              <w:rPr>
                <w:rFonts w:hint="eastAsia" w:ascii="宋体" w:hAnsi="宋体" w:eastAsia="宋体" w:cs="宋体"/>
                <w:sz w:val="24"/>
                <w:szCs w:val="24"/>
              </w:rPr>
            </w:pPr>
            <w:r>
              <w:rPr>
                <w:rFonts w:hint="eastAsia" w:ascii="宋体" w:hAnsi="宋体" w:eastAsia="宋体" w:cs="宋体"/>
                <w:sz w:val="24"/>
                <w:szCs w:val="24"/>
                <w:lang w:eastAsia="zh-CN"/>
              </w:rPr>
              <w:t>备注</w:t>
            </w:r>
            <w:r>
              <w:rPr>
                <w:rFonts w:hint="eastAsia" w:ascii="宋体" w:hAnsi="宋体" w:eastAsia="宋体" w:cs="宋体"/>
                <w:sz w:val="24"/>
                <w:szCs w:val="24"/>
              </w:rPr>
              <w:t>：</w:t>
            </w:r>
          </w:p>
          <w:p>
            <w:pPr>
              <w:keepNext w:val="0"/>
              <w:keepLines w:val="0"/>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Calibri" w:hAnsi="Calibri" w:eastAsia="宋体" w:cs="Calibri"/>
                <w:sz w:val="24"/>
                <w:szCs w:val="24"/>
              </w:rPr>
            </w:pPr>
            <w:r>
              <w:rPr>
                <w:rFonts w:hint="eastAsia" w:ascii="Calibri" w:hAnsi="Calibri" w:eastAsia="宋体" w:cs="Calibri"/>
                <w:sz w:val="24"/>
                <w:szCs w:val="24"/>
                <w:lang w:val="en-US" w:eastAsia="zh-CN"/>
              </w:rPr>
              <w:t>1.</w:t>
            </w:r>
            <w:r>
              <w:rPr>
                <w:rFonts w:hint="eastAsia" w:ascii="Calibri" w:hAnsi="Calibri" w:eastAsia="宋体" w:cs="Calibri"/>
                <w:sz w:val="24"/>
                <w:szCs w:val="24"/>
              </w:rPr>
              <w:t>须提供</w:t>
            </w:r>
            <w:r>
              <w:rPr>
                <w:rFonts w:hint="eastAsia" w:ascii="Calibri" w:hAnsi="Calibri" w:eastAsia="宋体" w:cs="Calibri"/>
                <w:b/>
                <w:bCs/>
                <w:sz w:val="24"/>
                <w:szCs w:val="24"/>
              </w:rPr>
              <w:t>获奖证书扫描件</w:t>
            </w:r>
            <w:r>
              <w:rPr>
                <w:rFonts w:hint="eastAsia" w:ascii="Calibri" w:hAnsi="Calibri" w:eastAsia="宋体" w:cs="Calibri"/>
                <w:b/>
                <w:bCs/>
                <w:sz w:val="24"/>
                <w:szCs w:val="24"/>
                <w:lang w:val="en-US" w:eastAsia="zh-CN"/>
              </w:rPr>
              <w:t>或图片</w:t>
            </w:r>
            <w:r>
              <w:rPr>
                <w:rFonts w:hint="eastAsia" w:ascii="宋体" w:hAnsi="宋体" w:eastAsia="宋体" w:cs="宋体"/>
                <w:color w:val="000000"/>
                <w:sz w:val="24"/>
                <w:szCs w:val="24"/>
              </w:rPr>
              <w:t>、获奖公示</w:t>
            </w:r>
            <w:r>
              <w:rPr>
                <w:rFonts w:hint="eastAsia" w:ascii="宋体" w:hAnsi="宋体" w:eastAsia="宋体" w:cs="宋体"/>
                <w:b/>
                <w:bCs/>
                <w:color w:val="000000"/>
                <w:sz w:val="24"/>
                <w:szCs w:val="24"/>
              </w:rPr>
              <w:t>网页打印页及网址</w:t>
            </w:r>
            <w:r>
              <w:rPr>
                <w:rFonts w:hint="eastAsia" w:ascii="Calibri" w:hAnsi="Calibri" w:eastAsia="宋体" w:cs="Calibri"/>
                <w:sz w:val="24"/>
                <w:szCs w:val="24"/>
              </w:rPr>
              <w:t>，获奖时间以证书中载明的的发证时间为准。</w:t>
            </w:r>
          </w:p>
          <w:p>
            <w:pPr>
              <w:keepNext w:val="0"/>
              <w:keepLines w:val="0"/>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Calibri" w:hAnsi="Calibri" w:eastAsia="宋体" w:cs="Calibri"/>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获奖工程指水利水电工程施工项目，其他工程不得分。</w:t>
            </w:r>
            <w:r>
              <w:rPr>
                <w:rFonts w:hint="eastAsia" w:ascii="宋体" w:hAnsi="宋体" w:eastAsia="宋体" w:cs="宋体"/>
                <w:sz w:val="24"/>
                <w:szCs w:val="24"/>
                <w:lang w:val="en-US" w:eastAsia="zh-CN"/>
              </w:rPr>
              <w:t>省部级</w:t>
            </w:r>
            <w:r>
              <w:rPr>
                <w:rFonts w:hint="eastAsia" w:ascii="宋体" w:hAnsi="宋体" w:eastAsia="宋体" w:cs="宋体"/>
                <w:sz w:val="24"/>
                <w:szCs w:val="24"/>
              </w:rPr>
              <w:t>工程奖项指鲁班奖、中国水利工程优质（大禹）奖、优质工程奖、土木工程詹天佑奖等，市级（含副省级）工程奖项指市级（含副省级）优质工程奖或优良样板工程奖；工程类奖项</w:t>
            </w:r>
            <w:r>
              <w:rPr>
                <w:rFonts w:hint="eastAsia" w:ascii="Calibri" w:hAnsi="Calibri" w:eastAsia="宋体" w:cs="Calibri"/>
                <w:sz w:val="24"/>
                <w:szCs w:val="24"/>
              </w:rPr>
              <w:t>不含安全文明类、QC类、工法、技术应用、科技类或技术类等非项目整体工程类奖项。</w:t>
            </w:r>
            <w:r>
              <w:rPr>
                <w:rFonts w:hint="eastAsia" w:ascii="宋体" w:hAnsi="宋体" w:eastAsia="宋体" w:cs="宋体"/>
                <w:color w:val="000000"/>
                <w:kern w:val="0"/>
                <w:sz w:val="24"/>
                <w:szCs w:val="24"/>
              </w:rPr>
              <w:t>发证单位非政府部门的须同时提供该发证单位</w:t>
            </w:r>
            <w:r>
              <w:rPr>
                <w:rFonts w:hint="eastAsia" w:ascii="宋体" w:hAnsi="宋体" w:eastAsia="宋体" w:cs="宋体"/>
                <w:sz w:val="24"/>
                <w:szCs w:val="24"/>
              </w:rPr>
              <w:t>在</w:t>
            </w:r>
            <w:r>
              <w:rPr>
                <w:rFonts w:hint="eastAsia" w:ascii="Calibri" w:hAnsi="Calibri" w:eastAsia="宋体" w:cs="Calibri"/>
                <w:sz w:val="24"/>
                <w:szCs w:val="24"/>
              </w:rPr>
              <w:t>“中国社会组织政务服务平台”有登记的网页查询截图（网址：</w:t>
            </w:r>
            <w:r>
              <w:rPr>
                <w:rFonts w:hint="eastAsia" w:ascii="Calibri" w:hAnsi="Calibri" w:eastAsia="宋体" w:cs="Calibri"/>
                <w:color w:val="auto"/>
                <w:sz w:val="24"/>
                <w:szCs w:val="24"/>
                <w:u w:val="none"/>
              </w:rPr>
              <w:t>https://chinanpo.mca.gov.cn），证明其有登记备案，否则不得分。</w:t>
            </w:r>
          </w:p>
          <w:p>
            <w:pPr>
              <w:keepNext w:val="0"/>
              <w:keepLines w:val="0"/>
              <w:numPr>
                <w:ilvl w:val="0"/>
                <w:numId w:val="0"/>
              </w:numPr>
              <w:suppressLineNumbers w:val="0"/>
              <w:spacing w:before="0" w:beforeLines="0" w:beforeAutospacing="0" w:after="0" w:afterLines="0" w:afterAutospacing="0"/>
              <w:ind w:left="0" w:leftChars="0" w:right="0" w:rightChars="0" w:firstLine="480" w:firstLineChars="200"/>
              <w:jc w:val="left"/>
              <w:textAlignment w:val="baseline"/>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未</w:t>
            </w:r>
            <w:r>
              <w:rPr>
                <w:rFonts w:hint="eastAsia" w:ascii="宋体" w:hAnsi="宋体" w:eastAsia="宋体" w:cs="宋体"/>
                <w:color w:val="000000"/>
                <w:kern w:val="0"/>
                <w:sz w:val="24"/>
                <w:szCs w:val="24"/>
                <w:lang w:eastAsia="zh-CN"/>
              </w:rPr>
              <w:t>能</w:t>
            </w:r>
            <w:r>
              <w:rPr>
                <w:rFonts w:hint="eastAsia" w:ascii="宋体" w:hAnsi="宋体" w:eastAsia="宋体" w:cs="宋体"/>
                <w:color w:val="000000"/>
                <w:kern w:val="0"/>
                <w:sz w:val="24"/>
                <w:szCs w:val="24"/>
              </w:rPr>
              <w:t>提供上述资料的不得分</w:t>
            </w:r>
            <w:r>
              <w:rPr>
                <w:rFonts w:hint="eastAsia" w:ascii="宋体" w:hAnsi="宋体" w:eastAsia="宋体" w:cs="宋体"/>
                <w:color w:val="000000"/>
                <w:sz w:val="24"/>
                <w:szCs w:val="24"/>
              </w:rPr>
              <w:t>。</w:t>
            </w: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leftChars="0" w:right="0" w:righ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sz w:val="24"/>
                <w:szCs w:val="24"/>
              </w:rPr>
              <w:t>企业荣誉（20分）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color w:val="000000"/>
                <w:sz w:val="24"/>
                <w:szCs w:val="24"/>
              </w:rPr>
            </w:pPr>
            <w:r>
              <w:rPr>
                <w:rFonts w:hint="eastAsia" w:ascii="Calibri" w:hAnsi="Calibri" w:eastAsia="宋体" w:cs="Calibri"/>
                <w:sz w:val="24"/>
                <w:szCs w:val="24"/>
                <w:lang w:val="zh-CN"/>
              </w:rPr>
              <w:t>投标人</w:t>
            </w:r>
            <w:r>
              <w:rPr>
                <w:rFonts w:hint="eastAsia" w:ascii="宋体" w:hAnsi="宋体" w:eastAsia="宋体" w:cs="宋体"/>
                <w:color w:val="000000"/>
                <w:sz w:val="24"/>
                <w:szCs w:val="24"/>
              </w:rPr>
              <w:t>近3年（2019年1月1日至今）</w:t>
            </w:r>
            <w:r>
              <w:rPr>
                <w:rFonts w:hint="eastAsia" w:ascii="宋体" w:hAnsi="宋体" w:eastAsia="宋体" w:cs="宋体"/>
                <w:color w:val="000000"/>
                <w:sz w:val="24"/>
                <w:szCs w:val="24"/>
                <w:lang w:eastAsia="zh-CN"/>
              </w:rPr>
              <w:t>获得</w:t>
            </w:r>
            <w:r>
              <w:rPr>
                <w:rFonts w:hint="eastAsia" w:ascii="宋体" w:hAnsi="宋体" w:eastAsia="宋体" w:cs="Calibri"/>
                <w:kern w:val="0"/>
                <w:sz w:val="24"/>
                <w:szCs w:val="24"/>
              </w:rPr>
              <w:t>企业荣誉类证书</w:t>
            </w:r>
            <w:r>
              <w:rPr>
                <w:rFonts w:hint="eastAsia" w:ascii="宋体" w:hAnsi="宋体" w:eastAsia="宋体" w:cs="宋体"/>
                <w:color w:val="000000"/>
                <w:sz w:val="24"/>
                <w:szCs w:val="24"/>
              </w:rPr>
              <w:t>：</w:t>
            </w:r>
          </w:p>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sz w:val="24"/>
                <w:szCs w:val="24"/>
              </w:rPr>
            </w:pPr>
            <w:r>
              <w:rPr>
                <w:rFonts w:hint="eastAsia" w:ascii="Calibri" w:hAnsi="Calibri" w:eastAsia="宋体" w:cs="Calibri"/>
                <w:color w:val="000000"/>
                <w:sz w:val="24"/>
                <w:szCs w:val="24"/>
                <w:lang w:val="en-US" w:eastAsia="zh-CN"/>
              </w:rPr>
              <w:t>1.</w:t>
            </w:r>
            <w:r>
              <w:rPr>
                <w:rFonts w:hint="eastAsia" w:ascii="宋体" w:hAnsi="宋体" w:eastAsia="宋体" w:cs="宋体"/>
                <w:sz w:val="24"/>
                <w:szCs w:val="24"/>
              </w:rPr>
              <w:t>连续3年（含3年）或以上获得国家级（含部级行政部门）</w:t>
            </w:r>
            <w:r>
              <w:rPr>
                <w:rFonts w:hint="eastAsia" w:ascii="宋体" w:hAnsi="宋体" w:eastAsia="宋体" w:cs="Calibri"/>
                <w:kern w:val="0"/>
                <w:sz w:val="24"/>
                <w:szCs w:val="24"/>
              </w:rPr>
              <w:t>颁发的企业荣誉类证书</w:t>
            </w:r>
            <w:r>
              <w:rPr>
                <w:rFonts w:hint="eastAsia" w:ascii="宋体" w:hAnsi="宋体" w:eastAsia="宋体" w:cs="宋体"/>
                <w:sz w:val="24"/>
                <w:szCs w:val="24"/>
              </w:rPr>
              <w:t>得20分；连续2年获得国家级（含部级行政部门）</w:t>
            </w:r>
            <w:r>
              <w:rPr>
                <w:rFonts w:hint="eastAsia" w:ascii="宋体" w:hAnsi="宋体" w:eastAsia="宋体" w:cs="Calibri"/>
                <w:kern w:val="0"/>
                <w:sz w:val="24"/>
                <w:szCs w:val="24"/>
              </w:rPr>
              <w:t>颁发的企业荣誉类证书</w:t>
            </w:r>
            <w:r>
              <w:rPr>
                <w:rFonts w:hint="eastAsia" w:ascii="宋体" w:hAnsi="宋体" w:eastAsia="宋体" w:cs="宋体"/>
                <w:sz w:val="24"/>
                <w:szCs w:val="24"/>
              </w:rPr>
              <w:t>得15分；获得国家级（含部级行政部门）</w:t>
            </w:r>
            <w:r>
              <w:rPr>
                <w:rFonts w:hint="eastAsia" w:ascii="宋体" w:hAnsi="宋体" w:eastAsia="宋体" w:cs="Calibri"/>
                <w:kern w:val="0"/>
                <w:sz w:val="24"/>
                <w:szCs w:val="24"/>
              </w:rPr>
              <w:t>颁发的企业荣誉类证书</w:t>
            </w:r>
            <w:r>
              <w:rPr>
                <w:rFonts w:hint="eastAsia" w:ascii="宋体" w:hAnsi="宋体" w:eastAsia="宋体" w:cs="宋体"/>
                <w:sz w:val="24"/>
                <w:szCs w:val="24"/>
              </w:rPr>
              <w:t>得10分；</w:t>
            </w:r>
          </w:p>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sz w:val="24"/>
                <w:szCs w:val="24"/>
              </w:rPr>
            </w:pPr>
            <w:r>
              <w:rPr>
                <w:rFonts w:hint="eastAsia" w:ascii="Calibri" w:hAnsi="Calibri" w:eastAsia="宋体" w:cs="Calibri"/>
                <w:color w:val="000000"/>
                <w:sz w:val="24"/>
                <w:szCs w:val="24"/>
                <w:lang w:val="en-US" w:eastAsia="zh-CN"/>
              </w:rPr>
              <w:t>2.</w:t>
            </w:r>
            <w:r>
              <w:rPr>
                <w:rFonts w:hint="eastAsia" w:ascii="宋体" w:hAnsi="宋体" w:eastAsia="宋体" w:cs="宋体"/>
                <w:sz w:val="24"/>
                <w:szCs w:val="24"/>
              </w:rPr>
              <w:t>连续3年（含3年）或以上获得省级（含省级行政部门）</w:t>
            </w:r>
            <w:r>
              <w:rPr>
                <w:rFonts w:hint="eastAsia" w:ascii="宋体" w:hAnsi="宋体" w:eastAsia="宋体" w:cs="Calibri"/>
                <w:kern w:val="0"/>
                <w:sz w:val="24"/>
                <w:szCs w:val="24"/>
              </w:rPr>
              <w:t>颁发的企业荣誉类证书</w:t>
            </w:r>
            <w:r>
              <w:rPr>
                <w:rFonts w:hint="eastAsia" w:ascii="宋体" w:hAnsi="宋体" w:eastAsia="宋体" w:cs="宋体"/>
                <w:sz w:val="24"/>
                <w:szCs w:val="24"/>
              </w:rPr>
              <w:t>得9分；连续2年获得省级（含省级行政部门）</w:t>
            </w:r>
            <w:r>
              <w:rPr>
                <w:rFonts w:hint="eastAsia" w:ascii="宋体" w:hAnsi="宋体" w:eastAsia="宋体" w:cs="Calibri"/>
                <w:kern w:val="0"/>
                <w:sz w:val="24"/>
                <w:szCs w:val="24"/>
              </w:rPr>
              <w:t>颁发的企业荣誉类证书</w:t>
            </w:r>
            <w:r>
              <w:rPr>
                <w:rFonts w:hint="eastAsia" w:ascii="宋体" w:hAnsi="宋体" w:eastAsia="宋体" w:cs="宋体"/>
                <w:sz w:val="24"/>
                <w:szCs w:val="24"/>
              </w:rPr>
              <w:t>得7分；获得省级（含省级行政部门）</w:t>
            </w:r>
            <w:r>
              <w:rPr>
                <w:rFonts w:hint="eastAsia" w:ascii="宋体" w:hAnsi="宋体" w:eastAsia="宋体" w:cs="Calibri"/>
                <w:kern w:val="0"/>
                <w:sz w:val="24"/>
                <w:szCs w:val="24"/>
              </w:rPr>
              <w:t>颁发的企业荣誉类证书</w:t>
            </w:r>
            <w:r>
              <w:rPr>
                <w:rFonts w:hint="eastAsia" w:ascii="宋体" w:hAnsi="宋体" w:eastAsia="宋体" w:cs="宋体"/>
                <w:sz w:val="24"/>
                <w:szCs w:val="24"/>
              </w:rPr>
              <w:t>得5分；</w:t>
            </w:r>
          </w:p>
          <w:p>
            <w:pPr>
              <w:keepNext w:val="0"/>
              <w:keepLines w:val="0"/>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sz w:val="24"/>
                <w:szCs w:val="24"/>
              </w:rPr>
            </w:pPr>
            <w:r>
              <w:rPr>
                <w:rFonts w:hint="eastAsia" w:ascii="Calibri" w:hAnsi="Calibri" w:eastAsia="宋体" w:cs="Calibri"/>
                <w:color w:val="000000"/>
                <w:sz w:val="24"/>
                <w:szCs w:val="24"/>
                <w:lang w:val="en-US" w:eastAsia="zh-CN"/>
              </w:rPr>
              <w:t>3.</w:t>
            </w:r>
            <w:r>
              <w:rPr>
                <w:rFonts w:hint="eastAsia" w:ascii="宋体" w:hAnsi="宋体" w:eastAsia="宋体" w:cs="宋体"/>
                <w:sz w:val="24"/>
                <w:szCs w:val="24"/>
              </w:rPr>
              <w:t>连续3年（含3年）或以上获得市级（含市级行政部门）</w:t>
            </w:r>
            <w:r>
              <w:rPr>
                <w:rFonts w:hint="eastAsia" w:ascii="宋体" w:hAnsi="宋体" w:eastAsia="宋体" w:cs="Calibri"/>
                <w:kern w:val="0"/>
                <w:sz w:val="24"/>
                <w:szCs w:val="24"/>
              </w:rPr>
              <w:t>颁发的企业荣誉类证书</w:t>
            </w:r>
            <w:r>
              <w:rPr>
                <w:rFonts w:hint="eastAsia" w:ascii="宋体" w:hAnsi="宋体" w:eastAsia="宋体" w:cs="宋体"/>
                <w:sz w:val="24"/>
                <w:szCs w:val="24"/>
              </w:rPr>
              <w:t>得4分；连续2年获得市级（含市级行政部门）</w:t>
            </w:r>
            <w:r>
              <w:rPr>
                <w:rFonts w:hint="eastAsia" w:ascii="宋体" w:hAnsi="宋体" w:eastAsia="宋体" w:cs="Calibri"/>
                <w:kern w:val="0"/>
                <w:sz w:val="24"/>
                <w:szCs w:val="24"/>
              </w:rPr>
              <w:t>颁发的企业荣誉类证书</w:t>
            </w:r>
            <w:r>
              <w:rPr>
                <w:rFonts w:hint="eastAsia" w:ascii="宋体" w:hAnsi="宋体" w:eastAsia="宋体" w:cs="宋体"/>
                <w:sz w:val="24"/>
                <w:szCs w:val="24"/>
              </w:rPr>
              <w:t>得2分；获得市级（含市级行政部门）</w:t>
            </w:r>
            <w:r>
              <w:rPr>
                <w:rFonts w:hint="eastAsia" w:ascii="宋体" w:hAnsi="宋体" w:eastAsia="宋体" w:cs="Calibri"/>
                <w:kern w:val="0"/>
                <w:sz w:val="24"/>
                <w:szCs w:val="24"/>
              </w:rPr>
              <w:t>颁发的企业荣誉类证书</w:t>
            </w:r>
            <w:r>
              <w:rPr>
                <w:rFonts w:hint="eastAsia" w:ascii="宋体" w:hAnsi="宋体" w:eastAsia="宋体" w:cs="宋体"/>
                <w:sz w:val="24"/>
                <w:szCs w:val="24"/>
              </w:rPr>
              <w:t>得1分；其他不得分。</w:t>
            </w:r>
          </w:p>
          <w:p>
            <w:pPr>
              <w:keepNext w:val="0"/>
              <w:keepLines w:val="0"/>
              <w:widowControl/>
              <w:suppressLineNumbers w:val="0"/>
              <w:spacing w:before="0" w:beforeLines="0" w:beforeAutospacing="0" w:after="0" w:afterLines="0" w:afterAutospacing="0"/>
              <w:ind w:left="0" w:right="0"/>
              <w:jc w:val="left"/>
              <w:textAlignment w:val="baseline"/>
              <w:rPr>
                <w:rFonts w:hint="eastAsia" w:ascii="宋体" w:hAnsi="宋体" w:eastAsia="宋体" w:cs="宋体"/>
                <w:sz w:val="24"/>
                <w:szCs w:val="24"/>
              </w:rPr>
            </w:pPr>
            <w:r>
              <w:rPr>
                <w:rFonts w:hint="eastAsia" w:ascii="宋体" w:hAnsi="宋体" w:eastAsia="宋体" w:cs="宋体"/>
                <w:sz w:val="24"/>
                <w:szCs w:val="24"/>
                <w:lang w:eastAsia="zh-CN"/>
              </w:rPr>
              <w:t>备注</w:t>
            </w:r>
            <w:r>
              <w:rPr>
                <w:rFonts w:hint="eastAsia" w:ascii="宋体" w:hAnsi="宋体" w:eastAsia="宋体" w:cs="宋体"/>
                <w:sz w:val="24"/>
                <w:szCs w:val="24"/>
              </w:rPr>
              <w:t>：</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1.此项最高得分20分，以获得最高荣誉</w:t>
            </w:r>
            <w:r>
              <w:rPr>
                <w:rFonts w:hint="eastAsia" w:ascii="宋体" w:hAnsi="宋体" w:eastAsia="宋体" w:cs="Calibri"/>
                <w:kern w:val="0"/>
                <w:sz w:val="24"/>
                <w:szCs w:val="24"/>
              </w:rPr>
              <w:t>类证书</w:t>
            </w:r>
            <w:r>
              <w:rPr>
                <w:rFonts w:hint="eastAsia" w:ascii="宋体" w:hAnsi="宋体" w:eastAsia="宋体" w:cs="宋体"/>
                <w:sz w:val="24"/>
                <w:szCs w:val="24"/>
                <w:lang w:val="en-US" w:eastAsia="zh-CN"/>
              </w:rPr>
              <w:t>计分。</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奖项颁发机构必须是国家、省、市人民政府或行政部门与经民政部门批准成立的组织方联合颁发的为准（民政部门批准成立的组织方须提供在“中国社会组织政务服务平台”有登记的网页查询截图（网址：</w:t>
            </w:r>
            <w:r>
              <w:rPr>
                <w:rFonts w:hint="eastAsia" w:ascii="宋体" w:hAnsi="宋体" w:eastAsia="宋体" w:cs="宋体"/>
                <w:color w:val="auto"/>
                <w:sz w:val="24"/>
                <w:szCs w:val="24"/>
                <w:u w:val="none"/>
              </w:rPr>
              <w:t>https://chinanpo.mca.gov.cn），证明其有登记备案</w:t>
            </w:r>
            <w:r>
              <w:rPr>
                <w:rFonts w:hint="eastAsia" w:ascii="Calibri" w:hAnsi="Calibri" w:eastAsia="宋体" w:cs="Calibri"/>
                <w:color w:val="auto"/>
                <w:sz w:val="24"/>
                <w:szCs w:val="24"/>
                <w:u w:val="none"/>
              </w:rPr>
              <w:t>，否则不得分</w:t>
            </w:r>
            <w:r>
              <w:rPr>
                <w:rFonts w:hint="eastAsia" w:ascii="宋体" w:hAnsi="宋体" w:eastAsia="宋体" w:cs="宋体"/>
                <w:color w:val="auto"/>
                <w:sz w:val="24"/>
                <w:szCs w:val="24"/>
                <w:u w:val="none"/>
              </w:rPr>
              <w:t>）。</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需提供荣誉证书扫描件（荣誉证书须提供在相关网站的查询结果网页截图）；时间以获奖证书载明日期为准。</w:t>
            </w:r>
          </w:p>
          <w:p>
            <w:pPr>
              <w:keepNext w:val="0"/>
              <w:keepLines w:val="0"/>
              <w:widowControl/>
              <w:numPr>
                <w:ilvl w:val="0"/>
                <w:numId w:val="0"/>
              </w:numPr>
              <w:suppressLineNumbers w:val="0"/>
              <w:spacing w:before="0" w:beforeLines="0" w:beforeAutospacing="0" w:after="0" w:afterLines="0" w:afterAutospacing="0"/>
              <w:ind w:left="0" w:leftChars="0" w:right="0" w:rightChars="0" w:firstLine="480" w:firstLineChars="200"/>
              <w:jc w:val="left"/>
              <w:textAlignment w:val="baseline"/>
              <w:rPr>
                <w:rFonts w:hint="eastAsia" w:ascii="宋体" w:hAnsi="宋体" w:eastAsia="宋体" w:cs="宋体"/>
                <w:color w:val="auto"/>
                <w:sz w:val="24"/>
                <w:szCs w:val="24"/>
                <w:highlight w:val="none"/>
                <w:lang w:eastAsia="zh-CN" w:bidi="ar"/>
              </w:rPr>
            </w:pPr>
            <w:r>
              <w:rPr>
                <w:rFonts w:hint="eastAsia" w:ascii="宋体" w:hAnsi="宋体" w:eastAsia="宋体" w:cs="宋体"/>
                <w:sz w:val="24"/>
                <w:szCs w:val="24"/>
                <w:lang w:val="en-US" w:eastAsia="zh-CN"/>
              </w:rPr>
              <w:t>4.</w:t>
            </w:r>
            <w:r>
              <w:rPr>
                <w:rFonts w:hint="eastAsia" w:ascii="宋体" w:hAnsi="宋体" w:eastAsia="宋体" w:cs="宋体"/>
                <w:sz w:val="24"/>
                <w:szCs w:val="24"/>
              </w:rPr>
              <w:t>未</w:t>
            </w:r>
            <w:r>
              <w:rPr>
                <w:rFonts w:hint="eastAsia" w:ascii="宋体" w:hAnsi="宋体" w:eastAsia="宋体" w:cs="宋体"/>
                <w:sz w:val="24"/>
                <w:szCs w:val="24"/>
                <w:lang w:eastAsia="zh-CN"/>
              </w:rPr>
              <w:t>能</w:t>
            </w:r>
            <w:r>
              <w:rPr>
                <w:rFonts w:hint="eastAsia" w:ascii="宋体" w:hAnsi="宋体" w:eastAsia="宋体" w:cs="宋体"/>
                <w:sz w:val="24"/>
                <w:szCs w:val="24"/>
              </w:rPr>
              <w:t>提供上述资料的不得分。</w:t>
            </w: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leftChars="0" w:right="0" w:rightChars="0"/>
              <w:jc w:val="center"/>
              <w:textAlignment w:val="baseline"/>
              <w:rPr>
                <w:rFonts w:hint="eastAsia" w:ascii="宋体" w:hAnsi="宋体" w:eastAsia="宋体" w:cs="宋体"/>
                <w:color w:val="auto"/>
                <w:sz w:val="24"/>
                <w:szCs w:val="24"/>
                <w:highlight w:val="none"/>
              </w:rPr>
            </w:pPr>
            <w:r>
              <w:rPr>
                <w:rFonts w:hint="eastAsia" w:ascii="宋体" w:hAnsi="宋体" w:eastAsia="宋体" w:cs="Calibri"/>
                <w:color w:val="000000"/>
                <w:sz w:val="24"/>
                <w:szCs w:val="24"/>
              </w:rPr>
              <w:t>管理体系</w:t>
            </w:r>
            <w:r>
              <w:rPr>
                <w:rFonts w:hint="eastAsia" w:ascii="Calibri" w:hAnsi="Calibri" w:eastAsia="宋体" w:cs="Calibri"/>
                <w:sz w:val="24"/>
                <w:szCs w:val="24"/>
              </w:rPr>
              <w:t>（13分）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投标人获得有效期内的</w:t>
            </w:r>
            <w:r>
              <w:rPr>
                <w:rFonts w:hint="eastAsia" w:ascii="宋体" w:hAnsi="宋体" w:eastAsia="宋体" w:cs="宋体"/>
                <w:b/>
                <w:bCs/>
                <w:sz w:val="24"/>
                <w:szCs w:val="24"/>
              </w:rPr>
              <w:t>质量管理体系</w:t>
            </w:r>
            <w:r>
              <w:rPr>
                <w:rFonts w:hint="eastAsia" w:ascii="宋体" w:hAnsi="宋体" w:eastAsia="宋体" w:cs="宋体"/>
                <w:sz w:val="24"/>
                <w:szCs w:val="24"/>
              </w:rPr>
              <w:t>、</w:t>
            </w:r>
            <w:r>
              <w:rPr>
                <w:rFonts w:hint="eastAsia" w:ascii="宋体" w:hAnsi="宋体" w:eastAsia="宋体" w:cs="宋体"/>
                <w:b/>
                <w:bCs/>
                <w:sz w:val="24"/>
                <w:szCs w:val="24"/>
              </w:rPr>
              <w:t>环境管理体系</w:t>
            </w:r>
            <w:r>
              <w:rPr>
                <w:rFonts w:hint="eastAsia" w:ascii="宋体" w:hAnsi="宋体" w:eastAsia="宋体" w:cs="宋体"/>
                <w:sz w:val="24"/>
                <w:szCs w:val="24"/>
              </w:rPr>
              <w:t>、</w:t>
            </w:r>
            <w:r>
              <w:rPr>
                <w:rFonts w:hint="eastAsia" w:ascii="宋体" w:hAnsi="宋体" w:eastAsia="宋体" w:cs="宋体"/>
                <w:b/>
                <w:bCs/>
                <w:sz w:val="24"/>
                <w:szCs w:val="24"/>
              </w:rPr>
              <w:t>职业健康安全管理体系</w:t>
            </w:r>
            <w:r>
              <w:rPr>
                <w:rFonts w:hint="eastAsia" w:ascii="宋体" w:hAnsi="宋体" w:eastAsia="宋体" w:cs="宋体"/>
                <w:sz w:val="24"/>
                <w:szCs w:val="24"/>
              </w:rPr>
              <w:t>、</w:t>
            </w:r>
            <w:r>
              <w:rPr>
                <w:rFonts w:hint="eastAsia" w:ascii="宋体" w:hAnsi="宋体" w:eastAsia="宋体" w:cs="宋体"/>
                <w:b/>
                <w:bCs/>
                <w:sz w:val="24"/>
                <w:szCs w:val="24"/>
              </w:rPr>
              <w:t>信息安全管理体系</w:t>
            </w:r>
            <w:r>
              <w:rPr>
                <w:rFonts w:hint="eastAsia" w:ascii="宋体" w:hAnsi="宋体" w:eastAsia="宋体" w:cs="宋体"/>
                <w:sz w:val="24"/>
                <w:szCs w:val="24"/>
              </w:rPr>
              <w:t>、</w:t>
            </w:r>
            <w:r>
              <w:rPr>
                <w:rFonts w:hint="eastAsia" w:ascii="宋体" w:hAnsi="宋体" w:eastAsia="宋体" w:cs="宋体"/>
                <w:b/>
                <w:bCs/>
                <w:sz w:val="24"/>
                <w:szCs w:val="24"/>
              </w:rPr>
              <w:t>工程施工安全标准化体系</w:t>
            </w:r>
            <w:r>
              <w:rPr>
                <w:rFonts w:hint="eastAsia" w:ascii="宋体" w:hAnsi="宋体" w:eastAsia="宋体" w:cs="宋体"/>
                <w:sz w:val="24"/>
                <w:szCs w:val="24"/>
              </w:rPr>
              <w:t>、</w:t>
            </w:r>
            <w:r>
              <w:rPr>
                <w:rFonts w:hint="eastAsia" w:ascii="宋体" w:hAnsi="宋体" w:eastAsia="宋体" w:cs="宋体"/>
                <w:b/>
                <w:bCs/>
                <w:sz w:val="24"/>
                <w:szCs w:val="24"/>
              </w:rPr>
              <w:t>工程类绿色施工认证证书（资质范围许可包含水利水电工程施工总承包）</w:t>
            </w:r>
            <w:r>
              <w:rPr>
                <w:rFonts w:hint="eastAsia" w:ascii="宋体" w:hAnsi="宋体" w:eastAsia="宋体" w:cs="宋体"/>
                <w:b/>
                <w:bCs/>
                <w:sz w:val="24"/>
                <w:szCs w:val="24"/>
                <w:lang w:eastAsia="zh-CN"/>
              </w:rPr>
              <w:t>。</w:t>
            </w:r>
            <w:r>
              <w:rPr>
                <w:rFonts w:hint="eastAsia" w:ascii="宋体" w:hAnsi="宋体" w:eastAsia="宋体" w:cs="Calibri"/>
                <w:sz w:val="24"/>
                <w:szCs w:val="24"/>
              </w:rPr>
              <w:t>全部满足得13分；</w:t>
            </w:r>
            <w:r>
              <w:rPr>
                <w:rFonts w:hint="eastAsia" w:ascii="宋体" w:hAnsi="宋体" w:eastAsia="宋体" w:cs="Calibri"/>
                <w:sz w:val="24"/>
                <w:szCs w:val="24"/>
                <w:lang w:eastAsia="zh-CN"/>
              </w:rPr>
              <w:t>满足</w:t>
            </w:r>
            <w:r>
              <w:rPr>
                <w:rFonts w:hint="eastAsia" w:ascii="宋体" w:hAnsi="宋体" w:eastAsia="宋体" w:cs="Calibri"/>
                <w:sz w:val="24"/>
                <w:szCs w:val="24"/>
              </w:rPr>
              <w:t>其中5项的得6分；</w:t>
            </w:r>
            <w:r>
              <w:rPr>
                <w:rFonts w:hint="eastAsia" w:ascii="宋体" w:hAnsi="宋体" w:eastAsia="宋体" w:cs="Calibri"/>
                <w:sz w:val="24"/>
                <w:szCs w:val="24"/>
                <w:lang w:eastAsia="zh-CN"/>
              </w:rPr>
              <w:t>满足</w:t>
            </w:r>
            <w:r>
              <w:rPr>
                <w:rFonts w:hint="eastAsia" w:ascii="宋体" w:hAnsi="宋体" w:eastAsia="宋体" w:cs="Calibri"/>
                <w:sz w:val="24"/>
                <w:szCs w:val="24"/>
              </w:rPr>
              <w:t>其中4项的得3分；</w:t>
            </w:r>
            <w:r>
              <w:rPr>
                <w:rFonts w:hint="eastAsia" w:ascii="宋体" w:hAnsi="宋体" w:eastAsia="宋体" w:cs="Calibri"/>
                <w:sz w:val="24"/>
                <w:szCs w:val="24"/>
                <w:lang w:eastAsia="zh-CN"/>
              </w:rPr>
              <w:t>满足</w:t>
            </w:r>
            <w:r>
              <w:rPr>
                <w:rFonts w:hint="eastAsia" w:ascii="宋体" w:hAnsi="宋体" w:eastAsia="宋体" w:cs="Calibri"/>
                <w:sz w:val="24"/>
                <w:szCs w:val="24"/>
              </w:rPr>
              <w:t>其中3项</w:t>
            </w:r>
            <w:r>
              <w:rPr>
                <w:rFonts w:hint="eastAsia" w:ascii="宋体" w:hAnsi="宋体" w:eastAsia="宋体" w:cs="Calibri"/>
                <w:sz w:val="24"/>
                <w:szCs w:val="24"/>
                <w:lang w:eastAsia="zh-CN"/>
              </w:rPr>
              <w:t>及</w:t>
            </w:r>
            <w:r>
              <w:rPr>
                <w:rFonts w:hint="eastAsia" w:ascii="宋体" w:hAnsi="宋体" w:eastAsia="宋体" w:cs="Calibri"/>
                <w:sz w:val="24"/>
                <w:szCs w:val="24"/>
              </w:rPr>
              <w:t>以下的得1分。</w:t>
            </w:r>
          </w:p>
          <w:p>
            <w:pPr>
              <w:keepNext w:val="0"/>
              <w:keepLines w:val="0"/>
              <w:widowControl/>
              <w:suppressLineNumbers w:val="0"/>
              <w:spacing w:before="0" w:beforeLines="0" w:beforeAutospacing="0" w:after="0" w:afterLines="0" w:afterAutospacing="0"/>
              <w:ind w:left="0" w:right="0"/>
              <w:jc w:val="left"/>
              <w:textAlignment w:val="baseline"/>
              <w:rPr>
                <w:rFonts w:hint="eastAsia" w:ascii="宋体" w:hAnsi="宋体" w:eastAsia="宋体" w:cs="宋体"/>
                <w:sz w:val="24"/>
                <w:szCs w:val="24"/>
              </w:rPr>
            </w:pPr>
            <w:r>
              <w:rPr>
                <w:rFonts w:hint="eastAsia" w:ascii="宋体" w:hAnsi="宋体" w:eastAsia="宋体" w:cs="宋体"/>
                <w:sz w:val="24"/>
                <w:szCs w:val="24"/>
                <w:lang w:eastAsia="zh-CN"/>
              </w:rPr>
              <w:t>备注</w:t>
            </w:r>
            <w:r>
              <w:rPr>
                <w:rFonts w:hint="eastAsia" w:ascii="宋体" w:hAnsi="宋体" w:eastAsia="宋体" w:cs="宋体"/>
                <w:sz w:val="24"/>
                <w:szCs w:val="24"/>
              </w:rPr>
              <w:t>：</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提供相关证书扫描件及国家认证认可监督管理委员会官方网站中全国认证认可信息公共服务平台（http://cx.cnca.cn/CertECloud/index/index/page）查询结果(含网址的网页截图)，不齐全的不得分</w:t>
            </w:r>
            <w:r>
              <w:rPr>
                <w:rFonts w:hint="eastAsia" w:ascii="宋体" w:hAnsi="宋体" w:eastAsia="宋体" w:cs="宋体"/>
                <w:sz w:val="24"/>
                <w:szCs w:val="24"/>
                <w:lang w:eastAsia="zh-CN"/>
              </w:rPr>
              <w:t>；</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上述资料扫描件及网页截图需加盖投标人公章</w:t>
            </w:r>
            <w:r>
              <w:rPr>
                <w:rFonts w:hint="eastAsia" w:ascii="宋体" w:hAnsi="宋体" w:eastAsia="宋体" w:cs="宋体"/>
                <w:sz w:val="24"/>
                <w:szCs w:val="24"/>
                <w:lang w:eastAsia="zh-CN"/>
              </w:rPr>
              <w:t>；</w:t>
            </w:r>
          </w:p>
          <w:p>
            <w:pPr>
              <w:keepNext w:val="0"/>
              <w:keepLines w:val="0"/>
              <w:widowControl/>
              <w:numPr>
                <w:ilvl w:val="0"/>
                <w:numId w:val="0"/>
              </w:numPr>
              <w:suppressLineNumbers w:val="0"/>
              <w:spacing w:before="0" w:beforeLines="0" w:beforeAutospacing="0" w:after="0" w:afterLines="0" w:afterAutospacing="0"/>
              <w:ind w:left="0" w:leftChars="0" w:right="0" w:rightChars="0" w:firstLine="480" w:firstLineChars="200"/>
              <w:jc w:val="left"/>
              <w:textAlignment w:val="baseline"/>
              <w:rPr>
                <w:rFonts w:hint="eastAsia" w:ascii="宋体" w:hAnsi="宋体" w:eastAsia="宋体" w:cs="宋体"/>
                <w:color w:val="auto"/>
                <w:sz w:val="24"/>
                <w:szCs w:val="24"/>
                <w:highlight w:val="none"/>
                <w:lang w:bidi="ar"/>
              </w:rPr>
            </w:pPr>
            <w:r>
              <w:rPr>
                <w:rFonts w:hint="eastAsia" w:ascii="宋体" w:hAnsi="宋体" w:eastAsia="宋体" w:cs="宋体"/>
                <w:sz w:val="24"/>
                <w:szCs w:val="24"/>
                <w:lang w:val="en-US" w:eastAsia="zh-CN"/>
              </w:rPr>
              <w:t>3.</w:t>
            </w:r>
            <w:r>
              <w:rPr>
                <w:rFonts w:hint="eastAsia" w:ascii="宋体" w:hAnsi="宋体" w:eastAsia="宋体" w:cs="宋体"/>
                <w:color w:val="000000"/>
                <w:kern w:val="0"/>
                <w:sz w:val="24"/>
                <w:szCs w:val="24"/>
              </w:rPr>
              <w:t>未</w:t>
            </w:r>
            <w:r>
              <w:rPr>
                <w:rFonts w:hint="eastAsia" w:ascii="宋体" w:hAnsi="宋体" w:eastAsia="宋体" w:cs="宋体"/>
                <w:color w:val="000000"/>
                <w:kern w:val="0"/>
                <w:sz w:val="24"/>
                <w:szCs w:val="24"/>
                <w:lang w:eastAsia="zh-CN"/>
              </w:rPr>
              <w:t>能</w:t>
            </w:r>
            <w:r>
              <w:rPr>
                <w:rFonts w:hint="eastAsia" w:ascii="宋体" w:hAnsi="宋体" w:eastAsia="宋体" w:cs="宋体"/>
                <w:color w:val="000000"/>
                <w:kern w:val="0"/>
                <w:sz w:val="24"/>
                <w:szCs w:val="24"/>
              </w:rPr>
              <w:t>提供上述资料的不得分</w:t>
            </w:r>
            <w:r>
              <w:rPr>
                <w:rFonts w:hint="eastAsia" w:ascii="宋体" w:hAnsi="宋体" w:eastAsia="宋体" w:cs="宋体"/>
                <w:sz w:val="24"/>
                <w:szCs w:val="24"/>
              </w:rPr>
              <w:t>。</w:t>
            </w: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vMerge w:val="continue"/>
            <w:tcBorders>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textAlignment w:val="baseline"/>
              <w:rPr>
                <w:rFonts w:hint="default" w:ascii="Calibri" w:hAnsi="Calibri" w:eastAsia="宋体" w:cs="Calibri"/>
                <w:sz w:val="24"/>
                <w:szCs w:val="24"/>
              </w:rPr>
            </w:pPr>
            <w:r>
              <w:rPr>
                <w:rFonts w:hint="eastAsia" w:ascii="Calibri" w:hAnsi="Calibri" w:eastAsia="宋体" w:cs="Calibri"/>
                <w:sz w:val="24"/>
                <w:szCs w:val="24"/>
              </w:rPr>
              <w:t>第三方评价</w:t>
            </w:r>
          </w:p>
          <w:p>
            <w:pPr>
              <w:keepNext w:val="0"/>
              <w:keepLines w:val="0"/>
              <w:suppressLineNumbers w:val="0"/>
              <w:spacing w:before="0" w:beforeLines="0" w:beforeAutospacing="0" w:after="0" w:afterLines="0" w:afterAutospacing="0" w:line="360" w:lineRule="auto"/>
              <w:ind w:left="0" w:leftChars="0" w:right="0" w:rightChars="0"/>
              <w:jc w:val="center"/>
              <w:textAlignment w:val="baseline"/>
              <w:rPr>
                <w:rFonts w:hint="eastAsia" w:ascii="宋体" w:hAnsi="宋体" w:eastAsia="宋体" w:cs="宋体"/>
                <w:color w:val="auto"/>
                <w:sz w:val="24"/>
                <w:szCs w:val="24"/>
                <w:highlight w:val="none"/>
              </w:rPr>
            </w:pPr>
            <w:r>
              <w:rPr>
                <w:rFonts w:hint="eastAsia" w:ascii="Calibri" w:hAnsi="Calibri" w:eastAsia="宋体" w:cs="Calibri"/>
                <w:sz w:val="24"/>
                <w:szCs w:val="24"/>
              </w:rPr>
              <w:t>（12分）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color w:val="000000"/>
                <w:sz w:val="24"/>
                <w:szCs w:val="24"/>
              </w:rPr>
            </w:pPr>
            <w:r>
              <w:rPr>
                <w:rFonts w:hint="eastAsia" w:ascii="Calibri" w:hAnsi="Calibri" w:eastAsia="宋体" w:cs="Calibri"/>
                <w:sz w:val="24"/>
                <w:szCs w:val="24"/>
                <w:lang w:val="zh-CN"/>
              </w:rPr>
              <w:t>投标人</w:t>
            </w:r>
            <w:r>
              <w:rPr>
                <w:rFonts w:hint="eastAsia" w:ascii="宋体" w:hAnsi="宋体" w:eastAsia="宋体" w:cs="宋体"/>
                <w:color w:val="000000"/>
                <w:sz w:val="24"/>
                <w:szCs w:val="24"/>
              </w:rPr>
              <w:t>近3年（2019年1月1日至今）：</w:t>
            </w:r>
          </w:p>
          <w:p>
            <w:pPr>
              <w:keepNext w:val="0"/>
              <w:keepLines w:val="0"/>
              <w:widowControl/>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sz w:val="24"/>
                <w:szCs w:val="24"/>
              </w:rPr>
            </w:pPr>
            <w:r>
              <w:rPr>
                <w:rFonts w:hint="eastAsia" w:ascii="Calibri" w:hAnsi="Calibri" w:eastAsia="宋体" w:cs="Calibri"/>
                <w:color w:val="000000"/>
                <w:sz w:val="24"/>
                <w:szCs w:val="24"/>
                <w:lang w:val="en-US" w:eastAsia="zh-CN"/>
              </w:rPr>
              <w:t>1.</w:t>
            </w:r>
            <w:r>
              <w:rPr>
                <w:rFonts w:hint="eastAsia" w:ascii="Calibri" w:hAnsi="Calibri" w:eastAsia="宋体" w:cs="Calibri"/>
                <w:sz w:val="24"/>
                <w:szCs w:val="24"/>
              </w:rPr>
              <w:t>获得过</w:t>
            </w:r>
            <w:r>
              <w:rPr>
                <w:rFonts w:hint="eastAsia" w:ascii="宋体" w:hAnsi="宋体" w:eastAsia="宋体" w:cs="宋体"/>
                <w:sz w:val="24"/>
                <w:szCs w:val="24"/>
              </w:rPr>
              <w:t>国家级（含部级）相关机构颁发的“质量、服务、信誉AAA企业”、“诚信企业”、“科技创新示范单位”等企业类称号，</w:t>
            </w:r>
            <w:r>
              <w:rPr>
                <w:rFonts w:hint="eastAsia" w:ascii="Calibri" w:hAnsi="Calibri" w:eastAsia="宋体" w:cs="Calibri"/>
                <w:sz w:val="24"/>
                <w:szCs w:val="24"/>
              </w:rPr>
              <w:t>且证书在有效期内</w:t>
            </w:r>
            <w:r>
              <w:rPr>
                <w:rFonts w:hint="eastAsia" w:ascii="宋体" w:hAnsi="宋体" w:eastAsia="宋体" w:cs="宋体"/>
                <w:sz w:val="24"/>
                <w:szCs w:val="24"/>
              </w:rPr>
              <w:t>得12分；</w:t>
            </w:r>
          </w:p>
          <w:p>
            <w:pPr>
              <w:keepNext w:val="0"/>
              <w:keepLines w:val="0"/>
              <w:widowControl/>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sz w:val="24"/>
                <w:szCs w:val="24"/>
              </w:rPr>
            </w:pPr>
            <w:r>
              <w:rPr>
                <w:rFonts w:hint="eastAsia" w:ascii="Calibri" w:hAnsi="Calibri" w:eastAsia="宋体" w:cs="Calibri"/>
                <w:color w:val="000000"/>
                <w:sz w:val="24"/>
                <w:szCs w:val="24"/>
                <w:lang w:val="en-US" w:eastAsia="zh-CN"/>
              </w:rPr>
              <w:t>2.</w:t>
            </w:r>
            <w:r>
              <w:rPr>
                <w:rFonts w:hint="eastAsia" w:ascii="Calibri" w:hAnsi="Calibri" w:eastAsia="宋体" w:cs="Calibri"/>
                <w:sz w:val="24"/>
                <w:szCs w:val="24"/>
              </w:rPr>
              <w:t>获得过</w:t>
            </w:r>
            <w:r>
              <w:rPr>
                <w:rFonts w:hint="eastAsia" w:ascii="宋体" w:hAnsi="宋体" w:eastAsia="宋体" w:cs="宋体"/>
                <w:sz w:val="24"/>
                <w:szCs w:val="24"/>
              </w:rPr>
              <w:t>省级相关机构颁发的“质量、服务、信誉AAA企业”、“诚信企业”、“科技创新示范单位”等企业类称号，</w:t>
            </w:r>
            <w:r>
              <w:rPr>
                <w:rFonts w:hint="eastAsia" w:ascii="Calibri" w:hAnsi="Calibri" w:eastAsia="宋体" w:cs="Calibri"/>
                <w:sz w:val="24"/>
                <w:szCs w:val="24"/>
              </w:rPr>
              <w:t>且证书在有效期内</w:t>
            </w:r>
            <w:r>
              <w:rPr>
                <w:rFonts w:hint="eastAsia" w:ascii="宋体" w:hAnsi="宋体" w:eastAsia="宋体" w:cs="宋体"/>
                <w:sz w:val="24"/>
                <w:szCs w:val="24"/>
              </w:rPr>
              <w:t>得6分；</w:t>
            </w:r>
          </w:p>
          <w:p>
            <w:pPr>
              <w:keepNext w:val="0"/>
              <w:keepLines w:val="0"/>
              <w:widowControl/>
              <w:suppressLineNumbers w:val="0"/>
              <w:spacing w:before="0" w:beforeLines="0" w:beforeAutospacing="0" w:after="0" w:afterLines="0" w:afterAutospacing="0"/>
              <w:ind w:left="0" w:right="0" w:firstLine="480" w:firstLineChars="200"/>
              <w:jc w:val="left"/>
              <w:textAlignment w:val="baseline"/>
              <w:rPr>
                <w:rFonts w:hint="eastAsia" w:ascii="宋体" w:hAnsi="宋体" w:eastAsia="宋体" w:cs="宋体"/>
                <w:sz w:val="24"/>
                <w:szCs w:val="24"/>
              </w:rPr>
            </w:pPr>
            <w:r>
              <w:rPr>
                <w:rFonts w:hint="eastAsia" w:ascii="Calibri" w:hAnsi="Calibri" w:eastAsia="宋体" w:cs="Calibri"/>
                <w:color w:val="000000"/>
                <w:sz w:val="24"/>
                <w:szCs w:val="24"/>
                <w:lang w:val="en-US" w:eastAsia="zh-CN"/>
              </w:rPr>
              <w:t>3.</w:t>
            </w:r>
            <w:r>
              <w:rPr>
                <w:rFonts w:hint="eastAsia" w:ascii="Calibri" w:hAnsi="Calibri" w:eastAsia="宋体" w:cs="Calibri"/>
                <w:sz w:val="24"/>
                <w:szCs w:val="24"/>
              </w:rPr>
              <w:t>获得过市</w:t>
            </w:r>
            <w:r>
              <w:rPr>
                <w:rFonts w:hint="eastAsia" w:ascii="宋体" w:hAnsi="宋体" w:eastAsia="宋体" w:cs="宋体"/>
                <w:sz w:val="24"/>
                <w:szCs w:val="24"/>
              </w:rPr>
              <w:t>级相关机构颁发的“质量、服务、信誉AAA企业”、“诚信企业”、“科技创新示范单位”等企业类称号，</w:t>
            </w:r>
            <w:r>
              <w:rPr>
                <w:rFonts w:hint="eastAsia" w:ascii="Calibri" w:hAnsi="Calibri" w:eastAsia="宋体" w:cs="Calibri"/>
                <w:sz w:val="24"/>
                <w:szCs w:val="24"/>
              </w:rPr>
              <w:t>且证书在有效期内</w:t>
            </w:r>
            <w:r>
              <w:rPr>
                <w:rFonts w:hint="eastAsia" w:ascii="宋体" w:hAnsi="宋体" w:eastAsia="宋体" w:cs="宋体"/>
                <w:sz w:val="24"/>
                <w:szCs w:val="24"/>
              </w:rPr>
              <w:t>得3分；其他不得分。</w:t>
            </w:r>
          </w:p>
          <w:p>
            <w:pPr>
              <w:keepNext w:val="0"/>
              <w:keepLines w:val="0"/>
              <w:widowControl/>
              <w:suppressLineNumbers w:val="0"/>
              <w:spacing w:before="0" w:beforeLines="0" w:beforeAutospacing="0" w:after="0" w:afterLines="0" w:afterAutospacing="0"/>
              <w:ind w:left="0" w:right="0"/>
              <w:jc w:val="left"/>
              <w:textAlignment w:val="baseline"/>
              <w:rPr>
                <w:rFonts w:hint="eastAsia" w:ascii="宋体" w:hAnsi="宋体" w:eastAsia="宋体" w:cs="宋体"/>
                <w:sz w:val="24"/>
                <w:szCs w:val="24"/>
              </w:rPr>
            </w:pPr>
            <w:r>
              <w:rPr>
                <w:rFonts w:hint="eastAsia" w:ascii="宋体" w:hAnsi="宋体" w:eastAsia="宋体" w:cs="宋体"/>
                <w:sz w:val="24"/>
                <w:szCs w:val="24"/>
                <w:lang w:eastAsia="zh-CN"/>
              </w:rPr>
              <w:t>备注</w:t>
            </w:r>
            <w:r>
              <w:rPr>
                <w:rFonts w:hint="eastAsia" w:ascii="宋体" w:hAnsi="宋体" w:eastAsia="宋体" w:cs="宋体"/>
                <w:sz w:val="24"/>
                <w:szCs w:val="24"/>
              </w:rPr>
              <w:t>：</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须提供相关证书（或奖牌或牌匾）扫描件（须同时提供在发证机构官网的查询结果网页截图），</w:t>
            </w:r>
            <w:r>
              <w:rPr>
                <w:rFonts w:hint="eastAsia" w:ascii="宋体" w:hAnsi="宋体" w:eastAsia="宋体" w:cs="宋体"/>
                <w:color w:val="000000"/>
                <w:kern w:val="0"/>
                <w:sz w:val="24"/>
                <w:szCs w:val="24"/>
              </w:rPr>
              <w:t>发证单位非政府部门的须同时提供该发证单位</w:t>
            </w:r>
            <w:r>
              <w:rPr>
                <w:rFonts w:hint="eastAsia" w:ascii="宋体" w:hAnsi="宋体" w:eastAsia="宋体" w:cs="宋体"/>
                <w:sz w:val="24"/>
                <w:szCs w:val="24"/>
              </w:rPr>
              <w:t>在“中国社会组织政务服务平台”有登记的网页查询截图（网址：</w:t>
            </w:r>
            <w:r>
              <w:rPr>
                <w:rFonts w:hint="eastAsia" w:ascii="宋体" w:hAnsi="宋体" w:eastAsia="宋体" w:cs="宋体"/>
                <w:color w:val="auto"/>
                <w:sz w:val="24"/>
                <w:szCs w:val="24"/>
                <w:u w:val="none"/>
              </w:rPr>
              <w:t>https://chinanpo.mca.gov.cn/），证明其有登记备案，否则不得分。</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获奖时间以证书（或奖牌或牌匾）中载明的的发证时间为准（</w:t>
            </w:r>
            <w:r>
              <w:rPr>
                <w:rFonts w:hint="eastAsia" w:ascii="Calibri" w:hAnsi="Calibri" w:eastAsia="宋体" w:cs="Calibri"/>
                <w:color w:val="000000"/>
                <w:sz w:val="24"/>
                <w:szCs w:val="24"/>
              </w:rPr>
              <w:t>若证书未能体现发证时间，以</w:t>
            </w:r>
            <w:r>
              <w:rPr>
                <w:rFonts w:hint="eastAsia" w:ascii="宋体" w:hAnsi="宋体" w:eastAsia="宋体" w:cs="宋体"/>
                <w:sz w:val="24"/>
                <w:szCs w:val="24"/>
              </w:rPr>
              <w:t>发证机构官网查询结果中的批准日期</w:t>
            </w:r>
            <w:r>
              <w:rPr>
                <w:rFonts w:hint="eastAsia" w:ascii="Calibri" w:hAnsi="Calibri" w:eastAsia="宋体" w:cs="Calibri"/>
                <w:color w:val="000000"/>
                <w:sz w:val="24"/>
                <w:szCs w:val="24"/>
              </w:rPr>
              <w:t>为准</w:t>
            </w:r>
            <w:r>
              <w:rPr>
                <w:rFonts w:hint="eastAsia" w:ascii="宋体" w:hAnsi="宋体" w:eastAsia="宋体" w:cs="宋体"/>
                <w:sz w:val="24"/>
                <w:szCs w:val="24"/>
              </w:rPr>
              <w:t>）。</w:t>
            </w:r>
          </w:p>
          <w:p>
            <w:pPr>
              <w:keepNext w:val="0"/>
              <w:keepLines w:val="0"/>
              <w:widowControl/>
              <w:numPr>
                <w:ilvl w:val="0"/>
                <w:numId w:val="0"/>
              </w:numPr>
              <w:suppressLineNumbers w:val="0"/>
              <w:spacing w:before="0" w:beforeLines="0" w:beforeAutospacing="0" w:after="0" w:afterLines="0" w:afterAutospacing="0"/>
              <w:ind w:left="0" w:leftChars="0" w:right="0" w:righ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3.</w:t>
            </w:r>
            <w:r>
              <w:rPr>
                <w:rFonts w:hint="eastAsia" w:ascii="宋体" w:hAnsi="宋体" w:eastAsia="宋体" w:cs="宋体"/>
                <w:color w:val="000000"/>
                <w:kern w:val="0"/>
                <w:sz w:val="24"/>
                <w:szCs w:val="24"/>
              </w:rPr>
              <w:t>未</w:t>
            </w:r>
            <w:r>
              <w:rPr>
                <w:rFonts w:hint="eastAsia" w:ascii="宋体" w:hAnsi="宋体" w:eastAsia="宋体" w:cs="宋体"/>
                <w:color w:val="000000"/>
                <w:kern w:val="0"/>
                <w:sz w:val="24"/>
                <w:szCs w:val="24"/>
                <w:lang w:eastAsia="zh-CN"/>
              </w:rPr>
              <w:t>能</w:t>
            </w:r>
            <w:r>
              <w:rPr>
                <w:rFonts w:hint="eastAsia" w:ascii="宋体" w:hAnsi="宋体" w:eastAsia="宋体" w:cs="宋体"/>
                <w:color w:val="000000"/>
                <w:kern w:val="0"/>
                <w:sz w:val="24"/>
                <w:szCs w:val="24"/>
              </w:rPr>
              <w:t>提供上述资料的不得分</w:t>
            </w:r>
            <w:r>
              <w:rPr>
                <w:rFonts w:hint="eastAsia" w:ascii="宋体" w:hAnsi="宋体" w:eastAsia="宋体" w:cs="宋体"/>
                <w:color w:val="000000"/>
                <w:sz w:val="24"/>
                <w:szCs w:val="24"/>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textAlignment w:val="baseline"/>
              <w:rPr>
                <w:rFonts w:hint="default" w:ascii="Calibri" w:hAnsi="Calibri" w:eastAsia="宋体" w:cs="Calibri"/>
                <w:sz w:val="24"/>
                <w:szCs w:val="24"/>
              </w:rPr>
            </w:pPr>
            <w:r>
              <w:rPr>
                <w:rFonts w:hint="eastAsia" w:ascii="Calibri" w:hAnsi="Calibri" w:eastAsia="宋体" w:cs="Calibri"/>
                <w:sz w:val="24"/>
                <w:szCs w:val="24"/>
              </w:rPr>
              <w:t>财务指标</w:t>
            </w:r>
          </w:p>
          <w:p>
            <w:pPr>
              <w:keepNext w:val="0"/>
              <w:keepLines w:val="0"/>
              <w:suppressLineNumbers w:val="0"/>
              <w:spacing w:before="0" w:beforeLines="0" w:beforeAutospacing="0" w:after="0" w:afterLines="0" w:afterAutospacing="0" w:line="360" w:lineRule="auto"/>
              <w:ind w:left="0" w:leftChars="0" w:right="0" w:rightChars="0"/>
              <w:jc w:val="center"/>
              <w:textAlignment w:val="baseline"/>
              <w:rPr>
                <w:rFonts w:hint="eastAsia" w:ascii="宋体" w:hAnsi="宋体" w:eastAsia="宋体" w:cs="宋体"/>
                <w:color w:val="auto"/>
                <w:sz w:val="24"/>
                <w:szCs w:val="24"/>
                <w:highlight w:val="none"/>
              </w:rPr>
            </w:pPr>
            <w:r>
              <w:rPr>
                <w:rFonts w:hint="eastAsia" w:ascii="Calibri" w:hAnsi="Calibri" w:eastAsia="宋体" w:cs="Calibri"/>
                <w:sz w:val="24"/>
                <w:szCs w:val="24"/>
              </w:rPr>
              <w:t>（15分）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Lines="0" w:beforeAutospacing="0" w:after="0" w:afterLines="0" w:afterAutospacing="0"/>
              <w:ind w:left="0" w:right="0" w:firstLine="480" w:firstLineChars="200"/>
              <w:jc w:val="left"/>
              <w:textAlignment w:val="baseline"/>
              <w:rPr>
                <w:rFonts w:hint="default" w:ascii="Calibri" w:hAnsi="Calibri" w:eastAsia="宋体" w:cs="Calibri"/>
                <w:sz w:val="24"/>
                <w:szCs w:val="24"/>
              </w:rPr>
            </w:pPr>
            <w:r>
              <w:rPr>
                <w:rFonts w:hint="eastAsia" w:ascii="Calibri" w:hAnsi="Calibri" w:eastAsia="宋体" w:cs="Calibri"/>
                <w:sz w:val="24"/>
                <w:szCs w:val="24"/>
              </w:rPr>
              <w:t>根据会计事务所出具的2019年度、2020年度、2021年度的财务报表打分：</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default" w:ascii="Calibri" w:hAnsi="Calibri" w:eastAsia="宋体" w:cs="Calibri"/>
                <w:sz w:val="24"/>
                <w:szCs w:val="24"/>
              </w:rPr>
            </w:pPr>
            <w:r>
              <w:rPr>
                <w:rFonts w:hint="eastAsia" w:ascii="Calibri" w:hAnsi="Calibri" w:eastAsia="宋体" w:cs="Calibri"/>
                <w:sz w:val="24"/>
                <w:szCs w:val="24"/>
                <w:lang w:val="en-US" w:eastAsia="zh-CN"/>
              </w:rPr>
              <w:t>1.</w:t>
            </w:r>
            <w:r>
              <w:rPr>
                <w:rFonts w:hint="eastAsia" w:ascii="Calibri" w:hAnsi="Calibri" w:eastAsia="宋体" w:cs="Calibri"/>
                <w:sz w:val="24"/>
                <w:szCs w:val="24"/>
              </w:rPr>
              <w:t>连续三年盈利且三年平均资产负债率在0～30%（不含30%）的，得15分；</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default" w:ascii="Calibri" w:hAnsi="Calibri" w:eastAsia="宋体" w:cs="Calibri"/>
                <w:sz w:val="24"/>
                <w:szCs w:val="24"/>
              </w:rPr>
            </w:pPr>
            <w:r>
              <w:rPr>
                <w:rFonts w:hint="eastAsia" w:ascii="Calibri" w:hAnsi="Calibri" w:eastAsia="宋体" w:cs="Calibri"/>
                <w:sz w:val="24"/>
                <w:szCs w:val="24"/>
                <w:lang w:val="en-US" w:eastAsia="zh-CN"/>
              </w:rPr>
              <w:t>2.</w:t>
            </w:r>
            <w:r>
              <w:rPr>
                <w:rFonts w:hint="eastAsia" w:ascii="Calibri" w:hAnsi="Calibri" w:eastAsia="宋体" w:cs="Calibri"/>
                <w:sz w:val="24"/>
                <w:szCs w:val="24"/>
              </w:rPr>
              <w:t>连续三年盈利且三年平均资产负债率在30%（含30%）～40%（不含40%）的，得7分；</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default" w:ascii="Calibri" w:hAnsi="Calibri" w:eastAsia="宋体" w:cs="Calibri"/>
                <w:sz w:val="24"/>
                <w:szCs w:val="24"/>
              </w:rPr>
            </w:pPr>
            <w:r>
              <w:rPr>
                <w:rFonts w:hint="eastAsia" w:ascii="Calibri" w:hAnsi="Calibri" w:eastAsia="宋体" w:cs="Calibri"/>
                <w:sz w:val="24"/>
                <w:szCs w:val="24"/>
                <w:lang w:val="en-US" w:eastAsia="zh-CN"/>
              </w:rPr>
              <w:t>3.</w:t>
            </w:r>
            <w:r>
              <w:rPr>
                <w:rFonts w:hint="eastAsia" w:ascii="Calibri" w:hAnsi="Calibri" w:eastAsia="宋体" w:cs="Calibri"/>
                <w:sz w:val="24"/>
                <w:szCs w:val="24"/>
              </w:rPr>
              <w:t>连续三年盈利且三年平均资产负债率在40%（含40%）～50%（不含50%）的，得3分；</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default" w:ascii="Calibri" w:hAnsi="Calibri" w:eastAsia="宋体" w:cs="Calibri"/>
                <w:sz w:val="24"/>
                <w:szCs w:val="24"/>
              </w:rPr>
            </w:pPr>
            <w:r>
              <w:rPr>
                <w:rFonts w:hint="eastAsia" w:ascii="Calibri" w:hAnsi="Calibri" w:eastAsia="宋体" w:cs="Calibri"/>
                <w:sz w:val="24"/>
                <w:szCs w:val="24"/>
                <w:lang w:val="en-US" w:eastAsia="zh-CN"/>
              </w:rPr>
              <w:t>4.</w:t>
            </w:r>
            <w:r>
              <w:rPr>
                <w:rFonts w:hint="eastAsia" w:ascii="Calibri" w:hAnsi="Calibri" w:eastAsia="宋体" w:cs="Calibri"/>
                <w:sz w:val="24"/>
                <w:szCs w:val="24"/>
              </w:rPr>
              <w:t>连续三年盈利且三年平均资产负债率在50%（含50%）～60%（不含60%）的，得1分；</w:t>
            </w:r>
            <w:r>
              <w:rPr>
                <w:rFonts w:hint="eastAsia" w:ascii="Calibri" w:hAnsi="Calibri" w:eastAsia="宋体" w:cs="Calibri"/>
                <w:sz w:val="24"/>
                <w:szCs w:val="24"/>
                <w:lang w:val="zh-CN"/>
              </w:rPr>
              <w:t>其他</w:t>
            </w:r>
            <w:r>
              <w:rPr>
                <w:rFonts w:hint="eastAsia" w:ascii="Calibri" w:hAnsi="Calibri" w:eastAsia="宋体" w:cs="Calibri"/>
                <w:sz w:val="24"/>
                <w:szCs w:val="24"/>
              </w:rPr>
              <w:t>不得</w:t>
            </w:r>
            <w:r>
              <w:rPr>
                <w:rFonts w:hint="eastAsia" w:ascii="Calibri" w:hAnsi="Calibri" w:eastAsia="宋体" w:cs="Calibri"/>
                <w:sz w:val="24"/>
                <w:szCs w:val="24"/>
                <w:lang w:val="zh-CN"/>
              </w:rPr>
              <w:t>分</w:t>
            </w:r>
            <w:r>
              <w:rPr>
                <w:rFonts w:hint="eastAsia" w:ascii="Calibri" w:hAnsi="Calibri" w:eastAsia="宋体" w:cs="Calibri"/>
                <w:sz w:val="24"/>
                <w:szCs w:val="24"/>
              </w:rPr>
              <w:t>。</w:t>
            </w:r>
          </w:p>
          <w:p>
            <w:pPr>
              <w:keepNext w:val="0"/>
              <w:keepLines w:val="0"/>
              <w:widowControl/>
              <w:suppressLineNumbers w:val="0"/>
              <w:spacing w:before="0" w:beforeLines="0" w:beforeAutospacing="0" w:after="0" w:afterLines="0" w:afterAutospacing="0"/>
              <w:ind w:left="0" w:right="0"/>
              <w:jc w:val="left"/>
              <w:textAlignment w:val="baseline"/>
              <w:rPr>
                <w:rFonts w:hint="eastAsia" w:ascii="Calibri" w:hAnsi="Calibri" w:eastAsia="宋体" w:cs="Calibri"/>
                <w:sz w:val="24"/>
                <w:szCs w:val="24"/>
              </w:rPr>
            </w:pPr>
            <w:r>
              <w:rPr>
                <w:rFonts w:hint="eastAsia" w:ascii="Calibri" w:hAnsi="Calibri" w:eastAsia="宋体" w:cs="Calibri"/>
                <w:sz w:val="24"/>
                <w:szCs w:val="24"/>
                <w:lang w:eastAsia="zh-CN"/>
              </w:rPr>
              <w:t>备注</w:t>
            </w:r>
            <w:r>
              <w:rPr>
                <w:rFonts w:hint="eastAsia" w:ascii="Calibri" w:hAnsi="Calibri" w:eastAsia="宋体" w:cs="Calibri"/>
                <w:sz w:val="24"/>
                <w:szCs w:val="24"/>
              </w:rPr>
              <w:t>：</w:t>
            </w:r>
          </w:p>
          <w:p>
            <w:pPr>
              <w:keepNext w:val="0"/>
              <w:keepLines w:val="0"/>
              <w:widowControl/>
              <w:numPr>
                <w:ilvl w:val="0"/>
                <w:numId w:val="0"/>
              </w:numPr>
              <w:suppressLineNumbers w:val="0"/>
              <w:spacing w:before="0" w:beforeLines="0" w:beforeAutospacing="0" w:after="0" w:afterLines="0" w:afterAutospacing="0"/>
              <w:ind w:left="0" w:right="0" w:rightChars="0" w:firstLine="480" w:firstLineChars="200"/>
              <w:jc w:val="left"/>
              <w:textAlignment w:val="baseline"/>
              <w:rPr>
                <w:rFonts w:hint="eastAsia" w:ascii="Calibri" w:hAnsi="Calibri" w:eastAsia="宋体" w:cs="Calibri"/>
                <w:sz w:val="24"/>
                <w:szCs w:val="24"/>
              </w:rPr>
            </w:pPr>
            <w:r>
              <w:rPr>
                <w:rFonts w:hint="eastAsia" w:ascii="Calibri" w:hAnsi="Calibri" w:eastAsia="宋体" w:cs="Calibri"/>
                <w:sz w:val="24"/>
                <w:szCs w:val="24"/>
                <w:lang w:val="en-US" w:eastAsia="zh-CN"/>
              </w:rPr>
              <w:t>1.</w:t>
            </w:r>
            <w:r>
              <w:rPr>
                <w:rFonts w:hint="eastAsia" w:ascii="Calibri" w:hAnsi="Calibri" w:eastAsia="宋体" w:cs="Calibri"/>
                <w:sz w:val="24"/>
                <w:szCs w:val="24"/>
              </w:rPr>
              <w:t>投标人</w:t>
            </w:r>
            <w:r>
              <w:rPr>
                <w:rFonts w:hint="eastAsia" w:ascii="Calibri" w:hAnsi="Calibri" w:eastAsia="宋体" w:cs="Calibri"/>
                <w:sz w:val="24"/>
                <w:szCs w:val="24"/>
                <w:lang w:eastAsia="zh-CN"/>
              </w:rPr>
              <w:t>须</w:t>
            </w:r>
            <w:r>
              <w:rPr>
                <w:rFonts w:hint="eastAsia" w:ascii="Calibri" w:hAnsi="Calibri" w:eastAsia="宋体" w:cs="Calibri"/>
                <w:sz w:val="24"/>
                <w:szCs w:val="24"/>
              </w:rPr>
              <w:t>提供完整的近三年(2019-2021年度)经会计事务所审计的财务审计报告及附表（包括资产负债表、利润表、现金流量表等，财务报表附注可不提供）。如年度审计报告未经会计事务所审计或不符合上述情况的，</w:t>
            </w:r>
            <w:r>
              <w:rPr>
                <w:rFonts w:hint="eastAsia" w:ascii="Calibri" w:hAnsi="Calibri" w:eastAsia="宋体" w:cs="Calibri"/>
                <w:sz w:val="24"/>
                <w:szCs w:val="24"/>
                <w:lang w:eastAsia="zh-CN"/>
              </w:rPr>
              <w:t>不得分</w:t>
            </w:r>
            <w:r>
              <w:rPr>
                <w:rFonts w:hint="eastAsia" w:ascii="Calibri" w:hAnsi="Calibri" w:eastAsia="宋体" w:cs="Calibri"/>
                <w:sz w:val="24"/>
                <w:szCs w:val="24"/>
              </w:rPr>
              <w:t>；</w:t>
            </w:r>
          </w:p>
          <w:p>
            <w:pPr>
              <w:keepNext w:val="0"/>
              <w:keepLines w:val="0"/>
              <w:widowControl/>
              <w:numPr>
                <w:ilvl w:val="0"/>
                <w:numId w:val="0"/>
              </w:numPr>
              <w:suppressLineNumbers w:val="0"/>
              <w:spacing w:before="0" w:beforeLines="0" w:beforeAutospacing="0" w:after="0" w:afterLines="0" w:afterAutospacing="0"/>
              <w:ind w:left="0" w:leftChars="0" w:right="0" w:rightChars="0" w:firstLine="480" w:firstLineChars="200"/>
              <w:jc w:val="left"/>
              <w:textAlignment w:val="baseline"/>
              <w:rPr>
                <w:rFonts w:hint="eastAsia" w:ascii="宋体" w:hAnsi="宋体" w:eastAsia="宋体" w:cs="宋体"/>
                <w:color w:val="auto"/>
                <w:sz w:val="24"/>
                <w:szCs w:val="24"/>
                <w:highlight w:val="none"/>
              </w:rPr>
            </w:pPr>
            <w:r>
              <w:rPr>
                <w:rFonts w:hint="eastAsia" w:ascii="Calibri" w:hAnsi="Calibri" w:eastAsia="宋体" w:cs="Calibri"/>
                <w:sz w:val="24"/>
                <w:szCs w:val="24"/>
                <w:lang w:val="en-US" w:eastAsia="zh-CN"/>
              </w:rPr>
              <w:t>2.</w:t>
            </w:r>
            <w:r>
              <w:rPr>
                <w:rFonts w:hint="eastAsia" w:ascii="Calibri" w:hAnsi="Calibri" w:eastAsia="宋体" w:cs="Calibri"/>
                <w:sz w:val="24"/>
                <w:szCs w:val="24"/>
              </w:rPr>
              <w:t>此项得分最高为15分。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9"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2.2.5(3)</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投标报价评审</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投标人的投标报价等于评标基准价的，得100分，投标报价比评标基准价每高1%的，扣0.2分；每低1%扣0.1分，扣至0分为止。</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98"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2.2.5(4)</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诚信得分评审</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投标人诚信评价得分按广州市水务工程企业库及诚信评价系统（http://120.236.111.11:8001/#/website）中的“企业诚信得分&gt;&gt;施工—水利”的“诚信评价总分”计算；</w:t>
            </w:r>
            <w:r>
              <w:rPr>
                <w:rFonts w:hint="eastAsia" w:ascii="宋体" w:hAnsi="宋体" w:eastAsia="宋体" w:cs="宋体"/>
                <w:color w:val="auto"/>
                <w:sz w:val="24"/>
                <w:szCs w:val="24"/>
                <w:highlight w:val="none"/>
                <w:lang w:eastAsia="zh-CN"/>
              </w:rPr>
              <w:t>未在“诚信管理系统”录入企业信息的投标人（简称“未入库企业”），其诚信评价总分取基准分80分。“评价周期”应为招标公告发布第1天所在季度的上一季度。</w:t>
            </w:r>
          </w:p>
        </w:tc>
      </w:tr>
    </w:tbl>
    <w:p>
      <w:pPr>
        <w:spacing w:line="360" w:lineRule="auto"/>
        <w:jc w:val="center"/>
        <w:outlineLvl w:val="2"/>
        <w:rPr>
          <w:rFonts w:hint="eastAsia" w:ascii="宋体" w:hAnsi="宋体" w:eastAsia="宋体" w:cs="宋体"/>
          <w:color w:val="auto"/>
          <w:sz w:val="24"/>
          <w:szCs w:val="24"/>
          <w:highlight w:val="none"/>
        </w:rPr>
      </w:pPr>
    </w:p>
    <w:p>
      <w:pPr>
        <w:pStyle w:val="4"/>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2" w:name="_Toc32568"/>
      <w:r>
        <w:rPr>
          <w:rFonts w:hint="eastAsia" w:ascii="宋体" w:hAnsi="宋体" w:eastAsia="宋体" w:cs="宋体"/>
          <w:b/>
          <w:bCs/>
          <w:color w:val="auto"/>
          <w:sz w:val="24"/>
          <w:szCs w:val="24"/>
          <w:highlight w:val="none"/>
          <w:lang w:eastAsia="zh-CN"/>
        </w:rPr>
        <w:t>评标</w:t>
      </w:r>
      <w:r>
        <w:rPr>
          <w:rFonts w:hint="eastAsia" w:ascii="宋体" w:hAnsi="宋体" w:eastAsia="宋体" w:cs="宋体"/>
          <w:color w:val="auto"/>
          <w:sz w:val="24"/>
          <w:szCs w:val="24"/>
          <w:highlight w:val="none"/>
          <w:lang w:eastAsia="zh-CN"/>
        </w:rPr>
        <w:t>方法</w:t>
      </w:r>
      <w:bookmarkEnd w:id="132"/>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总得分相同的，商务评审得分高的投标人排序为先；若商务评审得分也相同，诚信得分高的投标人排序为先；若技术评审得分、诚信得分、商务评审得分均相同，则由评委通过记名投标表决（不得弃权），以“少数服从多数”的原则确定排序。</w:t>
      </w:r>
    </w:p>
    <w:p>
      <w:pPr>
        <w:pStyle w:val="4"/>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3" w:name="_Toc22730"/>
      <w:r>
        <w:rPr>
          <w:rFonts w:hint="eastAsia" w:ascii="宋体" w:hAnsi="宋体" w:eastAsia="宋体" w:cs="宋体"/>
          <w:color w:val="auto"/>
          <w:sz w:val="24"/>
          <w:szCs w:val="24"/>
          <w:highlight w:val="none"/>
          <w:lang w:eastAsia="zh-CN"/>
        </w:rPr>
        <w:t>评审标准</w:t>
      </w:r>
      <w:bookmarkEnd w:id="133"/>
    </w:p>
    <w:p>
      <w:pPr>
        <w:numPr>
          <w:ilvl w:val="1"/>
          <w:numId w:val="19"/>
        </w:numPr>
        <w:spacing w:line="360" w:lineRule="auto"/>
        <w:ind w:left="1322"/>
        <w:jc w:val="left"/>
        <w:outlineLvl w:val="2"/>
        <w:rPr>
          <w:rFonts w:hint="eastAsia" w:ascii="宋体" w:hAnsi="宋体" w:eastAsia="宋体" w:cs="宋体"/>
          <w:b/>
          <w:color w:val="auto"/>
          <w:sz w:val="24"/>
          <w:szCs w:val="24"/>
          <w:highlight w:val="none"/>
        </w:rPr>
      </w:pPr>
      <w:bookmarkStart w:id="134" w:name="_Toc22"/>
      <w:r>
        <w:rPr>
          <w:rFonts w:hint="eastAsia" w:ascii="宋体" w:hAnsi="宋体" w:eastAsia="宋体" w:cs="宋体"/>
          <w:b/>
          <w:color w:val="auto"/>
          <w:sz w:val="24"/>
          <w:szCs w:val="24"/>
          <w:highlight w:val="none"/>
          <w:lang w:bidi="ar"/>
        </w:rPr>
        <w:t>初步评审标准</w:t>
      </w:r>
      <w:bookmarkEnd w:id="13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2.1.1资格评审标准：见评标办法前附表。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2.1.2形式评审标准：见评标办法前附表。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2.1.3 响应性评审标准：见评标办法前附表。</w:t>
      </w:r>
    </w:p>
    <w:p>
      <w:pPr>
        <w:numPr>
          <w:ilvl w:val="1"/>
          <w:numId w:val="19"/>
        </w:numPr>
        <w:spacing w:line="360" w:lineRule="auto"/>
        <w:ind w:left="1322"/>
        <w:outlineLvl w:val="2"/>
        <w:rPr>
          <w:rFonts w:hint="eastAsia" w:ascii="宋体" w:hAnsi="宋体" w:eastAsia="宋体" w:cs="宋体"/>
          <w:b/>
          <w:color w:val="auto"/>
          <w:sz w:val="24"/>
          <w:szCs w:val="24"/>
          <w:highlight w:val="none"/>
        </w:rPr>
      </w:pPr>
      <w:bookmarkStart w:id="135" w:name="_Toc7516"/>
      <w:r>
        <w:rPr>
          <w:rFonts w:hint="eastAsia" w:ascii="宋体" w:hAnsi="宋体" w:eastAsia="宋体" w:cs="宋体"/>
          <w:b/>
          <w:color w:val="auto"/>
          <w:sz w:val="24"/>
          <w:szCs w:val="24"/>
          <w:highlight w:val="none"/>
          <w:lang w:bidi="ar"/>
        </w:rPr>
        <w:t>分值构成与评分标准</w:t>
      </w:r>
      <w:bookmarkEnd w:id="13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2.2.1 分值构成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（1）技术部分：见评标办法前附表；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（2）商务部分：见评标办法前附表；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（3）投标报价：见评标办法前附表；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（4）诚信得分：见评标办法前附表；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2.2.2有效投标报价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2.2.2有效投标报价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通过初步评审且不高于最高投标限价的投标报价为有效投标报价。投标报价不得低于成本价，否则投标报价为无效投标报价。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见第二章投标人须知前附表第3.2.4。对低于该警示价的投标报价，在评标过程中，评标委员会发现投标人的报价明显低于其他投标报价或者低于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2.2.3 评标基准价计算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评标基准价可按以下方式确定：</w:t>
      </w:r>
      <w:r>
        <w:rPr>
          <w:rFonts w:hint="eastAsia" w:ascii="宋体" w:hAnsi="宋体" w:eastAsia="宋体" w:cs="宋体"/>
          <w:b/>
          <w:color w:val="auto"/>
          <w:sz w:val="24"/>
          <w:szCs w:val="24"/>
          <w:highlight w:val="none"/>
          <w:lang w:bidi="ar"/>
        </w:rPr>
        <w:t>（注：招标人自行选择，两选一）</w:t>
      </w:r>
    </w:p>
    <w:p>
      <w:pPr>
        <w:spacing w:line="360" w:lineRule="auto"/>
        <w:ind w:firstLine="482" w:firstLineChars="200"/>
        <w:rPr>
          <w:rFonts w:hint="eastAsia" w:ascii="宋体" w:hAnsi="宋体" w:eastAsia="宋体" w:cs="宋体"/>
          <w:strike/>
          <w:color w:val="auto"/>
          <w:sz w:val="24"/>
          <w:szCs w:val="24"/>
          <w:highlight w:val="none"/>
        </w:rPr>
      </w:pPr>
      <w:r>
        <w:rPr>
          <w:rFonts w:hint="eastAsia" w:ascii="宋体" w:hAnsi="宋体" w:eastAsia="宋体" w:cs="宋体"/>
          <w:b/>
          <w:strike/>
          <w:color w:val="auto"/>
          <w:sz w:val="24"/>
          <w:szCs w:val="24"/>
          <w:highlight w:val="none"/>
        </w:rPr>
        <w:t>可选方式一</w:t>
      </w:r>
      <w:r>
        <w:rPr>
          <w:rFonts w:hint="eastAsia" w:ascii="宋体" w:hAnsi="宋体" w:eastAsia="宋体" w:cs="宋体"/>
          <w:strike/>
          <w:color w:val="auto"/>
          <w:sz w:val="24"/>
          <w:szCs w:val="24"/>
          <w:highlight w:val="none"/>
        </w:rPr>
        <w:t>：以全部或随机抽取的有效投标报价的算术平均值按随机抽取的评标基准价下浮率（2～5%，0.5一个级别）下浮作为评标基准价。具体确定方法如下：</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a、当有效投标报价的投标人少于或等于5个时，取全部有效投标报价的算术平均按随机抽取的评标基准价下浮率（2～5%，0.5一个级别）下浮作为评标基准价。</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480" w:firstLineChars="200"/>
        <w:rPr>
          <w:rFonts w:hint="eastAsia" w:ascii="宋体" w:hAnsi="宋体" w:eastAsia="宋体" w:cs="宋体"/>
          <w:b/>
          <w:strike/>
          <w:color w:val="auto"/>
          <w:sz w:val="24"/>
          <w:szCs w:val="24"/>
          <w:highlight w:val="none"/>
          <w:lang w:bidi="ar"/>
        </w:rPr>
      </w:pPr>
      <w:r>
        <w:rPr>
          <w:rFonts w:hint="eastAsia" w:ascii="宋体" w:hAnsi="宋体" w:eastAsia="宋体" w:cs="宋体"/>
          <w:strike/>
          <w:color w:val="auto"/>
          <w:sz w:val="24"/>
          <w:szCs w:val="24"/>
          <w:highlight w:val="none"/>
        </w:rPr>
        <w:t>在首次评标过程中，投标人未被发现存在串通投标、弄虚作假、行贿等情形的，无论是否重评，经确定的评标基准价不变。</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可选方式二</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rPr>
        <w:t>通过初步评审的投标人位于[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～招标控制价]区间的投标报价算术平均值按随机抽取的评标基准价下浮率（2～5%，0.5一个级别）下浮作为评标基准价。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在首次评标过程中，投标人未被发现存在串通投标、弄虚作假、行贿等情形的，无论是否重评，经确定的评标基准价不变。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2.2.4投标报价偏差率计算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投标报价的偏差率计算公式：见评标办法前附表；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2.2.5评标标准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（1）技术部分评分标准：见评标办法前附表；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（2）商务部分评分标准：见评标办法前附表；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（3）投标报价评分标准：见评标办法前附表；</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（4）诚信得分评分标准：见评标办法前附表。</w:t>
      </w:r>
    </w:p>
    <w:p>
      <w:pPr>
        <w:pStyle w:val="4"/>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6" w:name="_Toc15994"/>
      <w:r>
        <w:rPr>
          <w:rFonts w:hint="eastAsia" w:ascii="宋体" w:hAnsi="宋体" w:eastAsia="宋体" w:cs="宋体"/>
          <w:color w:val="auto"/>
          <w:sz w:val="24"/>
          <w:szCs w:val="24"/>
          <w:highlight w:val="none"/>
          <w:lang w:eastAsia="zh-CN"/>
        </w:rPr>
        <w:t>评标程序</w:t>
      </w:r>
      <w:bookmarkEnd w:id="136"/>
    </w:p>
    <w:p>
      <w:pPr>
        <w:numPr>
          <w:ilvl w:val="1"/>
          <w:numId w:val="20"/>
        </w:numPr>
        <w:spacing w:line="360" w:lineRule="auto"/>
        <w:outlineLvl w:val="2"/>
        <w:rPr>
          <w:rFonts w:hint="eastAsia" w:ascii="宋体" w:hAnsi="宋体" w:eastAsia="宋体" w:cs="宋体"/>
          <w:b/>
          <w:color w:val="auto"/>
          <w:sz w:val="24"/>
          <w:szCs w:val="24"/>
          <w:highlight w:val="none"/>
        </w:rPr>
      </w:pPr>
      <w:bookmarkStart w:id="137" w:name="_Toc6394"/>
      <w:r>
        <w:rPr>
          <w:rFonts w:hint="eastAsia" w:ascii="宋体" w:hAnsi="宋体" w:eastAsia="宋体" w:cs="宋体"/>
          <w:b/>
          <w:color w:val="auto"/>
          <w:sz w:val="24"/>
          <w:szCs w:val="24"/>
          <w:highlight w:val="none"/>
          <w:lang w:bidi="ar"/>
        </w:rPr>
        <w:t>初步评审</w:t>
      </w:r>
      <w:bookmarkEnd w:id="13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3.1.1 评标委员会依据本章第2.1节规定的标准对投标文件进行初步评审。有一项不符合评审标准的，评标委员会应当否决其投标。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3.1.2 投标人有以下情形之一的，评标委员会应当否决其投标：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（1）第二章“投标人须知”第1.4.3项规定的任何一种情形的；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（2）串通投标或弄虚作假或有其他违法行为的；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（3）不按评标委员会要求澄清、说明或补正的。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3.1.3投标报价有算术错误的，评标</w:t>
      </w:r>
      <w:bookmarkStart w:id="138" w:name="_Toc179632622"/>
      <w:bookmarkStart w:id="139" w:name="_Toc152045604"/>
      <w:bookmarkStart w:id="140" w:name="_Toc152042381"/>
      <w:bookmarkStart w:id="141" w:name="_Toc144974571"/>
      <w:r>
        <w:rPr>
          <w:rFonts w:hint="eastAsia" w:ascii="宋体" w:hAnsi="宋体" w:eastAsia="宋体" w:cs="宋体"/>
          <w:color w:val="auto"/>
          <w:sz w:val="24"/>
          <w:szCs w:val="24"/>
          <w:highlight w:val="none"/>
          <w:lang w:bidi="ar"/>
        </w:rPr>
        <w:t>委员会按以下原</w:t>
      </w:r>
      <w:bookmarkEnd w:id="138"/>
      <w:bookmarkEnd w:id="139"/>
      <w:bookmarkEnd w:id="140"/>
      <w:bookmarkEnd w:id="141"/>
      <w:r>
        <w:rPr>
          <w:rFonts w:hint="eastAsia" w:ascii="宋体" w:hAnsi="宋体" w:eastAsia="宋体" w:cs="宋体"/>
          <w:color w:val="auto"/>
          <w:sz w:val="24"/>
          <w:szCs w:val="24"/>
          <w:highlight w:val="none"/>
          <w:lang w:bidi="ar"/>
        </w:rPr>
        <w:t>则</w:t>
      </w:r>
      <w:bookmarkStart w:id="142" w:name="_Toc152042382"/>
      <w:bookmarkStart w:id="143" w:name="_Toc179632623"/>
      <w:bookmarkStart w:id="144" w:name="_Toc144974572"/>
      <w:bookmarkStart w:id="145" w:name="_Toc152045605"/>
      <w:r>
        <w:rPr>
          <w:rFonts w:hint="eastAsia" w:ascii="宋体" w:hAnsi="宋体" w:eastAsia="宋体" w:cs="宋体"/>
          <w:color w:val="auto"/>
          <w:sz w:val="24"/>
          <w:szCs w:val="24"/>
          <w:highlight w:val="none"/>
          <w:lang w:bidi="ar"/>
        </w:rPr>
        <w:t>对投标报价进行修</w:t>
      </w:r>
      <w:bookmarkEnd w:id="142"/>
      <w:bookmarkEnd w:id="143"/>
      <w:bookmarkEnd w:id="144"/>
      <w:bookmarkEnd w:id="145"/>
      <w:r>
        <w:rPr>
          <w:rFonts w:hint="eastAsia" w:ascii="宋体" w:hAnsi="宋体" w:eastAsia="宋体" w:cs="宋体"/>
          <w:color w:val="auto"/>
          <w:sz w:val="24"/>
          <w:szCs w:val="24"/>
          <w:highlight w:val="none"/>
          <w:lang w:bidi="ar"/>
        </w:rPr>
        <w:t>正，修正的价格经投标人书面确认后具有约束力。投标人不接受修正价格的，其投标作否决投标处理。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（1）投标文件中的大写金额与小写金额不一致的，以大写金额为准。</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（2）投标报价与</w:t>
      </w:r>
      <w:r>
        <w:rPr>
          <w:rFonts w:hint="eastAsia" w:ascii="宋体" w:hAnsi="宋体" w:cs="宋体"/>
          <w:color w:val="auto"/>
          <w:sz w:val="24"/>
          <w:szCs w:val="24"/>
          <w:highlight w:val="none"/>
          <w:u w:val="single"/>
          <w:lang w:eastAsia="zh-CN" w:bidi="ar"/>
        </w:rPr>
        <w:t>投标报价下浮率</w:t>
      </w:r>
      <w:r>
        <w:rPr>
          <w:rFonts w:hint="eastAsia" w:ascii="宋体" w:hAnsi="宋体" w:eastAsia="宋体" w:cs="宋体"/>
          <w:color w:val="auto"/>
          <w:sz w:val="24"/>
          <w:szCs w:val="24"/>
          <w:highlight w:val="none"/>
          <w:u w:val="single"/>
          <w:lang w:bidi="ar"/>
        </w:rPr>
        <w:t>计算出的结果不一致的，以（1-</w:t>
      </w:r>
      <w:r>
        <w:rPr>
          <w:rFonts w:hint="eastAsia" w:ascii="宋体" w:hAnsi="宋体" w:cs="宋体"/>
          <w:color w:val="auto"/>
          <w:sz w:val="24"/>
          <w:szCs w:val="24"/>
          <w:highlight w:val="none"/>
          <w:u w:val="single"/>
          <w:lang w:eastAsia="zh-CN" w:bidi="ar"/>
        </w:rPr>
        <w:t>投标报价下浮率</w:t>
      </w:r>
      <w:r>
        <w:rPr>
          <w:rFonts w:hint="eastAsia" w:ascii="宋体" w:hAnsi="宋体" w:eastAsia="宋体" w:cs="宋体"/>
          <w:color w:val="auto"/>
          <w:sz w:val="24"/>
          <w:szCs w:val="24"/>
          <w:highlight w:val="none"/>
          <w:u w:val="single"/>
          <w:lang w:bidi="ar"/>
        </w:rPr>
        <w:t>）</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最高投标限价的计算结果为准修正总价，但</w:t>
      </w:r>
      <w:r>
        <w:rPr>
          <w:rFonts w:hint="eastAsia" w:ascii="宋体" w:hAnsi="宋体" w:cs="宋体"/>
          <w:color w:val="auto"/>
          <w:sz w:val="24"/>
          <w:szCs w:val="24"/>
          <w:highlight w:val="none"/>
          <w:u w:val="single"/>
          <w:lang w:eastAsia="zh-CN" w:bidi="ar"/>
        </w:rPr>
        <w:t>投标报价下浮率</w:t>
      </w:r>
      <w:r>
        <w:rPr>
          <w:rFonts w:hint="eastAsia" w:ascii="宋体" w:hAnsi="宋体" w:eastAsia="宋体" w:cs="宋体"/>
          <w:color w:val="auto"/>
          <w:sz w:val="24"/>
          <w:szCs w:val="24"/>
          <w:highlight w:val="none"/>
          <w:u w:val="single"/>
          <w:lang w:bidi="ar"/>
        </w:rPr>
        <w:t>单位有明显错误的除外。</w:t>
      </w:r>
    </w:p>
    <w:p>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u w:val="single"/>
          <w:lang w:bidi="ar"/>
        </w:rPr>
        <w:t>（3）在《投标函附录》中，投标报价下浮率公式的计算结果与投标人填报的投标报价下浮率与不一致的，以该公式的计算结果进行修正。</w:t>
      </w:r>
    </w:p>
    <w:p>
      <w:pPr>
        <w:numPr>
          <w:ilvl w:val="1"/>
          <w:numId w:val="20"/>
        </w:numPr>
        <w:spacing w:line="360" w:lineRule="auto"/>
        <w:outlineLvl w:val="2"/>
        <w:rPr>
          <w:rFonts w:hint="eastAsia" w:ascii="宋体" w:hAnsi="宋体" w:eastAsia="宋体" w:cs="宋体"/>
          <w:b/>
          <w:color w:val="auto"/>
          <w:sz w:val="24"/>
          <w:szCs w:val="24"/>
          <w:highlight w:val="none"/>
        </w:rPr>
      </w:pPr>
      <w:bookmarkStart w:id="146" w:name="_Toc5601"/>
      <w:r>
        <w:rPr>
          <w:rFonts w:hint="eastAsia" w:ascii="宋体" w:hAnsi="宋体" w:eastAsia="宋体" w:cs="宋体"/>
          <w:b/>
          <w:color w:val="auto"/>
          <w:sz w:val="24"/>
          <w:szCs w:val="24"/>
          <w:highlight w:val="none"/>
          <w:lang w:bidi="ar"/>
        </w:rPr>
        <w:t>详细评审</w:t>
      </w:r>
      <w:bookmarkEnd w:id="14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3.2.1通过初步评审的投标人全部进入详细评审。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3.2.2评标委员会按本章第2.2款规定的量化因素和分值进行打分，并计算出综合评估得分。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（1）按本章第2.2.1（1）目规定的评审因素和分值对技术部分计算出得分，去掉一个最高分值，去掉一个最低分，得到技术部分评审得分A；</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（2）按本章第2.2.1（2）目规定的评审因素和分值对商务部分计算出得分，去掉一个最高分值，去掉一个最低分，得到商务部分评审得分B；</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（3）按本章第2.2.1（3）目规定的评审因素和分值对投标报价计算出得分C；</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（4）按本章第2.2.1（4）目规定的评审因素和分值对诚信评价计算出得分D；</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 评分分值计算保留小数点后两位，小数点后第三位“四舍五入”</w:t>
      </w:r>
      <w:bookmarkStart w:id="147" w:name="_Toc179632624"/>
      <w:bookmarkStart w:id="148" w:name="_Toc152045606"/>
      <w:bookmarkStart w:id="149" w:name="_Toc144974573"/>
      <w:bookmarkStart w:id="150" w:name="_Toc152042384"/>
      <w:r>
        <w:rPr>
          <w:rFonts w:hint="eastAsia" w:ascii="宋体" w:hAnsi="宋体" w:eastAsia="宋体" w:cs="宋体"/>
          <w:color w:val="auto"/>
          <w:sz w:val="24"/>
          <w:szCs w:val="24"/>
          <w:highlight w:val="none"/>
          <w:lang w:bidi="ar"/>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3.2.3</w:t>
      </w:r>
      <w:bookmarkEnd w:id="147"/>
      <w:bookmarkEnd w:id="148"/>
      <w:bookmarkEnd w:id="149"/>
      <w:bookmarkEnd w:id="150"/>
      <w:r>
        <w:rPr>
          <w:rFonts w:hint="eastAsia" w:ascii="宋体" w:hAnsi="宋体" w:eastAsia="宋体" w:cs="宋体"/>
          <w:color w:val="auto"/>
          <w:sz w:val="24"/>
          <w:szCs w:val="24"/>
          <w:highlight w:val="none"/>
          <w:lang w:bidi="ar"/>
        </w:rPr>
        <w:t>投标人的得分=技术部分得分（A）×得分权重+商务部分得分（B）×得分权重+投标报价得分(C)×得分权重+诚信评价分（D）×得分权重。（注：由招标人根据相关规定自行设置权重）</w:t>
      </w:r>
    </w:p>
    <w:p>
      <w:pPr>
        <w:numPr>
          <w:ilvl w:val="1"/>
          <w:numId w:val="20"/>
        </w:numPr>
        <w:spacing w:line="360" w:lineRule="auto"/>
        <w:outlineLvl w:val="2"/>
        <w:rPr>
          <w:rFonts w:hint="eastAsia" w:ascii="宋体" w:hAnsi="宋体" w:eastAsia="宋体" w:cs="宋体"/>
          <w:b/>
          <w:color w:val="auto"/>
          <w:sz w:val="24"/>
          <w:szCs w:val="24"/>
          <w:highlight w:val="none"/>
        </w:rPr>
      </w:pPr>
      <w:bookmarkStart w:id="151" w:name="_Toc26665"/>
      <w:r>
        <w:rPr>
          <w:rFonts w:hint="eastAsia" w:ascii="宋体" w:hAnsi="宋体" w:eastAsia="宋体" w:cs="宋体"/>
          <w:b/>
          <w:color w:val="auto"/>
          <w:sz w:val="24"/>
          <w:szCs w:val="24"/>
          <w:highlight w:val="none"/>
          <w:lang w:bidi="ar"/>
        </w:rPr>
        <w:t>投标文件的澄清和补正</w:t>
      </w:r>
      <w:bookmarkEnd w:id="151"/>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3.3.1为有助于投标文件的审查、评价和比较，在评标过程中，经评标委员会中两人以上（含两人）以书面形式提出动议，评标委员会应当书面发出澄清通知，要求投标人对投标文件含义不明确的内容作出澄清或说明，或者对细微偏差进行补正。评标委员会不接受投标人主动提出的澄清、说明或补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评标委员会对投标人提交的澄清、说明或补正有疑问的，可以要求投标人进一步澄清、说明或补正，直至满足评标委员会的要求。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3.3.3 评标委员会均应当阅读投标人的澄清，但应独立参考澄清对投标文件进行评审。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numPr>
          <w:ilvl w:val="1"/>
          <w:numId w:val="20"/>
        </w:numPr>
        <w:spacing w:line="360" w:lineRule="auto"/>
        <w:outlineLvl w:val="2"/>
        <w:rPr>
          <w:rFonts w:hint="eastAsia" w:ascii="宋体" w:hAnsi="宋体" w:eastAsia="宋体" w:cs="宋体"/>
          <w:b/>
          <w:color w:val="auto"/>
          <w:sz w:val="24"/>
          <w:szCs w:val="24"/>
          <w:highlight w:val="none"/>
        </w:rPr>
      </w:pPr>
      <w:bookmarkStart w:id="152" w:name="_Toc3014"/>
      <w:r>
        <w:rPr>
          <w:rFonts w:hint="eastAsia" w:ascii="宋体" w:hAnsi="宋体" w:eastAsia="宋体" w:cs="宋体"/>
          <w:b/>
          <w:color w:val="auto"/>
          <w:sz w:val="24"/>
          <w:szCs w:val="24"/>
          <w:highlight w:val="none"/>
          <w:lang w:bidi="ar"/>
        </w:rPr>
        <w:t>评标过程应急预案</w:t>
      </w:r>
      <w:bookmarkEnd w:id="152"/>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3.4.1在评标过程中，当全流程电子化招投标系统发生评审故障时，若当天可解除评审故障，则继续采用电子化系统评标；若当天无法解除评审故障，则评标委员会依据电子投标文件对未完成的评标活动采用手动评审，提交包含已完成电子评审成果在内的纸质评标报告。评审故障情况评估以广州公共资源交易平台的认定为准。当交易平台的系统维护人员在评标室告知评标委员会当天无法解除评审故障后，评标委员会即可对未完成的评标活动启动手动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3.4.2在电子评标过程中，无论遇到任何系统异常或故障，评标委员会均应出具评标报告。</w:t>
      </w:r>
    </w:p>
    <w:p>
      <w:pPr>
        <w:numPr>
          <w:ilvl w:val="1"/>
          <w:numId w:val="20"/>
        </w:numPr>
        <w:spacing w:line="360" w:lineRule="auto"/>
        <w:outlineLvl w:val="2"/>
        <w:rPr>
          <w:rFonts w:hint="eastAsia" w:ascii="宋体" w:hAnsi="宋体" w:eastAsia="宋体" w:cs="宋体"/>
          <w:b/>
          <w:color w:val="auto"/>
          <w:sz w:val="24"/>
          <w:szCs w:val="24"/>
          <w:highlight w:val="none"/>
        </w:rPr>
      </w:pPr>
      <w:bookmarkStart w:id="153" w:name="_Toc12611"/>
      <w:r>
        <w:rPr>
          <w:rFonts w:hint="eastAsia" w:ascii="宋体" w:hAnsi="宋体" w:eastAsia="宋体" w:cs="宋体"/>
          <w:b/>
          <w:color w:val="auto"/>
          <w:sz w:val="24"/>
          <w:szCs w:val="24"/>
          <w:highlight w:val="none"/>
          <w:lang w:bidi="ar"/>
        </w:rPr>
        <w:t>评标结</w:t>
      </w:r>
      <w:bookmarkStart w:id="154" w:name="_Toc152045607"/>
      <w:bookmarkStart w:id="155" w:name="_Toc179632625"/>
      <w:bookmarkStart w:id="156" w:name="_Toc144974575"/>
      <w:bookmarkStart w:id="157" w:name="_Toc152042385"/>
      <w:r>
        <w:rPr>
          <w:rFonts w:hint="eastAsia" w:ascii="宋体" w:hAnsi="宋体" w:eastAsia="宋体" w:cs="宋体"/>
          <w:b/>
          <w:color w:val="auto"/>
          <w:sz w:val="24"/>
          <w:szCs w:val="24"/>
          <w:highlight w:val="none"/>
          <w:lang w:bidi="ar"/>
        </w:rPr>
        <w:t>果</w:t>
      </w:r>
      <w:bookmarkEnd w:id="153"/>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lang w:bidi="ar"/>
        </w:rPr>
        <w:t>3.5.1</w:t>
      </w:r>
      <w:r>
        <w:rPr>
          <w:rFonts w:hint="eastAsia" w:ascii="宋体" w:hAnsi="宋体" w:eastAsia="宋体" w:cs="宋体"/>
          <w:color w:val="auto"/>
          <w:sz w:val="24"/>
          <w:szCs w:val="24"/>
          <w:highlight w:val="none"/>
          <w:u w:val="single"/>
          <w:lang w:bidi="ar"/>
        </w:rPr>
        <w:t>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按</w:t>
      </w:r>
      <w:r>
        <w:rPr>
          <w:rFonts w:hint="eastAsia" w:ascii="宋体" w:hAnsi="宋体" w:eastAsia="宋体" w:cs="宋体"/>
          <w:color w:val="auto"/>
          <w:sz w:val="24"/>
          <w:szCs w:val="24"/>
          <w:highlight w:val="none"/>
          <w:u w:val="single"/>
          <w:lang w:val="en-US" w:eastAsia="zh-CN" w:bidi="ar"/>
        </w:rPr>
        <w:t>评标办法</w:t>
      </w:r>
      <w:r>
        <w:rPr>
          <w:rFonts w:hint="eastAsia" w:ascii="宋体" w:hAnsi="宋体" w:eastAsia="宋体" w:cs="宋体"/>
          <w:color w:val="auto"/>
          <w:sz w:val="24"/>
          <w:szCs w:val="24"/>
          <w:highlight w:val="none"/>
          <w:u w:val="single"/>
          <w:lang w:bidi="ar"/>
        </w:rPr>
        <w:t>的规定确定中标候选人排序。</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注：①投标人可以参加一个或一个以上标段的投标（投标人可以只报一套项目班子），</w:t>
      </w:r>
      <w:r>
        <w:rPr>
          <w:rFonts w:hint="eastAsia" w:ascii="宋体" w:hAnsi="宋体" w:cs="宋体"/>
          <w:color w:val="auto"/>
          <w:sz w:val="24"/>
          <w:szCs w:val="24"/>
          <w:highlight w:val="none"/>
          <w:u w:val="single"/>
          <w:lang w:eastAsia="zh-CN" w:bidi="ar"/>
        </w:rPr>
        <w:t>四</w:t>
      </w:r>
      <w:r>
        <w:rPr>
          <w:rFonts w:hint="eastAsia" w:ascii="宋体" w:hAnsi="宋体" w:eastAsia="宋体" w:cs="宋体"/>
          <w:color w:val="auto"/>
          <w:sz w:val="24"/>
          <w:szCs w:val="24"/>
          <w:highlight w:val="none"/>
          <w:u w:val="single"/>
          <w:lang w:bidi="ar"/>
        </w:rPr>
        <w:t>个标段不可以兼中，最多只能中一个标段。</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②评标时第1标段、第2标段、第3标段</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标段同时进行，但按照第1标段、第2标段、第3标段</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标段的先后顺序，依次推荐各有效标段（指有效投标单位不少于3家的标段，下同）的中标候选人。</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3</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标段的任何评审环节；已成为第1标段或第2标段的第一中标候选人，不参加第3</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已成为第1标段或第2标段</w:t>
      </w:r>
      <w:r>
        <w:rPr>
          <w:rFonts w:hint="eastAsia" w:ascii="宋体" w:hAnsi="宋体" w:cs="宋体"/>
          <w:color w:val="auto"/>
          <w:sz w:val="24"/>
          <w:szCs w:val="24"/>
          <w:highlight w:val="none"/>
          <w:u w:val="single"/>
          <w:lang w:eastAsia="zh-CN" w:bidi="ar"/>
        </w:rPr>
        <w:t>或</w:t>
      </w:r>
      <w:r>
        <w:rPr>
          <w:rFonts w:hint="eastAsia" w:ascii="宋体" w:hAnsi="宋体" w:eastAsia="宋体" w:cs="宋体"/>
          <w:color w:val="auto"/>
          <w:sz w:val="24"/>
          <w:szCs w:val="24"/>
          <w:highlight w:val="none"/>
          <w:u w:val="single"/>
          <w:lang w:bidi="ar"/>
        </w:rPr>
        <w:t>第3标段的第一中标候选人，不参加第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bidi="ar"/>
        </w:rPr>
        <w:t>⑤若某标段在确定中标候选人后，因其他原因导致该标段重新招标或中标通知书尚未发出，将不影响其他标段中标人的确定。</w:t>
      </w:r>
      <w:bookmarkEnd w:id="154"/>
      <w:bookmarkEnd w:id="155"/>
      <w:bookmarkEnd w:id="156"/>
      <w:bookmarkEnd w:id="157"/>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3.5.2 评标委员会完成评标后，应当向招标人提交书面评标报告。</w:t>
      </w:r>
    </w:p>
    <w:p>
      <w:pPr>
        <w:spacing w:line="360" w:lineRule="auto"/>
        <w:jc w:val="left"/>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outlineLvl w:val="2"/>
        <w:rPr>
          <w:rFonts w:hint="eastAsia" w:ascii="宋体" w:hAnsi="宋体" w:eastAsia="宋体" w:cs="宋体"/>
          <w:color w:val="auto"/>
          <w:sz w:val="24"/>
          <w:szCs w:val="24"/>
          <w:highlight w:val="none"/>
        </w:rPr>
      </w:pPr>
      <w:bookmarkStart w:id="158" w:name="_Toc12480"/>
      <w:r>
        <w:rPr>
          <w:rFonts w:hint="eastAsia" w:ascii="宋体" w:hAnsi="宋体" w:eastAsia="宋体" w:cs="宋体"/>
          <w:color w:val="auto"/>
          <w:sz w:val="24"/>
          <w:szCs w:val="24"/>
          <w:highlight w:val="none"/>
        </w:rPr>
        <w:t>附表1：</w:t>
      </w:r>
      <w:r>
        <w:rPr>
          <w:rFonts w:hint="eastAsia" w:ascii="宋体" w:hAnsi="宋体" w:eastAsia="宋体" w:cs="宋体"/>
          <w:b/>
          <w:color w:val="auto"/>
          <w:sz w:val="24"/>
          <w:szCs w:val="24"/>
          <w:highlight w:val="none"/>
        </w:rPr>
        <w:t>资格评审意见记录表（格式）</w:t>
      </w:r>
      <w:bookmarkEnd w:id="158"/>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944"/>
        <w:gridCol w:w="1985"/>
        <w:gridCol w:w="1984"/>
        <w:gridCol w:w="1843"/>
        <w:gridCol w:w="1843"/>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资格审查1</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资格审查2</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资格审查3</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200" w:lineRule="exact"/>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投标人及资格评审结果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资格审查3</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sectPr>
          <w:pgSz w:w="16838" w:h="11906" w:orient="landscape"/>
          <w:pgMar w:top="1800" w:right="1440" w:bottom="1800" w:left="1440" w:header="851" w:footer="992" w:gutter="0"/>
          <w:pgNumType w:fmt="decimal"/>
          <w:cols w:space="720" w:num="1"/>
          <w:docGrid w:type="lines" w:linePitch="312" w:charSpace="0"/>
        </w:sectPr>
      </w:pPr>
    </w:p>
    <w:p>
      <w:pPr>
        <w:spacing w:line="360" w:lineRule="auto"/>
        <w:jc w:val="left"/>
        <w:outlineLvl w:val="2"/>
        <w:rPr>
          <w:rFonts w:hint="eastAsia" w:ascii="宋体" w:hAnsi="宋体" w:eastAsia="宋体" w:cs="宋体"/>
          <w:b/>
          <w:color w:val="auto"/>
          <w:sz w:val="24"/>
          <w:szCs w:val="24"/>
          <w:highlight w:val="none"/>
        </w:rPr>
      </w:pPr>
      <w:bookmarkStart w:id="159" w:name="_Toc16281"/>
      <w:r>
        <w:rPr>
          <w:rFonts w:hint="eastAsia" w:ascii="宋体" w:hAnsi="宋体" w:eastAsia="宋体" w:cs="宋体"/>
          <w:color w:val="auto"/>
          <w:sz w:val="24"/>
          <w:szCs w:val="24"/>
          <w:highlight w:val="none"/>
        </w:rPr>
        <w:t>附表2：形式评审记录表（格式）</w:t>
      </w:r>
      <w:bookmarkEnd w:id="159"/>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形式评审个人表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944"/>
        <w:gridCol w:w="1985"/>
        <w:gridCol w:w="1984"/>
        <w:gridCol w:w="1843"/>
        <w:gridCol w:w="1843"/>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形式评审1</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形式评审2</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200" w:lineRule="exact"/>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形式评审结果汇总表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投标人及形式评审结果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0" w:name="_Toc5009"/>
      <w:r>
        <w:rPr>
          <w:rFonts w:hint="eastAsia" w:ascii="宋体" w:hAnsi="宋体" w:eastAsia="宋体" w:cs="宋体"/>
          <w:color w:val="auto"/>
          <w:sz w:val="24"/>
          <w:szCs w:val="24"/>
          <w:highlight w:val="none"/>
        </w:rPr>
        <w:t>附表3：响应性评审记录表（格式）</w:t>
      </w:r>
      <w:bookmarkEnd w:id="160"/>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响应性评审个人表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响应性评审结果汇总表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投标人及响应性评审结果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附表4：技术部分评审得分记录表（格式）</w:t>
      </w:r>
    </w:p>
    <w:p>
      <w:pP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技术部分评审结果汇总表</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（适用于综合评分法一）</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470"/>
        <w:gridCol w:w="1275"/>
        <w:gridCol w:w="1257"/>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40"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评委评分</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评委一</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评委二</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评委三</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color w:val="auto"/>
          <w:sz w:val="24"/>
          <w:szCs w:val="24"/>
          <w:highlight w:val="none"/>
        </w:rPr>
        <w:t>附表5：商务部分评审得分记录表（格式）</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投标人及商务部分评审结果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商务部分评审2</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1" w:name="_Toc23762"/>
      <w:r>
        <w:rPr>
          <w:rFonts w:hint="eastAsia" w:ascii="宋体" w:hAnsi="宋体" w:eastAsia="宋体" w:cs="宋体"/>
          <w:color w:val="auto"/>
          <w:sz w:val="24"/>
          <w:szCs w:val="24"/>
          <w:highlight w:val="none"/>
        </w:rPr>
        <w:t>附表6：投标报价评审得分记录表（格式）</w:t>
      </w:r>
      <w:bookmarkEnd w:id="161"/>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评标委员会投标报价评审得分记录表一</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（用于计算评标基准价）</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（注：适用于取全部投标报价计算算术平均值的）</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                               最高投标限价：元</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                               评标基准价下浮率X：</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开标序号</w:t>
            </w:r>
          </w:p>
        </w:tc>
        <w:tc>
          <w:tcPr>
            <w:tcW w:w="54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投标价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540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8" w:type="dxa"/>
            <w:gridSpan w:val="2"/>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计算通过初步评审的全部投标人投标报价的算术平均值</w:t>
            </w: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048" w:type="dxa"/>
            <w:gridSpan w:val="2"/>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计算评标基准价（元）：投标报价的算术平均值×（1-评标基准价下浮率）</w:t>
            </w:r>
          </w:p>
        </w:tc>
        <w:tc>
          <w:tcPr>
            <w:tcW w:w="2340"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本表用于确定评标基准价。适用于全部投标报价计算算术平均值的情形。</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2.评标基准价下浮率：取自《抽取评标基准价的下浮率记录表》中的“随机抽取的评标基准价的下浮率”</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3.未能通过初步评审的投标人，其投标报价不得在本表中列出。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本表中开标序号为投标人在《开标记录表》中的“序号”，即开标序号= “序号”。</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5.投标人在本表中的排列：按照《开标记录表》中的“序号”从小到大排列。</w:t>
      </w:r>
    </w:p>
    <w:p>
      <w:pPr>
        <w:ind w:firstLine="480" w:firstLineChars="200"/>
        <w:rPr>
          <w:rFonts w:hint="eastAsia" w:ascii="宋体" w:hAnsi="宋体" w:eastAsia="宋体" w:cs="宋体"/>
          <w:color w:val="auto"/>
          <w:sz w:val="24"/>
          <w:szCs w:val="24"/>
          <w:highlight w:val="none"/>
        </w:rPr>
      </w:pPr>
    </w:p>
    <w:p>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color w:val="auto"/>
          <w:kern w:val="0"/>
          <w:sz w:val="24"/>
          <w:szCs w:val="24"/>
          <w:highlight w:val="none"/>
        </w:rPr>
        <w:sectPr>
          <w:pgSz w:w="11906" w:h="16838"/>
          <w:pgMar w:top="1440" w:right="1797" w:bottom="1440" w:left="1797"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评标委员会投标报价评审得分记录表二</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（计算投标报价得分）</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（注：适用于除经评审的最低投标价法以外的评标法）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800"/>
        <w:gridCol w:w="2340"/>
        <w:gridCol w:w="131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开标序号</w:t>
            </w:r>
          </w:p>
        </w:tc>
        <w:tc>
          <w:tcPr>
            <w:tcW w:w="10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p>
        </w:tc>
        <w:tc>
          <w:tcPr>
            <w:tcW w:w="18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评标基准价（元）</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（取自《评标委员会投标报价评审得分记录表一》）</w:t>
            </w:r>
          </w:p>
        </w:tc>
        <w:tc>
          <w:tcPr>
            <w:tcW w:w="13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投标报价偏差率（%）</w:t>
            </w:r>
          </w:p>
        </w:tc>
        <w:tc>
          <w:tcPr>
            <w:tcW w:w="117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本表用于确定投标报价得分。</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2.未能通过初步评审的投标人不得在本表中列出。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本表中开标序号为投标人在《开标记录表》中的“序号”，即开标序号=“序号”。</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4.投标人在本表中的排列：按照《开标记录表》中的“序号”从小到大排列。</w:t>
      </w:r>
    </w:p>
    <w:p>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jc w:val="center"/>
        <w:rPr>
          <w:rFonts w:hint="eastAsia" w:ascii="宋体" w:hAnsi="宋体" w:eastAsia="宋体" w:cs="宋体"/>
          <w:b/>
          <w:color w:val="auto"/>
          <w:sz w:val="24"/>
          <w:szCs w:val="24"/>
          <w:highlight w:val="none"/>
        </w:rPr>
        <w:sectPr>
          <w:pgSz w:w="11906" w:h="16838"/>
          <w:pgMar w:top="1440" w:right="1797" w:bottom="1440" w:left="1797"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2" w:name="_Toc7553"/>
      <w:r>
        <w:rPr>
          <w:rFonts w:hint="eastAsia" w:ascii="宋体" w:hAnsi="宋体" w:eastAsia="宋体" w:cs="宋体"/>
          <w:color w:val="auto"/>
          <w:sz w:val="24"/>
          <w:szCs w:val="24"/>
          <w:highlight w:val="none"/>
        </w:rPr>
        <w:t>附表7：诚信评价评审得分记录表（格式）</w:t>
      </w:r>
      <w:bookmarkEnd w:id="162"/>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诚信评价分表</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开标序号</w:t>
            </w:r>
          </w:p>
        </w:tc>
        <w:tc>
          <w:tcPr>
            <w:tcW w:w="37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诚信类别</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restart"/>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施工-水利</w:t>
            </w: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 本表用于确定诚信得分。</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2.未能通过初步评审的投标人不得在本表中列出。</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本表中开标序号为投标人在《开标记录表》中的“序号”，即开标序号=号球号码=“序号”。</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4.投标人在本表中的排列：按照《开标记录表》中的“序号”从小到大排列。</w:t>
      </w:r>
    </w:p>
    <w:p>
      <w:pP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spacing w:line="360" w:lineRule="auto"/>
        <w:jc w:val="left"/>
        <w:outlineLvl w:val="2"/>
        <w:rPr>
          <w:rFonts w:hint="eastAsia" w:ascii="宋体" w:hAnsi="宋体" w:eastAsia="宋体" w:cs="宋体"/>
          <w:color w:val="auto"/>
          <w:sz w:val="24"/>
          <w:szCs w:val="24"/>
          <w:highlight w:val="none"/>
        </w:rPr>
      </w:pPr>
      <w:bookmarkStart w:id="163" w:name="_Toc593"/>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附表8：综合评估得分及排序表（格式）</w:t>
      </w:r>
      <w:bookmarkEnd w:id="163"/>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综合评估得分及排序表</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（注：适用于综合评标法）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项目名称：</w:t>
      </w:r>
    </w:p>
    <w:tbl>
      <w:tblPr>
        <w:tblStyle w:val="4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260"/>
        <w:gridCol w:w="1260"/>
        <w:gridCol w:w="1260"/>
        <w:gridCol w:w="126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技术部分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商务部分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诚信评价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总</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注：1.本表用于确定综合评估得分及排序，适用于综合评标法。</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2.未能通过初步评审的投标人不得在本表中列出。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 投标人在本表中的排列次序：按照“总得分”高低次序排列。</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 本表中的得分排序：按照本表“总得分”由高到低的原则编号，即本表总得分最高的“得分排序”为 “1”。</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评标委员会全体评委签名：                              </w:t>
      </w:r>
      <w:r>
        <w:rPr>
          <w:rFonts w:hint="eastAsia" w:ascii="宋体" w:hAnsi="宋体" w:eastAsia="宋体" w:cs="宋体"/>
          <w:color w:val="auto"/>
          <w:kern w:val="0"/>
          <w:sz w:val="24"/>
          <w:szCs w:val="24"/>
          <w:highlight w:val="none"/>
          <w:lang w:bidi="ar"/>
        </w:rPr>
        <w:t>日期：   年   月  日</w:t>
      </w:r>
    </w:p>
    <w:p>
      <w:pPr>
        <w:jc w:val="center"/>
        <w:rPr>
          <w:rFonts w:hint="eastAsia" w:ascii="宋体" w:hAnsi="宋体" w:eastAsia="宋体" w:cs="宋体"/>
          <w:b/>
          <w:color w:val="auto"/>
          <w:sz w:val="24"/>
          <w:szCs w:val="24"/>
          <w:highlight w:val="none"/>
        </w:rPr>
      </w:pPr>
    </w:p>
    <w:p>
      <w:pPr>
        <w:pStyle w:val="3"/>
        <w:spacing w:line="600" w:lineRule="exact"/>
        <w:jc w:val="center"/>
        <w:rPr>
          <w:rFonts w:hint="eastAsia" w:ascii="宋体" w:hAnsi="宋体" w:eastAsia="宋体" w:cs="宋体"/>
          <w:color w:val="auto"/>
          <w:sz w:val="24"/>
          <w:szCs w:val="24"/>
          <w:highlight w:val="none"/>
        </w:rPr>
      </w:pPr>
      <w:bookmarkStart w:id="164" w:name="_Toc27158"/>
      <w:bookmarkStart w:id="165" w:name="_Toc10939"/>
      <w:r>
        <w:rPr>
          <w:rFonts w:hint="eastAsia" w:ascii="宋体" w:hAnsi="宋体" w:eastAsia="宋体" w:cs="宋体"/>
          <w:color w:val="auto"/>
          <w:sz w:val="24"/>
          <w:szCs w:val="24"/>
          <w:highlight w:val="none"/>
        </w:rPr>
        <w:t>第四章合同条款</w:t>
      </w:r>
      <w:bookmarkEnd w:id="164"/>
      <w:bookmarkEnd w:id="165"/>
    </w:p>
    <w:p>
      <w:pPr>
        <w:pStyle w:val="3"/>
        <w:spacing w:line="600" w:lineRule="exact"/>
        <w:jc w:val="both"/>
        <w:rPr>
          <w:rFonts w:ascii="黑体" w:hAnsi="黑体" w:eastAsia="黑体" w:cs="黑体"/>
          <w:b/>
          <w:sz w:val="84"/>
          <w:szCs w:val="84"/>
          <w:highlight w:val="none"/>
        </w:rPr>
      </w:pPr>
      <w:bookmarkStart w:id="166" w:name="_Toc12951"/>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以实际签订的合同为准</w:t>
      </w:r>
      <w:r>
        <w:rPr>
          <w:rFonts w:hint="eastAsia" w:ascii="宋体" w:hAnsi="宋体" w:eastAsia="宋体" w:cs="宋体"/>
          <w:b/>
          <w:color w:val="auto"/>
          <w:sz w:val="24"/>
          <w:szCs w:val="24"/>
          <w:highlight w:val="none"/>
          <w:lang w:eastAsia="zh-CN"/>
        </w:rPr>
        <w:t>）</w:t>
      </w:r>
      <w:bookmarkEnd w:id="166"/>
    </w:p>
    <w:p>
      <w:pPr>
        <w:jc w:val="center"/>
        <w:rPr>
          <w:rFonts w:ascii="黑体" w:hAnsi="黑体" w:eastAsia="黑体" w:cs="黑体"/>
          <w:b/>
          <w:sz w:val="84"/>
          <w:szCs w:val="84"/>
        </w:rPr>
      </w:pPr>
    </w:p>
    <w:p>
      <w:pPr>
        <w:jc w:val="center"/>
        <w:rPr>
          <w:rFonts w:ascii="黑体" w:hAnsi="黑体" w:eastAsia="黑体" w:cs="黑体"/>
          <w:b/>
          <w:sz w:val="84"/>
          <w:szCs w:val="84"/>
        </w:rPr>
      </w:pPr>
    </w:p>
    <w:p>
      <w:pPr>
        <w:jc w:val="center"/>
        <w:rPr>
          <w:rFonts w:ascii="黑体" w:hAnsi="黑体" w:eastAsia="黑体" w:cs="黑体"/>
          <w:bCs/>
          <w:sz w:val="52"/>
          <w:szCs w:val="52"/>
        </w:rPr>
      </w:pPr>
      <w:r>
        <w:rPr>
          <w:rFonts w:hint="eastAsia" w:ascii="黑体" w:hAnsi="黑体" w:eastAsia="黑体" w:cs="黑体"/>
          <w:b/>
          <w:sz w:val="72"/>
          <w:szCs w:val="72"/>
        </w:rPr>
        <w:t>建设工程施工合同</w:t>
      </w:r>
    </w:p>
    <w:p>
      <w:pPr>
        <w:spacing w:line="440" w:lineRule="exact"/>
        <w:ind w:left="-197" w:leftChars="-94"/>
        <w:jc w:val="center"/>
        <w:rPr>
          <w:rFonts w:ascii="宋体" w:hAnsi="宋体"/>
        </w:rPr>
      </w:pPr>
    </w:p>
    <w:p>
      <w:pPr>
        <w:spacing w:line="440" w:lineRule="exact"/>
        <w:ind w:left="-197" w:leftChars="-94"/>
        <w:jc w:val="center"/>
        <w:rPr>
          <w:rFonts w:ascii="宋体" w:hAnsi="宋体"/>
        </w:rPr>
      </w:pPr>
    </w:p>
    <w:p>
      <w:pPr>
        <w:spacing w:line="440" w:lineRule="exact"/>
        <w:jc w:val="center"/>
        <w:rPr>
          <w:rFonts w:ascii="宋体" w:hAnsi="宋体"/>
        </w:rPr>
      </w:pPr>
    </w:p>
    <w:p>
      <w:pPr>
        <w:spacing w:line="440" w:lineRule="exact"/>
        <w:rPr>
          <w:rFonts w:ascii="仿宋_GB2312" w:hAnsi="仿宋" w:eastAsia="仿宋_GB2312"/>
          <w:sz w:val="28"/>
          <w:szCs w:val="28"/>
        </w:rPr>
      </w:pPr>
    </w:p>
    <w:p>
      <w:pPr>
        <w:spacing w:line="440" w:lineRule="exact"/>
        <w:jc w:val="center"/>
        <w:rPr>
          <w:rFonts w:ascii="仿宋_GB2312" w:hAnsi="仿宋" w:eastAsia="仿宋_GB2312"/>
          <w:sz w:val="28"/>
          <w:szCs w:val="28"/>
        </w:rPr>
      </w:pPr>
    </w:p>
    <w:p>
      <w:pPr>
        <w:spacing w:line="440" w:lineRule="exact"/>
        <w:rPr>
          <w:rFonts w:ascii="仿宋_GB2312" w:hAnsi="仿宋" w:eastAsia="仿宋_GB2312"/>
          <w:sz w:val="28"/>
          <w:szCs w:val="28"/>
        </w:rPr>
      </w:pPr>
    </w:p>
    <w:p>
      <w:pPr>
        <w:spacing w:line="440" w:lineRule="exact"/>
        <w:ind w:firstLine="562" w:firstLineChars="200"/>
        <w:rPr>
          <w:rFonts w:ascii="宋体" w:hAnsi="宋体" w:cs="宋体"/>
          <w:b/>
          <w:bCs/>
          <w:sz w:val="28"/>
          <w:szCs w:val="28"/>
          <w:u w:val="single"/>
        </w:rPr>
      </w:pPr>
      <w:r>
        <w:rPr>
          <w:rFonts w:hint="eastAsia" w:ascii="宋体" w:hAnsi="宋体" w:cs="宋体"/>
          <w:b/>
          <w:bCs/>
          <w:sz w:val="28"/>
          <w:szCs w:val="28"/>
        </w:rPr>
        <w:t>项目名称：</w:t>
      </w:r>
      <w:r>
        <w:rPr>
          <w:rFonts w:hint="eastAsia" w:ascii="宋体" w:hAnsi="宋体" w:cs="宋体"/>
          <w:b/>
          <w:bCs/>
          <w:sz w:val="28"/>
          <w:szCs w:val="28"/>
          <w:u w:val="single"/>
        </w:rPr>
        <w:t>黄埔区</w:t>
      </w:r>
      <w:r>
        <w:rPr>
          <w:rFonts w:hint="eastAsia" w:ascii="宋体" w:hAnsi="宋体" w:cs="宋体"/>
          <w:b/>
          <w:bCs/>
          <w:sz w:val="28"/>
          <w:szCs w:val="28"/>
          <w:u w:val="single"/>
          <w:lang w:val="en-US" w:eastAsia="zh-CN"/>
        </w:rPr>
        <w:t>2023</w:t>
      </w:r>
      <w:r>
        <w:rPr>
          <w:rFonts w:hint="eastAsia" w:ascii="宋体" w:hAnsi="宋体" w:cs="宋体"/>
          <w:b/>
          <w:bCs/>
          <w:sz w:val="28"/>
          <w:szCs w:val="28"/>
          <w:u w:val="single"/>
        </w:rPr>
        <w:t>年</w:t>
      </w:r>
      <w:r>
        <w:rPr>
          <w:rFonts w:hint="eastAsia" w:ascii="宋体" w:hAnsi="宋体" w:cs="宋体"/>
          <w:b/>
          <w:bCs/>
          <w:sz w:val="28"/>
          <w:szCs w:val="28"/>
          <w:u w:val="single"/>
          <w:lang w:eastAsia="zh-CN"/>
        </w:rPr>
        <w:t>至</w:t>
      </w:r>
      <w:r>
        <w:rPr>
          <w:rFonts w:hint="eastAsia" w:ascii="宋体" w:hAnsi="宋体" w:cs="宋体"/>
          <w:b/>
          <w:bCs/>
          <w:sz w:val="28"/>
          <w:szCs w:val="28"/>
          <w:u w:val="single"/>
          <w:lang w:val="en-US" w:eastAsia="zh-CN"/>
        </w:rPr>
        <w:t>2024年</w:t>
      </w:r>
      <w:r>
        <w:rPr>
          <w:rFonts w:hint="eastAsia" w:ascii="宋体" w:hAnsi="宋体" w:cs="宋体"/>
          <w:b/>
          <w:bCs/>
          <w:sz w:val="28"/>
          <w:szCs w:val="28"/>
          <w:u w:val="single"/>
        </w:rPr>
        <w:t>水利设施维修改造工程施工</w:t>
      </w:r>
      <w:r>
        <w:rPr>
          <w:rFonts w:hint="eastAsia" w:ascii="仿宋" w:hAnsi="仿宋" w:eastAsia="仿宋" w:cs="仿宋"/>
          <w:b/>
          <w:bCs/>
          <w:sz w:val="28"/>
          <w:szCs w:val="28"/>
          <w:u w:val="single"/>
        </w:rPr>
        <w:t>Ⅲ</w:t>
      </w:r>
      <w:r>
        <w:rPr>
          <w:rFonts w:hint="eastAsia" w:ascii="宋体" w:hAnsi="宋体" w:cs="宋体"/>
          <w:b/>
          <w:bCs/>
          <w:sz w:val="28"/>
          <w:szCs w:val="28"/>
          <w:u w:val="single"/>
        </w:rPr>
        <w:t>标</w:t>
      </w:r>
    </w:p>
    <w:p>
      <w:pPr>
        <w:tabs>
          <w:tab w:val="left" w:pos="870"/>
        </w:tabs>
        <w:spacing w:line="440" w:lineRule="exact"/>
        <w:ind w:firstLine="902" w:firstLineChars="321"/>
        <w:rPr>
          <w:rFonts w:ascii="宋体" w:hAnsi="宋体" w:cs="宋体"/>
          <w:b/>
          <w:bCs/>
          <w:sz w:val="28"/>
          <w:szCs w:val="28"/>
        </w:rPr>
      </w:pPr>
    </w:p>
    <w:p>
      <w:pPr>
        <w:tabs>
          <w:tab w:val="left" w:pos="870"/>
        </w:tabs>
        <w:spacing w:line="440" w:lineRule="exact"/>
        <w:ind w:firstLine="562" w:firstLineChars="200"/>
        <w:rPr>
          <w:rFonts w:ascii="宋体" w:hAnsi="宋体" w:cs="宋体"/>
          <w:b/>
          <w:bCs/>
          <w:sz w:val="28"/>
          <w:szCs w:val="28"/>
          <w:u w:val="single"/>
        </w:rPr>
      </w:pPr>
      <w:r>
        <w:rPr>
          <w:rFonts w:hint="eastAsia" w:ascii="宋体" w:hAnsi="宋体" w:cs="宋体"/>
          <w:b/>
          <w:bCs/>
          <w:sz w:val="28"/>
          <w:szCs w:val="28"/>
        </w:rPr>
        <w:t>合同编号：</w:t>
      </w:r>
      <w:r>
        <w:rPr>
          <w:rFonts w:hint="eastAsia" w:ascii="宋体" w:hAnsi="宋体" w:cs="宋体"/>
          <w:b/>
          <w:bCs/>
          <w:sz w:val="28"/>
          <w:szCs w:val="28"/>
          <w:u w:val="single"/>
        </w:rPr>
        <w:t>HP-SLSSWXGZ</w:t>
      </w:r>
      <w:r>
        <w:rPr>
          <w:rFonts w:hint="eastAsia" w:ascii="宋体" w:hAnsi="宋体" w:cs="宋体"/>
          <w:b/>
          <w:bCs/>
          <w:sz w:val="28"/>
          <w:szCs w:val="28"/>
          <w:u w:val="single"/>
          <w:lang w:val="en-US" w:eastAsia="zh-CN"/>
        </w:rPr>
        <w:t>GC</w:t>
      </w:r>
      <w:r>
        <w:rPr>
          <w:rFonts w:hint="eastAsia" w:ascii="仿宋" w:hAnsi="仿宋" w:eastAsia="仿宋" w:cs="仿宋"/>
          <w:b/>
          <w:bCs/>
          <w:sz w:val="28"/>
          <w:szCs w:val="28"/>
          <w:u w:val="single"/>
        </w:rPr>
        <w:t>Ⅲ</w:t>
      </w:r>
      <w:r>
        <w:rPr>
          <w:rFonts w:hint="eastAsia" w:ascii="宋体" w:hAnsi="宋体" w:cs="宋体"/>
          <w:b/>
          <w:bCs/>
          <w:sz w:val="28"/>
          <w:szCs w:val="28"/>
          <w:u w:val="single"/>
        </w:rPr>
        <w:t>-SG-202</w:t>
      </w:r>
      <w:r>
        <w:rPr>
          <w:rFonts w:hint="eastAsia" w:ascii="宋体" w:hAnsi="宋体" w:cs="宋体"/>
          <w:b/>
          <w:bCs/>
          <w:sz w:val="28"/>
          <w:szCs w:val="28"/>
          <w:u w:val="single"/>
          <w:lang w:val="en-US" w:eastAsia="zh-CN"/>
        </w:rPr>
        <w:t>3-2024</w:t>
      </w:r>
      <w:r>
        <w:rPr>
          <w:rFonts w:hint="eastAsia" w:ascii="宋体" w:hAnsi="宋体" w:cs="宋体"/>
          <w:b/>
          <w:bCs/>
          <w:sz w:val="28"/>
          <w:szCs w:val="28"/>
          <w:u w:val="single"/>
        </w:rPr>
        <w:t xml:space="preserve">  </w:t>
      </w:r>
    </w:p>
    <w:p>
      <w:pPr>
        <w:spacing w:line="440" w:lineRule="exact"/>
        <w:ind w:firstLine="902" w:firstLineChars="321"/>
        <w:rPr>
          <w:rFonts w:ascii="宋体" w:hAnsi="宋体" w:cs="宋体"/>
          <w:b/>
          <w:bCs/>
          <w:sz w:val="28"/>
          <w:szCs w:val="28"/>
        </w:rPr>
      </w:pPr>
    </w:p>
    <w:p>
      <w:pPr>
        <w:spacing w:line="440" w:lineRule="exact"/>
        <w:ind w:firstLine="902" w:firstLineChars="321"/>
        <w:rPr>
          <w:rFonts w:ascii="宋体" w:hAnsi="宋体" w:cs="宋体"/>
          <w:b/>
          <w:bCs/>
          <w:sz w:val="28"/>
          <w:szCs w:val="28"/>
        </w:rPr>
      </w:pPr>
      <w:r>
        <w:rPr>
          <w:rFonts w:hint="eastAsia" w:ascii="宋体" w:hAnsi="宋体" w:cs="宋体"/>
          <w:b/>
          <w:bCs/>
          <w:sz w:val="28"/>
          <w:szCs w:val="28"/>
        </w:rPr>
        <w:t>发包人：</w:t>
      </w:r>
      <w:r>
        <w:rPr>
          <w:rFonts w:hint="eastAsia" w:ascii="宋体" w:hAnsi="宋体" w:cs="宋体"/>
          <w:b/>
          <w:bCs/>
          <w:sz w:val="28"/>
          <w:szCs w:val="28"/>
          <w:u w:val="single"/>
        </w:rPr>
        <w:t xml:space="preserve">广州市黄埔区水务设施管理所  </w:t>
      </w:r>
    </w:p>
    <w:p>
      <w:pPr>
        <w:spacing w:line="440" w:lineRule="exact"/>
        <w:ind w:firstLine="902" w:firstLineChars="321"/>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 xml:space="preserve"> </w:t>
      </w:r>
    </w:p>
    <w:p>
      <w:pPr>
        <w:spacing w:line="440" w:lineRule="exact"/>
        <w:ind w:firstLine="902" w:firstLineChars="321"/>
        <w:rPr>
          <w:rFonts w:ascii="宋体" w:hAnsi="宋体" w:cs="宋体"/>
          <w:b/>
          <w:bCs/>
          <w:sz w:val="28"/>
          <w:szCs w:val="28"/>
        </w:rPr>
      </w:pPr>
      <w:r>
        <w:rPr>
          <w:rFonts w:hint="eastAsia" w:ascii="宋体" w:hAnsi="宋体" w:cs="宋体"/>
          <w:b/>
          <w:bCs/>
          <w:sz w:val="28"/>
          <w:szCs w:val="28"/>
        </w:rPr>
        <w:t>承包人：</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spacing w:line="440" w:lineRule="exact"/>
        <w:ind w:firstLine="902" w:firstLineChars="321"/>
        <w:rPr>
          <w:rFonts w:ascii="宋体" w:hAnsi="宋体" w:cs="宋体"/>
          <w:b/>
          <w:bCs/>
          <w:sz w:val="28"/>
          <w:szCs w:val="28"/>
        </w:rPr>
      </w:pPr>
    </w:p>
    <w:p>
      <w:pPr>
        <w:spacing w:line="440" w:lineRule="exact"/>
        <w:ind w:firstLine="902" w:firstLineChars="321"/>
      </w:pPr>
      <w:r>
        <w:rPr>
          <w:rFonts w:hint="eastAsia" w:ascii="宋体" w:hAnsi="宋体" w:cs="宋体"/>
          <w:b/>
          <w:bCs/>
          <w:sz w:val="28"/>
          <w:szCs w:val="28"/>
        </w:rPr>
        <w:t>签订日期：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sz w:val="28"/>
          <w:szCs w:val="28"/>
        </w:rPr>
        <w:t>日</w:t>
      </w:r>
    </w:p>
    <w:p>
      <w:pPr>
        <w:spacing w:line="440" w:lineRule="exact"/>
        <w:ind w:firstLine="902" w:firstLineChars="321"/>
        <w:rPr>
          <w:rFonts w:ascii="宋体" w:hAnsi="宋体" w:cs="宋体"/>
          <w:b/>
          <w:bCs/>
          <w:sz w:val="28"/>
          <w:szCs w:val="28"/>
        </w:rPr>
      </w:pPr>
    </w:p>
    <w:p>
      <w:pPr>
        <w:spacing w:line="440" w:lineRule="exact"/>
        <w:ind w:firstLine="902" w:firstLineChars="321"/>
        <w:jc w:val="left"/>
        <w:rPr>
          <w:rFonts w:ascii="宋体" w:hAnsi="宋体" w:cs="宋体"/>
          <w:b/>
          <w:bCs/>
          <w:sz w:val="28"/>
          <w:szCs w:val="28"/>
          <w:u w:val="single"/>
        </w:rPr>
      </w:pPr>
      <w:r>
        <w:rPr>
          <w:rFonts w:hint="eastAsia" w:ascii="宋体" w:hAnsi="宋体" w:cs="宋体"/>
          <w:b/>
          <w:bCs/>
          <w:sz w:val="28"/>
          <w:szCs w:val="28"/>
        </w:rPr>
        <w:t>签订地点：</w:t>
      </w:r>
      <w:r>
        <w:rPr>
          <w:rFonts w:hint="eastAsia" w:ascii="宋体" w:hAnsi="宋体" w:cs="宋体"/>
          <w:b/>
          <w:bCs/>
          <w:sz w:val="28"/>
          <w:szCs w:val="28"/>
          <w:u w:val="single"/>
        </w:rPr>
        <w:t xml:space="preserve">广州市黄埔区 </w:t>
      </w:r>
    </w:p>
    <w:p>
      <w:pPr>
        <w:spacing w:line="440" w:lineRule="exact"/>
        <w:ind w:firstLine="1890" w:firstLineChars="900"/>
        <w:rPr>
          <w:rFonts w:ascii="宋体"/>
        </w:rPr>
      </w:pPr>
    </w:p>
    <w:p>
      <w:pPr>
        <w:spacing w:line="440" w:lineRule="exact"/>
        <w:ind w:left="-197" w:leftChars="-94"/>
        <w:jc w:val="center"/>
        <w:rPr>
          <w:rFonts w:ascii="宋体"/>
        </w:rPr>
        <w:sectPr>
          <w:footerReference r:id="rId6" w:type="default"/>
          <w:pgSz w:w="11906" w:h="16838"/>
          <w:pgMar w:top="1134" w:right="1191" w:bottom="1134" w:left="1247" w:header="6" w:footer="851" w:gutter="284"/>
          <w:pgNumType w:fmt="decimal"/>
          <w:cols w:space="720" w:num="1"/>
          <w:docGrid w:type="lines" w:linePitch="408" w:charSpace="0"/>
        </w:sect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eastAsia="仿宋_GB2312"/>
          <w:b/>
          <w:sz w:val="28"/>
        </w:rPr>
      </w:pPr>
      <w:r>
        <w:rPr>
          <w:rFonts w:hint="eastAsia" w:ascii="仿宋_GB2312" w:eastAsia="仿宋_GB2312"/>
          <w:b/>
          <w:sz w:val="28"/>
        </w:rPr>
        <w:t>第一部分</w:t>
      </w:r>
      <w:r>
        <w:rPr>
          <w:rFonts w:ascii="仿宋_GB2312" w:eastAsia="仿宋_GB2312"/>
          <w:b/>
          <w:sz w:val="28"/>
        </w:rPr>
        <w:t xml:space="preserve">   </w:t>
      </w:r>
      <w:r>
        <w:rPr>
          <w:rFonts w:hint="eastAsia" w:ascii="仿宋_GB2312" w:eastAsia="仿宋_GB2312"/>
          <w:b/>
          <w:sz w:val="28"/>
        </w:rPr>
        <w:t>协议书</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sz w:val="24"/>
          <w:u w:val="single"/>
        </w:rPr>
      </w:pPr>
      <w:r>
        <w:rPr>
          <w:rFonts w:hint="eastAsia" w:ascii="仿宋" w:hAnsi="仿宋" w:eastAsia="仿宋" w:cs="仿宋"/>
          <w:sz w:val="24"/>
        </w:rPr>
        <w:t xml:space="preserve">发包人： </w:t>
      </w:r>
      <w:r>
        <w:rPr>
          <w:rFonts w:hint="eastAsia" w:ascii="仿宋" w:hAnsi="仿宋" w:eastAsia="仿宋" w:cs="仿宋"/>
          <w:sz w:val="24"/>
          <w:u w:val="single"/>
        </w:rPr>
        <w:t xml:space="preserve">广州市黄埔区水务设施管理所     </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sz w:val="24"/>
          <w:u w:val="single"/>
        </w:rPr>
      </w:pPr>
      <w:r>
        <w:rPr>
          <w:rFonts w:hint="eastAsia" w:ascii="仿宋" w:hAnsi="仿宋" w:eastAsia="仿宋" w:cs="仿宋"/>
          <w:sz w:val="24"/>
        </w:rPr>
        <w:t>承包人：</w:t>
      </w:r>
      <w:r>
        <w:rPr>
          <w:rFonts w:hint="eastAsia" w:ascii="仿宋" w:hAnsi="仿宋" w:eastAsia="仿宋" w:cs="仿宋"/>
          <w:sz w:val="24"/>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仿宋" w:hAnsi="仿宋" w:eastAsia="仿宋" w:cs="仿宋"/>
          <w:sz w:val="24"/>
        </w:rPr>
      </w:pPr>
      <w:r>
        <w:rPr>
          <w:rFonts w:hint="eastAsia" w:ascii="仿宋" w:hAnsi="仿宋" w:eastAsia="仿宋" w:cs="仿宋"/>
          <w:sz w:val="24"/>
        </w:rPr>
        <w:t>依照《中华人民共和国民法典》、《中华人民共和国建筑法》及其他有关法律、行政法规，遵循平等、自愿、公平和诚实信用的原则，双方就本维修工程施工事项协商一致，订立本合同。</w:t>
      </w:r>
    </w:p>
    <w:p>
      <w:pPr>
        <w:keepNext w:val="0"/>
        <w:keepLines w:val="0"/>
        <w:pageBreakBefore w:val="0"/>
        <w:widowControl w:val="0"/>
        <w:tabs>
          <w:tab w:val="left" w:pos="1047"/>
        </w:tabs>
        <w:kinsoku/>
        <w:wordWrap/>
        <w:overflowPunct/>
        <w:topLinePunct w:val="0"/>
        <w:autoSpaceDE/>
        <w:autoSpaceDN/>
        <w:bidi w:val="0"/>
        <w:adjustRightInd/>
        <w:snapToGrid/>
        <w:spacing w:line="480" w:lineRule="exact"/>
        <w:ind w:left="0" w:firstLine="482" w:firstLineChars="200"/>
        <w:textAlignment w:val="auto"/>
        <w:rPr>
          <w:rFonts w:hint="eastAsia" w:ascii="黑体" w:hAnsi="黑体" w:eastAsia="黑体" w:cs="黑体"/>
          <w:b/>
          <w:bCs/>
          <w:sz w:val="24"/>
        </w:rPr>
      </w:pPr>
      <w:r>
        <w:rPr>
          <w:rFonts w:hint="eastAsia" w:ascii="黑体" w:hAnsi="黑体" w:eastAsia="黑体" w:cs="黑体"/>
          <w:b/>
          <w:bCs/>
          <w:sz w:val="24"/>
          <w:lang w:val="en-US" w:eastAsia="zh-CN"/>
        </w:rPr>
        <w:t>1.</w:t>
      </w:r>
      <w:r>
        <w:rPr>
          <w:rFonts w:hint="eastAsia" w:ascii="黑体" w:hAnsi="黑体" w:eastAsia="黑体" w:cs="黑体"/>
          <w:b/>
          <w:bCs/>
          <w:sz w:val="24"/>
        </w:rPr>
        <w:t>工程概况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24"/>
        </w:rPr>
      </w:pPr>
      <w:r>
        <w:rPr>
          <w:rFonts w:hint="eastAsia" w:ascii="仿宋" w:hAnsi="仿宋" w:eastAsia="仿宋" w:cs="仿宋"/>
          <w:sz w:val="24"/>
        </w:rPr>
        <w:t xml:space="preserve">    1.1工程名称：</w:t>
      </w:r>
      <w:r>
        <w:rPr>
          <w:rFonts w:hint="eastAsia" w:ascii="仿宋" w:hAnsi="仿宋" w:eastAsia="仿宋" w:cs="仿宋"/>
          <w:b/>
          <w:sz w:val="24"/>
          <w:u w:val="single"/>
        </w:rPr>
        <w:t>黄埔区</w:t>
      </w:r>
      <w:r>
        <w:rPr>
          <w:rFonts w:hint="eastAsia" w:ascii="仿宋" w:hAnsi="仿宋" w:eastAsia="仿宋" w:cs="仿宋"/>
          <w:b/>
          <w:sz w:val="24"/>
          <w:u w:val="single"/>
          <w:lang w:val="en-US" w:eastAsia="zh-CN"/>
        </w:rPr>
        <w:t>2023</w:t>
      </w:r>
      <w:r>
        <w:rPr>
          <w:rFonts w:hint="eastAsia" w:ascii="仿宋" w:hAnsi="仿宋" w:eastAsia="仿宋" w:cs="仿宋"/>
          <w:b/>
          <w:sz w:val="24"/>
          <w:u w:val="single"/>
        </w:rPr>
        <w:t>年</w:t>
      </w:r>
      <w:r>
        <w:rPr>
          <w:rFonts w:hint="eastAsia" w:ascii="仿宋" w:hAnsi="仿宋" w:eastAsia="仿宋" w:cs="仿宋"/>
          <w:b/>
          <w:sz w:val="24"/>
          <w:u w:val="single"/>
          <w:lang w:eastAsia="zh-CN"/>
        </w:rPr>
        <w:t>至</w:t>
      </w:r>
      <w:r>
        <w:rPr>
          <w:rFonts w:hint="eastAsia" w:ascii="仿宋" w:hAnsi="仿宋" w:eastAsia="仿宋" w:cs="仿宋"/>
          <w:b/>
          <w:sz w:val="24"/>
          <w:u w:val="single"/>
          <w:lang w:val="en-US" w:eastAsia="zh-CN"/>
        </w:rPr>
        <w:t>2024年</w:t>
      </w:r>
      <w:r>
        <w:rPr>
          <w:rFonts w:hint="eastAsia" w:ascii="仿宋" w:hAnsi="仿宋" w:eastAsia="仿宋" w:cs="仿宋"/>
          <w:b/>
          <w:sz w:val="24"/>
          <w:u w:val="single"/>
        </w:rPr>
        <w:t>水利设施维修改造工程施工Ⅲ标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
          <w:sz w:val="24"/>
        </w:rPr>
      </w:pPr>
      <w:r>
        <w:rPr>
          <w:rFonts w:hint="eastAsia" w:ascii="仿宋" w:hAnsi="仿宋" w:eastAsia="仿宋" w:cs="仿宋"/>
          <w:sz w:val="24"/>
        </w:rPr>
        <w:t>1.2工程地点：</w:t>
      </w:r>
      <w:r>
        <w:rPr>
          <w:rFonts w:hint="eastAsia" w:ascii="仿宋" w:hAnsi="仿宋" w:eastAsia="仿宋" w:cs="仿宋"/>
          <w:sz w:val="24"/>
          <w:u w:val="single"/>
        </w:rPr>
        <w:t>广州市黄埔区</w:t>
      </w:r>
    </w:p>
    <w:p>
      <w:pPr>
        <w:pStyle w:val="116"/>
        <w:keepNext w:val="0"/>
        <w:keepLines w:val="0"/>
        <w:pageBreakBefore w:val="0"/>
        <w:widowControl w:val="0"/>
        <w:kinsoku/>
        <w:wordWrap/>
        <w:overflowPunct/>
        <w:topLinePunct w:val="0"/>
        <w:autoSpaceDE/>
        <w:autoSpaceDN/>
        <w:bidi w:val="0"/>
        <w:snapToGrid/>
        <w:spacing w:line="480" w:lineRule="exact"/>
        <w:ind w:firstLine="480" w:firstLineChars="200"/>
        <w:rPr>
          <w:rFonts w:ascii="仿宋" w:hAnsi="仿宋" w:eastAsia="仿宋" w:cs="仿宋"/>
          <w:sz w:val="24"/>
          <w:szCs w:val="24"/>
          <w:u w:val="single"/>
          <w:lang w:bidi="ar"/>
        </w:rPr>
      </w:pPr>
      <w:r>
        <w:rPr>
          <w:rFonts w:hint="eastAsia" w:ascii="仿宋" w:hAnsi="仿宋" w:eastAsia="仿宋" w:cs="仿宋"/>
          <w:kern w:val="2"/>
          <w:sz w:val="24"/>
          <w:szCs w:val="24"/>
          <w:u w:val="none"/>
          <w:lang w:val="en-US" w:eastAsia="zh-CN" w:bidi="ar"/>
        </w:rPr>
        <w:t>1.3工程范围：包括全区所有的水闸、泵站、补水闸阀及附属设施。</w:t>
      </w:r>
      <w:r>
        <w:rPr>
          <w:rFonts w:hint="eastAsia" w:ascii="仿宋" w:hAnsi="仿宋" w:eastAsia="仿宋" w:cs="仿宋"/>
          <w:sz w:val="24"/>
          <w:szCs w:val="24"/>
          <w:u w:val="none"/>
          <w:lang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2"/>
          <w:sz w:val="24"/>
          <w:szCs w:val="24"/>
          <w:u w:val="none"/>
          <w:lang w:val="en-US" w:eastAsia="zh-CN" w:bidi="ar"/>
        </w:rPr>
      </w:pPr>
      <w:r>
        <w:rPr>
          <w:rFonts w:hint="eastAsia" w:ascii="仿宋" w:hAnsi="仿宋" w:eastAsia="仿宋" w:cs="仿宋"/>
          <w:sz w:val="24"/>
          <w:szCs w:val="24"/>
          <w:u w:val="none"/>
          <w:lang w:bidi="ar"/>
        </w:rPr>
        <w:t>1.4工程内容</w:t>
      </w:r>
      <w:r>
        <w:rPr>
          <w:rFonts w:hint="eastAsia" w:ascii="仿宋" w:hAnsi="仿宋" w:eastAsia="仿宋" w:cs="仿宋"/>
          <w:kern w:val="2"/>
          <w:sz w:val="24"/>
          <w:szCs w:val="24"/>
          <w:u w:val="none"/>
          <w:lang w:val="en-US" w:eastAsia="zh-CN" w:bidi="ar"/>
        </w:rPr>
        <w:t>：闸室（含闸板等）、翼墙、消能设施、闸站护栏、标示牌、警示牌、管理责任牌、界桩、闸门及附属设施（包括启闭系统、应急发电系统、配电系统等）、泵房、水泵及附属设施（包括电机、输水管道、配电系统等）、水位尺、管理用房及配套设施（包括避雷装置、消防器材、值班设施、配电系统等）、视频监控系统、闸站控制系统、闸站监测系统、泵站进水池清疏及闸门周边清疏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
          <w:sz w:val="24"/>
          <w:u w:val="single"/>
        </w:rPr>
      </w:pPr>
      <w:r>
        <w:rPr>
          <w:rFonts w:hint="eastAsia" w:ascii="仿宋" w:hAnsi="仿宋" w:eastAsia="仿宋" w:cs="仿宋"/>
          <w:sz w:val="24"/>
        </w:rPr>
        <w:t>1.5工程立项批准文号：</w:t>
      </w:r>
      <w:r>
        <w:rPr>
          <w:rFonts w:hint="eastAsia" w:ascii="仿宋" w:hAnsi="仿宋" w:eastAsia="仿宋" w:cs="仿宋"/>
          <w:sz w:val="24"/>
          <w:u w:val="single"/>
        </w:rPr>
        <w:t>黄埔区水务局水务设施管理所党支部委员会会议纪要（埔水设党支委会纪</w:t>
      </w:r>
      <w:r>
        <w:rPr>
          <w:rFonts w:hint="eastAsia" w:ascii="宋体" w:hAnsi="宋体" w:eastAsia="宋体" w:cs="宋体"/>
          <w:sz w:val="24"/>
          <w:u w:val="single"/>
        </w:rPr>
        <w:t>〔</w:t>
      </w:r>
      <w:r>
        <w:rPr>
          <w:rFonts w:hint="eastAsia" w:ascii="仿宋" w:hAnsi="仿宋" w:eastAsia="仿宋" w:cs="仿宋"/>
          <w:sz w:val="24"/>
          <w:u w:val="single"/>
        </w:rPr>
        <w:t>2022</w:t>
      </w:r>
      <w:r>
        <w:rPr>
          <w:rFonts w:hint="eastAsia" w:ascii="宋体" w:hAnsi="宋体" w:eastAsia="宋体" w:cs="宋体"/>
          <w:sz w:val="24"/>
          <w:u w:val="single"/>
        </w:rPr>
        <w:t>〕</w:t>
      </w:r>
      <w:r>
        <w:rPr>
          <w:rFonts w:hint="eastAsia" w:ascii="仿宋" w:hAnsi="仿宋" w:eastAsia="仿宋" w:cs="仿宋"/>
          <w:sz w:val="24"/>
          <w:u w:val="single"/>
          <w:lang w:val="en-US" w:eastAsia="zh-CN"/>
        </w:rPr>
        <w:t>20</w:t>
      </w:r>
      <w:r>
        <w:rPr>
          <w:rFonts w:hint="eastAsia" w:ascii="仿宋" w:hAnsi="仿宋" w:eastAsia="仿宋" w:cs="仿宋"/>
          <w:sz w:val="24"/>
          <w:u w:val="single"/>
        </w:rPr>
        <w:t>号）</w:t>
      </w:r>
      <w:r>
        <w:rPr>
          <w:rFonts w:hint="eastAsia" w:ascii="仿宋" w:hAnsi="仿宋" w:eastAsia="仿宋" w:cs="仿宋"/>
          <w:sz w:val="24"/>
          <w:u w:val="single"/>
          <w:lang w:eastAsia="zh-CN"/>
        </w:rPr>
        <w:t>。</w:t>
      </w:r>
      <w:r>
        <w:rPr>
          <w:rFonts w:hint="eastAsia" w:ascii="仿宋" w:hAnsi="仿宋" w:eastAsia="仿宋" w:cs="仿宋"/>
          <w:sz w:val="24"/>
        </w:rPr>
        <w:t xml:space="preserve">     </w:t>
      </w:r>
    </w:p>
    <w:p>
      <w:pPr>
        <w:keepNext w:val="0"/>
        <w:keepLines w:val="0"/>
        <w:pageBreakBefore w:val="0"/>
        <w:widowControl w:val="0"/>
        <w:kinsoku/>
        <w:wordWrap/>
        <w:overflowPunct/>
        <w:topLinePunct w:val="0"/>
        <w:autoSpaceDE/>
        <w:autoSpaceDN/>
        <w:bidi w:val="0"/>
        <w:snapToGrid/>
        <w:spacing w:line="480" w:lineRule="exact"/>
        <w:ind w:left="0" w:firstLine="480"/>
        <w:rPr>
          <w:rFonts w:hint="default" w:ascii="仿宋" w:hAnsi="仿宋" w:eastAsia="仿宋" w:cs="仿宋"/>
          <w:b/>
          <w:bCs/>
          <w:sz w:val="24"/>
          <w:lang w:val="en-US"/>
        </w:rPr>
      </w:pPr>
      <w:r>
        <w:rPr>
          <w:rFonts w:hint="eastAsia" w:ascii="仿宋" w:hAnsi="仿宋" w:eastAsia="仿宋" w:cs="仿宋"/>
          <w:sz w:val="24"/>
        </w:rPr>
        <w:t>资金来源：</w:t>
      </w:r>
      <w:r>
        <w:rPr>
          <w:rFonts w:hint="eastAsia" w:ascii="仿宋" w:hAnsi="仿宋" w:eastAsia="仿宋" w:cs="仿宋"/>
          <w:sz w:val="24"/>
          <w:u w:val="single"/>
        </w:rPr>
        <w:t>区财政资金</w:t>
      </w:r>
    </w:p>
    <w:p>
      <w:pPr>
        <w:keepNext w:val="0"/>
        <w:keepLines w:val="0"/>
        <w:pageBreakBefore w:val="0"/>
        <w:widowControl w:val="0"/>
        <w:tabs>
          <w:tab w:val="left" w:pos="1047"/>
        </w:tabs>
        <w:kinsoku/>
        <w:wordWrap/>
        <w:overflowPunct/>
        <w:topLinePunct w:val="0"/>
        <w:autoSpaceDE/>
        <w:autoSpaceDN/>
        <w:bidi w:val="0"/>
        <w:snapToGrid/>
        <w:spacing w:line="480" w:lineRule="exact"/>
        <w:ind w:left="0" w:firstLine="482" w:firstLineChars="200"/>
        <w:rPr>
          <w:rFonts w:hint="eastAsia" w:ascii="黑体" w:hAnsi="黑体" w:eastAsia="黑体" w:cs="黑体"/>
          <w:b/>
          <w:bCs/>
          <w:sz w:val="24"/>
        </w:rPr>
      </w:pPr>
      <w:r>
        <w:rPr>
          <w:rFonts w:hint="eastAsia" w:ascii="黑体" w:hAnsi="黑体" w:eastAsia="黑体" w:cs="黑体"/>
          <w:b/>
          <w:bCs/>
          <w:sz w:val="24"/>
          <w:lang w:val="en-US" w:eastAsia="zh-CN"/>
        </w:rPr>
        <w:t>2.</w:t>
      </w:r>
      <w:r>
        <w:rPr>
          <w:rFonts w:hint="eastAsia" w:ascii="黑体" w:hAnsi="黑体" w:eastAsia="黑体" w:cs="黑体"/>
          <w:b/>
          <w:bCs/>
          <w:sz w:val="24"/>
        </w:rPr>
        <w:t>工程承包范围</w:t>
      </w:r>
    </w:p>
    <w:p>
      <w:pPr>
        <w:keepNext w:val="0"/>
        <w:keepLines w:val="0"/>
        <w:pageBreakBefore w:val="0"/>
        <w:widowControl w:val="0"/>
        <w:kinsoku/>
        <w:wordWrap/>
        <w:overflowPunct/>
        <w:topLinePunct w:val="0"/>
        <w:autoSpaceDE/>
        <w:autoSpaceDN/>
        <w:bidi w:val="0"/>
        <w:snapToGrid/>
        <w:spacing w:line="480" w:lineRule="exact"/>
        <w:ind w:left="480"/>
        <w:rPr>
          <w:rFonts w:ascii="仿宋" w:hAnsi="仿宋" w:eastAsia="仿宋" w:cs="仿宋"/>
          <w:sz w:val="24"/>
          <w:u w:val="single"/>
        </w:rPr>
      </w:pPr>
      <w:r>
        <w:rPr>
          <w:rFonts w:hint="eastAsia" w:ascii="仿宋" w:hAnsi="仿宋" w:eastAsia="仿宋" w:cs="仿宋"/>
          <w:sz w:val="24"/>
        </w:rPr>
        <w:t>2.1承包范围：</w:t>
      </w:r>
      <w:r>
        <w:rPr>
          <w:rFonts w:hint="eastAsia" w:ascii="仿宋" w:hAnsi="仿宋" w:eastAsia="仿宋" w:cs="仿宋"/>
          <w:sz w:val="24"/>
          <w:u w:val="single"/>
        </w:rPr>
        <w:t>发包人下达</w:t>
      </w:r>
      <w:r>
        <w:rPr>
          <w:rFonts w:hint="eastAsia" w:ascii="仿宋" w:hAnsi="仿宋" w:eastAsia="仿宋" w:cs="仿宋"/>
          <w:sz w:val="24"/>
          <w:u w:val="single"/>
          <w:lang w:eastAsia="zh-CN"/>
        </w:rPr>
        <w:t>维修改造任务</w:t>
      </w:r>
      <w:r>
        <w:rPr>
          <w:rFonts w:hint="eastAsia" w:ascii="仿宋" w:hAnsi="仿宋" w:eastAsia="仿宋" w:cs="仿宋"/>
          <w:sz w:val="24"/>
          <w:u w:val="single"/>
        </w:rPr>
        <w:t>通知书所列内容。</w:t>
      </w:r>
    </w:p>
    <w:p>
      <w:pPr>
        <w:keepNext w:val="0"/>
        <w:keepLines w:val="0"/>
        <w:pageBreakBefore w:val="0"/>
        <w:widowControl w:val="0"/>
        <w:kinsoku/>
        <w:wordWrap/>
        <w:overflowPunct/>
        <w:topLinePunct w:val="0"/>
        <w:autoSpaceDE/>
        <w:autoSpaceDN/>
        <w:bidi w:val="0"/>
        <w:snapToGrid/>
        <w:spacing w:line="480" w:lineRule="exact"/>
        <w:ind w:left="479" w:firstLine="0" w:firstLineChars="0"/>
        <w:rPr>
          <w:rFonts w:hint="default" w:ascii="仿宋" w:hAnsi="仿宋" w:eastAsia="仿宋" w:cs="仿宋"/>
          <w:b/>
          <w:bCs/>
          <w:sz w:val="24"/>
          <w:lang w:val="en-US"/>
        </w:rPr>
      </w:pPr>
      <w:r>
        <w:rPr>
          <w:rFonts w:hint="eastAsia" w:ascii="仿宋" w:hAnsi="仿宋" w:eastAsia="仿宋" w:cs="仿宋"/>
          <w:sz w:val="24"/>
        </w:rPr>
        <w:t>2.2承包方式：</w:t>
      </w:r>
      <w:r>
        <w:rPr>
          <w:rFonts w:hint="eastAsia" w:ascii="仿宋" w:hAnsi="仿宋" w:eastAsia="仿宋" w:cs="仿宋"/>
          <w:sz w:val="24"/>
          <w:u w:val="single"/>
        </w:rPr>
        <w:t>包工、包料、包工期、包质量、包安全、包文明施工。</w:t>
      </w:r>
    </w:p>
    <w:p>
      <w:pPr>
        <w:keepNext w:val="0"/>
        <w:keepLines w:val="0"/>
        <w:pageBreakBefore w:val="0"/>
        <w:widowControl w:val="0"/>
        <w:kinsoku/>
        <w:wordWrap/>
        <w:overflowPunct/>
        <w:topLinePunct w:val="0"/>
        <w:autoSpaceDE/>
        <w:autoSpaceDN/>
        <w:bidi w:val="0"/>
        <w:snapToGrid/>
        <w:spacing w:line="480" w:lineRule="exact"/>
        <w:ind w:firstLine="482" w:firstLineChars="200"/>
        <w:rPr>
          <w:rFonts w:hint="eastAsia" w:ascii="黑体" w:hAnsi="黑体" w:eastAsia="黑体" w:cs="黑体"/>
          <w:sz w:val="24"/>
        </w:rPr>
      </w:pPr>
      <w:r>
        <w:rPr>
          <w:rFonts w:hint="eastAsia" w:ascii="黑体" w:hAnsi="黑体" w:eastAsia="黑体" w:cs="黑体"/>
          <w:b/>
          <w:bCs/>
          <w:sz w:val="24"/>
          <w:lang w:val="en-US" w:eastAsia="zh-CN"/>
        </w:rPr>
        <w:t>3.</w:t>
      </w:r>
      <w:r>
        <w:rPr>
          <w:rFonts w:hint="eastAsia" w:ascii="黑体" w:hAnsi="黑体" w:eastAsia="黑体" w:cs="黑体"/>
          <w:b/>
          <w:bCs/>
          <w:sz w:val="24"/>
        </w:rPr>
        <w:t>工程实施</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仿宋" w:hAnsi="仿宋" w:eastAsia="仿宋" w:cs="仿宋"/>
          <w:sz w:val="24"/>
          <w:highlight w:val="none"/>
        </w:rPr>
      </w:pPr>
      <w:r>
        <w:rPr>
          <w:rFonts w:hint="eastAsia" w:ascii="仿宋" w:hAnsi="仿宋" w:eastAsia="仿宋" w:cs="仿宋"/>
          <w:sz w:val="24"/>
        </w:rPr>
        <w:t>3.1发包人根据</w:t>
      </w:r>
      <w:r>
        <w:rPr>
          <w:rFonts w:hint="eastAsia" w:ascii="仿宋" w:hAnsi="仿宋" w:eastAsia="仿宋" w:cs="仿宋"/>
          <w:sz w:val="24"/>
          <w:lang w:eastAsia="zh-CN"/>
        </w:rPr>
        <w:t>维修改造任务</w:t>
      </w:r>
      <w:r>
        <w:rPr>
          <w:rFonts w:hint="eastAsia" w:ascii="仿宋" w:hAnsi="仿宋" w:eastAsia="仿宋" w:cs="仿宋"/>
          <w:sz w:val="24"/>
        </w:rPr>
        <w:t>需要，向承包人发出维修</w:t>
      </w:r>
      <w:r>
        <w:rPr>
          <w:rFonts w:hint="eastAsia" w:ascii="仿宋" w:hAnsi="仿宋" w:eastAsia="仿宋" w:cs="仿宋"/>
          <w:sz w:val="24"/>
          <w:lang w:eastAsia="zh-CN"/>
        </w:rPr>
        <w:t>改造</w:t>
      </w:r>
      <w:r>
        <w:rPr>
          <w:rFonts w:hint="eastAsia" w:ascii="仿宋" w:hAnsi="仿宋" w:eastAsia="仿宋" w:cs="仿宋"/>
          <w:sz w:val="24"/>
        </w:rPr>
        <w:t>前期任务通知书，承包人必须严格按照前期任务通知书规定的要求和时限内，完成施工方案（工艺）、方案（工艺）图、效果图</w:t>
      </w:r>
      <w:r>
        <w:rPr>
          <w:rFonts w:hint="eastAsia" w:ascii="仿宋" w:hAnsi="仿宋" w:eastAsia="仿宋" w:cs="仿宋"/>
          <w:sz w:val="24"/>
          <w:lang w:eastAsia="zh-CN"/>
        </w:rPr>
        <w:t>、</w:t>
      </w:r>
      <w:r>
        <w:rPr>
          <w:rFonts w:hint="eastAsia" w:ascii="仿宋" w:hAnsi="仿宋" w:eastAsia="仿宋" w:cs="仿宋"/>
          <w:sz w:val="24"/>
          <w:lang w:val="en-US" w:eastAsia="zh-CN"/>
        </w:rPr>
        <w:t>任务</w:t>
      </w:r>
      <w:r>
        <w:rPr>
          <w:rFonts w:hint="eastAsia" w:ascii="仿宋" w:hAnsi="仿宋" w:eastAsia="仿宋" w:cs="仿宋"/>
          <w:sz w:val="24"/>
        </w:rPr>
        <w:t>估算</w:t>
      </w:r>
      <w:r>
        <w:rPr>
          <w:rFonts w:hint="eastAsia" w:ascii="仿宋" w:hAnsi="仿宋" w:eastAsia="仿宋" w:cs="仿宋"/>
          <w:sz w:val="24"/>
          <w:highlight w:val="none"/>
        </w:rPr>
        <w:t>等</w:t>
      </w:r>
      <w:r>
        <w:rPr>
          <w:rFonts w:hint="eastAsia" w:ascii="仿宋" w:hAnsi="仿宋" w:eastAsia="仿宋" w:cs="仿宋"/>
          <w:sz w:val="24"/>
          <w:highlight w:val="none"/>
          <w:lang w:eastAsia="zh-CN"/>
        </w:rPr>
        <w:t>前期</w:t>
      </w:r>
      <w:r>
        <w:rPr>
          <w:rFonts w:hint="eastAsia" w:ascii="仿宋" w:hAnsi="仿宋" w:eastAsia="仿宋" w:cs="仿宋"/>
          <w:sz w:val="24"/>
          <w:highlight w:val="none"/>
        </w:rPr>
        <w:t>资料编制并提交监理单位审核。</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highlight w:val="none"/>
        </w:rPr>
        <w:t>3.2发包人</w:t>
      </w:r>
      <w:r>
        <w:rPr>
          <w:rFonts w:hint="eastAsia" w:ascii="仿宋" w:hAnsi="仿宋" w:eastAsia="仿宋" w:cs="仿宋"/>
          <w:sz w:val="24"/>
          <w:highlight w:val="none"/>
          <w:lang w:val="en-US" w:eastAsia="zh-CN"/>
        </w:rPr>
        <w:t>根据</w:t>
      </w:r>
      <w:r>
        <w:rPr>
          <w:rFonts w:hint="eastAsia" w:ascii="仿宋" w:hAnsi="仿宋" w:eastAsia="仿宋" w:cs="仿宋"/>
          <w:sz w:val="24"/>
          <w:highlight w:val="none"/>
        </w:rPr>
        <w:t>监理单位审核</w:t>
      </w:r>
      <w:r>
        <w:rPr>
          <w:rFonts w:hint="eastAsia" w:ascii="仿宋" w:hAnsi="仿宋" w:eastAsia="仿宋" w:cs="仿宋"/>
          <w:sz w:val="24"/>
          <w:highlight w:val="none"/>
          <w:lang w:eastAsia="zh-CN"/>
        </w:rPr>
        <w:t>后的</w:t>
      </w:r>
      <w:r>
        <w:rPr>
          <w:rFonts w:hint="eastAsia" w:ascii="仿宋" w:hAnsi="仿宋" w:eastAsia="仿宋" w:cs="仿宋"/>
          <w:sz w:val="24"/>
          <w:highlight w:val="none"/>
          <w:lang w:val="en-US" w:eastAsia="zh-CN"/>
        </w:rPr>
        <w:t>前期材</w:t>
      </w:r>
      <w:r>
        <w:rPr>
          <w:rFonts w:hint="eastAsia" w:ascii="仿宋" w:hAnsi="仿宋" w:eastAsia="仿宋" w:cs="仿宋"/>
          <w:sz w:val="24"/>
          <w:lang w:val="en-US" w:eastAsia="zh-CN"/>
        </w:rPr>
        <w:t>料</w:t>
      </w:r>
      <w:r>
        <w:rPr>
          <w:rFonts w:hint="eastAsia" w:ascii="仿宋" w:hAnsi="仿宋" w:eastAsia="仿宋" w:cs="仿宋"/>
          <w:sz w:val="24"/>
        </w:rPr>
        <w:t>编制</w:t>
      </w:r>
      <w:r>
        <w:rPr>
          <w:rFonts w:hint="eastAsia" w:ascii="仿宋" w:hAnsi="仿宋" w:eastAsia="仿宋" w:cs="仿宋"/>
          <w:sz w:val="24"/>
          <w:lang w:eastAsia="zh-CN"/>
        </w:rPr>
        <w:t>维修改造任务</w:t>
      </w:r>
      <w:r>
        <w:rPr>
          <w:rFonts w:hint="eastAsia" w:ascii="仿宋" w:hAnsi="仿宋" w:eastAsia="仿宋" w:cs="仿宋"/>
          <w:sz w:val="24"/>
        </w:rPr>
        <w:t>通知书</w:t>
      </w:r>
      <w:r>
        <w:rPr>
          <w:rFonts w:hint="eastAsia" w:ascii="仿宋" w:hAnsi="仿宋" w:eastAsia="仿宋" w:cs="仿宋"/>
          <w:sz w:val="24"/>
          <w:lang w:eastAsia="zh-CN"/>
        </w:rPr>
        <w:t>，</w:t>
      </w:r>
      <w:r>
        <w:rPr>
          <w:rFonts w:hint="eastAsia" w:ascii="仿宋" w:hAnsi="仿宋" w:eastAsia="仿宋" w:cs="仿宋"/>
          <w:sz w:val="24"/>
          <w:lang w:val="en-US" w:eastAsia="zh-CN"/>
        </w:rPr>
        <w:t>报</w:t>
      </w:r>
      <w:r>
        <w:rPr>
          <w:rFonts w:hint="eastAsia" w:ascii="仿宋" w:hAnsi="仿宋" w:eastAsia="仿宋" w:cs="仿宋"/>
          <w:sz w:val="24"/>
        </w:rPr>
        <w:t>经</w:t>
      </w:r>
      <w:r>
        <w:rPr>
          <w:rFonts w:hint="eastAsia" w:ascii="仿宋" w:hAnsi="仿宋" w:eastAsia="仿宋" w:cs="仿宋"/>
          <w:sz w:val="24"/>
          <w:lang w:val="en-US" w:eastAsia="zh-CN"/>
        </w:rPr>
        <w:t>区水务局</w:t>
      </w:r>
      <w:r>
        <w:rPr>
          <w:rFonts w:hint="eastAsia" w:ascii="仿宋" w:hAnsi="仿宋" w:eastAsia="仿宋" w:cs="仿宋"/>
          <w:sz w:val="24"/>
        </w:rPr>
        <w:t>审批同意后下达给承包人</w:t>
      </w:r>
      <w:r>
        <w:rPr>
          <w:rFonts w:hint="eastAsia" w:ascii="仿宋" w:hAnsi="仿宋" w:eastAsia="仿宋" w:cs="仿宋"/>
          <w:sz w:val="24"/>
          <w:lang w:eastAsia="zh-CN"/>
        </w:rPr>
        <w:t>。维修改造</w:t>
      </w:r>
      <w:r>
        <w:rPr>
          <w:rFonts w:hint="eastAsia" w:ascii="仿宋" w:hAnsi="仿宋" w:eastAsia="仿宋" w:cs="仿宋"/>
          <w:sz w:val="24"/>
          <w:lang w:val="en-US" w:eastAsia="zh-CN"/>
        </w:rPr>
        <w:t>任务通知书编制时间必须在合同有效期内</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3.3</w:t>
      </w:r>
      <w:r>
        <w:rPr>
          <w:rFonts w:hint="eastAsia" w:ascii="仿宋" w:hAnsi="仿宋" w:eastAsia="仿宋" w:cs="仿宋"/>
          <w:sz w:val="24"/>
        </w:rPr>
        <w:t>承包人必须按照</w:t>
      </w:r>
      <w:r>
        <w:rPr>
          <w:rFonts w:hint="eastAsia" w:ascii="仿宋" w:hAnsi="仿宋" w:eastAsia="仿宋" w:cs="仿宋"/>
          <w:sz w:val="24"/>
          <w:lang w:eastAsia="zh-CN"/>
        </w:rPr>
        <w:t>维修改造任务</w:t>
      </w:r>
      <w:r>
        <w:rPr>
          <w:rFonts w:hint="eastAsia" w:ascii="仿宋" w:hAnsi="仿宋" w:eastAsia="仿宋" w:cs="仿宋"/>
          <w:sz w:val="24"/>
        </w:rPr>
        <w:t>通知书的规定</w:t>
      </w:r>
      <w:r>
        <w:rPr>
          <w:rFonts w:hint="eastAsia" w:ascii="仿宋" w:hAnsi="仿宋" w:eastAsia="仿宋" w:cs="仿宋"/>
          <w:sz w:val="24"/>
          <w:lang w:eastAsia="zh-CN"/>
        </w:rPr>
        <w:t>，</w:t>
      </w:r>
      <w:r>
        <w:rPr>
          <w:rFonts w:hint="eastAsia" w:ascii="仿宋" w:hAnsi="仿宋" w:eastAsia="仿宋" w:cs="仿宋"/>
          <w:sz w:val="24"/>
          <w:lang w:val="en-US" w:eastAsia="zh-CN"/>
        </w:rPr>
        <w:t>开展</w:t>
      </w:r>
      <w:r>
        <w:rPr>
          <w:rFonts w:hint="eastAsia" w:ascii="仿宋" w:hAnsi="仿宋" w:eastAsia="仿宋" w:cs="仿宋"/>
          <w:sz w:val="24"/>
          <w:lang w:eastAsia="zh-CN"/>
        </w:rPr>
        <w:t>维修改造任务。</w:t>
      </w:r>
      <w:r>
        <w:rPr>
          <w:rFonts w:hint="eastAsia" w:ascii="仿宋" w:hAnsi="仿宋" w:eastAsia="仿宋" w:cs="仿宋"/>
          <w:sz w:val="24"/>
        </w:rPr>
        <w:t>承包人</w:t>
      </w:r>
      <w:r>
        <w:rPr>
          <w:rFonts w:hint="eastAsia" w:ascii="仿宋" w:hAnsi="仿宋" w:eastAsia="仿宋" w:cs="仿宋"/>
          <w:sz w:val="24"/>
          <w:lang w:eastAsia="zh-CN"/>
        </w:rPr>
        <w:t>收到维修改造任务下达通知书后</w:t>
      </w:r>
      <w:r>
        <w:rPr>
          <w:rFonts w:hint="eastAsia" w:ascii="仿宋" w:hAnsi="仿宋" w:eastAsia="仿宋" w:cs="仿宋"/>
          <w:sz w:val="24"/>
          <w:lang w:val="en-US" w:eastAsia="zh-CN"/>
        </w:rPr>
        <w:t>7天内，应根据任务实际情况，完成工程预算及相关资料编制，报监理审核，审核结果作为</w:t>
      </w:r>
      <w:r>
        <w:rPr>
          <w:rFonts w:hint="eastAsia" w:ascii="仿宋" w:hAnsi="仿宋" w:eastAsia="仿宋" w:cs="仿宋"/>
          <w:sz w:val="24"/>
        </w:rPr>
        <w:t>发包人</w:t>
      </w:r>
      <w:r>
        <w:rPr>
          <w:rFonts w:hint="eastAsia" w:ascii="仿宋" w:hAnsi="仿宋" w:eastAsia="仿宋" w:cs="仿宋"/>
          <w:sz w:val="24"/>
          <w:lang w:val="en-US" w:eastAsia="zh-CN"/>
        </w:rPr>
        <w:t>支付承包人工程进度款的依据。</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承包人</w:t>
      </w:r>
      <w:r>
        <w:rPr>
          <w:rFonts w:hint="eastAsia" w:ascii="仿宋" w:hAnsi="仿宋" w:eastAsia="仿宋" w:cs="仿宋"/>
          <w:sz w:val="24"/>
          <w:lang w:val="en-US" w:eastAsia="zh-CN"/>
        </w:rPr>
        <w:t>应</w:t>
      </w:r>
      <w:r>
        <w:rPr>
          <w:rFonts w:hint="eastAsia" w:ascii="仿宋" w:hAnsi="仿宋" w:eastAsia="仿宋" w:cs="仿宋"/>
          <w:sz w:val="24"/>
        </w:rPr>
        <w:t>向发包人</w:t>
      </w:r>
      <w:r>
        <w:rPr>
          <w:rFonts w:hint="eastAsia" w:ascii="仿宋" w:hAnsi="仿宋" w:eastAsia="仿宋" w:cs="仿宋"/>
          <w:sz w:val="24"/>
          <w:lang w:eastAsia="zh-CN"/>
        </w:rPr>
        <w:t>、</w:t>
      </w:r>
      <w:r>
        <w:rPr>
          <w:rFonts w:hint="eastAsia" w:ascii="仿宋" w:hAnsi="仿宋" w:eastAsia="仿宋" w:cs="仿宋"/>
          <w:sz w:val="24"/>
          <w:lang w:val="en-US" w:eastAsia="zh-CN"/>
        </w:rPr>
        <w:t>监理单位</w:t>
      </w:r>
      <w:r>
        <w:rPr>
          <w:rFonts w:hint="eastAsia" w:ascii="仿宋" w:hAnsi="仿宋" w:eastAsia="仿宋" w:cs="仿宋"/>
          <w:sz w:val="24"/>
        </w:rPr>
        <w:t>报告</w:t>
      </w:r>
      <w:r>
        <w:rPr>
          <w:rFonts w:hint="eastAsia" w:ascii="仿宋" w:hAnsi="仿宋" w:eastAsia="仿宋" w:cs="仿宋"/>
          <w:sz w:val="24"/>
          <w:lang w:eastAsia="zh-CN"/>
        </w:rPr>
        <w:t>维修任务的</w:t>
      </w:r>
      <w:r>
        <w:rPr>
          <w:rFonts w:hint="eastAsia" w:ascii="仿宋" w:hAnsi="仿宋" w:eastAsia="仿宋" w:cs="仿宋"/>
          <w:sz w:val="24"/>
        </w:rPr>
        <w:t>进场开工时间和完工时间。</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仿宋" w:hAnsi="仿宋" w:eastAsia="仿宋" w:cs="仿宋"/>
          <w:sz w:val="24"/>
          <w:szCs w:val="24"/>
        </w:rPr>
      </w:pPr>
      <w:r>
        <w:rPr>
          <w:rFonts w:hint="eastAsia" w:ascii="仿宋" w:hAnsi="仿宋" w:eastAsia="仿宋" w:cs="仿宋"/>
          <w:sz w:val="24"/>
        </w:rPr>
        <w:t>3.</w:t>
      </w:r>
      <w:r>
        <w:rPr>
          <w:rFonts w:hint="eastAsia" w:ascii="仿宋" w:hAnsi="仿宋" w:eastAsia="仿宋" w:cs="仿宋"/>
          <w:sz w:val="24"/>
          <w:lang w:val="en-US" w:eastAsia="zh-CN"/>
        </w:rPr>
        <w:t>5</w:t>
      </w:r>
      <w:r>
        <w:rPr>
          <w:rFonts w:hint="eastAsia" w:ascii="仿宋" w:hAnsi="仿宋" w:eastAsia="仿宋" w:cs="仿宋"/>
          <w:sz w:val="24"/>
          <w:lang w:eastAsia="zh-CN"/>
        </w:rPr>
        <w:t>维修改造任务</w:t>
      </w:r>
      <w:r>
        <w:rPr>
          <w:rFonts w:hint="eastAsia" w:ascii="仿宋" w:hAnsi="仿宋" w:eastAsia="仿宋" w:cs="仿宋"/>
          <w:sz w:val="24"/>
          <w:lang w:val="en-US" w:eastAsia="zh-CN"/>
        </w:rPr>
        <w:t>分批次（原则上</w:t>
      </w:r>
      <w:r>
        <w:rPr>
          <w:rFonts w:hint="eastAsia" w:ascii="仿宋" w:hAnsi="仿宋" w:eastAsia="仿宋" w:cs="仿宋"/>
          <w:sz w:val="24"/>
        </w:rPr>
        <w:t>以季度</w:t>
      </w:r>
      <w:r>
        <w:rPr>
          <w:rFonts w:hint="eastAsia" w:ascii="仿宋" w:hAnsi="仿宋" w:eastAsia="仿宋" w:cs="仿宋"/>
          <w:sz w:val="24"/>
          <w:lang w:eastAsia="zh-CN"/>
        </w:rPr>
        <w:t>周期</w:t>
      </w:r>
      <w:r>
        <w:rPr>
          <w:rFonts w:hint="eastAsia" w:ascii="仿宋" w:hAnsi="仿宋" w:eastAsia="仿宋" w:cs="仿宋"/>
          <w:sz w:val="24"/>
          <w:lang w:val="en-US" w:eastAsia="zh-CN"/>
        </w:rPr>
        <w:t>划分批次）</w:t>
      </w:r>
      <w:r>
        <w:rPr>
          <w:rFonts w:hint="eastAsia" w:ascii="仿宋" w:hAnsi="仿宋" w:eastAsia="仿宋" w:cs="仿宋"/>
          <w:sz w:val="24"/>
        </w:rPr>
        <w:t>开展</w:t>
      </w:r>
      <w:r>
        <w:rPr>
          <w:rFonts w:hint="eastAsia" w:ascii="仿宋" w:hAnsi="仿宋" w:eastAsia="仿宋" w:cs="仿宋"/>
          <w:sz w:val="24"/>
          <w:lang w:eastAsia="zh-CN"/>
        </w:rPr>
        <w:t>完工</w:t>
      </w:r>
      <w:r>
        <w:rPr>
          <w:rFonts w:hint="eastAsia" w:ascii="仿宋" w:hAnsi="仿宋" w:eastAsia="仿宋" w:cs="仿宋"/>
          <w:sz w:val="24"/>
        </w:rPr>
        <w:t>验收</w:t>
      </w:r>
      <w:r>
        <w:rPr>
          <w:rFonts w:hint="eastAsia" w:ascii="仿宋" w:hAnsi="仿宋" w:eastAsia="仿宋" w:cs="仿宋"/>
          <w:sz w:val="24"/>
          <w:lang w:eastAsia="zh-CN"/>
        </w:rPr>
        <w:t>。如完工后需要及时验收的任务，如清疏类、水下作业类等任务</w:t>
      </w:r>
      <w:r>
        <w:rPr>
          <w:rFonts w:hint="eastAsia" w:ascii="仿宋" w:hAnsi="仿宋" w:eastAsia="仿宋" w:cs="仿宋"/>
          <w:sz w:val="24"/>
        </w:rPr>
        <w:t>。</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每批次</w:t>
      </w:r>
      <w:r>
        <w:rPr>
          <w:rFonts w:hint="eastAsia" w:ascii="仿宋" w:hAnsi="仿宋" w:eastAsia="仿宋" w:cs="仿宋"/>
          <w:sz w:val="24"/>
          <w:szCs w:val="24"/>
        </w:rPr>
        <w:t>验收合格后，承包人以实际发生</w:t>
      </w:r>
      <w:r>
        <w:rPr>
          <w:rFonts w:hint="eastAsia" w:ascii="仿宋" w:hAnsi="仿宋" w:eastAsia="仿宋" w:cs="仿宋"/>
          <w:sz w:val="24"/>
          <w:szCs w:val="24"/>
          <w:lang w:val="en-US" w:eastAsia="zh-CN"/>
        </w:rPr>
        <w:t>并</w:t>
      </w:r>
      <w:r>
        <w:rPr>
          <w:rFonts w:hint="eastAsia" w:ascii="仿宋" w:hAnsi="仿宋" w:eastAsia="仿宋" w:cs="仿宋"/>
          <w:sz w:val="24"/>
          <w:szCs w:val="24"/>
        </w:rPr>
        <w:t>经发包人、监理单位、承包人三方确认的工程量为依据，按合同约定定额和信息价完成工程</w:t>
      </w:r>
      <w:r>
        <w:rPr>
          <w:rFonts w:hint="eastAsia" w:ascii="仿宋" w:hAnsi="仿宋" w:eastAsia="仿宋" w:cs="仿宋"/>
          <w:sz w:val="24"/>
          <w:szCs w:val="24"/>
          <w:lang w:val="en-US" w:eastAsia="zh-CN"/>
        </w:rPr>
        <w:t>结</w:t>
      </w:r>
      <w:r>
        <w:rPr>
          <w:rFonts w:hint="eastAsia" w:ascii="仿宋" w:hAnsi="仿宋" w:eastAsia="仿宋" w:cs="仿宋"/>
          <w:sz w:val="24"/>
          <w:szCs w:val="24"/>
        </w:rPr>
        <w:t>算</w:t>
      </w:r>
      <w:r>
        <w:rPr>
          <w:rFonts w:hint="eastAsia" w:ascii="仿宋" w:hAnsi="仿宋" w:eastAsia="仿宋" w:cs="仿宋"/>
          <w:sz w:val="24"/>
          <w:szCs w:val="24"/>
          <w:lang w:val="en-US" w:eastAsia="zh-CN"/>
        </w:rPr>
        <w:t>资料</w:t>
      </w:r>
      <w:r>
        <w:rPr>
          <w:rFonts w:hint="eastAsia" w:ascii="仿宋" w:hAnsi="仿宋" w:eastAsia="仿宋" w:cs="仿宋"/>
          <w:sz w:val="24"/>
          <w:szCs w:val="24"/>
        </w:rPr>
        <w:t>编制工作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结</w:t>
      </w:r>
      <w:r>
        <w:rPr>
          <w:rFonts w:hint="eastAsia" w:ascii="仿宋" w:hAnsi="仿宋" w:eastAsia="仿宋" w:cs="仿宋"/>
          <w:sz w:val="24"/>
          <w:szCs w:val="24"/>
        </w:rPr>
        <w:t>算</w:t>
      </w:r>
      <w:r>
        <w:rPr>
          <w:rFonts w:hint="eastAsia" w:ascii="仿宋" w:hAnsi="仿宋" w:eastAsia="仿宋" w:cs="仿宋"/>
          <w:sz w:val="24"/>
          <w:szCs w:val="24"/>
          <w:lang w:val="en-US" w:eastAsia="zh-CN"/>
        </w:rPr>
        <w:t>资料经</w:t>
      </w:r>
      <w:r>
        <w:rPr>
          <w:rFonts w:hint="eastAsia" w:ascii="仿宋" w:hAnsi="仿宋" w:eastAsia="仿宋" w:cs="仿宋"/>
          <w:sz w:val="24"/>
          <w:szCs w:val="24"/>
        </w:rPr>
        <w:t>监理单位</w:t>
      </w:r>
      <w:r>
        <w:rPr>
          <w:rFonts w:hint="eastAsia" w:ascii="仿宋" w:hAnsi="仿宋" w:eastAsia="仿宋" w:cs="仿宋"/>
          <w:sz w:val="24"/>
          <w:szCs w:val="24"/>
          <w:lang w:eastAsia="zh-CN"/>
        </w:rPr>
        <w:t>、</w:t>
      </w:r>
      <w:r>
        <w:rPr>
          <w:rFonts w:hint="eastAsia" w:ascii="仿宋" w:hAnsi="仿宋" w:eastAsia="仿宋" w:cs="仿宋"/>
          <w:sz w:val="24"/>
        </w:rPr>
        <w:t>发包人</w:t>
      </w:r>
      <w:r>
        <w:rPr>
          <w:rFonts w:hint="eastAsia" w:ascii="仿宋" w:hAnsi="仿宋" w:eastAsia="仿宋" w:cs="仿宋"/>
          <w:sz w:val="24"/>
          <w:lang w:val="en-US" w:eastAsia="zh-CN"/>
        </w:rPr>
        <w:t>审核后按规定送区财政评审。</w:t>
      </w:r>
    </w:p>
    <w:p>
      <w:pPr>
        <w:keepNext w:val="0"/>
        <w:keepLines w:val="0"/>
        <w:pageBreakBefore w:val="0"/>
        <w:widowControl w:val="0"/>
        <w:kinsoku/>
        <w:wordWrap/>
        <w:overflowPunct/>
        <w:topLinePunct w:val="0"/>
        <w:autoSpaceDE/>
        <w:autoSpaceDN/>
        <w:bidi w:val="0"/>
        <w:snapToGrid/>
        <w:spacing w:line="480" w:lineRule="exact"/>
        <w:ind w:left="0" w:firstLine="480" w:firstLineChars="200"/>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lang w:val="en-US" w:eastAsia="zh-CN"/>
        </w:rPr>
        <w:t>.6</w:t>
      </w:r>
      <w:r>
        <w:rPr>
          <w:rFonts w:hint="eastAsia" w:ascii="仿宋" w:hAnsi="仿宋" w:eastAsia="仿宋" w:cs="仿宋"/>
          <w:sz w:val="24"/>
        </w:rPr>
        <w:t>中间验收</w:t>
      </w:r>
    </w:p>
    <w:p>
      <w:pPr>
        <w:keepNext w:val="0"/>
        <w:keepLines w:val="0"/>
        <w:pageBreakBefore w:val="0"/>
        <w:widowControl w:val="0"/>
        <w:kinsoku/>
        <w:wordWrap/>
        <w:overflowPunct/>
        <w:topLinePunct w:val="0"/>
        <w:autoSpaceDE/>
        <w:autoSpaceDN/>
        <w:bidi w:val="0"/>
        <w:snapToGrid/>
        <w:spacing w:line="480" w:lineRule="exact"/>
        <w:ind w:left="0" w:firstLine="480" w:firstLineChars="200"/>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lang w:val="en-US" w:eastAsia="zh-CN"/>
        </w:rPr>
        <w:t>.6.1</w:t>
      </w:r>
      <w:r>
        <w:rPr>
          <w:rFonts w:hint="eastAsia" w:ascii="仿宋" w:hAnsi="仿宋" w:eastAsia="仿宋" w:cs="仿宋"/>
          <w:sz w:val="24"/>
        </w:rPr>
        <w:t>涉及隐蔽工程或需中间验收的施工环节，承包人应</w:t>
      </w:r>
      <w:r>
        <w:rPr>
          <w:rFonts w:hint="eastAsia" w:ascii="仿宋" w:hAnsi="仿宋" w:eastAsia="仿宋" w:cs="仿宋"/>
          <w:sz w:val="24"/>
          <w:lang w:eastAsia="zh-CN"/>
        </w:rPr>
        <w:t>提前</w:t>
      </w:r>
      <w:r>
        <w:rPr>
          <w:rFonts w:hint="eastAsia" w:ascii="仿宋" w:hAnsi="仿宋" w:eastAsia="仿宋" w:cs="仿宋"/>
          <w:sz w:val="24"/>
          <w:lang w:val="en-US" w:eastAsia="zh-CN"/>
        </w:rPr>
        <w:t>2天</w:t>
      </w:r>
      <w:r>
        <w:rPr>
          <w:rFonts w:hint="eastAsia" w:ascii="仿宋" w:hAnsi="仿宋" w:eastAsia="仿宋" w:cs="仿宋"/>
          <w:sz w:val="24"/>
          <w:lang w:eastAsia="zh-CN"/>
        </w:rPr>
        <w:t>向</w:t>
      </w:r>
      <w:r>
        <w:rPr>
          <w:rFonts w:hint="eastAsia" w:ascii="仿宋" w:hAnsi="仿宋" w:eastAsia="仿宋" w:cs="仿宋"/>
          <w:sz w:val="24"/>
        </w:rPr>
        <w:t>监理人申请旁站或验收。</w:t>
      </w:r>
      <w:r>
        <w:rPr>
          <w:rFonts w:hint="eastAsia" w:ascii="仿宋" w:hAnsi="仿宋" w:eastAsia="仿宋" w:cs="仿宋"/>
          <w:sz w:val="24"/>
          <w:lang w:eastAsia="zh-CN"/>
        </w:rPr>
        <w:t>监理人收到申请后，会同</w:t>
      </w:r>
      <w:r>
        <w:rPr>
          <w:rFonts w:hint="eastAsia" w:ascii="仿宋" w:hAnsi="仿宋" w:eastAsia="仿宋" w:cs="仿宋"/>
          <w:sz w:val="24"/>
        </w:rPr>
        <w:t>发包人</w:t>
      </w:r>
      <w:r>
        <w:rPr>
          <w:rFonts w:hint="eastAsia" w:ascii="仿宋" w:hAnsi="仿宋" w:eastAsia="仿宋" w:cs="仿宋"/>
          <w:sz w:val="24"/>
          <w:lang w:eastAsia="zh-CN"/>
        </w:rPr>
        <w:t>2</w:t>
      </w:r>
      <w:r>
        <w:rPr>
          <w:rFonts w:hint="eastAsia" w:ascii="仿宋" w:hAnsi="仿宋" w:eastAsia="仿宋" w:cs="仿宋"/>
          <w:sz w:val="24"/>
        </w:rPr>
        <w:t>天内组织验收，验收合格后</w:t>
      </w:r>
      <w:r>
        <w:rPr>
          <w:rFonts w:hint="eastAsia" w:ascii="仿宋" w:hAnsi="仿宋" w:eastAsia="仿宋" w:cs="仿宋"/>
          <w:sz w:val="24"/>
          <w:lang w:eastAsia="zh-CN"/>
        </w:rPr>
        <w:t>准</w:t>
      </w:r>
      <w:r>
        <w:rPr>
          <w:rFonts w:hint="eastAsia" w:ascii="仿宋" w:hAnsi="仿宋" w:eastAsia="仿宋" w:cs="仿宋"/>
          <w:sz w:val="24"/>
        </w:rPr>
        <w:t>予</w:t>
      </w:r>
      <w:r>
        <w:rPr>
          <w:rFonts w:hint="eastAsia" w:ascii="仿宋" w:hAnsi="仿宋" w:eastAsia="仿宋" w:cs="仿宋"/>
          <w:sz w:val="24"/>
          <w:lang w:eastAsia="zh-CN"/>
        </w:rPr>
        <w:t>进行下一工序施工</w:t>
      </w:r>
      <w:r>
        <w:rPr>
          <w:rFonts w:hint="eastAsia" w:ascii="仿宋" w:hAnsi="仿宋" w:eastAsia="仿宋" w:cs="仿宋"/>
          <w:sz w:val="24"/>
        </w:rPr>
        <w:t>；如</w:t>
      </w:r>
      <w:r>
        <w:rPr>
          <w:rFonts w:hint="eastAsia" w:ascii="仿宋" w:hAnsi="仿宋" w:eastAsia="仿宋" w:cs="仿宋"/>
          <w:sz w:val="24"/>
          <w:lang w:eastAsia="zh-CN"/>
        </w:rPr>
        <w:t>验收不合格</w:t>
      </w:r>
      <w:r>
        <w:rPr>
          <w:rFonts w:hint="eastAsia" w:ascii="仿宋" w:hAnsi="仿宋" w:eastAsia="仿宋" w:cs="仿宋"/>
          <w:sz w:val="24"/>
        </w:rPr>
        <w:t>，必须</w:t>
      </w:r>
      <w:r>
        <w:rPr>
          <w:rFonts w:hint="eastAsia" w:ascii="仿宋" w:hAnsi="仿宋" w:eastAsia="仿宋" w:cs="仿宋"/>
          <w:sz w:val="24"/>
          <w:lang w:eastAsia="zh-CN"/>
        </w:rPr>
        <w:t>立即</w:t>
      </w:r>
      <w:r>
        <w:rPr>
          <w:rFonts w:hint="eastAsia" w:ascii="仿宋" w:hAnsi="仿宋" w:eastAsia="仿宋" w:cs="仿宋"/>
          <w:sz w:val="24"/>
        </w:rPr>
        <w:t>整改至</w:t>
      </w:r>
      <w:r>
        <w:rPr>
          <w:rFonts w:hint="eastAsia" w:ascii="仿宋" w:hAnsi="仿宋" w:eastAsia="仿宋" w:cs="仿宋"/>
          <w:sz w:val="24"/>
          <w:lang w:eastAsia="zh-CN"/>
        </w:rPr>
        <w:t>合格为止，否则，不允许进行下一工序施工</w:t>
      </w:r>
      <w:r>
        <w:rPr>
          <w:rFonts w:hint="eastAsia" w:ascii="仿宋" w:hAnsi="仿宋" w:eastAsia="仿宋" w:cs="仿宋"/>
          <w:sz w:val="24"/>
        </w:rPr>
        <w:t>。</w:t>
      </w:r>
    </w:p>
    <w:p>
      <w:pPr>
        <w:keepNext w:val="0"/>
        <w:keepLines w:val="0"/>
        <w:pageBreakBefore w:val="0"/>
        <w:widowControl w:val="0"/>
        <w:kinsoku/>
        <w:wordWrap/>
        <w:overflowPunct/>
        <w:topLinePunct w:val="0"/>
        <w:autoSpaceDE/>
        <w:autoSpaceDN/>
        <w:bidi w:val="0"/>
        <w:snapToGrid/>
        <w:spacing w:line="480" w:lineRule="exact"/>
        <w:ind w:left="0" w:firstLine="480" w:firstLineChars="200"/>
        <w:rPr>
          <w:rFonts w:hint="eastAsia" w:ascii="仿宋" w:hAnsi="仿宋" w:eastAsia="仿宋" w:cs="仿宋"/>
          <w:b w:val="0"/>
          <w:bCs w:val="0"/>
          <w:sz w:val="24"/>
          <w:lang w:val="en-US" w:eastAsia="zh-CN"/>
        </w:rPr>
      </w:pPr>
      <w:r>
        <w:rPr>
          <w:rFonts w:hint="eastAsia" w:ascii="仿宋" w:hAnsi="仿宋" w:eastAsia="仿宋" w:cs="仿宋"/>
          <w:sz w:val="24"/>
          <w:lang w:eastAsia="zh-CN"/>
        </w:rPr>
        <w:t>3</w:t>
      </w:r>
      <w:r>
        <w:rPr>
          <w:rFonts w:hint="eastAsia" w:ascii="仿宋" w:hAnsi="仿宋" w:eastAsia="仿宋" w:cs="仿宋"/>
          <w:sz w:val="24"/>
          <w:lang w:val="en-US" w:eastAsia="zh-CN"/>
        </w:rPr>
        <w:t>.6.2</w:t>
      </w:r>
      <w:r>
        <w:rPr>
          <w:rFonts w:hint="eastAsia" w:ascii="仿宋" w:hAnsi="仿宋" w:eastAsia="仿宋" w:cs="仿宋"/>
          <w:sz w:val="24"/>
        </w:rPr>
        <w:t>施工过程相关措施如需计量的，承包人应提前准备好相关证明材料并及时通知监理、发包人现场确认。否则，结算时不予计量。</w:t>
      </w:r>
    </w:p>
    <w:p>
      <w:pPr>
        <w:keepNext w:val="0"/>
        <w:keepLines w:val="0"/>
        <w:pageBreakBefore w:val="0"/>
        <w:widowControl w:val="0"/>
        <w:kinsoku/>
        <w:wordWrap/>
        <w:overflowPunct/>
        <w:topLinePunct w:val="0"/>
        <w:autoSpaceDE/>
        <w:autoSpaceDN/>
        <w:bidi w:val="0"/>
        <w:snapToGrid/>
        <w:spacing w:line="480" w:lineRule="exact"/>
        <w:ind w:left="0"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3.7合同期满且所有任务均完成结算送审后，开展合同完工验收工作。</w:t>
      </w:r>
    </w:p>
    <w:p>
      <w:pPr>
        <w:keepNext w:val="0"/>
        <w:keepLines w:val="0"/>
        <w:pageBreakBefore w:val="0"/>
        <w:widowControl w:val="0"/>
        <w:tabs>
          <w:tab w:val="left" w:pos="1047"/>
        </w:tabs>
        <w:kinsoku/>
        <w:wordWrap/>
        <w:overflowPunct/>
        <w:topLinePunct w:val="0"/>
        <w:autoSpaceDE/>
        <w:autoSpaceDN/>
        <w:bidi w:val="0"/>
        <w:snapToGrid/>
        <w:spacing w:line="480" w:lineRule="exact"/>
        <w:ind w:left="480"/>
        <w:rPr>
          <w:rFonts w:hint="eastAsia" w:ascii="黑体" w:hAnsi="黑体" w:eastAsia="黑体" w:cs="黑体"/>
          <w:b/>
          <w:bCs/>
          <w:sz w:val="24"/>
        </w:rPr>
      </w:pPr>
      <w:r>
        <w:rPr>
          <w:rFonts w:hint="eastAsia" w:ascii="黑体" w:hAnsi="黑体" w:eastAsia="黑体" w:cs="黑体"/>
          <w:b/>
          <w:bCs/>
          <w:sz w:val="24"/>
          <w:lang w:val="en-US" w:eastAsia="zh-CN"/>
        </w:rPr>
        <w:t>4.</w:t>
      </w:r>
      <w:r>
        <w:rPr>
          <w:rFonts w:hint="eastAsia" w:ascii="黑体" w:hAnsi="黑体" w:eastAsia="黑体" w:cs="黑体"/>
          <w:b/>
          <w:bCs/>
          <w:sz w:val="24"/>
        </w:rPr>
        <w:t>合同价款</w:t>
      </w:r>
    </w:p>
    <w:p>
      <w:pPr>
        <w:keepNext w:val="0"/>
        <w:keepLines w:val="0"/>
        <w:pageBreakBefore w:val="0"/>
        <w:widowControl w:val="0"/>
        <w:kinsoku/>
        <w:wordWrap/>
        <w:overflowPunct/>
        <w:topLinePunct w:val="0"/>
        <w:autoSpaceDE/>
        <w:autoSpaceDN/>
        <w:bidi w:val="0"/>
        <w:snapToGrid/>
        <w:spacing w:line="480" w:lineRule="exact"/>
        <w:ind w:left="0" w:firstLine="480" w:firstLineChars="200"/>
        <w:rPr>
          <w:rFonts w:hint="eastAsia" w:ascii="仿宋" w:hAnsi="仿宋" w:eastAsia="仿宋" w:cs="仿宋"/>
          <w:b/>
          <w:bCs/>
          <w:sz w:val="24"/>
        </w:rPr>
      </w:pPr>
      <w:r>
        <w:rPr>
          <w:rFonts w:hint="eastAsia" w:ascii="仿宋" w:hAnsi="仿宋" w:eastAsia="仿宋" w:cs="仿宋"/>
          <w:sz w:val="24"/>
          <w:szCs w:val="24"/>
        </w:rPr>
        <w:t>本工程合同暂定价为</w:t>
      </w:r>
      <w:r>
        <w:rPr>
          <w:rFonts w:hint="eastAsia" w:ascii="仿宋" w:hAnsi="仿宋" w:eastAsia="仿宋" w:cs="仿宋"/>
          <w:b/>
          <w:bCs/>
          <w:sz w:val="24"/>
          <w:szCs w:val="24"/>
        </w:rPr>
        <w:t>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b/>
          <w:bCs/>
          <w:sz w:val="24"/>
          <w:u w:val="single"/>
          <w:lang w:val="en-US" w:eastAsia="zh-CN"/>
        </w:rPr>
        <w:t xml:space="preserve">     </w:t>
      </w:r>
      <w:r>
        <w:rPr>
          <w:rFonts w:hint="eastAsia" w:ascii="仿宋" w:hAnsi="仿宋" w:eastAsia="仿宋" w:cs="仿宋"/>
          <w:sz w:val="24"/>
          <w:szCs w:val="24"/>
        </w:rPr>
        <w:t>万元），中标下浮率为</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 xml:space="preserve"> ，</w:t>
      </w:r>
      <w:r>
        <w:rPr>
          <w:rFonts w:hint="eastAsia" w:ascii="仿宋" w:hAnsi="仿宋" w:eastAsia="仿宋" w:cs="仿宋"/>
          <w:sz w:val="24"/>
          <w:szCs w:val="24"/>
        </w:rPr>
        <w:t>工程按实际发生工程量结算</w:t>
      </w:r>
      <w:r>
        <w:rPr>
          <w:rFonts w:hint="eastAsia" w:ascii="仿宋" w:hAnsi="仿宋" w:eastAsia="仿宋" w:cs="仿宋"/>
          <w:sz w:val="24"/>
          <w:szCs w:val="24"/>
          <w:lang w:eastAsia="zh-CN"/>
        </w:rPr>
        <w:t>，以</w:t>
      </w:r>
      <w:r>
        <w:rPr>
          <w:rFonts w:hint="eastAsia" w:ascii="仿宋" w:hAnsi="仿宋" w:eastAsia="仿宋" w:cs="仿宋"/>
          <w:sz w:val="24"/>
          <w:szCs w:val="24"/>
        </w:rPr>
        <w:t>区财政</w:t>
      </w:r>
      <w:r>
        <w:rPr>
          <w:rFonts w:hint="eastAsia" w:ascii="仿宋" w:hAnsi="仿宋" w:eastAsia="仿宋" w:cs="仿宋"/>
          <w:sz w:val="24"/>
          <w:szCs w:val="24"/>
          <w:lang w:eastAsia="zh-CN"/>
        </w:rPr>
        <w:t>评审核定价</w:t>
      </w:r>
      <w:r>
        <w:rPr>
          <w:rFonts w:hint="eastAsia" w:ascii="仿宋" w:hAnsi="仿宋" w:eastAsia="仿宋" w:cs="仿宋"/>
          <w:sz w:val="24"/>
          <w:szCs w:val="24"/>
        </w:rPr>
        <w:t>为准，最终结算总价不</w:t>
      </w:r>
      <w:r>
        <w:rPr>
          <w:rFonts w:hint="eastAsia" w:ascii="仿宋" w:hAnsi="仿宋" w:eastAsia="仿宋" w:cs="仿宋"/>
          <w:sz w:val="24"/>
          <w:szCs w:val="24"/>
          <w:lang w:eastAsia="zh-CN"/>
        </w:rPr>
        <w:t>得</w:t>
      </w:r>
      <w:r>
        <w:rPr>
          <w:rFonts w:hint="eastAsia" w:ascii="仿宋" w:hAnsi="仿宋" w:eastAsia="仿宋" w:cs="仿宋"/>
          <w:sz w:val="24"/>
          <w:szCs w:val="24"/>
        </w:rPr>
        <w:t>超过合同暂定价。</w:t>
      </w:r>
    </w:p>
    <w:p>
      <w:pPr>
        <w:keepNext w:val="0"/>
        <w:keepLines w:val="0"/>
        <w:pageBreakBefore w:val="0"/>
        <w:widowControl w:val="0"/>
        <w:kinsoku/>
        <w:wordWrap/>
        <w:overflowPunct/>
        <w:topLinePunct w:val="0"/>
        <w:autoSpaceDE/>
        <w:autoSpaceDN/>
        <w:bidi w:val="0"/>
        <w:snapToGrid/>
        <w:spacing w:line="480" w:lineRule="exact"/>
        <w:ind w:left="426" w:firstLine="53"/>
        <w:rPr>
          <w:rFonts w:hint="eastAsia" w:ascii="黑体" w:hAnsi="黑体" w:eastAsia="黑体" w:cs="黑体"/>
          <w:b/>
          <w:bCs/>
          <w:sz w:val="24"/>
          <w:u w:val="single"/>
        </w:rPr>
      </w:pPr>
      <w:r>
        <w:rPr>
          <w:rFonts w:hint="eastAsia" w:ascii="黑体" w:hAnsi="黑体" w:eastAsia="黑体" w:cs="黑体"/>
          <w:b/>
          <w:bCs/>
          <w:sz w:val="24"/>
          <w:lang w:val="en-US" w:eastAsia="zh-CN"/>
        </w:rPr>
        <w:t>5.</w:t>
      </w:r>
      <w:r>
        <w:rPr>
          <w:rFonts w:hint="eastAsia" w:ascii="黑体" w:hAnsi="黑体" w:eastAsia="黑体" w:cs="黑体"/>
          <w:b/>
          <w:bCs/>
          <w:sz w:val="24"/>
        </w:rPr>
        <w:t>合同期</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从合同生效之日起至202</w:t>
      </w:r>
      <w:r>
        <w:rPr>
          <w:rFonts w:hint="eastAsia" w:ascii="仿宋" w:hAnsi="仿宋" w:eastAsia="仿宋" w:cs="仿宋"/>
          <w:sz w:val="24"/>
          <w:lang w:val="en-US" w:eastAsia="zh-CN"/>
        </w:rPr>
        <w:t>4</w:t>
      </w:r>
      <w:r>
        <w:rPr>
          <w:rFonts w:hint="eastAsia" w:ascii="仿宋" w:hAnsi="仿宋" w:eastAsia="仿宋" w:cs="仿宋"/>
          <w:sz w:val="24"/>
        </w:rPr>
        <w:t>年12月31日</w:t>
      </w:r>
      <w:r>
        <w:rPr>
          <w:rFonts w:hint="eastAsia" w:ascii="仿宋" w:hAnsi="仿宋" w:eastAsia="仿宋" w:cs="仿宋"/>
          <w:sz w:val="24"/>
          <w:lang w:val="en-US" w:eastAsia="zh-CN"/>
        </w:rPr>
        <w:t>止。</w:t>
      </w:r>
    </w:p>
    <w:p>
      <w:pPr>
        <w:keepNext w:val="0"/>
        <w:keepLines w:val="0"/>
        <w:pageBreakBefore w:val="0"/>
        <w:widowControl w:val="0"/>
        <w:kinsoku/>
        <w:wordWrap/>
        <w:overflowPunct/>
        <w:topLinePunct w:val="0"/>
        <w:autoSpaceDE/>
        <w:autoSpaceDN/>
        <w:bidi w:val="0"/>
        <w:snapToGrid/>
        <w:spacing w:line="480" w:lineRule="exact"/>
        <w:ind w:left="480"/>
        <w:rPr>
          <w:rFonts w:hint="eastAsia" w:ascii="黑体" w:hAnsi="黑体" w:eastAsia="黑体" w:cs="黑体"/>
          <w:b/>
          <w:bCs/>
          <w:sz w:val="24"/>
        </w:rPr>
      </w:pPr>
      <w:r>
        <w:rPr>
          <w:rFonts w:hint="eastAsia" w:ascii="黑体" w:hAnsi="黑体" w:eastAsia="黑体" w:cs="黑体"/>
          <w:sz w:val="24"/>
          <w:lang w:val="en-US" w:eastAsia="zh-CN"/>
        </w:rPr>
        <w:t>6.</w:t>
      </w:r>
      <w:r>
        <w:rPr>
          <w:rFonts w:hint="eastAsia" w:ascii="黑体" w:hAnsi="黑体" w:eastAsia="黑体" w:cs="黑体"/>
          <w:b/>
          <w:bCs/>
          <w:sz w:val="24"/>
        </w:rPr>
        <w:t>质量标准</w:t>
      </w:r>
    </w:p>
    <w:p>
      <w:pPr>
        <w:keepNext w:val="0"/>
        <w:keepLines w:val="0"/>
        <w:pageBreakBefore w:val="0"/>
        <w:widowControl w:val="0"/>
        <w:kinsoku/>
        <w:wordWrap/>
        <w:overflowPunct/>
        <w:topLinePunct w:val="0"/>
        <w:autoSpaceDE/>
        <w:autoSpaceDN/>
        <w:bidi w:val="0"/>
        <w:snapToGrid/>
        <w:spacing w:line="480" w:lineRule="exact"/>
        <w:ind w:firstLine="495"/>
        <w:rPr>
          <w:rFonts w:ascii="仿宋" w:hAnsi="仿宋" w:eastAsia="仿宋" w:cs="仿宋"/>
          <w:sz w:val="24"/>
        </w:rPr>
      </w:pPr>
      <w:r>
        <w:rPr>
          <w:rFonts w:hint="eastAsia" w:ascii="仿宋" w:hAnsi="仿宋" w:eastAsia="仿宋" w:cs="仿宋"/>
          <w:sz w:val="24"/>
        </w:rPr>
        <w:t xml:space="preserve">合格。  </w:t>
      </w:r>
    </w:p>
    <w:p>
      <w:pPr>
        <w:keepNext w:val="0"/>
        <w:keepLines w:val="0"/>
        <w:pageBreakBefore w:val="0"/>
        <w:widowControl w:val="0"/>
        <w:kinsoku/>
        <w:wordWrap/>
        <w:overflowPunct/>
        <w:topLinePunct w:val="0"/>
        <w:autoSpaceDE/>
        <w:autoSpaceDN/>
        <w:bidi w:val="0"/>
        <w:snapToGrid/>
        <w:spacing w:line="480" w:lineRule="exact"/>
        <w:ind w:firstLine="495"/>
        <w:rPr>
          <w:rFonts w:hint="eastAsia" w:ascii="黑体" w:hAnsi="黑体" w:eastAsia="黑体" w:cs="黑体"/>
          <w:b/>
          <w:bCs w:val="0"/>
          <w:sz w:val="24"/>
        </w:rPr>
      </w:pPr>
      <w:r>
        <w:rPr>
          <w:rFonts w:hint="eastAsia" w:ascii="黑体" w:hAnsi="黑体" w:eastAsia="黑体" w:cs="黑体"/>
          <w:b/>
          <w:bCs w:val="0"/>
          <w:sz w:val="24"/>
          <w:lang w:val="en-US" w:eastAsia="zh-CN"/>
        </w:rPr>
        <w:t>7.</w:t>
      </w:r>
      <w:r>
        <w:rPr>
          <w:rFonts w:hint="eastAsia" w:ascii="黑体" w:hAnsi="黑体" w:eastAsia="黑体" w:cs="黑体"/>
          <w:b/>
          <w:bCs w:val="0"/>
          <w:sz w:val="24"/>
        </w:rPr>
        <w:t>保修期</w:t>
      </w:r>
    </w:p>
    <w:p>
      <w:pPr>
        <w:keepNext w:val="0"/>
        <w:keepLines w:val="0"/>
        <w:pageBreakBefore w:val="0"/>
        <w:widowControl w:val="0"/>
        <w:kinsoku/>
        <w:wordWrap/>
        <w:overflowPunct/>
        <w:topLinePunct w:val="0"/>
        <w:autoSpaceDE/>
        <w:autoSpaceDN/>
        <w:bidi w:val="0"/>
        <w:snapToGrid/>
        <w:spacing w:line="480" w:lineRule="exact"/>
        <w:ind w:firstLine="495"/>
        <w:rPr>
          <w:rFonts w:hint="eastAsia" w:ascii="仿宋" w:hAnsi="仿宋" w:eastAsia="仿宋" w:cs="仿宋"/>
          <w:sz w:val="24"/>
          <w:lang w:val="en-US" w:eastAsia="zh-CN"/>
        </w:rPr>
      </w:pPr>
      <w:r>
        <w:rPr>
          <w:rFonts w:hint="eastAsia" w:ascii="仿宋" w:hAnsi="仿宋" w:eastAsia="仿宋" w:cs="仿宋"/>
          <w:sz w:val="24"/>
          <w:lang w:val="en-US" w:eastAsia="zh-CN"/>
        </w:rPr>
        <w:t>新建和改造更新的结构、设备等保修期12个月，其他部分保修期3</w:t>
      </w:r>
      <w:r>
        <w:rPr>
          <w:rFonts w:hint="eastAsia" w:ascii="仿宋" w:hAnsi="仿宋" w:eastAsia="仿宋" w:cs="仿宋"/>
          <w:sz w:val="24"/>
        </w:rPr>
        <w:t>个月</w:t>
      </w:r>
      <w:r>
        <w:rPr>
          <w:rFonts w:hint="eastAsia" w:ascii="仿宋" w:hAnsi="仿宋" w:eastAsia="仿宋" w:cs="仿宋"/>
          <w:sz w:val="24"/>
          <w:lang w:eastAsia="zh-CN"/>
        </w:rPr>
        <w:t>。</w:t>
      </w:r>
    </w:p>
    <w:p>
      <w:pPr>
        <w:keepNext w:val="0"/>
        <w:keepLines w:val="0"/>
        <w:pageBreakBefore w:val="0"/>
        <w:widowControl w:val="0"/>
        <w:kinsoku/>
        <w:wordWrap/>
        <w:overflowPunct/>
        <w:topLinePunct w:val="0"/>
        <w:autoSpaceDE/>
        <w:autoSpaceDN/>
        <w:bidi w:val="0"/>
        <w:snapToGrid/>
        <w:spacing w:line="480" w:lineRule="exact"/>
        <w:ind w:firstLine="495"/>
        <w:rPr>
          <w:rFonts w:hint="eastAsia" w:ascii="黑体" w:hAnsi="黑体" w:eastAsia="黑体" w:cs="黑体"/>
          <w:b/>
          <w:bCs/>
          <w:sz w:val="24"/>
        </w:rPr>
      </w:pPr>
      <w:r>
        <w:rPr>
          <w:rFonts w:hint="eastAsia" w:ascii="黑体" w:hAnsi="黑体" w:eastAsia="黑体" w:cs="黑体"/>
          <w:b/>
          <w:bCs/>
          <w:sz w:val="24"/>
          <w:lang w:val="en-US" w:eastAsia="zh-CN"/>
        </w:rPr>
        <w:t>8.</w:t>
      </w:r>
      <w:r>
        <w:rPr>
          <w:rFonts w:hint="eastAsia" w:ascii="黑体" w:hAnsi="黑体" w:eastAsia="黑体" w:cs="黑体"/>
          <w:b/>
          <w:bCs/>
          <w:sz w:val="24"/>
        </w:rPr>
        <w:t>责任和义务</w:t>
      </w:r>
    </w:p>
    <w:p>
      <w:pPr>
        <w:keepNext w:val="0"/>
        <w:keepLines w:val="0"/>
        <w:pageBreakBefore w:val="0"/>
        <w:widowControl w:val="0"/>
        <w:kinsoku/>
        <w:wordWrap/>
        <w:overflowPunct/>
        <w:topLinePunct w:val="0"/>
        <w:autoSpaceDE/>
        <w:autoSpaceDN/>
        <w:bidi w:val="0"/>
        <w:snapToGrid/>
        <w:spacing w:line="480" w:lineRule="exact"/>
        <w:ind w:right="11" w:firstLine="480" w:firstLineChars="200"/>
        <w:rPr>
          <w:rFonts w:hint="eastAsia" w:ascii="仿宋" w:hAnsi="仿宋" w:eastAsia="仿宋" w:cs="仿宋"/>
          <w:sz w:val="24"/>
        </w:rPr>
      </w:pPr>
      <w:r>
        <w:rPr>
          <w:rFonts w:hint="eastAsia" w:ascii="仿宋" w:hAnsi="仿宋" w:eastAsia="仿宋" w:cs="仿宋"/>
          <w:sz w:val="24"/>
          <w:lang w:val="en-US" w:eastAsia="zh-CN"/>
        </w:rPr>
        <w:t>8.1发包人</w:t>
      </w:r>
      <w:r>
        <w:rPr>
          <w:rFonts w:hint="eastAsia" w:ascii="仿宋" w:hAnsi="仿宋" w:eastAsia="仿宋" w:cs="仿宋"/>
          <w:sz w:val="24"/>
        </w:rPr>
        <w:t>负责</w:t>
      </w:r>
      <w:r>
        <w:rPr>
          <w:rFonts w:hint="eastAsia" w:ascii="仿宋" w:hAnsi="仿宋" w:eastAsia="仿宋" w:cs="仿宋"/>
          <w:sz w:val="24"/>
          <w:lang w:val="en-US" w:eastAsia="zh-CN"/>
        </w:rPr>
        <w:t>项目</w:t>
      </w:r>
      <w:r>
        <w:rPr>
          <w:rFonts w:hint="eastAsia" w:ascii="仿宋" w:hAnsi="仿宋" w:eastAsia="仿宋" w:cs="仿宋"/>
          <w:sz w:val="24"/>
        </w:rPr>
        <w:t>的管理</w:t>
      </w:r>
      <w:r>
        <w:rPr>
          <w:rFonts w:hint="eastAsia" w:ascii="仿宋" w:hAnsi="仿宋" w:eastAsia="仿宋" w:cs="仿宋"/>
          <w:sz w:val="24"/>
          <w:lang w:val="en-US" w:eastAsia="zh-CN"/>
        </w:rPr>
        <w:t>工作</w:t>
      </w:r>
      <w:r>
        <w:rPr>
          <w:rFonts w:hint="eastAsia" w:ascii="仿宋" w:hAnsi="仿宋" w:eastAsia="仿宋" w:cs="仿宋"/>
          <w:sz w:val="24"/>
        </w:rPr>
        <w:t>，检查、监督</w:t>
      </w:r>
      <w:r>
        <w:rPr>
          <w:rFonts w:hint="eastAsia" w:ascii="仿宋" w:hAnsi="仿宋" w:eastAsia="仿宋" w:cs="仿宋"/>
          <w:sz w:val="24"/>
          <w:lang w:val="en-US" w:eastAsia="zh-CN"/>
        </w:rPr>
        <w:t>承包人</w:t>
      </w:r>
      <w:r>
        <w:rPr>
          <w:rFonts w:hint="eastAsia" w:ascii="仿宋" w:hAnsi="仿宋" w:eastAsia="仿宋" w:cs="仿宋"/>
          <w:sz w:val="24"/>
        </w:rPr>
        <w:t>执行合同情况，组织</w:t>
      </w:r>
      <w:r>
        <w:rPr>
          <w:rFonts w:hint="eastAsia" w:ascii="仿宋" w:hAnsi="仿宋" w:eastAsia="仿宋" w:cs="仿宋"/>
          <w:sz w:val="24"/>
          <w:lang w:val="en-US" w:eastAsia="zh-CN"/>
        </w:rPr>
        <w:t>必要的</w:t>
      </w:r>
      <w:r>
        <w:rPr>
          <w:rFonts w:hint="eastAsia" w:ascii="仿宋" w:hAnsi="仿宋" w:eastAsia="仿宋" w:cs="仿宋"/>
          <w:sz w:val="24"/>
        </w:rPr>
        <w:t>技术交底、</w:t>
      </w:r>
      <w:r>
        <w:rPr>
          <w:rFonts w:hint="eastAsia" w:ascii="仿宋" w:hAnsi="仿宋" w:eastAsia="仿宋" w:cs="仿宋"/>
          <w:sz w:val="24"/>
          <w:lang w:val="en-US" w:eastAsia="zh-CN"/>
        </w:rPr>
        <w:t>组织</w:t>
      </w:r>
      <w:r>
        <w:rPr>
          <w:rFonts w:hint="eastAsia" w:ascii="仿宋" w:hAnsi="仿宋" w:eastAsia="仿宋" w:cs="仿宋"/>
          <w:sz w:val="24"/>
        </w:rPr>
        <w:t>方案</w:t>
      </w:r>
      <w:r>
        <w:rPr>
          <w:rFonts w:hint="eastAsia" w:ascii="仿宋" w:hAnsi="仿宋" w:eastAsia="仿宋" w:cs="仿宋"/>
          <w:sz w:val="24"/>
          <w:lang w:val="en-US" w:eastAsia="zh-CN"/>
        </w:rPr>
        <w:t>会审</w:t>
      </w:r>
      <w:r>
        <w:rPr>
          <w:rFonts w:hint="eastAsia" w:ascii="仿宋" w:hAnsi="仿宋" w:eastAsia="仿宋" w:cs="仿宋"/>
          <w:sz w:val="24"/>
        </w:rPr>
        <w:t>、计量</w:t>
      </w:r>
      <w:r>
        <w:rPr>
          <w:rFonts w:hint="eastAsia" w:ascii="仿宋" w:hAnsi="仿宋" w:eastAsia="仿宋" w:cs="仿宋"/>
          <w:sz w:val="24"/>
          <w:lang w:val="en-US" w:eastAsia="zh-CN"/>
        </w:rPr>
        <w:t>确认</w:t>
      </w:r>
      <w:r>
        <w:rPr>
          <w:rFonts w:hint="eastAsia" w:ascii="仿宋" w:hAnsi="仿宋" w:eastAsia="仿宋" w:cs="仿宋"/>
          <w:sz w:val="24"/>
        </w:rPr>
        <w:t>、办理合同支付，组织验收、结算等。</w:t>
      </w:r>
    </w:p>
    <w:p>
      <w:pPr>
        <w:keepNext w:val="0"/>
        <w:keepLines w:val="0"/>
        <w:pageBreakBefore w:val="0"/>
        <w:widowControl w:val="0"/>
        <w:kinsoku/>
        <w:wordWrap/>
        <w:overflowPunct/>
        <w:topLinePunct w:val="0"/>
        <w:autoSpaceDE/>
        <w:autoSpaceDN/>
        <w:bidi w:val="0"/>
        <w:snapToGrid/>
        <w:spacing w:line="480" w:lineRule="exact"/>
        <w:ind w:firstLine="397"/>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w:t>
      </w:r>
      <w:r>
        <w:rPr>
          <w:rFonts w:hint="eastAsia" w:ascii="仿宋" w:hAnsi="仿宋" w:eastAsia="仿宋" w:cs="仿宋"/>
          <w:sz w:val="24"/>
        </w:rPr>
        <w:t>施工条件</w:t>
      </w:r>
    </w:p>
    <w:p>
      <w:pPr>
        <w:keepNext w:val="0"/>
        <w:keepLines w:val="0"/>
        <w:pageBreakBefore w:val="0"/>
        <w:widowControl w:val="0"/>
        <w:kinsoku/>
        <w:wordWrap/>
        <w:overflowPunct/>
        <w:topLinePunct w:val="0"/>
        <w:autoSpaceDE/>
        <w:autoSpaceDN/>
        <w:bidi w:val="0"/>
        <w:snapToGrid/>
        <w:spacing w:line="480" w:lineRule="exact"/>
        <w:ind w:firstLine="397"/>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w:t>
      </w:r>
      <w:r>
        <w:rPr>
          <w:rFonts w:hint="eastAsia" w:ascii="仿宋" w:hAnsi="仿宋" w:eastAsia="仿宋" w:cs="仿宋"/>
          <w:sz w:val="24"/>
        </w:rPr>
        <w:t>.1施工所需的水、电、通讯线路由承包人自行解决，费用已包在本工程合同价中。</w:t>
      </w:r>
    </w:p>
    <w:p>
      <w:pPr>
        <w:keepNext w:val="0"/>
        <w:keepLines w:val="0"/>
        <w:pageBreakBefore w:val="0"/>
        <w:widowControl w:val="0"/>
        <w:kinsoku/>
        <w:wordWrap/>
        <w:overflowPunct/>
        <w:topLinePunct w:val="0"/>
        <w:autoSpaceDE/>
        <w:autoSpaceDN/>
        <w:bidi w:val="0"/>
        <w:snapToGrid/>
        <w:spacing w:line="480" w:lineRule="exact"/>
        <w:ind w:firstLine="397"/>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w:t>
      </w:r>
      <w:r>
        <w:rPr>
          <w:rFonts w:hint="eastAsia" w:ascii="仿宋" w:hAnsi="仿宋" w:eastAsia="仿宋" w:cs="仿宋"/>
          <w:sz w:val="24"/>
        </w:rPr>
        <w:t>.2施工场地与公共道路的通道及施工便道均由承包人自行解决，费用已包在本工程合同价中。</w:t>
      </w:r>
    </w:p>
    <w:p>
      <w:pPr>
        <w:keepNext w:val="0"/>
        <w:keepLines w:val="0"/>
        <w:pageBreakBefore w:val="0"/>
        <w:widowControl w:val="0"/>
        <w:kinsoku/>
        <w:wordWrap/>
        <w:overflowPunct/>
        <w:topLinePunct w:val="0"/>
        <w:autoSpaceDE/>
        <w:autoSpaceDN/>
        <w:bidi w:val="0"/>
        <w:snapToGrid/>
        <w:spacing w:line="480" w:lineRule="exact"/>
        <w:ind w:firstLine="397"/>
        <w:rPr>
          <w:rFonts w:hint="default" w:eastAsia="仿宋"/>
          <w:lang w:val="en-US" w:eastAsia="zh-CN"/>
        </w:rPr>
      </w:pPr>
      <w:r>
        <w:rPr>
          <w:rFonts w:hint="eastAsia" w:ascii="仿宋" w:hAnsi="仿宋" w:eastAsia="仿宋" w:cs="仿宋"/>
          <w:sz w:val="24"/>
          <w:lang w:val="en-US" w:eastAsia="zh-CN"/>
        </w:rPr>
        <w:t>8.2.3发包人应协助承包人办理施工所需的水、电等手续，协助办理施工所涉及的各种申请、批件等手续。</w:t>
      </w:r>
    </w:p>
    <w:p>
      <w:pPr>
        <w:keepNext w:val="0"/>
        <w:keepLines w:val="0"/>
        <w:pageBreakBefore w:val="0"/>
        <w:widowControl w:val="0"/>
        <w:kinsoku/>
        <w:wordWrap/>
        <w:overflowPunct/>
        <w:topLinePunct w:val="0"/>
        <w:autoSpaceDE/>
        <w:autoSpaceDN/>
        <w:bidi w:val="0"/>
        <w:snapToGrid/>
        <w:spacing w:line="480" w:lineRule="exact"/>
        <w:ind w:firstLine="397"/>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3</w:t>
      </w:r>
      <w:r>
        <w:rPr>
          <w:rFonts w:hint="eastAsia" w:ascii="仿宋" w:hAnsi="仿宋" w:eastAsia="仿宋" w:cs="仿宋"/>
          <w:sz w:val="24"/>
        </w:rPr>
        <w:t>施工场地周围地下管线和邻近建筑物、构筑物、</w:t>
      </w:r>
      <w:r>
        <w:rPr>
          <w:rFonts w:hint="eastAsia" w:ascii="仿宋" w:hAnsi="仿宋" w:eastAsia="仿宋" w:cs="仿宋"/>
          <w:sz w:val="24"/>
          <w:lang w:eastAsia="zh-CN"/>
        </w:rPr>
        <w:t>历史文物、</w:t>
      </w:r>
      <w:r>
        <w:rPr>
          <w:rFonts w:hint="eastAsia" w:ascii="仿宋" w:hAnsi="仿宋" w:eastAsia="仿宋" w:cs="仿宋"/>
          <w:sz w:val="24"/>
        </w:rPr>
        <w:t>古树名木</w:t>
      </w:r>
      <w:r>
        <w:rPr>
          <w:rFonts w:hint="eastAsia" w:ascii="仿宋" w:hAnsi="仿宋" w:eastAsia="仿宋" w:cs="仿宋"/>
          <w:sz w:val="24"/>
          <w:lang w:val="en-US" w:eastAsia="zh-CN"/>
        </w:rPr>
        <w:t>等第三方设施</w:t>
      </w:r>
      <w:r>
        <w:rPr>
          <w:rFonts w:hint="eastAsia" w:ascii="仿宋" w:hAnsi="仿宋" w:eastAsia="仿宋" w:cs="仿宋"/>
          <w:sz w:val="24"/>
        </w:rPr>
        <w:t>保护</w:t>
      </w:r>
      <w:r>
        <w:rPr>
          <w:rFonts w:hint="eastAsia" w:ascii="仿宋" w:hAnsi="仿宋" w:eastAsia="仿宋" w:cs="仿宋"/>
          <w:sz w:val="24"/>
          <w:lang w:eastAsia="zh-CN"/>
        </w:rPr>
        <w:t>按相关规定执行，</w:t>
      </w:r>
      <w:r>
        <w:rPr>
          <w:rFonts w:hint="eastAsia" w:ascii="仿宋" w:hAnsi="仿宋" w:eastAsia="仿宋" w:cs="仿宋"/>
          <w:sz w:val="24"/>
        </w:rPr>
        <w:t>费用</w:t>
      </w:r>
      <w:r>
        <w:rPr>
          <w:rFonts w:hint="eastAsia" w:ascii="仿宋" w:hAnsi="仿宋" w:eastAsia="仿宋" w:cs="仿宋"/>
          <w:sz w:val="24"/>
          <w:lang w:eastAsia="zh-CN"/>
        </w:rPr>
        <w:t>纳入维修工程量，按实结算</w:t>
      </w:r>
      <w:r>
        <w:rPr>
          <w:rFonts w:hint="eastAsia" w:ascii="仿宋" w:hAnsi="仿宋" w:eastAsia="仿宋" w:cs="仿宋"/>
          <w:sz w:val="24"/>
        </w:rPr>
        <w:t>。因承包人原因导致施工场地周围地下管线、邻近建筑物、构筑物</w:t>
      </w:r>
      <w:r>
        <w:rPr>
          <w:rFonts w:hint="eastAsia" w:ascii="仿宋" w:hAnsi="仿宋" w:eastAsia="仿宋" w:cs="仿宋"/>
          <w:sz w:val="24"/>
          <w:lang w:eastAsia="zh-CN"/>
        </w:rPr>
        <w:t>、历史文物、</w:t>
      </w:r>
      <w:r>
        <w:rPr>
          <w:rFonts w:hint="eastAsia" w:ascii="仿宋" w:hAnsi="仿宋" w:eastAsia="仿宋" w:cs="仿宋"/>
          <w:sz w:val="24"/>
        </w:rPr>
        <w:t>古树名木等第三方</w:t>
      </w:r>
      <w:r>
        <w:rPr>
          <w:rFonts w:hint="eastAsia" w:ascii="仿宋" w:hAnsi="仿宋" w:eastAsia="仿宋" w:cs="仿宋"/>
          <w:sz w:val="24"/>
          <w:lang w:eastAsia="zh-CN"/>
        </w:rPr>
        <w:t>设施受损破坏</w:t>
      </w:r>
      <w:r>
        <w:rPr>
          <w:rFonts w:hint="eastAsia" w:ascii="仿宋" w:hAnsi="仿宋" w:eastAsia="仿宋" w:cs="仿宋"/>
          <w:sz w:val="24"/>
        </w:rPr>
        <w:t>的，一切责任和损失由承包人负责。</w:t>
      </w:r>
    </w:p>
    <w:p>
      <w:pPr>
        <w:keepNext w:val="0"/>
        <w:keepLines w:val="0"/>
        <w:pageBreakBefore w:val="0"/>
        <w:widowControl w:val="0"/>
        <w:kinsoku/>
        <w:wordWrap/>
        <w:overflowPunct/>
        <w:topLinePunct w:val="0"/>
        <w:autoSpaceDE/>
        <w:autoSpaceDN/>
        <w:bidi w:val="0"/>
        <w:snapToGrid/>
        <w:spacing w:line="480" w:lineRule="exact"/>
        <w:ind w:firstLine="495"/>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4</w:t>
      </w:r>
      <w:r>
        <w:rPr>
          <w:rFonts w:hint="eastAsia" w:ascii="仿宋" w:hAnsi="仿宋" w:eastAsia="仿宋" w:cs="仿宋"/>
          <w:sz w:val="24"/>
        </w:rPr>
        <w:t>承包人在收到发包人下达的</w:t>
      </w:r>
      <w:r>
        <w:rPr>
          <w:rFonts w:hint="eastAsia" w:ascii="仿宋" w:hAnsi="仿宋" w:eastAsia="仿宋" w:cs="仿宋"/>
          <w:sz w:val="24"/>
          <w:lang w:eastAsia="zh-CN"/>
        </w:rPr>
        <w:t>维修改造前期</w:t>
      </w:r>
      <w:r>
        <w:rPr>
          <w:rFonts w:hint="eastAsia" w:ascii="仿宋" w:hAnsi="仿宋" w:eastAsia="仿宋" w:cs="仿宋"/>
          <w:sz w:val="24"/>
        </w:rPr>
        <w:t>任务通知书后，</w:t>
      </w:r>
      <w:r>
        <w:rPr>
          <w:rFonts w:hint="eastAsia" w:ascii="仿宋" w:hAnsi="仿宋" w:eastAsia="仿宋" w:cs="仿宋"/>
          <w:sz w:val="24"/>
          <w:lang w:eastAsia="zh-CN"/>
        </w:rPr>
        <w:t>按前期</w:t>
      </w:r>
      <w:r>
        <w:rPr>
          <w:rFonts w:hint="eastAsia" w:ascii="仿宋" w:hAnsi="仿宋" w:eastAsia="仿宋" w:cs="仿宋"/>
          <w:sz w:val="24"/>
        </w:rPr>
        <w:t>通知书限定的时间内完成施工方案（工艺）、方案（工艺）图、效果图</w:t>
      </w:r>
      <w:r>
        <w:rPr>
          <w:rFonts w:hint="eastAsia" w:ascii="仿宋" w:hAnsi="仿宋" w:eastAsia="仿宋" w:cs="仿宋"/>
          <w:sz w:val="24"/>
          <w:lang w:eastAsia="zh-CN"/>
        </w:rPr>
        <w:t>、</w:t>
      </w:r>
      <w:r>
        <w:rPr>
          <w:rFonts w:hint="eastAsia" w:ascii="仿宋" w:hAnsi="仿宋" w:eastAsia="仿宋" w:cs="仿宋"/>
          <w:sz w:val="24"/>
          <w:lang w:val="en-US" w:eastAsia="zh-CN"/>
        </w:rPr>
        <w:t>任务</w:t>
      </w:r>
      <w:r>
        <w:rPr>
          <w:rFonts w:hint="eastAsia" w:ascii="仿宋" w:hAnsi="仿宋" w:eastAsia="仿宋" w:cs="仿宋"/>
          <w:sz w:val="24"/>
        </w:rPr>
        <w:t>估算等资料的编制和提交监理单位审核。逾期未</w:t>
      </w:r>
      <w:r>
        <w:rPr>
          <w:rFonts w:hint="eastAsia" w:ascii="仿宋" w:hAnsi="仿宋" w:eastAsia="仿宋" w:cs="仿宋"/>
          <w:sz w:val="24"/>
          <w:lang w:val="en-US" w:eastAsia="zh-CN"/>
        </w:rPr>
        <w:t>提交的</w:t>
      </w:r>
      <w:r>
        <w:rPr>
          <w:rFonts w:hint="eastAsia" w:ascii="仿宋" w:hAnsi="仿宋" w:eastAsia="仿宋" w:cs="仿宋"/>
          <w:sz w:val="24"/>
        </w:rPr>
        <w:t>，每逾期一天，发包人有权</w:t>
      </w:r>
      <w:r>
        <w:rPr>
          <w:rFonts w:hint="eastAsia" w:ascii="仿宋" w:hAnsi="仿宋" w:eastAsia="仿宋" w:cs="仿宋"/>
          <w:sz w:val="24"/>
          <w:lang w:eastAsia="zh-CN"/>
        </w:rPr>
        <w:t>按</w:t>
      </w:r>
      <w:r>
        <w:rPr>
          <w:rFonts w:hint="eastAsia" w:ascii="仿宋" w:hAnsi="仿宋" w:eastAsia="仿宋" w:cs="仿宋"/>
          <w:sz w:val="24"/>
          <w:lang w:val="en-US" w:eastAsia="zh-CN"/>
        </w:rPr>
        <w:t>1</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eastAsia="zh-CN"/>
        </w:rPr>
        <w:t>1</w:t>
      </w:r>
      <w:r>
        <w:rPr>
          <w:rFonts w:hint="eastAsia" w:ascii="仿宋" w:hAnsi="仿宋" w:eastAsia="仿宋" w:cs="仿宋"/>
          <w:sz w:val="24"/>
          <w:lang w:val="en-US" w:eastAsia="zh-CN"/>
        </w:rPr>
        <w:t>0</w:t>
      </w:r>
      <w:r>
        <w:rPr>
          <w:rFonts w:hint="eastAsia" w:ascii="仿宋" w:hAnsi="仿宋" w:eastAsia="仿宋" w:cs="仿宋"/>
          <w:sz w:val="24"/>
        </w:rPr>
        <w:t>天仍不报送，发包人有权</w:t>
      </w:r>
      <w:r>
        <w:rPr>
          <w:rFonts w:hint="eastAsia" w:ascii="仿宋" w:hAnsi="仿宋" w:eastAsia="仿宋" w:cs="仿宋"/>
          <w:sz w:val="24"/>
          <w:lang w:eastAsia="zh-CN"/>
        </w:rPr>
        <w:t>按</w:t>
      </w:r>
      <w:r>
        <w:rPr>
          <w:rFonts w:hint="eastAsia" w:ascii="仿宋" w:hAnsi="仿宋" w:eastAsia="仿宋" w:cs="仿宋"/>
          <w:sz w:val="24"/>
          <w:lang w:val="en-US" w:eastAsia="zh-CN"/>
        </w:rPr>
        <w:t>2</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val="en-US" w:eastAsia="zh-CN"/>
        </w:rPr>
        <w:t>30</w:t>
      </w:r>
      <w:r>
        <w:rPr>
          <w:rFonts w:hint="eastAsia" w:ascii="仿宋" w:hAnsi="仿宋" w:eastAsia="仿宋" w:cs="仿宋"/>
          <w:sz w:val="24"/>
        </w:rPr>
        <w:t>天仍不报</w:t>
      </w:r>
      <w:r>
        <w:rPr>
          <w:rFonts w:hint="eastAsia" w:ascii="仿宋" w:hAnsi="仿宋" w:eastAsia="仿宋" w:cs="仿宋"/>
          <w:sz w:val="24"/>
          <w:lang w:eastAsia="zh-CN"/>
        </w:rPr>
        <w:t>送，</w:t>
      </w:r>
      <w:r>
        <w:rPr>
          <w:rFonts w:hint="eastAsia" w:ascii="仿宋" w:hAnsi="仿宋" w:eastAsia="仿宋" w:cs="仿宋"/>
          <w:sz w:val="24"/>
        </w:rPr>
        <w:t>发包人有权单方面解除合同。</w:t>
      </w:r>
    </w:p>
    <w:p>
      <w:pPr>
        <w:keepNext w:val="0"/>
        <w:keepLines w:val="0"/>
        <w:pageBreakBefore w:val="0"/>
        <w:widowControl w:val="0"/>
        <w:kinsoku/>
        <w:wordWrap/>
        <w:overflowPunct/>
        <w:topLinePunct w:val="0"/>
        <w:autoSpaceDE/>
        <w:autoSpaceDN/>
        <w:bidi w:val="0"/>
        <w:snapToGrid/>
        <w:spacing w:line="480" w:lineRule="exact"/>
        <w:ind w:firstLine="495"/>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5</w:t>
      </w:r>
      <w:r>
        <w:rPr>
          <w:rFonts w:hint="eastAsia" w:ascii="仿宋" w:hAnsi="仿宋" w:eastAsia="仿宋" w:cs="仿宋"/>
          <w:sz w:val="24"/>
        </w:rPr>
        <w:t>承包人严格按照审定的</w:t>
      </w:r>
      <w:r>
        <w:rPr>
          <w:rFonts w:hint="eastAsia" w:ascii="仿宋" w:hAnsi="仿宋" w:eastAsia="仿宋" w:cs="仿宋"/>
          <w:sz w:val="24"/>
          <w:lang w:eastAsia="zh-CN"/>
        </w:rPr>
        <w:t>维修改造方案</w:t>
      </w:r>
      <w:r>
        <w:rPr>
          <w:rFonts w:hint="eastAsia" w:ascii="仿宋" w:hAnsi="仿宋" w:eastAsia="仿宋" w:cs="仿宋"/>
          <w:sz w:val="24"/>
        </w:rPr>
        <w:t>施工，施工期间不得随意改变</w:t>
      </w:r>
      <w:r>
        <w:rPr>
          <w:rFonts w:hint="eastAsia" w:ascii="仿宋" w:hAnsi="仿宋" w:eastAsia="仿宋" w:cs="仿宋"/>
          <w:sz w:val="24"/>
          <w:lang w:eastAsia="zh-CN"/>
        </w:rPr>
        <w:t>维修改造方案</w:t>
      </w:r>
      <w:r>
        <w:rPr>
          <w:rFonts w:hint="eastAsia" w:ascii="仿宋" w:hAnsi="仿宋" w:eastAsia="仿宋" w:cs="仿宋"/>
          <w:sz w:val="24"/>
        </w:rPr>
        <w:t>，如确需改变须</w:t>
      </w:r>
      <w:r>
        <w:rPr>
          <w:rFonts w:hint="eastAsia" w:ascii="仿宋" w:hAnsi="仿宋" w:eastAsia="仿宋" w:cs="仿宋"/>
          <w:sz w:val="24"/>
          <w:lang w:val="en-US" w:eastAsia="zh-CN"/>
        </w:rPr>
        <w:t>报监理审核，并</w:t>
      </w:r>
      <w:r>
        <w:rPr>
          <w:rFonts w:hint="eastAsia" w:ascii="仿宋" w:hAnsi="仿宋" w:eastAsia="仿宋" w:cs="仿宋"/>
          <w:sz w:val="24"/>
        </w:rPr>
        <w:t>经发包人同意，</w:t>
      </w:r>
      <w:r>
        <w:rPr>
          <w:rFonts w:hint="eastAsia" w:ascii="仿宋" w:hAnsi="仿宋" w:eastAsia="仿宋" w:cs="仿宋"/>
          <w:sz w:val="24"/>
          <w:lang w:eastAsia="zh-CN"/>
        </w:rPr>
        <w:t>并完善相关资料和手续</w:t>
      </w:r>
      <w:r>
        <w:rPr>
          <w:rFonts w:hint="eastAsia" w:ascii="仿宋" w:hAnsi="仿宋" w:eastAsia="仿宋" w:cs="仿宋"/>
          <w:sz w:val="24"/>
        </w:rPr>
        <w:t>。未经发包人同意擅自更改</w:t>
      </w:r>
      <w:r>
        <w:rPr>
          <w:rFonts w:hint="eastAsia" w:ascii="仿宋" w:hAnsi="仿宋" w:eastAsia="仿宋" w:cs="仿宋"/>
          <w:sz w:val="24"/>
          <w:lang w:eastAsia="zh-CN"/>
        </w:rPr>
        <w:t>维修改造方案</w:t>
      </w:r>
      <w:r>
        <w:rPr>
          <w:rFonts w:hint="eastAsia" w:ascii="仿宋" w:hAnsi="仿宋" w:eastAsia="仿宋" w:cs="仿宋"/>
          <w:sz w:val="24"/>
        </w:rPr>
        <w:t>施工的，发包人有权按2000元/</w:t>
      </w:r>
      <w:r>
        <w:rPr>
          <w:rFonts w:hint="eastAsia" w:ascii="仿宋" w:hAnsi="仿宋" w:eastAsia="仿宋" w:cs="仿宋"/>
          <w:sz w:val="24"/>
          <w:lang w:val="en-US" w:eastAsia="zh-CN"/>
        </w:rPr>
        <w:t>宗标准</w:t>
      </w:r>
      <w:r>
        <w:rPr>
          <w:rFonts w:hint="eastAsia" w:ascii="仿宋" w:hAnsi="仿宋" w:eastAsia="仿宋" w:cs="仿宋"/>
          <w:sz w:val="24"/>
        </w:rPr>
        <w:t>在支付工程款时扣减承包人违约金，</w:t>
      </w:r>
      <w:r>
        <w:rPr>
          <w:rFonts w:hint="eastAsia" w:ascii="仿宋" w:hAnsi="仿宋" w:eastAsia="仿宋" w:cs="仿宋"/>
          <w:sz w:val="24"/>
          <w:lang w:eastAsia="zh-CN"/>
        </w:rPr>
        <w:t>并按原方案进行整改</w:t>
      </w:r>
      <w:r>
        <w:rPr>
          <w:rFonts w:hint="eastAsia" w:ascii="仿宋" w:hAnsi="仿宋" w:eastAsia="仿宋" w:cs="仿宋"/>
          <w:sz w:val="24"/>
          <w:lang w:val="en-US" w:eastAsia="zh-CN"/>
        </w:rPr>
        <w:t>，</w:t>
      </w:r>
      <w:r>
        <w:rPr>
          <w:rFonts w:hint="eastAsia" w:ascii="仿宋" w:hAnsi="仿宋" w:eastAsia="仿宋" w:cs="仿宋"/>
          <w:sz w:val="24"/>
        </w:rPr>
        <w:t>所造成的经济损失和责任全部由承包人承担。</w:t>
      </w:r>
    </w:p>
    <w:p>
      <w:pPr>
        <w:keepNext w:val="0"/>
        <w:keepLines w:val="0"/>
        <w:pageBreakBefore w:val="0"/>
        <w:widowControl w:val="0"/>
        <w:kinsoku/>
        <w:wordWrap/>
        <w:overflowPunct/>
        <w:topLinePunct w:val="0"/>
        <w:autoSpaceDE/>
        <w:autoSpaceDN/>
        <w:bidi w:val="0"/>
        <w:snapToGrid/>
        <w:spacing w:line="480" w:lineRule="exact"/>
        <w:ind w:firstLine="495" w:firstLineChars="0"/>
        <w:rPr>
          <w:rFonts w:hint="eastAsia" w:ascii="仿宋" w:hAnsi="仿宋" w:eastAsia="仿宋" w:cs="仿宋"/>
          <w:sz w:val="24"/>
        </w:rPr>
      </w:pPr>
      <w:r>
        <w:rPr>
          <w:rFonts w:hint="eastAsia" w:ascii="仿宋" w:hAnsi="仿宋" w:eastAsia="仿宋" w:cs="仿宋"/>
          <w:sz w:val="24"/>
          <w:lang w:val="en-US" w:eastAsia="zh-CN"/>
        </w:rPr>
        <w:t>8.6</w:t>
      </w:r>
      <w:r>
        <w:rPr>
          <w:rFonts w:hint="eastAsia" w:ascii="仿宋" w:hAnsi="仿宋" w:eastAsia="仿宋" w:cs="仿宋"/>
          <w:sz w:val="24"/>
        </w:rPr>
        <w:t>承包人</w:t>
      </w:r>
      <w:r>
        <w:rPr>
          <w:rFonts w:hint="eastAsia" w:ascii="仿宋" w:hAnsi="仿宋" w:eastAsia="仿宋" w:cs="仿宋"/>
          <w:sz w:val="24"/>
          <w:lang w:eastAsia="zh-CN"/>
        </w:rPr>
        <w:t>收到</w:t>
      </w:r>
      <w:r>
        <w:rPr>
          <w:rFonts w:hint="eastAsia" w:ascii="仿宋" w:hAnsi="仿宋" w:eastAsia="仿宋" w:cs="仿宋"/>
          <w:sz w:val="24"/>
        </w:rPr>
        <w:t>任务通知书3天内，承包人应组织进场施工，逾期不进场，每逾期一天，发包人有权</w:t>
      </w:r>
      <w:r>
        <w:rPr>
          <w:rFonts w:hint="eastAsia" w:ascii="仿宋" w:hAnsi="仿宋" w:eastAsia="仿宋" w:cs="仿宋"/>
          <w:sz w:val="24"/>
          <w:lang w:eastAsia="zh-CN"/>
        </w:rPr>
        <w:t>按</w:t>
      </w:r>
      <w:r>
        <w:rPr>
          <w:rFonts w:hint="eastAsia" w:ascii="仿宋" w:hAnsi="仿宋" w:eastAsia="仿宋" w:cs="仿宋"/>
          <w:sz w:val="24"/>
          <w:lang w:val="en-US" w:eastAsia="zh-CN"/>
        </w:rPr>
        <w:t>10</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val="en-US" w:eastAsia="zh-CN"/>
        </w:rPr>
        <w:t>10</w:t>
      </w:r>
      <w:r>
        <w:rPr>
          <w:rFonts w:hint="eastAsia" w:ascii="仿宋" w:hAnsi="仿宋" w:eastAsia="仿宋" w:cs="仿宋"/>
          <w:sz w:val="24"/>
        </w:rPr>
        <w:t>天仍不进场，发包人有权</w:t>
      </w:r>
      <w:r>
        <w:rPr>
          <w:rFonts w:hint="eastAsia" w:ascii="仿宋" w:hAnsi="仿宋" w:eastAsia="仿宋" w:cs="仿宋"/>
          <w:sz w:val="24"/>
          <w:lang w:eastAsia="zh-CN"/>
        </w:rPr>
        <w:t>按</w:t>
      </w:r>
      <w:r>
        <w:rPr>
          <w:rFonts w:hint="eastAsia" w:ascii="仿宋" w:hAnsi="仿宋" w:eastAsia="仿宋" w:cs="仿宋"/>
          <w:sz w:val="24"/>
          <w:lang w:val="en-US" w:eastAsia="zh-CN"/>
        </w:rPr>
        <w:t>20</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；逾期超过</w:t>
      </w:r>
      <w:r>
        <w:rPr>
          <w:rFonts w:hint="eastAsia" w:ascii="仿宋" w:hAnsi="仿宋" w:eastAsia="仿宋" w:cs="仿宋"/>
          <w:sz w:val="24"/>
          <w:lang w:val="en-US" w:eastAsia="zh-CN"/>
        </w:rPr>
        <w:t>30天</w:t>
      </w:r>
      <w:r>
        <w:rPr>
          <w:rFonts w:hint="eastAsia" w:ascii="仿宋" w:hAnsi="仿宋" w:eastAsia="仿宋" w:cs="仿宋"/>
          <w:sz w:val="24"/>
        </w:rPr>
        <w:t>，发包人有权单方面解除合同。</w:t>
      </w:r>
    </w:p>
    <w:p>
      <w:pPr>
        <w:pStyle w:val="2"/>
        <w:keepNext w:val="0"/>
        <w:keepLines w:val="0"/>
        <w:pageBreakBefore w:val="0"/>
        <w:widowControl w:val="0"/>
        <w:kinsoku/>
        <w:wordWrap/>
        <w:overflowPunct/>
        <w:topLinePunct w:val="0"/>
        <w:autoSpaceDE/>
        <w:autoSpaceDN/>
        <w:bidi w:val="0"/>
        <w:snapToGrid/>
        <w:spacing w:line="480" w:lineRule="exact"/>
        <w:ind w:firstLine="480" w:firstLineChars="200"/>
        <w:rPr>
          <w:rFonts w:hint="default"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8.7承包人未经发包人和监理同意，擅自组织进场施工，发包人有权按2000元/次标准在支付工程款时扣减承包人违约金，承包人必须立即停止施工，等待开工指令。承包人施工如超出拟定方案和范围，超出部分发包人不予确认，所需费用由承包人承担。</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仿宋" w:hAnsi="仿宋" w:eastAsia="仿宋" w:cs="仿宋"/>
          <w:sz w:val="24"/>
        </w:rPr>
      </w:pPr>
      <w:r>
        <w:rPr>
          <w:rFonts w:hint="eastAsia" w:ascii="仿宋" w:hAnsi="仿宋" w:eastAsia="仿宋" w:cs="仿宋"/>
          <w:kern w:val="2"/>
          <w:sz w:val="24"/>
          <w:szCs w:val="22"/>
          <w:lang w:val="en-US" w:eastAsia="zh-CN" w:bidi="ar-SA"/>
        </w:rPr>
        <w:t>8.8承包人须严格按照发包人下达给承包人的维修改造任务书中列明的完工时间按期完工，若因不可抗力因素需要</w:t>
      </w:r>
      <w:r>
        <w:rPr>
          <w:rFonts w:hint="eastAsia" w:ascii="仿宋" w:hAnsi="仿宋" w:eastAsia="仿宋" w:cs="仿宋"/>
          <w:sz w:val="24"/>
        </w:rPr>
        <w:t>工期</w:t>
      </w:r>
      <w:r>
        <w:rPr>
          <w:rFonts w:hint="eastAsia" w:ascii="仿宋" w:hAnsi="仿宋" w:eastAsia="仿宋" w:cs="仿宋"/>
          <w:sz w:val="24"/>
          <w:lang w:eastAsia="zh-CN"/>
        </w:rPr>
        <w:t>延后的</w:t>
      </w:r>
      <w:r>
        <w:rPr>
          <w:rFonts w:hint="eastAsia" w:ascii="仿宋" w:hAnsi="仿宋" w:eastAsia="仿宋" w:cs="仿宋"/>
          <w:sz w:val="24"/>
        </w:rPr>
        <w:t>，</w:t>
      </w:r>
      <w:r>
        <w:rPr>
          <w:rFonts w:hint="eastAsia" w:ascii="仿宋" w:hAnsi="仿宋" w:eastAsia="仿宋" w:cs="仿宋"/>
          <w:kern w:val="2"/>
          <w:sz w:val="24"/>
          <w:szCs w:val="22"/>
          <w:lang w:val="en-US" w:eastAsia="zh-CN" w:bidi="ar-SA"/>
        </w:rPr>
        <w:t>承包人须在工期到期提前7个工作日天内，书面向监理人提出申请，经总监理工程师审核同意后报发包</w:t>
      </w:r>
      <w:r>
        <w:rPr>
          <w:rFonts w:hint="eastAsia" w:ascii="仿宋" w:hAnsi="仿宋" w:eastAsia="仿宋" w:cs="仿宋"/>
          <w:sz w:val="24"/>
        </w:rPr>
        <w:t>人</w:t>
      </w:r>
      <w:r>
        <w:rPr>
          <w:rFonts w:hint="eastAsia" w:ascii="仿宋" w:hAnsi="仿宋" w:eastAsia="仿宋" w:cs="仿宋"/>
          <w:sz w:val="24"/>
          <w:lang w:eastAsia="zh-CN"/>
        </w:rPr>
        <w:t>审批，经审批</w:t>
      </w:r>
      <w:r>
        <w:rPr>
          <w:rFonts w:hint="eastAsia" w:ascii="仿宋" w:hAnsi="仿宋" w:eastAsia="仿宋" w:cs="仿宋"/>
          <w:sz w:val="24"/>
        </w:rPr>
        <w:t>同意</w:t>
      </w:r>
      <w:r>
        <w:rPr>
          <w:rFonts w:hint="eastAsia" w:ascii="仿宋" w:hAnsi="仿宋" w:eastAsia="仿宋" w:cs="仿宋"/>
          <w:sz w:val="24"/>
          <w:lang w:eastAsia="zh-CN"/>
        </w:rPr>
        <w:t>后方可延长工期。</w:t>
      </w:r>
      <w:r>
        <w:rPr>
          <w:rFonts w:hint="eastAsia" w:ascii="仿宋" w:hAnsi="仿宋" w:eastAsia="仿宋" w:cs="仿宋"/>
          <w:sz w:val="24"/>
          <w:lang w:val="en-US" w:eastAsia="zh-CN"/>
        </w:rPr>
        <w:t>否则，</w:t>
      </w:r>
      <w:r>
        <w:rPr>
          <w:rFonts w:hint="eastAsia" w:ascii="仿宋" w:hAnsi="仿宋" w:eastAsia="仿宋" w:cs="仿宋"/>
          <w:sz w:val="24"/>
        </w:rPr>
        <w:t>每逾期</w:t>
      </w:r>
      <w:r>
        <w:rPr>
          <w:rFonts w:hint="eastAsia" w:ascii="仿宋" w:hAnsi="仿宋" w:eastAsia="仿宋" w:cs="仿宋"/>
          <w:sz w:val="24"/>
          <w:lang w:eastAsia="zh-CN"/>
        </w:rPr>
        <w:t>完工</w:t>
      </w:r>
      <w:r>
        <w:rPr>
          <w:rFonts w:hint="eastAsia" w:ascii="仿宋" w:hAnsi="仿宋" w:eastAsia="仿宋" w:cs="仿宋"/>
          <w:sz w:val="24"/>
        </w:rPr>
        <w:t>一天，发包人有权要求承包人支付违约金</w:t>
      </w:r>
      <w:r>
        <w:rPr>
          <w:rFonts w:hint="eastAsia" w:ascii="仿宋" w:hAnsi="仿宋" w:eastAsia="仿宋" w:cs="仿宋"/>
          <w:sz w:val="24"/>
          <w:lang w:val="en-US" w:eastAsia="zh-CN"/>
        </w:rPr>
        <w:t>2</w:t>
      </w:r>
      <w:r>
        <w:rPr>
          <w:rFonts w:hint="eastAsia" w:ascii="仿宋" w:hAnsi="仿宋" w:eastAsia="仿宋" w:cs="仿宋"/>
          <w:sz w:val="24"/>
        </w:rPr>
        <w:t>000元</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val="en-US" w:eastAsia="zh-CN"/>
        </w:rPr>
        <w:t>15</w:t>
      </w:r>
      <w:r>
        <w:rPr>
          <w:rFonts w:hint="eastAsia" w:ascii="仿宋" w:hAnsi="仿宋" w:eastAsia="仿宋" w:cs="仿宋"/>
          <w:sz w:val="24"/>
        </w:rPr>
        <w:t>天</w:t>
      </w:r>
      <w:r>
        <w:rPr>
          <w:rFonts w:hint="eastAsia" w:ascii="仿宋" w:hAnsi="仿宋" w:eastAsia="仿宋" w:cs="仿宋"/>
          <w:sz w:val="24"/>
          <w:lang w:val="en-US" w:eastAsia="zh-CN"/>
        </w:rPr>
        <w:t>的</w:t>
      </w:r>
      <w:r>
        <w:rPr>
          <w:rFonts w:hint="eastAsia" w:ascii="仿宋" w:hAnsi="仿宋" w:eastAsia="仿宋" w:cs="仿宋"/>
          <w:sz w:val="24"/>
        </w:rPr>
        <w:t>，发包人有权按</w:t>
      </w:r>
      <w:r>
        <w:rPr>
          <w:rFonts w:hint="eastAsia" w:ascii="仿宋" w:hAnsi="仿宋" w:eastAsia="仿宋" w:cs="仿宋"/>
          <w:sz w:val="24"/>
          <w:lang w:val="en-US" w:eastAsia="zh-CN"/>
        </w:rPr>
        <w:t>5</w:t>
      </w:r>
      <w:r>
        <w:rPr>
          <w:rFonts w:hint="eastAsia" w:ascii="仿宋" w:hAnsi="仿宋" w:eastAsia="仿宋" w:cs="仿宋"/>
          <w:sz w:val="24"/>
        </w:rPr>
        <w:t>000元/天扣减承包人违约金</w:t>
      </w:r>
      <w:r>
        <w:rPr>
          <w:rFonts w:hint="eastAsia" w:ascii="仿宋" w:hAnsi="仿宋" w:eastAsia="仿宋" w:cs="仿宋"/>
          <w:sz w:val="24"/>
          <w:lang w:eastAsia="zh-CN"/>
        </w:rPr>
        <w:t>；</w:t>
      </w:r>
      <w:r>
        <w:rPr>
          <w:rFonts w:hint="eastAsia" w:ascii="仿宋" w:hAnsi="仿宋" w:eastAsia="仿宋" w:cs="仿宋"/>
          <w:sz w:val="24"/>
        </w:rPr>
        <w:t>逾期</w:t>
      </w:r>
      <w:r>
        <w:rPr>
          <w:rFonts w:hint="eastAsia" w:ascii="仿宋" w:hAnsi="仿宋" w:eastAsia="仿宋" w:cs="仿宋"/>
          <w:sz w:val="24"/>
          <w:lang w:val="en-US" w:eastAsia="zh-CN"/>
        </w:rPr>
        <w:t>30</w:t>
      </w:r>
      <w:r>
        <w:rPr>
          <w:rFonts w:hint="eastAsia" w:ascii="仿宋" w:hAnsi="仿宋" w:eastAsia="仿宋" w:cs="仿宋"/>
          <w:sz w:val="24"/>
        </w:rPr>
        <w:t>天仍未完工的，发包人有权单方面解除合同。</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8.9</w:t>
      </w:r>
      <w:r>
        <w:rPr>
          <w:rFonts w:hint="eastAsia" w:ascii="仿宋" w:hAnsi="仿宋" w:eastAsia="仿宋" w:cs="仿宋"/>
          <w:sz w:val="24"/>
        </w:rPr>
        <w:t>承包人采购的</w:t>
      </w:r>
      <w:r>
        <w:rPr>
          <w:rFonts w:hint="eastAsia" w:ascii="仿宋" w:hAnsi="仿宋" w:eastAsia="仿宋" w:cs="仿宋"/>
          <w:sz w:val="24"/>
          <w:lang w:val="en-US" w:eastAsia="zh-CN"/>
        </w:rPr>
        <w:t>主要</w:t>
      </w:r>
      <w:r>
        <w:rPr>
          <w:rFonts w:hint="eastAsia" w:ascii="仿宋" w:hAnsi="仿宋" w:eastAsia="仿宋" w:cs="仿宋"/>
          <w:sz w:val="24"/>
        </w:rPr>
        <w:t>材料和设备应符合有关规范要求。</w:t>
      </w:r>
      <w:r>
        <w:rPr>
          <w:rFonts w:hint="eastAsia" w:ascii="仿宋" w:hAnsi="仿宋" w:eastAsia="仿宋" w:cs="仿宋"/>
          <w:sz w:val="24"/>
          <w:lang w:val="en-US" w:eastAsia="zh-CN"/>
        </w:rPr>
        <w:t>主要</w:t>
      </w:r>
      <w:r>
        <w:rPr>
          <w:rFonts w:hint="eastAsia" w:ascii="仿宋" w:hAnsi="仿宋" w:eastAsia="仿宋" w:cs="仿宋"/>
          <w:sz w:val="24"/>
        </w:rPr>
        <w:t>材料、设备用于工程前，</w:t>
      </w:r>
      <w:r>
        <w:rPr>
          <w:rFonts w:hint="eastAsia" w:ascii="仿宋" w:hAnsi="仿宋" w:eastAsia="仿宋" w:cs="仿宋"/>
          <w:sz w:val="24"/>
          <w:lang w:val="en-US" w:eastAsia="zh-CN"/>
        </w:rPr>
        <w:t>应</w:t>
      </w:r>
      <w:r>
        <w:rPr>
          <w:rFonts w:hint="eastAsia" w:ascii="仿宋" w:hAnsi="仿宋" w:eastAsia="仿宋" w:cs="仿宋"/>
          <w:sz w:val="24"/>
        </w:rPr>
        <w:t>按要求进行入场报验。未按要求报验的，发包人有权要求承包人支付违约金10000元</w:t>
      </w:r>
      <w:r>
        <w:rPr>
          <w:rFonts w:hint="eastAsia" w:ascii="仿宋" w:hAnsi="仿宋" w:eastAsia="仿宋" w:cs="仿宋"/>
          <w:sz w:val="24"/>
          <w:lang w:val="en-US" w:eastAsia="zh-CN"/>
        </w:rPr>
        <w:t>/批次</w:t>
      </w:r>
      <w:r>
        <w:rPr>
          <w:rFonts w:hint="eastAsia" w:ascii="仿宋" w:hAnsi="仿宋" w:eastAsia="仿宋" w:cs="仿宋"/>
          <w:sz w:val="24"/>
        </w:rPr>
        <w:t>，违约金在支付工程款时予以扣除。</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仿宋" w:hAnsi="仿宋" w:eastAsia="仿宋" w:cs="仿宋"/>
          <w:sz w:val="24"/>
        </w:rPr>
      </w:pPr>
      <w:r>
        <w:rPr>
          <w:rFonts w:hint="eastAsia" w:ascii="仿宋" w:hAnsi="仿宋" w:eastAsia="仿宋" w:cs="仿宋"/>
          <w:sz w:val="24"/>
          <w:lang w:eastAsia="zh-CN"/>
        </w:rPr>
        <w:t>8</w:t>
      </w:r>
      <w:r>
        <w:rPr>
          <w:rFonts w:hint="eastAsia" w:ascii="仿宋" w:hAnsi="仿宋" w:eastAsia="仿宋" w:cs="仿宋"/>
          <w:sz w:val="24"/>
          <w:lang w:val="en-US" w:eastAsia="zh-CN"/>
        </w:rPr>
        <w:t>.10</w:t>
      </w:r>
      <w:r>
        <w:rPr>
          <w:rFonts w:hint="eastAsia" w:ascii="仿宋" w:hAnsi="仿宋" w:eastAsia="仿宋" w:cs="仿宋"/>
          <w:sz w:val="24"/>
        </w:rPr>
        <w:t>承包人须严格履职，按规范和发包人要求对工程质量进行有效管理，因承包人原因导致工程质量不合格的，经业主</w:t>
      </w:r>
      <w:r>
        <w:rPr>
          <w:rFonts w:hint="eastAsia" w:ascii="仿宋" w:hAnsi="仿宋" w:eastAsia="仿宋" w:cs="仿宋"/>
          <w:sz w:val="24"/>
          <w:lang w:eastAsia="zh-CN"/>
        </w:rPr>
        <w:t>、</w:t>
      </w:r>
      <w:r>
        <w:rPr>
          <w:rFonts w:hint="eastAsia" w:ascii="仿宋" w:hAnsi="仿宋" w:eastAsia="仿宋" w:cs="仿宋"/>
          <w:sz w:val="24"/>
        </w:rPr>
        <w:t>监理检查</w:t>
      </w:r>
      <w:r>
        <w:rPr>
          <w:rFonts w:hint="eastAsia" w:ascii="仿宋" w:hAnsi="仿宋" w:eastAsia="仿宋" w:cs="仿宋"/>
          <w:sz w:val="24"/>
          <w:lang w:val="en-US" w:eastAsia="zh-CN"/>
        </w:rPr>
        <w:t>或其他部门通报</w:t>
      </w:r>
      <w:r>
        <w:rPr>
          <w:rFonts w:hint="eastAsia" w:ascii="仿宋" w:hAnsi="仿宋" w:eastAsia="仿宋" w:cs="仿宋"/>
          <w:sz w:val="24"/>
        </w:rPr>
        <w:t>，每发现一次，发包人有权要求承包人支付违约金10000元，违约金在支付工程款时予以扣</w:t>
      </w:r>
      <w:r>
        <w:rPr>
          <w:rFonts w:hint="eastAsia" w:ascii="仿宋" w:hAnsi="仿宋" w:eastAsia="仿宋" w:cs="仿宋"/>
          <w:sz w:val="24"/>
          <w:lang w:eastAsia="zh-CN"/>
        </w:rPr>
        <w:t>减</w:t>
      </w:r>
      <w:r>
        <w:rPr>
          <w:rFonts w:hint="eastAsia" w:ascii="仿宋" w:hAnsi="仿宋" w:eastAsia="仿宋" w:cs="仿宋"/>
          <w:sz w:val="24"/>
        </w:rPr>
        <w:t>。接发包人相应违约扣款通知后，承包人仍未采取有效措施整改，发包人有权根据相应管理办法将有关违约行为作为不良记录，上报区水行政主管部门及其他相关建设单位管理部门。</w:t>
      </w:r>
    </w:p>
    <w:p>
      <w:pPr>
        <w:keepNext w:val="0"/>
        <w:keepLines w:val="0"/>
        <w:pageBreakBefore w:val="0"/>
        <w:widowControl w:val="0"/>
        <w:kinsoku/>
        <w:wordWrap/>
        <w:overflowPunct/>
        <w:topLinePunct w:val="0"/>
        <w:autoSpaceDE/>
        <w:autoSpaceDN/>
        <w:bidi w:val="0"/>
        <w:snapToGrid/>
        <w:spacing w:line="480" w:lineRule="exact"/>
        <w:ind w:firstLine="495" w:firstLineChars="0"/>
        <w:rPr>
          <w:rFonts w:hint="eastAsia" w:ascii="仿宋" w:hAnsi="仿宋" w:eastAsia="仿宋" w:cs="仿宋"/>
          <w:sz w:val="24"/>
        </w:rPr>
      </w:pPr>
      <w:r>
        <w:rPr>
          <w:rFonts w:hint="eastAsia" w:ascii="仿宋" w:hAnsi="仿宋" w:eastAsia="仿宋" w:cs="仿宋"/>
          <w:sz w:val="24"/>
          <w:lang w:eastAsia="zh-CN"/>
        </w:rPr>
        <w:t>8</w:t>
      </w:r>
      <w:r>
        <w:rPr>
          <w:rFonts w:hint="eastAsia" w:ascii="仿宋" w:hAnsi="仿宋" w:eastAsia="仿宋" w:cs="仿宋"/>
          <w:sz w:val="24"/>
          <w:lang w:val="en-US" w:eastAsia="zh-CN"/>
        </w:rPr>
        <w:t>.11</w:t>
      </w:r>
      <w:r>
        <w:rPr>
          <w:rFonts w:hint="eastAsia" w:ascii="仿宋" w:hAnsi="仿宋" w:eastAsia="仿宋" w:cs="仿宋"/>
          <w:sz w:val="24"/>
        </w:rPr>
        <w:t>工程完工后，由承包人自检合格并报监理单位和发包人申请验收，发包人根据维修改造任务书和承包人提供的完工材料</w:t>
      </w:r>
      <w:r>
        <w:rPr>
          <w:rFonts w:hint="eastAsia" w:ascii="仿宋" w:hAnsi="仿宋" w:eastAsia="仿宋" w:cs="仿宋"/>
          <w:sz w:val="24"/>
          <w:lang w:eastAsia="zh-CN"/>
        </w:rPr>
        <w:t>（</w:t>
      </w:r>
      <w:r>
        <w:rPr>
          <w:rFonts w:hint="eastAsia" w:ascii="仿宋" w:hAnsi="仿宋" w:eastAsia="仿宋" w:cs="仿宋"/>
          <w:sz w:val="24"/>
        </w:rPr>
        <w:t>包含</w:t>
      </w:r>
      <w:r>
        <w:rPr>
          <w:rFonts w:hint="eastAsia" w:ascii="仿宋" w:hAnsi="仿宋" w:eastAsia="仿宋" w:cs="仿宋"/>
          <w:sz w:val="24"/>
          <w:lang w:val="en-US" w:eastAsia="zh-CN"/>
        </w:rPr>
        <w:t>但不限于</w:t>
      </w:r>
      <w:r>
        <w:rPr>
          <w:rFonts w:hint="eastAsia" w:ascii="仿宋" w:hAnsi="仿宋" w:eastAsia="仿宋" w:cs="仿宋"/>
          <w:sz w:val="24"/>
        </w:rPr>
        <w:t>隐蔽工程验收影像资料、过程变更及签证材料、</w:t>
      </w:r>
      <w:r>
        <w:rPr>
          <w:rFonts w:hint="eastAsia" w:ascii="仿宋" w:hAnsi="仿宋" w:eastAsia="仿宋" w:cs="仿宋"/>
          <w:sz w:val="24"/>
          <w:lang w:val="en-US" w:eastAsia="zh-CN"/>
        </w:rPr>
        <w:t>主要</w:t>
      </w:r>
      <w:r>
        <w:rPr>
          <w:rFonts w:hint="eastAsia" w:ascii="仿宋" w:hAnsi="仿宋" w:eastAsia="仿宋" w:cs="仿宋"/>
          <w:sz w:val="24"/>
        </w:rPr>
        <w:t>材料和设备质量合格证明</w:t>
      </w:r>
      <w:r>
        <w:rPr>
          <w:rFonts w:hint="eastAsia" w:ascii="仿宋" w:hAnsi="仿宋" w:eastAsia="仿宋" w:cs="仿宋"/>
          <w:sz w:val="24"/>
          <w:lang w:val="en-US" w:eastAsia="zh-CN"/>
        </w:rPr>
        <w:t>等</w:t>
      </w:r>
      <w:r>
        <w:rPr>
          <w:rFonts w:hint="eastAsia" w:ascii="仿宋" w:hAnsi="仿宋" w:eastAsia="仿宋" w:cs="仿宋"/>
          <w:sz w:val="24"/>
          <w:lang w:eastAsia="zh-CN"/>
        </w:rPr>
        <w:t>）</w:t>
      </w:r>
      <w:r>
        <w:rPr>
          <w:rFonts w:hint="eastAsia" w:ascii="仿宋" w:hAnsi="仿宋" w:eastAsia="仿宋" w:cs="仿宋"/>
          <w:sz w:val="24"/>
        </w:rPr>
        <w:t>，组织验收工作。若验收过程中发现工程质量不合格或工程内容尚未完成，由承包人</w:t>
      </w:r>
      <w:r>
        <w:rPr>
          <w:rFonts w:hint="eastAsia" w:ascii="仿宋" w:hAnsi="仿宋" w:eastAsia="仿宋" w:cs="仿宋"/>
          <w:sz w:val="24"/>
          <w:lang w:eastAsia="zh-CN"/>
        </w:rPr>
        <w:t>在限期内完成施工整改，如未能整改合格，</w:t>
      </w:r>
      <w:r>
        <w:rPr>
          <w:rFonts w:hint="eastAsia" w:ascii="仿宋" w:hAnsi="仿宋" w:eastAsia="仿宋" w:cs="仿宋"/>
          <w:sz w:val="24"/>
        </w:rPr>
        <w:t>发包人有权</w:t>
      </w:r>
      <w:r>
        <w:rPr>
          <w:rFonts w:hint="eastAsia" w:ascii="仿宋" w:hAnsi="仿宋" w:eastAsia="仿宋" w:cs="仿宋"/>
          <w:sz w:val="24"/>
          <w:lang w:val="en-US" w:eastAsia="zh-CN"/>
        </w:rPr>
        <w:t>按</w:t>
      </w:r>
      <w:r>
        <w:rPr>
          <w:rFonts w:hint="eastAsia" w:ascii="仿宋" w:hAnsi="仿宋" w:eastAsia="仿宋" w:cs="仿宋"/>
          <w:sz w:val="24"/>
        </w:rPr>
        <w:t>50000元</w:t>
      </w:r>
      <w:r>
        <w:rPr>
          <w:rFonts w:hint="eastAsia" w:ascii="仿宋" w:hAnsi="仿宋" w:eastAsia="仿宋" w:cs="仿宋"/>
          <w:sz w:val="24"/>
          <w:lang w:val="en-US" w:eastAsia="zh-CN"/>
        </w:rPr>
        <w:t>/次的标准</w:t>
      </w:r>
      <w:r>
        <w:rPr>
          <w:rFonts w:hint="eastAsia" w:ascii="仿宋" w:hAnsi="仿宋" w:eastAsia="仿宋" w:cs="仿宋"/>
          <w:sz w:val="24"/>
        </w:rPr>
        <w:t>在支付工程款时</w:t>
      </w:r>
      <w:r>
        <w:rPr>
          <w:rFonts w:hint="eastAsia" w:ascii="仿宋" w:hAnsi="仿宋" w:eastAsia="仿宋" w:cs="仿宋"/>
          <w:sz w:val="24"/>
          <w:lang w:eastAsia="zh-CN"/>
        </w:rPr>
        <w:t>扣减</w:t>
      </w:r>
      <w:r>
        <w:rPr>
          <w:rFonts w:hint="eastAsia" w:ascii="仿宋" w:hAnsi="仿宋" w:eastAsia="仿宋" w:cs="仿宋"/>
          <w:sz w:val="24"/>
        </w:rPr>
        <w:t>承包人违约金，</w:t>
      </w:r>
      <w:r>
        <w:rPr>
          <w:rFonts w:hint="eastAsia" w:ascii="仿宋" w:hAnsi="仿宋" w:eastAsia="仿宋" w:cs="仿宋"/>
          <w:sz w:val="24"/>
          <w:lang w:eastAsia="zh-CN"/>
        </w:rPr>
        <w:t>并委托具备资质第三方单位进行施工整改，涉及整改费用由承包人支付。</w:t>
      </w:r>
      <w:r>
        <w:rPr>
          <w:rFonts w:hint="eastAsia" w:ascii="仿宋" w:hAnsi="仿宋" w:eastAsia="仿宋" w:cs="仿宋"/>
          <w:sz w:val="24"/>
          <w:lang w:val="en-US" w:eastAsia="zh-CN"/>
        </w:rPr>
        <w:t>整改完成后</w:t>
      </w:r>
      <w:r>
        <w:rPr>
          <w:rFonts w:hint="eastAsia" w:ascii="仿宋" w:hAnsi="仿宋" w:eastAsia="仿宋" w:cs="仿宋"/>
          <w:sz w:val="24"/>
        </w:rPr>
        <w:t>再进行验收，直至达到符合标准和要求为止，并按最后验收合格的日期作为验收日期。</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仿宋" w:hAnsi="仿宋" w:eastAsia="仿宋" w:cs="仿宋"/>
          <w:sz w:val="24"/>
        </w:rPr>
      </w:pPr>
      <w:r>
        <w:rPr>
          <w:rFonts w:hint="eastAsia" w:ascii="仿宋" w:hAnsi="仿宋" w:eastAsia="仿宋" w:cs="仿宋"/>
          <w:sz w:val="24"/>
          <w:lang w:eastAsia="zh-CN"/>
        </w:rPr>
        <w:t>8</w:t>
      </w:r>
      <w:r>
        <w:rPr>
          <w:rFonts w:hint="eastAsia" w:ascii="仿宋" w:hAnsi="仿宋" w:eastAsia="仿宋" w:cs="仿宋"/>
          <w:sz w:val="24"/>
          <w:lang w:val="en-US" w:eastAsia="zh-CN"/>
        </w:rPr>
        <w:t>.12</w:t>
      </w:r>
      <w:r>
        <w:rPr>
          <w:rFonts w:hint="eastAsia" w:ascii="仿宋" w:hAnsi="仿宋" w:eastAsia="仿宋" w:cs="仿宋"/>
          <w:sz w:val="24"/>
        </w:rPr>
        <w:t>承包人应在任务完工且验收合格后</w:t>
      </w:r>
      <w:r>
        <w:rPr>
          <w:rFonts w:hint="eastAsia" w:ascii="仿宋" w:hAnsi="仿宋" w:eastAsia="仿宋" w:cs="仿宋"/>
          <w:sz w:val="24"/>
          <w:lang w:val="en-US" w:eastAsia="zh-CN"/>
        </w:rPr>
        <w:t>1</w:t>
      </w:r>
      <w:r>
        <w:rPr>
          <w:rFonts w:hint="eastAsia" w:ascii="仿宋" w:hAnsi="仿宋" w:eastAsia="仿宋" w:cs="仿宋"/>
          <w:sz w:val="24"/>
        </w:rPr>
        <w:t>5天内按规定编制完成相应的详细工程量计算确认表</w:t>
      </w:r>
      <w:r>
        <w:rPr>
          <w:rFonts w:hint="eastAsia" w:ascii="仿宋" w:hAnsi="仿宋" w:eastAsia="仿宋" w:cs="仿宋"/>
          <w:sz w:val="24"/>
          <w:lang w:val="en-US" w:eastAsia="zh-CN"/>
        </w:rPr>
        <w:t>提交至监理审核后报发包人确认</w:t>
      </w:r>
      <w:r>
        <w:rPr>
          <w:rFonts w:hint="eastAsia" w:ascii="仿宋" w:hAnsi="仿宋" w:eastAsia="仿宋" w:cs="仿宋"/>
          <w:sz w:val="24"/>
          <w:lang w:eastAsia="zh-CN"/>
        </w:rPr>
        <w:t>。</w:t>
      </w:r>
      <w:r>
        <w:rPr>
          <w:rFonts w:hint="eastAsia" w:ascii="仿宋" w:hAnsi="仿宋" w:eastAsia="仿宋" w:cs="仿宋"/>
          <w:sz w:val="24"/>
        </w:rPr>
        <w:t>因承包人自身原因导致资料逾期提交，每逾期一天，发包人有权要求承包人支付违约金5000元，违约金在支付工程款时予以扣</w:t>
      </w:r>
      <w:r>
        <w:rPr>
          <w:rFonts w:hint="eastAsia" w:ascii="仿宋" w:hAnsi="仿宋" w:eastAsia="仿宋" w:cs="仿宋"/>
          <w:sz w:val="24"/>
          <w:lang w:eastAsia="zh-CN"/>
        </w:rPr>
        <w:t>减</w:t>
      </w:r>
      <w:r>
        <w:rPr>
          <w:rFonts w:hint="eastAsia" w:ascii="仿宋" w:hAnsi="仿宋" w:eastAsia="仿宋" w:cs="仿宋"/>
          <w:sz w:val="24"/>
        </w:rPr>
        <w:t>。</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仿宋" w:hAnsi="仿宋" w:eastAsia="仿宋" w:cs="仿宋"/>
          <w:sz w:val="24"/>
          <w:highlight w:val="yellow"/>
        </w:rPr>
      </w:pPr>
      <w:r>
        <w:rPr>
          <w:rFonts w:hint="eastAsia" w:ascii="仿宋" w:hAnsi="仿宋" w:eastAsia="仿宋" w:cs="仿宋"/>
          <w:sz w:val="24"/>
          <w:lang w:val="en-US" w:eastAsia="zh-CN"/>
        </w:rPr>
        <w:t>8.13</w:t>
      </w:r>
      <w:r>
        <w:rPr>
          <w:rFonts w:hint="eastAsia" w:ascii="仿宋" w:hAnsi="仿宋" w:eastAsia="仿宋" w:cs="仿宋"/>
          <w:sz w:val="24"/>
        </w:rPr>
        <w:t>承包人应在任务完工且验收合格后</w:t>
      </w:r>
      <w:r>
        <w:rPr>
          <w:rFonts w:hint="eastAsia" w:ascii="仿宋" w:hAnsi="仿宋" w:eastAsia="仿宋" w:cs="仿宋"/>
          <w:sz w:val="24"/>
          <w:lang w:val="en-US" w:eastAsia="zh-CN"/>
        </w:rPr>
        <w:t>30</w:t>
      </w:r>
      <w:r>
        <w:rPr>
          <w:rFonts w:hint="eastAsia" w:ascii="仿宋" w:hAnsi="仿宋" w:eastAsia="仿宋" w:cs="仿宋"/>
          <w:sz w:val="24"/>
        </w:rPr>
        <w:t>天内按规定编制完成相应的工程结算资料，因承包人自身原因导致结算资料逾期提交，每逾期一天，发包人有权要求承包人支付违约金5000元，违约金在支付工程款时予以扣</w:t>
      </w:r>
      <w:r>
        <w:rPr>
          <w:rFonts w:hint="eastAsia" w:ascii="仿宋" w:hAnsi="仿宋" w:eastAsia="仿宋" w:cs="仿宋"/>
          <w:sz w:val="24"/>
          <w:lang w:eastAsia="zh-CN"/>
        </w:rPr>
        <w:t>减</w:t>
      </w:r>
      <w:r>
        <w:rPr>
          <w:rFonts w:hint="eastAsia" w:ascii="仿宋" w:hAnsi="仿宋" w:eastAsia="仿宋" w:cs="仿宋"/>
          <w:sz w:val="24"/>
        </w:rPr>
        <w:t>。</w:t>
      </w:r>
    </w:p>
    <w:p>
      <w:pPr>
        <w:keepNext w:val="0"/>
        <w:keepLines w:val="0"/>
        <w:pageBreakBefore w:val="0"/>
        <w:widowControl w:val="0"/>
        <w:kinsoku/>
        <w:wordWrap/>
        <w:overflowPunct/>
        <w:topLinePunct w:val="0"/>
        <w:autoSpaceDE/>
        <w:autoSpaceDN/>
        <w:bidi w:val="0"/>
        <w:snapToGrid/>
        <w:spacing w:line="480" w:lineRule="exact"/>
        <w:ind w:firstLine="495"/>
        <w:rPr>
          <w:rFonts w:hint="eastAsia" w:ascii="仿宋" w:hAnsi="仿宋" w:eastAsia="仿宋" w:cs="仿宋"/>
          <w:sz w:val="24"/>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1</w:t>
      </w:r>
      <w:r>
        <w:rPr>
          <w:rFonts w:hint="eastAsia" w:ascii="仿宋" w:hAnsi="仿宋" w:eastAsia="仿宋" w:cs="仿宋"/>
          <w:sz w:val="24"/>
          <w:lang w:val="en-US" w:eastAsia="zh-CN"/>
        </w:rPr>
        <w:t>4工程预算监理审核报告或工程结算财政评审核定书出具后10天内，</w:t>
      </w:r>
      <w:r>
        <w:rPr>
          <w:rFonts w:hint="eastAsia" w:ascii="仿宋" w:hAnsi="仿宋" w:eastAsia="仿宋" w:cs="仿宋"/>
          <w:sz w:val="24"/>
        </w:rPr>
        <w:t>承包人向发包人提交工程</w:t>
      </w:r>
      <w:r>
        <w:rPr>
          <w:rFonts w:hint="eastAsia" w:ascii="仿宋" w:hAnsi="仿宋" w:eastAsia="仿宋" w:cs="仿宋"/>
          <w:sz w:val="24"/>
          <w:lang w:eastAsia="zh-CN"/>
        </w:rPr>
        <w:t>请款资料。</w:t>
      </w:r>
      <w:r>
        <w:rPr>
          <w:rFonts w:hint="eastAsia" w:ascii="仿宋" w:hAnsi="仿宋" w:eastAsia="仿宋" w:cs="仿宋"/>
          <w:sz w:val="24"/>
        </w:rPr>
        <w:t>逾期不申请且对发包人工作造成不良影响的，发包人有权</w:t>
      </w:r>
      <w:r>
        <w:rPr>
          <w:rFonts w:hint="eastAsia" w:ascii="仿宋" w:hAnsi="仿宋" w:eastAsia="仿宋" w:cs="仿宋"/>
          <w:sz w:val="24"/>
          <w:lang w:val="en-US" w:eastAsia="zh-CN"/>
        </w:rPr>
        <w:t>按</w:t>
      </w:r>
      <w:r>
        <w:rPr>
          <w:rFonts w:hint="eastAsia" w:ascii="仿宋" w:hAnsi="仿宋" w:eastAsia="仿宋" w:cs="仿宋"/>
          <w:sz w:val="24"/>
        </w:rPr>
        <w:t>50000元</w:t>
      </w:r>
      <w:r>
        <w:rPr>
          <w:rFonts w:hint="eastAsia" w:ascii="仿宋" w:hAnsi="仿宋" w:eastAsia="仿宋" w:cs="仿宋"/>
          <w:sz w:val="24"/>
          <w:lang w:val="en-US" w:eastAsia="zh-CN"/>
        </w:rPr>
        <w:t>/次的标准</w:t>
      </w:r>
      <w:r>
        <w:rPr>
          <w:rFonts w:hint="eastAsia" w:ascii="仿宋" w:hAnsi="仿宋" w:eastAsia="仿宋" w:cs="仿宋"/>
          <w:sz w:val="24"/>
        </w:rPr>
        <w:t>在支付工程款时</w:t>
      </w:r>
      <w:r>
        <w:rPr>
          <w:rFonts w:hint="eastAsia" w:ascii="仿宋" w:hAnsi="仿宋" w:eastAsia="仿宋" w:cs="仿宋"/>
          <w:sz w:val="24"/>
          <w:lang w:eastAsia="zh-CN"/>
        </w:rPr>
        <w:t>扣减</w:t>
      </w:r>
      <w:r>
        <w:rPr>
          <w:rFonts w:hint="eastAsia" w:ascii="仿宋" w:hAnsi="仿宋" w:eastAsia="仿宋" w:cs="仿宋"/>
          <w:sz w:val="24"/>
        </w:rPr>
        <w:t>承包人违约金。</w:t>
      </w:r>
    </w:p>
    <w:p>
      <w:pPr>
        <w:keepNext w:val="0"/>
        <w:keepLines w:val="0"/>
        <w:pageBreakBefore w:val="0"/>
        <w:widowControl w:val="0"/>
        <w:kinsoku/>
        <w:wordWrap/>
        <w:overflowPunct/>
        <w:topLinePunct w:val="0"/>
        <w:autoSpaceDE/>
        <w:autoSpaceDN/>
        <w:bidi w:val="0"/>
        <w:snapToGrid/>
        <w:spacing w:line="480" w:lineRule="exact"/>
        <w:ind w:firstLine="495"/>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highlight w:val="none"/>
          <w:lang w:eastAsia="zh-CN"/>
        </w:rPr>
        <w:t>1</w:t>
      </w:r>
      <w:r>
        <w:rPr>
          <w:rFonts w:hint="eastAsia" w:ascii="仿宋" w:hAnsi="仿宋" w:eastAsia="仿宋" w:cs="仿宋"/>
          <w:sz w:val="24"/>
          <w:lang w:val="en-US" w:eastAsia="zh-CN"/>
        </w:rPr>
        <w:t>5</w:t>
      </w:r>
      <w:r>
        <w:rPr>
          <w:rFonts w:hint="eastAsia" w:ascii="仿宋" w:hAnsi="仿宋" w:eastAsia="仿宋" w:cs="仿宋"/>
          <w:sz w:val="24"/>
        </w:rPr>
        <w:t>承包人应按照发包人要求做好工程资料的编制、收集、归档和移交等工作。未按照发包人要求的时间完成和移交工程资料的，每逾期一天，发包人有权按1000元/天扣减承包人违约金，违约金在支付工程款时予以扣</w:t>
      </w:r>
      <w:r>
        <w:rPr>
          <w:rFonts w:hint="eastAsia" w:ascii="仿宋" w:hAnsi="仿宋" w:eastAsia="仿宋" w:cs="仿宋"/>
          <w:sz w:val="24"/>
          <w:lang w:eastAsia="zh-CN"/>
        </w:rPr>
        <w:t>减</w:t>
      </w:r>
      <w:r>
        <w:rPr>
          <w:rFonts w:hint="eastAsia" w:ascii="仿宋" w:hAnsi="仿宋" w:eastAsia="仿宋" w:cs="仿宋"/>
          <w:sz w:val="24"/>
        </w:rPr>
        <w:t>，逾期</w:t>
      </w:r>
      <w:r>
        <w:rPr>
          <w:rFonts w:hint="eastAsia" w:ascii="仿宋" w:hAnsi="仿宋" w:eastAsia="仿宋" w:cs="仿宋"/>
          <w:sz w:val="24"/>
          <w:lang w:val="en-US" w:eastAsia="zh-CN"/>
        </w:rPr>
        <w:t>20</w:t>
      </w:r>
      <w:r>
        <w:rPr>
          <w:rFonts w:hint="eastAsia" w:ascii="仿宋" w:hAnsi="仿宋" w:eastAsia="仿宋" w:cs="仿宋"/>
          <w:sz w:val="24"/>
        </w:rPr>
        <w:t>天仍未移交的，</w:t>
      </w:r>
      <w:r>
        <w:rPr>
          <w:rFonts w:hint="eastAsia" w:ascii="仿宋" w:hAnsi="仿宋" w:eastAsia="仿宋" w:cs="仿宋"/>
          <w:sz w:val="24"/>
          <w:lang w:val="en-US" w:eastAsia="zh-CN"/>
        </w:rPr>
        <w:t>相应任务未支付部分发包人将不予支付，且</w:t>
      </w:r>
      <w:r>
        <w:rPr>
          <w:rFonts w:hint="eastAsia" w:ascii="仿宋" w:hAnsi="仿宋" w:eastAsia="仿宋" w:cs="仿宋"/>
          <w:sz w:val="24"/>
        </w:rPr>
        <w:t>发包人有权单方面解除合同</w:t>
      </w:r>
      <w:r>
        <w:rPr>
          <w:rFonts w:hint="eastAsia" w:ascii="仿宋" w:hAnsi="仿宋" w:eastAsia="仿宋" w:cs="仿宋"/>
          <w:sz w:val="24"/>
          <w:lang w:eastAsia="zh-CN"/>
        </w:rPr>
        <w:t>，</w:t>
      </w:r>
      <w:r>
        <w:rPr>
          <w:rFonts w:hint="eastAsia" w:ascii="仿宋" w:hAnsi="仿宋" w:eastAsia="仿宋" w:cs="仿宋"/>
          <w:sz w:val="24"/>
          <w:lang w:val="en-US" w:eastAsia="zh-CN"/>
        </w:rPr>
        <w:t>一切损失由承包人负责</w:t>
      </w:r>
      <w:r>
        <w:rPr>
          <w:rFonts w:hint="eastAsia" w:ascii="仿宋" w:hAnsi="仿宋" w:eastAsia="仿宋" w:cs="仿宋"/>
          <w:sz w:val="24"/>
        </w:rPr>
        <w:t>。</w:t>
      </w:r>
    </w:p>
    <w:p>
      <w:pPr>
        <w:keepNext w:val="0"/>
        <w:keepLines w:val="0"/>
        <w:pageBreakBefore w:val="0"/>
        <w:widowControl w:val="0"/>
        <w:kinsoku/>
        <w:wordWrap/>
        <w:overflowPunct/>
        <w:topLinePunct w:val="0"/>
        <w:autoSpaceDE/>
        <w:autoSpaceDN/>
        <w:bidi w:val="0"/>
        <w:snapToGrid/>
        <w:spacing w:line="480" w:lineRule="exact"/>
        <w:ind w:firstLine="495"/>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16</w:t>
      </w:r>
      <w:r>
        <w:rPr>
          <w:rFonts w:hint="eastAsia" w:ascii="仿宋" w:hAnsi="仿宋" w:eastAsia="仿宋" w:cs="仿宋"/>
          <w:sz w:val="24"/>
        </w:rPr>
        <w:t>承包人应严格遵守国家、省、市及黄埔区有关防火、爆破和施工安全以及文明施工、</w:t>
      </w:r>
      <w:r>
        <w:rPr>
          <w:rFonts w:hint="eastAsia" w:ascii="仿宋" w:hAnsi="仿宋" w:eastAsia="仿宋" w:cs="仿宋"/>
          <w:sz w:val="24"/>
          <w:lang w:val="en-US" w:eastAsia="zh-CN"/>
        </w:rPr>
        <w:t>夜间</w:t>
      </w:r>
      <w:r>
        <w:rPr>
          <w:rFonts w:hint="eastAsia" w:ascii="仿宋" w:hAnsi="仿宋" w:eastAsia="仿宋" w:cs="仿宋"/>
          <w:sz w:val="24"/>
        </w:rPr>
        <w:t>施工、环卫和城市管理等规定，建立规章制度和防护措施，并组织施工。在相关部门的检查中，承包人施工场地被评为不合格工地</w:t>
      </w:r>
      <w:r>
        <w:rPr>
          <w:rFonts w:hint="eastAsia" w:ascii="仿宋" w:hAnsi="仿宋" w:eastAsia="仿宋" w:cs="仿宋"/>
          <w:sz w:val="24"/>
          <w:lang w:eastAsia="zh-CN"/>
        </w:rPr>
        <w:t>、</w:t>
      </w:r>
      <w:r>
        <w:rPr>
          <w:rFonts w:hint="eastAsia" w:ascii="仿宋" w:hAnsi="仿宋" w:eastAsia="仿宋" w:cs="仿宋"/>
          <w:sz w:val="24"/>
        </w:rPr>
        <w:t>被通报批评或者被新闻媒体曝光的，每发生一次，发包人有权按5000元/次扣减承包人违约金，如发包人因此被相关部门处罚的，罚金由承包人承担。</w:t>
      </w:r>
    </w:p>
    <w:p>
      <w:pPr>
        <w:keepNext w:val="0"/>
        <w:keepLines w:val="0"/>
        <w:pageBreakBefore w:val="0"/>
        <w:widowControl w:val="0"/>
        <w:kinsoku/>
        <w:wordWrap/>
        <w:overflowPunct/>
        <w:topLinePunct w:val="0"/>
        <w:autoSpaceDE/>
        <w:autoSpaceDN/>
        <w:bidi w:val="0"/>
        <w:snapToGrid/>
        <w:spacing w:line="480" w:lineRule="exact"/>
        <w:ind w:firstLine="49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lang w:val="en-US" w:eastAsia="zh-CN"/>
        </w:rPr>
        <w:t>7</w:t>
      </w:r>
      <w:r>
        <w:rPr>
          <w:rFonts w:hint="eastAsia" w:ascii="仿宋" w:hAnsi="仿宋" w:eastAsia="仿宋" w:cs="仿宋"/>
          <w:sz w:val="24"/>
        </w:rPr>
        <w:t>如果承包人未按国家省市有关要求做好安全、文明施工相关措施</w:t>
      </w:r>
      <w:r>
        <w:rPr>
          <w:rFonts w:hint="eastAsia" w:ascii="仿宋" w:hAnsi="仿宋" w:eastAsia="仿宋" w:cs="仿宋"/>
          <w:sz w:val="24"/>
          <w:lang w:eastAsia="zh-CN"/>
        </w:rPr>
        <w:t>、</w:t>
      </w:r>
      <w:r>
        <w:rPr>
          <w:rFonts w:hint="eastAsia" w:ascii="仿宋" w:hAnsi="仿宋" w:eastAsia="仿宋" w:cs="仿宋"/>
          <w:sz w:val="24"/>
          <w:highlight w:val="none"/>
          <w:lang w:eastAsia="zh-CN"/>
        </w:rPr>
        <w:t>施工人员未配置且正确使用劳动安全防护用品、施工现场未设置工程信息公示牌，</w:t>
      </w:r>
      <w:r>
        <w:rPr>
          <w:rFonts w:hint="eastAsia" w:ascii="仿宋" w:hAnsi="仿宋" w:eastAsia="仿宋" w:cs="仿宋"/>
          <w:sz w:val="24"/>
        </w:rPr>
        <w:t>经监理工程师或发包人检查发现的，每发现一次，发包人有权按</w:t>
      </w:r>
      <w:r>
        <w:rPr>
          <w:rFonts w:hint="eastAsia" w:ascii="仿宋" w:hAnsi="仿宋" w:eastAsia="仿宋" w:cs="仿宋"/>
          <w:sz w:val="24"/>
          <w:lang w:val="en-US" w:eastAsia="zh-CN"/>
        </w:rPr>
        <w:t>20</w:t>
      </w:r>
      <w:r>
        <w:rPr>
          <w:rFonts w:hint="eastAsia" w:ascii="仿宋" w:hAnsi="仿宋" w:eastAsia="仿宋" w:cs="仿宋"/>
          <w:sz w:val="24"/>
        </w:rPr>
        <w:t>00元/次扣减承包人违约金，并按发包人或监理单位要求限期整改，未在限期内完成合格整改的，发包人有权</w:t>
      </w:r>
      <w:r>
        <w:rPr>
          <w:rFonts w:hint="eastAsia" w:ascii="仿宋" w:hAnsi="仿宋" w:eastAsia="仿宋" w:cs="仿宋"/>
          <w:sz w:val="24"/>
          <w:lang w:val="en-US" w:eastAsia="zh-CN"/>
        </w:rPr>
        <w:t>加倍</w:t>
      </w:r>
      <w:r>
        <w:rPr>
          <w:rFonts w:hint="eastAsia" w:ascii="仿宋" w:hAnsi="仿宋" w:eastAsia="仿宋" w:cs="仿宋"/>
          <w:sz w:val="24"/>
        </w:rPr>
        <w:t>扣减承包人违约金</w:t>
      </w:r>
      <w:r>
        <w:rPr>
          <w:rFonts w:hint="eastAsia" w:ascii="仿宋" w:hAnsi="仿宋" w:eastAsia="仿宋" w:cs="仿宋"/>
          <w:sz w:val="24"/>
          <w:lang w:eastAsia="zh-CN"/>
        </w:rPr>
        <w:t>；</w:t>
      </w:r>
      <w:r>
        <w:rPr>
          <w:rFonts w:hint="eastAsia" w:ascii="仿宋" w:hAnsi="仿宋" w:eastAsia="仿宋" w:cs="仿宋"/>
          <w:sz w:val="24"/>
          <w:lang w:val="en-US" w:eastAsia="zh-CN"/>
        </w:rPr>
        <w:t>承包人拒不整改的，发包人有权</w:t>
      </w:r>
      <w:r>
        <w:rPr>
          <w:rFonts w:hint="eastAsia" w:ascii="仿宋" w:hAnsi="仿宋" w:eastAsia="仿宋" w:cs="仿宋"/>
          <w:sz w:val="24"/>
        </w:rPr>
        <w:t>单方面解除合同。</w:t>
      </w:r>
    </w:p>
    <w:p>
      <w:pPr>
        <w:keepNext w:val="0"/>
        <w:keepLines w:val="0"/>
        <w:pageBreakBefore w:val="0"/>
        <w:widowControl w:val="0"/>
        <w:kinsoku/>
        <w:wordWrap/>
        <w:overflowPunct/>
        <w:topLinePunct w:val="0"/>
        <w:autoSpaceDE/>
        <w:autoSpaceDN/>
        <w:bidi w:val="0"/>
        <w:snapToGrid/>
        <w:spacing w:line="480" w:lineRule="exact"/>
        <w:ind w:firstLine="49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lang w:val="en-US" w:eastAsia="zh-CN"/>
        </w:rPr>
        <w:t>8</w:t>
      </w:r>
      <w:r>
        <w:rPr>
          <w:rFonts w:hint="eastAsia" w:ascii="仿宋" w:hAnsi="仿宋" w:eastAsia="仿宋" w:cs="仿宋"/>
          <w:sz w:val="24"/>
        </w:rPr>
        <w:t>承包人应做好安全管理工作，对施工中发生的安全事故负全部责任，但因发包人违章指挥原因造成的除外。</w:t>
      </w:r>
    </w:p>
    <w:p>
      <w:pPr>
        <w:keepNext w:val="0"/>
        <w:keepLines w:val="0"/>
        <w:pageBreakBefore w:val="0"/>
        <w:widowControl w:val="0"/>
        <w:kinsoku/>
        <w:wordWrap/>
        <w:overflowPunct/>
        <w:topLinePunct w:val="0"/>
        <w:autoSpaceDE/>
        <w:autoSpaceDN/>
        <w:bidi w:val="0"/>
        <w:snapToGrid/>
        <w:spacing w:line="480" w:lineRule="exact"/>
        <w:ind w:firstLine="600" w:firstLineChars="250"/>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lang w:val="en-US" w:eastAsia="zh-CN"/>
        </w:rPr>
        <w:t>9</w:t>
      </w:r>
      <w:r>
        <w:rPr>
          <w:rFonts w:hint="eastAsia" w:ascii="仿宋" w:hAnsi="仿宋" w:eastAsia="仿宋" w:cs="仿宋"/>
          <w:sz w:val="24"/>
        </w:rPr>
        <w:t>在余泥渣土清运施工和建筑垃圾排放运输时，承包人必须严格执行《广州市余泥渣土管理条例》、《广州市市容环境卫生管理规定》、《广州市建设工程现场文明施工管理办法》《关于加强施工现场余泥渣土排放管理工作的通知》（穗建筑【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发包人有权按5000元/次扣减承包人违约金。同时，发包人将根据承包人违反余泥渣土运输管理有关规定而造成的不良后果的严重程度，可单方面解除合同。</w:t>
      </w:r>
    </w:p>
    <w:p>
      <w:pPr>
        <w:keepNext w:val="0"/>
        <w:keepLines w:val="0"/>
        <w:pageBreakBefore w:val="0"/>
        <w:widowControl w:val="0"/>
        <w:kinsoku/>
        <w:wordWrap/>
        <w:overflowPunct/>
        <w:topLinePunct w:val="0"/>
        <w:autoSpaceDE/>
        <w:autoSpaceDN/>
        <w:bidi w:val="0"/>
        <w:snapToGrid/>
        <w:spacing w:line="480" w:lineRule="exact"/>
        <w:ind w:right="11" w:firstLine="480" w:firstLineChars="200"/>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20</w:t>
      </w:r>
      <w:r>
        <w:rPr>
          <w:rFonts w:hint="eastAsia" w:ascii="仿宋" w:hAnsi="仿宋" w:eastAsia="仿宋" w:cs="仿宋"/>
          <w:sz w:val="24"/>
        </w:rPr>
        <w:t>承包人拖欠农民工工资，被投诉属实</w:t>
      </w:r>
      <w:r>
        <w:rPr>
          <w:rFonts w:hint="eastAsia" w:ascii="仿宋" w:hAnsi="仿宋" w:eastAsia="仿宋" w:cs="仿宋"/>
          <w:sz w:val="24"/>
          <w:lang w:val="en-US" w:eastAsia="zh-CN"/>
        </w:rPr>
        <w:t>或者被相关部门通报的，</w:t>
      </w:r>
      <w:r>
        <w:rPr>
          <w:rFonts w:hint="eastAsia" w:ascii="仿宋" w:hAnsi="仿宋" w:eastAsia="仿宋" w:cs="仿宋"/>
          <w:sz w:val="24"/>
        </w:rPr>
        <w:t>承包人必须在3天内</w:t>
      </w:r>
      <w:r>
        <w:rPr>
          <w:rFonts w:hint="eastAsia" w:ascii="仿宋" w:hAnsi="仿宋" w:eastAsia="仿宋" w:cs="仿宋"/>
          <w:sz w:val="24"/>
          <w:lang w:val="en-US" w:eastAsia="zh-CN"/>
        </w:rPr>
        <w:t>支付</w:t>
      </w:r>
      <w:r>
        <w:rPr>
          <w:rFonts w:hint="eastAsia" w:ascii="仿宋" w:hAnsi="仿宋" w:eastAsia="仿宋" w:cs="仿宋"/>
          <w:sz w:val="24"/>
        </w:rPr>
        <w:t>拖欠的款项</w:t>
      </w:r>
      <w:r>
        <w:rPr>
          <w:rFonts w:hint="eastAsia" w:ascii="仿宋" w:hAnsi="仿宋" w:eastAsia="仿宋" w:cs="仿宋"/>
          <w:sz w:val="24"/>
          <w:lang w:eastAsia="zh-CN"/>
        </w:rPr>
        <w:t>，</w:t>
      </w:r>
      <w:r>
        <w:rPr>
          <w:rFonts w:hint="eastAsia" w:ascii="仿宋" w:hAnsi="仿宋" w:eastAsia="仿宋" w:cs="仿宋"/>
          <w:sz w:val="24"/>
          <w:lang w:val="en-US" w:eastAsia="zh-CN"/>
        </w:rPr>
        <w:t>同时</w:t>
      </w:r>
      <w:r>
        <w:rPr>
          <w:rFonts w:hint="eastAsia" w:ascii="仿宋" w:hAnsi="仿宋" w:eastAsia="仿宋" w:cs="仿宋"/>
          <w:sz w:val="24"/>
        </w:rPr>
        <w:t>发包人有权按</w:t>
      </w:r>
      <w:r>
        <w:rPr>
          <w:rFonts w:hint="eastAsia" w:ascii="仿宋" w:hAnsi="仿宋" w:eastAsia="仿宋" w:cs="仿宋"/>
          <w:sz w:val="24"/>
          <w:lang w:val="en-US" w:eastAsia="zh-CN"/>
        </w:rPr>
        <w:t>5</w:t>
      </w:r>
      <w:r>
        <w:rPr>
          <w:rFonts w:hint="eastAsia" w:ascii="仿宋" w:hAnsi="仿宋" w:eastAsia="仿宋" w:cs="仿宋"/>
          <w:sz w:val="24"/>
        </w:rPr>
        <w:t>0000元/</w:t>
      </w:r>
      <w:r>
        <w:rPr>
          <w:rFonts w:hint="eastAsia" w:ascii="仿宋" w:hAnsi="仿宋" w:eastAsia="仿宋" w:cs="仿宋"/>
          <w:sz w:val="24"/>
          <w:lang w:val="en-US" w:eastAsia="zh-CN"/>
        </w:rPr>
        <w:t>宗</w:t>
      </w:r>
      <w:r>
        <w:rPr>
          <w:rFonts w:hint="eastAsia" w:ascii="仿宋" w:hAnsi="仿宋" w:eastAsia="仿宋" w:cs="仿宋"/>
          <w:sz w:val="24"/>
        </w:rPr>
        <w:t>扣减承包人违约金</w:t>
      </w:r>
      <w:r>
        <w:rPr>
          <w:rFonts w:hint="eastAsia" w:ascii="仿宋" w:hAnsi="仿宋" w:eastAsia="仿宋" w:cs="仿宋"/>
          <w:sz w:val="24"/>
          <w:lang w:eastAsia="zh-CN"/>
        </w:rPr>
        <w:t>；</w:t>
      </w:r>
      <w:r>
        <w:rPr>
          <w:rFonts w:hint="eastAsia" w:ascii="仿宋" w:hAnsi="仿宋" w:eastAsia="仿宋" w:cs="仿宋"/>
          <w:sz w:val="24"/>
        </w:rPr>
        <w:t>若被投诉</w:t>
      </w:r>
      <w:r>
        <w:rPr>
          <w:rFonts w:hint="eastAsia" w:ascii="仿宋" w:hAnsi="仿宋" w:eastAsia="仿宋" w:cs="仿宋"/>
          <w:sz w:val="24"/>
          <w:lang w:eastAsia="zh-CN"/>
        </w:rPr>
        <w:t>属实</w:t>
      </w:r>
      <w:r>
        <w:rPr>
          <w:rFonts w:hint="eastAsia" w:ascii="仿宋" w:hAnsi="仿宋" w:eastAsia="仿宋" w:cs="仿宋"/>
          <w:sz w:val="24"/>
          <w:lang w:val="en-US" w:eastAsia="zh-CN"/>
        </w:rPr>
        <w:t>或通报</w:t>
      </w:r>
      <w:r>
        <w:rPr>
          <w:rFonts w:hint="eastAsia" w:ascii="仿宋" w:hAnsi="仿宋" w:eastAsia="仿宋" w:cs="仿宋"/>
          <w:sz w:val="24"/>
        </w:rPr>
        <w:t>2次及以上，经查实，承包人除应</w:t>
      </w:r>
      <w:r>
        <w:rPr>
          <w:rFonts w:hint="eastAsia" w:ascii="仿宋" w:hAnsi="仿宋" w:eastAsia="仿宋" w:cs="仿宋"/>
          <w:sz w:val="24"/>
          <w:lang w:val="en-US" w:eastAsia="zh-CN"/>
        </w:rPr>
        <w:t>3天内</w:t>
      </w:r>
      <w:r>
        <w:rPr>
          <w:rFonts w:hint="eastAsia" w:ascii="仿宋" w:hAnsi="仿宋" w:eastAsia="仿宋" w:cs="仿宋"/>
          <w:sz w:val="24"/>
        </w:rPr>
        <w:t>支付拖欠款项外，</w:t>
      </w:r>
      <w:r>
        <w:rPr>
          <w:rFonts w:hint="eastAsia" w:ascii="仿宋" w:hAnsi="仿宋" w:eastAsia="仿宋" w:cs="仿宋"/>
          <w:sz w:val="24"/>
          <w:lang w:val="en-US" w:eastAsia="zh-CN"/>
        </w:rPr>
        <w:t>且</w:t>
      </w:r>
      <w:r>
        <w:rPr>
          <w:rFonts w:hint="eastAsia" w:ascii="仿宋" w:hAnsi="仿宋" w:eastAsia="仿宋" w:cs="仿宋"/>
          <w:sz w:val="24"/>
        </w:rPr>
        <w:t>发包人有权</w:t>
      </w:r>
      <w:r>
        <w:rPr>
          <w:rFonts w:hint="eastAsia" w:ascii="仿宋" w:hAnsi="仿宋" w:eastAsia="仿宋" w:cs="仿宋"/>
          <w:sz w:val="24"/>
          <w:lang w:val="en-US" w:eastAsia="zh-CN"/>
        </w:rPr>
        <w:t>加倍</w:t>
      </w:r>
      <w:r>
        <w:rPr>
          <w:rFonts w:hint="eastAsia" w:ascii="仿宋" w:hAnsi="仿宋" w:eastAsia="仿宋" w:cs="仿宋"/>
          <w:sz w:val="24"/>
        </w:rPr>
        <w:t>扣减承包人违约金。因承包人拖欠农民工工资，导致农民工采取停工、集聚围阻发包人办公地点甚至政府部门等过激行动的，承包人除应</w:t>
      </w:r>
      <w:r>
        <w:rPr>
          <w:rFonts w:hint="eastAsia" w:ascii="仿宋" w:hAnsi="仿宋" w:eastAsia="仿宋" w:cs="仿宋"/>
          <w:sz w:val="24"/>
          <w:lang w:val="en-US" w:eastAsia="zh-CN"/>
        </w:rPr>
        <w:t>1天内</w:t>
      </w:r>
      <w:r>
        <w:rPr>
          <w:rFonts w:hint="eastAsia" w:ascii="仿宋" w:hAnsi="仿宋" w:eastAsia="仿宋" w:cs="仿宋"/>
          <w:sz w:val="24"/>
        </w:rPr>
        <w:t>支付拖欠款项外，发包人有权按10000</w:t>
      </w:r>
      <w:r>
        <w:rPr>
          <w:rFonts w:hint="eastAsia" w:ascii="仿宋" w:hAnsi="仿宋" w:eastAsia="仿宋" w:cs="仿宋"/>
          <w:sz w:val="24"/>
          <w:lang w:val="en-US" w:eastAsia="zh-CN"/>
        </w:rPr>
        <w:t>0</w:t>
      </w:r>
      <w:r>
        <w:rPr>
          <w:rFonts w:hint="eastAsia" w:ascii="仿宋" w:hAnsi="仿宋" w:eastAsia="仿宋" w:cs="仿宋"/>
          <w:sz w:val="24"/>
        </w:rPr>
        <w:t>元/次扣减承包人违约金</w:t>
      </w:r>
      <w:r>
        <w:rPr>
          <w:rFonts w:hint="eastAsia" w:ascii="仿宋" w:hAnsi="仿宋" w:eastAsia="仿宋" w:cs="仿宋"/>
          <w:sz w:val="24"/>
          <w:lang w:val="en-US" w:eastAsia="zh-CN"/>
        </w:rPr>
        <w:t>并有权解除合同。</w:t>
      </w:r>
      <w:r>
        <w:rPr>
          <w:rFonts w:hint="eastAsia" w:ascii="仿宋" w:hAnsi="仿宋" w:eastAsia="仿宋" w:cs="仿宋"/>
          <w:sz w:val="24"/>
        </w:rPr>
        <w:t>若承包人在本工程内发生拖欠农民工工资现象，</w:t>
      </w:r>
      <w:r>
        <w:rPr>
          <w:rFonts w:hint="eastAsia" w:ascii="仿宋" w:hAnsi="仿宋" w:eastAsia="仿宋" w:cs="仿宋"/>
          <w:sz w:val="24"/>
          <w:lang w:val="en-US" w:eastAsia="zh-CN"/>
        </w:rPr>
        <w:t>发包人有权将承包人行为</w:t>
      </w:r>
      <w:r>
        <w:rPr>
          <w:rFonts w:hint="eastAsia" w:ascii="仿宋" w:hAnsi="仿宋" w:eastAsia="仿宋" w:cs="仿宋"/>
          <w:sz w:val="24"/>
        </w:rPr>
        <w:t>被作不良记录上报</w:t>
      </w:r>
      <w:r>
        <w:rPr>
          <w:rFonts w:hint="eastAsia" w:ascii="仿宋" w:hAnsi="仿宋" w:eastAsia="仿宋" w:cs="仿宋"/>
          <w:sz w:val="24"/>
          <w:lang w:val="en-US" w:eastAsia="zh-CN"/>
        </w:rPr>
        <w:t>有关</w:t>
      </w:r>
      <w:r>
        <w:rPr>
          <w:rFonts w:hint="eastAsia" w:ascii="仿宋" w:hAnsi="仿宋" w:eastAsia="仿宋" w:cs="仿宋"/>
          <w:sz w:val="24"/>
        </w:rPr>
        <w:t>部门。</w:t>
      </w:r>
    </w:p>
    <w:p>
      <w:pPr>
        <w:keepNext w:val="0"/>
        <w:keepLines w:val="0"/>
        <w:pageBreakBefore w:val="0"/>
        <w:widowControl w:val="0"/>
        <w:kinsoku/>
        <w:wordWrap/>
        <w:overflowPunct/>
        <w:topLinePunct w:val="0"/>
        <w:autoSpaceDE/>
        <w:autoSpaceDN/>
        <w:bidi w:val="0"/>
        <w:snapToGrid/>
        <w:spacing w:line="480" w:lineRule="exact"/>
        <w:ind w:right="11" w:firstLine="480" w:firstLineChars="200"/>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21</w:t>
      </w:r>
      <w:r>
        <w:rPr>
          <w:rFonts w:hint="eastAsia" w:ascii="仿宋" w:hAnsi="仿宋" w:eastAsia="仿宋" w:cs="仿宋"/>
          <w:sz w:val="24"/>
        </w:rPr>
        <w:t>涉及应急维修改造事项（如抢修、督办、整改、投诉、迎检</w:t>
      </w:r>
      <w:r>
        <w:rPr>
          <w:rFonts w:hint="eastAsia" w:ascii="仿宋" w:hAnsi="仿宋" w:eastAsia="仿宋" w:cs="仿宋"/>
          <w:sz w:val="24"/>
          <w:lang w:eastAsia="zh-CN"/>
        </w:rPr>
        <w:t>、测评</w:t>
      </w:r>
      <w:r>
        <w:rPr>
          <w:rFonts w:hint="eastAsia" w:ascii="仿宋" w:hAnsi="仿宋" w:eastAsia="仿宋" w:cs="仿宋"/>
          <w:sz w:val="24"/>
        </w:rPr>
        <w:t>等），由发包人下达应急维修指令，承包人未能按指令要求的时间节点和质量要求完成，发包人有权按</w:t>
      </w:r>
      <w:r>
        <w:rPr>
          <w:rFonts w:hint="eastAsia" w:ascii="仿宋" w:hAnsi="仿宋" w:eastAsia="仿宋" w:cs="仿宋"/>
          <w:sz w:val="24"/>
          <w:lang w:val="en-US" w:eastAsia="zh-CN"/>
        </w:rPr>
        <w:t>100</w:t>
      </w:r>
      <w:r>
        <w:rPr>
          <w:rFonts w:hint="eastAsia" w:ascii="仿宋" w:hAnsi="仿宋" w:eastAsia="仿宋" w:cs="仿宋"/>
          <w:sz w:val="24"/>
        </w:rPr>
        <w:t>00元/天</w:t>
      </w:r>
      <w:r>
        <w:rPr>
          <w:rFonts w:hint="eastAsia" w:ascii="仿宋" w:hAnsi="仿宋" w:eastAsia="仿宋" w:cs="仿宋"/>
          <w:sz w:val="24"/>
          <w:lang w:eastAsia="zh-CN"/>
        </w:rPr>
        <w:t>标准在支付工程款时</w:t>
      </w:r>
      <w:r>
        <w:rPr>
          <w:rFonts w:hint="eastAsia" w:ascii="仿宋" w:hAnsi="仿宋" w:eastAsia="仿宋" w:cs="仿宋"/>
          <w:sz w:val="24"/>
        </w:rPr>
        <w:t>扣减承包人违约金。</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22</w:t>
      </w:r>
      <w:r>
        <w:rPr>
          <w:rFonts w:hint="eastAsia" w:ascii="仿宋" w:hAnsi="仿宋" w:eastAsia="仿宋" w:cs="仿宋"/>
          <w:sz w:val="24"/>
        </w:rPr>
        <w:t>承包人未按要求参加发包人（或上级部门）组织的会议、培训等活动，发包人有权按</w:t>
      </w:r>
      <w:r>
        <w:rPr>
          <w:rFonts w:hint="eastAsia" w:ascii="仿宋" w:hAnsi="仿宋" w:eastAsia="仿宋" w:cs="仿宋"/>
          <w:sz w:val="24"/>
          <w:lang w:val="en-US" w:eastAsia="zh-CN"/>
        </w:rPr>
        <w:t>2</w:t>
      </w:r>
      <w:r>
        <w:rPr>
          <w:rFonts w:hint="eastAsia" w:ascii="仿宋" w:hAnsi="仿宋" w:eastAsia="仿宋" w:cs="仿宋"/>
          <w:sz w:val="24"/>
        </w:rPr>
        <w:t>000元/次扣减承包人违约金</w:t>
      </w:r>
      <w:r>
        <w:rPr>
          <w:rFonts w:hint="eastAsia" w:ascii="仿宋" w:hAnsi="仿宋" w:eastAsia="仿宋" w:cs="仿宋"/>
          <w:sz w:val="24"/>
          <w:lang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480" w:lineRule="exact"/>
        <w:ind w:right="11" w:firstLine="482" w:firstLineChars="200"/>
        <w:textAlignment w:val="auto"/>
        <w:rPr>
          <w:rFonts w:hint="eastAsia" w:ascii="黑体" w:hAnsi="黑体" w:eastAsia="黑体" w:cs="黑体"/>
          <w:b/>
          <w:bCs/>
          <w:sz w:val="24"/>
        </w:rPr>
      </w:pPr>
      <w:r>
        <w:rPr>
          <w:rFonts w:hint="eastAsia" w:ascii="黑体" w:hAnsi="黑体" w:eastAsia="黑体" w:cs="黑体"/>
          <w:b/>
          <w:bCs/>
          <w:sz w:val="24"/>
        </w:rPr>
        <w:t>工程定额</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9.1闸室（含闸板等）、翼墙、消能设施、闸站管理房结构、泵站进水池及闸门周边清疏等优先根据广东省水利厅粤水建管〔2017〕37号文套用《广东省水利水电工程预算定额》、《广东省水利水电工程施工机械台班费定额》，其中修缮部分内容套广东省建筑与装饰修缮工程综合定额(2012)、广东省市政修缮工程综合定额(2012)；</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9.2闸门附属设施（包括启闭系统、应急发电系统、配电系统等）、水泵及附属设施（包括电机、输水管道、配电系统等）、管理用房配套设施（包括避雷装置、消防器材、值班设施、配电系统等）、水位尺、视频监控系统、闸站控制系统、闸站监测系统等优先根据广东省水利厅粤水建管〔2017〕37号文套用《广东省水利水电设备安装工程预算定额》、《广东省水利水电工程施工机械台班费定额》，其次套用《广东省通用安装工程综合定额(2018)》；其中修缮部分内容套用广东省安装修缮工程综合定额(2012)；</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b w:val="0"/>
          <w:bCs w:val="0"/>
          <w:kern w:val="2"/>
          <w:sz w:val="24"/>
          <w:szCs w:val="22"/>
          <w:lang w:val="en-US" w:eastAsia="zh-CN" w:bidi="ar-SA"/>
        </w:rPr>
      </w:pPr>
      <w:r>
        <w:rPr>
          <w:rFonts w:hint="eastAsia" w:ascii="仿宋" w:hAnsi="仿宋" w:eastAsia="仿宋" w:cs="仿宋"/>
          <w:b w:val="0"/>
          <w:bCs w:val="0"/>
          <w:kern w:val="2"/>
          <w:sz w:val="24"/>
          <w:szCs w:val="22"/>
          <w:lang w:val="en-US" w:eastAsia="zh-CN" w:bidi="ar-SA"/>
        </w:rPr>
        <w:t>9.3护栏、标示牌、警示牌、管理责任牌、界桩等维修工程结算优先根据《广东省市政工程综合定额(2018)》和《广东省建筑与装饰工程综合定额（2018）》计算，其中修缮部分内容套用广东省建筑与装饰修缮工程综合定额(2012)、广东省市政修缮工程综合定额(2012)；</w:t>
      </w:r>
    </w:p>
    <w:p>
      <w:pPr>
        <w:keepNext w:val="0"/>
        <w:keepLines w:val="0"/>
        <w:pageBreakBefore w:val="0"/>
        <w:widowControl w:val="0"/>
        <w:kinsoku/>
        <w:wordWrap/>
        <w:overflowPunct/>
        <w:topLinePunct w:val="0"/>
        <w:autoSpaceDE/>
        <w:autoSpaceDN/>
        <w:bidi w:val="0"/>
        <w:adjustRightInd/>
        <w:snapToGrid/>
        <w:spacing w:line="480" w:lineRule="exact"/>
        <w:ind w:right="11" w:firstLine="480" w:firstLineChars="200"/>
        <w:textAlignment w:val="auto"/>
        <w:rPr>
          <w:rFonts w:hint="eastAsia" w:ascii="仿宋" w:hAnsi="仿宋" w:eastAsia="仿宋"/>
          <w:b w:val="0"/>
          <w:bCs w:val="0"/>
          <w:sz w:val="24"/>
        </w:rPr>
      </w:pPr>
      <w:r>
        <w:rPr>
          <w:rFonts w:hint="eastAsia" w:ascii="仿宋" w:hAnsi="仿宋" w:eastAsia="仿宋" w:cs="仿宋"/>
          <w:b w:val="0"/>
          <w:bCs w:val="0"/>
          <w:kern w:val="2"/>
          <w:sz w:val="24"/>
          <w:szCs w:val="22"/>
          <w:lang w:val="en-US" w:eastAsia="zh-CN" w:bidi="ar-SA"/>
        </w:rPr>
        <w:t>9.4如有部分项目子项不适用上述定额的则可套用适应工程项目子项的其它相关定额计算，没有适用定额的根据实际产</w:t>
      </w:r>
      <w:r>
        <w:rPr>
          <w:rFonts w:hint="eastAsia" w:ascii="仿宋" w:hAnsi="仿宋" w:eastAsia="仿宋" w:cs="仿宋"/>
          <w:b w:val="0"/>
          <w:bCs w:val="0"/>
          <w:color w:val="auto"/>
          <w:sz w:val="24"/>
        </w:rPr>
        <w:t>生工程量按水利人工、材料、机械等规定费用汇总计算</w:t>
      </w:r>
      <w:r>
        <w:rPr>
          <w:rFonts w:hint="eastAsia" w:ascii="仿宋" w:hAnsi="仿宋" w:eastAsia="仿宋" w:cs="仿宋"/>
          <w:b w:val="0"/>
          <w:bCs w:val="0"/>
          <w:sz w:val="24"/>
        </w:rPr>
        <w:t>。工程常用</w:t>
      </w:r>
      <w:r>
        <w:rPr>
          <w:rFonts w:hint="eastAsia" w:ascii="仿宋" w:hAnsi="仿宋" w:eastAsia="仿宋"/>
          <w:b w:val="0"/>
          <w:bCs w:val="0"/>
          <w:sz w:val="24"/>
        </w:rPr>
        <w:t>材料及其他材料价格按照施工期间同期的《广州地区建设工程造价信息》和《广州地区建设工程材料（设备）厂商价格信息》计价；</w:t>
      </w:r>
    </w:p>
    <w:p>
      <w:pPr>
        <w:keepNext w:val="0"/>
        <w:keepLines w:val="0"/>
        <w:pageBreakBefore w:val="0"/>
        <w:widowControl w:val="0"/>
        <w:kinsoku/>
        <w:wordWrap/>
        <w:overflowPunct/>
        <w:topLinePunct w:val="0"/>
        <w:autoSpaceDE/>
        <w:autoSpaceDN/>
        <w:bidi w:val="0"/>
        <w:snapToGrid/>
        <w:spacing w:line="480" w:lineRule="exact"/>
        <w:ind w:right="11" w:firstLine="480" w:firstLineChars="200"/>
        <w:rPr>
          <w:rFonts w:hint="eastAsia" w:ascii="仿宋" w:hAnsi="仿宋" w:eastAsia="仿宋" w:cs="仿宋"/>
          <w:b w:val="0"/>
          <w:bCs w:val="0"/>
          <w:sz w:val="24"/>
        </w:rPr>
      </w:pPr>
      <w:r>
        <w:rPr>
          <w:rFonts w:hint="eastAsia" w:ascii="仿宋" w:hAnsi="仿宋" w:eastAsia="仿宋"/>
          <w:b w:val="0"/>
          <w:bCs w:val="0"/>
          <w:sz w:val="24"/>
          <w:lang w:val="en-US" w:eastAsia="zh-CN"/>
        </w:rPr>
        <w:t>9</w:t>
      </w:r>
      <w:r>
        <w:rPr>
          <w:rFonts w:hint="eastAsia" w:ascii="仿宋" w:hAnsi="仿宋" w:eastAsia="仿宋"/>
          <w:b w:val="0"/>
          <w:bCs w:val="0"/>
          <w:sz w:val="24"/>
        </w:rPr>
        <w:t>.</w:t>
      </w:r>
      <w:r>
        <w:rPr>
          <w:rFonts w:hint="eastAsia" w:ascii="仿宋" w:hAnsi="仿宋" w:eastAsia="仿宋"/>
          <w:b w:val="0"/>
          <w:bCs w:val="0"/>
          <w:sz w:val="24"/>
          <w:lang w:val="en-US" w:eastAsia="zh-CN"/>
        </w:rPr>
        <w:t>5</w:t>
      </w:r>
      <w:r>
        <w:rPr>
          <w:rFonts w:hint="eastAsia" w:ascii="仿宋" w:hAnsi="仿宋" w:eastAsia="仿宋" w:cs="仿宋"/>
          <w:b w:val="0"/>
          <w:bCs w:val="0"/>
          <w:sz w:val="24"/>
        </w:rPr>
        <w:t>余泥渣土、建筑垃圾、</w:t>
      </w:r>
      <w:r>
        <w:rPr>
          <w:rFonts w:hint="eastAsia" w:ascii="仿宋" w:hAnsi="仿宋" w:eastAsia="仿宋" w:cs="仿宋"/>
          <w:b w:val="0"/>
          <w:bCs w:val="0"/>
          <w:sz w:val="24"/>
          <w:lang w:eastAsia="zh-CN"/>
        </w:rPr>
        <w:t>石渣、</w:t>
      </w:r>
      <w:r>
        <w:rPr>
          <w:rFonts w:hint="eastAsia" w:ascii="仿宋" w:hAnsi="仿宋" w:eastAsia="仿宋" w:cs="仿宋"/>
          <w:b w:val="0"/>
          <w:bCs w:val="0"/>
          <w:sz w:val="24"/>
        </w:rPr>
        <w:t>绿化残枝等清运，原黄埔片区运距按20公里计算，原萝岗片区运距按15公里计算。</w:t>
      </w:r>
    </w:p>
    <w:p>
      <w:pPr>
        <w:keepNext w:val="0"/>
        <w:keepLines w:val="0"/>
        <w:pageBreakBefore w:val="0"/>
        <w:widowControl w:val="0"/>
        <w:kinsoku/>
        <w:wordWrap/>
        <w:overflowPunct/>
        <w:topLinePunct w:val="0"/>
        <w:autoSpaceDE/>
        <w:autoSpaceDN/>
        <w:bidi w:val="0"/>
        <w:snapToGrid/>
        <w:spacing w:line="480" w:lineRule="exact"/>
        <w:ind w:right="11" w:firstLine="480" w:firstLineChars="200"/>
        <w:rPr>
          <w:rFonts w:hint="eastAsia" w:ascii="仿宋" w:hAnsi="仿宋" w:eastAsia="仿宋" w:cs="仿宋"/>
          <w:sz w:val="24"/>
        </w:rPr>
      </w:pPr>
      <w:r>
        <w:rPr>
          <w:rFonts w:hint="eastAsia" w:ascii="仿宋" w:hAnsi="仿宋" w:eastAsia="仿宋" w:cs="仿宋"/>
          <w:b w:val="0"/>
          <w:bCs w:val="0"/>
          <w:sz w:val="24"/>
          <w:lang w:val="en-US" w:eastAsia="zh-CN"/>
        </w:rPr>
        <w:t>9</w:t>
      </w:r>
      <w:r>
        <w:rPr>
          <w:rFonts w:hint="eastAsia" w:ascii="仿宋" w:hAnsi="仿宋" w:eastAsia="仿宋" w:cs="仿宋"/>
          <w:b w:val="0"/>
          <w:bCs w:val="0"/>
          <w:sz w:val="24"/>
        </w:rPr>
        <w:t>.</w:t>
      </w:r>
      <w:r>
        <w:rPr>
          <w:rFonts w:hint="eastAsia" w:ascii="仿宋" w:hAnsi="仿宋" w:eastAsia="仿宋" w:cs="仿宋"/>
          <w:b w:val="0"/>
          <w:bCs w:val="0"/>
          <w:sz w:val="24"/>
          <w:lang w:val="en-US" w:eastAsia="zh-CN"/>
        </w:rPr>
        <w:t>6</w:t>
      </w:r>
      <w:r>
        <w:rPr>
          <w:rFonts w:hint="eastAsia" w:ascii="仿宋" w:hAnsi="仿宋" w:eastAsia="仿宋" w:cs="仿宋"/>
          <w:b w:val="0"/>
          <w:bCs w:val="0"/>
          <w:sz w:val="24"/>
        </w:rPr>
        <w:t>合同期内，如相关主管部门颁布新定额，则按新定额执行。</w:t>
      </w:r>
    </w:p>
    <w:p>
      <w:pPr>
        <w:keepNext w:val="0"/>
        <w:keepLines w:val="0"/>
        <w:pageBreakBefore w:val="0"/>
        <w:widowControl w:val="0"/>
        <w:kinsoku/>
        <w:wordWrap/>
        <w:overflowPunct/>
        <w:topLinePunct w:val="0"/>
        <w:autoSpaceDE/>
        <w:autoSpaceDN/>
        <w:bidi w:val="0"/>
        <w:snapToGrid/>
        <w:spacing w:line="480" w:lineRule="exact"/>
        <w:ind w:right="11" w:firstLine="482" w:firstLineChars="200"/>
        <w:rPr>
          <w:rFonts w:hint="eastAsia" w:ascii="黑体" w:hAnsi="黑体" w:eastAsia="黑体" w:cs="黑体"/>
          <w:b/>
          <w:bCs/>
          <w:sz w:val="24"/>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0.</w:t>
      </w:r>
      <w:r>
        <w:rPr>
          <w:rFonts w:hint="eastAsia" w:ascii="黑体" w:hAnsi="黑体" w:eastAsia="黑体" w:cs="黑体"/>
          <w:b/>
          <w:bCs/>
          <w:sz w:val="24"/>
        </w:rPr>
        <w:t>工程结算</w:t>
      </w:r>
    </w:p>
    <w:p>
      <w:pPr>
        <w:keepNext w:val="0"/>
        <w:keepLines w:val="0"/>
        <w:pageBreakBefore w:val="0"/>
        <w:widowControl w:val="0"/>
        <w:kinsoku/>
        <w:wordWrap/>
        <w:overflowPunct/>
        <w:topLinePunct w:val="0"/>
        <w:autoSpaceDE/>
        <w:autoSpaceDN/>
        <w:bidi w:val="0"/>
        <w:snapToGrid/>
        <w:spacing w:line="480" w:lineRule="exact"/>
        <w:ind w:right="11" w:firstLine="480" w:firstLineChars="200"/>
        <w:rPr>
          <w:rFonts w:ascii="仿宋" w:hAnsi="仿宋" w:eastAsia="仿宋" w:cs="仿宋"/>
          <w:sz w:val="24"/>
          <w:szCs w:val="24"/>
        </w:rPr>
      </w:pPr>
      <w:r>
        <w:rPr>
          <w:rFonts w:hint="eastAsia" w:ascii="仿宋" w:hAnsi="仿宋" w:eastAsia="仿宋" w:cs="仿宋"/>
          <w:sz w:val="24"/>
          <w:lang w:eastAsia="zh-CN"/>
        </w:rPr>
        <w:t>维修改造任务</w:t>
      </w:r>
      <w:r>
        <w:rPr>
          <w:rFonts w:hint="eastAsia" w:ascii="仿宋" w:hAnsi="仿宋" w:eastAsia="仿宋" w:cs="仿宋"/>
          <w:sz w:val="24"/>
        </w:rPr>
        <w:t>完工通过验收后，承包人</w:t>
      </w:r>
      <w:r>
        <w:rPr>
          <w:rFonts w:hint="eastAsia" w:ascii="仿宋" w:hAnsi="仿宋" w:eastAsia="仿宋" w:cs="仿宋"/>
          <w:sz w:val="24"/>
          <w:szCs w:val="24"/>
        </w:rPr>
        <w:t>以实际</w:t>
      </w:r>
      <w:r>
        <w:rPr>
          <w:rFonts w:hint="eastAsia" w:ascii="仿宋" w:hAnsi="仿宋" w:eastAsia="仿宋" w:cs="仿宋"/>
          <w:sz w:val="24"/>
          <w:szCs w:val="24"/>
          <w:lang w:eastAsia="zh-CN"/>
        </w:rPr>
        <w:t>完成量</w:t>
      </w:r>
      <w:r>
        <w:rPr>
          <w:rFonts w:hint="eastAsia" w:ascii="仿宋" w:hAnsi="仿宋" w:eastAsia="仿宋" w:cs="仿宋"/>
          <w:sz w:val="24"/>
          <w:szCs w:val="24"/>
        </w:rPr>
        <w:t>经发包人、监理单位、承包人三方确认的工程量为依据，</w:t>
      </w:r>
      <w:r>
        <w:rPr>
          <w:rFonts w:hint="eastAsia" w:ascii="仿宋" w:hAnsi="仿宋" w:eastAsia="仿宋" w:cs="仿宋"/>
          <w:sz w:val="24"/>
          <w:szCs w:val="24"/>
          <w:lang w:eastAsia="zh-CN"/>
        </w:rPr>
        <w:t>按季度周期</w:t>
      </w:r>
      <w:r>
        <w:rPr>
          <w:rFonts w:hint="eastAsia" w:ascii="仿宋" w:hAnsi="仿宋" w:eastAsia="仿宋" w:cs="仿宋"/>
          <w:sz w:val="24"/>
        </w:rPr>
        <w:t>编制工程结算书，工程结算</w:t>
      </w:r>
      <w:r>
        <w:rPr>
          <w:rFonts w:hint="eastAsia" w:ascii="仿宋" w:hAnsi="仿宋" w:eastAsia="仿宋" w:cs="仿宋"/>
          <w:sz w:val="24"/>
          <w:lang w:eastAsia="zh-CN"/>
        </w:rPr>
        <w:t>价</w:t>
      </w:r>
      <w:r>
        <w:rPr>
          <w:rFonts w:hint="eastAsia" w:ascii="仿宋" w:hAnsi="仿宋" w:eastAsia="仿宋" w:cs="仿宋"/>
          <w:sz w:val="24"/>
        </w:rPr>
        <w:t>最终以</w:t>
      </w:r>
      <w:r>
        <w:rPr>
          <w:rFonts w:hint="eastAsia" w:ascii="仿宋" w:hAnsi="仿宋" w:eastAsia="仿宋" w:cs="仿宋"/>
          <w:sz w:val="24"/>
          <w:szCs w:val="24"/>
        </w:rPr>
        <w:t>区财政局审定的工程结算核定价</w:t>
      </w:r>
      <w:r>
        <w:rPr>
          <w:rFonts w:hint="eastAsia" w:ascii="仿宋" w:hAnsi="仿宋" w:eastAsia="仿宋" w:cs="仿宋"/>
          <w:sz w:val="24"/>
          <w:szCs w:val="24"/>
          <w:lang w:eastAsia="zh-CN"/>
        </w:rPr>
        <w:t>结算（核定价如已按</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下浮率下浮，不作重复下浮</w:t>
      </w:r>
      <w:r>
        <w:rPr>
          <w:rFonts w:hint="eastAsia" w:ascii="仿宋" w:hAnsi="仿宋" w:eastAsia="仿宋" w:cs="仿宋"/>
          <w:sz w:val="24"/>
          <w:szCs w:val="24"/>
          <w:lang w:eastAsia="zh-CN"/>
        </w:rPr>
        <w:t>）</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snapToGrid/>
        <w:spacing w:line="480" w:lineRule="exact"/>
        <w:ind w:right="11" w:firstLine="482" w:firstLineChars="200"/>
        <w:rPr>
          <w:rFonts w:hint="eastAsia" w:ascii="黑体" w:hAnsi="黑体" w:eastAsia="黑体" w:cs="黑体"/>
          <w:b/>
          <w:bCs/>
          <w:sz w:val="24"/>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1.</w:t>
      </w:r>
      <w:r>
        <w:rPr>
          <w:rFonts w:hint="eastAsia" w:ascii="黑体" w:hAnsi="黑体" w:eastAsia="黑体" w:cs="黑体"/>
          <w:b/>
          <w:bCs/>
          <w:sz w:val="24"/>
        </w:rPr>
        <w:t>工程款支付</w:t>
      </w:r>
    </w:p>
    <w:p>
      <w:pPr>
        <w:keepNext w:val="0"/>
        <w:keepLines w:val="0"/>
        <w:pageBreakBefore w:val="0"/>
        <w:widowControl w:val="0"/>
        <w:kinsoku/>
        <w:wordWrap/>
        <w:overflowPunct/>
        <w:topLinePunct w:val="0"/>
        <w:autoSpaceDE/>
        <w:autoSpaceDN/>
        <w:bidi w:val="0"/>
        <w:snapToGrid/>
        <w:spacing w:line="480" w:lineRule="exact"/>
        <w:ind w:right="11" w:firstLine="480" w:firstLineChars="200"/>
        <w:rPr>
          <w:rFonts w:hint="eastAsia" w:ascii="仿宋" w:hAnsi="仿宋" w:eastAsia="仿宋" w:cs="仿宋"/>
          <w:sz w:val="24"/>
        </w:rPr>
      </w:pPr>
      <w:r>
        <w:rPr>
          <w:rFonts w:hint="eastAsia" w:ascii="仿宋" w:hAnsi="仿宋" w:eastAsia="仿宋" w:cs="仿宋"/>
          <w:sz w:val="24"/>
          <w:lang w:val="en-US" w:eastAsia="zh-CN"/>
        </w:rPr>
        <w:t>11.1</w:t>
      </w:r>
      <w:r>
        <w:rPr>
          <w:rFonts w:hint="eastAsia" w:ascii="仿宋" w:hAnsi="仿宋" w:eastAsia="仿宋" w:cs="仿宋"/>
          <w:sz w:val="24"/>
          <w:lang w:eastAsia="zh-CN"/>
        </w:rPr>
        <w:t>维修改造任务</w:t>
      </w:r>
      <w:r>
        <w:rPr>
          <w:rFonts w:hint="eastAsia" w:ascii="仿宋" w:hAnsi="仿宋" w:eastAsia="仿宋" w:cs="仿宋"/>
          <w:sz w:val="24"/>
        </w:rPr>
        <w:t>完工验收</w:t>
      </w:r>
      <w:r>
        <w:rPr>
          <w:rFonts w:hint="eastAsia" w:ascii="仿宋" w:hAnsi="仿宋" w:eastAsia="仿宋" w:cs="仿宋"/>
          <w:sz w:val="24"/>
          <w:lang w:eastAsia="zh-CN"/>
        </w:rPr>
        <w:t>合格</w:t>
      </w:r>
      <w:r>
        <w:rPr>
          <w:rFonts w:hint="eastAsia" w:ascii="仿宋" w:hAnsi="仿宋" w:eastAsia="仿宋" w:cs="仿宋"/>
          <w:sz w:val="24"/>
        </w:rPr>
        <w:t>后支付至工程预算书监理单位审核价的50%，区财政局审定结算后支付至结算审定价的9</w:t>
      </w:r>
      <w:r>
        <w:rPr>
          <w:rFonts w:hint="eastAsia" w:ascii="仿宋" w:hAnsi="仿宋" w:eastAsia="仿宋" w:cs="仿宋"/>
          <w:sz w:val="24"/>
          <w:lang w:val="en-US" w:eastAsia="zh-CN"/>
        </w:rPr>
        <w:t>7</w:t>
      </w:r>
      <w:r>
        <w:rPr>
          <w:rFonts w:hint="eastAsia" w:ascii="仿宋" w:hAnsi="仿宋" w:eastAsia="仿宋" w:cs="仿宋"/>
          <w:sz w:val="24"/>
        </w:rPr>
        <w:t>%，质保期结束</w:t>
      </w:r>
      <w:r>
        <w:rPr>
          <w:rFonts w:hint="eastAsia" w:ascii="仿宋" w:hAnsi="仿宋" w:eastAsia="仿宋" w:cs="仿宋"/>
          <w:sz w:val="24"/>
          <w:lang w:val="en-US" w:eastAsia="zh-CN"/>
        </w:rPr>
        <w:t>且无质量缺陷</w:t>
      </w:r>
      <w:r>
        <w:rPr>
          <w:rFonts w:hint="eastAsia" w:ascii="仿宋" w:hAnsi="仿宋" w:eastAsia="仿宋" w:cs="仿宋"/>
          <w:sz w:val="24"/>
          <w:lang w:eastAsia="zh-CN"/>
        </w:rPr>
        <w:t>的</w:t>
      </w:r>
      <w:r>
        <w:rPr>
          <w:rFonts w:hint="eastAsia" w:ascii="仿宋" w:hAnsi="仿宋" w:eastAsia="仿宋" w:cs="仿宋"/>
          <w:sz w:val="24"/>
        </w:rPr>
        <w:t>支付至结算审定价的100%。</w:t>
      </w:r>
    </w:p>
    <w:p>
      <w:pPr>
        <w:keepNext w:val="0"/>
        <w:keepLines w:val="0"/>
        <w:pageBreakBefore w:val="0"/>
        <w:widowControl w:val="0"/>
        <w:kinsoku/>
        <w:wordWrap/>
        <w:overflowPunct/>
        <w:topLinePunct w:val="0"/>
        <w:autoSpaceDE/>
        <w:autoSpaceDN/>
        <w:bidi w:val="0"/>
        <w:snapToGrid/>
        <w:spacing w:line="480" w:lineRule="exact"/>
        <w:ind w:right="11"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11.2发包人</w:t>
      </w:r>
      <w:r>
        <w:rPr>
          <w:rFonts w:hint="eastAsia" w:ascii="仿宋" w:hAnsi="仿宋" w:eastAsia="仿宋" w:cs="仿宋"/>
          <w:sz w:val="24"/>
        </w:rPr>
        <w:t>收到</w:t>
      </w:r>
      <w:r>
        <w:rPr>
          <w:rFonts w:hint="eastAsia" w:ascii="仿宋" w:hAnsi="仿宋" w:eastAsia="仿宋" w:cs="仿宋"/>
          <w:sz w:val="24"/>
          <w:lang w:val="en-US" w:eastAsia="zh-CN"/>
        </w:rPr>
        <w:t>承包人</w:t>
      </w:r>
      <w:r>
        <w:rPr>
          <w:rFonts w:hint="eastAsia" w:ascii="仿宋" w:hAnsi="仿宋" w:eastAsia="仿宋" w:cs="仿宋"/>
          <w:sz w:val="24"/>
        </w:rPr>
        <w:t>齐备请款资料</w:t>
      </w:r>
      <w:r>
        <w:rPr>
          <w:rFonts w:hint="eastAsia" w:ascii="仿宋" w:hAnsi="仿宋" w:eastAsia="仿宋" w:cs="仿宋"/>
          <w:sz w:val="24"/>
          <w:lang w:eastAsia="zh-CN"/>
        </w:rPr>
        <w:t>（</w:t>
      </w:r>
      <w:r>
        <w:rPr>
          <w:rFonts w:hint="eastAsia" w:ascii="仿宋" w:hAnsi="仿宋" w:eastAsia="仿宋" w:cs="仿宋"/>
          <w:sz w:val="24"/>
        </w:rPr>
        <w:t>有效的国家完税发票及相关资料</w:t>
      </w:r>
      <w:r>
        <w:rPr>
          <w:rFonts w:hint="eastAsia" w:ascii="仿宋" w:hAnsi="仿宋" w:eastAsia="仿宋" w:cs="仿宋"/>
          <w:sz w:val="24"/>
          <w:lang w:eastAsia="zh-CN"/>
        </w:rPr>
        <w:t>）</w:t>
      </w:r>
      <w:r>
        <w:rPr>
          <w:rFonts w:hint="eastAsia" w:ascii="仿宋" w:hAnsi="仿宋" w:eastAsia="仿宋" w:cs="仿宋"/>
          <w:sz w:val="24"/>
        </w:rPr>
        <w:t>后15个工作日内办理工程款支付</w:t>
      </w:r>
      <w:r>
        <w:rPr>
          <w:rFonts w:hint="eastAsia" w:ascii="仿宋" w:hAnsi="仿宋" w:eastAsia="仿宋" w:cs="仿宋"/>
          <w:sz w:val="24"/>
          <w:lang w:val="en-US" w:eastAsia="zh-CN"/>
        </w:rPr>
        <w:t>申</w:t>
      </w:r>
      <w:r>
        <w:rPr>
          <w:rFonts w:hint="eastAsia" w:ascii="仿宋" w:hAnsi="仿宋" w:eastAsia="仿宋" w:cs="仿宋"/>
          <w:sz w:val="24"/>
        </w:rPr>
        <w:t>请手续。</w:t>
      </w:r>
      <w:r>
        <w:rPr>
          <w:rFonts w:hint="eastAsia" w:ascii="仿宋" w:hAnsi="仿宋" w:eastAsia="仿宋" w:cs="仿宋"/>
          <w:sz w:val="24"/>
          <w:lang w:val="en-US" w:eastAsia="zh-CN"/>
        </w:rPr>
        <w:t>发包人</w:t>
      </w:r>
      <w:r>
        <w:rPr>
          <w:rFonts w:hint="eastAsia" w:ascii="仿宋" w:hAnsi="仿宋" w:eastAsia="仿宋" w:cs="仿宋"/>
          <w:sz w:val="24"/>
        </w:rPr>
        <w:t>完成请款</w:t>
      </w:r>
      <w:r>
        <w:rPr>
          <w:rFonts w:hint="eastAsia" w:ascii="仿宋" w:hAnsi="仿宋" w:eastAsia="仿宋" w:cs="仿宋"/>
          <w:sz w:val="24"/>
          <w:lang w:val="en-US" w:eastAsia="zh-CN"/>
        </w:rPr>
        <w:t>内部</w:t>
      </w:r>
      <w:r>
        <w:rPr>
          <w:rFonts w:hint="eastAsia" w:ascii="仿宋" w:hAnsi="仿宋" w:eastAsia="仿宋" w:cs="仿宋"/>
          <w:sz w:val="24"/>
        </w:rPr>
        <w:t>审批流程并提交资料至区财政国库集中支付中心，完成提交手续后视为完成支付工作。具体付款时间按区财政制度办理。</w:t>
      </w:r>
    </w:p>
    <w:p>
      <w:pPr>
        <w:keepNext w:val="0"/>
        <w:keepLines w:val="0"/>
        <w:pageBreakBefore w:val="0"/>
        <w:widowControl w:val="0"/>
        <w:kinsoku/>
        <w:wordWrap/>
        <w:overflowPunct/>
        <w:topLinePunct w:val="0"/>
        <w:autoSpaceDE/>
        <w:autoSpaceDN/>
        <w:bidi w:val="0"/>
        <w:snapToGrid/>
        <w:spacing w:line="480" w:lineRule="exact"/>
        <w:ind w:right="11" w:firstLine="482" w:firstLineChars="200"/>
        <w:rPr>
          <w:rFonts w:hint="eastAsia" w:ascii="黑体" w:hAnsi="黑体" w:eastAsia="黑体" w:cs="黑体"/>
          <w:b/>
          <w:bCs/>
          <w:sz w:val="24"/>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2.</w:t>
      </w:r>
      <w:r>
        <w:rPr>
          <w:rFonts w:hint="eastAsia" w:ascii="黑体" w:hAnsi="黑体" w:eastAsia="黑体" w:cs="黑体"/>
          <w:b/>
          <w:bCs/>
          <w:sz w:val="24"/>
        </w:rPr>
        <w:t>合同生效</w:t>
      </w:r>
    </w:p>
    <w:p>
      <w:pPr>
        <w:keepNext w:val="0"/>
        <w:keepLines w:val="0"/>
        <w:pageBreakBefore w:val="0"/>
        <w:widowControl w:val="0"/>
        <w:kinsoku/>
        <w:wordWrap/>
        <w:overflowPunct/>
        <w:topLinePunct w:val="0"/>
        <w:autoSpaceDE/>
        <w:autoSpaceDN/>
        <w:bidi w:val="0"/>
        <w:snapToGrid/>
        <w:spacing w:line="480" w:lineRule="exact"/>
        <w:ind w:firstLine="480"/>
        <w:rPr>
          <w:rFonts w:ascii="仿宋" w:hAnsi="仿宋" w:eastAsia="仿宋" w:cs="仿宋"/>
          <w:sz w:val="24"/>
        </w:rPr>
      </w:pPr>
      <w:r>
        <w:rPr>
          <w:rFonts w:hint="eastAsia" w:ascii="仿宋" w:hAnsi="仿宋" w:eastAsia="仿宋" w:cs="仿宋"/>
          <w:sz w:val="24"/>
        </w:rPr>
        <w:t>本合同</w:t>
      </w:r>
      <w:r>
        <w:rPr>
          <w:rFonts w:hint="eastAsia" w:ascii="仿宋" w:hAnsi="仿宋" w:eastAsia="仿宋" w:cs="仿宋"/>
          <w:sz w:val="24"/>
          <w:lang w:eastAsia="zh-CN"/>
        </w:rPr>
        <w:t>自发包人、承包人</w:t>
      </w:r>
      <w:r>
        <w:rPr>
          <w:rFonts w:hint="eastAsia" w:ascii="仿宋" w:hAnsi="仿宋" w:eastAsia="仿宋" w:cs="仿宋"/>
          <w:sz w:val="24"/>
          <w:u w:val="none"/>
        </w:rPr>
        <w:t>双方签名、盖章后</w:t>
      </w:r>
      <w:r>
        <w:rPr>
          <w:rFonts w:hint="eastAsia" w:ascii="仿宋" w:hAnsi="仿宋" w:eastAsia="仿宋" w:cs="仿宋"/>
          <w:sz w:val="24"/>
        </w:rPr>
        <w:t>生效。</w:t>
      </w:r>
    </w:p>
    <w:p>
      <w:pPr>
        <w:keepNext w:val="0"/>
        <w:keepLines w:val="0"/>
        <w:pageBreakBefore w:val="0"/>
        <w:widowControl w:val="0"/>
        <w:kinsoku/>
        <w:wordWrap/>
        <w:overflowPunct/>
        <w:topLinePunct w:val="0"/>
        <w:autoSpaceDE/>
        <w:autoSpaceDN/>
        <w:bidi w:val="0"/>
        <w:snapToGrid/>
        <w:spacing w:line="480" w:lineRule="exact"/>
        <w:ind w:right="11" w:firstLine="482" w:firstLineChars="200"/>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13.履约担保及安全生产责任保险</w:t>
      </w:r>
    </w:p>
    <w:p>
      <w:pPr>
        <w:keepNext w:val="0"/>
        <w:keepLines w:val="0"/>
        <w:pageBreakBefore w:val="0"/>
        <w:widowControl w:val="0"/>
        <w:kinsoku/>
        <w:wordWrap/>
        <w:overflowPunct/>
        <w:topLinePunct w:val="0"/>
        <w:autoSpaceDE/>
        <w:autoSpaceDN/>
        <w:bidi w:val="0"/>
        <w:snapToGrid/>
        <w:spacing w:line="480" w:lineRule="exact"/>
        <w:ind w:right="11" w:firstLine="480" w:firstLineChars="200"/>
        <w:rPr>
          <w:rFonts w:hint="default" w:ascii="仿宋" w:hAnsi="仿宋" w:eastAsia="仿宋" w:cs="仿宋"/>
          <w:sz w:val="24"/>
          <w:highlight w:val="none"/>
          <w:lang w:val="en-US" w:eastAsia="zh-CN"/>
        </w:rPr>
      </w:pPr>
      <w:r>
        <w:rPr>
          <w:rFonts w:hint="eastAsia" w:ascii="仿宋" w:hAnsi="仿宋" w:eastAsia="仿宋" w:cs="仿宋"/>
          <w:sz w:val="24"/>
          <w:lang w:eastAsia="zh-CN"/>
        </w:rPr>
        <w:t>发包人、承包人</w:t>
      </w:r>
      <w:r>
        <w:rPr>
          <w:rFonts w:hint="eastAsia" w:ascii="仿宋" w:hAnsi="仿宋" w:eastAsia="仿宋" w:cs="仿宋"/>
          <w:sz w:val="24"/>
          <w:highlight w:val="none"/>
        </w:rPr>
        <w:t>双方签订合同后，承包人应在合同签订后60日内，提交履约保函</w:t>
      </w:r>
      <w:r>
        <w:rPr>
          <w:rFonts w:hint="eastAsia" w:ascii="仿宋" w:hAnsi="仿宋" w:eastAsia="仿宋" w:cs="仿宋"/>
          <w:sz w:val="24"/>
          <w:highlight w:val="none"/>
          <w:lang w:eastAsia="zh-CN"/>
        </w:rPr>
        <w:t>和安全生产责任保险。</w:t>
      </w:r>
      <w:r>
        <w:rPr>
          <w:rFonts w:hint="eastAsia" w:ascii="仿宋" w:hAnsi="仿宋" w:eastAsia="仿宋" w:cs="仿宋"/>
          <w:sz w:val="24"/>
          <w:highlight w:val="none"/>
        </w:rPr>
        <w:t>保函金额为合同价格的</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%。履约保函为承包人委托银行</w:t>
      </w:r>
      <w:r>
        <w:rPr>
          <w:rFonts w:hint="eastAsia" w:ascii="仿宋" w:hAnsi="仿宋" w:eastAsia="仿宋" w:cs="仿宋"/>
          <w:sz w:val="24"/>
          <w:highlight w:val="none"/>
          <w:lang w:eastAsia="zh-CN"/>
        </w:rPr>
        <w:t>或保险公司</w:t>
      </w:r>
      <w:r>
        <w:rPr>
          <w:rFonts w:hint="eastAsia" w:ascii="仿宋" w:hAnsi="仿宋" w:eastAsia="仿宋" w:cs="仿宋"/>
          <w:sz w:val="24"/>
          <w:highlight w:val="none"/>
        </w:rPr>
        <w:t>出具的以发包人为受益人的无条件、见索即付、不可撤销的履约保证。</w:t>
      </w:r>
      <w:r>
        <w:rPr>
          <w:rFonts w:hint="eastAsia" w:ascii="仿宋" w:hAnsi="仿宋" w:eastAsia="仿宋" w:cs="仿宋"/>
          <w:sz w:val="24"/>
          <w:highlight w:val="none"/>
          <w:lang w:eastAsia="zh-CN"/>
        </w:rPr>
        <w:t>安全生产责任保险方案按每人死亡赔偿限额不低于</w:t>
      </w:r>
      <w:r>
        <w:rPr>
          <w:rFonts w:hint="eastAsia" w:ascii="仿宋" w:hAnsi="仿宋" w:eastAsia="仿宋" w:cs="仿宋"/>
          <w:sz w:val="24"/>
          <w:highlight w:val="none"/>
          <w:lang w:val="en-US" w:eastAsia="zh-CN"/>
        </w:rPr>
        <w:t>140万元购买，合同期内，如有新规定，按新规定执行。</w:t>
      </w:r>
    </w:p>
    <w:p>
      <w:pPr>
        <w:keepNext w:val="0"/>
        <w:keepLines w:val="0"/>
        <w:pageBreakBefore w:val="0"/>
        <w:widowControl w:val="0"/>
        <w:kinsoku/>
        <w:wordWrap/>
        <w:overflowPunct/>
        <w:topLinePunct w:val="0"/>
        <w:autoSpaceDE/>
        <w:autoSpaceDN/>
        <w:bidi w:val="0"/>
        <w:snapToGrid/>
        <w:spacing w:line="480" w:lineRule="exact"/>
        <w:ind w:right="11" w:firstLine="482" w:firstLineChars="200"/>
        <w:rPr>
          <w:rFonts w:hint="eastAsia" w:ascii="黑体" w:hAnsi="黑体" w:eastAsia="黑体" w:cs="黑体"/>
          <w:b/>
          <w:bCs/>
          <w:sz w:val="24"/>
        </w:rPr>
      </w:pPr>
      <w:r>
        <w:rPr>
          <w:rFonts w:hint="eastAsia" w:ascii="黑体" w:hAnsi="黑体" w:eastAsia="黑体" w:cs="黑体"/>
          <w:b/>
          <w:bCs/>
          <w:sz w:val="24"/>
          <w:lang w:val="en-US" w:eastAsia="zh-CN"/>
        </w:rPr>
        <w:t>14.</w:t>
      </w:r>
      <w:r>
        <w:rPr>
          <w:rFonts w:hint="eastAsia" w:ascii="黑体" w:hAnsi="黑体" w:eastAsia="黑体" w:cs="黑体"/>
          <w:b/>
          <w:bCs/>
          <w:sz w:val="24"/>
        </w:rPr>
        <w:t>争议的解决方式</w:t>
      </w:r>
    </w:p>
    <w:p>
      <w:pPr>
        <w:pStyle w:val="116"/>
        <w:keepNext w:val="0"/>
        <w:keepLines w:val="0"/>
        <w:pageBreakBefore w:val="0"/>
        <w:widowControl w:val="0"/>
        <w:kinsoku/>
        <w:wordWrap/>
        <w:overflowPunct/>
        <w:topLinePunct w:val="0"/>
        <w:autoSpaceDE/>
        <w:autoSpaceDN/>
        <w:bidi w:val="0"/>
        <w:snapToGrid/>
        <w:spacing w:line="480" w:lineRule="exact"/>
        <w:ind w:firstLine="480" w:firstLineChars="200"/>
        <w:rPr>
          <w:rFonts w:ascii="仿宋" w:hAnsi="仿宋" w:eastAsia="仿宋" w:cs="仿宋"/>
          <w:kern w:val="2"/>
          <w:sz w:val="24"/>
          <w:szCs w:val="22"/>
        </w:rPr>
      </w:pPr>
      <w:r>
        <w:rPr>
          <w:rFonts w:hint="eastAsia" w:ascii="仿宋" w:hAnsi="仿宋" w:eastAsia="仿宋" w:cs="仿宋"/>
          <w:kern w:val="2"/>
          <w:sz w:val="24"/>
          <w:szCs w:val="22"/>
          <w:lang w:eastAsia="zh-CN"/>
        </w:rPr>
        <w:t>如</w:t>
      </w:r>
      <w:r>
        <w:rPr>
          <w:rFonts w:hint="eastAsia" w:ascii="仿宋" w:hAnsi="仿宋" w:eastAsia="仿宋" w:cs="仿宋"/>
          <w:kern w:val="2"/>
          <w:sz w:val="24"/>
          <w:szCs w:val="22"/>
        </w:rPr>
        <w:t>发生与本合同有关的纠纷，由</w:t>
      </w:r>
      <w:r>
        <w:rPr>
          <w:rFonts w:hint="eastAsia" w:ascii="仿宋" w:hAnsi="仿宋" w:eastAsia="仿宋" w:cs="仿宋"/>
          <w:sz w:val="24"/>
          <w:lang w:eastAsia="zh-CN"/>
        </w:rPr>
        <w:t>发包人、承包人</w:t>
      </w:r>
      <w:r>
        <w:rPr>
          <w:rFonts w:hint="eastAsia" w:ascii="仿宋" w:hAnsi="仿宋" w:eastAsia="仿宋" w:cs="仿宋"/>
          <w:kern w:val="2"/>
          <w:sz w:val="24"/>
          <w:szCs w:val="22"/>
        </w:rPr>
        <w:t>双方当事人协商解决，协商不成的，任一方均有权向广州市黄埔区人民法院提起诉讼。</w:t>
      </w:r>
    </w:p>
    <w:p>
      <w:pPr>
        <w:pStyle w:val="116"/>
        <w:keepNext w:val="0"/>
        <w:keepLines w:val="0"/>
        <w:pageBreakBefore w:val="0"/>
        <w:widowControl w:val="0"/>
        <w:kinsoku/>
        <w:wordWrap/>
        <w:overflowPunct/>
        <w:topLinePunct w:val="0"/>
        <w:autoSpaceDE/>
        <w:autoSpaceDN/>
        <w:bidi w:val="0"/>
        <w:snapToGrid/>
        <w:spacing w:line="480" w:lineRule="exact"/>
        <w:ind w:firstLine="482" w:firstLineChars="200"/>
        <w:rPr>
          <w:rFonts w:hint="eastAsia" w:ascii="黑体" w:hAnsi="黑体" w:eastAsia="黑体" w:cs="黑体"/>
          <w:b/>
          <w:bCs/>
          <w:kern w:val="2"/>
          <w:sz w:val="24"/>
          <w:szCs w:val="22"/>
        </w:rPr>
      </w:pPr>
      <w:r>
        <w:rPr>
          <w:rFonts w:hint="eastAsia" w:ascii="黑体" w:hAnsi="黑体" w:eastAsia="黑体" w:cs="黑体"/>
          <w:b/>
          <w:bCs/>
          <w:kern w:val="2"/>
          <w:sz w:val="24"/>
          <w:szCs w:val="22"/>
          <w:lang w:val="en-US" w:eastAsia="zh-CN"/>
        </w:rPr>
        <w:t>15.</w:t>
      </w:r>
      <w:r>
        <w:rPr>
          <w:rFonts w:hint="eastAsia" w:ascii="黑体" w:hAnsi="黑体" w:eastAsia="黑体" w:cs="黑体"/>
          <w:b/>
          <w:bCs/>
          <w:kern w:val="2"/>
          <w:sz w:val="24"/>
          <w:szCs w:val="22"/>
        </w:rPr>
        <w:t>其他</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仿宋" w:hAnsi="仿宋" w:eastAsia="仿宋" w:cs="仿宋"/>
          <w:b w:val="0"/>
          <w:bCs w:val="0"/>
          <w:kern w:val="2"/>
          <w:sz w:val="24"/>
          <w:szCs w:val="22"/>
        </w:rPr>
      </w:pPr>
      <w:r>
        <w:rPr>
          <w:rFonts w:hint="eastAsia" w:ascii="仿宋" w:hAnsi="仿宋" w:eastAsia="仿宋" w:cs="仿宋"/>
          <w:b w:val="0"/>
          <w:bCs w:val="0"/>
          <w:kern w:val="2"/>
          <w:sz w:val="24"/>
          <w:szCs w:val="22"/>
          <w:lang w:val="en-US" w:eastAsia="zh-CN"/>
        </w:rPr>
        <w:t>15.1</w:t>
      </w:r>
      <w:r>
        <w:rPr>
          <w:rFonts w:hint="eastAsia" w:ascii="仿宋" w:hAnsi="仿宋" w:eastAsia="仿宋" w:cs="仿宋"/>
          <w:b w:val="0"/>
          <w:bCs w:val="0"/>
          <w:kern w:val="2"/>
          <w:sz w:val="24"/>
          <w:szCs w:val="22"/>
        </w:rPr>
        <w:t>若承包人违约，</w:t>
      </w:r>
      <w:r>
        <w:rPr>
          <w:rFonts w:hint="eastAsia" w:ascii="仿宋" w:hAnsi="仿宋" w:eastAsia="仿宋" w:cs="仿宋"/>
          <w:b w:val="0"/>
          <w:bCs w:val="0"/>
          <w:kern w:val="2"/>
          <w:sz w:val="24"/>
          <w:szCs w:val="22"/>
          <w:lang w:val="en-US" w:eastAsia="zh-CN"/>
        </w:rPr>
        <w:t>涉及违约金、发包人垫付费用的，发包人有权在支付任何一期工程款时进行扣除，</w:t>
      </w:r>
      <w:r>
        <w:rPr>
          <w:rFonts w:hint="eastAsia" w:ascii="仿宋" w:hAnsi="仿宋" w:eastAsia="仿宋" w:cs="仿宋"/>
          <w:b w:val="0"/>
          <w:bCs w:val="0"/>
          <w:kern w:val="2"/>
          <w:sz w:val="24"/>
          <w:szCs w:val="22"/>
        </w:rPr>
        <w:t>相关工程款项不足以支付违约金的，</w:t>
      </w:r>
      <w:r>
        <w:rPr>
          <w:rFonts w:hint="eastAsia" w:ascii="仿宋" w:hAnsi="仿宋" w:eastAsia="仿宋" w:cs="仿宋"/>
          <w:sz w:val="24"/>
        </w:rPr>
        <w:t>则按照银行履约保函的相关款项兑付履约保函，保函金额仍不足以支付的，</w:t>
      </w:r>
      <w:r>
        <w:rPr>
          <w:rFonts w:hint="eastAsia" w:ascii="仿宋" w:hAnsi="仿宋" w:eastAsia="仿宋" w:cs="仿宋"/>
          <w:b w:val="0"/>
          <w:bCs w:val="0"/>
          <w:kern w:val="2"/>
          <w:sz w:val="24"/>
          <w:szCs w:val="22"/>
        </w:rPr>
        <w:t>承包人还应补齐</w:t>
      </w:r>
      <w:r>
        <w:rPr>
          <w:rFonts w:hint="eastAsia" w:ascii="仿宋" w:hAnsi="仿宋" w:eastAsia="仿宋" w:cs="仿宋"/>
          <w:b w:val="0"/>
          <w:bCs w:val="0"/>
          <w:kern w:val="2"/>
          <w:sz w:val="24"/>
          <w:szCs w:val="22"/>
          <w:lang w:eastAsia="zh-CN"/>
        </w:rPr>
        <w:t>余款</w:t>
      </w:r>
      <w:r>
        <w:rPr>
          <w:rFonts w:hint="eastAsia" w:ascii="仿宋" w:hAnsi="仿宋" w:eastAsia="仿宋" w:cs="仿宋"/>
          <w:b w:val="0"/>
          <w:bCs w:val="0"/>
          <w:kern w:val="2"/>
          <w:sz w:val="24"/>
          <w:szCs w:val="22"/>
        </w:rPr>
        <w:t>，并承担相应的法律责任。</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仿宋" w:hAnsi="仿宋" w:eastAsia="仿宋" w:cs="仿宋"/>
          <w:b w:val="0"/>
          <w:bCs w:val="0"/>
          <w:kern w:val="2"/>
          <w:sz w:val="24"/>
          <w:szCs w:val="22"/>
        </w:rPr>
      </w:pPr>
      <w:r>
        <w:rPr>
          <w:rFonts w:hint="eastAsia" w:ascii="仿宋" w:hAnsi="仿宋" w:eastAsia="仿宋" w:cs="仿宋"/>
          <w:b w:val="0"/>
          <w:bCs w:val="0"/>
          <w:kern w:val="2"/>
          <w:sz w:val="24"/>
          <w:szCs w:val="22"/>
          <w:lang w:val="en-US" w:eastAsia="zh-CN"/>
        </w:rPr>
        <w:t>15.2</w:t>
      </w:r>
      <w:r>
        <w:rPr>
          <w:rFonts w:hint="eastAsia" w:ascii="仿宋" w:hAnsi="仿宋" w:eastAsia="仿宋" w:cs="仿宋"/>
          <w:b w:val="0"/>
          <w:bCs w:val="0"/>
          <w:kern w:val="2"/>
          <w:sz w:val="24"/>
          <w:szCs w:val="22"/>
        </w:rPr>
        <w:t>承包人有转包或违法分包行为的，发包人有权终止合同，一切损失和责任由承包人承担。</w:t>
      </w:r>
    </w:p>
    <w:p>
      <w:pPr>
        <w:keepNext w:val="0"/>
        <w:keepLines w:val="0"/>
        <w:pageBreakBefore w:val="0"/>
        <w:widowControl w:val="0"/>
        <w:kinsoku/>
        <w:wordWrap/>
        <w:overflowPunct/>
        <w:topLinePunct w:val="0"/>
        <w:autoSpaceDE/>
        <w:autoSpaceDN/>
        <w:bidi w:val="0"/>
        <w:snapToGrid/>
        <w:spacing w:line="480" w:lineRule="exact"/>
        <w:ind w:firstLine="480"/>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lang w:val="en-US" w:eastAsia="zh-CN"/>
        </w:rPr>
        <w:t>5.3</w:t>
      </w:r>
      <w:r>
        <w:rPr>
          <w:rFonts w:hint="eastAsia" w:ascii="仿宋" w:hAnsi="仿宋" w:eastAsia="仿宋" w:cs="仿宋"/>
          <w:sz w:val="24"/>
        </w:rPr>
        <w:t xml:space="preserve">本合同所有附件、招标文件、投标文件、中标通知书均为合同的有效组成部分，与本合同具有同等法律效力。在执行本合同的过程中，所有经双方签署确认的文件（包括会议纪要、补充协议、往来信函）即成为本合同的有效组成部分。如一方地址、电话、注册信息等有变更，应及时书面通知对方，否则，应承担相应责任。 </w:t>
      </w:r>
    </w:p>
    <w:p>
      <w:pPr>
        <w:keepNext w:val="0"/>
        <w:keepLines w:val="0"/>
        <w:pageBreakBefore w:val="0"/>
        <w:widowControl w:val="0"/>
        <w:kinsoku/>
        <w:wordWrap/>
        <w:overflowPunct/>
        <w:topLinePunct w:val="0"/>
        <w:autoSpaceDE/>
        <w:autoSpaceDN/>
        <w:bidi w:val="0"/>
        <w:snapToGrid/>
        <w:spacing w:line="48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15.4</w:t>
      </w:r>
      <w:r>
        <w:rPr>
          <w:rFonts w:hint="eastAsia" w:ascii="仿宋" w:hAnsi="仿宋" w:eastAsia="仿宋" w:cs="仿宋"/>
          <w:sz w:val="24"/>
          <w:szCs w:val="24"/>
        </w:rPr>
        <w:t>与本合同执行过程有关的一切税费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工程保险费用</w:t>
      </w:r>
      <w:r>
        <w:rPr>
          <w:rFonts w:hint="eastAsia" w:ascii="仿宋" w:hAnsi="仿宋" w:eastAsia="仿宋" w:cs="仿宋"/>
          <w:sz w:val="24"/>
          <w:szCs w:val="24"/>
        </w:rPr>
        <w:t>均由承包人承担。</w:t>
      </w:r>
    </w:p>
    <w:p>
      <w:pPr>
        <w:keepNext w:val="0"/>
        <w:keepLines w:val="0"/>
        <w:pageBreakBefore w:val="0"/>
        <w:widowControl w:val="0"/>
        <w:kinsoku/>
        <w:wordWrap/>
        <w:overflowPunct/>
        <w:topLinePunct w:val="0"/>
        <w:autoSpaceDE/>
        <w:autoSpaceDN/>
        <w:bidi w:val="0"/>
        <w:snapToGrid/>
        <w:spacing w:line="480" w:lineRule="exact"/>
        <w:ind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5.5</w:t>
      </w:r>
      <w:r>
        <w:rPr>
          <w:rFonts w:hint="eastAsia" w:ascii="仿宋" w:hAnsi="仿宋" w:eastAsia="仿宋" w:cs="仿宋"/>
          <w:sz w:val="24"/>
        </w:rPr>
        <w:t>本合同一式陆份。其中正本贰份，发包人、承包人各执壹份；副本肆份，发包人、承包人各执贰份。正本与副本不一致时，以正本内容为准。</w:t>
      </w:r>
    </w:p>
    <w:p>
      <w:pPr>
        <w:pStyle w:val="116"/>
        <w:keepNext w:val="0"/>
        <w:keepLines w:val="0"/>
        <w:pageBreakBefore w:val="0"/>
        <w:widowControl w:val="0"/>
        <w:kinsoku/>
        <w:wordWrap/>
        <w:overflowPunct/>
        <w:topLinePunct w:val="0"/>
        <w:autoSpaceDE/>
        <w:autoSpaceDN/>
        <w:bidi w:val="0"/>
        <w:snapToGrid/>
        <w:spacing w:line="480" w:lineRule="exact"/>
        <w:ind w:firstLine="480" w:firstLineChars="200"/>
        <w:rPr>
          <w:rFonts w:ascii="仿宋" w:hAnsi="仿宋" w:eastAsia="仿宋" w:cs="仿宋"/>
          <w:kern w:val="2"/>
          <w:sz w:val="24"/>
          <w:szCs w:val="22"/>
        </w:rPr>
      </w:pPr>
      <w:r>
        <w:rPr>
          <w:rFonts w:hint="eastAsia" w:ascii="仿宋" w:hAnsi="仿宋" w:eastAsia="仿宋" w:cs="仿宋"/>
          <w:sz w:val="24"/>
        </w:rPr>
        <w:t>1</w:t>
      </w:r>
      <w:r>
        <w:rPr>
          <w:rFonts w:hint="eastAsia" w:ascii="仿宋" w:hAnsi="仿宋" w:eastAsia="仿宋" w:cs="仿宋"/>
          <w:sz w:val="24"/>
          <w:lang w:val="en-US" w:eastAsia="zh-CN"/>
        </w:rPr>
        <w:t>5.6</w:t>
      </w:r>
      <w:r>
        <w:rPr>
          <w:rFonts w:hint="eastAsia" w:ascii="仿宋" w:hAnsi="仿宋" w:eastAsia="仿宋" w:cs="仿宋"/>
          <w:kern w:val="2"/>
          <w:sz w:val="24"/>
          <w:szCs w:val="22"/>
        </w:rPr>
        <w:t>本合同书未尽事宜由</w:t>
      </w:r>
      <w:r>
        <w:rPr>
          <w:rFonts w:hint="eastAsia" w:ascii="仿宋" w:hAnsi="仿宋" w:eastAsia="仿宋" w:cs="仿宋"/>
          <w:sz w:val="24"/>
        </w:rPr>
        <w:t>发包人、承包人</w:t>
      </w:r>
      <w:r>
        <w:rPr>
          <w:rFonts w:hint="eastAsia" w:ascii="仿宋" w:hAnsi="仿宋" w:eastAsia="仿宋" w:cs="仿宋"/>
          <w:kern w:val="2"/>
          <w:sz w:val="24"/>
          <w:szCs w:val="22"/>
        </w:rPr>
        <w:t>双方以补充合同形式确认，补充合同作为本合同书的组成部分，与本合同书具有同等效力。</w:t>
      </w:r>
    </w:p>
    <w:p>
      <w:pPr>
        <w:keepNext w:val="0"/>
        <w:keepLines w:val="0"/>
        <w:pageBreakBefore w:val="0"/>
        <w:widowControl w:val="0"/>
        <w:kinsoku/>
        <w:wordWrap/>
        <w:overflowPunct/>
        <w:topLinePunct w:val="0"/>
        <w:autoSpaceDE/>
        <w:autoSpaceDN/>
        <w:bidi w:val="0"/>
        <w:snapToGrid/>
        <w:spacing w:line="480" w:lineRule="exact"/>
        <w:ind w:firstLine="48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以下无正文</w:t>
      </w:r>
      <w:r>
        <w:rPr>
          <w:rFonts w:hint="eastAsia" w:ascii="仿宋" w:hAnsi="仿宋" w:eastAsia="仿宋" w:cs="仿宋"/>
          <w:sz w:val="24"/>
          <w:lang w:eastAsia="zh-CN"/>
        </w:rPr>
        <w:t>）</w:t>
      </w: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cs="仿宋"/>
          <w:sz w:val="24"/>
        </w:rPr>
      </w:pPr>
    </w:p>
    <w:p>
      <w:pPr>
        <w:keepNext w:val="0"/>
        <w:keepLines w:val="0"/>
        <w:pageBreakBefore w:val="0"/>
        <w:widowControl w:val="0"/>
        <w:kinsoku/>
        <w:wordWrap/>
        <w:overflowPunct/>
        <w:topLinePunct w:val="0"/>
        <w:autoSpaceDE/>
        <w:autoSpaceDN/>
        <w:bidi w:val="0"/>
        <w:snapToGrid/>
        <w:spacing w:line="480" w:lineRule="exact"/>
        <w:ind w:firstLine="480"/>
        <w:rPr>
          <w:rFonts w:ascii="仿宋" w:hAnsi="仿宋" w:eastAsia="仿宋" w:cs="仿宋"/>
          <w:sz w:val="24"/>
        </w:rPr>
      </w:pPr>
      <w:r>
        <w:rPr>
          <w:rFonts w:hint="eastAsia" w:ascii="仿宋" w:hAnsi="仿宋" w:eastAsia="仿宋" w:cs="仿宋"/>
          <w:sz w:val="24"/>
        </w:rPr>
        <w:t>附件1：《黄埔区水务工程建设项目廉政责任书》</w:t>
      </w:r>
    </w:p>
    <w:p>
      <w:pPr>
        <w:keepNext w:val="0"/>
        <w:keepLines w:val="0"/>
        <w:pageBreakBefore w:val="0"/>
        <w:widowControl w:val="0"/>
        <w:kinsoku/>
        <w:wordWrap/>
        <w:overflowPunct/>
        <w:topLinePunct w:val="0"/>
        <w:autoSpaceDE/>
        <w:autoSpaceDN/>
        <w:bidi w:val="0"/>
        <w:snapToGrid/>
        <w:spacing w:line="480" w:lineRule="exact"/>
        <w:ind w:firstLine="480"/>
        <w:rPr>
          <w:rFonts w:ascii="仿宋" w:hAnsi="仿宋" w:eastAsia="仿宋" w:cs="仿宋"/>
          <w:sz w:val="24"/>
        </w:rPr>
      </w:pPr>
      <w:r>
        <w:rPr>
          <w:rFonts w:hint="eastAsia" w:ascii="仿宋" w:hAnsi="仿宋" w:eastAsia="仿宋" w:cs="仿宋"/>
          <w:sz w:val="24"/>
        </w:rPr>
        <w:t>附件2：《黄埔区水务工程安全生产责任书》</w:t>
      </w:r>
    </w:p>
    <w:p>
      <w:pPr>
        <w:pStyle w:val="4"/>
        <w:keepNext w:val="0"/>
        <w:keepLines w:val="0"/>
        <w:pageBreakBefore w:val="0"/>
        <w:widowControl w:val="0"/>
        <w:numPr>
          <w:ilvl w:val="0"/>
          <w:numId w:val="0"/>
        </w:numPr>
        <w:kinsoku/>
        <w:wordWrap/>
        <w:overflowPunct/>
        <w:topLinePunct w:val="0"/>
        <w:autoSpaceDE/>
        <w:autoSpaceDN/>
        <w:bidi w:val="0"/>
        <w:snapToGrid/>
        <w:spacing w:line="480" w:lineRule="exact"/>
      </w:pPr>
    </w:p>
    <w:p>
      <w:pPr>
        <w:keepNext w:val="0"/>
        <w:keepLines w:val="0"/>
        <w:pageBreakBefore w:val="0"/>
        <w:widowControl w:val="0"/>
        <w:kinsoku/>
        <w:wordWrap/>
        <w:overflowPunct/>
        <w:topLinePunct w:val="0"/>
        <w:autoSpaceDE/>
        <w:autoSpaceDN/>
        <w:bidi w:val="0"/>
        <w:snapToGrid/>
        <w:spacing w:line="480" w:lineRule="exact"/>
        <w:ind w:firstLine="240" w:firstLineChars="100"/>
        <w:rPr>
          <w:rFonts w:ascii="仿宋" w:hAnsi="仿宋" w:eastAsia="仿宋" w:cs="仿宋"/>
          <w:sz w:val="24"/>
        </w:rPr>
      </w:pPr>
      <w:r>
        <w:rPr>
          <w:rFonts w:hint="eastAsia" w:ascii="仿宋" w:hAnsi="仿宋" w:eastAsia="仿宋" w:cs="仿宋"/>
          <w:sz w:val="24"/>
        </w:rPr>
        <w:t>发  包  人：（公章）              承  包  人：（公章）</w:t>
      </w: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cs="仿宋"/>
          <w:sz w:val="24"/>
        </w:rPr>
      </w:pPr>
      <w:r>
        <w:rPr>
          <w:rFonts w:hint="eastAsia" w:ascii="仿宋" w:hAnsi="仿宋" w:eastAsia="仿宋" w:cs="仿宋"/>
          <w:sz w:val="24"/>
        </w:rPr>
        <w:t xml:space="preserve">                          </w:t>
      </w: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cs="仿宋"/>
          <w:sz w:val="24"/>
        </w:rPr>
      </w:pPr>
      <w:r>
        <w:rPr>
          <w:rFonts w:hint="eastAsia" w:ascii="仿宋" w:hAnsi="仿宋" w:eastAsia="仿宋" w:cs="仿宋"/>
          <w:sz w:val="24"/>
        </w:rPr>
        <w:t xml:space="preserve"> 法定代表人：                      法定代表人：</w:t>
      </w: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cs="仿宋"/>
          <w:sz w:val="24"/>
        </w:rPr>
      </w:pP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或</w:t>
      </w:r>
      <w:r>
        <w:rPr>
          <w:rFonts w:hint="eastAsia" w:ascii="仿宋" w:hAnsi="仿宋" w:eastAsia="仿宋" w:cs="仿宋"/>
          <w:sz w:val="24"/>
        </w:rPr>
        <w:t xml:space="preserve">委托代理人：                    </w:t>
      </w:r>
      <w:r>
        <w:rPr>
          <w:rFonts w:hint="eastAsia" w:ascii="仿宋" w:hAnsi="仿宋" w:eastAsia="仿宋" w:cs="仿宋"/>
          <w:sz w:val="24"/>
          <w:lang w:val="en-US" w:eastAsia="zh-CN"/>
        </w:rPr>
        <w:t>或</w:t>
      </w:r>
      <w:r>
        <w:rPr>
          <w:rFonts w:hint="eastAsia" w:ascii="仿宋" w:hAnsi="仿宋" w:eastAsia="仿宋" w:cs="仿宋"/>
          <w:sz w:val="24"/>
        </w:rPr>
        <w:t>委托代理人：</w:t>
      </w: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cs="仿宋"/>
          <w:sz w:val="24"/>
        </w:rPr>
      </w:pP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cs="仿宋"/>
          <w:sz w:val="24"/>
        </w:rPr>
      </w:pPr>
      <w:r>
        <w:rPr>
          <w:rFonts w:hint="eastAsia" w:ascii="仿宋" w:hAnsi="仿宋" w:eastAsia="仿宋" w:cs="仿宋"/>
          <w:sz w:val="24"/>
        </w:rPr>
        <w:t xml:space="preserve"> 电    话： </w:t>
      </w:r>
      <w:r>
        <w:rPr>
          <w:rFonts w:hint="eastAsia" w:ascii="仿宋" w:hAnsi="仿宋" w:eastAsia="仿宋"/>
          <w:sz w:val="24"/>
        </w:rPr>
        <w:t xml:space="preserve">            </w:t>
      </w:r>
      <w:r>
        <w:rPr>
          <w:rFonts w:hint="eastAsia" w:ascii="仿宋" w:hAnsi="仿宋" w:eastAsia="仿宋" w:cs="仿宋"/>
          <w:sz w:val="24"/>
        </w:rPr>
        <w:t xml:space="preserve">           电     话：</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开户银行：                        开户银行：</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帐    号：                        帐    号：</w:t>
      </w:r>
    </w:p>
    <w:p>
      <w:pPr>
        <w:spacing w:line="360" w:lineRule="auto"/>
        <w:rPr>
          <w:rFonts w:ascii="仿宋" w:hAnsi="仿宋" w:eastAsia="仿宋" w:cs="仿宋"/>
          <w:sz w:val="24"/>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hint="eastAsia" w:ascii="仿宋" w:hAnsi="仿宋" w:eastAsia="仿宋"/>
          <w:szCs w:val="22"/>
        </w:rPr>
      </w:pPr>
    </w:p>
    <w:p>
      <w:pPr>
        <w:pStyle w:val="2"/>
        <w:adjustRightInd w:val="0"/>
        <w:snapToGrid w:val="0"/>
        <w:spacing w:line="360" w:lineRule="auto"/>
        <w:rPr>
          <w:rFonts w:ascii="仿宋" w:hAnsi="仿宋" w:eastAsia="仿宋"/>
          <w:szCs w:val="22"/>
        </w:rPr>
      </w:pPr>
      <w:r>
        <w:rPr>
          <w:rFonts w:hint="eastAsia" w:ascii="仿宋" w:hAnsi="仿宋" w:eastAsia="仿宋"/>
          <w:szCs w:val="22"/>
        </w:rPr>
        <w:t xml:space="preserve">附件1               </w:t>
      </w:r>
    </w:p>
    <w:p>
      <w:pPr>
        <w:spacing w:line="300" w:lineRule="auto"/>
        <w:jc w:val="center"/>
        <w:rPr>
          <w:rFonts w:ascii="仿宋" w:hAnsi="仿宋" w:eastAsia="仿宋"/>
          <w:b/>
          <w:sz w:val="28"/>
          <w:szCs w:val="28"/>
        </w:rPr>
      </w:pPr>
      <w:r>
        <w:rPr>
          <w:rFonts w:hint="eastAsia" w:ascii="仿宋" w:hAnsi="仿宋" w:eastAsia="仿宋"/>
          <w:sz w:val="24"/>
        </w:rPr>
        <w:t xml:space="preserve"> </w:t>
      </w:r>
      <w:r>
        <w:rPr>
          <w:rFonts w:hint="eastAsia" w:ascii="仿宋" w:hAnsi="仿宋" w:eastAsia="仿宋"/>
          <w:b/>
          <w:sz w:val="28"/>
          <w:szCs w:val="28"/>
        </w:rPr>
        <w:t>黄埔区水务工程建设项目廉政责任书</w:t>
      </w:r>
    </w:p>
    <w:p>
      <w:pPr>
        <w:spacing w:line="300" w:lineRule="auto"/>
        <w:rPr>
          <w:rFonts w:ascii="仿宋" w:hAnsi="仿宋" w:eastAsia="仿宋"/>
          <w:sz w:val="24"/>
        </w:rPr>
      </w:pPr>
    </w:p>
    <w:p>
      <w:pPr>
        <w:spacing w:line="300" w:lineRule="auto"/>
        <w:rPr>
          <w:rFonts w:ascii="仿宋" w:hAnsi="仿宋" w:eastAsia="仿宋" w:cs="Times New Roman"/>
          <w:sz w:val="24"/>
          <w:u w:val="single"/>
        </w:rPr>
      </w:pPr>
      <w:r>
        <w:rPr>
          <w:rFonts w:hint="eastAsia" w:ascii="仿宋" w:hAnsi="仿宋" w:eastAsia="仿宋"/>
          <w:sz w:val="24"/>
        </w:rPr>
        <w:t>工程项目名称：</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水利设施维修改造工程施工</w:t>
      </w:r>
      <w:r>
        <w:rPr>
          <w:rFonts w:hint="eastAsia" w:ascii="仿宋" w:hAnsi="仿宋" w:eastAsia="仿宋" w:cs="仿宋"/>
          <w:sz w:val="24"/>
          <w:u w:val="single"/>
        </w:rPr>
        <w:t>Ⅲ</w:t>
      </w:r>
      <w:r>
        <w:rPr>
          <w:rFonts w:hint="eastAsia" w:ascii="仿宋" w:hAnsi="仿宋" w:eastAsia="仿宋" w:cs="Times New Roman"/>
          <w:sz w:val="24"/>
          <w:u w:val="single"/>
        </w:rPr>
        <w:t xml:space="preserve">标 </w:t>
      </w:r>
    </w:p>
    <w:p>
      <w:pPr>
        <w:spacing w:line="300" w:lineRule="auto"/>
        <w:rPr>
          <w:rFonts w:ascii="仿宋" w:hAnsi="仿宋" w:eastAsia="仿宋"/>
          <w:sz w:val="24"/>
        </w:rPr>
      </w:pPr>
      <w:r>
        <w:rPr>
          <w:rFonts w:hint="eastAsia" w:ascii="仿宋" w:hAnsi="仿宋" w:eastAsia="仿宋"/>
          <w:sz w:val="24"/>
        </w:rPr>
        <w:t>工程项目地址：</w:t>
      </w:r>
      <w:r>
        <w:rPr>
          <w:rFonts w:hint="eastAsia" w:ascii="仿宋" w:hAnsi="仿宋" w:eastAsia="仿宋"/>
          <w:sz w:val="24"/>
          <w:u w:val="single"/>
          <w:lang w:eastAsia="zh-CN"/>
        </w:rPr>
        <w:t>广州市</w:t>
      </w:r>
      <w:r>
        <w:rPr>
          <w:rFonts w:ascii="仿宋" w:hAnsi="仿宋" w:eastAsia="仿宋"/>
          <w:sz w:val="24"/>
          <w:u w:val="single"/>
        </w:rPr>
        <w:t>黄埔区</w:t>
      </w:r>
      <w:r>
        <w:rPr>
          <w:rFonts w:hint="eastAsia" w:ascii="仿宋" w:hAnsi="仿宋" w:eastAsia="仿宋"/>
          <w:sz w:val="24"/>
          <w:u w:val="single"/>
        </w:rPr>
        <w:t xml:space="preserve"> </w:t>
      </w:r>
    </w:p>
    <w:p>
      <w:pPr>
        <w:spacing w:line="300" w:lineRule="auto"/>
        <w:rPr>
          <w:rFonts w:ascii="仿宋" w:hAnsi="仿宋" w:eastAsia="仿宋"/>
          <w:sz w:val="24"/>
        </w:rPr>
      </w:pPr>
      <w:r>
        <w:rPr>
          <w:rFonts w:hint="eastAsia" w:ascii="仿宋" w:hAnsi="仿宋" w:eastAsia="仿宋"/>
          <w:sz w:val="24"/>
        </w:rPr>
        <w:t>建</w:t>
      </w:r>
      <w:r>
        <w:rPr>
          <w:rFonts w:ascii="仿宋" w:hAnsi="仿宋" w:eastAsia="仿宋"/>
          <w:sz w:val="24"/>
        </w:rPr>
        <w:t xml:space="preserve"> </w:t>
      </w:r>
      <w:r>
        <w:rPr>
          <w:rFonts w:hint="eastAsia" w:ascii="仿宋" w:hAnsi="仿宋" w:eastAsia="仿宋"/>
          <w:sz w:val="24"/>
        </w:rPr>
        <w:t>设</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(甲方)：</w:t>
      </w:r>
      <w:r>
        <w:rPr>
          <w:rFonts w:hint="eastAsia" w:ascii="仿宋" w:hAnsi="仿宋" w:eastAsia="仿宋"/>
          <w:sz w:val="24"/>
          <w:u w:val="single"/>
        </w:rPr>
        <w:t xml:space="preserve">广州市黄埔区水务设施管理所  </w:t>
      </w:r>
    </w:p>
    <w:p>
      <w:pPr>
        <w:spacing w:line="300" w:lineRule="auto"/>
        <w:rPr>
          <w:rFonts w:ascii="仿宋" w:hAnsi="仿宋" w:eastAsia="仿宋"/>
          <w:sz w:val="24"/>
        </w:rPr>
      </w:pPr>
      <w:r>
        <w:rPr>
          <w:rFonts w:hint="eastAsia" w:ascii="仿宋" w:hAnsi="仿宋" w:eastAsia="仿宋"/>
          <w:sz w:val="24"/>
        </w:rPr>
        <w:t>施 工</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(乙方)：</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sz w:val="24"/>
          <w:u w:val="single"/>
        </w:rPr>
        <w:t xml:space="preserve"> </w:t>
      </w:r>
    </w:p>
    <w:p>
      <w:pPr>
        <w:spacing w:line="300" w:lineRule="auto"/>
        <w:ind w:firstLine="480" w:firstLineChars="200"/>
        <w:rPr>
          <w:rFonts w:ascii="仿宋" w:hAnsi="仿宋" w:eastAsia="仿宋"/>
          <w:sz w:val="24"/>
        </w:rPr>
      </w:pPr>
      <w:r>
        <w:rPr>
          <w:rFonts w:hint="eastAsia" w:ascii="仿宋" w:hAnsi="仿宋" w:eastAsia="仿宋"/>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300" w:lineRule="auto"/>
        <w:ind w:firstLine="480" w:firstLineChars="200"/>
        <w:rPr>
          <w:rFonts w:ascii="仿宋" w:hAnsi="仿宋" w:eastAsia="仿宋"/>
          <w:sz w:val="24"/>
        </w:rPr>
      </w:pPr>
      <w:r>
        <w:rPr>
          <w:rFonts w:hint="eastAsia" w:ascii="仿宋" w:hAnsi="仿宋" w:eastAsia="仿宋"/>
          <w:sz w:val="24"/>
        </w:rPr>
        <w:t>第一条  甲乙双方的责任</w:t>
      </w:r>
    </w:p>
    <w:p>
      <w:pPr>
        <w:spacing w:line="300" w:lineRule="auto"/>
        <w:ind w:firstLine="480" w:firstLineChars="200"/>
        <w:rPr>
          <w:rFonts w:ascii="仿宋" w:hAnsi="仿宋" w:eastAsia="仿宋"/>
          <w:sz w:val="24"/>
        </w:rPr>
      </w:pPr>
      <w:r>
        <w:rPr>
          <w:rFonts w:hint="eastAsia" w:ascii="仿宋" w:hAnsi="仿宋" w:eastAsia="仿宋"/>
          <w:sz w:val="24"/>
        </w:rPr>
        <w:t>(一)应严格遵守国家关于市场准入、项目招标投标、工程建设、施工安装和市场活动等有关法律、法规，相关政策，以及廉政建设的各项规定。</w:t>
      </w:r>
    </w:p>
    <w:p>
      <w:pPr>
        <w:spacing w:line="300" w:lineRule="auto"/>
        <w:ind w:firstLine="480" w:firstLineChars="200"/>
        <w:rPr>
          <w:rFonts w:ascii="仿宋" w:hAnsi="仿宋" w:eastAsia="仿宋"/>
          <w:sz w:val="24"/>
        </w:rPr>
      </w:pPr>
      <w:r>
        <w:rPr>
          <w:rFonts w:hint="eastAsia" w:ascii="仿宋" w:hAnsi="仿宋" w:eastAsia="仿宋"/>
          <w:sz w:val="24"/>
        </w:rPr>
        <w:t>(二)严格执行建设工程项目承发包合同文件，自觉按合同办事。</w:t>
      </w:r>
    </w:p>
    <w:p>
      <w:pPr>
        <w:spacing w:line="300" w:lineRule="auto"/>
        <w:ind w:firstLine="480" w:firstLineChars="200"/>
        <w:rPr>
          <w:rFonts w:ascii="仿宋" w:hAnsi="仿宋" w:eastAsia="仿宋"/>
          <w:sz w:val="24"/>
        </w:rPr>
      </w:pPr>
      <w:r>
        <w:rPr>
          <w:rFonts w:hint="eastAsia" w:ascii="仿宋" w:hAnsi="仿宋" w:eastAsia="仿宋"/>
          <w:sz w:val="24"/>
        </w:rPr>
        <w:t>(三)业务活动必须坚持公开、公平、公正、诚信、透明的原则(除法律法规另有规定者外)，不得为获取不正当的利益，损害国家、集体和对方利益，不得违反工程建设管理、施工安装的规章制度。</w:t>
      </w:r>
    </w:p>
    <w:p>
      <w:pPr>
        <w:spacing w:line="300" w:lineRule="auto"/>
        <w:ind w:firstLine="480" w:firstLineChars="200"/>
        <w:rPr>
          <w:rFonts w:ascii="仿宋" w:hAnsi="仿宋" w:eastAsia="仿宋"/>
          <w:sz w:val="24"/>
        </w:rPr>
      </w:pPr>
      <w:r>
        <w:rPr>
          <w:rFonts w:hint="eastAsia" w:ascii="仿宋" w:hAnsi="仿宋" w:eastAsia="仿宋"/>
          <w:sz w:val="24"/>
        </w:rPr>
        <w:t>(四)发现对方在业务活动中有违规、违纪、违法行为的，应及时提醒对方，情节严重的，应向其上级主管部门或纪检监察、司法等有关机关举报。</w:t>
      </w:r>
    </w:p>
    <w:p>
      <w:pPr>
        <w:spacing w:line="300" w:lineRule="auto"/>
        <w:ind w:firstLine="480" w:firstLineChars="200"/>
        <w:rPr>
          <w:rFonts w:ascii="仿宋" w:hAnsi="仿宋" w:eastAsia="仿宋"/>
          <w:sz w:val="24"/>
        </w:rPr>
      </w:pPr>
      <w:r>
        <w:rPr>
          <w:rFonts w:hint="eastAsia" w:ascii="仿宋" w:hAnsi="仿宋" w:eastAsia="仿宋"/>
          <w:sz w:val="24"/>
        </w:rPr>
        <w:t>第二条  甲方的责任</w:t>
      </w:r>
    </w:p>
    <w:p>
      <w:pPr>
        <w:spacing w:line="300" w:lineRule="auto"/>
        <w:ind w:firstLine="480" w:firstLineChars="200"/>
        <w:rPr>
          <w:rFonts w:ascii="仿宋" w:hAnsi="仿宋" w:eastAsia="仿宋"/>
          <w:sz w:val="24"/>
        </w:rPr>
      </w:pPr>
      <w:r>
        <w:rPr>
          <w:rFonts w:hint="eastAsia" w:ascii="仿宋" w:hAnsi="仿宋" w:eastAsia="仿宋"/>
          <w:sz w:val="24"/>
        </w:rPr>
        <w:t>甲方的领导和从事该建设工程项目的工作人员，在工程建设的事前、事中、事后应遵守以下规定：</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（一）不准向乙方和相关单位索要或接受回扣、红包、礼金、有价证券、贵重物品、好处费和感谢费等。不准要求在乙方和相关单位报销任何应由甲方或个人支付的费用。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（二）不准要求、暗示或接受乙方和相关单位为个人装修住房、婚丧嫁娶、配偶子女的工作安排以及出国（境）、旅游等提供方便。</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（三）不准参加有可能影响公正执行公务的乙方和相关单位的宴请、健身、娱乐等活动。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（四）不准向乙方和相关单位介绍或为配偶、子女、亲属参与同甲方工程项目合同有关的建设等活动。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（五）按时完成项目建设任务，全面真实地汇报检查结果，不隐瞒项目跟进中发现的各类违规问题，对重大违规问题及时向领导汇报。不擅自向服务单位允诺检查处理意见。</w:t>
      </w:r>
    </w:p>
    <w:p>
      <w:pPr>
        <w:pStyle w:val="116"/>
      </w:pPr>
    </w:p>
    <w:p>
      <w:pPr>
        <w:spacing w:line="300" w:lineRule="auto"/>
        <w:ind w:firstLine="480" w:firstLineChars="200"/>
        <w:rPr>
          <w:rFonts w:ascii="仿宋" w:hAnsi="仿宋" w:eastAsia="仿宋"/>
          <w:sz w:val="24"/>
        </w:rPr>
      </w:pPr>
      <w:r>
        <w:rPr>
          <w:rFonts w:hint="eastAsia" w:ascii="仿宋" w:hAnsi="仿宋" w:eastAsia="仿宋"/>
          <w:sz w:val="24"/>
        </w:rPr>
        <w:t>第三条  乙方的责任</w:t>
      </w:r>
    </w:p>
    <w:p>
      <w:pPr>
        <w:spacing w:line="300" w:lineRule="auto"/>
        <w:ind w:firstLine="480" w:firstLineChars="200"/>
        <w:rPr>
          <w:rFonts w:ascii="仿宋" w:hAnsi="仿宋" w:eastAsia="仿宋"/>
          <w:sz w:val="24"/>
        </w:rPr>
      </w:pPr>
      <w:r>
        <w:rPr>
          <w:rFonts w:hint="eastAsia" w:ascii="仿宋" w:hAnsi="仿宋" w:eastAsia="仿宋"/>
          <w:sz w:val="24"/>
        </w:rPr>
        <w:t>应与甲方保持正常的业务交往．按照有关法律法规和程序开展业务工作，严格执行工程建设的有关方针、政策，尤其是有关建筑施工安装的强制性标准和规范，并遵守以下规定：</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（一）不准以任何理由向甲方及其工作人员索要、接受或赠送红包、礼金、有价证券、贵重物品、好处费和感谢费等。</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（二）不准以任何理由为甲方和相关单位报销应由对方或个人支付的费用。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（三）不准接受或暗示为甲方、相关单位或个人装修住房、婚丧嫁娶、配偶子女的工作安排以及出国（境）、旅游等提供方便。</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（四）不准违反合同约定而使用甲方、相关单位提供的通信、交通工具和高档办公用品。</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（五）不准以任何理由为甲方、相关单位或个人组织有可能影响公正执行公务的宴请、健身、娱乐等活动。</w:t>
      </w:r>
    </w:p>
    <w:p>
      <w:pPr>
        <w:spacing w:line="300" w:lineRule="auto"/>
        <w:ind w:firstLine="480" w:firstLineChars="200"/>
        <w:rPr>
          <w:rFonts w:ascii="仿宋" w:hAnsi="仿宋" w:eastAsia="仿宋"/>
          <w:sz w:val="24"/>
        </w:rPr>
      </w:pPr>
      <w:r>
        <w:rPr>
          <w:rFonts w:hint="eastAsia" w:ascii="仿宋" w:hAnsi="仿宋" w:eastAsia="仿宋"/>
          <w:sz w:val="24"/>
        </w:rPr>
        <w:t>第四条  违约责任</w:t>
      </w:r>
    </w:p>
    <w:p>
      <w:pPr>
        <w:spacing w:line="300" w:lineRule="auto"/>
        <w:ind w:firstLine="480" w:firstLineChars="200"/>
        <w:rPr>
          <w:rFonts w:ascii="仿宋" w:hAnsi="仿宋" w:eastAsia="仿宋"/>
          <w:sz w:val="24"/>
        </w:rPr>
      </w:pPr>
      <w:r>
        <w:rPr>
          <w:rFonts w:hint="eastAsia" w:ascii="仿宋" w:hAnsi="仿宋" w:eastAsia="仿宋"/>
          <w:sz w:val="24"/>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300" w:lineRule="auto"/>
        <w:ind w:firstLine="480" w:firstLineChars="200"/>
        <w:rPr>
          <w:rFonts w:ascii="仿宋" w:hAnsi="仿宋" w:eastAsia="仿宋"/>
          <w:sz w:val="24"/>
        </w:rPr>
      </w:pPr>
      <w:r>
        <w:rPr>
          <w:rFonts w:hint="eastAsia" w:ascii="仿宋" w:hAnsi="仿宋" w:eastAsia="仿宋"/>
          <w:sz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line="300" w:lineRule="auto"/>
        <w:ind w:firstLine="480" w:firstLineChars="200"/>
        <w:rPr>
          <w:rFonts w:ascii="仿宋" w:hAnsi="仿宋" w:eastAsia="仿宋"/>
          <w:sz w:val="24"/>
        </w:rPr>
      </w:pPr>
      <w:r>
        <w:rPr>
          <w:rFonts w:hint="eastAsia" w:ascii="仿宋" w:hAnsi="仿宋" w:eastAsia="仿宋"/>
          <w:sz w:val="24"/>
        </w:rPr>
        <w:t>第五条  本责任书作为工程施工合同的附件，与工程施工合同具有同等法律效力。经双方签署后立即生效。</w:t>
      </w:r>
    </w:p>
    <w:p>
      <w:pPr>
        <w:spacing w:line="300" w:lineRule="auto"/>
        <w:ind w:firstLine="480" w:firstLineChars="200"/>
        <w:rPr>
          <w:rFonts w:ascii="仿宋" w:hAnsi="仿宋" w:eastAsia="仿宋"/>
          <w:sz w:val="24"/>
        </w:rPr>
      </w:pPr>
      <w:r>
        <w:rPr>
          <w:rFonts w:hint="eastAsia" w:ascii="仿宋" w:hAnsi="仿宋" w:eastAsia="仿宋"/>
          <w:sz w:val="24"/>
        </w:rPr>
        <w:t>第六条  本责任书的有效期为双方签署之日起至该工程项目竣工验收合格时止。</w:t>
      </w:r>
    </w:p>
    <w:p>
      <w:pPr>
        <w:spacing w:line="300" w:lineRule="auto"/>
        <w:ind w:firstLine="480" w:firstLineChars="200"/>
        <w:rPr>
          <w:rFonts w:ascii="仿宋" w:hAnsi="仿宋" w:eastAsia="仿宋"/>
          <w:sz w:val="24"/>
        </w:rPr>
      </w:pPr>
    </w:p>
    <w:p>
      <w:pPr>
        <w:spacing w:line="320" w:lineRule="exact"/>
        <w:ind w:firstLine="480" w:firstLineChars="200"/>
        <w:rPr>
          <w:rFonts w:ascii="仿宋" w:hAnsi="仿宋" w:eastAsia="仿宋"/>
          <w:sz w:val="24"/>
        </w:rPr>
      </w:pPr>
      <w:r>
        <w:rPr>
          <w:rFonts w:hint="eastAsia" w:ascii="仿宋" w:hAnsi="仿宋" w:eastAsia="仿宋"/>
          <w:sz w:val="24"/>
        </w:rPr>
        <w:t>甲方单位 (盖章) ：广州市黄埔区水务设施管理所</w:t>
      </w:r>
    </w:p>
    <w:p>
      <w:pPr>
        <w:spacing w:line="320" w:lineRule="exact"/>
        <w:ind w:firstLine="480" w:firstLineChars="200"/>
        <w:rPr>
          <w:rFonts w:ascii="仿宋" w:hAnsi="仿宋" w:eastAsia="仿宋"/>
          <w:sz w:val="24"/>
        </w:rPr>
      </w:pPr>
      <w:r>
        <w:rPr>
          <w:rFonts w:hint="eastAsia" w:ascii="仿宋" w:hAnsi="仿宋" w:eastAsia="仿宋"/>
          <w:sz w:val="24"/>
        </w:rPr>
        <w:t>法定代表人</w:t>
      </w:r>
    </w:p>
    <w:p>
      <w:pPr>
        <w:spacing w:line="320" w:lineRule="exact"/>
        <w:ind w:firstLine="960" w:firstLineChars="400"/>
        <w:rPr>
          <w:rFonts w:ascii="仿宋" w:hAnsi="仿宋" w:eastAsia="仿宋"/>
          <w:sz w:val="24"/>
        </w:rPr>
      </w:pPr>
      <w:r>
        <w:rPr>
          <w:rFonts w:hint="eastAsia" w:ascii="仿宋" w:hAnsi="仿宋" w:eastAsia="仿宋"/>
          <w:sz w:val="24"/>
        </w:rPr>
        <w:t>或</w:t>
      </w:r>
    </w:p>
    <w:p>
      <w:pPr>
        <w:spacing w:line="320" w:lineRule="exact"/>
        <w:ind w:firstLine="480" w:firstLineChars="200"/>
        <w:rPr>
          <w:rFonts w:ascii="仿宋" w:hAnsi="仿宋" w:eastAsia="仿宋"/>
          <w:sz w:val="24"/>
        </w:rPr>
      </w:pPr>
      <w:r>
        <w:rPr>
          <w:rFonts w:hint="eastAsia" w:ascii="仿宋" w:hAnsi="仿宋" w:eastAsia="仿宋"/>
          <w:sz w:val="24"/>
        </w:rPr>
        <w:t xml:space="preserve">委托代理人： </w:t>
      </w:r>
    </w:p>
    <w:p>
      <w:pPr>
        <w:spacing w:line="320" w:lineRule="exact"/>
        <w:ind w:firstLine="480" w:firstLineChars="200"/>
        <w:rPr>
          <w:rFonts w:ascii="仿宋" w:hAnsi="仿宋" w:eastAsia="仿宋"/>
          <w:sz w:val="24"/>
        </w:rPr>
      </w:pPr>
      <w:r>
        <w:rPr>
          <w:rFonts w:hint="eastAsia" w:ascii="仿宋" w:hAnsi="仿宋" w:eastAsia="仿宋"/>
          <w:sz w:val="24"/>
        </w:rPr>
        <w:t xml:space="preserve">地      址：广州市黄埔区瑞祥路1号  </w:t>
      </w:r>
    </w:p>
    <w:p>
      <w:pPr>
        <w:spacing w:line="320" w:lineRule="exact"/>
        <w:ind w:firstLine="480" w:firstLineChars="200"/>
        <w:rPr>
          <w:rFonts w:ascii="仿宋" w:hAnsi="仿宋" w:eastAsia="仿宋"/>
          <w:sz w:val="24"/>
        </w:rPr>
      </w:pPr>
      <w:r>
        <w:rPr>
          <w:rFonts w:hint="eastAsia" w:ascii="仿宋" w:hAnsi="仿宋" w:eastAsia="仿宋"/>
          <w:sz w:val="24"/>
        </w:rPr>
        <w:t xml:space="preserve">电      话：020-82287753                      </w:t>
      </w:r>
    </w:p>
    <w:p>
      <w:pPr>
        <w:spacing w:line="32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spacing w:line="320" w:lineRule="exact"/>
        <w:ind w:firstLine="480" w:firstLineChars="200"/>
        <w:rPr>
          <w:rFonts w:ascii="仿宋" w:hAnsi="仿宋" w:eastAsia="仿宋"/>
          <w:sz w:val="24"/>
        </w:rPr>
      </w:pPr>
      <w:r>
        <w:rPr>
          <w:rFonts w:hint="eastAsia" w:ascii="仿宋" w:hAnsi="仿宋" w:eastAsia="仿宋"/>
          <w:sz w:val="24"/>
        </w:rPr>
        <w:t>甲方监督单位：</w:t>
      </w:r>
    </w:p>
    <w:p>
      <w:pPr>
        <w:spacing w:line="320" w:lineRule="exact"/>
        <w:ind w:firstLine="480" w:firstLineChars="200"/>
        <w:rPr>
          <w:rFonts w:ascii="仿宋" w:hAnsi="仿宋" w:eastAsia="仿宋"/>
          <w:sz w:val="24"/>
        </w:rPr>
      </w:pPr>
      <w:r>
        <w:rPr>
          <w:rFonts w:hint="eastAsia" w:ascii="仿宋" w:hAnsi="仿宋" w:eastAsia="仿宋"/>
          <w:sz w:val="24"/>
        </w:rPr>
        <w:t>代  表  人：</w:t>
      </w:r>
    </w:p>
    <w:p>
      <w:pPr>
        <w:spacing w:line="320" w:lineRule="exact"/>
        <w:ind w:firstLine="480" w:firstLineChars="200"/>
        <w:rPr>
          <w:rFonts w:ascii="仿宋" w:hAnsi="仿宋" w:eastAsia="仿宋"/>
          <w:sz w:val="24"/>
        </w:rPr>
      </w:pPr>
      <w:r>
        <w:rPr>
          <w:rFonts w:hint="eastAsia" w:ascii="仿宋" w:hAnsi="仿宋" w:eastAsia="仿宋"/>
          <w:sz w:val="24"/>
        </w:rPr>
        <w:t>电      话：</w:t>
      </w:r>
    </w:p>
    <w:p>
      <w:pPr>
        <w:spacing w:line="32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spacing w:line="320" w:lineRule="exact"/>
        <w:ind w:firstLine="480" w:firstLineChars="200"/>
        <w:rPr>
          <w:rFonts w:ascii="仿宋" w:hAnsi="仿宋" w:eastAsia="仿宋"/>
          <w:sz w:val="24"/>
        </w:rPr>
      </w:pPr>
      <w:r>
        <w:rPr>
          <w:rFonts w:hint="eastAsia" w:ascii="仿宋" w:hAnsi="仿宋" w:eastAsia="仿宋"/>
          <w:sz w:val="24"/>
        </w:rPr>
        <w:t>乙方单位 (盖章) ：</w:t>
      </w:r>
    </w:p>
    <w:p>
      <w:pPr>
        <w:spacing w:line="320" w:lineRule="exact"/>
        <w:ind w:firstLine="480" w:firstLineChars="200"/>
        <w:rPr>
          <w:rFonts w:ascii="仿宋" w:hAnsi="仿宋" w:eastAsia="仿宋"/>
          <w:sz w:val="24"/>
        </w:rPr>
      </w:pPr>
      <w:r>
        <w:rPr>
          <w:rFonts w:hint="eastAsia" w:ascii="仿宋" w:hAnsi="仿宋" w:eastAsia="仿宋"/>
          <w:sz w:val="24"/>
        </w:rPr>
        <w:t>法定代表人</w:t>
      </w:r>
    </w:p>
    <w:p>
      <w:pPr>
        <w:spacing w:line="320" w:lineRule="exact"/>
        <w:ind w:firstLine="960" w:firstLineChars="400"/>
        <w:rPr>
          <w:rFonts w:ascii="仿宋" w:hAnsi="仿宋" w:eastAsia="仿宋"/>
          <w:sz w:val="24"/>
        </w:rPr>
      </w:pPr>
      <w:r>
        <w:rPr>
          <w:rFonts w:hint="eastAsia" w:ascii="仿宋" w:hAnsi="仿宋" w:eastAsia="仿宋"/>
          <w:sz w:val="24"/>
        </w:rPr>
        <w:t>或</w:t>
      </w:r>
    </w:p>
    <w:p>
      <w:pPr>
        <w:spacing w:line="320" w:lineRule="exact"/>
        <w:ind w:firstLine="480" w:firstLineChars="200"/>
        <w:rPr>
          <w:rFonts w:ascii="仿宋" w:hAnsi="仿宋" w:eastAsia="仿宋"/>
          <w:sz w:val="24"/>
        </w:rPr>
      </w:pPr>
      <w:r>
        <w:rPr>
          <w:rFonts w:hint="eastAsia" w:ascii="仿宋" w:hAnsi="仿宋" w:eastAsia="仿宋"/>
          <w:sz w:val="24"/>
        </w:rPr>
        <w:t>委托代理人：</w:t>
      </w:r>
    </w:p>
    <w:p>
      <w:pPr>
        <w:spacing w:line="320" w:lineRule="exact"/>
        <w:ind w:firstLine="480" w:firstLineChars="200"/>
        <w:rPr>
          <w:rFonts w:ascii="仿宋" w:hAnsi="仿宋" w:eastAsia="仿宋"/>
          <w:sz w:val="24"/>
        </w:rPr>
      </w:pPr>
      <w:r>
        <w:rPr>
          <w:rFonts w:hint="eastAsia" w:ascii="仿宋" w:hAnsi="仿宋" w:eastAsia="仿宋"/>
          <w:sz w:val="24"/>
        </w:rPr>
        <w:t xml:space="preserve">地      址：  </w:t>
      </w:r>
    </w:p>
    <w:p>
      <w:pPr>
        <w:spacing w:line="320" w:lineRule="exact"/>
        <w:ind w:firstLine="480" w:firstLineChars="200"/>
        <w:rPr>
          <w:rFonts w:ascii="仿宋" w:hAnsi="仿宋" w:eastAsia="仿宋"/>
          <w:sz w:val="24"/>
        </w:rPr>
      </w:pPr>
      <w:r>
        <w:rPr>
          <w:rFonts w:hint="eastAsia" w:ascii="仿宋" w:hAnsi="仿宋" w:eastAsia="仿宋"/>
          <w:sz w:val="24"/>
        </w:rPr>
        <w:t xml:space="preserve">电      话：                                       年 </w:t>
      </w:r>
      <w:r>
        <w:rPr>
          <w:rFonts w:ascii="仿宋" w:hAnsi="仿宋" w:eastAsia="仿宋"/>
          <w:sz w:val="24"/>
        </w:rPr>
        <w:t xml:space="preserve"> </w:t>
      </w:r>
      <w:r>
        <w:rPr>
          <w:rFonts w:hint="eastAsia" w:ascii="仿宋" w:hAnsi="仿宋" w:eastAsia="仿宋"/>
          <w:sz w:val="24"/>
        </w:rPr>
        <w:t xml:space="preserve">  月 </w:t>
      </w:r>
      <w:r>
        <w:rPr>
          <w:rFonts w:ascii="仿宋" w:hAnsi="仿宋" w:eastAsia="仿宋"/>
          <w:sz w:val="24"/>
        </w:rPr>
        <w:t xml:space="preserve">  </w:t>
      </w:r>
      <w:r>
        <w:rPr>
          <w:rFonts w:hint="eastAsia" w:ascii="仿宋" w:hAnsi="仿宋" w:eastAsia="仿宋"/>
          <w:sz w:val="24"/>
        </w:rPr>
        <w:t xml:space="preserve"> 日</w:t>
      </w:r>
    </w:p>
    <w:p>
      <w:pPr>
        <w:spacing w:line="320" w:lineRule="exact"/>
        <w:ind w:firstLine="480" w:firstLineChars="200"/>
        <w:rPr>
          <w:rFonts w:ascii="仿宋" w:hAnsi="仿宋" w:eastAsia="仿宋"/>
          <w:sz w:val="24"/>
        </w:rPr>
      </w:pPr>
      <w:r>
        <w:rPr>
          <w:rFonts w:hint="eastAsia" w:ascii="仿宋" w:hAnsi="仿宋" w:eastAsia="仿宋"/>
          <w:sz w:val="24"/>
        </w:rPr>
        <w:t>乙方监督单位(盖章) ：/</w:t>
      </w:r>
    </w:p>
    <w:p>
      <w:pPr>
        <w:spacing w:line="320" w:lineRule="exact"/>
        <w:ind w:firstLine="480" w:firstLineChars="200"/>
        <w:rPr>
          <w:rFonts w:ascii="仿宋" w:hAnsi="仿宋" w:eastAsia="仿宋"/>
          <w:sz w:val="24"/>
        </w:rPr>
      </w:pPr>
      <w:r>
        <w:rPr>
          <w:rFonts w:hint="eastAsia" w:ascii="仿宋" w:hAnsi="仿宋" w:eastAsia="仿宋"/>
          <w:sz w:val="24"/>
        </w:rPr>
        <w:t>代  表  人：</w:t>
      </w:r>
    </w:p>
    <w:p>
      <w:pPr>
        <w:spacing w:line="320" w:lineRule="exact"/>
        <w:ind w:firstLine="480" w:firstLineChars="200"/>
        <w:rPr>
          <w:rFonts w:ascii="仿宋" w:hAnsi="仿宋" w:eastAsia="仿宋"/>
          <w:sz w:val="24"/>
        </w:rPr>
      </w:pPr>
      <w:r>
        <w:rPr>
          <w:rFonts w:hint="eastAsia" w:ascii="仿宋" w:hAnsi="仿宋" w:eastAsia="仿宋"/>
          <w:sz w:val="24"/>
        </w:rPr>
        <w:t>电      话：</w:t>
      </w:r>
    </w:p>
    <w:p>
      <w:pPr>
        <w:spacing w:line="32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pStyle w:val="116"/>
        <w:rPr>
          <w:rFonts w:ascii="仿宋" w:hAnsi="仿宋" w:eastAsia="仿宋"/>
          <w:sz w:val="24"/>
        </w:rPr>
      </w:pPr>
    </w:p>
    <w:p>
      <w:pPr>
        <w:spacing w:line="300" w:lineRule="auto"/>
        <w:outlineLvl w:val="0"/>
        <w:rPr>
          <w:rFonts w:ascii="仿宋" w:hAnsi="仿宋" w:eastAsia="仿宋"/>
          <w:sz w:val="24"/>
        </w:rPr>
      </w:pPr>
      <w:bookmarkStart w:id="167" w:name="_Toc20250"/>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r>
        <w:rPr>
          <w:rFonts w:hint="eastAsia" w:ascii="仿宋" w:hAnsi="仿宋" w:eastAsia="仿宋"/>
          <w:sz w:val="24"/>
        </w:rPr>
        <w:t>附件2</w:t>
      </w:r>
      <w:bookmarkEnd w:id="167"/>
    </w:p>
    <w:p>
      <w:pPr>
        <w:spacing w:line="300" w:lineRule="auto"/>
        <w:jc w:val="center"/>
        <w:outlineLvl w:val="0"/>
        <w:rPr>
          <w:rFonts w:ascii="仿宋" w:hAnsi="仿宋" w:eastAsia="仿宋"/>
          <w:b/>
          <w:sz w:val="28"/>
          <w:szCs w:val="28"/>
        </w:rPr>
      </w:pPr>
      <w:bookmarkStart w:id="168" w:name="_Toc14659"/>
      <w:r>
        <w:rPr>
          <w:rFonts w:hint="eastAsia" w:ascii="仿宋" w:hAnsi="仿宋" w:eastAsia="仿宋"/>
          <w:b/>
          <w:sz w:val="28"/>
          <w:szCs w:val="28"/>
        </w:rPr>
        <w:t>黄埔区水务工程安全生产责任书</w:t>
      </w:r>
      <w:bookmarkEnd w:id="168"/>
    </w:p>
    <w:p>
      <w:pPr>
        <w:spacing w:line="300" w:lineRule="auto"/>
        <w:ind w:firstLine="480" w:firstLineChars="200"/>
        <w:rPr>
          <w:rFonts w:ascii="仿宋" w:hAnsi="仿宋" w:eastAsia="仿宋"/>
          <w:sz w:val="24"/>
        </w:rPr>
      </w:pPr>
    </w:p>
    <w:p>
      <w:pPr>
        <w:spacing w:line="300" w:lineRule="auto"/>
        <w:rPr>
          <w:rFonts w:ascii="仿宋" w:hAnsi="仿宋" w:eastAsia="仿宋" w:cs="Times New Roman"/>
          <w:sz w:val="24"/>
          <w:u w:val="single"/>
        </w:rPr>
      </w:pPr>
      <w:r>
        <w:rPr>
          <w:rFonts w:hint="eastAsia" w:ascii="仿宋" w:hAnsi="仿宋" w:eastAsia="仿宋"/>
          <w:sz w:val="24"/>
        </w:rPr>
        <w:t>工程项目名称：</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水利设施维修改造工程施工</w:t>
      </w:r>
      <w:r>
        <w:rPr>
          <w:rFonts w:hint="eastAsia" w:ascii="仿宋" w:hAnsi="仿宋" w:eastAsia="仿宋" w:cs="仿宋"/>
          <w:sz w:val="24"/>
          <w:u w:val="single"/>
        </w:rPr>
        <w:t>Ⅲ</w:t>
      </w:r>
      <w:r>
        <w:rPr>
          <w:rFonts w:hint="eastAsia" w:ascii="仿宋" w:hAnsi="仿宋" w:eastAsia="仿宋" w:cs="Times New Roman"/>
          <w:sz w:val="24"/>
          <w:u w:val="single"/>
        </w:rPr>
        <w:t xml:space="preserve">标 </w:t>
      </w:r>
    </w:p>
    <w:p>
      <w:pPr>
        <w:spacing w:line="300" w:lineRule="auto"/>
        <w:rPr>
          <w:rFonts w:ascii="仿宋" w:hAnsi="仿宋" w:eastAsia="仿宋"/>
          <w:sz w:val="24"/>
        </w:rPr>
      </w:pPr>
      <w:r>
        <w:rPr>
          <w:rFonts w:hint="eastAsia" w:ascii="仿宋" w:hAnsi="仿宋" w:eastAsia="仿宋"/>
          <w:sz w:val="24"/>
        </w:rPr>
        <w:t>工程项目地址：</w:t>
      </w:r>
      <w:r>
        <w:rPr>
          <w:rFonts w:hint="eastAsia" w:ascii="仿宋" w:hAnsi="仿宋" w:eastAsia="仿宋" w:cs="Times New Roman"/>
          <w:sz w:val="24"/>
          <w:u w:val="single"/>
          <w:lang w:eastAsia="zh-CN"/>
        </w:rPr>
        <w:t>广州市</w:t>
      </w:r>
      <w:r>
        <w:rPr>
          <w:rFonts w:ascii="仿宋" w:hAnsi="仿宋" w:eastAsia="仿宋" w:cs="Times New Roman"/>
          <w:sz w:val="24"/>
          <w:u w:val="single"/>
        </w:rPr>
        <w:t>黄</w:t>
      </w:r>
      <w:r>
        <w:rPr>
          <w:rFonts w:ascii="仿宋" w:hAnsi="仿宋" w:eastAsia="仿宋"/>
          <w:sz w:val="24"/>
          <w:u w:val="single"/>
        </w:rPr>
        <w:t>埔区</w:t>
      </w:r>
      <w:r>
        <w:rPr>
          <w:rFonts w:hint="eastAsia" w:ascii="仿宋" w:hAnsi="仿宋" w:eastAsia="仿宋"/>
          <w:sz w:val="24"/>
          <w:u w:val="single"/>
        </w:rPr>
        <w:t xml:space="preserve"> </w:t>
      </w:r>
    </w:p>
    <w:p>
      <w:pPr>
        <w:spacing w:line="300" w:lineRule="auto"/>
        <w:rPr>
          <w:rFonts w:ascii="仿宋" w:hAnsi="仿宋" w:eastAsia="仿宋"/>
          <w:sz w:val="24"/>
        </w:rPr>
      </w:pPr>
      <w:r>
        <w:rPr>
          <w:rFonts w:hint="eastAsia" w:ascii="仿宋" w:hAnsi="仿宋" w:eastAsia="仿宋"/>
          <w:sz w:val="24"/>
        </w:rPr>
        <w:t>建</w:t>
      </w:r>
      <w:r>
        <w:rPr>
          <w:rFonts w:ascii="仿宋" w:hAnsi="仿宋" w:eastAsia="仿宋"/>
          <w:sz w:val="24"/>
        </w:rPr>
        <w:t xml:space="preserve"> </w:t>
      </w:r>
      <w:r>
        <w:rPr>
          <w:rFonts w:hint="eastAsia" w:ascii="仿宋" w:hAnsi="仿宋" w:eastAsia="仿宋"/>
          <w:sz w:val="24"/>
        </w:rPr>
        <w:t>设</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(甲方)：</w:t>
      </w:r>
      <w:r>
        <w:rPr>
          <w:rFonts w:hint="eastAsia" w:ascii="仿宋" w:hAnsi="仿宋" w:eastAsia="仿宋"/>
          <w:sz w:val="24"/>
          <w:u w:val="single"/>
        </w:rPr>
        <w:t xml:space="preserve">广州市黄埔区水务设施管理所  </w:t>
      </w:r>
    </w:p>
    <w:p>
      <w:pPr>
        <w:spacing w:line="300" w:lineRule="auto"/>
        <w:rPr>
          <w:rFonts w:ascii="仿宋" w:hAnsi="仿宋" w:eastAsia="仿宋"/>
          <w:sz w:val="24"/>
        </w:rPr>
      </w:pPr>
      <w:r>
        <w:rPr>
          <w:rFonts w:hint="eastAsia" w:ascii="仿宋" w:hAnsi="仿宋" w:eastAsia="仿宋"/>
          <w:sz w:val="24"/>
        </w:rPr>
        <w:t>施 工</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(乙方)：</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sz w:val="24"/>
          <w:u w:val="single"/>
        </w:rPr>
        <w:t xml:space="preserve"> </w:t>
      </w:r>
    </w:p>
    <w:p>
      <w:pPr>
        <w:spacing w:line="300" w:lineRule="auto"/>
        <w:ind w:firstLine="480" w:firstLineChars="200"/>
        <w:rPr>
          <w:rFonts w:ascii="仿宋" w:hAnsi="仿宋" w:eastAsia="仿宋"/>
          <w:sz w:val="24"/>
        </w:rPr>
      </w:pPr>
      <w:r>
        <w:rPr>
          <w:rFonts w:hint="eastAsia" w:ascii="仿宋" w:hAnsi="仿宋" w:eastAsia="仿宋"/>
          <w:sz w:val="24"/>
        </w:rPr>
        <w:t>为保证</w:t>
      </w:r>
      <w:r>
        <w:rPr>
          <w:rFonts w:hint="eastAsia" w:ascii="仿宋" w:hAnsi="仿宋" w:eastAsia="仿宋"/>
          <w:sz w:val="24"/>
          <w:u w:val="single"/>
        </w:rPr>
        <w:t xml:space="preserve">   </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水利设施维修改造工程施工</w:t>
      </w:r>
      <w:r>
        <w:rPr>
          <w:rFonts w:hint="eastAsia" w:ascii="仿宋" w:hAnsi="仿宋" w:eastAsia="仿宋" w:cs="仿宋"/>
          <w:sz w:val="24"/>
          <w:u w:val="single"/>
        </w:rPr>
        <w:t>Ⅲ</w:t>
      </w:r>
      <w:r>
        <w:rPr>
          <w:rFonts w:hint="eastAsia" w:ascii="仿宋" w:hAnsi="仿宋" w:eastAsia="仿宋" w:cs="Times New Roman"/>
          <w:sz w:val="24"/>
          <w:u w:val="single"/>
        </w:rPr>
        <w:t>标</w:t>
      </w:r>
      <w:r>
        <w:rPr>
          <w:rFonts w:hint="eastAsia" w:ascii="仿宋" w:hAnsi="仿宋" w:eastAsia="仿宋"/>
          <w:sz w:val="24"/>
          <w:u w:val="single"/>
        </w:rPr>
        <w:t xml:space="preserve">  </w:t>
      </w:r>
      <w:r>
        <w:rPr>
          <w:rFonts w:hint="eastAsia" w:ascii="仿宋" w:hAnsi="仿宋" w:eastAsia="仿宋"/>
          <w:sz w:val="24"/>
        </w:rPr>
        <w:t>工程施工企业依法进行安全生产活动，规范工程施工企业安全行为，遏制重、特大建筑安全生产事故、减少一般事故的发生，特制定本责任书：</w:t>
      </w:r>
    </w:p>
    <w:p>
      <w:pPr>
        <w:spacing w:line="300" w:lineRule="auto"/>
        <w:ind w:firstLine="480" w:firstLineChars="200"/>
        <w:outlineLvl w:val="0"/>
        <w:rPr>
          <w:rFonts w:ascii="仿宋" w:hAnsi="仿宋" w:eastAsia="仿宋"/>
          <w:sz w:val="24"/>
        </w:rPr>
      </w:pPr>
      <w:bookmarkStart w:id="169" w:name="_Toc2839"/>
      <w:r>
        <w:rPr>
          <w:rFonts w:ascii="仿宋" w:hAnsi="仿宋" w:eastAsia="仿宋"/>
          <w:sz w:val="24"/>
        </w:rPr>
        <w:t>一、</w:t>
      </w:r>
      <w:r>
        <w:rPr>
          <w:rFonts w:hint="eastAsia" w:ascii="仿宋" w:hAnsi="仿宋" w:eastAsia="仿宋"/>
          <w:sz w:val="24"/>
        </w:rPr>
        <w:t>责任时限</w:t>
      </w:r>
      <w:bookmarkEnd w:id="169"/>
    </w:p>
    <w:p>
      <w:pPr>
        <w:spacing w:line="300" w:lineRule="auto"/>
        <w:ind w:firstLine="480" w:firstLineChars="200"/>
        <w:rPr>
          <w:rFonts w:ascii="仿宋" w:hAnsi="仿宋" w:eastAsia="仿宋"/>
          <w:sz w:val="24"/>
        </w:rPr>
      </w:pPr>
      <w:r>
        <w:rPr>
          <w:rFonts w:hint="eastAsia" w:ascii="仿宋" w:hAnsi="仿宋" w:eastAsia="仿宋"/>
          <w:sz w:val="24"/>
        </w:rPr>
        <w:t>从</w:t>
      </w:r>
      <w:r>
        <w:rPr>
          <w:rFonts w:hint="eastAsia" w:ascii="仿宋" w:hAnsi="仿宋" w:eastAsia="仿宋"/>
          <w:sz w:val="24"/>
          <w:u w:val="single"/>
        </w:rPr>
        <w:t xml:space="preserve">   </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水利设施维修改造工程施工</w:t>
      </w:r>
      <w:r>
        <w:rPr>
          <w:rFonts w:hint="eastAsia" w:ascii="仿宋" w:hAnsi="仿宋" w:eastAsia="仿宋" w:cs="仿宋"/>
          <w:sz w:val="24"/>
          <w:u w:val="single"/>
        </w:rPr>
        <w:t>Ⅲ</w:t>
      </w:r>
      <w:r>
        <w:rPr>
          <w:rFonts w:hint="eastAsia" w:ascii="仿宋" w:hAnsi="仿宋" w:eastAsia="仿宋" w:cs="Times New Roman"/>
          <w:sz w:val="24"/>
          <w:u w:val="single"/>
        </w:rPr>
        <w:t>标</w:t>
      </w:r>
      <w:r>
        <w:rPr>
          <w:rFonts w:hint="eastAsia" w:ascii="仿宋" w:hAnsi="仿宋" w:eastAsia="仿宋"/>
          <w:sz w:val="24"/>
          <w:u w:val="single"/>
        </w:rPr>
        <w:t xml:space="preserve">   </w:t>
      </w:r>
      <w:r>
        <w:rPr>
          <w:rFonts w:hint="eastAsia" w:ascii="仿宋" w:hAnsi="仿宋" w:eastAsia="仿宋"/>
          <w:sz w:val="24"/>
        </w:rPr>
        <w:t>工程开工时间起至完工时间止。责任人因故变动的，要向新责任人交接责任书，责任随责任人变动自然转换。</w:t>
      </w:r>
    </w:p>
    <w:p>
      <w:pPr>
        <w:spacing w:line="300" w:lineRule="auto"/>
        <w:ind w:firstLine="480" w:firstLineChars="200"/>
        <w:outlineLvl w:val="0"/>
        <w:rPr>
          <w:rFonts w:ascii="仿宋" w:hAnsi="仿宋" w:eastAsia="仿宋"/>
          <w:sz w:val="24"/>
        </w:rPr>
      </w:pPr>
      <w:bookmarkStart w:id="170" w:name="_Toc24737"/>
      <w:r>
        <w:rPr>
          <w:rFonts w:ascii="仿宋" w:hAnsi="仿宋" w:eastAsia="仿宋"/>
          <w:sz w:val="24"/>
        </w:rPr>
        <w:t>二、</w:t>
      </w:r>
      <w:r>
        <w:rPr>
          <w:rFonts w:hint="eastAsia" w:ascii="仿宋" w:hAnsi="仿宋" w:eastAsia="仿宋"/>
          <w:sz w:val="24"/>
        </w:rPr>
        <w:t>责任内容</w:t>
      </w:r>
      <w:bookmarkEnd w:id="170"/>
    </w:p>
    <w:p>
      <w:pPr>
        <w:spacing w:line="300" w:lineRule="auto"/>
        <w:ind w:firstLine="480" w:firstLineChars="200"/>
        <w:rPr>
          <w:rFonts w:ascii="仿宋" w:hAnsi="仿宋" w:eastAsia="仿宋"/>
          <w:sz w:val="24"/>
        </w:rPr>
      </w:pPr>
      <w:r>
        <w:rPr>
          <w:rFonts w:hint="eastAsia" w:ascii="仿宋" w:hAnsi="仿宋" w:eastAsia="仿宋"/>
          <w:sz w:val="24"/>
        </w:rPr>
        <w:t>本工程的施工单位</w:t>
      </w:r>
      <w:r>
        <w:rPr>
          <w:rFonts w:hint="eastAsia" w:ascii="仿宋" w:hAnsi="仿宋" w:eastAsia="仿宋" w:cs="仿宋"/>
          <w:sz w:val="24"/>
          <w:u w:val="single"/>
          <w:lang w:val="en-US" w:eastAsia="zh-CN"/>
        </w:rPr>
        <w:t xml:space="preserve">               </w:t>
      </w:r>
      <w:r>
        <w:rPr>
          <w:rFonts w:hint="eastAsia" w:ascii="仿宋" w:hAnsi="仿宋" w:eastAsia="仿宋"/>
          <w:sz w:val="24"/>
        </w:rPr>
        <w:t>为责任单位，监理单位</w:t>
      </w:r>
      <w:r>
        <w:rPr>
          <w:rFonts w:hint="eastAsia" w:ascii="仿宋" w:hAnsi="仿宋" w:eastAsia="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sz w:val="24"/>
        </w:rPr>
        <w:t>为连带责任单位。施工企业法定代表人为安全生产第一责任人，本工程的项目负责人为主要责任人，专职安全员为具体责任人。本项目的监理单位法定代表人为连带责任人。责任内容如下：</w:t>
      </w:r>
    </w:p>
    <w:p>
      <w:pPr>
        <w:spacing w:line="30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、施工企业必须依法取得安全生产许可证。已取得安全生产许可证的企业，不得降低安全生产条件。企业不得转让、转借、冒用或使用伪造的安全生产许可证。</w:t>
      </w:r>
    </w:p>
    <w:p>
      <w:pPr>
        <w:spacing w:line="30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、施工企业必须设立安全生产管理机构，配备足够的专职安全生产管理人员，并建立健全各级安全生产责任制，制定安全生产控制目标及实现目标的保证措施，将安全生产控制目标分解到各项目部、各班组。</w:t>
      </w:r>
    </w:p>
    <w:p>
      <w:pPr>
        <w:spacing w:line="30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落实安全检查及安全技术交底制度，做好检查和交底记录；落实年度安全生产教育与培训制度，对项目部管理人员、作业人员必须进行岗前安全培训。特种作业人员必须按照国家有关规定持证上岗。新从业人员必须进行安全生产“三级教育”。企业法定代表人、项目负责人、专职安全管理人员必须取得安全生产考核合格证书。</w:t>
      </w:r>
    </w:p>
    <w:p>
      <w:pPr>
        <w:spacing w:line="30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、保证本单位安全生产条件所需资金的投入，本年度在建工程必须使用质量合格的安全防护设施设备，并为从业人员提供必备的安全防护用具和安全防护服装。</w:t>
      </w:r>
    </w:p>
    <w:p>
      <w:pPr>
        <w:spacing w:line="30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、依法为施工现场从事危险作业人员办理意外伤害保险。</w:t>
      </w:r>
    </w:p>
    <w:p>
      <w:pPr>
        <w:spacing w:line="30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建设工程实行施工总承包的，由总承包单位对施工现场的安全生产负总责。建设工程总承包单位依法分包给其他单位的，分包合同中应明确各自的安全生产方面权力、义务，总承包单位和分包单位对分包工程的安全生产承担连带责任。</w:t>
      </w:r>
    </w:p>
    <w:p>
      <w:pPr>
        <w:spacing w:line="30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、因建设工程施工可能造成损害的毗邻建筑物、构筑物和地下管线、文物古迹等，应当采取专项防护和保护措施．并对所发现的文物古迹及时上报。</w:t>
      </w:r>
    </w:p>
    <w:p>
      <w:pPr>
        <w:spacing w:line="300" w:lineRule="auto"/>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、企业所属施工现场必须按规定配齐专职安全员，并做到专职专用．尽职尽责，作业人员有权对施工现场存在的安全问题提出批评、检举和控告，有权拒绝违章指挥和冒险作业。</w:t>
      </w:r>
    </w:p>
    <w:p>
      <w:pPr>
        <w:spacing w:line="300" w:lineRule="auto"/>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、严格执行《建筑施工安全检查标准》（</w:t>
      </w:r>
      <w:r>
        <w:rPr>
          <w:rFonts w:ascii="仿宋" w:hAnsi="仿宋" w:eastAsia="仿宋"/>
          <w:sz w:val="24"/>
        </w:rPr>
        <w:t xml:space="preserve"> JGJ 59</w:t>
      </w:r>
      <w:r>
        <w:rPr>
          <w:rFonts w:hint="eastAsia" w:ascii="仿宋" w:hAnsi="仿宋" w:eastAsia="仿宋"/>
          <w:sz w:val="24"/>
        </w:rPr>
        <w:t>—</w:t>
      </w:r>
      <w:r>
        <w:rPr>
          <w:rFonts w:ascii="仿宋" w:hAnsi="仿宋" w:eastAsia="仿宋"/>
          <w:sz w:val="24"/>
        </w:rPr>
        <w:t xml:space="preserve">99 </w:t>
      </w:r>
      <w:r>
        <w:rPr>
          <w:rFonts w:hint="eastAsia" w:ascii="仿宋" w:hAnsi="仿宋" w:eastAsia="仿宋"/>
          <w:sz w:val="24"/>
        </w:rPr>
        <w:t>）及《施工现场临时用电安全技术规范》</w:t>
      </w:r>
      <w:r>
        <w:rPr>
          <w:rFonts w:ascii="仿宋" w:hAnsi="仿宋" w:eastAsia="仿宋"/>
          <w:sz w:val="24"/>
        </w:rPr>
        <w:t>(JGJ46</w:t>
      </w:r>
      <w:r>
        <w:rPr>
          <w:rFonts w:hint="eastAsia" w:ascii="仿宋" w:hAnsi="仿宋" w:eastAsia="仿宋"/>
          <w:sz w:val="24"/>
        </w:rPr>
        <w:t>—</w:t>
      </w:r>
      <w:r>
        <w:rPr>
          <w:rFonts w:ascii="仿宋" w:hAnsi="仿宋" w:eastAsia="仿宋"/>
          <w:sz w:val="24"/>
        </w:rPr>
        <w:t>2005)</w:t>
      </w:r>
      <w:r>
        <w:rPr>
          <w:rFonts w:hint="eastAsia" w:ascii="仿宋" w:hAnsi="仿宋" w:eastAsia="仿宋"/>
          <w:sz w:val="24"/>
        </w:rPr>
        <w:t>等有关安全技术规范，积极参加安全质量标准化活动。</w:t>
      </w:r>
    </w:p>
    <w:p>
      <w:pPr>
        <w:spacing w:line="300" w:lineRule="auto"/>
        <w:ind w:firstLine="480" w:firstLineChars="200"/>
        <w:rPr>
          <w:rFonts w:ascii="仿宋" w:hAnsi="仿宋" w:eastAsia="仿宋"/>
          <w:sz w:val="24"/>
        </w:rPr>
      </w:pPr>
      <w:r>
        <w:rPr>
          <w:rFonts w:ascii="仿宋" w:hAnsi="仿宋" w:eastAsia="仿宋"/>
          <w:sz w:val="24"/>
        </w:rPr>
        <w:t>10</w:t>
      </w:r>
      <w:r>
        <w:rPr>
          <w:rFonts w:hint="eastAsia" w:ascii="仿宋" w:hAnsi="仿宋" w:eastAsia="仿宋"/>
          <w:sz w:val="24"/>
        </w:rPr>
        <w:t>、根据本企业的特点，制定可能会导致职工产生职业病的预防措施，改善职工的生活条件，加强传染性疾病的预防和控制工作。严格执行《建筑施工现场环境与卫生标准》</w:t>
      </w:r>
      <w:r>
        <w:rPr>
          <w:rFonts w:ascii="仿宋" w:hAnsi="仿宋" w:eastAsia="仿宋"/>
          <w:sz w:val="24"/>
        </w:rPr>
        <w:t>(JGJl46</w:t>
      </w:r>
      <w:r>
        <w:rPr>
          <w:rFonts w:hint="eastAsia" w:ascii="仿宋" w:hAnsi="仿宋" w:eastAsia="仿宋"/>
          <w:sz w:val="24"/>
        </w:rPr>
        <w:t>—</w:t>
      </w:r>
      <w:r>
        <w:rPr>
          <w:rFonts w:ascii="仿宋" w:hAnsi="仿宋" w:eastAsia="仿宋"/>
          <w:sz w:val="24"/>
        </w:rPr>
        <w:t>2004)</w:t>
      </w:r>
      <w:r>
        <w:rPr>
          <w:rFonts w:hint="eastAsia" w:ascii="仿宋" w:hAnsi="仿宋" w:eastAsia="仿宋"/>
          <w:sz w:val="24"/>
        </w:rPr>
        <w:t>。</w:t>
      </w:r>
    </w:p>
    <w:p>
      <w:pPr>
        <w:spacing w:line="300" w:lineRule="auto"/>
        <w:ind w:firstLine="480" w:firstLineChars="200"/>
        <w:rPr>
          <w:rFonts w:ascii="仿宋" w:hAnsi="仿宋" w:eastAsia="仿宋"/>
          <w:sz w:val="24"/>
        </w:rPr>
      </w:pPr>
      <w:r>
        <w:rPr>
          <w:rFonts w:ascii="仿宋" w:hAnsi="仿宋" w:eastAsia="仿宋"/>
          <w:sz w:val="24"/>
        </w:rPr>
        <w:t>11</w:t>
      </w:r>
      <w:r>
        <w:rPr>
          <w:rFonts w:hint="eastAsia" w:ascii="仿宋" w:hAnsi="仿宋" w:eastAsia="仿宋"/>
          <w:sz w:val="24"/>
        </w:rPr>
        <w:t>、制定建设工程施工现场生产安全事故应急救援预靠。建立组织机构，配备应急救援器材、设备，组织救援人员定期演练，如实记录演练内容和预案修改情况。</w:t>
      </w:r>
    </w:p>
    <w:p>
      <w:pPr>
        <w:spacing w:line="300" w:lineRule="auto"/>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、发生安全生产事故要采取措施防止事故扩大，保护事故现场，并按程序及时、如实报告；杜绝瞒报、迟报现象。</w:t>
      </w:r>
    </w:p>
    <w:p>
      <w:pPr>
        <w:spacing w:line="300" w:lineRule="auto"/>
        <w:ind w:firstLine="480" w:firstLineChars="200"/>
        <w:rPr>
          <w:rFonts w:ascii="仿宋" w:hAnsi="仿宋" w:eastAsia="仿宋"/>
          <w:sz w:val="24"/>
        </w:rPr>
      </w:pPr>
      <w:r>
        <w:rPr>
          <w:rFonts w:ascii="仿宋" w:hAnsi="仿宋" w:eastAsia="仿宋"/>
          <w:sz w:val="24"/>
        </w:rPr>
        <w:t>1 3</w:t>
      </w:r>
      <w:r>
        <w:rPr>
          <w:rFonts w:hint="eastAsia" w:ascii="仿宋" w:hAnsi="仿宋" w:eastAsia="仿宋"/>
          <w:sz w:val="24"/>
        </w:rPr>
        <w:t>、重要的安全生产工作要有文字资料记载，要做好各类安全台帐、文字及影像资料的归类、管理工作。</w:t>
      </w:r>
    </w:p>
    <w:p>
      <w:pPr>
        <w:spacing w:line="300" w:lineRule="auto"/>
        <w:ind w:firstLine="480" w:firstLineChars="200"/>
        <w:outlineLvl w:val="0"/>
        <w:rPr>
          <w:rFonts w:ascii="仿宋" w:hAnsi="仿宋" w:eastAsia="仿宋"/>
          <w:sz w:val="24"/>
        </w:rPr>
      </w:pPr>
      <w:bookmarkStart w:id="171" w:name="_Toc19233"/>
      <w:r>
        <w:rPr>
          <w:rFonts w:hint="eastAsia" w:ascii="仿宋" w:hAnsi="仿宋" w:eastAsia="仿宋"/>
          <w:sz w:val="24"/>
        </w:rPr>
        <w:t>三、控制指标</w:t>
      </w:r>
      <w:bookmarkEnd w:id="171"/>
    </w:p>
    <w:p>
      <w:pPr>
        <w:spacing w:line="30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、杜绝重特大事故，因工死亡人数为“零”；</w:t>
      </w:r>
    </w:p>
    <w:p>
      <w:pPr>
        <w:spacing w:line="30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、重伤率控制在</w:t>
      </w:r>
      <w:r>
        <w:rPr>
          <w:rFonts w:ascii="仿宋" w:hAnsi="仿宋" w:eastAsia="仿宋"/>
          <w:sz w:val="24"/>
        </w:rPr>
        <w:t>0</w:t>
      </w:r>
      <w:r>
        <w:rPr>
          <w:rFonts w:hint="eastAsia" w:ascii="仿宋" w:hAnsi="仿宋" w:eastAsia="仿宋"/>
          <w:sz w:val="24"/>
        </w:rPr>
        <w:t>．</w:t>
      </w:r>
      <w:r>
        <w:rPr>
          <w:rFonts w:ascii="仿宋" w:hAnsi="仿宋" w:eastAsia="仿宋"/>
          <w:sz w:val="24"/>
        </w:rPr>
        <w:t>03</w:t>
      </w:r>
      <w:r>
        <w:rPr>
          <w:rFonts w:hint="eastAsia" w:ascii="仿宋" w:hAnsi="仿宋" w:eastAsia="仿宋"/>
          <w:sz w:val="24"/>
        </w:rPr>
        <w:t>％以内；</w:t>
      </w:r>
    </w:p>
    <w:p>
      <w:pPr>
        <w:spacing w:line="30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、企业职工全员安全培训教育率达</w:t>
      </w:r>
      <w:r>
        <w:rPr>
          <w:rFonts w:ascii="仿宋" w:hAnsi="仿宋" w:eastAsia="仿宋"/>
          <w:sz w:val="24"/>
        </w:rPr>
        <w:t>100</w:t>
      </w:r>
      <w:r>
        <w:rPr>
          <w:rFonts w:hint="eastAsia" w:ascii="仿宋" w:hAnsi="仿宋" w:eastAsia="仿宋"/>
          <w:sz w:val="24"/>
        </w:rPr>
        <w:t>％，特种作业人员持证率达</w:t>
      </w:r>
      <w:r>
        <w:rPr>
          <w:rFonts w:ascii="仿宋" w:hAnsi="仿宋" w:eastAsia="仿宋"/>
          <w:sz w:val="24"/>
        </w:rPr>
        <w:t>100</w:t>
      </w:r>
      <w:r>
        <w:rPr>
          <w:rFonts w:hint="eastAsia" w:ascii="仿宋" w:hAnsi="仿宋" w:eastAsia="仿宋"/>
          <w:sz w:val="24"/>
        </w:rPr>
        <w:t>％；</w:t>
      </w:r>
    </w:p>
    <w:p>
      <w:pPr>
        <w:spacing w:line="30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、重大事故隐患整改率达到</w:t>
      </w:r>
      <w:r>
        <w:rPr>
          <w:rFonts w:ascii="仿宋" w:hAnsi="仿宋" w:eastAsia="仿宋"/>
          <w:sz w:val="24"/>
        </w:rPr>
        <w:t>100</w:t>
      </w:r>
      <w:r>
        <w:rPr>
          <w:rFonts w:hint="eastAsia" w:ascii="仿宋" w:hAnsi="仿宋" w:eastAsia="仿宋"/>
          <w:sz w:val="24"/>
        </w:rPr>
        <w:t>％，一般事故隐患整改率达到</w:t>
      </w:r>
      <w:r>
        <w:rPr>
          <w:rFonts w:ascii="仿宋" w:hAnsi="仿宋" w:eastAsia="仿宋"/>
          <w:sz w:val="24"/>
        </w:rPr>
        <w:t>95</w:t>
      </w:r>
      <w:r>
        <w:rPr>
          <w:rFonts w:hint="eastAsia" w:ascii="仿宋" w:hAnsi="仿宋" w:eastAsia="仿宋"/>
          <w:sz w:val="24"/>
        </w:rPr>
        <w:t>％以上，重大危险源监控率达</w:t>
      </w:r>
      <w:r>
        <w:rPr>
          <w:rFonts w:ascii="仿宋" w:hAnsi="仿宋" w:eastAsia="仿宋"/>
          <w:sz w:val="24"/>
        </w:rPr>
        <w:t>100</w:t>
      </w:r>
      <w:r>
        <w:rPr>
          <w:rFonts w:hint="eastAsia" w:ascii="仿宋" w:hAnsi="仿宋" w:eastAsia="仿宋"/>
          <w:sz w:val="24"/>
        </w:rPr>
        <w:t>％；</w:t>
      </w:r>
    </w:p>
    <w:p>
      <w:pPr>
        <w:spacing w:line="30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、年度在建工程施工现场按《建筑施工安全检查标准》评定，二级企业优良率达到</w:t>
      </w:r>
      <w:r>
        <w:rPr>
          <w:rFonts w:ascii="仿宋" w:hAnsi="仿宋" w:eastAsia="仿宋"/>
          <w:sz w:val="24"/>
        </w:rPr>
        <w:t>50</w:t>
      </w:r>
      <w:r>
        <w:rPr>
          <w:rFonts w:hint="eastAsia" w:ascii="仿宋" w:hAnsi="仿宋" w:eastAsia="仿宋"/>
          <w:sz w:val="24"/>
        </w:rPr>
        <w:t>％、一级企业优良率达到</w:t>
      </w:r>
      <w:r>
        <w:rPr>
          <w:rFonts w:ascii="仿宋" w:hAnsi="仿宋" w:eastAsia="仿宋"/>
          <w:sz w:val="24"/>
        </w:rPr>
        <w:t>70</w:t>
      </w:r>
      <w:r>
        <w:rPr>
          <w:rFonts w:hint="eastAsia" w:ascii="仿宋" w:hAnsi="仿宋" w:eastAsia="仿宋"/>
          <w:sz w:val="24"/>
        </w:rPr>
        <w:t>％。</w:t>
      </w:r>
    </w:p>
    <w:p>
      <w:pPr>
        <w:spacing w:line="300" w:lineRule="auto"/>
        <w:ind w:firstLine="480" w:firstLineChars="200"/>
        <w:outlineLvl w:val="0"/>
        <w:rPr>
          <w:rFonts w:ascii="仿宋" w:hAnsi="仿宋" w:eastAsia="仿宋"/>
          <w:sz w:val="24"/>
        </w:rPr>
      </w:pPr>
      <w:bookmarkStart w:id="172" w:name="_Toc9649"/>
      <w:r>
        <w:rPr>
          <w:rFonts w:hint="eastAsia" w:ascii="仿宋" w:hAnsi="仿宋" w:eastAsia="仿宋"/>
          <w:sz w:val="24"/>
        </w:rPr>
        <w:t>四、奖惩办法</w:t>
      </w:r>
      <w:bookmarkEnd w:id="172"/>
    </w:p>
    <w:p>
      <w:pPr>
        <w:spacing w:line="300" w:lineRule="auto"/>
        <w:ind w:firstLine="480" w:firstLineChars="200"/>
        <w:rPr>
          <w:rFonts w:ascii="仿宋" w:hAnsi="仿宋" w:eastAsia="仿宋"/>
          <w:sz w:val="24"/>
        </w:rPr>
      </w:pPr>
      <w:r>
        <w:rPr>
          <w:rFonts w:hint="eastAsia" w:ascii="仿宋" w:hAnsi="仿宋" w:eastAsia="仿宋"/>
          <w:sz w:val="24"/>
        </w:rPr>
        <w:t>区水务局与建设单位对责任书落实情况进行考核，超过控制指标的施工单位，将依据《建设工程安全生产管理条例》规定，对责任人和责任单位进行严肃处理，安全事故所造成的后果由责任单位全部承担。</w:t>
      </w:r>
    </w:p>
    <w:p>
      <w:pPr>
        <w:spacing w:line="300" w:lineRule="auto"/>
        <w:ind w:firstLine="480" w:firstLineChars="200"/>
        <w:rPr>
          <w:rFonts w:ascii="仿宋" w:hAnsi="仿宋" w:eastAsia="仿宋"/>
          <w:sz w:val="24"/>
        </w:rPr>
      </w:pPr>
      <w:r>
        <w:rPr>
          <w:rFonts w:hint="eastAsia" w:ascii="仿宋" w:hAnsi="仿宋" w:eastAsia="仿宋"/>
          <w:sz w:val="24"/>
        </w:rPr>
        <w:t>责任期限内如完成控制指标，建设单位将根据情况对责任人与责任单位进行安全生产专项奖励。</w:t>
      </w:r>
    </w:p>
    <w:p>
      <w:pPr>
        <w:spacing w:line="300" w:lineRule="auto"/>
        <w:ind w:firstLine="480" w:firstLineChars="200"/>
        <w:rPr>
          <w:rFonts w:ascii="仿宋" w:hAnsi="仿宋" w:eastAsia="仿宋"/>
          <w:sz w:val="24"/>
        </w:rPr>
      </w:pPr>
    </w:p>
    <w:p>
      <w:pPr>
        <w:spacing w:line="300" w:lineRule="auto"/>
        <w:ind w:firstLine="480" w:firstLineChars="200"/>
        <w:rPr>
          <w:rFonts w:ascii="仿宋" w:hAnsi="仿宋" w:eastAsia="仿宋"/>
          <w:sz w:val="24"/>
        </w:rPr>
      </w:pPr>
      <w:r>
        <w:rPr>
          <w:rFonts w:hint="eastAsia" w:ascii="仿宋" w:hAnsi="仿宋" w:eastAsia="仿宋"/>
          <w:sz w:val="24"/>
        </w:rPr>
        <w:t>责 任 单 位：</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sz w:val="24"/>
        </w:rPr>
        <w:t xml:space="preserve">  （盖章）</w:t>
      </w:r>
    </w:p>
    <w:p>
      <w:pPr>
        <w:spacing w:line="300" w:lineRule="auto"/>
        <w:ind w:firstLine="480" w:firstLineChars="200"/>
        <w:rPr>
          <w:rFonts w:ascii="仿宋" w:hAnsi="仿宋" w:eastAsia="仿宋"/>
          <w:sz w:val="24"/>
        </w:rPr>
      </w:pPr>
    </w:p>
    <w:p>
      <w:pPr>
        <w:spacing w:line="300" w:lineRule="auto"/>
        <w:ind w:firstLine="480" w:firstLineChars="200"/>
        <w:rPr>
          <w:rFonts w:ascii="仿宋" w:hAnsi="仿宋" w:eastAsia="仿宋"/>
          <w:sz w:val="24"/>
        </w:rPr>
      </w:pPr>
      <w:r>
        <w:rPr>
          <w:rFonts w:hint="eastAsia" w:ascii="仿宋" w:hAnsi="仿宋" w:eastAsia="仿宋"/>
          <w:sz w:val="24"/>
        </w:rPr>
        <w:t>连带责任单位：</w:t>
      </w:r>
      <w:r>
        <w:rPr>
          <w:rFonts w:hint="eastAsia" w:ascii="仿宋" w:hAnsi="仿宋" w:eastAsia="仿宋"/>
          <w:sz w:val="24"/>
          <w:u w:val="single"/>
          <w:lang w:val="en-US" w:eastAsia="zh-CN"/>
        </w:rPr>
        <w:t xml:space="preserve">                         </w:t>
      </w:r>
      <w:r>
        <w:rPr>
          <w:rFonts w:hint="eastAsia" w:ascii="仿宋" w:hAnsi="仿宋" w:eastAsia="仿宋"/>
          <w:sz w:val="24"/>
        </w:rPr>
        <w:t xml:space="preserve"> （盖章）</w:t>
      </w:r>
    </w:p>
    <w:p>
      <w:pPr>
        <w:spacing w:line="300" w:lineRule="auto"/>
        <w:ind w:firstLine="480" w:firstLineChars="200"/>
        <w:rPr>
          <w:rFonts w:ascii="仿宋" w:hAnsi="仿宋" w:eastAsia="仿宋"/>
          <w:sz w:val="24"/>
        </w:rPr>
      </w:pPr>
    </w:p>
    <w:p>
      <w:pPr>
        <w:spacing w:line="300" w:lineRule="auto"/>
        <w:ind w:firstLine="480" w:firstLineChars="200"/>
        <w:outlineLvl w:val="0"/>
        <w:rPr>
          <w:rFonts w:ascii="仿宋" w:hAnsi="仿宋" w:eastAsia="仿宋"/>
          <w:sz w:val="24"/>
        </w:rPr>
      </w:pPr>
      <w:bookmarkStart w:id="173" w:name="_Toc30083"/>
      <w:r>
        <w:rPr>
          <w:rFonts w:hint="eastAsia" w:ascii="仿宋" w:hAnsi="仿宋" w:eastAsia="仿宋"/>
          <w:sz w:val="24"/>
        </w:rPr>
        <w:t>第一责任人：</w:t>
      </w:r>
      <w:r>
        <w:rPr>
          <w:rFonts w:hint="eastAsia" w:ascii="仿宋" w:hAnsi="仿宋" w:eastAsia="仿宋"/>
          <w:sz w:val="24"/>
          <w:u w:val="single"/>
        </w:rPr>
        <w:t xml:space="preserve">                       </w:t>
      </w:r>
      <w:r>
        <w:rPr>
          <w:rFonts w:hint="eastAsia" w:ascii="仿宋" w:hAnsi="仿宋" w:eastAsia="仿宋"/>
          <w:sz w:val="24"/>
        </w:rPr>
        <w:t>；</w:t>
      </w:r>
      <w:bookmarkEnd w:id="173"/>
    </w:p>
    <w:p>
      <w:pPr>
        <w:spacing w:line="300" w:lineRule="auto"/>
        <w:ind w:firstLine="480" w:firstLineChars="200"/>
        <w:rPr>
          <w:rFonts w:ascii="仿宋" w:hAnsi="仿宋" w:eastAsia="仿宋"/>
          <w:sz w:val="24"/>
        </w:rPr>
      </w:pPr>
      <w:r>
        <w:rPr>
          <w:rFonts w:hint="eastAsia" w:ascii="仿宋" w:hAnsi="仿宋" w:eastAsia="仿宋"/>
          <w:sz w:val="24"/>
        </w:rPr>
        <w:t>主要责任人：</w:t>
      </w:r>
      <w:r>
        <w:rPr>
          <w:rFonts w:hint="eastAsia" w:ascii="仿宋" w:hAnsi="仿宋" w:eastAsia="仿宋"/>
          <w:sz w:val="24"/>
          <w:u w:val="single"/>
        </w:rPr>
        <w:t xml:space="preserve">                       </w:t>
      </w:r>
      <w:r>
        <w:rPr>
          <w:rFonts w:hint="eastAsia" w:ascii="仿宋" w:hAnsi="仿宋" w:eastAsia="仿宋"/>
          <w:sz w:val="24"/>
        </w:rPr>
        <w:t>；</w:t>
      </w:r>
    </w:p>
    <w:p>
      <w:pPr>
        <w:spacing w:line="300" w:lineRule="auto"/>
        <w:ind w:firstLine="480" w:firstLineChars="200"/>
        <w:rPr>
          <w:rFonts w:ascii="仿宋" w:hAnsi="仿宋" w:eastAsia="仿宋"/>
          <w:sz w:val="24"/>
        </w:rPr>
      </w:pPr>
      <w:r>
        <w:rPr>
          <w:rFonts w:hint="eastAsia" w:ascii="仿宋" w:hAnsi="仿宋" w:eastAsia="仿宋"/>
          <w:sz w:val="24"/>
        </w:rPr>
        <w:t>具体责任人：</w:t>
      </w:r>
      <w:r>
        <w:rPr>
          <w:rFonts w:hint="eastAsia" w:ascii="仿宋" w:hAnsi="仿宋" w:eastAsia="仿宋"/>
          <w:sz w:val="24"/>
          <w:u w:val="single"/>
        </w:rPr>
        <w:t xml:space="preserve">                       </w:t>
      </w:r>
      <w:r>
        <w:rPr>
          <w:rFonts w:hint="eastAsia" w:ascii="仿宋" w:hAnsi="仿宋" w:eastAsia="仿宋"/>
          <w:sz w:val="24"/>
        </w:rPr>
        <w:t>；</w:t>
      </w:r>
    </w:p>
    <w:p>
      <w:pPr>
        <w:spacing w:line="300" w:lineRule="auto"/>
        <w:ind w:firstLine="480" w:firstLineChars="200"/>
        <w:rPr>
          <w:rFonts w:ascii="仿宋" w:hAnsi="仿宋" w:eastAsia="仿宋"/>
          <w:sz w:val="24"/>
        </w:rPr>
      </w:pPr>
      <w:r>
        <w:rPr>
          <w:rFonts w:hint="eastAsia" w:ascii="仿宋" w:hAnsi="仿宋" w:eastAsia="仿宋"/>
          <w:sz w:val="24"/>
        </w:rPr>
        <w:t>连带责任人：</w:t>
      </w:r>
      <w:r>
        <w:rPr>
          <w:rFonts w:hint="eastAsia" w:ascii="仿宋" w:hAnsi="仿宋" w:eastAsia="仿宋"/>
          <w:sz w:val="24"/>
          <w:u w:val="single"/>
        </w:rPr>
        <w:t xml:space="preserve">                       </w:t>
      </w:r>
      <w:r>
        <w:rPr>
          <w:rFonts w:hint="eastAsia" w:ascii="仿宋" w:hAnsi="仿宋" w:eastAsia="仿宋"/>
          <w:sz w:val="24"/>
        </w:rPr>
        <w:t>；</w:t>
      </w:r>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rPr>
          <w:rFonts w:eastAsia="宋体"/>
          <w:highlight w:val="none"/>
        </w:rPr>
      </w:pPr>
    </w:p>
    <w:p>
      <w:pPr>
        <w:rPr>
          <w:rFonts w:eastAsia="宋体"/>
          <w:highlight w:val="none"/>
        </w:rPr>
      </w:pPr>
    </w:p>
    <w:p>
      <w:pPr>
        <w:pStyle w:val="3"/>
        <w:spacing w:line="600" w:lineRule="exact"/>
        <w:jc w:val="center"/>
        <w:rPr>
          <w:rFonts w:hint="eastAsia" w:ascii="宋体" w:hAnsi="宋体" w:eastAsia="宋体" w:cs="宋体"/>
          <w:color w:val="auto"/>
          <w:sz w:val="24"/>
          <w:szCs w:val="24"/>
          <w:highlight w:val="none"/>
        </w:rPr>
      </w:pPr>
    </w:p>
    <w:p>
      <w:pPr>
        <w:pStyle w:val="3"/>
        <w:spacing w:line="600" w:lineRule="exact"/>
        <w:jc w:val="center"/>
        <w:rPr>
          <w:rFonts w:hint="eastAsia" w:ascii="宋体" w:hAnsi="宋体" w:eastAsia="宋体" w:cs="宋体"/>
          <w:color w:val="auto"/>
          <w:sz w:val="24"/>
          <w:szCs w:val="24"/>
          <w:highlight w:val="none"/>
        </w:rPr>
        <w:sectPr>
          <w:footerReference r:id="rId7" w:type="default"/>
          <w:pgSz w:w="11906" w:h="16838"/>
          <w:pgMar w:top="1440" w:right="1800" w:bottom="1440" w:left="1800" w:header="851" w:footer="992" w:gutter="0"/>
          <w:pgNumType w:fmt="decimal"/>
          <w:cols w:space="720" w:num="1"/>
          <w:docGrid w:type="lines" w:linePitch="312" w:charSpace="0"/>
        </w:sectPr>
      </w:pPr>
    </w:p>
    <w:p>
      <w:pPr>
        <w:pStyle w:val="3"/>
        <w:spacing w:line="600" w:lineRule="exact"/>
        <w:jc w:val="center"/>
        <w:rPr>
          <w:rFonts w:hint="eastAsia" w:asciiTheme="majorEastAsia" w:hAnsiTheme="majorEastAsia" w:eastAsiaTheme="majorEastAsia" w:cstheme="majorEastAsia"/>
          <w:color w:val="auto"/>
          <w:sz w:val="24"/>
          <w:szCs w:val="24"/>
          <w:highlight w:val="none"/>
        </w:rPr>
      </w:pPr>
      <w:bookmarkStart w:id="174" w:name="_Toc16024"/>
      <w:r>
        <w:rPr>
          <w:rFonts w:hint="eastAsia" w:asciiTheme="majorEastAsia" w:hAnsiTheme="majorEastAsia" w:eastAsiaTheme="majorEastAsia" w:cstheme="majorEastAsia"/>
          <w:color w:val="auto"/>
          <w:sz w:val="24"/>
          <w:szCs w:val="24"/>
          <w:highlight w:val="none"/>
        </w:rPr>
        <w:t>第</w:t>
      </w:r>
      <w:r>
        <w:rPr>
          <w:rFonts w:hint="eastAsia" w:asciiTheme="majorEastAsia" w:hAnsiTheme="majorEastAsia" w:eastAsiaTheme="majorEastAsia" w:cstheme="majorEastAsia"/>
          <w:color w:val="auto"/>
          <w:sz w:val="24"/>
          <w:szCs w:val="24"/>
          <w:highlight w:val="none"/>
          <w:lang w:eastAsia="zh-CN"/>
        </w:rPr>
        <w:t>五</w:t>
      </w:r>
      <w:r>
        <w:rPr>
          <w:rFonts w:hint="eastAsia" w:asciiTheme="majorEastAsia" w:hAnsiTheme="majorEastAsia" w:eastAsiaTheme="majorEastAsia" w:cstheme="majorEastAsia"/>
          <w:color w:val="auto"/>
          <w:sz w:val="24"/>
          <w:szCs w:val="24"/>
          <w:highlight w:val="none"/>
        </w:rPr>
        <w:t>章技术标准和要求</w:t>
      </w:r>
      <w:bookmarkEnd w:id="174"/>
    </w:p>
    <w:p>
      <w:pPr>
        <w:spacing w:line="6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黄埔区水务局水利设施维修</w:t>
      </w:r>
      <w:r>
        <w:rPr>
          <w:rFonts w:hint="eastAsia" w:ascii="宋体" w:hAnsi="宋体" w:eastAsia="宋体" w:cs="宋体"/>
          <w:b w:val="0"/>
          <w:bCs w:val="0"/>
          <w:color w:val="auto"/>
          <w:sz w:val="24"/>
          <w:szCs w:val="24"/>
          <w:highlight w:val="none"/>
          <w:lang w:eastAsia="zh-CN"/>
        </w:rPr>
        <w:t>改造</w:t>
      </w:r>
      <w:r>
        <w:rPr>
          <w:rFonts w:hint="eastAsia" w:ascii="宋体" w:hAnsi="宋体" w:eastAsia="宋体" w:cs="宋体"/>
          <w:b w:val="0"/>
          <w:bCs w:val="0"/>
          <w:color w:val="auto"/>
          <w:sz w:val="24"/>
          <w:szCs w:val="24"/>
          <w:highlight w:val="none"/>
        </w:rPr>
        <w:t>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年修订）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highlight w:val="none"/>
        </w:rPr>
      </w:pP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cs="宋体"/>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第一条 </w:t>
      </w:r>
      <w:r>
        <w:rPr>
          <w:rFonts w:hint="eastAsia" w:ascii="宋体" w:hAnsi="宋体" w:eastAsia="宋体" w:cs="宋体"/>
          <w:color w:val="auto"/>
          <w:sz w:val="24"/>
          <w:szCs w:val="24"/>
          <w:highlight w:val="none"/>
        </w:rPr>
        <w:t>为加强我局水利设施的维护管理工作，提高管理水平，及时高效地对水利设施进行维修改造</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根据国家、省、市和区的有关法律、法规和规定，结合水利设施维修改造施工任务急、规模小、施工点随机性大、分散和突发性强的工作实际，制定本办法。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第二条 </w:t>
      </w:r>
      <w:r>
        <w:rPr>
          <w:rFonts w:hint="eastAsia" w:ascii="宋体" w:hAnsi="宋体" w:eastAsia="宋体" w:cs="宋体"/>
          <w:color w:val="auto"/>
          <w:sz w:val="24"/>
          <w:szCs w:val="24"/>
          <w:highlight w:val="none"/>
        </w:rPr>
        <w:t>本办法适用于黄埔区内已投入运行的、使用财政维修养护资金且承担公益性任务的水利工程及其附属设施、设备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水文设施</w:t>
      </w:r>
      <w:r>
        <w:rPr>
          <w:rFonts w:hint="eastAsia" w:ascii="宋体" w:hAnsi="宋体" w:eastAsia="宋体" w:cs="宋体"/>
          <w:color w:val="auto"/>
          <w:sz w:val="24"/>
          <w:szCs w:val="24"/>
          <w:highlight w:val="none"/>
        </w:rPr>
        <w:t>的维修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，以及河</w:t>
      </w:r>
      <w:r>
        <w:rPr>
          <w:rFonts w:hint="eastAsia" w:ascii="宋体" w:hAnsi="宋体" w:eastAsia="宋体" w:cs="宋体"/>
          <w:color w:val="auto"/>
          <w:sz w:val="24"/>
          <w:szCs w:val="24"/>
          <w:highlight w:val="none"/>
          <w:lang w:eastAsia="zh-CN"/>
        </w:rPr>
        <w:t>（湖）</w:t>
      </w:r>
      <w:r>
        <w:rPr>
          <w:rFonts w:hint="eastAsia" w:ascii="宋体" w:hAnsi="宋体" w:eastAsia="宋体" w:cs="宋体"/>
          <w:color w:val="auto"/>
          <w:sz w:val="24"/>
          <w:szCs w:val="24"/>
          <w:highlight w:val="none"/>
        </w:rPr>
        <w:t>疏浚、河涌(含湖泊）管理范围内的绿化</w:t>
      </w:r>
      <w:r>
        <w:rPr>
          <w:rFonts w:hint="eastAsia" w:ascii="宋体" w:hAnsi="宋体" w:eastAsia="宋体" w:cs="宋体"/>
          <w:color w:val="auto"/>
          <w:sz w:val="24"/>
          <w:szCs w:val="24"/>
          <w:highlight w:val="none"/>
          <w:lang w:val="en-US" w:eastAsia="zh-CN"/>
        </w:rPr>
        <w:t>及附属设施的</w:t>
      </w:r>
      <w:r>
        <w:rPr>
          <w:rFonts w:hint="eastAsia" w:ascii="宋体" w:hAnsi="宋体" w:eastAsia="宋体" w:cs="宋体"/>
          <w:color w:val="auto"/>
          <w:sz w:val="24"/>
          <w:szCs w:val="24"/>
          <w:highlight w:val="none"/>
        </w:rPr>
        <w:t>升级改造、截水沟、山洪沟维</w:t>
      </w:r>
      <w:r>
        <w:rPr>
          <w:rFonts w:hint="eastAsia" w:ascii="宋体" w:hAnsi="宋体" w:eastAsia="宋体" w:cs="宋体"/>
          <w:color w:val="auto"/>
          <w:sz w:val="24"/>
          <w:szCs w:val="24"/>
          <w:highlight w:val="none"/>
          <w:lang w:eastAsia="zh-CN"/>
        </w:rPr>
        <w:t>修</w:t>
      </w:r>
      <w:r>
        <w:rPr>
          <w:rFonts w:hint="eastAsia" w:ascii="宋体" w:hAnsi="宋体" w:eastAsia="宋体" w:cs="宋体"/>
          <w:color w:val="auto"/>
          <w:sz w:val="24"/>
          <w:szCs w:val="24"/>
          <w:highlight w:val="none"/>
        </w:rPr>
        <w:t>等工作。其他水利设施的维修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，参照本办法执行。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第三条 </w:t>
      </w:r>
      <w:r>
        <w:rPr>
          <w:rFonts w:hint="eastAsia" w:ascii="宋体" w:hAnsi="宋体" w:eastAsia="宋体" w:cs="宋体"/>
          <w:color w:val="auto"/>
          <w:sz w:val="24"/>
          <w:szCs w:val="24"/>
          <w:highlight w:val="none"/>
        </w:rPr>
        <w:t>水利设施维修改造养护实行区水务设施管理所负责、监理单位控制、施工单位保证和区水务局监督相结合的监督管理体制。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第四条 </w:t>
      </w:r>
      <w:r>
        <w:rPr>
          <w:rFonts w:hint="eastAsia" w:ascii="宋体" w:hAnsi="宋体" w:eastAsia="宋体" w:cs="宋体"/>
          <w:color w:val="auto"/>
          <w:sz w:val="24"/>
          <w:szCs w:val="24"/>
          <w:highlight w:val="none"/>
        </w:rPr>
        <w:t>区水务设施管理所负责区内水利设施维修改造的具体组织和实施，是水利设施维修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的第一责任人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区水务局负责对水利设施维修改造</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监督指导。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第五条 </w:t>
      </w:r>
      <w:r>
        <w:rPr>
          <w:rFonts w:hint="eastAsia" w:ascii="宋体" w:hAnsi="宋体" w:eastAsia="宋体" w:cs="宋体"/>
          <w:color w:val="auto"/>
          <w:sz w:val="24"/>
          <w:szCs w:val="24"/>
          <w:highlight w:val="none"/>
        </w:rPr>
        <w:t>区水务设施管理所依照国家、地方法律法规及行业规范对承担水利设施维修改造</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单位开展</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管理，</w:t>
      </w:r>
      <w:r>
        <w:rPr>
          <w:rFonts w:hint="eastAsia" w:ascii="宋体" w:hAnsi="宋体" w:eastAsia="宋体" w:cs="宋体"/>
          <w:color w:val="auto"/>
          <w:sz w:val="24"/>
          <w:szCs w:val="24"/>
          <w:highlight w:val="none"/>
          <w:lang w:eastAsia="zh-CN"/>
        </w:rPr>
        <w:t>督促</w:t>
      </w:r>
      <w:r>
        <w:rPr>
          <w:rFonts w:hint="eastAsia" w:ascii="宋体" w:hAnsi="宋体" w:eastAsia="宋体" w:cs="宋体"/>
          <w:color w:val="auto"/>
          <w:sz w:val="24"/>
          <w:szCs w:val="24"/>
          <w:highlight w:val="none"/>
        </w:rPr>
        <w:t>维修改造监理</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履行合同约定，保质保量按期做好</w:t>
      </w:r>
      <w:r>
        <w:rPr>
          <w:rFonts w:hint="eastAsia" w:ascii="宋体" w:hAnsi="宋体" w:eastAsia="宋体" w:cs="宋体"/>
          <w:color w:val="auto"/>
          <w:sz w:val="24"/>
          <w:szCs w:val="24"/>
          <w:highlight w:val="none"/>
          <w:lang w:eastAsia="zh-CN"/>
        </w:rPr>
        <w:t>水利设施</w:t>
      </w:r>
      <w:r>
        <w:rPr>
          <w:rFonts w:hint="eastAsia" w:ascii="宋体" w:hAnsi="宋体" w:eastAsia="宋体" w:cs="宋体"/>
          <w:color w:val="auto"/>
          <w:sz w:val="24"/>
          <w:szCs w:val="24"/>
          <w:highlight w:val="none"/>
        </w:rPr>
        <w:t>维修改造工作。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第三章  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第六条 </w:t>
      </w:r>
      <w:r>
        <w:rPr>
          <w:rFonts w:hint="eastAsia" w:ascii="宋体" w:hAnsi="宋体" w:eastAsia="宋体" w:cs="宋体"/>
          <w:color w:val="auto"/>
          <w:sz w:val="24"/>
          <w:szCs w:val="24"/>
          <w:highlight w:val="none"/>
        </w:rPr>
        <w:t>区水务设施管理所根据水利设施运行情况，依据国家、省、市行业部门有关维修养护定额，编制下一年度水利</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维修改造预算，</w:t>
      </w:r>
      <w:r>
        <w:rPr>
          <w:rFonts w:hint="eastAsia" w:ascii="宋体" w:hAnsi="宋体" w:eastAsia="宋体" w:cs="宋体"/>
          <w:color w:val="auto"/>
          <w:sz w:val="24"/>
          <w:szCs w:val="24"/>
          <w:highlight w:val="none"/>
          <w:lang w:eastAsia="zh-CN"/>
        </w:rPr>
        <w:t>纳入管理所年度部门预算。区水务设施管理所负责制定</w:t>
      </w:r>
      <w:r>
        <w:rPr>
          <w:rFonts w:hint="eastAsia" w:ascii="宋体" w:hAnsi="宋体" w:eastAsia="宋体" w:cs="宋体"/>
          <w:color w:val="auto"/>
          <w:sz w:val="24"/>
          <w:szCs w:val="24"/>
          <w:highlight w:val="none"/>
        </w:rPr>
        <w:t>水利</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年度维修改造</w:t>
      </w:r>
      <w:r>
        <w:rPr>
          <w:rFonts w:hint="eastAsia" w:ascii="宋体" w:hAnsi="宋体" w:eastAsia="宋体" w:cs="宋体"/>
          <w:color w:val="auto"/>
          <w:sz w:val="24"/>
          <w:szCs w:val="24"/>
          <w:highlight w:val="none"/>
          <w:lang w:eastAsia="zh-CN"/>
        </w:rPr>
        <w:t>计划，报区水务局备案</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第七条 </w:t>
      </w:r>
      <w:r>
        <w:rPr>
          <w:rFonts w:hint="eastAsia" w:ascii="宋体" w:hAnsi="宋体" w:eastAsia="宋体" w:cs="宋体"/>
          <w:color w:val="auto"/>
          <w:sz w:val="24"/>
          <w:szCs w:val="24"/>
          <w:highlight w:val="none"/>
        </w:rPr>
        <w:t>为便于管理，水利设施维修改造任务由区水务设施管理所公开招标确定的维修单位负责具体实施，每次招标合同期限原则上不超过三年。维修改造工作由区水务设施管理所以任务通知书的形式下发给维修单位，费用按实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第八条 </w:t>
      </w:r>
      <w:r>
        <w:rPr>
          <w:rFonts w:hint="eastAsia" w:ascii="宋体" w:hAnsi="宋体" w:eastAsia="宋体" w:cs="宋体"/>
          <w:color w:val="auto"/>
          <w:sz w:val="24"/>
          <w:szCs w:val="24"/>
          <w:highlight w:val="none"/>
        </w:rPr>
        <w:t>为便于工程管理和计量支付，区水务设施管理所依据法律法规招标确定一家监理单位承担监理工作。监理单位负责审</w:t>
      </w:r>
      <w:r>
        <w:rPr>
          <w:rFonts w:hint="eastAsia" w:ascii="宋体" w:hAnsi="宋体" w:eastAsia="宋体" w:cs="宋体"/>
          <w:color w:val="auto"/>
          <w:sz w:val="24"/>
          <w:szCs w:val="24"/>
          <w:highlight w:val="none"/>
          <w:lang w:eastAsia="zh-CN"/>
        </w:rPr>
        <w:t>核</w:t>
      </w:r>
      <w:r>
        <w:rPr>
          <w:rFonts w:hint="eastAsia" w:ascii="宋体" w:hAnsi="宋体" w:eastAsia="宋体" w:cs="宋体"/>
          <w:color w:val="auto"/>
          <w:sz w:val="24"/>
          <w:szCs w:val="24"/>
          <w:highlight w:val="none"/>
        </w:rPr>
        <w:t>维修改造方案，对施工质量、进度、资金、安全生产、文明施工、环境保护等进行</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管理。监理服务费按工程监理收费有关规定执行，计费方式以区财政局批复的结算金额作为计价基数，按季度支付。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第九条 </w:t>
      </w:r>
      <w:r>
        <w:rPr>
          <w:rFonts w:hint="eastAsia" w:ascii="宋体" w:hAnsi="宋体" w:eastAsia="宋体" w:cs="宋体"/>
          <w:color w:val="auto"/>
          <w:sz w:val="24"/>
          <w:szCs w:val="24"/>
          <w:highlight w:val="none"/>
          <w:lang w:eastAsia="zh-CN"/>
        </w:rPr>
        <w:t>水利设施</w:t>
      </w:r>
      <w:r>
        <w:rPr>
          <w:rFonts w:hint="eastAsia" w:ascii="宋体" w:hAnsi="宋体" w:eastAsia="宋体" w:cs="宋体"/>
          <w:color w:val="auto"/>
          <w:sz w:val="24"/>
          <w:szCs w:val="24"/>
          <w:highlight w:val="none"/>
        </w:rPr>
        <w:t>维修改造任务的</w:t>
      </w:r>
      <w:r>
        <w:rPr>
          <w:rFonts w:hint="eastAsia" w:ascii="宋体" w:hAnsi="宋体" w:eastAsia="宋体" w:cs="宋体"/>
          <w:color w:val="auto"/>
          <w:sz w:val="24"/>
          <w:szCs w:val="24"/>
          <w:highlight w:val="none"/>
          <w:lang w:eastAsia="zh-CN"/>
        </w:rPr>
        <w:t>来源</w:t>
      </w:r>
      <w:r>
        <w:rPr>
          <w:rFonts w:hint="eastAsia" w:ascii="宋体" w:hAnsi="宋体" w:eastAsia="宋体" w:cs="宋体"/>
          <w:color w:val="auto"/>
          <w:sz w:val="24"/>
          <w:szCs w:val="24"/>
          <w:highlight w:val="none"/>
        </w:rPr>
        <w:t>：1.上级部门发来的督办整改通知书或通报；2.巡查、检测发现需要维修改造的问题；3.水利设施养护单位、街道、社区来文提出的需要维修改造的问题；4.来自于12345或12319系统、网上微博投诉、信访件等反映需要维修改造的问题；5.在创文活动中区创建办或其他创建成员单位巡查发现须由我局实施的应急维修改造；6.迎接各级检查须由我局实施的应急维修改造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第十条 </w:t>
      </w:r>
      <w:r>
        <w:rPr>
          <w:rFonts w:hint="eastAsia" w:ascii="宋体" w:hAnsi="宋体" w:eastAsia="宋体" w:cs="宋体"/>
          <w:color w:val="auto"/>
          <w:sz w:val="24"/>
          <w:szCs w:val="24"/>
          <w:highlight w:val="none"/>
        </w:rPr>
        <w:t>区水务设施管理所</w:t>
      </w:r>
      <w:r>
        <w:rPr>
          <w:rFonts w:hint="eastAsia" w:ascii="宋体" w:hAnsi="宋体" w:eastAsia="宋体" w:cs="宋体"/>
          <w:color w:val="auto"/>
          <w:sz w:val="24"/>
          <w:szCs w:val="24"/>
          <w:highlight w:val="none"/>
          <w:lang w:eastAsia="zh-CN"/>
        </w:rPr>
        <w:t>负责</w:t>
      </w:r>
      <w:r>
        <w:rPr>
          <w:rFonts w:hint="eastAsia" w:ascii="宋体" w:hAnsi="宋体" w:eastAsia="宋体" w:cs="宋体"/>
          <w:color w:val="auto"/>
          <w:sz w:val="24"/>
          <w:szCs w:val="24"/>
          <w:highlight w:val="none"/>
        </w:rPr>
        <w:t>建立</w:t>
      </w:r>
      <w:r>
        <w:rPr>
          <w:rFonts w:hint="eastAsia" w:ascii="宋体" w:hAnsi="宋体" w:eastAsia="宋体" w:cs="宋体"/>
          <w:color w:val="auto"/>
          <w:sz w:val="24"/>
          <w:szCs w:val="24"/>
          <w:highlight w:val="none"/>
          <w:lang w:eastAsia="zh-CN"/>
        </w:rPr>
        <w:t>和完善</w:t>
      </w:r>
      <w:r>
        <w:rPr>
          <w:rFonts w:hint="eastAsia" w:ascii="宋体" w:hAnsi="宋体" w:eastAsia="宋体" w:cs="宋体"/>
          <w:color w:val="auto"/>
          <w:sz w:val="24"/>
          <w:szCs w:val="24"/>
          <w:highlight w:val="none"/>
        </w:rPr>
        <w:t>水利设施维修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管理制度。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第四章 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第十一条 </w:t>
      </w:r>
      <w:r>
        <w:rPr>
          <w:rFonts w:hint="eastAsia" w:ascii="宋体" w:hAnsi="宋体" w:eastAsia="宋体" w:cs="宋体"/>
          <w:color w:val="auto"/>
          <w:sz w:val="24"/>
          <w:szCs w:val="24"/>
          <w:highlight w:val="none"/>
        </w:rPr>
        <w:t>维修改造任务的批准及</w:t>
      </w:r>
      <w:r>
        <w:rPr>
          <w:rFonts w:hint="eastAsia" w:ascii="宋体" w:hAnsi="宋体" w:eastAsia="宋体" w:cs="宋体"/>
          <w:color w:val="auto"/>
          <w:sz w:val="24"/>
          <w:szCs w:val="24"/>
          <w:highlight w:val="none"/>
          <w:lang w:eastAsia="zh-CN"/>
        </w:rPr>
        <w:t>估</w:t>
      </w:r>
      <w:r>
        <w:rPr>
          <w:rFonts w:hint="eastAsia" w:ascii="宋体" w:hAnsi="宋体" w:eastAsia="宋体" w:cs="宋体"/>
          <w:color w:val="auto"/>
          <w:sz w:val="24"/>
          <w:szCs w:val="24"/>
          <w:highlight w:val="none"/>
        </w:rPr>
        <w:t>算价的确定：区水务设施管理所组织编制维修改造任务通知书（附任务依据、现场照片、历次维修记录、实施方案等），报经局主管科室审核和局领导批准后实施；维修改造施工单位组织编制工程预算，报经监理单位审核，以监理审定价作为工程</w:t>
      </w:r>
      <w:r>
        <w:rPr>
          <w:rFonts w:hint="eastAsia" w:ascii="宋体" w:hAnsi="宋体" w:eastAsia="宋体" w:cs="宋体"/>
          <w:color w:val="auto"/>
          <w:sz w:val="24"/>
          <w:szCs w:val="24"/>
          <w:highlight w:val="none"/>
          <w:lang w:eastAsia="zh-CN"/>
        </w:rPr>
        <w:t>估</w:t>
      </w:r>
      <w:r>
        <w:rPr>
          <w:rFonts w:hint="eastAsia" w:ascii="宋体" w:hAnsi="宋体" w:eastAsia="宋体" w:cs="宋体"/>
          <w:color w:val="auto"/>
          <w:sz w:val="24"/>
          <w:szCs w:val="24"/>
          <w:highlight w:val="none"/>
        </w:rPr>
        <w:t>算价。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第十二条 </w:t>
      </w:r>
      <w:r>
        <w:rPr>
          <w:rFonts w:hint="eastAsia" w:ascii="宋体" w:hAnsi="宋体" w:eastAsia="宋体" w:cs="宋体"/>
          <w:color w:val="auto"/>
          <w:sz w:val="24"/>
          <w:szCs w:val="24"/>
          <w:highlight w:val="none"/>
        </w:rPr>
        <w:t>维修改造任务通知书经区水务局批准后，由区水务设施管理所下达给监理单位和维修改造</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单位。维修改造</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单位接到通知书后严格按任务通知书要求实施维修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监理单位根据监理合同进行全过程监理。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第五章 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第十三条 </w:t>
      </w:r>
      <w:r>
        <w:rPr>
          <w:rFonts w:hint="eastAsia" w:ascii="宋体" w:hAnsi="宋体" w:eastAsia="宋体" w:cs="宋体"/>
          <w:color w:val="auto"/>
          <w:sz w:val="24"/>
          <w:szCs w:val="24"/>
          <w:highlight w:val="none"/>
        </w:rPr>
        <w:t>水利设施维修改造任务完成后，由区水务设施管理所</w:t>
      </w:r>
      <w:r>
        <w:rPr>
          <w:rFonts w:hint="eastAsia" w:ascii="宋体" w:hAnsi="宋体" w:eastAsia="宋体" w:cs="宋体"/>
          <w:color w:val="auto"/>
          <w:sz w:val="24"/>
          <w:szCs w:val="24"/>
          <w:highlight w:val="none"/>
          <w:lang w:eastAsia="zh-CN"/>
        </w:rPr>
        <w:t>按季度</w:t>
      </w:r>
      <w:r>
        <w:rPr>
          <w:rFonts w:hint="eastAsia" w:ascii="宋体" w:hAnsi="宋体" w:eastAsia="宋体" w:cs="宋体"/>
          <w:color w:val="auto"/>
          <w:sz w:val="24"/>
          <w:szCs w:val="24"/>
          <w:highlight w:val="none"/>
        </w:rPr>
        <w:t>组织</w:t>
      </w:r>
      <w:r>
        <w:rPr>
          <w:rFonts w:hint="eastAsia" w:ascii="宋体" w:hAnsi="宋体" w:eastAsia="宋体" w:cs="宋体"/>
          <w:color w:val="auto"/>
          <w:sz w:val="24"/>
          <w:szCs w:val="24"/>
          <w:highlight w:val="none"/>
          <w:lang w:eastAsia="zh-CN"/>
        </w:rPr>
        <w:t>区水务局（水利科）</w:t>
      </w:r>
      <w:r>
        <w:rPr>
          <w:rFonts w:hint="eastAsia" w:ascii="宋体" w:hAnsi="宋体" w:eastAsia="宋体" w:cs="宋体"/>
          <w:color w:val="auto"/>
          <w:sz w:val="24"/>
          <w:szCs w:val="24"/>
          <w:highlight w:val="none"/>
        </w:rPr>
        <w:t>、监理、施工</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rPr>
        <w:t>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第十四条 </w:t>
      </w:r>
      <w:r>
        <w:rPr>
          <w:rFonts w:hint="eastAsia" w:ascii="宋体" w:hAnsi="宋体" w:eastAsia="宋体" w:cs="宋体"/>
          <w:color w:val="auto"/>
          <w:sz w:val="24"/>
          <w:szCs w:val="24"/>
          <w:highlight w:val="none"/>
        </w:rPr>
        <w:t>维修改造任务完工验收后按季度汇总支付至工程预算价（即监理审</w:t>
      </w:r>
      <w:r>
        <w:rPr>
          <w:rFonts w:hint="eastAsia" w:ascii="宋体" w:hAnsi="宋体" w:eastAsia="宋体" w:cs="宋体"/>
          <w:color w:val="auto"/>
          <w:sz w:val="24"/>
          <w:szCs w:val="24"/>
          <w:highlight w:val="none"/>
          <w:lang w:eastAsia="zh-CN"/>
        </w:rPr>
        <w:t>核</w:t>
      </w:r>
      <w:r>
        <w:rPr>
          <w:rFonts w:hint="eastAsia" w:ascii="宋体" w:hAnsi="宋体" w:eastAsia="宋体" w:cs="宋体"/>
          <w:color w:val="auto"/>
          <w:sz w:val="24"/>
          <w:szCs w:val="24"/>
          <w:highlight w:val="none"/>
        </w:rPr>
        <w:t>价）的50%</w:t>
      </w:r>
      <w:bookmarkStart w:id="175" w:name="OLE_LINK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区财政局</w:t>
      </w:r>
      <w:bookmarkEnd w:id="175"/>
      <w:r>
        <w:rPr>
          <w:rFonts w:hint="eastAsia" w:ascii="宋体" w:hAnsi="宋体" w:eastAsia="宋体" w:cs="宋体"/>
          <w:color w:val="auto"/>
          <w:sz w:val="24"/>
          <w:szCs w:val="24"/>
          <w:highlight w:val="none"/>
        </w:rPr>
        <w:t>审定结算后，支付至审定价的95%，质保期结束后支付至100%。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第十五条 </w:t>
      </w:r>
      <w:r>
        <w:rPr>
          <w:rFonts w:hint="eastAsia" w:ascii="宋体" w:hAnsi="宋体" w:eastAsia="宋体" w:cs="宋体"/>
          <w:color w:val="auto"/>
          <w:sz w:val="24"/>
          <w:szCs w:val="24"/>
          <w:highlight w:val="none"/>
        </w:rPr>
        <w:t>维修改造任务</w:t>
      </w:r>
      <w:r>
        <w:rPr>
          <w:rFonts w:hint="eastAsia" w:ascii="宋体" w:hAnsi="宋体" w:eastAsia="宋体" w:cs="宋体"/>
          <w:color w:val="auto"/>
          <w:sz w:val="24"/>
          <w:szCs w:val="24"/>
          <w:highlight w:val="none"/>
          <w:lang w:eastAsia="zh-CN"/>
        </w:rPr>
        <w:t>按季度</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eastAsia="zh-CN"/>
        </w:rPr>
        <w:t>，由施工单位</w:t>
      </w:r>
      <w:r>
        <w:rPr>
          <w:rFonts w:hint="eastAsia" w:ascii="宋体" w:hAnsi="宋体" w:eastAsia="宋体" w:cs="宋体"/>
          <w:color w:val="auto"/>
          <w:sz w:val="24"/>
          <w:szCs w:val="24"/>
          <w:highlight w:val="none"/>
        </w:rPr>
        <w:t>编制相应的结算书，报经监理单位、区水务设施管理所审核确认后，报</w:t>
      </w:r>
      <w:r>
        <w:rPr>
          <w:rFonts w:hint="eastAsia" w:ascii="宋体" w:hAnsi="宋体" w:eastAsia="宋体" w:cs="宋体"/>
          <w:color w:val="auto"/>
          <w:sz w:val="24"/>
          <w:szCs w:val="24"/>
          <w:highlight w:val="none"/>
          <w:lang w:eastAsia="zh-CN"/>
        </w:rPr>
        <w:t>送</w:t>
      </w:r>
      <w:r>
        <w:rPr>
          <w:rFonts w:hint="eastAsia" w:ascii="宋体" w:hAnsi="宋体" w:eastAsia="宋体" w:cs="宋体"/>
          <w:color w:val="auto"/>
          <w:sz w:val="24"/>
          <w:szCs w:val="24"/>
          <w:highlight w:val="none"/>
        </w:rPr>
        <w:t>区财政局审核，最终以区财政局审定价</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违约责任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第十六条</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color w:val="auto"/>
          <w:sz w:val="24"/>
          <w:szCs w:val="24"/>
          <w:highlight w:val="none"/>
        </w:rPr>
        <w:t>维修改造</w:t>
      </w:r>
      <w:r>
        <w:rPr>
          <w:rFonts w:hint="eastAsia" w:ascii="宋体" w:hAnsi="宋体" w:eastAsia="宋体" w:cs="宋体"/>
          <w:kern w:val="2"/>
          <w:sz w:val="24"/>
          <w:szCs w:val="24"/>
          <w:highlight w:val="none"/>
          <w:lang w:val="en-US" w:eastAsia="zh-CN" w:bidi="ar-SA"/>
        </w:rPr>
        <w:t>施工单位应严格遵守国家、省、市及黄埔区有关防火、爆破和施工安全以及文明施工、深夜施工、环卫和城市管理等规定，建立规章制度和防护措施，并组织施工，</w:t>
      </w:r>
      <w:r>
        <w:rPr>
          <w:rFonts w:hint="eastAsia" w:ascii="宋体" w:hAnsi="宋体" w:eastAsia="宋体" w:cs="宋体"/>
          <w:color w:val="auto"/>
          <w:sz w:val="24"/>
          <w:szCs w:val="24"/>
          <w:highlight w:val="none"/>
        </w:rPr>
        <w:t>监理单位</w:t>
      </w:r>
      <w:r>
        <w:rPr>
          <w:rFonts w:hint="eastAsia" w:ascii="宋体" w:hAnsi="宋体" w:eastAsia="宋体" w:cs="宋体"/>
          <w:color w:val="auto"/>
          <w:sz w:val="24"/>
          <w:szCs w:val="24"/>
          <w:highlight w:val="none"/>
          <w:lang w:val="en-US" w:eastAsia="zh-CN"/>
        </w:rPr>
        <w:t>对</w:t>
      </w:r>
      <w:r>
        <w:rPr>
          <w:rFonts w:hint="eastAsia" w:ascii="宋体" w:hAnsi="宋体" w:eastAsia="宋体" w:cs="宋体"/>
          <w:kern w:val="2"/>
          <w:sz w:val="24"/>
          <w:szCs w:val="24"/>
          <w:highlight w:val="none"/>
          <w:lang w:val="en-US" w:eastAsia="zh-CN" w:bidi="ar-SA"/>
        </w:rPr>
        <w:t>施工单位进行监督。在相关部门的检查中，</w:t>
      </w:r>
      <w:r>
        <w:rPr>
          <w:rFonts w:hint="eastAsia" w:ascii="宋体" w:hAnsi="宋体" w:eastAsia="宋体" w:cs="宋体"/>
          <w:color w:val="auto"/>
          <w:sz w:val="24"/>
          <w:szCs w:val="24"/>
          <w:highlight w:val="none"/>
        </w:rPr>
        <w:t>维修改造</w:t>
      </w:r>
      <w:r>
        <w:rPr>
          <w:rFonts w:hint="eastAsia" w:ascii="宋体" w:hAnsi="宋体" w:eastAsia="宋体" w:cs="宋体"/>
          <w:kern w:val="2"/>
          <w:sz w:val="24"/>
          <w:szCs w:val="24"/>
          <w:highlight w:val="none"/>
          <w:lang w:val="en-US" w:eastAsia="zh-CN" w:bidi="ar-SA"/>
        </w:rPr>
        <w:t>施工场地被评为不合格工地或被通报批评或者被新闻媒体曝光的，黄埔区水务局对</w:t>
      </w:r>
      <w:r>
        <w:rPr>
          <w:rFonts w:hint="eastAsia" w:ascii="宋体" w:hAnsi="宋体" w:eastAsia="宋体" w:cs="宋体"/>
          <w:sz w:val="24"/>
          <w:szCs w:val="24"/>
          <w:highlight w:val="none"/>
        </w:rPr>
        <w:t>区水务设施管理所</w:t>
      </w:r>
      <w:r>
        <w:rPr>
          <w:rFonts w:hint="eastAsia" w:ascii="宋体" w:hAnsi="宋体" w:eastAsia="宋体" w:cs="宋体"/>
          <w:sz w:val="24"/>
          <w:szCs w:val="24"/>
          <w:highlight w:val="none"/>
          <w:lang w:val="en-US" w:eastAsia="zh-CN"/>
        </w:rPr>
        <w:t>进行通报批评</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区水务设施管理所</w:t>
      </w:r>
      <w:r>
        <w:rPr>
          <w:rFonts w:hint="eastAsia" w:ascii="宋体" w:hAnsi="宋体" w:eastAsia="宋体" w:cs="宋体"/>
          <w:kern w:val="2"/>
          <w:sz w:val="24"/>
          <w:szCs w:val="24"/>
          <w:highlight w:val="none"/>
          <w:lang w:val="en-US" w:eastAsia="zh-CN" w:bidi="ar-SA"/>
        </w:rPr>
        <w:t>按5000元/次扣减施工单位违约金，按1000元/次扣减监理单位违约金。</w:t>
      </w:r>
      <w:r>
        <w:rPr>
          <w:rFonts w:hint="eastAsia" w:ascii="宋体" w:hAnsi="宋体" w:eastAsia="宋体" w:cs="宋体"/>
          <w:sz w:val="24"/>
          <w:szCs w:val="24"/>
          <w:highlight w:val="none"/>
        </w:rPr>
        <w:t>区水务设施管理所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监理单位督促施工</w:t>
      </w:r>
      <w:r>
        <w:rPr>
          <w:rFonts w:hint="eastAsia" w:ascii="宋体" w:hAnsi="宋体" w:eastAsia="宋体" w:cs="宋体"/>
          <w:color w:val="auto"/>
          <w:kern w:val="2"/>
          <w:sz w:val="24"/>
          <w:szCs w:val="24"/>
          <w:highlight w:val="none"/>
          <w:lang w:val="en-US" w:eastAsia="zh-CN" w:bidi="ar-SA"/>
        </w:rPr>
        <w:t>单位立即进行整改</w:t>
      </w:r>
      <w:r>
        <w:rPr>
          <w:rFonts w:hint="eastAsia" w:ascii="宋体" w:hAnsi="宋体" w:eastAsia="宋体" w:cs="宋体"/>
          <w:color w:val="auto"/>
          <w:sz w:val="24"/>
          <w:szCs w:val="24"/>
          <w:highlight w:val="none"/>
          <w:lang w:val="en-US" w:eastAsia="zh-CN"/>
        </w:rPr>
        <w:t>并填写整改情况表（详见附件）。同时，在</w:t>
      </w:r>
      <w:r>
        <w:rPr>
          <w:rFonts w:hint="eastAsia" w:ascii="宋体" w:hAnsi="宋体" w:eastAsia="宋体" w:cs="宋体"/>
          <w:color w:val="auto"/>
          <w:kern w:val="0"/>
          <w:sz w:val="24"/>
          <w:szCs w:val="24"/>
          <w:highlight w:val="none"/>
          <w:lang w:val="en-US" w:eastAsia="zh-CN" w:bidi="ar"/>
        </w:rPr>
        <w:t>发现问题起7日内</w:t>
      </w:r>
      <w:r>
        <w:rPr>
          <w:rFonts w:hint="eastAsia" w:ascii="宋体" w:hAnsi="宋体" w:eastAsia="宋体" w:cs="宋体"/>
          <w:color w:val="auto"/>
          <w:sz w:val="24"/>
          <w:szCs w:val="24"/>
          <w:highlight w:val="none"/>
          <w:lang w:val="en-US" w:eastAsia="zh-CN"/>
        </w:rPr>
        <w:t>将整改情况表通过书面形式报至黄埔区水务局。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附则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本办法所称的水利工程及其附属设施包括黄埔区管辖的水闸、泵站、河道（湖泊）堤防护坡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水文设施</w:t>
      </w:r>
      <w:r>
        <w:rPr>
          <w:rFonts w:hint="eastAsia" w:ascii="宋体" w:hAnsi="宋体" w:eastAsia="宋体" w:cs="宋体"/>
          <w:color w:val="auto"/>
          <w:sz w:val="24"/>
          <w:szCs w:val="24"/>
          <w:highlight w:val="none"/>
        </w:rPr>
        <w:t>等；本办法所称的山洪沟是指山丘区坡面小洪水通道，截水沟是指山坡明渠、暗渠、截洪沟、边沟边渠等；本办法中河（湖）疏浚仅限于工程量为2000立方米以下（包含2000立方米）的和（湖）疏浚。</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本办法自下发之日起实施，《黄埔区水务局水利设施维修管理办法》（修订）（穗埔水〔2018〕89号）同时废除。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本办法由区水务局负责解释。</w:t>
      </w:r>
    </w:p>
    <w:p>
      <w:pPr>
        <w:spacing w:line="360" w:lineRule="auto"/>
        <w:jc w:val="lef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3"/>
        <w:jc w:val="center"/>
        <w:rPr>
          <w:rFonts w:hint="eastAsia" w:ascii="宋体" w:hAnsi="宋体" w:eastAsia="宋体" w:cs="宋体"/>
          <w:color w:val="auto"/>
          <w:sz w:val="24"/>
          <w:szCs w:val="24"/>
          <w:highlight w:val="none"/>
        </w:rPr>
      </w:pPr>
      <w:bookmarkStart w:id="176" w:name="_Toc1681"/>
      <w:bookmarkStart w:id="177" w:name="_Toc7796"/>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章投标文件格式</w:t>
      </w:r>
      <w:bookmarkEnd w:id="176"/>
      <w:bookmarkEnd w:id="177"/>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注：本章《投标函》及《投标函附录》的格式，招标人应不加修改的应用。其他为参考格式，招标人可根据项目情况依法修改。</w:t>
      </w:r>
    </w:p>
    <w:p>
      <w:pPr>
        <w:spacing w:line="360" w:lineRule="auto"/>
        <w:jc w:val="left"/>
        <w:rPr>
          <w:rFonts w:hint="eastAsia" w:ascii="宋体" w:hAnsi="宋体" w:eastAsia="宋体" w:cs="宋体"/>
          <w:color w:val="auto"/>
          <w:sz w:val="24"/>
          <w:szCs w:val="24"/>
          <w:highlight w:val="none"/>
        </w:rPr>
      </w:pPr>
    </w:p>
    <w:p>
      <w:pPr>
        <w:widowControl/>
        <w:jc w:val="left"/>
        <w:rPr>
          <w:rFonts w:ascii="宋体" w:hAnsi="宋体"/>
          <w:color w:val="auto"/>
          <w:sz w:val="24"/>
          <w:highlight w:val="none"/>
        </w:rPr>
      </w:pPr>
      <w:r>
        <w:rPr>
          <w:rFonts w:hint="eastAsia" w:ascii="宋体" w:hAnsi="宋体" w:eastAsia="宋体" w:cs="宋体"/>
          <w:color w:val="auto"/>
          <w:sz w:val="24"/>
          <w:szCs w:val="24"/>
          <w:highlight w:val="none"/>
        </w:rPr>
        <w:br w:type="page"/>
      </w:r>
    </w:p>
    <w:p>
      <w:pPr>
        <w:pStyle w:val="3"/>
        <w:rPr>
          <w:highlight w:val="none"/>
        </w:rPr>
      </w:pP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spacing w:line="400" w:lineRule="exact"/>
        <w:jc w:val="center"/>
        <w:rPr>
          <w:rFonts w:ascii="宋体" w:hAnsi="宋体"/>
          <w:color w:val="auto"/>
          <w:sz w:val="27"/>
          <w:szCs w:val="27"/>
          <w:highlight w:val="none"/>
        </w:rPr>
      </w:pPr>
      <w:bookmarkStart w:id="178" w:name="_Toc221951910"/>
      <w:r>
        <w:rPr>
          <w:rFonts w:hint="eastAsia" w:ascii="宋体" w:hAnsi="宋体"/>
          <w:color w:val="auto"/>
          <w:sz w:val="27"/>
          <w:szCs w:val="27"/>
          <w:highlight w:val="none"/>
          <w:u w:val="single"/>
        </w:rPr>
        <w:t xml:space="preserve">            </w:t>
      </w:r>
      <w:r>
        <w:rPr>
          <w:rFonts w:ascii="宋体" w:hAnsi="宋体"/>
          <w:color w:val="auto"/>
          <w:sz w:val="27"/>
          <w:szCs w:val="27"/>
          <w:highlight w:val="none"/>
        </w:rPr>
        <w:t>（</w:t>
      </w:r>
      <w:r>
        <w:rPr>
          <w:rFonts w:hint="eastAsia" w:ascii="宋体" w:hAnsi="宋体"/>
          <w:color w:val="auto"/>
          <w:sz w:val="27"/>
          <w:szCs w:val="27"/>
          <w:highlight w:val="none"/>
        </w:rPr>
        <w:t>项目名称）</w:t>
      </w:r>
      <w:r>
        <w:rPr>
          <w:rFonts w:hint="eastAsia" w:ascii="宋体" w:hAnsi="宋体"/>
          <w:color w:val="auto"/>
          <w:sz w:val="27"/>
          <w:szCs w:val="27"/>
          <w:highlight w:val="none"/>
          <w:u w:val="single"/>
        </w:rPr>
        <w:t xml:space="preserve">            （</w:t>
      </w:r>
      <w:r>
        <w:rPr>
          <w:rFonts w:hint="eastAsia" w:ascii="宋体" w:hAnsi="宋体"/>
          <w:color w:val="auto"/>
          <w:sz w:val="27"/>
          <w:szCs w:val="27"/>
          <w:highlight w:val="none"/>
        </w:rPr>
        <w:t>标段名称</w:t>
      </w:r>
      <w:bookmarkEnd w:id="178"/>
      <w:r>
        <w:rPr>
          <w:rFonts w:hint="eastAsia" w:ascii="宋体" w:hAnsi="宋体"/>
          <w:color w:val="auto"/>
          <w:sz w:val="27"/>
          <w:szCs w:val="27"/>
          <w:highlight w:val="none"/>
        </w:rPr>
        <w:t xml:space="preserve">） </w:t>
      </w: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pStyle w:val="3"/>
        <w:rPr>
          <w:highlight w:val="none"/>
        </w:rPr>
      </w:pPr>
    </w:p>
    <w:p>
      <w:pPr>
        <w:spacing w:line="400" w:lineRule="exact"/>
        <w:jc w:val="center"/>
        <w:rPr>
          <w:rFonts w:ascii="宋体" w:hAnsi="宋体"/>
          <w:color w:val="auto"/>
          <w:sz w:val="42"/>
          <w:szCs w:val="42"/>
          <w:highlight w:val="none"/>
        </w:rPr>
      </w:pPr>
    </w:p>
    <w:p>
      <w:pPr>
        <w:spacing w:line="400" w:lineRule="exact"/>
        <w:jc w:val="center"/>
        <w:rPr>
          <w:rFonts w:ascii="宋体" w:hAnsi="宋体"/>
          <w:color w:val="auto"/>
          <w:sz w:val="42"/>
          <w:szCs w:val="42"/>
          <w:highlight w:val="none"/>
        </w:rPr>
      </w:pPr>
      <w:r>
        <w:rPr>
          <w:rFonts w:ascii="宋体" w:hAnsi="宋体"/>
          <w:color w:val="auto"/>
          <w:sz w:val="42"/>
          <w:szCs w:val="42"/>
          <w:highlight w:val="none"/>
        </w:rPr>
        <w:t>投  标  文  件</w:t>
      </w: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jc w:val="center"/>
        <w:rPr>
          <w:rFonts w:ascii="宋体" w:hAnsi="宋体"/>
          <w:color w:val="auto"/>
          <w:sz w:val="27"/>
          <w:szCs w:val="27"/>
          <w:highlight w:val="none"/>
        </w:rPr>
      </w:pPr>
      <w:r>
        <w:rPr>
          <w:rFonts w:ascii="宋体" w:hAnsi="宋体"/>
          <w:color w:val="auto"/>
          <w:sz w:val="27"/>
          <w:szCs w:val="27"/>
          <w:highlight w:val="none"/>
        </w:rPr>
        <w:t>投标人：</w:t>
      </w:r>
      <w:r>
        <w:rPr>
          <w:rFonts w:ascii="宋体" w:hAnsi="宋体"/>
          <w:color w:val="auto"/>
          <w:sz w:val="27"/>
          <w:szCs w:val="27"/>
          <w:highlight w:val="none"/>
          <w:u w:val="single"/>
        </w:rPr>
        <w:t xml:space="preserve">                     </w:t>
      </w:r>
      <w:r>
        <w:rPr>
          <w:rFonts w:hint="eastAsia" w:ascii="宋体" w:hAnsi="宋体"/>
          <w:color w:val="auto"/>
          <w:sz w:val="27"/>
          <w:szCs w:val="27"/>
          <w:highlight w:val="none"/>
          <w:u w:val="single"/>
        </w:rPr>
        <w:t xml:space="preserve">  </w:t>
      </w:r>
      <w:r>
        <w:rPr>
          <w:rFonts w:ascii="宋体" w:hAnsi="宋体"/>
          <w:color w:val="auto"/>
          <w:sz w:val="27"/>
          <w:szCs w:val="27"/>
          <w:highlight w:val="none"/>
          <w:u w:val="single"/>
        </w:rPr>
        <w:t xml:space="preserve">       </w:t>
      </w:r>
      <w:r>
        <w:rPr>
          <w:rFonts w:ascii="宋体" w:hAnsi="宋体"/>
          <w:color w:val="auto"/>
          <w:sz w:val="27"/>
          <w:szCs w:val="27"/>
          <w:highlight w:val="none"/>
        </w:rPr>
        <w:t>（盖单位章）</w:t>
      </w:r>
    </w:p>
    <w:p>
      <w:pPr>
        <w:spacing w:line="400" w:lineRule="exact"/>
        <w:jc w:val="center"/>
        <w:rPr>
          <w:rFonts w:ascii="宋体" w:hAnsi="宋体"/>
          <w:color w:val="auto"/>
          <w:sz w:val="27"/>
          <w:szCs w:val="27"/>
          <w:highlight w:val="none"/>
          <w:u w:val="single"/>
        </w:rPr>
      </w:pPr>
    </w:p>
    <w:p>
      <w:pPr>
        <w:spacing w:line="400" w:lineRule="exact"/>
        <w:jc w:val="center"/>
        <w:rPr>
          <w:rFonts w:ascii="宋体" w:hAnsi="宋体"/>
          <w:color w:val="auto"/>
          <w:sz w:val="27"/>
          <w:szCs w:val="27"/>
          <w:highlight w:val="none"/>
        </w:rPr>
      </w:pPr>
      <w:r>
        <w:rPr>
          <w:rFonts w:ascii="宋体" w:hAnsi="宋体"/>
          <w:color w:val="auto"/>
          <w:sz w:val="27"/>
          <w:szCs w:val="27"/>
          <w:highlight w:val="none"/>
          <w:u w:val="single"/>
        </w:rPr>
        <w:t xml:space="preserve">        </w:t>
      </w:r>
      <w:r>
        <w:rPr>
          <w:rFonts w:ascii="宋体" w:hAnsi="宋体"/>
          <w:color w:val="auto"/>
          <w:sz w:val="27"/>
          <w:szCs w:val="27"/>
          <w:highlight w:val="none"/>
        </w:rPr>
        <w:t>年</w:t>
      </w:r>
      <w:r>
        <w:rPr>
          <w:rFonts w:ascii="宋体" w:hAnsi="宋体"/>
          <w:color w:val="auto"/>
          <w:sz w:val="27"/>
          <w:szCs w:val="27"/>
          <w:highlight w:val="none"/>
          <w:u w:val="single"/>
        </w:rPr>
        <w:t xml:space="preserve">        </w:t>
      </w:r>
      <w:r>
        <w:rPr>
          <w:rFonts w:ascii="宋体" w:hAnsi="宋体"/>
          <w:color w:val="auto"/>
          <w:sz w:val="27"/>
          <w:szCs w:val="27"/>
          <w:highlight w:val="none"/>
        </w:rPr>
        <w:t>月</w:t>
      </w:r>
      <w:r>
        <w:rPr>
          <w:rFonts w:ascii="宋体" w:hAnsi="宋体"/>
          <w:color w:val="auto"/>
          <w:sz w:val="27"/>
          <w:szCs w:val="27"/>
          <w:highlight w:val="none"/>
          <w:u w:val="single"/>
        </w:rPr>
        <w:t xml:space="preserve">         </w:t>
      </w:r>
      <w:r>
        <w:rPr>
          <w:rFonts w:ascii="宋体" w:hAnsi="宋体"/>
          <w:color w:val="auto"/>
          <w:sz w:val="27"/>
          <w:szCs w:val="27"/>
          <w:highlight w:val="none"/>
        </w:rPr>
        <w:t>日</w:t>
      </w:r>
    </w:p>
    <w:p>
      <w:pPr>
        <w:rPr>
          <w:rFonts w:hint="eastAsia" w:ascii="仿宋" w:hAnsi="仿宋" w:eastAsia="仿宋" w:cs="仿宋"/>
          <w:color w:val="auto"/>
          <w:sz w:val="24"/>
          <w:szCs w:val="24"/>
          <w:highlight w:val="none"/>
        </w:rPr>
      </w:pPr>
      <w:r>
        <w:rPr>
          <w:rFonts w:ascii="宋体" w:hAnsi="宋体"/>
          <w:color w:val="auto"/>
          <w:sz w:val="20"/>
          <w:szCs w:val="20"/>
          <w:highlight w:val="none"/>
        </w:rPr>
        <w:br w:type="page"/>
      </w:r>
    </w:p>
    <w:p>
      <w:pPr>
        <w:spacing w:line="360" w:lineRule="auto"/>
        <w:jc w:val="center"/>
        <w:outlineLvl w:val="2"/>
        <w:rPr>
          <w:rFonts w:hint="eastAsia" w:ascii="仿宋" w:hAnsi="仿宋" w:eastAsia="仿宋" w:cs="仿宋"/>
          <w:color w:val="auto"/>
          <w:sz w:val="24"/>
          <w:szCs w:val="24"/>
          <w:highlight w:val="none"/>
        </w:rPr>
      </w:pPr>
      <w:bookmarkStart w:id="179" w:name="_Toc148"/>
      <w:r>
        <w:rPr>
          <w:rFonts w:hint="eastAsia" w:ascii="仿宋" w:hAnsi="仿宋" w:eastAsia="仿宋" w:cs="仿宋"/>
          <w:color w:val="auto"/>
          <w:sz w:val="24"/>
          <w:szCs w:val="24"/>
          <w:highlight w:val="none"/>
        </w:rPr>
        <w:t xml:space="preserve">目 </w:t>
      </w:r>
      <w:bookmarkStart w:id="180" w:name="_Toc359263273"/>
      <w:bookmarkStart w:id="181" w:name="_Toc296602591"/>
      <w:r>
        <w:rPr>
          <w:rFonts w:hint="eastAsia" w:ascii="仿宋" w:hAnsi="仿宋" w:eastAsia="仿宋" w:cs="仿宋"/>
          <w:color w:val="auto"/>
          <w:sz w:val="24"/>
          <w:szCs w:val="24"/>
          <w:highlight w:val="none"/>
        </w:rPr>
        <w:t xml:space="preserve">  录（可加上</w:t>
      </w:r>
      <w:bookmarkEnd w:id="180"/>
      <w:bookmarkEnd w:id="181"/>
      <w:r>
        <w:rPr>
          <w:rFonts w:hint="eastAsia" w:ascii="仿宋" w:hAnsi="仿宋" w:eastAsia="仿宋" w:cs="仿宋"/>
          <w:color w:val="auto"/>
          <w:sz w:val="24"/>
          <w:szCs w:val="24"/>
          <w:highlight w:val="none"/>
        </w:rPr>
        <w:t>二级目录）</w:t>
      </w:r>
      <w:bookmarkEnd w:id="179"/>
    </w:p>
    <w:p>
      <w:pPr>
        <w:spacing w:line="400" w:lineRule="exact"/>
        <w:rPr>
          <w:rFonts w:hint="eastAsia" w:ascii="仿宋" w:hAnsi="仿宋" w:eastAsia="仿宋" w:cs="仿宋"/>
          <w:color w:val="auto"/>
          <w:sz w:val="24"/>
          <w:szCs w:val="24"/>
          <w:highlight w:val="none"/>
        </w:rPr>
      </w:pPr>
    </w:p>
    <w:p>
      <w:pPr>
        <w:spacing w:line="360" w:lineRule="auto"/>
        <w:jc w:val="both"/>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一、投标文件封面</w:t>
      </w:r>
    </w:p>
    <w:p>
      <w:pPr>
        <w:spacing w:line="360" w:lineRule="auto"/>
        <w:jc w:val="both"/>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二、开标一览表</w:t>
      </w:r>
    </w:p>
    <w:p>
      <w:pPr>
        <w:spacing w:line="360" w:lineRule="auto"/>
        <w:jc w:val="both"/>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三、投标函及投标函附录</w:t>
      </w:r>
    </w:p>
    <w:p>
      <w:pPr>
        <w:spacing w:line="360" w:lineRule="auto"/>
        <w:jc w:val="both"/>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四、投标保证金</w:t>
      </w:r>
    </w:p>
    <w:p>
      <w:pPr>
        <w:spacing w:line="360" w:lineRule="auto"/>
        <w:jc w:val="both"/>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五、资格评审资料</w:t>
      </w:r>
    </w:p>
    <w:p>
      <w:pPr>
        <w:spacing w:line="360" w:lineRule="auto"/>
        <w:jc w:val="both"/>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六、技术评审资料</w:t>
      </w:r>
    </w:p>
    <w:p>
      <w:pPr>
        <w:spacing w:line="360" w:lineRule="auto"/>
        <w:jc w:val="both"/>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七、商务评审资料</w:t>
      </w:r>
    </w:p>
    <w:p>
      <w:pPr>
        <w:spacing w:line="360" w:lineRule="auto"/>
        <w:jc w:val="both"/>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八、招标文件要求或投标人认为有需要的其他资料（如有）</w:t>
      </w:r>
      <w:r>
        <w:rPr>
          <w:rFonts w:hint="eastAsia" w:ascii="仿宋" w:hAnsi="仿宋" w:eastAsia="仿宋" w:cs="仿宋"/>
          <w:color w:val="auto"/>
          <w:sz w:val="24"/>
          <w:szCs w:val="24"/>
          <w:highlight w:val="none"/>
        </w:rPr>
        <w:br w:type="page"/>
      </w:r>
      <w:bookmarkStart w:id="182" w:name="_Toc23143"/>
      <w:r>
        <w:rPr>
          <w:rFonts w:hint="eastAsia" w:ascii="仿宋" w:hAnsi="仿宋" w:eastAsia="仿宋" w:cs="仿宋"/>
          <w:color w:val="auto"/>
          <w:sz w:val="24"/>
          <w:szCs w:val="24"/>
          <w:highlight w:val="none"/>
        </w:rPr>
        <w:t>一、投标函及投标函</w:t>
      </w:r>
      <w:bookmarkStart w:id="183" w:name="_Toc221951911"/>
      <w:r>
        <w:rPr>
          <w:rFonts w:hint="eastAsia" w:ascii="仿宋" w:hAnsi="仿宋" w:eastAsia="仿宋" w:cs="仿宋"/>
          <w:color w:val="auto"/>
          <w:sz w:val="24"/>
          <w:szCs w:val="24"/>
          <w:highlight w:val="none"/>
        </w:rPr>
        <w:t>附录</w:t>
      </w:r>
      <w:bookmarkEnd w:id="182"/>
    </w:p>
    <w:p>
      <w:pPr>
        <w:spacing w:line="400" w:lineRule="exact"/>
        <w:outlineLvl w:val="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（一）投标函</w:t>
      </w:r>
    </w:p>
    <w:bookmarkEnd w:id="183"/>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bookmarkStart w:id="184" w:name="_Toc221951912"/>
      <w:r>
        <w:rPr>
          <w:rFonts w:hint="eastAsia" w:ascii="仿宋" w:hAnsi="仿宋" w:eastAsia="仿宋" w:cs="仿宋"/>
          <w:color w:val="auto"/>
          <w:sz w:val="24"/>
          <w:szCs w:val="24"/>
          <w:highlight w:val="none"/>
        </w:rPr>
        <w:t>（招标人名称）：</w:t>
      </w:r>
    </w:p>
    <w:p>
      <w:pPr>
        <w:spacing w:line="400" w:lineRule="exact"/>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1．我方已仔细研究了</w:t>
      </w:r>
      <w:bookmarkEnd w:id="184"/>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bookmarkStart w:id="185" w:name="_Toc221951914"/>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（标段名称）招标文件的全部内容</w:t>
      </w:r>
      <w:bookmarkEnd w:id="185"/>
      <w:r>
        <w:rPr>
          <w:rFonts w:hint="eastAsia" w:ascii="仿宋" w:hAnsi="仿宋" w:eastAsia="仿宋" w:cs="仿宋"/>
          <w:color w:val="auto"/>
          <w:sz w:val="24"/>
          <w:szCs w:val="24"/>
          <w:highlight w:val="none"/>
        </w:rPr>
        <w:t>，愿意</w:t>
      </w:r>
      <w:bookmarkStart w:id="186" w:name="_Toc229305419"/>
      <w:bookmarkStart w:id="187" w:name="_Toc359263280"/>
      <w:bookmarkStart w:id="188" w:name="_Toc259524413"/>
      <w:r>
        <w:rPr>
          <w:rFonts w:hint="eastAsia" w:ascii="仿宋" w:hAnsi="仿宋" w:eastAsia="仿宋" w:cs="仿宋"/>
          <w:color w:val="auto"/>
          <w:sz w:val="24"/>
          <w:szCs w:val="24"/>
          <w:highlight w:val="none"/>
        </w:rPr>
        <w:t>以</w:t>
      </w:r>
      <w:r>
        <w:rPr>
          <w:rFonts w:hint="eastAsia" w:ascii="宋体" w:hAnsi="宋体" w:eastAsia="宋体" w:cs="宋体"/>
          <w:color w:val="auto"/>
          <w:sz w:val="24"/>
          <w:szCs w:val="24"/>
          <w:highlight w:val="none"/>
        </w:rPr>
        <w:t>投标报价下浮率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%，即</w:t>
      </w:r>
      <w:r>
        <w:rPr>
          <w:rFonts w:hint="eastAsia" w:ascii="仿宋" w:hAnsi="仿宋" w:eastAsia="仿宋" w:cs="仿宋"/>
          <w:color w:val="auto"/>
          <w:sz w:val="24"/>
          <w:szCs w:val="24"/>
          <w:highlight w:val="none"/>
        </w:rPr>
        <w:t>人民币（大</w:t>
      </w:r>
      <w:bookmarkEnd w:id="186"/>
      <w:bookmarkEnd w:id="187"/>
      <w:bookmarkEnd w:id="188"/>
      <w:r>
        <w:rPr>
          <w:rFonts w:hint="eastAsia" w:ascii="仿宋" w:hAnsi="仿宋" w:eastAsia="仿宋" w:cs="仿宋"/>
          <w:color w:val="auto"/>
          <w:sz w:val="24"/>
          <w:szCs w:val="24"/>
          <w:highlight w:val="none"/>
        </w:rPr>
        <w:t>写）</w:t>
      </w:r>
      <w:bookmarkStart w:id="189" w:name="_Toc221951916"/>
      <w:r>
        <w:rPr>
          <w:rFonts w:hint="eastAsia" w:ascii="仿宋" w:hAnsi="仿宋" w:eastAsia="仿宋" w:cs="仿宋"/>
          <w:color w:val="auto"/>
          <w:sz w:val="24"/>
          <w:szCs w:val="24"/>
          <w:highlight w:val="none"/>
          <w:u w:val="single"/>
        </w:rPr>
        <w:t xml:space="preserve">           </w:t>
      </w:r>
      <w:bookmarkEnd w:id="189"/>
      <w:bookmarkStart w:id="190" w:name="_Toc221951917"/>
      <w:r>
        <w:rPr>
          <w:rFonts w:hint="eastAsia" w:ascii="宋体" w:hAnsi="宋体" w:eastAsia="宋体" w:cs="宋体"/>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rPr>
        <w:t>）的投标总报价，</w:t>
      </w:r>
      <w:bookmarkEnd w:id="190"/>
      <w:bookmarkStart w:id="191" w:name="_Toc221951918"/>
      <w:r>
        <w:rPr>
          <w:rFonts w:hint="eastAsia" w:ascii="仿宋" w:hAnsi="仿宋" w:eastAsia="仿宋" w:cs="仿宋"/>
          <w:color w:val="auto"/>
          <w:sz w:val="24"/>
          <w:szCs w:val="24"/>
          <w:highlight w:val="none"/>
          <w:lang w:val="en-US" w:eastAsia="zh-CN"/>
        </w:rPr>
        <w:t>服务期</w:t>
      </w:r>
      <w:r>
        <w:rPr>
          <w:rFonts w:hint="eastAsia" w:ascii="仿宋" w:hAnsi="仿宋" w:eastAsia="仿宋" w:cs="仿宋"/>
          <w:color w:val="auto"/>
          <w:sz w:val="24"/>
          <w:szCs w:val="24"/>
          <w:highlight w:val="none"/>
          <w:u w:val="single"/>
          <w:lang w:val="en-US" w:eastAsia="zh-CN"/>
        </w:rPr>
        <w:t>按招标文件要求</w:t>
      </w:r>
      <w:r>
        <w:rPr>
          <w:rFonts w:hint="eastAsia" w:ascii="仿宋" w:hAnsi="仿宋" w:eastAsia="仿宋" w:cs="仿宋"/>
          <w:color w:val="auto"/>
          <w:sz w:val="24"/>
          <w:szCs w:val="24"/>
          <w:highlight w:val="none"/>
        </w:rPr>
        <w:t>，按合同约定</w:t>
      </w:r>
      <w:bookmarkEnd w:id="191"/>
      <w:r>
        <w:rPr>
          <w:rFonts w:hint="eastAsia" w:ascii="仿宋" w:hAnsi="仿宋" w:eastAsia="仿宋" w:cs="仿宋"/>
          <w:color w:val="auto"/>
          <w:sz w:val="24"/>
          <w:szCs w:val="24"/>
          <w:highlight w:val="none"/>
        </w:rPr>
        <w:t>实</w:t>
      </w:r>
      <w:bookmarkStart w:id="192" w:name="_Toc221951919"/>
      <w:r>
        <w:rPr>
          <w:rFonts w:hint="eastAsia" w:ascii="仿宋" w:hAnsi="仿宋" w:eastAsia="仿宋" w:cs="仿宋"/>
          <w:color w:val="auto"/>
          <w:sz w:val="24"/>
          <w:szCs w:val="24"/>
          <w:highlight w:val="none"/>
        </w:rPr>
        <w:t>施和完成承包工</w:t>
      </w:r>
      <w:bookmarkEnd w:id="192"/>
      <w:r>
        <w:rPr>
          <w:rFonts w:hint="eastAsia" w:ascii="仿宋" w:hAnsi="仿宋" w:eastAsia="仿宋" w:cs="仿宋"/>
          <w:color w:val="auto"/>
          <w:sz w:val="24"/>
          <w:szCs w:val="24"/>
          <w:highlight w:val="none"/>
        </w:rPr>
        <w:t>程，</w:t>
      </w:r>
      <w:bookmarkStart w:id="193" w:name="_Toc221951920"/>
      <w:r>
        <w:rPr>
          <w:rFonts w:hint="eastAsia" w:ascii="仿宋" w:hAnsi="仿宋" w:eastAsia="仿宋" w:cs="仿宋"/>
          <w:color w:val="auto"/>
          <w:sz w:val="24"/>
          <w:szCs w:val="24"/>
          <w:highlight w:val="none"/>
        </w:rPr>
        <w:t>修补工程中的任何缺陷</w:t>
      </w:r>
      <w:bookmarkEnd w:id="193"/>
      <w:r>
        <w:rPr>
          <w:rFonts w:hint="eastAsia" w:ascii="仿宋" w:hAnsi="仿宋" w:eastAsia="仿宋" w:cs="仿宋"/>
          <w:color w:val="auto"/>
          <w:sz w:val="24"/>
          <w:szCs w:val="24"/>
          <w:highlight w:val="none"/>
        </w:rPr>
        <w:t>，</w:t>
      </w:r>
      <w:bookmarkStart w:id="194" w:name="_Toc221951921"/>
      <w:r>
        <w:rPr>
          <w:rFonts w:hint="eastAsia" w:ascii="仿宋" w:hAnsi="仿宋" w:eastAsia="仿宋" w:cs="仿宋"/>
          <w:color w:val="auto"/>
          <w:sz w:val="24"/>
          <w:szCs w:val="24"/>
          <w:highlight w:val="none"/>
        </w:rPr>
        <w:t>工程质量达到</w:t>
      </w:r>
      <w:bookmarkEnd w:id="194"/>
      <w:r>
        <w:rPr>
          <w:rFonts w:hint="eastAsia" w:ascii="宋体" w:hAnsi="宋体" w:eastAsia="宋体" w:cs="宋体"/>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pPr>
        <w:spacing w:line="400" w:lineRule="exact"/>
        <w:ind w:firstLine="480" w:firstLineChars="200"/>
        <w:jc w:val="left"/>
        <w:rPr>
          <w:rFonts w:hint="eastAsia" w:ascii="仿宋" w:hAnsi="仿宋" w:eastAsia="仿宋" w:cs="仿宋"/>
          <w:color w:val="auto"/>
          <w:sz w:val="24"/>
          <w:szCs w:val="24"/>
          <w:highlight w:val="none"/>
        </w:rPr>
      </w:pPr>
      <w:bookmarkStart w:id="195" w:name="_Toc221951922"/>
      <w:r>
        <w:rPr>
          <w:rFonts w:hint="eastAsia" w:ascii="仿宋" w:hAnsi="仿宋" w:eastAsia="仿宋" w:cs="仿宋"/>
          <w:color w:val="auto"/>
          <w:sz w:val="24"/>
          <w:szCs w:val="24"/>
          <w:highlight w:val="none"/>
        </w:rPr>
        <w:t>2．我方承诺在投</w:t>
      </w:r>
      <w:bookmarkEnd w:id="195"/>
      <w:r>
        <w:rPr>
          <w:rFonts w:hint="eastAsia" w:ascii="仿宋" w:hAnsi="仿宋" w:eastAsia="仿宋" w:cs="仿宋"/>
          <w:color w:val="auto"/>
          <w:sz w:val="24"/>
          <w:szCs w:val="24"/>
          <w:highlight w:val="none"/>
        </w:rPr>
        <w:t>标</w:t>
      </w:r>
      <w:bookmarkStart w:id="196" w:name="_Toc221951924"/>
      <w:r>
        <w:rPr>
          <w:rFonts w:hint="eastAsia" w:ascii="仿宋" w:hAnsi="仿宋" w:eastAsia="仿宋" w:cs="仿宋"/>
          <w:color w:val="auto"/>
          <w:sz w:val="24"/>
          <w:szCs w:val="24"/>
          <w:highlight w:val="none"/>
        </w:rPr>
        <w:t>有效期内不补充、</w:t>
      </w:r>
      <w:bookmarkEnd w:id="196"/>
      <w:r>
        <w:rPr>
          <w:rFonts w:hint="eastAsia" w:ascii="仿宋" w:hAnsi="仿宋" w:eastAsia="仿宋" w:cs="仿宋"/>
          <w:color w:val="auto"/>
          <w:sz w:val="24"/>
          <w:szCs w:val="24"/>
          <w:highlight w:val="none"/>
        </w:rPr>
        <w:t>修</w:t>
      </w:r>
      <w:bookmarkStart w:id="197" w:name="_Toc221951925"/>
      <w:r>
        <w:rPr>
          <w:rFonts w:hint="eastAsia" w:ascii="仿宋" w:hAnsi="仿宋" w:eastAsia="仿宋" w:cs="仿宋"/>
          <w:color w:val="auto"/>
          <w:sz w:val="24"/>
          <w:szCs w:val="24"/>
          <w:highlight w:val="none"/>
        </w:rPr>
        <w:t>改、</w:t>
      </w:r>
      <w:bookmarkEnd w:id="197"/>
      <w:r>
        <w:rPr>
          <w:rFonts w:hint="eastAsia" w:ascii="仿宋" w:hAnsi="仿宋" w:eastAsia="仿宋" w:cs="仿宋"/>
          <w:color w:val="auto"/>
          <w:sz w:val="24"/>
          <w:szCs w:val="24"/>
          <w:highlight w:val="none"/>
        </w:rPr>
        <w:t>替代或撤回本投标文件。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3．随同本投</w:t>
      </w:r>
      <w:bookmarkStart w:id="198" w:name="_Toc144974857"/>
      <w:bookmarkStart w:id="199" w:name="_Toc229305420"/>
      <w:bookmarkStart w:id="200" w:name="_Toc222029560"/>
      <w:bookmarkStart w:id="201" w:name="_Toc168476318"/>
      <w:bookmarkStart w:id="202" w:name="_Toc259524414"/>
      <w:bookmarkStart w:id="203" w:name="_Toc359263281"/>
      <w:bookmarkStart w:id="204" w:name="_Toc222031062"/>
      <w:bookmarkStart w:id="205" w:name="_Toc222033911"/>
      <w:bookmarkStart w:id="206" w:name="_Toc221951926"/>
      <w:bookmarkStart w:id="207" w:name="_Toc168475915"/>
      <w:bookmarkStart w:id="208" w:name="_Toc222032729"/>
      <w:r>
        <w:rPr>
          <w:rFonts w:hint="eastAsia" w:ascii="仿宋" w:hAnsi="仿宋" w:eastAsia="仿宋" w:cs="仿宋"/>
          <w:color w:val="auto"/>
          <w:sz w:val="24"/>
          <w:szCs w:val="24"/>
          <w:highlight w:val="none"/>
        </w:rPr>
        <w:t>标函提交投标保证金一份</w:t>
      </w:r>
      <w:bookmarkEnd w:id="198"/>
      <w:bookmarkEnd w:id="199"/>
      <w:bookmarkEnd w:id="200"/>
      <w:bookmarkEnd w:id="201"/>
      <w:bookmarkEnd w:id="202"/>
      <w:bookmarkEnd w:id="203"/>
      <w:bookmarkEnd w:id="204"/>
      <w:bookmarkEnd w:id="205"/>
      <w:bookmarkEnd w:id="206"/>
      <w:bookmarkEnd w:id="207"/>
      <w:bookmarkEnd w:id="208"/>
      <w:r>
        <w:rPr>
          <w:rFonts w:hint="eastAsia" w:ascii="仿宋" w:hAnsi="仿宋" w:eastAsia="仿宋" w:cs="仿宋"/>
          <w:color w:val="auto"/>
          <w:sz w:val="24"/>
          <w:szCs w:val="24"/>
          <w:highlight w:val="none"/>
        </w:rPr>
        <w:t>，</w:t>
      </w:r>
      <w:bookmarkStart w:id="209" w:name="_Toc144974858"/>
      <w:bookmarkStart w:id="210" w:name="_Toc168476319"/>
      <w:bookmarkStart w:id="211" w:name="_Toc168475916"/>
      <w:bookmarkStart w:id="212" w:name="_Toc221951927"/>
      <w:r>
        <w:rPr>
          <w:rFonts w:hint="eastAsia" w:ascii="仿宋" w:hAnsi="仿宋" w:eastAsia="仿宋" w:cs="仿宋"/>
          <w:color w:val="auto"/>
          <w:sz w:val="24"/>
          <w:szCs w:val="24"/>
          <w:highlight w:val="none"/>
        </w:rPr>
        <w:t>金额为人民币</w:t>
      </w:r>
      <w:bookmarkEnd w:id="209"/>
      <w:bookmarkEnd w:id="210"/>
      <w:bookmarkEnd w:id="211"/>
      <w:bookmarkEnd w:id="212"/>
      <w:r>
        <w:rPr>
          <w:rFonts w:hint="eastAsia" w:ascii="仿宋" w:hAnsi="仿宋" w:eastAsia="仿宋" w:cs="仿宋"/>
          <w:color w:val="auto"/>
          <w:sz w:val="24"/>
          <w:szCs w:val="24"/>
          <w:highlight w:val="none"/>
        </w:rPr>
        <w:t>（大写</w:t>
      </w:r>
      <w:r>
        <w:rPr>
          <w:rFonts w:hint="eastAsia" w:ascii="宋体" w:hAnsi="宋体" w:eastAsia="宋体" w:cs="宋体"/>
          <w:color w:val="auto"/>
          <w:sz w:val="24"/>
          <w:szCs w:val="24"/>
          <w:highlight w:val="none"/>
        </w:rPr>
        <w:t xml:space="preserve">）元（¥元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400" w:lineRule="exact"/>
        <w:ind w:firstLine="480" w:firstLineChars="200"/>
        <w:rPr>
          <w:rFonts w:hint="eastAsia" w:ascii="仿宋" w:hAnsi="仿宋" w:eastAsia="仿宋" w:cs="仿宋"/>
          <w:color w:val="auto"/>
          <w:sz w:val="24"/>
          <w:szCs w:val="24"/>
          <w:highlight w:val="none"/>
        </w:rPr>
      </w:pPr>
      <w:bookmarkStart w:id="213" w:name="_Toc221951928"/>
      <w:r>
        <w:rPr>
          <w:rFonts w:hint="eastAsia" w:ascii="仿宋" w:hAnsi="仿宋" w:eastAsia="仿宋" w:cs="仿宋"/>
          <w:color w:val="auto"/>
          <w:sz w:val="24"/>
          <w:szCs w:val="24"/>
          <w:highlight w:val="none"/>
        </w:rPr>
        <w:t>4．如我方中标：</w:t>
      </w:r>
      <w:bookmarkEnd w:id="213"/>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bookmarkStart w:id="214" w:name="_Toc221951929"/>
      <w:r>
        <w:rPr>
          <w:rFonts w:hint="eastAsia" w:ascii="仿宋" w:hAnsi="仿宋" w:eastAsia="仿宋" w:cs="仿宋"/>
          <w:color w:val="auto"/>
          <w:sz w:val="24"/>
          <w:szCs w:val="24"/>
          <w:highlight w:val="none"/>
        </w:rPr>
        <w:t>1）我方承诺在收到中标通知书后，在中标通知书规定的期限内与你方签订合同。</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（2）随同本投标函递交的投标函附录属于合同文件的组成部分。</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（3）我方承诺按照招标文件规定向你方递交履约担保。</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（4）我方承诺在合同约定的期限内完成并移交全部合同工程。</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5．我方在此声明，所递交的投标文件及有关资料内容完整、真实</w:t>
      </w:r>
      <w:bookmarkEnd w:id="214"/>
      <w:r>
        <w:rPr>
          <w:rFonts w:hint="eastAsia" w:ascii="仿宋" w:hAnsi="仿宋" w:eastAsia="仿宋" w:cs="仿宋"/>
          <w:color w:val="auto"/>
          <w:sz w:val="24"/>
          <w:szCs w:val="24"/>
          <w:highlight w:val="none"/>
        </w:rPr>
        <w:t>和</w:t>
      </w:r>
      <w:bookmarkStart w:id="215" w:name="_Toc221951930"/>
      <w:r>
        <w:rPr>
          <w:rFonts w:hint="eastAsia" w:ascii="仿宋" w:hAnsi="仿宋" w:eastAsia="仿宋" w:cs="仿宋"/>
          <w:color w:val="auto"/>
          <w:sz w:val="24"/>
          <w:szCs w:val="24"/>
          <w:highlight w:val="none"/>
        </w:rPr>
        <w:t>准确，且不存在第二章“投标人须知”第1.4.3项</w:t>
      </w:r>
      <w:bookmarkEnd w:id="215"/>
      <w:r>
        <w:rPr>
          <w:rFonts w:hint="eastAsia" w:ascii="仿宋" w:hAnsi="仿宋" w:eastAsia="仿宋" w:cs="仿宋"/>
          <w:color w:val="auto"/>
          <w:sz w:val="24"/>
          <w:szCs w:val="24"/>
          <w:highlight w:val="none"/>
        </w:rPr>
        <w:t>和第1.4.4项规</w:t>
      </w:r>
      <w:bookmarkStart w:id="216" w:name="_Toc221951931"/>
      <w:r>
        <w:rPr>
          <w:rFonts w:hint="eastAsia" w:ascii="仿宋" w:hAnsi="仿宋" w:eastAsia="仿宋" w:cs="仿宋"/>
          <w:color w:val="auto"/>
          <w:sz w:val="24"/>
          <w:szCs w:val="24"/>
          <w:highlight w:val="none"/>
        </w:rPr>
        <w:t>定的任何一种情形。</w:t>
      </w:r>
    </w:p>
    <w:bookmarkEnd w:id="216"/>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6．我方承诺完全响应招标文件的技术标准和要求</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7.（其他补充说明）。</w:t>
      </w:r>
      <w:bookmarkStart w:id="217" w:name="_Toc221951933"/>
    </w:p>
    <w:p>
      <w:pPr>
        <w:spacing w:line="400" w:lineRule="exact"/>
        <w:ind w:firstLine="4200" w:firstLineChars="1750"/>
        <w:rPr>
          <w:rFonts w:hint="eastAsia" w:ascii="仿宋" w:hAnsi="仿宋" w:eastAsia="仿宋" w:cs="仿宋"/>
          <w:color w:val="auto"/>
          <w:sz w:val="24"/>
          <w:szCs w:val="24"/>
          <w:highlight w:val="none"/>
        </w:rPr>
      </w:pP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bookmarkEnd w:id="217"/>
    <w:p>
      <w:pPr>
        <w:spacing w:line="400" w:lineRule="exact"/>
        <w:ind w:firstLine="4200" w:firstLineChars="17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w:t>
      </w:r>
      <w:bookmarkStart w:id="218" w:name="_Toc221951934"/>
      <w:r>
        <w:rPr>
          <w:rFonts w:hint="eastAsia" w:ascii="仿宋" w:hAnsi="仿宋" w:eastAsia="仿宋" w:cs="仿宋"/>
          <w:color w:val="auto"/>
          <w:sz w:val="24"/>
          <w:szCs w:val="24"/>
          <w:highlight w:val="none"/>
        </w:rPr>
        <w:t>定代表人或其委托代理人：</w:t>
      </w:r>
      <w:r>
        <w:rPr>
          <w:rFonts w:hint="eastAsia" w:ascii="仿宋" w:hAnsi="仿宋" w:eastAsia="仿宋" w:cs="仿宋"/>
          <w:color w:val="auto"/>
          <w:sz w:val="24"/>
          <w:szCs w:val="24"/>
          <w:highlight w:val="none"/>
          <w:u w:val="single"/>
        </w:rPr>
        <w:t xml:space="preserve">  （签字） </w:t>
      </w:r>
      <w:bookmarkEnd w:id="218"/>
    </w:p>
    <w:p>
      <w:pPr>
        <w:spacing w:line="400" w:lineRule="exact"/>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项目负责人：              （签字）</w:t>
      </w:r>
    </w:p>
    <w:p>
      <w:pPr>
        <w:spacing w:line="40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技术负责人：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（签字）</w:t>
      </w:r>
    </w:p>
    <w:p>
      <w:pPr>
        <w:spacing w:line="400" w:lineRule="exact"/>
        <w:ind w:firstLine="4200" w:firstLineChars="1750"/>
        <w:rPr>
          <w:rFonts w:hint="eastAsia" w:ascii="仿宋" w:hAnsi="仿宋" w:eastAsia="仿宋" w:cs="仿宋"/>
          <w:color w:val="auto"/>
          <w:sz w:val="24"/>
          <w:szCs w:val="24"/>
          <w:highlight w:val="none"/>
        </w:rPr>
      </w:pPr>
      <w:bookmarkStart w:id="219" w:name="_Toc221951935"/>
      <w:r>
        <w:rPr>
          <w:rFonts w:hint="eastAsia" w:ascii="仿宋" w:hAnsi="仿宋" w:eastAsia="仿宋" w:cs="仿宋"/>
          <w:color w:val="auto"/>
          <w:sz w:val="24"/>
          <w:szCs w:val="24"/>
          <w:highlight w:val="none"/>
        </w:rPr>
        <w:t>地址</w:t>
      </w:r>
      <w:bookmarkEnd w:id="219"/>
      <w:bookmarkStart w:id="220" w:name="_Toc221951936"/>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bookmarkEnd w:id="220"/>
      <w:bookmarkStart w:id="221" w:name="_Toc221951937"/>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bookmarkEnd w:id="221"/>
      <w:bookmarkStart w:id="222" w:name="_Toc221951938"/>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宋体" w:hAnsi="宋体" w:eastAsia="宋体" w:cs="宋体"/>
          <w:color w:val="auto"/>
          <w:sz w:val="24"/>
          <w:szCs w:val="24"/>
          <w:highlight w:val="none"/>
          <w:u w:val="single"/>
          <w:lang w:val="en-US" w:eastAsia="zh-CN"/>
        </w:rPr>
      </w:pPr>
      <w:r>
        <w:rPr>
          <w:rFonts w:hint="eastAsia" w:ascii="仿宋" w:hAnsi="仿宋" w:eastAsia="仿宋" w:cs="仿宋"/>
          <w:color w:val="auto"/>
          <w:sz w:val="24"/>
          <w:szCs w:val="24"/>
          <w:highlight w:val="none"/>
        </w:rPr>
        <w:t>邮政编码</w:t>
      </w:r>
      <w:bookmarkEnd w:id="222"/>
      <w:bookmarkStart w:id="223" w:name="_Toc221951939"/>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pPr>
        <w:spacing w:line="400" w:lineRule="exact"/>
        <w:ind w:firstLine="4200" w:firstLineChars="1750"/>
        <w:rPr>
          <w:rFonts w:hint="eastAsia" w:ascii="仿宋" w:hAnsi="仿宋" w:eastAsia="仿宋" w:cs="仿宋"/>
          <w:color w:val="auto"/>
          <w:sz w:val="24"/>
          <w:szCs w:val="24"/>
          <w:highlight w:val="none"/>
        </w:rPr>
      </w:pPr>
    </w:p>
    <w:bookmarkEnd w:id="223"/>
    <w:p>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pageBreakBefore/>
        <w:spacing w:line="400" w:lineRule="exact"/>
        <w:rPr>
          <w:rFonts w:hint="eastAsia" w:ascii="仿宋" w:hAnsi="仿宋" w:eastAsia="仿宋" w:cs="仿宋"/>
          <w:b/>
          <w:bCs/>
          <w:color w:val="auto"/>
          <w:sz w:val="24"/>
          <w:szCs w:val="24"/>
          <w:highlight w:val="none"/>
          <w:lang w:val="zh-CN"/>
        </w:rPr>
      </w:pPr>
      <w:bookmarkStart w:id="224" w:name="_Toc221951947"/>
      <w:bookmarkStart w:id="225" w:name="_Toc168475917"/>
      <w:bookmarkStart w:id="226" w:name="_Toc144974859"/>
      <w:bookmarkStart w:id="227" w:name="_Toc168476320"/>
      <w:r>
        <w:rPr>
          <w:rFonts w:hint="eastAsia" w:ascii="仿宋" w:hAnsi="仿宋" w:eastAsia="仿宋" w:cs="仿宋"/>
          <w:b/>
          <w:color w:val="auto"/>
          <w:sz w:val="24"/>
          <w:szCs w:val="24"/>
          <w:highlight w:val="none"/>
        </w:rPr>
        <w:t>（二）</w:t>
      </w:r>
      <w:r>
        <w:rPr>
          <w:rFonts w:hint="eastAsia" w:ascii="仿宋" w:hAnsi="仿宋" w:eastAsia="仿宋" w:cs="仿宋"/>
          <w:color w:val="auto"/>
          <w:sz w:val="24"/>
          <w:szCs w:val="24"/>
          <w:highlight w:val="none"/>
        </w:rPr>
        <w:t>投标函附录</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投标报价</w:t>
            </w:r>
            <w:r>
              <w:rPr>
                <w:rFonts w:hint="eastAsia" w:ascii="宋体" w:hAnsi="宋体" w:eastAsia="宋体" w:cs="宋体"/>
                <w:color w:val="auto"/>
                <w:sz w:val="24"/>
                <w:szCs w:val="24"/>
                <w:highlight w:val="none"/>
                <w:lang w:val="zh-CN"/>
              </w:rPr>
              <w:t>下浮率（</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lang w:val="zh-CN"/>
              </w:rPr>
              <w:t>）</w:t>
            </w:r>
          </w:p>
        </w:tc>
        <w:tc>
          <w:tcPr>
            <w:tcW w:w="5851" w:type="dxa"/>
            <w:gridSpan w:val="2"/>
            <w:tcBorders>
              <w:top w:val="single" w:color="auto" w:sz="4" w:space="0"/>
              <w:left w:val="single" w:color="auto" w:sz="4" w:space="0"/>
              <w:right w:val="single" w:color="auto" w:sz="4" w:space="0"/>
            </w:tcBorders>
            <w:noWrap w:val="0"/>
            <w:vAlign w:val="center"/>
          </w:tcPr>
          <w:p>
            <w:pPr>
              <w:pStyle w:val="116"/>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投标报价</w:t>
            </w:r>
            <w:r>
              <w:rPr>
                <w:rFonts w:hint="eastAsia" w:ascii="宋体" w:hAnsi="宋体" w:eastAsia="宋体" w:cs="宋体"/>
                <w:color w:val="auto"/>
                <w:sz w:val="24"/>
                <w:szCs w:val="24"/>
                <w:highlight w:val="none"/>
                <w:lang w:val="zh-CN"/>
              </w:rPr>
              <w:t>（元</w:t>
            </w:r>
            <w:r>
              <w:rPr>
                <w:rFonts w:hint="eastAsia" w:ascii="仿宋" w:hAnsi="仿宋" w:eastAsia="仿宋" w:cs="仿宋"/>
                <w:color w:val="auto"/>
                <w:sz w:val="24"/>
                <w:szCs w:val="24"/>
                <w:highlight w:val="none"/>
                <w:lang w:val="zh-CN"/>
              </w:rPr>
              <w:t>）</w:t>
            </w:r>
          </w:p>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rPr>
              <w:t>投标报</w:t>
            </w:r>
            <w:r>
              <w:rPr>
                <w:rFonts w:hint="eastAsia" w:ascii="仿宋" w:hAnsi="仿宋" w:eastAsia="仿宋" w:cs="仿宋"/>
                <w:color w:val="auto"/>
                <w:sz w:val="24"/>
                <w:szCs w:val="24"/>
                <w:highlight w:val="none"/>
                <w:lang w:val="en-US" w:eastAsia="zh-CN"/>
              </w:rPr>
              <w:t>价=最高</w:t>
            </w:r>
            <w:r>
              <w:rPr>
                <w:rFonts w:hint="eastAsia" w:ascii="仿宋" w:hAnsi="仿宋" w:eastAsia="仿宋" w:cs="仿宋"/>
                <w:color w:val="auto"/>
                <w:sz w:val="24"/>
                <w:szCs w:val="24"/>
                <w:highlight w:val="none"/>
                <w:lang w:val="zh-CN"/>
              </w:rPr>
              <w:t>投标限价×</w:t>
            </w:r>
            <w:r>
              <w:rPr>
                <w:rFonts w:hint="eastAsia" w:ascii="仿宋" w:hAnsi="仿宋" w:eastAsia="仿宋" w:cs="仿宋"/>
                <w:color w:val="auto"/>
                <w:sz w:val="24"/>
                <w:szCs w:val="24"/>
                <w:highlight w:val="none"/>
                <w:lang w:val="en-US" w:eastAsia="zh-CN"/>
              </w:rPr>
              <w:t>（1-投标报价下浮率），四舍五入</w:t>
            </w:r>
            <w:r>
              <w:rPr>
                <w:rFonts w:hint="eastAsia" w:ascii="仿宋" w:hAnsi="仿宋" w:eastAsia="仿宋" w:cs="仿宋"/>
                <w:color w:val="auto"/>
                <w:sz w:val="24"/>
                <w:szCs w:val="24"/>
                <w:highlight w:val="none"/>
                <w:lang w:val="zh-CN"/>
              </w:rPr>
              <w:t>保留至小数点后2位</w:t>
            </w:r>
          </w:p>
        </w:tc>
        <w:tc>
          <w:tcPr>
            <w:tcW w:w="585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Lines="0" w:beforeAutospacing="0" w:after="0" w:afterLines="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p>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工程质量要求</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建造师的注册编号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5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235" w:firstLineChars="98"/>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委派的专职安全员</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352" w:firstLineChars="147"/>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5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235" w:firstLineChars="98"/>
              <w:rPr>
                <w:rFonts w:hint="eastAsia" w:ascii="仿宋" w:hAnsi="仿宋" w:eastAsia="仿宋" w:cs="仿宋"/>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both"/>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安全生产考核合格证（C类）编号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bookmarkEnd w:id="224"/>
      <w:bookmarkEnd w:id="225"/>
      <w:bookmarkEnd w:id="226"/>
      <w:bookmarkEnd w:id="227"/>
    </w:tbl>
    <w:p>
      <w:pPr>
        <w:autoSpaceDE w:val="0"/>
        <w:autoSpaceDN w:val="0"/>
        <w:adjustRightInd w:val="0"/>
        <w:jc w:val="center"/>
        <w:rPr>
          <w:rFonts w:hint="eastAsia" w:ascii="仿宋" w:hAnsi="仿宋" w:eastAsia="仿宋" w:cs="仿宋"/>
          <w:b/>
          <w:color w:val="auto"/>
          <w:sz w:val="24"/>
          <w:szCs w:val="24"/>
          <w:highlight w:val="none"/>
          <w:lang w:val="zh-CN"/>
        </w:rPr>
      </w:pPr>
    </w:p>
    <w:p>
      <w:pPr>
        <w:autoSpaceDE w:val="0"/>
        <w:autoSpaceDN w:val="0"/>
        <w:adjustRightInd w:val="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投标日期：   年  月  日</w:t>
      </w:r>
    </w:p>
    <w:p>
      <w:pPr>
        <w:autoSpaceDE w:val="0"/>
        <w:autoSpaceDN w:val="0"/>
        <w:adjustRightInd w:val="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本表所报委派的项目负责人、安全员的姓名及相关资料，须与本企业在广州公共资源交易信息登记平台一致。</w:t>
      </w:r>
    </w:p>
    <w:p>
      <w:pPr>
        <w:autoSpaceDE w:val="0"/>
        <w:autoSpaceDN w:val="0"/>
        <w:adjustRightInd w:val="0"/>
        <w:jc w:val="left"/>
        <w:rPr>
          <w:rFonts w:hint="eastAsia"/>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本投标函附录由投标文件管理软件生成，投标人可直接在上面填写相关内容。</w:t>
      </w: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360" w:lineRule="auto"/>
        <w:jc w:val="center"/>
        <w:outlineLvl w:val="2"/>
        <w:rPr>
          <w:rFonts w:hint="eastAsia" w:ascii="仿宋" w:hAnsi="仿宋" w:eastAsia="仿宋" w:cs="仿宋"/>
          <w:color w:val="auto"/>
          <w:sz w:val="24"/>
          <w:szCs w:val="24"/>
          <w:highlight w:val="none"/>
        </w:rPr>
      </w:pPr>
      <w:bookmarkStart w:id="228" w:name="_Toc3479"/>
      <w:r>
        <w:rPr>
          <w:rFonts w:hint="eastAsia" w:ascii="仿宋" w:hAnsi="仿宋" w:eastAsia="仿宋" w:cs="仿宋"/>
          <w:color w:val="auto"/>
          <w:sz w:val="24"/>
          <w:szCs w:val="24"/>
          <w:highlight w:val="none"/>
        </w:rPr>
        <w:t>二、法定代表人身份证明</w:t>
      </w:r>
      <w:bookmarkEnd w:id="228"/>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(投标人名称)的法定代表人。</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附：法定代表人身份证正反面彩色</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bookmarkStart w:id="229" w:name="_Toc221952016"/>
      <w:bookmarkEnd w:id="229"/>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jc w:val="right"/>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 </w:t>
      </w:r>
      <w:bookmarkStart w:id="230" w:name="_Toc221952017"/>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pacing w:line="360" w:lineRule="auto"/>
        <w:jc w:val="center"/>
        <w:outlineLvl w:val="2"/>
        <w:rPr>
          <w:rFonts w:hint="eastAsia" w:ascii="仿宋" w:hAnsi="仿宋" w:eastAsia="仿宋" w:cs="仿宋"/>
          <w:color w:val="auto"/>
          <w:sz w:val="24"/>
          <w:szCs w:val="24"/>
          <w:highlight w:val="none"/>
        </w:rPr>
      </w:pPr>
      <w:bookmarkStart w:id="231" w:name="_Toc4989"/>
      <w:r>
        <w:rPr>
          <w:rFonts w:hint="eastAsia" w:ascii="仿宋" w:hAnsi="仿宋" w:eastAsia="仿宋" w:cs="仿宋"/>
          <w:color w:val="auto"/>
          <w:sz w:val="24"/>
          <w:szCs w:val="24"/>
          <w:highlight w:val="none"/>
        </w:rPr>
        <w:t>三、授权委托书</w:t>
      </w:r>
      <w:bookmarkEnd w:id="231"/>
    </w:p>
    <w:p>
      <w:pPr>
        <w:spacing w:line="400" w:lineRule="exact"/>
        <w:rPr>
          <w:rFonts w:hint="eastAsia" w:ascii="仿宋" w:hAnsi="仿宋" w:eastAsia="仿宋" w:cs="仿宋"/>
          <w:color w:val="auto"/>
          <w:sz w:val="24"/>
          <w:szCs w:val="24"/>
          <w:highlight w:val="none"/>
        </w:rPr>
      </w:pPr>
    </w:p>
    <w:p>
      <w:pPr>
        <w:topLinePunct/>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（标段名称）投标文件、签订合同和处理有关事宜，其法律后果由我方承担。</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委托期限：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230"/>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w:t>
      </w:r>
      <w:bookmarkStart w:id="232" w:name="_Toc221952022"/>
      <w:r>
        <w:rPr>
          <w:rFonts w:hint="eastAsia" w:ascii="仿宋" w:hAnsi="仿宋" w:eastAsia="仿宋" w:cs="仿宋"/>
          <w:color w:val="auto"/>
          <w:sz w:val="24"/>
          <w:szCs w:val="24"/>
          <w:highlight w:val="none"/>
        </w:rPr>
        <w:t>无转委托权。代理人为投标人正式职工（提供最近3个月的社</w:t>
      </w:r>
      <w:bookmarkEnd w:id="232"/>
      <w:r>
        <w:rPr>
          <w:rFonts w:hint="eastAsia" w:ascii="仿宋" w:hAnsi="仿宋" w:eastAsia="仿宋" w:cs="仿宋"/>
          <w:color w:val="auto"/>
          <w:sz w:val="24"/>
          <w:szCs w:val="24"/>
          <w:highlight w:val="none"/>
        </w:rPr>
        <w:t>保证明）</w:t>
      </w:r>
    </w:p>
    <w:p>
      <w:pPr>
        <w:spacing w:line="400" w:lineRule="exact"/>
        <w:ind w:firstLine="480" w:firstLineChars="200"/>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附：委托代</w:t>
      </w:r>
      <w:bookmarkStart w:id="233" w:name="_Toc221952023"/>
      <w:r>
        <w:rPr>
          <w:rFonts w:hint="eastAsia" w:ascii="仿宋" w:hAnsi="仿宋" w:eastAsia="仿宋" w:cs="仿宋"/>
          <w:color w:val="auto"/>
          <w:sz w:val="24"/>
          <w:szCs w:val="24"/>
          <w:highlight w:val="none"/>
        </w:rPr>
        <w:t>理人身份证正反面和社保证明</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bookmarkEnd w:id="233"/>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bookmarkStart w:id="234" w:name="_Toc221952025"/>
      <w:r>
        <w:rPr>
          <w:rFonts w:hint="eastAsia" w:ascii="仿宋" w:hAnsi="仿宋" w:eastAsia="仿宋" w:cs="仿宋"/>
          <w:color w:val="auto"/>
          <w:sz w:val="24"/>
          <w:szCs w:val="24"/>
          <w:highlight w:val="none"/>
        </w:rPr>
        <w:t>：</w:t>
      </w:r>
      <w:bookmarkStart w:id="235" w:name="_Toc222032731"/>
      <w:bookmarkEnd w:id="235"/>
      <w:bookmarkStart w:id="236" w:name="_Toc259524416"/>
      <w:bookmarkEnd w:id="236"/>
      <w:bookmarkStart w:id="237" w:name="_Toc222029562"/>
      <w:bookmarkEnd w:id="237"/>
      <w:bookmarkStart w:id="238" w:name="_Toc144974861"/>
      <w:bookmarkEnd w:id="238"/>
      <w:bookmarkStart w:id="239" w:name="_Toc229305422"/>
      <w:bookmarkEnd w:id="239"/>
      <w:bookmarkStart w:id="240" w:name="_Toc359263283"/>
      <w:bookmarkEnd w:id="240"/>
      <w:bookmarkStart w:id="241" w:name="_Toc168476322"/>
      <w:bookmarkEnd w:id="241"/>
      <w:bookmarkStart w:id="242" w:name="_Toc222033913"/>
      <w:bookmarkEnd w:id="242"/>
      <w:bookmarkStart w:id="243" w:name="_Toc222031064"/>
      <w:bookmarkEnd w:id="243"/>
      <w:bookmarkStart w:id="244" w:name="_Toc168475919"/>
      <w:bookmarkEnd w:id="244"/>
      <w:bookmarkStart w:id="245" w:name="_Toc221952024"/>
      <w:bookmarkEnd w:id="245"/>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（签字）</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lang w:val="en-US" w:eastAsia="zh-CN"/>
        </w:rPr>
        <w:t xml:space="preserve">                            </w:t>
      </w:r>
    </w:p>
    <w:p>
      <w:pPr>
        <w:wordWrap w:val="0"/>
        <w:spacing w:line="400" w:lineRule="exact"/>
        <w:jc w:val="righ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bookmarkEnd w:id="234"/>
      <w:r>
        <w:rPr>
          <w:rFonts w:hint="eastAsia" w:ascii="仿宋" w:hAnsi="仿宋" w:eastAsia="仿宋" w:cs="仿宋"/>
          <w:color w:val="auto"/>
          <w:sz w:val="24"/>
          <w:szCs w:val="24"/>
          <w:highlight w:val="none"/>
        </w:rPr>
        <w:t>签字）</w:t>
      </w:r>
      <w:bookmarkStart w:id="246" w:name="_Toc221952026"/>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bookmarkEnd w:id="246"/>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spacing w:line="400" w:lineRule="exact"/>
        <w:ind w:firstLine="1800" w:firstLineChars="7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47" w:name="_Toc221952044"/>
    </w:p>
    <w:p>
      <w:pPr>
        <w:spacing w:line="360" w:lineRule="auto"/>
        <w:jc w:val="center"/>
        <w:outlineLvl w:val="2"/>
        <w:rPr>
          <w:rFonts w:hint="eastAsia" w:ascii="仿宋" w:hAnsi="仿宋" w:eastAsia="仿宋" w:cs="仿宋"/>
          <w:color w:val="auto"/>
          <w:sz w:val="24"/>
          <w:szCs w:val="24"/>
          <w:highlight w:val="none"/>
        </w:rPr>
      </w:pPr>
      <w:bookmarkStart w:id="248" w:name="_Toc16161"/>
      <w:r>
        <w:rPr>
          <w:rFonts w:hint="eastAsia" w:ascii="仿宋" w:hAnsi="仿宋" w:eastAsia="仿宋" w:cs="仿宋"/>
          <w:color w:val="auto"/>
          <w:sz w:val="24"/>
          <w:szCs w:val="24"/>
          <w:highlight w:val="none"/>
        </w:rPr>
        <w:t>四、投标保证金</w:t>
      </w:r>
      <w:bookmarkEnd w:id="248"/>
    </w:p>
    <w:p>
      <w:pPr>
        <w:spacing w:line="400" w:lineRule="exact"/>
        <w:jc w:val="left"/>
        <w:rPr>
          <w:rFonts w:hint="eastAsia" w:ascii="仿宋" w:hAnsi="仿宋" w:eastAsia="仿宋" w:cs="仿宋"/>
          <w:color w:val="auto"/>
          <w:sz w:val="24"/>
          <w:szCs w:val="24"/>
          <w:highlight w:val="none"/>
          <w:u w:val="single"/>
        </w:rPr>
      </w:pP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（招标人名称）：</w:t>
      </w:r>
    </w:p>
    <w:p>
      <w:pPr>
        <w:spacing w:line="400" w:lineRule="exact"/>
        <w:jc w:val="left"/>
        <w:rPr>
          <w:rFonts w:hint="eastAsia" w:ascii="仿宋" w:hAnsi="仿宋" w:eastAsia="仿宋" w:cs="仿宋"/>
          <w:color w:val="auto"/>
          <w:sz w:val="24"/>
          <w:szCs w:val="24"/>
          <w:highlight w:val="none"/>
        </w:rPr>
      </w:pP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（投标人名称）</w:t>
      </w:r>
      <w:r>
        <w:rPr>
          <w:rFonts w:hint="eastAsia" w:ascii="仿宋" w:hAnsi="仿宋" w:eastAsia="仿宋" w:cs="仿宋"/>
          <w:color w:val="auto"/>
          <w:sz w:val="24"/>
          <w:szCs w:val="24"/>
          <w:highlight w:val="none"/>
        </w:rPr>
        <w:t>（以下称“投标人”）于年月日参加</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End w:id="247"/>
      <w:bookmarkStart w:id="249" w:name="_Toc221952043"/>
      <w:r>
        <w:rPr>
          <w:rFonts w:hint="eastAsia" w:ascii="仿宋" w:hAnsi="仿宋" w:eastAsia="仿宋" w:cs="仿宋"/>
          <w:color w:val="auto"/>
          <w:sz w:val="24"/>
          <w:szCs w:val="24"/>
          <w:highlight w:val="none"/>
        </w:rPr>
        <w:t>方支付人民币（大写）。</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本担保在投标有效期内保持有</w:t>
      </w:r>
      <w:bookmarkEnd w:id="249"/>
      <w:r>
        <w:rPr>
          <w:rFonts w:hint="eastAsia" w:ascii="仿宋" w:hAnsi="仿宋" w:eastAsia="仿宋" w:cs="仿宋"/>
          <w:color w:val="auto"/>
          <w:sz w:val="24"/>
          <w:szCs w:val="24"/>
          <w:highlight w:val="none"/>
        </w:rPr>
        <w:t>效。要求我</w:t>
      </w:r>
      <w:bookmarkStart w:id="250" w:name="_Toc222029564"/>
      <w:bookmarkStart w:id="251" w:name="_Toc359263285"/>
      <w:bookmarkStart w:id="252" w:name="_Toc222031066"/>
      <w:bookmarkStart w:id="253" w:name="_Toc222032733"/>
      <w:bookmarkStart w:id="254" w:name="_Toc168476324"/>
      <w:bookmarkStart w:id="255" w:name="_Toc229305424"/>
      <w:bookmarkStart w:id="256" w:name="_Toc221952052"/>
      <w:bookmarkStart w:id="257" w:name="_Toc222033915"/>
      <w:bookmarkStart w:id="258" w:name="_Toc168475921"/>
      <w:bookmarkStart w:id="259" w:name="_Toc259524418"/>
      <w:r>
        <w:rPr>
          <w:rFonts w:hint="eastAsia" w:ascii="仿宋" w:hAnsi="仿宋" w:eastAsia="仿宋" w:cs="仿宋"/>
          <w:color w:val="auto"/>
          <w:sz w:val="24"/>
          <w:szCs w:val="24"/>
          <w:highlight w:val="none"/>
        </w:rPr>
        <w:t>方承担保证责任</w:t>
      </w:r>
      <w:bookmarkEnd w:id="250"/>
      <w:bookmarkEnd w:id="251"/>
      <w:bookmarkEnd w:id="252"/>
      <w:bookmarkEnd w:id="253"/>
      <w:bookmarkEnd w:id="254"/>
      <w:bookmarkEnd w:id="255"/>
      <w:bookmarkEnd w:id="256"/>
      <w:bookmarkEnd w:id="257"/>
      <w:bookmarkEnd w:id="258"/>
      <w:bookmarkEnd w:id="259"/>
      <w:r>
        <w:rPr>
          <w:rFonts w:hint="eastAsia" w:ascii="仿宋" w:hAnsi="仿宋" w:eastAsia="仿宋" w:cs="仿宋"/>
          <w:color w:val="auto"/>
          <w:sz w:val="24"/>
          <w:szCs w:val="24"/>
          <w:highlight w:val="none"/>
        </w:rPr>
        <w:t>的书面通知应在投标有效期内送达</w:t>
      </w:r>
      <w:bookmarkStart w:id="260" w:name="_Toc221952054"/>
      <w:r>
        <w:rPr>
          <w:rFonts w:hint="eastAsia" w:ascii="仿宋" w:hAnsi="仿宋" w:eastAsia="仿宋" w:cs="仿宋"/>
          <w:color w:val="auto"/>
          <w:sz w:val="24"/>
          <w:szCs w:val="24"/>
          <w:highlight w:val="none"/>
        </w:rPr>
        <w:t>我方。</w:t>
      </w: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bookmarkEnd w:id="260"/>
    <w:p>
      <w:pPr>
        <w:spacing w:line="400" w:lineRule="exact"/>
        <w:jc w:val="left"/>
        <w:rPr>
          <w:rFonts w:hint="eastAsia" w:ascii="仿宋" w:hAnsi="仿宋" w:eastAsia="仿宋" w:cs="仿宋"/>
          <w:color w:val="auto"/>
          <w:sz w:val="24"/>
          <w:szCs w:val="24"/>
          <w:highlight w:val="none"/>
        </w:rPr>
      </w:pPr>
    </w:p>
    <w:p>
      <w:pPr>
        <w:spacing w:line="400" w:lineRule="exact"/>
        <w:ind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ind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（签字）</w:t>
      </w:r>
    </w:p>
    <w:p>
      <w:pPr>
        <w:spacing w:line="400" w:lineRule="exact"/>
        <w:ind w:firstLine="3424" w:firstLineChars="14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p>
    <w:p>
      <w:pPr>
        <w:spacing w:line="400" w:lineRule="exact"/>
        <w:ind w:firstLine="3424" w:firstLineChars="1427"/>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spacing w:line="400" w:lineRule="exact"/>
        <w:ind w:firstLine="3424" w:firstLineChars="14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bookmarkStart w:id="261" w:name="_Toc221952056"/>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spacing w:line="400" w:lineRule="exact"/>
        <w:ind w:firstLine="3787" w:firstLineChars="157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注1：投标保证金由广州公共资源交易平台代收</w:t>
      </w:r>
      <w:bookmarkEnd w:id="261"/>
      <w:r>
        <w:rPr>
          <w:rFonts w:hint="eastAsia" w:ascii="仿宋" w:hAnsi="仿宋" w:eastAsia="仿宋" w:cs="仿宋"/>
          <w:color w:val="auto"/>
          <w:sz w:val="24"/>
          <w:szCs w:val="24"/>
          <w:highlight w:val="none"/>
        </w:rPr>
        <w:t>的，以开标记录表记录的结果为准。</w:t>
      </w: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2：招标人收取的，附招标人开具收据的复印件；</w:t>
      </w: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3.采用投标保函形式的，应采用上述格式或银行保函的格式。</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4：委托代理人应附授权委托书。</w:t>
      </w:r>
    </w:p>
    <w:p>
      <w:pPr>
        <w:spacing w:line="360" w:lineRule="auto"/>
        <w:jc w:val="center"/>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numPr>
          <w:ilvl w:val="0"/>
          <w:numId w:val="0"/>
        </w:num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62" w:name="_Toc28960"/>
      <w:r>
        <w:rPr>
          <w:rFonts w:hint="eastAsia" w:ascii="仿宋" w:hAnsi="仿宋" w:eastAsia="仿宋" w:cs="仿宋"/>
          <w:color w:val="auto"/>
          <w:sz w:val="24"/>
          <w:szCs w:val="24"/>
          <w:highlight w:val="none"/>
        </w:rPr>
        <w:t>五、</w:t>
      </w:r>
      <w:bookmarkEnd w:id="262"/>
      <w:bookmarkStart w:id="263" w:name="_Toc17451660"/>
      <w:bookmarkStart w:id="264" w:name="_Toc20871"/>
      <w:bookmarkStart w:id="265" w:name="_Toc17452701"/>
      <w:bookmarkStart w:id="266" w:name="_Toc17454959"/>
      <w:bookmarkStart w:id="267" w:name="_Toc17454908"/>
      <w:bookmarkStart w:id="268" w:name="_Toc17451138"/>
      <w:bookmarkStart w:id="269" w:name="_Toc17451615"/>
      <w:bookmarkStart w:id="270" w:name="_Toc17556913"/>
      <w:r>
        <w:rPr>
          <w:rFonts w:hint="eastAsia" w:ascii="仿宋" w:hAnsi="仿宋" w:eastAsia="仿宋" w:cs="仿宋"/>
          <w:color w:val="auto"/>
          <w:sz w:val="24"/>
          <w:szCs w:val="24"/>
          <w:highlight w:val="none"/>
        </w:rPr>
        <w:t>项目管理机构</w:t>
      </w:r>
      <w:bookmarkEnd w:id="263"/>
      <w:bookmarkEnd w:id="264"/>
      <w:bookmarkEnd w:id="265"/>
      <w:bookmarkEnd w:id="266"/>
      <w:bookmarkEnd w:id="267"/>
      <w:bookmarkEnd w:id="268"/>
      <w:bookmarkEnd w:id="269"/>
      <w:bookmarkEnd w:id="270"/>
    </w:p>
    <w:p>
      <w:pPr>
        <w:spacing w:line="360" w:lineRule="auto"/>
        <w:jc w:val="center"/>
        <w:outlineLvl w:val="2"/>
        <w:rPr>
          <w:rFonts w:hint="eastAsia" w:ascii="宋体" w:hAnsi="宋体"/>
          <w:b/>
          <w:color w:val="auto"/>
          <w:sz w:val="24"/>
          <w:szCs w:val="24"/>
          <w:highlight w:val="none"/>
        </w:rPr>
      </w:pPr>
      <w:r>
        <w:rPr>
          <w:rFonts w:hint="eastAsia" w:ascii="宋体" w:hAnsi="宋体"/>
          <w:b/>
          <w:color w:val="auto"/>
          <w:sz w:val="24"/>
          <w:szCs w:val="24"/>
          <w:highlight w:val="none"/>
        </w:rPr>
        <w:t>项目管理架构人员最低配置承诺书（参考格式）</w:t>
      </w:r>
    </w:p>
    <w:p>
      <w:pPr>
        <w:spacing w:before="120" w:line="520" w:lineRule="exact"/>
        <w:ind w:left="960" w:hanging="960"/>
        <w:rPr>
          <w:rFonts w:ascii="宋体" w:hAnsi="宋体"/>
          <w:color w:val="auto"/>
          <w:szCs w:val="32"/>
          <w:highlight w:val="none"/>
        </w:rPr>
      </w:pPr>
      <w:r>
        <w:rPr>
          <w:rFonts w:ascii="宋体" w:hAnsi="宋体"/>
          <w:color w:val="auto"/>
          <w:szCs w:val="32"/>
          <w:highlight w:val="none"/>
        </w:rPr>
        <w:t>致（招标人）：</w:t>
      </w:r>
    </w:p>
    <w:p>
      <w:pPr>
        <w:spacing w:before="120" w:line="520" w:lineRule="exact"/>
        <w:ind w:left="6" w:leftChars="3" w:firstLine="420" w:firstLineChars="200"/>
        <w:rPr>
          <w:rFonts w:ascii="宋体" w:hAnsi="宋体"/>
          <w:b/>
          <w:bCs/>
          <w:color w:val="auto"/>
          <w:szCs w:val="32"/>
          <w:highlight w:val="none"/>
        </w:rPr>
      </w:pPr>
      <w:r>
        <w:rPr>
          <w:rFonts w:ascii="宋体" w:hAnsi="宋体"/>
          <w:color w:val="auto"/>
          <w:szCs w:val="32"/>
          <w:highlight w:val="none"/>
        </w:rPr>
        <w:t>我公司参与</w:t>
      </w:r>
      <w:r>
        <w:rPr>
          <w:rFonts w:ascii="宋体" w:hAnsi="宋体"/>
          <w:color w:val="auto"/>
          <w:szCs w:val="32"/>
          <w:highlight w:val="none"/>
          <w:u w:val="single"/>
        </w:rPr>
        <w:t xml:space="preserve">                （项目）</w:t>
      </w:r>
      <w:r>
        <w:rPr>
          <w:rFonts w:ascii="宋体" w:hAnsi="宋体"/>
          <w:color w:val="auto"/>
          <w:szCs w:val="32"/>
          <w:highlight w:val="none"/>
        </w:rPr>
        <w:t>投标，郑重承诺如下(具体要求请招标人根据项目特点确定)：</w:t>
      </w:r>
    </w:p>
    <w:tbl>
      <w:tblPr>
        <w:tblStyle w:val="40"/>
        <w:tblpPr w:leftFromText="180" w:rightFromText="180" w:vertAnchor="page" w:horzAnchor="page" w:tblpX="1035" w:tblpY="45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118"/>
        <w:gridCol w:w="1168"/>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岗位</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资格要求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rPr>
                <w:rFonts w:hint="eastAsia" w:ascii="宋体" w:hAnsi="宋体" w:cs="Calibri"/>
                <w:color w:val="auto"/>
                <w:szCs w:val="21"/>
                <w:highlight w:val="none"/>
              </w:rPr>
            </w:pPr>
            <w:r>
              <w:rPr>
                <w:rFonts w:hint="eastAsia" w:ascii="宋体" w:hAnsi="宋体" w:cs="Calibri"/>
                <w:color w:val="auto"/>
                <w:szCs w:val="21"/>
                <w:highlight w:val="none"/>
              </w:rPr>
              <w:t>数量</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项目负责人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Calibri"/>
                <w:color w:val="auto"/>
                <w:sz w:val="24"/>
                <w:szCs w:val="24"/>
                <w:highlight w:val="none"/>
                <w:lang w:val="en-US" w:eastAsia="zh-CN"/>
              </w:rPr>
            </w:pPr>
            <w:r>
              <w:rPr>
                <w:rFonts w:hint="eastAsia" w:ascii="宋体" w:hAnsi="宋体" w:cs="Calibri"/>
                <w:color w:val="auto"/>
                <w:sz w:val="24"/>
                <w:szCs w:val="24"/>
                <w:highlight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33" w:right="0"/>
              <w:rPr>
                <w:rFonts w:hint="default" w:ascii="宋体" w:hAnsi="宋体" w:cs="Calibri"/>
                <w:color w:val="auto"/>
                <w:sz w:val="24"/>
                <w:szCs w:val="24"/>
                <w:highlight w:val="none"/>
              </w:rPr>
            </w:pPr>
            <w:r>
              <w:rPr>
                <w:rFonts w:hint="default" w:ascii="宋体" w:hAnsi="宋体" w:cs="Calibri"/>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2</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技术负责人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0" w:right="0" w:firstLine="34"/>
              <w:rPr>
                <w:rFonts w:hint="default" w:ascii="宋体" w:hAnsi="宋体" w:cs="Calibri"/>
                <w:color w:val="auto"/>
                <w:sz w:val="24"/>
                <w:szCs w:val="24"/>
                <w:highlight w:val="none"/>
              </w:rPr>
            </w:pPr>
            <w:r>
              <w:rPr>
                <w:rFonts w:hint="default" w:ascii="宋体" w:hAnsi="宋体" w:cs="Calibri"/>
                <w:color w:val="auto"/>
                <w:sz w:val="24"/>
                <w:highlight w:val="none"/>
              </w:rPr>
              <w:t>等级根据项目规模确定，不得由项目负责人或专职安全员兼职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3</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专职安全员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Calibri"/>
                <w:color w:val="auto"/>
                <w:sz w:val="24"/>
                <w:szCs w:val="24"/>
                <w:highlight w:val="none"/>
                <w:lang w:val="en-US" w:eastAsia="zh-CN"/>
              </w:rPr>
            </w:pPr>
            <w:r>
              <w:rPr>
                <w:rFonts w:hint="eastAsia" w:ascii="宋体" w:hAnsi="宋体" w:cs="Calibri"/>
                <w:color w:val="auto"/>
                <w:sz w:val="24"/>
                <w:szCs w:val="24"/>
                <w:highlight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33" w:right="0"/>
              <w:rPr>
                <w:rFonts w:hint="default" w:ascii="宋体" w:hAnsi="宋体" w:cs="Calibri"/>
                <w:color w:val="auto"/>
                <w:sz w:val="24"/>
                <w:szCs w:val="24"/>
                <w:highlight w:val="none"/>
              </w:rPr>
            </w:pPr>
            <w:r>
              <w:rPr>
                <w:rFonts w:hint="default" w:ascii="宋体" w:hAnsi="宋体" w:cs="Calibri"/>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4</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预结算员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具备预结算从业资格</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5</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资料员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6</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施工员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1个以上</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bl>
    <w:p>
      <w:pPr>
        <w:spacing w:before="120" w:line="400" w:lineRule="exact"/>
        <w:ind w:right="42" w:rightChars="20" w:firstLine="480" w:firstLineChars="200"/>
        <w:rPr>
          <w:rFonts w:ascii="宋体" w:hAnsi="宋体"/>
          <w:color w:val="auto"/>
          <w:sz w:val="24"/>
          <w:szCs w:val="24"/>
          <w:highlight w:val="none"/>
        </w:rPr>
      </w:pPr>
      <w:r>
        <w:rPr>
          <w:rFonts w:ascii="宋体" w:hAnsi="宋体"/>
          <w:color w:val="auto"/>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ascii="宋体" w:hAnsi="宋体"/>
          <w:color w:val="auto"/>
          <w:sz w:val="24"/>
          <w:highlight w:val="none"/>
        </w:rPr>
      </w:pPr>
      <w:r>
        <w:rPr>
          <w:rFonts w:ascii="宋体" w:hAnsi="宋体"/>
          <w:color w:val="auto"/>
          <w:sz w:val="24"/>
          <w:highlight w:val="none"/>
        </w:rPr>
        <w:t>如我公司违反上述承诺，我公司自愿放弃本项目中标资格。</w:t>
      </w:r>
    </w:p>
    <w:p>
      <w:pPr>
        <w:spacing w:before="120" w:line="400" w:lineRule="exact"/>
        <w:ind w:right="42" w:rightChars="20" w:firstLine="480" w:firstLineChars="200"/>
        <w:rPr>
          <w:rFonts w:ascii="宋体" w:hAnsi="宋体"/>
          <w:color w:val="auto"/>
          <w:sz w:val="24"/>
          <w:highlight w:val="none"/>
        </w:rPr>
      </w:pPr>
      <w:r>
        <w:rPr>
          <w:rFonts w:ascii="宋体" w:hAnsi="宋体"/>
          <w:color w:val="auto"/>
          <w:sz w:val="24"/>
          <w:highlight w:val="none"/>
        </w:rPr>
        <w:t>若因人员不足或人员素质不能满足工程实际需要时，我方将无条件按照业主和监理工程师的要求更换或增加相关人员。</w:t>
      </w:r>
    </w:p>
    <w:p>
      <w:pPr>
        <w:spacing w:before="120" w:line="400" w:lineRule="exact"/>
        <w:ind w:left="720" w:hanging="720"/>
        <w:jc w:val="right"/>
        <w:rPr>
          <w:rFonts w:ascii="宋体" w:hAnsi="宋体"/>
          <w:color w:val="auto"/>
          <w:sz w:val="24"/>
          <w:highlight w:val="none"/>
        </w:rPr>
      </w:pPr>
    </w:p>
    <w:p>
      <w:pPr>
        <w:spacing w:before="120" w:line="400" w:lineRule="exact"/>
        <w:ind w:left="720" w:hanging="720"/>
        <w:jc w:val="right"/>
        <w:rPr>
          <w:rFonts w:ascii="宋体" w:hAnsi="宋体"/>
          <w:color w:val="auto"/>
          <w:sz w:val="24"/>
          <w:highlight w:val="none"/>
        </w:rPr>
      </w:pPr>
    </w:p>
    <w:p>
      <w:pPr>
        <w:wordWrap/>
        <w:spacing w:before="120" w:line="400" w:lineRule="exact"/>
        <w:ind w:left="720" w:hanging="720"/>
        <w:jc w:val="right"/>
        <w:rPr>
          <w:rFonts w:ascii="宋体" w:hAnsi="宋体"/>
          <w:color w:val="auto"/>
          <w:sz w:val="24"/>
          <w:highlight w:val="none"/>
        </w:rPr>
      </w:pPr>
      <w:r>
        <w:rPr>
          <w:rFonts w:hint="eastAsia" w:ascii="宋体" w:hAnsi="宋体"/>
          <w:color w:val="auto"/>
          <w:sz w:val="24"/>
          <w:highlight w:val="none"/>
          <w:lang w:val="en-US" w:eastAsia="zh-CN"/>
        </w:rPr>
        <w:t xml:space="preserve">   </w:t>
      </w:r>
      <w:r>
        <w:rPr>
          <w:rFonts w:ascii="宋体" w:hAnsi="宋体"/>
          <w:color w:val="auto"/>
          <w:sz w:val="24"/>
          <w:highlight w:val="none"/>
        </w:rPr>
        <w:t>法定代表人或其委托代理人：</w:t>
      </w:r>
      <w:r>
        <w:rPr>
          <w:rFonts w:hint="eastAsia" w:ascii="宋体" w:hAnsi="宋体"/>
          <w:color w:val="auto"/>
          <w:sz w:val="24"/>
          <w:highlight w:val="none"/>
          <w:lang w:val="en-US" w:eastAsia="zh-CN"/>
        </w:rPr>
        <w:t xml:space="preserve">         </w:t>
      </w:r>
      <w:r>
        <w:rPr>
          <w:rFonts w:ascii="宋体" w:hAnsi="宋体"/>
          <w:color w:val="auto"/>
          <w:sz w:val="24"/>
          <w:highlight w:val="none"/>
        </w:rPr>
        <w:t>（</w:t>
      </w:r>
      <w:r>
        <w:rPr>
          <w:rFonts w:hint="eastAsia" w:ascii="宋体" w:hAnsi="宋体"/>
          <w:color w:val="auto"/>
          <w:sz w:val="24"/>
          <w:highlight w:val="none"/>
        </w:rPr>
        <w:t>签字</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pPr>
        <w:spacing w:line="400" w:lineRule="exact"/>
        <w:rPr>
          <w:rFonts w:ascii="宋体" w:hAnsi="宋体"/>
          <w:color w:val="auto"/>
          <w:sz w:val="19"/>
          <w:szCs w:val="19"/>
          <w:highlight w:val="none"/>
        </w:rPr>
      </w:pPr>
      <w:r>
        <w:rPr>
          <w:rFonts w:ascii="宋体" w:hAnsi="宋体"/>
          <w:color w:val="auto"/>
          <w:sz w:val="24"/>
          <w:highlight w:val="none"/>
        </w:rPr>
        <w:t xml:space="preserve">                           单位名称：</w:t>
      </w:r>
      <w:r>
        <w:rPr>
          <w:rFonts w:hint="eastAsia" w:ascii="宋体" w:hAnsi="宋体"/>
          <w:color w:val="auto"/>
          <w:sz w:val="24"/>
          <w:highlight w:val="none"/>
          <w:lang w:val="en-US" w:eastAsia="zh-CN"/>
        </w:rPr>
        <w:t xml:space="preserve">                     </w:t>
      </w:r>
      <w:r>
        <w:rPr>
          <w:rFonts w:ascii="宋体" w:hAnsi="宋体"/>
          <w:color w:val="auto"/>
          <w:sz w:val="24"/>
          <w:highlight w:val="none"/>
        </w:rPr>
        <w:t>（盖</w:t>
      </w:r>
      <w:r>
        <w:rPr>
          <w:rFonts w:hint="eastAsia" w:ascii="宋体" w:hAnsi="宋体"/>
          <w:color w:val="auto"/>
          <w:sz w:val="24"/>
          <w:highlight w:val="none"/>
        </w:rPr>
        <w:t>单位</w:t>
      </w:r>
      <w:r>
        <w:rPr>
          <w:rFonts w:ascii="宋体" w:hAnsi="宋体"/>
          <w:color w:val="auto"/>
          <w:sz w:val="24"/>
          <w:highlight w:val="none"/>
        </w:rPr>
        <w:t xml:space="preserve">章）  </w:t>
      </w:r>
    </w:p>
    <w:p>
      <w:pPr>
        <w:widowControl/>
        <w:spacing w:line="400" w:lineRule="exact"/>
        <w:ind w:firstLine="480" w:firstLineChars="200"/>
        <w:jc w:val="lef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jc w:val="center"/>
        <w:rPr>
          <w:rFonts w:ascii="宋体" w:hAnsi="宋体"/>
          <w:color w:val="auto"/>
          <w:sz w:val="28"/>
          <w:szCs w:val="28"/>
          <w:highlight w:val="none"/>
        </w:rPr>
      </w:pPr>
      <w:r>
        <w:rPr>
          <w:rFonts w:hint="eastAsia" w:ascii="仿宋" w:hAnsi="仿宋" w:eastAsia="仿宋" w:cs="仿宋"/>
          <w:color w:val="auto"/>
          <w:sz w:val="24"/>
          <w:szCs w:val="24"/>
          <w:highlight w:val="none"/>
        </w:rPr>
        <w:br w:type="page"/>
      </w:r>
      <w:bookmarkStart w:id="271" w:name="_Toc168475930"/>
      <w:bookmarkStart w:id="272" w:name="_Toc222029567"/>
      <w:bookmarkStart w:id="273" w:name="_Toc168476333"/>
      <w:bookmarkStart w:id="274" w:name="_Toc222033918"/>
      <w:bookmarkStart w:id="275" w:name="_Toc222031069"/>
      <w:bookmarkStart w:id="276" w:name="_Toc222032736"/>
      <w:bookmarkStart w:id="277" w:name="_Toc144974871"/>
      <w:bookmarkStart w:id="278" w:name="_Toc221952115"/>
      <w:bookmarkStart w:id="279" w:name="_Toc259524421"/>
      <w:bookmarkStart w:id="280" w:name="_Toc229305427"/>
      <w:bookmarkStart w:id="281" w:name="_Toc13708"/>
      <w:r>
        <w:rPr>
          <w:rFonts w:hint="eastAsia" w:ascii="仿宋" w:hAnsi="仿宋" w:eastAsia="仿宋" w:cs="仿宋"/>
          <w:color w:val="auto"/>
          <w:sz w:val="24"/>
          <w:szCs w:val="24"/>
          <w:highlight w:val="none"/>
        </w:rPr>
        <w:t>六、</w:t>
      </w:r>
      <w:bookmarkEnd w:id="271"/>
      <w:bookmarkEnd w:id="272"/>
      <w:bookmarkEnd w:id="273"/>
      <w:bookmarkEnd w:id="274"/>
      <w:bookmarkEnd w:id="275"/>
      <w:bookmarkEnd w:id="276"/>
      <w:bookmarkEnd w:id="277"/>
      <w:bookmarkEnd w:id="278"/>
      <w:bookmarkEnd w:id="279"/>
      <w:bookmarkEnd w:id="280"/>
      <w:bookmarkEnd w:id="281"/>
      <w:r>
        <w:rPr>
          <w:rFonts w:hint="eastAsia" w:ascii="仿宋" w:hAnsi="仿宋" w:eastAsia="仿宋" w:cs="仿宋"/>
          <w:color w:val="auto"/>
          <w:sz w:val="24"/>
          <w:szCs w:val="24"/>
          <w:highlight w:val="none"/>
        </w:rPr>
        <w:t>资格审查资料</w:t>
      </w: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（一）投标人基本情况表</w:t>
      </w:r>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eastAsia" w:ascii="宋体" w:hAnsi="宋体" w:cs="Calibri"/>
                <w:color w:val="auto"/>
                <w:szCs w:val="20"/>
                <w:highlight w:val="none"/>
              </w:rPr>
              <w:t>投标人</w:t>
            </w:r>
            <w:r>
              <w:rPr>
                <w:rFonts w:hint="default" w:ascii="宋体" w:hAnsi="宋体" w:cs="Calibri"/>
                <w:color w:val="auto"/>
                <w:szCs w:val="20"/>
                <w:highlight w:val="none"/>
              </w:rPr>
              <w:t>名称</w:t>
            </w:r>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注册地址</w:t>
            </w:r>
          </w:p>
        </w:tc>
        <w:tc>
          <w:tcPr>
            <w:tcW w:w="323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邮政编码</w:t>
            </w:r>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2" w:name="_Toc221952158"/>
            <w:r>
              <w:rPr>
                <w:rFonts w:hint="default" w:ascii="宋体" w:hAnsi="宋体" w:cs="Calibri"/>
                <w:color w:val="auto"/>
                <w:szCs w:val="20"/>
                <w:highlight w:val="none"/>
              </w:rPr>
              <w:t>联系方式</w:t>
            </w:r>
            <w:bookmarkEnd w:id="282"/>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3" w:name="_Toc221952159"/>
            <w:r>
              <w:rPr>
                <w:rFonts w:hint="default" w:ascii="宋体" w:hAnsi="宋体" w:cs="Calibri"/>
                <w:color w:val="auto"/>
                <w:szCs w:val="20"/>
                <w:highlight w:val="none"/>
              </w:rPr>
              <w:t>联系人</w:t>
            </w:r>
            <w:bookmarkEnd w:id="283"/>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4" w:name="_Toc221952160"/>
            <w:r>
              <w:rPr>
                <w:rFonts w:hint="default" w:ascii="宋体" w:hAnsi="宋体" w:cs="Calibri"/>
                <w:color w:val="auto"/>
                <w:szCs w:val="20"/>
                <w:highlight w:val="none"/>
              </w:rPr>
              <w:t>电 话</w:t>
            </w:r>
            <w:bookmarkEnd w:id="284"/>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5" w:name="_Toc221952161"/>
            <w:r>
              <w:rPr>
                <w:rFonts w:hint="default" w:ascii="宋体" w:hAnsi="宋体" w:cs="Calibri"/>
                <w:color w:val="auto"/>
                <w:szCs w:val="20"/>
                <w:highlight w:val="none"/>
              </w:rPr>
              <w:t>传  真</w:t>
            </w:r>
            <w:bookmarkEnd w:id="285"/>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6" w:name="_Toc221952162"/>
            <w:r>
              <w:rPr>
                <w:rFonts w:hint="default" w:ascii="宋体" w:hAnsi="宋体" w:cs="Calibri"/>
                <w:color w:val="auto"/>
                <w:szCs w:val="20"/>
                <w:highlight w:val="none"/>
              </w:rPr>
              <w:t>网 址</w:t>
            </w:r>
            <w:bookmarkEnd w:id="286"/>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7" w:name="_Toc221952163"/>
            <w:r>
              <w:rPr>
                <w:rFonts w:hint="default" w:ascii="宋体" w:hAnsi="宋体" w:cs="Calibri"/>
                <w:color w:val="auto"/>
                <w:szCs w:val="20"/>
                <w:highlight w:val="none"/>
              </w:rPr>
              <w:t>组织结构</w:t>
            </w:r>
            <w:bookmarkEnd w:id="287"/>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8" w:name="_Toc221952164"/>
            <w:r>
              <w:rPr>
                <w:rFonts w:hint="default" w:ascii="宋体" w:hAnsi="宋体" w:cs="Calibri"/>
                <w:color w:val="auto"/>
                <w:szCs w:val="20"/>
                <w:highlight w:val="none"/>
              </w:rPr>
              <w:t>法定代表人</w:t>
            </w:r>
            <w:bookmarkEnd w:id="288"/>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姓名</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技术职称</w:t>
            </w:r>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电话</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技术负责人</w:t>
            </w:r>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姓名</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技术职称</w:t>
            </w:r>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电话</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成立时间</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员工总人数：</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firstLine="1050" w:firstLineChars="500"/>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企业资质等级</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其中</w:t>
            </w: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项目负责人</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营业执照号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高级职称人员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注册资金</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中级职称人员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开户银行</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初级职称人员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账号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w:t>
            </w:r>
            <w:r>
              <w:rPr>
                <w:rFonts w:hint="eastAsia" w:ascii="宋体" w:hAnsi="宋体" w:cs="Calibri"/>
                <w:color w:val="auto"/>
                <w:szCs w:val="20"/>
                <w:highlight w:val="none"/>
              </w:rPr>
              <w:t xml:space="preserve">  </w:t>
            </w:r>
            <w:r>
              <w:rPr>
                <w:rFonts w:hint="default" w:ascii="宋体" w:hAnsi="宋体" w:cs="Calibri"/>
                <w:color w:val="auto"/>
                <w:szCs w:val="20"/>
                <w:highlight w:val="none"/>
              </w:rPr>
              <w:t>工</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firstLine="210" w:firstLineChars="100"/>
              <w:jc w:val="center"/>
              <w:rPr>
                <w:rFonts w:hint="default" w:ascii="宋体" w:hAnsi="宋体" w:cs="Calibri"/>
                <w:color w:val="auto"/>
                <w:szCs w:val="20"/>
                <w:highlight w:val="none"/>
              </w:rPr>
            </w:pPr>
            <w:r>
              <w:rPr>
                <w:rFonts w:hint="default" w:ascii="宋体" w:hAnsi="宋体" w:cs="Calibri"/>
                <w:color w:val="auto"/>
                <w:szCs w:val="20"/>
                <w:highlight w:val="none"/>
              </w:rPr>
              <w:t>经营范围</w:t>
            </w:r>
          </w:p>
        </w:tc>
        <w:tc>
          <w:tcPr>
            <w:tcW w:w="6811" w:type="dxa"/>
            <w:gridSpan w:val="9"/>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备注</w:t>
            </w:r>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bl>
    <w:p>
      <w:pPr>
        <w:spacing w:line="400" w:lineRule="exact"/>
        <w:rPr>
          <w:rFonts w:hint="eastAsia" w:ascii="宋体" w:hAnsi="宋体"/>
          <w:color w:val="auto"/>
          <w:highlight w:val="none"/>
          <w:lang w:eastAsia="zh-CN"/>
        </w:rPr>
      </w:pPr>
      <w:r>
        <w:rPr>
          <w:rFonts w:hint="eastAsia" w:ascii="宋体" w:hAnsi="宋体"/>
          <w:color w:val="auto"/>
          <w:highlight w:val="none"/>
        </w:rPr>
        <w:t>注</w:t>
      </w:r>
      <w:r>
        <w:rPr>
          <w:rFonts w:hint="eastAsia" w:ascii="宋体" w:hAnsi="宋体"/>
          <w:color w:val="auto"/>
          <w:highlight w:val="none"/>
          <w:lang w:eastAsia="zh-CN"/>
        </w:rPr>
        <w:t>：应附投标人营业执照副本、资质证书副本和安全生产许可证等材料的扫描件。</w:t>
      </w: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r>
        <w:rPr>
          <w:rFonts w:ascii="宋体" w:hAnsi="宋体"/>
          <w:b/>
          <w:color w:val="auto"/>
          <w:sz w:val="24"/>
          <w:szCs w:val="31"/>
          <w:highlight w:val="none"/>
        </w:rPr>
        <w:t>（二）</w:t>
      </w:r>
      <w:r>
        <w:rPr>
          <w:rFonts w:hint="eastAsia" w:ascii="宋体" w:hAnsi="宋体"/>
          <w:b/>
          <w:color w:val="auto"/>
          <w:sz w:val="24"/>
          <w:szCs w:val="31"/>
          <w:highlight w:val="none"/>
        </w:rPr>
        <w:t>拟投入项目负责人</w:t>
      </w:r>
    </w:p>
    <w:p>
      <w:pPr>
        <w:spacing w:before="260" w:after="260" w:line="415" w:lineRule="auto"/>
        <w:jc w:val="center"/>
        <w:rPr>
          <w:rFonts w:ascii="宋体" w:hAnsi="宋体"/>
          <w:b/>
          <w:color w:val="auto"/>
          <w:sz w:val="32"/>
          <w:szCs w:val="32"/>
          <w:highlight w:val="none"/>
        </w:rPr>
      </w:pPr>
      <w:r>
        <w:rPr>
          <w:rFonts w:hint="eastAsia" w:ascii="宋体" w:hAnsi="宋体"/>
          <w:b/>
          <w:color w:val="auto"/>
          <w:sz w:val="32"/>
          <w:szCs w:val="32"/>
          <w:highlight w:val="none"/>
        </w:rPr>
        <w:t>项目负责人</w:t>
      </w:r>
      <w:r>
        <w:rPr>
          <w:rFonts w:ascii="宋体" w:hAnsi="宋体"/>
          <w:b/>
          <w:color w:val="auto"/>
          <w:sz w:val="32"/>
          <w:szCs w:val="32"/>
          <w:highlight w:val="none"/>
        </w:rPr>
        <w:t>简历表</w:t>
      </w:r>
    </w:p>
    <w:tbl>
      <w:tblPr>
        <w:tblStyle w:val="40"/>
        <w:tblpPr w:leftFromText="180" w:rightFromText="180" w:vertAnchor="text" w:horzAnchor="margin"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姓  名</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年 龄</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学历</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称</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务</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拟在本合同任职</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毕业学校</w:t>
            </w:r>
          </w:p>
        </w:tc>
        <w:tc>
          <w:tcPr>
            <w:tcW w:w="7339" w:type="dxa"/>
            <w:gridSpan w:val="8"/>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时  间</w:t>
            </w:r>
          </w:p>
        </w:tc>
        <w:tc>
          <w:tcPr>
            <w:tcW w:w="3423" w:type="dxa"/>
            <w:gridSpan w:val="4"/>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参加过的类似项目</w:t>
            </w:r>
          </w:p>
        </w:tc>
        <w:tc>
          <w:tcPr>
            <w:tcW w:w="126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担任职务</w:t>
            </w:r>
          </w:p>
        </w:tc>
        <w:tc>
          <w:tcPr>
            <w:tcW w:w="2298"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bl>
    <w:p>
      <w:pPr>
        <w:spacing w:line="400" w:lineRule="exact"/>
        <w:ind w:firstLine="420"/>
        <w:rPr>
          <w:rFonts w:hint="eastAsia" w:ascii="宋体" w:hAnsi="宋体"/>
          <w:b/>
          <w:color w:val="auto"/>
          <w:sz w:val="24"/>
          <w:szCs w:val="31"/>
          <w:highlight w:val="none"/>
        </w:rPr>
      </w:pPr>
      <w:r>
        <w:rPr>
          <w:rFonts w:hint="eastAsia" w:ascii="宋体" w:hAnsi="宋体"/>
          <w:color w:val="auto"/>
          <w:highlight w:val="none"/>
        </w:rPr>
        <w:t>应附注册建造师执业资格证书、养老保险复印件、安全培训考核合格证（B证）复印件。</w:t>
      </w:r>
      <w:bookmarkStart w:id="289" w:name="_Toc247085892"/>
      <w:bookmarkStart w:id="290" w:name="_Toc246996374"/>
      <w:bookmarkStart w:id="291" w:name="_Toc246997117"/>
      <w:bookmarkStart w:id="292" w:name="_Toc332641447"/>
      <w:r>
        <w:rPr>
          <w:rFonts w:ascii="宋体" w:hAnsi="宋体"/>
          <w:b/>
          <w:color w:val="auto"/>
          <w:sz w:val="24"/>
          <w:szCs w:val="31"/>
          <w:highlight w:val="none"/>
        </w:rPr>
        <w:br w:type="page"/>
      </w:r>
      <w:r>
        <w:rPr>
          <w:rFonts w:ascii="宋体" w:hAnsi="宋体"/>
          <w:b/>
          <w:color w:val="auto"/>
          <w:sz w:val="24"/>
          <w:szCs w:val="31"/>
          <w:highlight w:val="none"/>
        </w:rPr>
        <w:t>（</w:t>
      </w:r>
      <w:r>
        <w:rPr>
          <w:rFonts w:hint="eastAsia" w:ascii="宋体" w:hAnsi="宋体"/>
          <w:b/>
          <w:color w:val="auto"/>
          <w:sz w:val="24"/>
          <w:szCs w:val="31"/>
          <w:highlight w:val="none"/>
          <w:lang w:val="en-US" w:eastAsia="zh-CN"/>
        </w:rPr>
        <w:t>三</w:t>
      </w:r>
      <w:r>
        <w:rPr>
          <w:rFonts w:ascii="宋体" w:hAnsi="宋体"/>
          <w:b/>
          <w:color w:val="auto"/>
          <w:sz w:val="24"/>
          <w:szCs w:val="31"/>
          <w:highlight w:val="none"/>
        </w:rPr>
        <w:t>）</w:t>
      </w:r>
      <w:r>
        <w:rPr>
          <w:rFonts w:hint="eastAsia" w:ascii="宋体" w:hAnsi="宋体"/>
          <w:b/>
          <w:color w:val="auto"/>
          <w:sz w:val="24"/>
          <w:szCs w:val="31"/>
          <w:highlight w:val="none"/>
        </w:rPr>
        <w:t>拟投入</w:t>
      </w:r>
      <w:r>
        <w:rPr>
          <w:rFonts w:hint="eastAsia" w:ascii="宋体" w:hAnsi="宋体"/>
          <w:b/>
          <w:color w:val="auto"/>
          <w:sz w:val="24"/>
          <w:szCs w:val="31"/>
          <w:highlight w:val="none"/>
          <w:lang w:val="en-US" w:eastAsia="zh-CN"/>
        </w:rPr>
        <w:t>技术</w:t>
      </w:r>
      <w:r>
        <w:rPr>
          <w:rFonts w:hint="eastAsia" w:ascii="宋体" w:hAnsi="宋体"/>
          <w:b/>
          <w:color w:val="auto"/>
          <w:sz w:val="24"/>
          <w:szCs w:val="31"/>
          <w:highlight w:val="none"/>
        </w:rPr>
        <w:t>负责人</w:t>
      </w:r>
    </w:p>
    <w:p>
      <w:pPr>
        <w:numPr>
          <w:ilvl w:val="0"/>
          <w:numId w:val="0"/>
        </w:numPr>
        <w:spacing w:before="260" w:after="260" w:line="415"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技术负责人</w:t>
      </w:r>
      <w:r>
        <w:rPr>
          <w:rFonts w:ascii="宋体" w:hAnsi="宋体"/>
          <w:b/>
          <w:color w:val="auto"/>
          <w:sz w:val="32"/>
          <w:szCs w:val="32"/>
          <w:highlight w:val="none"/>
        </w:rPr>
        <w:t>简历表</w:t>
      </w:r>
    </w:p>
    <w:tbl>
      <w:tblPr>
        <w:tblStyle w:val="40"/>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姓  名</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年 龄</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学历</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称</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务</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拟在本合同任职</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毕业学校</w:t>
            </w:r>
          </w:p>
        </w:tc>
        <w:tc>
          <w:tcPr>
            <w:tcW w:w="7339" w:type="dxa"/>
            <w:gridSpan w:val="8"/>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时  间</w:t>
            </w:r>
          </w:p>
        </w:tc>
        <w:tc>
          <w:tcPr>
            <w:tcW w:w="3423" w:type="dxa"/>
            <w:gridSpan w:val="4"/>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参加过的类似项目</w:t>
            </w:r>
          </w:p>
        </w:tc>
        <w:tc>
          <w:tcPr>
            <w:tcW w:w="126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担任职务</w:t>
            </w:r>
          </w:p>
        </w:tc>
        <w:tc>
          <w:tcPr>
            <w:tcW w:w="2298"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bl>
    <w:p>
      <w:pPr>
        <w:spacing w:before="260" w:after="260" w:line="415" w:lineRule="auto"/>
        <w:jc w:val="left"/>
        <w:rPr>
          <w:rFonts w:hint="eastAsia" w:ascii="宋体" w:hAnsi="宋体"/>
          <w:color w:val="auto"/>
          <w:szCs w:val="21"/>
          <w:highlight w:val="none"/>
        </w:rPr>
      </w:pPr>
      <w:r>
        <w:rPr>
          <w:rFonts w:hint="eastAsia" w:ascii="宋体" w:hAnsi="宋体"/>
          <w:color w:val="auto"/>
          <w:szCs w:val="21"/>
          <w:highlight w:val="none"/>
        </w:rPr>
        <w:t>应附职称证书复印件、养老保险复印件。</w:t>
      </w:r>
    </w:p>
    <w:p>
      <w:pPr>
        <w:spacing w:line="400" w:lineRule="exact"/>
        <w:jc w:val="left"/>
        <w:outlineLvl w:val="3"/>
        <w:rPr>
          <w:rFonts w:hint="eastAsia" w:ascii="宋体" w:hAnsi="宋体"/>
          <w:b/>
          <w:color w:val="auto"/>
          <w:sz w:val="24"/>
          <w:szCs w:val="31"/>
          <w:highlight w:val="none"/>
        </w:rPr>
      </w:pPr>
    </w:p>
    <w:p>
      <w:pPr>
        <w:spacing w:line="400" w:lineRule="exact"/>
        <w:jc w:val="left"/>
        <w:outlineLvl w:val="3"/>
        <w:rPr>
          <w:rFonts w:hint="eastAsia"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w:t>
      </w:r>
      <w:r>
        <w:rPr>
          <w:rFonts w:hint="eastAsia" w:ascii="宋体" w:hAnsi="宋体"/>
          <w:b/>
          <w:color w:val="auto"/>
          <w:sz w:val="24"/>
          <w:szCs w:val="31"/>
          <w:highlight w:val="none"/>
          <w:lang w:val="en-US" w:eastAsia="zh-CN"/>
        </w:rPr>
        <w:t>四</w:t>
      </w:r>
      <w:r>
        <w:rPr>
          <w:rFonts w:hint="eastAsia" w:ascii="宋体" w:hAnsi="宋体"/>
          <w:b/>
          <w:color w:val="auto"/>
          <w:sz w:val="24"/>
          <w:szCs w:val="31"/>
          <w:highlight w:val="none"/>
        </w:rPr>
        <w:t>）专职安全管理员</w:t>
      </w:r>
      <w:bookmarkEnd w:id="289"/>
      <w:bookmarkEnd w:id="290"/>
      <w:bookmarkEnd w:id="291"/>
      <w:bookmarkEnd w:id="292"/>
    </w:p>
    <w:p>
      <w:pPr>
        <w:spacing w:before="260" w:after="260" w:line="415" w:lineRule="auto"/>
        <w:jc w:val="center"/>
        <w:rPr>
          <w:rFonts w:ascii="宋体" w:hAnsi="宋体"/>
          <w:color w:val="auto"/>
          <w:highlight w:val="none"/>
        </w:rPr>
      </w:pPr>
      <w:r>
        <w:rPr>
          <w:rFonts w:hint="eastAsia" w:ascii="宋体" w:hAnsi="宋体"/>
          <w:b/>
          <w:color w:val="auto"/>
          <w:sz w:val="32"/>
          <w:szCs w:val="32"/>
          <w:highlight w:val="none"/>
        </w:rPr>
        <w:t>专职安全员简历表</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姓名</w:t>
            </w:r>
          </w:p>
        </w:tc>
        <w:tc>
          <w:tcPr>
            <w:tcW w:w="1917"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329"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年龄</w:t>
            </w:r>
          </w:p>
        </w:tc>
        <w:tc>
          <w:tcPr>
            <w:tcW w:w="1312"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职称</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从事本工作时间</w:t>
            </w:r>
          </w:p>
        </w:tc>
        <w:tc>
          <w:tcPr>
            <w:tcW w:w="1917"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329"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学历</w:t>
            </w:r>
          </w:p>
        </w:tc>
        <w:tc>
          <w:tcPr>
            <w:tcW w:w="1312"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专业</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毕业院校</w:t>
            </w:r>
          </w:p>
        </w:tc>
        <w:tc>
          <w:tcPr>
            <w:tcW w:w="4558" w:type="dxa"/>
            <w:gridSpan w:val="3"/>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毕业时间</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bl>
    <w:p>
      <w:pPr>
        <w:spacing w:line="400" w:lineRule="exact"/>
        <w:rPr>
          <w:rFonts w:ascii="宋体" w:hAnsi="宋体"/>
          <w:b/>
          <w:bCs/>
          <w:color w:val="auto"/>
          <w:sz w:val="24"/>
          <w:szCs w:val="24"/>
          <w:highlight w:val="none"/>
        </w:rPr>
      </w:pPr>
      <w:r>
        <w:rPr>
          <w:rFonts w:hint="eastAsia" w:ascii="宋体" w:hAnsi="宋体"/>
          <w:color w:val="auto"/>
          <w:highlight w:val="none"/>
        </w:rPr>
        <w:t>应附安全培训考核合格证（C证）复印件、养老保险复印件。</w:t>
      </w:r>
      <w:r>
        <w:rPr>
          <w:rFonts w:ascii="宋体" w:hAnsi="宋体"/>
          <w:b/>
          <w:color w:val="auto"/>
          <w:sz w:val="24"/>
          <w:szCs w:val="31"/>
          <w:highlight w:val="none"/>
        </w:rPr>
        <w:br w:type="page"/>
      </w:r>
      <w:r>
        <w:rPr>
          <w:rFonts w:hint="eastAsia" w:ascii="宋体" w:hAnsi="宋体"/>
          <w:b/>
          <w:bCs/>
          <w:color w:val="auto"/>
          <w:kern w:val="0"/>
          <w:sz w:val="24"/>
          <w:szCs w:val="24"/>
          <w:highlight w:val="none"/>
        </w:rPr>
        <w:t>（</w:t>
      </w:r>
      <w:r>
        <w:rPr>
          <w:rFonts w:hint="eastAsia" w:ascii="宋体" w:hAnsi="宋体"/>
          <w:b/>
          <w:bCs/>
          <w:color w:val="auto"/>
          <w:kern w:val="0"/>
          <w:sz w:val="24"/>
          <w:szCs w:val="24"/>
          <w:highlight w:val="none"/>
          <w:lang w:val="en-US" w:eastAsia="zh-CN"/>
        </w:rPr>
        <w:t>五</w:t>
      </w:r>
      <w:r>
        <w:rPr>
          <w:rFonts w:hint="eastAsia" w:ascii="宋体" w:hAnsi="宋体"/>
          <w:b/>
          <w:bCs/>
          <w:color w:val="auto"/>
          <w:kern w:val="0"/>
          <w:sz w:val="24"/>
          <w:szCs w:val="24"/>
          <w:highlight w:val="none"/>
        </w:rPr>
        <w:t>）</w:t>
      </w:r>
      <w:r>
        <w:rPr>
          <w:rFonts w:ascii="宋体" w:hAnsi="宋体"/>
          <w:b/>
          <w:bCs/>
          <w:color w:val="auto"/>
          <w:kern w:val="0"/>
          <w:sz w:val="24"/>
          <w:szCs w:val="24"/>
          <w:highlight w:val="none"/>
        </w:rPr>
        <w:t>投标人声明</w:t>
      </w:r>
      <w:r>
        <w:rPr>
          <w:rFonts w:ascii="宋体" w:hAnsi="宋体"/>
          <w:b/>
          <w:bCs/>
          <w:color w:val="auto"/>
          <w:sz w:val="24"/>
          <w:szCs w:val="24"/>
          <w:highlight w:val="none"/>
        </w:rPr>
        <w:t>（</w:t>
      </w:r>
      <w:r>
        <w:rPr>
          <w:rFonts w:hint="eastAsia" w:ascii="宋体" w:hAnsi="宋体"/>
          <w:b/>
          <w:bCs/>
          <w:color w:val="auto"/>
          <w:sz w:val="24"/>
          <w:szCs w:val="24"/>
          <w:highlight w:val="none"/>
        </w:rPr>
        <w:t>按招标公告附件一</w:t>
      </w:r>
      <w:r>
        <w:rPr>
          <w:rFonts w:ascii="宋体" w:hAnsi="宋体"/>
          <w:b/>
          <w:bCs/>
          <w:color w:val="auto"/>
          <w:sz w:val="24"/>
          <w:szCs w:val="24"/>
          <w:highlight w:val="none"/>
        </w:rPr>
        <w:t>）</w:t>
      </w:r>
    </w:p>
    <w:p>
      <w:pPr>
        <w:pageBreakBefore/>
        <w:rPr>
          <w:rFonts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）投标人廉洁承诺书（格式）</w:t>
      </w:r>
    </w:p>
    <w:p>
      <w:pPr>
        <w:pStyle w:val="35"/>
        <w:ind w:firstLine="482"/>
        <w:jc w:val="center"/>
        <w:rPr>
          <w:rFonts w:ascii="宋体" w:hAnsi="宋体"/>
          <w:b/>
          <w:bCs/>
          <w:color w:val="auto"/>
          <w:sz w:val="40"/>
          <w:szCs w:val="40"/>
          <w:highlight w:val="none"/>
        </w:rPr>
      </w:pPr>
      <w:r>
        <w:rPr>
          <w:rFonts w:hint="eastAsia" w:ascii="宋体" w:hAnsi="宋体"/>
          <w:b/>
          <w:bCs/>
          <w:color w:val="auto"/>
          <w:sz w:val="40"/>
          <w:szCs w:val="40"/>
          <w:highlight w:val="none"/>
        </w:rPr>
        <w:t>投标人廉洁承诺书</w:t>
      </w:r>
    </w:p>
    <w:p>
      <w:pPr>
        <w:pStyle w:val="35"/>
        <w:shd w:val="clear" w:color="auto" w:fill="FFFFFF"/>
        <w:ind w:firstLine="482"/>
        <w:rPr>
          <w:rFonts w:ascii="宋体" w:hAnsi="宋体"/>
          <w:color w:val="auto"/>
          <w:sz w:val="21"/>
          <w:szCs w:val="21"/>
          <w:highlight w:val="none"/>
        </w:rPr>
      </w:pPr>
      <w:r>
        <w:rPr>
          <w:rFonts w:hint="eastAsia" w:ascii="宋体" w:hAnsi="宋体"/>
          <w:color w:val="auto"/>
          <w:sz w:val="21"/>
          <w:szCs w:val="21"/>
          <w:highlight w:val="none"/>
        </w:rPr>
        <w:t>本招标项目招标人及招标监管机构：</w:t>
      </w:r>
    </w:p>
    <w:p>
      <w:pPr>
        <w:pStyle w:val="2"/>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本公司参加了</w:t>
      </w:r>
      <w:r>
        <w:rPr>
          <w:rFonts w:hint="eastAsia" w:hAnsi="宋体" w:eastAsia="宋体"/>
          <w:color w:val="auto"/>
          <w:sz w:val="21"/>
          <w:szCs w:val="21"/>
          <w:highlight w:val="none"/>
          <w:u w:val="single"/>
        </w:rPr>
        <w:t xml:space="preserve">   （项目名称/标段名称）    </w:t>
      </w:r>
      <w:r>
        <w:rPr>
          <w:rFonts w:hint="eastAsia" w:hAnsi="宋体" w:eastAsia="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2"/>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一、自觉遵守国家有关法律法规及廉洁规定。</w:t>
      </w:r>
    </w:p>
    <w:p>
      <w:pPr>
        <w:pStyle w:val="2"/>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二、不与招标单位工作人员串通投标，损害国家利益、企业利益以及他人的合法利益；</w:t>
      </w:r>
    </w:p>
    <w:p>
      <w:pPr>
        <w:pStyle w:val="2"/>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三、不与其他单位围标、串标，不出让投标资格，不向招标人或评标委员会成员行贿。</w:t>
      </w:r>
    </w:p>
    <w:p>
      <w:pPr>
        <w:pStyle w:val="2"/>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pPr>
        <w:pStyle w:val="2"/>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五、不以任何名义为参与招标、评标工作的有关人员装修住房、婚丧嫁取、配偶子女的工作安排以及境内外旅游等提供方便；</w:t>
      </w:r>
    </w:p>
    <w:p>
      <w:pPr>
        <w:pStyle w:val="2"/>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六、不以谋取非正当利益为目的，擅自与参与招标、评标工作的有关人员就业务问题进行私下商谈或者达成利益默契；</w:t>
      </w:r>
    </w:p>
    <w:p>
      <w:pPr>
        <w:pStyle w:val="35"/>
        <w:shd w:val="clear" w:color="auto" w:fill="FFFFFF"/>
        <w:spacing w:line="555" w:lineRule="atLeast"/>
        <w:ind w:firstLine="645"/>
        <w:rPr>
          <w:rFonts w:ascii="宋体" w:hAnsi="宋体"/>
          <w:color w:val="auto"/>
          <w:sz w:val="21"/>
          <w:szCs w:val="21"/>
          <w:highlight w:val="none"/>
        </w:rPr>
      </w:pPr>
      <w:r>
        <w:rPr>
          <w:rFonts w:hint="eastAsia" w:ascii="宋体" w:hAnsi="宋体"/>
          <w:color w:val="auto"/>
          <w:sz w:val="21"/>
          <w:szCs w:val="21"/>
          <w:highlight w:val="none"/>
        </w:rPr>
        <w:t>本公司违反上述承诺，或本承诺陈述与事实不符，经查实，本公司愿意接受公开通报，承担由此带来的法律后果，并自愿停止参加广州市行政辖区内的招标投标活动三个月。</w:t>
      </w:r>
    </w:p>
    <w:p>
      <w:pPr>
        <w:pStyle w:val="35"/>
        <w:shd w:val="clear" w:color="auto" w:fill="FFFFFF"/>
        <w:spacing w:before="0" w:beforeAutospacing="0" w:after="0" w:afterAutospacing="0" w:line="360" w:lineRule="auto"/>
        <w:ind w:firstLine="645"/>
        <w:rPr>
          <w:rFonts w:ascii="宋体" w:hAnsi="宋体"/>
          <w:color w:val="auto"/>
          <w:sz w:val="21"/>
          <w:szCs w:val="21"/>
          <w:highlight w:val="none"/>
        </w:rPr>
      </w:pPr>
      <w:r>
        <w:rPr>
          <w:rFonts w:hint="eastAsia" w:ascii="宋体" w:hAnsi="宋体"/>
          <w:color w:val="auto"/>
          <w:sz w:val="21"/>
          <w:szCs w:val="21"/>
          <w:highlight w:val="none"/>
        </w:rPr>
        <w:t>特此承诺</w:t>
      </w:r>
    </w:p>
    <w:p>
      <w:pPr>
        <w:pStyle w:val="35"/>
        <w:shd w:val="clear" w:color="auto" w:fill="FFFFFF"/>
        <w:spacing w:before="0" w:beforeAutospacing="0" w:after="0" w:afterAutospacing="0" w:line="360" w:lineRule="auto"/>
        <w:ind w:right="1455" w:firstLine="2880"/>
        <w:jc w:val="right"/>
        <w:rPr>
          <w:rFonts w:ascii="宋体" w:hAnsi="宋体"/>
          <w:color w:val="auto"/>
          <w:sz w:val="21"/>
          <w:szCs w:val="21"/>
          <w:highlight w:val="none"/>
        </w:rPr>
      </w:pPr>
      <w:r>
        <w:rPr>
          <w:rFonts w:hint="eastAsia" w:ascii="宋体" w:hAnsi="宋体"/>
          <w:color w:val="auto"/>
          <w:sz w:val="21"/>
          <w:szCs w:val="21"/>
          <w:highlight w:val="none"/>
        </w:rPr>
        <w:t>承诺企业（该单位章）：      </w:t>
      </w:r>
    </w:p>
    <w:p>
      <w:pPr>
        <w:pStyle w:val="35"/>
        <w:shd w:val="clear" w:color="auto" w:fill="FFFFFF"/>
        <w:spacing w:before="0" w:beforeAutospacing="0" w:after="0" w:afterAutospacing="0" w:line="360" w:lineRule="auto"/>
        <w:ind w:firstLine="482"/>
        <w:jc w:val="right"/>
        <w:rPr>
          <w:rFonts w:hint="eastAsia" w:ascii="宋体" w:hAnsi="宋体"/>
          <w:color w:val="auto"/>
          <w:sz w:val="21"/>
          <w:szCs w:val="21"/>
          <w:highlight w:val="none"/>
        </w:rPr>
      </w:pPr>
      <w:r>
        <w:rPr>
          <w:rFonts w:hint="eastAsia" w:ascii="宋体" w:hAnsi="宋体"/>
          <w:color w:val="auto"/>
          <w:sz w:val="21"/>
          <w:szCs w:val="21"/>
          <w:highlight w:val="none"/>
        </w:rPr>
        <w:t xml:space="preserve">法定代表人签字：           </w:t>
      </w:r>
    </w:p>
    <w:p>
      <w:pPr>
        <w:pStyle w:val="35"/>
        <w:shd w:val="clear" w:color="auto" w:fill="FFFFFF"/>
        <w:spacing w:before="0" w:beforeAutospacing="0" w:after="0" w:afterAutospacing="0"/>
        <w:ind w:firstLine="482"/>
        <w:jc w:val="right"/>
        <w:rPr>
          <w:rFonts w:ascii="宋体" w:hAnsi="宋体"/>
          <w:color w:val="auto"/>
          <w:sz w:val="21"/>
          <w:szCs w:val="21"/>
          <w:highlight w:val="none"/>
        </w:rPr>
      </w:pPr>
      <w:r>
        <w:rPr>
          <w:rFonts w:hint="eastAsia" w:ascii="宋体" w:hAnsi="宋体"/>
          <w:color w:val="auto"/>
          <w:sz w:val="21"/>
          <w:szCs w:val="21"/>
          <w:highlight w:val="none"/>
        </w:rPr>
        <w:t>年   月   日</w:t>
      </w:r>
    </w:p>
    <w:p>
      <w:pPr>
        <w:spacing w:line="360" w:lineRule="auto"/>
        <w:jc w:val="center"/>
        <w:outlineLvl w:val="2"/>
        <w:rPr>
          <w:rFonts w:hint="eastAsia" w:ascii="仿宋" w:hAnsi="仿宋" w:eastAsia="仿宋" w:cs="仿宋"/>
          <w:color w:val="auto"/>
          <w:sz w:val="24"/>
          <w:szCs w:val="24"/>
          <w:highlight w:val="none"/>
        </w:rPr>
      </w:pPr>
      <w:bookmarkStart w:id="293" w:name="_Toc17454961"/>
      <w:bookmarkStart w:id="294" w:name="_Toc17451662"/>
      <w:bookmarkStart w:id="295" w:name="_Toc17454910"/>
      <w:bookmarkStart w:id="296" w:name="_Toc17451140"/>
      <w:bookmarkStart w:id="297" w:name="_Toc17556915"/>
      <w:bookmarkStart w:id="298" w:name="_Toc17451617"/>
      <w:bookmarkStart w:id="299" w:name="_Toc17452703"/>
      <w:r>
        <w:rPr>
          <w:rFonts w:ascii="宋体" w:hAnsi="宋体"/>
          <w:color w:val="auto"/>
          <w:sz w:val="28"/>
          <w:szCs w:val="27"/>
          <w:highlight w:val="none"/>
        </w:rPr>
        <w:br w:type="page"/>
      </w:r>
      <w:bookmarkStart w:id="300" w:name="_Toc11421"/>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、投标人须知前附表规定的其他材料</w:t>
      </w:r>
      <w:bookmarkEnd w:id="293"/>
      <w:bookmarkEnd w:id="294"/>
      <w:bookmarkEnd w:id="295"/>
      <w:bookmarkEnd w:id="296"/>
      <w:bookmarkEnd w:id="297"/>
      <w:bookmarkEnd w:id="298"/>
      <w:bookmarkEnd w:id="299"/>
      <w:bookmarkEnd w:id="300"/>
    </w:p>
    <w:p>
      <w:pPr>
        <w:adjustRightInd w:val="0"/>
        <w:snapToGrid w:val="0"/>
        <w:spacing w:after="120" w:afterLines="50" w:line="400" w:lineRule="exact"/>
        <w:jc w:val="center"/>
        <w:rPr>
          <w:b/>
          <w:color w:val="auto"/>
          <w:szCs w:val="21"/>
          <w:highlight w:val="none"/>
        </w:rPr>
      </w:pPr>
      <w:r>
        <w:rPr>
          <w:rFonts w:hint="eastAsia"/>
          <w:b/>
          <w:color w:val="auto"/>
          <w:szCs w:val="21"/>
          <w:highlight w:val="none"/>
          <w:lang w:val="en-US" w:eastAsia="zh-CN"/>
        </w:rPr>
        <w:t>1、</w:t>
      </w:r>
      <w:r>
        <w:rPr>
          <w:b/>
          <w:color w:val="auto"/>
          <w:szCs w:val="21"/>
          <w:highlight w:val="none"/>
        </w:rPr>
        <w:t>评标要素索引表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533"/>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序号</w:t>
            </w:r>
          </w:p>
        </w:tc>
        <w:tc>
          <w:tcPr>
            <w:tcW w:w="5533"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评审内容</w:t>
            </w:r>
          </w:p>
        </w:tc>
        <w:tc>
          <w:tcPr>
            <w:tcW w:w="209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color w:val="auto"/>
                <w:highlight w:val="none"/>
              </w:rPr>
            </w:pPr>
            <w:r>
              <w:rPr>
                <w:rFonts w:hint="eastAsia" w:cs="Calibri"/>
                <w:color w:val="auto"/>
                <w:highlight w:val="none"/>
              </w:rPr>
              <w:t>一</w:t>
            </w:r>
          </w:p>
        </w:tc>
        <w:tc>
          <w:tcPr>
            <w:tcW w:w="7631" w:type="dxa"/>
            <w:gridSpan w:val="2"/>
            <w:noWrap w:val="0"/>
            <w:vAlign w:val="center"/>
          </w:tcPr>
          <w:p>
            <w:pPr>
              <w:keepNext w:val="0"/>
              <w:keepLines w:val="0"/>
              <w:suppressLineNumbers w:val="0"/>
              <w:adjustRightInd w:val="0"/>
              <w:snapToGrid w:val="0"/>
              <w:spacing w:before="0" w:beforeAutospacing="0" w:after="0" w:afterAutospacing="0" w:line="400" w:lineRule="exact"/>
              <w:ind w:left="0" w:right="0"/>
              <w:rPr>
                <w:rFonts w:hint="default" w:cs="Calibri"/>
                <w:bCs/>
                <w:color w:val="auto"/>
                <w:szCs w:val="21"/>
                <w:highlight w:val="none"/>
              </w:rPr>
            </w:pPr>
            <w:r>
              <w:rPr>
                <w:rFonts w:hint="eastAsia" w:cs="Calibri"/>
                <w:bCs/>
                <w:color w:val="auto"/>
                <w:szCs w:val="21"/>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1"/>
                <w:numId w:val="24"/>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cs="宋体"/>
                <w:highlight w:val="none"/>
                <w:shd w:val="clear" w:color="auto" w:fill="FFFFFF"/>
              </w:rPr>
              <w:t>施工组织方案与技术措施</w:t>
            </w:r>
          </w:p>
        </w:tc>
        <w:tc>
          <w:tcPr>
            <w:tcW w:w="209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firstLine="210" w:firstLineChars="100"/>
              <w:rPr>
                <w:rFonts w:hint="eastAsia" w:cs="Calibri"/>
                <w:color w:val="auto"/>
                <w:highlight w:val="none"/>
              </w:rPr>
            </w:pPr>
            <w:r>
              <w:rPr>
                <w:rFonts w:hint="eastAsia" w:cs="Calibri"/>
                <w:color w:val="auto"/>
                <w:highlight w:val="none"/>
              </w:rPr>
              <w:t>二</w:t>
            </w:r>
          </w:p>
        </w:tc>
        <w:tc>
          <w:tcPr>
            <w:tcW w:w="7631" w:type="dxa"/>
            <w:gridSpan w:val="2"/>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cs="Calibri"/>
                <w:bCs/>
                <w:color w:val="auto"/>
                <w:szCs w:val="21"/>
                <w:highlight w:val="none"/>
              </w:rPr>
            </w:pPr>
            <w:r>
              <w:rPr>
                <w:rFonts w:hint="eastAsia" w:cs="Calibri"/>
                <w:bCs/>
                <w:color w:val="auto"/>
                <w:szCs w:val="21"/>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eastAsia="宋体" w:cs="宋体"/>
                <w:color w:val="auto"/>
                <w:kern w:val="2"/>
                <w:sz w:val="21"/>
                <w:szCs w:val="21"/>
                <w:highlight w:val="none"/>
                <w:lang w:val="en-US" w:eastAsia="zh-CN" w:bidi="ar-SA"/>
              </w:rPr>
              <w:t>组织机构及主要管理人员</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s="Calibri"/>
                <w:color w:val="auto"/>
                <w:szCs w:val="21"/>
                <w:highlight w:val="none"/>
              </w:rPr>
            </w:pPr>
            <w:r>
              <w:rPr>
                <w:rFonts w:hint="eastAsia" w:ascii="宋体" w:hAnsi="宋体" w:cs="宋体"/>
                <w:color w:val="auto"/>
                <w:szCs w:val="21"/>
                <w:highlight w:val="none"/>
              </w:rPr>
              <w:t>企业业绩</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s="Calibri"/>
                <w:color w:val="auto"/>
                <w:szCs w:val="21"/>
                <w:highlight w:val="none"/>
              </w:rPr>
            </w:pPr>
            <w:r>
              <w:rPr>
                <w:rFonts w:hint="eastAsia" w:ascii="宋体" w:hAnsi="宋体" w:cs="Calibri"/>
                <w:color w:val="auto"/>
                <w:szCs w:val="21"/>
                <w:highlight w:val="none"/>
              </w:rPr>
              <w:t>工程获奖情况</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60" w:lineRule="exact"/>
              <w:ind w:left="0" w:right="0"/>
              <w:jc w:val="center"/>
              <w:rPr>
                <w:rFonts w:hint="eastAsia" w:cs="Calibri"/>
                <w:color w:val="auto"/>
                <w:szCs w:val="21"/>
                <w:highlight w:val="none"/>
              </w:rPr>
            </w:pPr>
            <w:r>
              <w:rPr>
                <w:rFonts w:hint="eastAsia" w:ascii="宋体" w:hAnsi="宋体" w:cs="宋体"/>
                <w:szCs w:val="21"/>
                <w:highlight w:val="none"/>
              </w:rPr>
              <w:t>企业</w:t>
            </w:r>
            <w:r>
              <w:rPr>
                <w:rFonts w:hint="eastAsia" w:ascii="宋体" w:hAnsi="宋体" w:cs="宋体"/>
                <w:szCs w:val="21"/>
                <w:highlight w:val="none"/>
                <w:lang w:val="en-US" w:eastAsia="zh-CN"/>
              </w:rPr>
              <w:t>荣</w:t>
            </w:r>
            <w:r>
              <w:rPr>
                <w:rFonts w:hint="eastAsia" w:ascii="宋体" w:hAnsi="宋体" w:cs="宋体"/>
                <w:szCs w:val="21"/>
                <w:highlight w:val="none"/>
              </w:rPr>
              <w:t>誉</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60" w:lineRule="exact"/>
              <w:ind w:left="0" w:right="0"/>
              <w:jc w:val="center"/>
              <w:rPr>
                <w:rFonts w:hint="eastAsia" w:cs="Calibri"/>
                <w:color w:val="auto"/>
                <w:szCs w:val="21"/>
                <w:highlight w:val="none"/>
              </w:rPr>
            </w:pPr>
            <w:r>
              <w:rPr>
                <w:rFonts w:hint="eastAsia" w:ascii="宋体" w:hAnsi="宋体" w:cs="Calibri"/>
                <w:b w:val="0"/>
                <w:i w:val="0"/>
                <w:caps w:val="0"/>
                <w:color w:val="000000"/>
                <w:spacing w:val="0"/>
                <w:w w:val="100"/>
                <w:sz w:val="21"/>
                <w:highlight w:val="none"/>
              </w:rPr>
              <w:t>管理体系</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cs="Calibri"/>
                <w:color w:val="auto"/>
                <w:szCs w:val="21"/>
                <w:highlight w:val="none"/>
              </w:rPr>
            </w:pPr>
            <w:r>
              <w:rPr>
                <w:rFonts w:hint="eastAsia" w:cs="Calibri"/>
                <w:color w:val="auto"/>
                <w:szCs w:val="21"/>
                <w:highlight w:val="none"/>
              </w:rPr>
              <w:t>第三方评价</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cs="Calibri"/>
                <w:color w:val="auto"/>
                <w:szCs w:val="21"/>
                <w:highlight w:val="none"/>
              </w:rPr>
            </w:pPr>
            <w:r>
              <w:rPr>
                <w:rFonts w:hint="eastAsia" w:cs="Calibri"/>
                <w:color w:val="auto"/>
                <w:szCs w:val="21"/>
                <w:highlight w:val="none"/>
              </w:rPr>
              <w:t>财务指标</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bl>
    <w:p>
      <w:pPr>
        <w:jc w:val="left"/>
        <w:rPr>
          <w:rFonts w:hint="eastAsia" w:ascii="仿宋" w:hAnsi="仿宋" w:eastAsia="仿宋" w:cs="仿宋"/>
          <w:color w:val="auto"/>
          <w:sz w:val="24"/>
          <w:szCs w:val="24"/>
          <w:highlight w:val="none"/>
        </w:rPr>
      </w:pPr>
    </w:p>
    <w:p>
      <w:pPr>
        <w:adjustRightInd w:val="0"/>
        <w:snapToGrid w:val="0"/>
        <w:spacing w:after="120" w:afterLines="50" w:line="400" w:lineRule="exact"/>
        <w:jc w:val="center"/>
        <w:rPr>
          <w:rFonts w:hint="eastAsia" w:eastAsia="宋体" w:cs="Times New Roman"/>
          <w:b/>
          <w:color w:val="auto"/>
          <w:szCs w:val="21"/>
          <w:highlight w:val="none"/>
          <w:lang w:val="en-US" w:eastAsia="zh-CN"/>
        </w:rPr>
      </w:pPr>
      <w:bookmarkStart w:id="301" w:name="_Toc14543"/>
      <w:bookmarkStart w:id="302" w:name="_Toc179715764"/>
      <w:bookmarkStart w:id="303" w:name="_Toc222029460"/>
      <w:bookmarkStart w:id="304" w:name="_Toc221949894"/>
      <w:bookmarkStart w:id="305" w:name="_Toc227133887"/>
      <w:bookmarkStart w:id="306" w:name="_Toc152047271"/>
      <w:r>
        <w:rPr>
          <w:rFonts w:hint="eastAsia" w:eastAsia="宋体" w:cs="Times New Roman"/>
          <w:b/>
          <w:color w:val="auto"/>
          <w:szCs w:val="21"/>
          <w:highlight w:val="none"/>
          <w:lang w:val="en-US" w:eastAsia="zh-CN"/>
        </w:rPr>
        <w:t>2、其他材料</w:t>
      </w:r>
      <w:bookmarkEnd w:id="30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 xml:space="preserve">  投标文件编制人员名单</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 xml:space="preserve">  对投标文件编制的承诺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 xml:space="preserve">  投标文件编制情况</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 xml:space="preserve">  如投标报价低于警示价的，提供投标报价不低于成本价的证明材料</w:t>
      </w:r>
    </w:p>
    <w:p>
      <w:pPr>
        <w:spacing w:line="360" w:lineRule="auto"/>
        <w:ind w:firstLine="480" w:firstLineChars="200"/>
        <w:rPr>
          <w:rFonts w:hint="eastAsia" w:ascii="仿宋" w:hAnsi="仿宋" w:eastAsia="仿宋" w:cs="仿宋"/>
          <w:color w:val="auto"/>
          <w:sz w:val="24"/>
          <w:szCs w:val="24"/>
          <w:highlight w:val="none"/>
        </w:rPr>
      </w:pPr>
    </w:p>
    <w:bookmarkEnd w:id="302"/>
    <w:bookmarkEnd w:id="303"/>
    <w:bookmarkEnd w:id="304"/>
    <w:bookmarkEnd w:id="305"/>
    <w:bookmarkEnd w:id="306"/>
    <w:p>
      <w:p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color w:val="auto"/>
          <w:sz w:val="24"/>
          <w:szCs w:val="24"/>
          <w:highlight w:val="none"/>
        </w:rPr>
        <w:t>施工组织方案与技术措施</w:t>
      </w:r>
    </w:p>
    <w:p>
      <w:pPr>
        <w:widowControl/>
        <w:spacing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投标人自拟，格式不限。</w:t>
      </w:r>
    </w:p>
    <w:p>
      <w:pPr>
        <w:spacing w:line="360" w:lineRule="auto"/>
        <w:ind w:right="480"/>
        <w:jc w:val="both"/>
        <w:rPr>
          <w:rFonts w:hint="eastAsia" w:ascii="仿宋" w:hAnsi="仿宋" w:eastAsia="仿宋" w:cs="仿宋"/>
          <w:b/>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jc w:val="center"/>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组织机构及主要管理人员表</w:t>
      </w:r>
    </w:p>
    <w:p>
      <w:pPr>
        <w:spacing w:line="360" w:lineRule="auto"/>
        <w:jc w:val="both"/>
        <w:outlineLvl w:val="2"/>
        <w:rPr>
          <w:rFonts w:hint="default"/>
          <w:highlight w:val="none"/>
          <w:lang w:val="en-US"/>
        </w:rPr>
      </w:pPr>
      <w:r>
        <w:rPr>
          <w:rFonts w:hint="default" w:ascii="仿宋" w:hAnsi="仿宋" w:eastAsia="仿宋" w:cs="仿宋"/>
          <w:b w:val="0"/>
          <w:bCs w:val="0"/>
          <w:color w:val="auto"/>
          <w:kern w:val="2"/>
          <w:sz w:val="21"/>
          <w:szCs w:val="21"/>
          <w:highlight w:val="none"/>
          <w:lang w:val="en-US" w:eastAsia="zh-CN" w:bidi="ar-SA"/>
        </w:rPr>
        <w:t>投标人自拟，格式不限。</w:t>
      </w:r>
    </w:p>
    <w:p>
      <w:pPr>
        <w:numPr>
          <w:ilvl w:val="0"/>
          <w:numId w:val="0"/>
        </w:numPr>
        <w:spacing w:line="360" w:lineRule="auto"/>
        <w:jc w:val="center"/>
        <w:outlineLvl w:val="2"/>
        <w:rPr>
          <w:rFonts w:hint="eastAsia" w:ascii="仿宋" w:hAnsi="仿宋" w:eastAsia="仿宋" w:cs="仿宋"/>
          <w:b/>
          <w:bCs/>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numPr>
          <w:ilvl w:val="0"/>
          <w:numId w:val="0"/>
        </w:num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企业业绩</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7"/>
        <w:gridCol w:w="1640"/>
        <w:gridCol w:w="1894"/>
        <w:gridCol w:w="1750"/>
        <w:gridCol w:w="1275"/>
        <w:gridCol w:w="16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4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894"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主要合同内容</w:t>
            </w:r>
          </w:p>
        </w:tc>
        <w:tc>
          <w:tcPr>
            <w:tcW w:w="175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中标日期</w:t>
            </w:r>
          </w:p>
        </w:tc>
        <w:tc>
          <w:tcPr>
            <w:tcW w:w="127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合同金额（万元）</w:t>
            </w:r>
          </w:p>
        </w:tc>
        <w:tc>
          <w:tcPr>
            <w:tcW w:w="1653"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建设单位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bl>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1.需提供中标通知书、合同、完工验收鉴定书或单位工程验收鉴定书或工程竣工验收鉴定书等材料、交易中心发布的中标信息的网页截图及查询网址；</w:t>
      </w:r>
    </w:p>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业绩招标公告明确该业绩为独立的水利水电施工总承包资质招标（若为水利水电EPC项目，投标人须作为项目牵头人，合同额以承担的施工合同额作为评审依据）。提供的招标公告和中标信息的网页打印件及查询网址必须来自招标公告载明的公共交易平台；</w:t>
      </w:r>
    </w:p>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3.类似业绩证明的信息须明确业绩的项目名称、中标价等。时间及造价以中标通知书为准，若中标通知书或中标证明未能反映的，时间及造价以施工合同（不含补充合同）为准；</w:t>
      </w:r>
    </w:p>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4.EPC项目须提供分工情况和承担金额（比例）的证明文件；</w:t>
      </w:r>
    </w:p>
    <w:p>
      <w:pPr>
        <w:spacing w:line="360" w:lineRule="auto"/>
        <w:ind w:right="480"/>
        <w:jc w:val="both"/>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1"/>
          <w:szCs w:val="21"/>
          <w:highlight w:val="none"/>
          <w:lang w:val="en-US" w:eastAsia="zh-CN"/>
        </w:rPr>
        <w:t>5.未能提供上述资料的不得分。</w:t>
      </w: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工程获奖</w:t>
      </w:r>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529"/>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2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321"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证书等级</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发证日期</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rPr>
        <w:t>1.须提供获奖证书扫描件或图片、获奖公示网页打印页及网址，获奖时间以证书中载明的的发证时间为准。</w:t>
      </w:r>
    </w:p>
    <w:p>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获奖工程指水利水电工程施工项目，其他工程不得分。省部级工程奖项指鲁班奖、中国水利工程优质（大禹）奖、优质工程奖、土木工程詹天佑奖等，市级（含副省级）工程奖项指市级（含副省级）优质工程奖或优良样板工程奖；工程类奖项不含安全文明类、QC类、工法、技术应用、科技类或技术类等非项目整体工程类奖项。发证单位非政府部门的须同时提供该发证单位在“中国社会组织政务服务平台”有登记的网页查询截图（网址：https://chinanpo.mca.gov.cn），证明其有登记备案，否则不得分。</w:t>
      </w:r>
    </w:p>
    <w:p>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3.未能提供上述资料的不得分</w:t>
      </w:r>
      <w:r>
        <w:rPr>
          <w:rFonts w:hint="eastAsia" w:ascii="仿宋" w:hAnsi="仿宋" w:eastAsia="仿宋" w:cs="仿宋"/>
          <w:color w:val="auto"/>
          <w:sz w:val="21"/>
          <w:szCs w:val="21"/>
          <w:highlight w:val="none"/>
          <w:lang w:val="en-US" w:eastAsia="zh-CN"/>
        </w:rPr>
        <w:t>。</w:t>
      </w:r>
    </w:p>
    <w:p>
      <w:pPr>
        <w:spacing w:line="360" w:lineRule="auto"/>
        <w:ind w:right="480"/>
        <w:jc w:val="both"/>
        <w:rPr>
          <w:rFonts w:hint="eastAsia" w:ascii="仿宋" w:hAnsi="仿宋" w:eastAsia="仿宋" w:cs="仿宋"/>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企业</w:t>
      </w:r>
      <w:r>
        <w:rPr>
          <w:rFonts w:hint="eastAsia" w:ascii="仿宋" w:hAnsi="仿宋" w:eastAsia="仿宋" w:cs="仿宋"/>
          <w:b/>
          <w:bCs/>
          <w:color w:val="auto"/>
          <w:sz w:val="24"/>
          <w:szCs w:val="24"/>
          <w:highlight w:val="none"/>
          <w:lang w:val="en-US" w:eastAsia="zh-CN"/>
        </w:rPr>
        <w:t>荣</w:t>
      </w:r>
      <w:r>
        <w:rPr>
          <w:rFonts w:hint="eastAsia" w:ascii="仿宋" w:hAnsi="仿宋" w:eastAsia="仿宋" w:cs="仿宋"/>
          <w:b/>
          <w:bCs/>
          <w:color w:val="auto"/>
          <w:sz w:val="24"/>
          <w:szCs w:val="24"/>
          <w:highlight w:val="none"/>
        </w:rPr>
        <w:t>誉</w:t>
      </w:r>
    </w:p>
    <w:tbl>
      <w:tblPr>
        <w:tblStyle w:val="40"/>
        <w:tblW w:w="8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529"/>
        <w:gridCol w:w="1529"/>
        <w:gridCol w:w="2321"/>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2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发证日期</w:t>
            </w:r>
          </w:p>
        </w:tc>
        <w:tc>
          <w:tcPr>
            <w:tcW w:w="152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321"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证书等级</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kern w:val="2"/>
                <w:sz w:val="24"/>
                <w:szCs w:val="24"/>
                <w:highlight w:val="none"/>
                <w:lang w:val="en-US" w:eastAsia="zh-CN" w:bidi="ar-SA"/>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2"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kern w:val="2"/>
                <w:sz w:val="24"/>
                <w:szCs w:val="24"/>
                <w:highlight w:val="none"/>
                <w:lang w:val="en-US" w:eastAsia="zh-CN" w:bidi="ar-SA"/>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kern w:val="2"/>
                <w:sz w:val="24"/>
                <w:szCs w:val="24"/>
                <w:highlight w:val="none"/>
                <w:lang w:val="en-US" w:eastAsia="zh-CN" w:bidi="ar-SA"/>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numPr>
          <w:ilvl w:val="0"/>
          <w:numId w:val="0"/>
        </w:numPr>
        <w:spacing w:line="360" w:lineRule="auto"/>
        <w:jc w:val="left"/>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1.奖项颁发机构必须是国家、省、市人民政府或行政部门与经民政部门批准成立的组织方联合颁发的为准（民政部门批准成立的组织方须提供在“中国社会组织政务服务平台”有登记的网页查询截图（网址：https://chinanpo.mca.gov.cn），证明其有登记备案，否则不得分）。</w:t>
      </w:r>
    </w:p>
    <w:p>
      <w:pPr>
        <w:numPr>
          <w:ilvl w:val="0"/>
          <w:numId w:val="0"/>
        </w:numPr>
        <w:spacing w:line="360" w:lineRule="auto"/>
        <w:jc w:val="left"/>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2.需提供荣誉证书扫描件（荣誉证书须提供在相关网站的查询结果网页截图）；时间以获奖证书载明日期为准。</w:t>
      </w:r>
    </w:p>
    <w:p>
      <w:pPr>
        <w:numPr>
          <w:ilvl w:val="0"/>
          <w:numId w:val="0"/>
        </w:numPr>
        <w:spacing w:line="360" w:lineRule="auto"/>
        <w:jc w:val="left"/>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3.未能提供上述资料的不得分。</w:t>
      </w: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管理体系</w:t>
      </w:r>
    </w:p>
    <w:tbl>
      <w:tblPr>
        <w:tblStyle w:val="40"/>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670"/>
        <w:gridCol w:w="2173"/>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670"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173"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发证日期</w:t>
            </w:r>
          </w:p>
        </w:tc>
        <w:tc>
          <w:tcPr>
            <w:tcW w:w="2417"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有效期时间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spacing w:line="360" w:lineRule="auto"/>
        <w:ind w:right="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注：1.提供相关证书扫描件及国家认证认可监督管理委员会官方网站中全国认证认可信息公共服务平台（http://cx.cnca.cn/CertECloud/index/index/page）查询结果(含网址的网页截图)，不齐全的不得分；</w:t>
      </w:r>
    </w:p>
    <w:p>
      <w:pPr>
        <w:spacing w:line="360" w:lineRule="auto"/>
        <w:ind w:right="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2.上述资料扫描件及网页截图需加盖投标人公章；</w:t>
      </w:r>
    </w:p>
    <w:p>
      <w:pPr>
        <w:spacing w:line="360" w:lineRule="auto"/>
        <w:ind w:right="480"/>
        <w:jc w:val="both"/>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1"/>
          <w:szCs w:val="21"/>
          <w:highlight w:val="none"/>
        </w:rPr>
        <w:t>3.未能提供上述资料的不得分。</w:t>
      </w:r>
    </w:p>
    <w:p>
      <w:pPr>
        <w:numPr>
          <w:ilvl w:val="0"/>
          <w:numId w:val="0"/>
        </w:numPr>
        <w:spacing w:line="360" w:lineRule="auto"/>
        <w:jc w:val="center"/>
        <w:outlineLvl w:val="2"/>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第三方评价</w:t>
      </w:r>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634"/>
        <w:gridCol w:w="2216"/>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63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216"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证书等级</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发证日期</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634"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216"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634"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216"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634"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216"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spacing w:line="360" w:lineRule="auto"/>
        <w:ind w:right="480"/>
        <w:jc w:val="both"/>
        <w:rPr>
          <w:rFonts w:hint="default" w:ascii="宋体" w:hAnsi="宋体" w:eastAsia="宋体" w:cs="宋体"/>
          <w:b w:val="0"/>
          <w:i w:val="0"/>
          <w:caps w:val="0"/>
          <w:spacing w:val="0"/>
          <w:w w:val="100"/>
          <w:sz w:val="21"/>
          <w:szCs w:val="21"/>
          <w:highlight w:val="none"/>
          <w:lang w:val="en-US" w:eastAsia="zh-CN"/>
        </w:rPr>
      </w:pPr>
      <w:r>
        <w:rPr>
          <w:rFonts w:hint="default" w:ascii="宋体" w:hAnsi="宋体" w:eastAsia="宋体" w:cs="宋体"/>
          <w:b w:val="0"/>
          <w:i w:val="0"/>
          <w:caps w:val="0"/>
          <w:spacing w:val="0"/>
          <w:w w:val="100"/>
          <w:sz w:val="21"/>
          <w:szCs w:val="21"/>
          <w:highlight w:val="none"/>
          <w:lang w:val="en-US" w:eastAsia="zh-CN"/>
        </w:rPr>
        <w:t>注：1.须提供相关证书（或奖牌或牌匾）扫描件（须同时提供在发证机构官网的查询结果网页截图），发证单位非政府部门的须同时提供该发证单位在“中国社会组织政务服务平台”有登记的网页查询截图（网址：https://chinanpo.mca.gov.cn/），证明其有登记备案，否则不得分。</w:t>
      </w:r>
    </w:p>
    <w:p>
      <w:pPr>
        <w:spacing w:line="360" w:lineRule="auto"/>
        <w:ind w:right="480"/>
        <w:jc w:val="both"/>
        <w:rPr>
          <w:rFonts w:hint="default" w:ascii="宋体" w:hAnsi="宋体" w:eastAsia="宋体" w:cs="宋体"/>
          <w:b w:val="0"/>
          <w:i w:val="0"/>
          <w:caps w:val="0"/>
          <w:spacing w:val="0"/>
          <w:w w:val="100"/>
          <w:sz w:val="21"/>
          <w:szCs w:val="21"/>
          <w:highlight w:val="none"/>
          <w:lang w:val="en-US" w:eastAsia="zh-CN"/>
        </w:rPr>
      </w:pPr>
      <w:r>
        <w:rPr>
          <w:rFonts w:hint="default" w:ascii="宋体" w:hAnsi="宋体" w:eastAsia="宋体" w:cs="宋体"/>
          <w:b w:val="0"/>
          <w:i w:val="0"/>
          <w:caps w:val="0"/>
          <w:spacing w:val="0"/>
          <w:w w:val="100"/>
          <w:sz w:val="21"/>
          <w:szCs w:val="21"/>
          <w:highlight w:val="none"/>
          <w:lang w:val="en-US" w:eastAsia="zh-CN"/>
        </w:rPr>
        <w:t>2.获奖时间以证书（或奖牌或牌匾）中载明的的发证时间为准（若证书未能体现发证时间，以发证机构官网查询结果中的批准日期为准）。</w:t>
      </w:r>
    </w:p>
    <w:p>
      <w:pPr>
        <w:spacing w:line="360" w:lineRule="auto"/>
        <w:ind w:right="480"/>
        <w:jc w:val="both"/>
        <w:rPr>
          <w:rFonts w:hint="eastAsia" w:ascii="仿宋" w:hAnsi="仿宋" w:eastAsia="仿宋" w:cs="仿宋"/>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r>
        <w:rPr>
          <w:rFonts w:hint="default" w:ascii="宋体" w:hAnsi="宋体" w:eastAsia="宋体" w:cs="宋体"/>
          <w:b w:val="0"/>
          <w:i w:val="0"/>
          <w:caps w:val="0"/>
          <w:spacing w:val="0"/>
          <w:w w:val="100"/>
          <w:sz w:val="21"/>
          <w:szCs w:val="21"/>
          <w:highlight w:val="none"/>
          <w:lang w:val="en-US" w:eastAsia="zh-CN"/>
        </w:rPr>
        <w:t>3.未能提供上述资料的不得分</w:t>
      </w:r>
      <w:r>
        <w:rPr>
          <w:rFonts w:hint="eastAsia" w:ascii="宋体" w:hAnsi="宋体" w:eastAsia="宋体" w:cs="宋体"/>
          <w:b w:val="0"/>
          <w:i w:val="0"/>
          <w:caps w:val="0"/>
          <w:color w:val="000000"/>
          <w:spacing w:val="0"/>
          <w:w w:val="100"/>
          <w:kern w:val="2"/>
          <w:sz w:val="21"/>
          <w:szCs w:val="21"/>
          <w:highlight w:val="none"/>
          <w:lang w:val="en-US" w:eastAsia="zh-CN" w:bidi="ar-SA"/>
        </w:rPr>
        <w:t>。</w:t>
      </w: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财务指标</w:t>
      </w:r>
    </w:p>
    <w:p>
      <w:pPr>
        <w:numPr>
          <w:ilvl w:val="0"/>
          <w:numId w:val="0"/>
        </w:numPr>
        <w:spacing w:line="360" w:lineRule="auto"/>
        <w:jc w:val="both"/>
        <w:outlineLvl w:val="2"/>
        <w:rPr>
          <w:rFonts w:hint="eastAsia"/>
          <w:highlight w:val="none"/>
        </w:rPr>
        <w:sectPr>
          <w:pgSz w:w="11906" w:h="16838"/>
          <w:pgMar w:top="1440" w:right="1800" w:bottom="1440" w:left="1800" w:header="851" w:footer="992" w:gutter="0"/>
          <w:pgNumType w:fmt="decimal"/>
          <w:cols w:space="720" w:num="1"/>
          <w:docGrid w:type="lines" w:linePitch="312" w:charSpace="0"/>
        </w:sectPr>
      </w:pPr>
      <w:r>
        <w:rPr>
          <w:rFonts w:hint="default" w:ascii="仿宋" w:hAnsi="仿宋" w:eastAsia="仿宋" w:cs="仿宋"/>
          <w:b w:val="0"/>
          <w:bCs w:val="0"/>
          <w:color w:val="auto"/>
          <w:kern w:val="2"/>
          <w:sz w:val="24"/>
          <w:szCs w:val="24"/>
          <w:highlight w:val="none"/>
          <w:lang w:val="en-US" w:eastAsia="zh-CN" w:bidi="ar-SA"/>
        </w:rPr>
        <w:t>投标人自拟，格式不限。</w:t>
      </w:r>
    </w:p>
    <w:p>
      <w:pPr>
        <w:spacing w:line="360" w:lineRule="auto"/>
        <w:ind w:right="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一</w:t>
      </w:r>
    </w:p>
    <w:p>
      <w:pPr>
        <w:tabs>
          <w:tab w:val="left" w:pos="720"/>
        </w:tabs>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投标文件编制人员名单</w:t>
      </w:r>
    </w:p>
    <w:p>
      <w:pPr>
        <w:tabs>
          <w:tab w:val="left" w:pos="720"/>
        </w:tabs>
        <w:snapToGrid w:val="0"/>
        <w:spacing w:line="360" w:lineRule="auto"/>
        <w:rPr>
          <w:rFonts w:hint="eastAsia" w:ascii="仿宋" w:hAnsi="仿宋" w:eastAsia="仿宋" w:cs="仿宋"/>
          <w:color w:val="auto"/>
          <w:sz w:val="24"/>
          <w:szCs w:val="24"/>
          <w:highlight w:val="none"/>
        </w:rPr>
      </w:pPr>
    </w:p>
    <w:tbl>
      <w:tblPr>
        <w:tblStyle w:val="40"/>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61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bl>
    <w:p>
      <w:pPr>
        <w:pStyle w:val="39"/>
        <w:spacing w:after="0" w:line="360" w:lineRule="auto"/>
        <w:ind w:left="-2" w:leftChars="-1"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注：参与编制投标文件所有人员名单应包括如编制技术投标方案、编制各种专业工程量清单投标报价、负责清样校对、负责打印及复印等所有人员在内的人员名单。</w:t>
      </w:r>
    </w:p>
    <w:p>
      <w:pPr>
        <w:pStyle w:val="39"/>
        <w:spacing w:after="0" w:line="360" w:lineRule="auto"/>
        <w:ind w:left="-2" w:leftChars="-1" w:firstLineChars="175"/>
        <w:jc w:val="center"/>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二</w:t>
      </w:r>
    </w:p>
    <w:p>
      <w:pPr>
        <w:pStyle w:val="39"/>
        <w:spacing w:after="0" w:line="360" w:lineRule="auto"/>
        <w:ind w:firstLine="0"/>
        <w:jc w:val="center"/>
        <w:rPr>
          <w:rFonts w:hint="eastAsia" w:ascii="仿宋" w:hAnsi="仿宋" w:eastAsia="仿宋" w:cs="仿宋"/>
          <w:b/>
          <w:color w:val="auto"/>
          <w:sz w:val="24"/>
          <w:szCs w:val="24"/>
          <w:highlight w:val="none"/>
        </w:rPr>
      </w:pPr>
    </w:p>
    <w:p>
      <w:pPr>
        <w:pStyle w:val="39"/>
        <w:spacing w:after="0"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对投标文件编制的承诺</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（身份证号：）</w:t>
      </w:r>
      <w:r>
        <w:rPr>
          <w:rFonts w:hint="eastAsia" w:ascii="仿宋" w:hAnsi="仿宋" w:eastAsia="仿宋" w:cs="仿宋"/>
          <w:color w:val="auto"/>
          <w:sz w:val="24"/>
          <w:szCs w:val="24"/>
          <w:highlight w:val="none"/>
        </w:rPr>
        <w:t>负责对投标文件的编制及内容进行解释、说明，并承诺以下事项：</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1.被授权人清楚投标文件编制的具体情况，包括技术方案文件、工程量清单、以及投标文件的加密打包的理解；</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2.在本项目开标至评标结束前，努力确保被授权人在项目评标所在地附近；</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3.从评标委员会要求澄清起二小时内，被授权人应如实地书面澄清。</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如由于未遵守上述承诺内容之一导致无法进行澄清的，我公司认可和接受评标委员会作出的评审结论。</w:t>
      </w:r>
    </w:p>
    <w:p>
      <w:pPr>
        <w:pStyle w:val="39"/>
        <w:spacing w:after="0" w:line="360" w:lineRule="auto"/>
        <w:ind w:firstLine="360" w:firstLineChars="150"/>
        <w:rPr>
          <w:rFonts w:hint="eastAsia" w:ascii="仿宋" w:hAnsi="仿宋" w:eastAsia="仿宋" w:cs="仿宋"/>
          <w:color w:val="auto"/>
          <w:sz w:val="24"/>
          <w:szCs w:val="24"/>
          <w:highlight w:val="none"/>
        </w:rPr>
      </w:pPr>
    </w:p>
    <w:p>
      <w:pPr>
        <w:pStyle w:val="39"/>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附件：《投标文件编制情况》</w:t>
      </w:r>
    </w:p>
    <w:p>
      <w:pPr>
        <w:spacing w:line="360" w:lineRule="auto"/>
        <w:ind w:right="90" w:firstLine="3240" w:firstLineChars="13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投标人名称（盖法人公章）：</w:t>
      </w:r>
    </w:p>
    <w:p>
      <w:pPr>
        <w:spacing w:line="360" w:lineRule="auto"/>
        <w:ind w:firstLine="2160" w:firstLineChars="9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法定代表人或被授权人（签字或盖章）：</w:t>
      </w:r>
    </w:p>
    <w:p>
      <w:pPr>
        <w:spacing w:line="360" w:lineRule="auto"/>
        <w:ind w:firstLine="4440" w:firstLineChars="18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spacing w:line="360" w:lineRule="auto"/>
        <w:rPr>
          <w:rFonts w:hint="eastAsia" w:ascii="仿宋" w:hAnsi="仿宋" w:eastAsia="仿宋" w:cs="仿宋"/>
          <w:b/>
          <w:color w:val="auto"/>
          <w:sz w:val="24"/>
          <w:szCs w:val="24"/>
          <w:highlight w:val="none"/>
        </w:rPr>
      </w:pPr>
    </w:p>
    <w:p>
      <w:pPr>
        <w:pStyle w:val="3"/>
        <w:rPr>
          <w:rFonts w:hint="eastAsia" w:ascii="仿宋" w:hAnsi="仿宋" w:eastAsia="仿宋" w:cs="仿宋"/>
          <w:b w:val="0"/>
          <w:color w:val="auto"/>
          <w:sz w:val="24"/>
          <w:szCs w:val="24"/>
          <w:highlight w:val="none"/>
        </w:rPr>
      </w:pPr>
    </w:p>
    <w:p>
      <w:pPr>
        <w:pStyle w:val="4"/>
        <w:numPr>
          <w:ilvl w:val="0"/>
          <w:numId w:val="0"/>
        </w:numPr>
        <w:ind w:leftChars="0"/>
        <w:rPr>
          <w:rFonts w:hint="eastAsia"/>
          <w:highlight w:val="none"/>
        </w:rPr>
      </w:pPr>
    </w:p>
    <w:p>
      <w:pPr>
        <w:rPr>
          <w:rFonts w:hint="eastAsia" w:ascii="仿宋" w:hAnsi="仿宋" w:eastAsia="仿宋" w:cs="仿宋"/>
          <w:b/>
          <w:color w:val="auto"/>
          <w:sz w:val="24"/>
          <w:szCs w:val="24"/>
          <w:highlight w:val="none"/>
        </w:rPr>
      </w:pPr>
    </w:p>
    <w:p>
      <w:pPr>
        <w:pStyle w:val="3"/>
        <w:rPr>
          <w:rFonts w:hint="eastAsia" w:ascii="仿宋" w:hAnsi="仿宋" w:eastAsia="仿宋" w:cs="仿宋"/>
          <w:b w:val="0"/>
          <w:color w:val="auto"/>
          <w:sz w:val="24"/>
          <w:szCs w:val="24"/>
          <w:highlight w:val="none"/>
        </w:rPr>
      </w:pPr>
    </w:p>
    <w:p>
      <w:pPr>
        <w:pStyle w:val="3"/>
        <w:rPr>
          <w:rFonts w:hint="eastAsia"/>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三</w:t>
      </w:r>
    </w:p>
    <w:p>
      <w:pPr>
        <w:pStyle w:val="39"/>
        <w:spacing w:after="0" w:line="360" w:lineRule="auto"/>
        <w:ind w:firstLine="482" w:firstLineChars="200"/>
        <w:jc w:val="center"/>
        <w:rPr>
          <w:rFonts w:hint="eastAsia" w:ascii="仿宋" w:hAnsi="仿宋" w:eastAsia="仿宋" w:cs="仿宋"/>
          <w:b/>
          <w:color w:val="auto"/>
          <w:sz w:val="24"/>
          <w:szCs w:val="24"/>
          <w:highlight w:val="none"/>
        </w:rPr>
      </w:pPr>
    </w:p>
    <w:p>
      <w:pPr>
        <w:pStyle w:val="39"/>
        <w:spacing w:after="0" w:line="360" w:lineRule="auto"/>
        <w:ind w:firstLine="482" w:firstLineChars="20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投标文件编制情况</w:t>
      </w:r>
    </w:p>
    <w:p>
      <w:pPr>
        <w:pStyle w:val="39"/>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1.投标文件加密打包的电脑情况</w:t>
      </w:r>
    </w:p>
    <w:tbl>
      <w:tblPr>
        <w:tblStyle w:val="40"/>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val="0"/>
            <w:vAlign w:val="top"/>
          </w:tcPr>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投标文件加密打包的电脑自有□外包□其他□</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电脑类型</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电脑所属单位</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电脑所在地址（如××市××区(县) ××街（路）××号××大厦××房）</w:t>
            </w:r>
          </w:p>
        </w:tc>
      </w:tr>
    </w:tbl>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sectPr>
          <w:footerReference r:id="rId8" w:type="default"/>
          <w:pgSz w:w="11906" w:h="16838"/>
          <w:pgMar w:top="1440" w:right="1800" w:bottom="1440" w:left="1800" w:header="851" w:footer="992" w:gutter="0"/>
          <w:pgNumType w:fmt="decimal"/>
          <w:cols w:space="720" w:num="1"/>
          <w:docGrid w:type="lines" w:linePitch="312" w:charSpace="0"/>
        </w:sectPr>
      </w:pPr>
    </w:p>
    <w:p>
      <w:pPr>
        <w:autoSpaceDE w:val="0"/>
        <w:autoSpaceDN w:val="0"/>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 xml:space="preserve">  </w:t>
      </w:r>
    </w:p>
    <w:p>
      <w:pPr>
        <w:autoSpaceDE w:val="0"/>
        <w:autoSpaceDN w:val="0"/>
        <w:adjustRightInd w:val="0"/>
        <w:ind w:firstLine="420"/>
        <w:rPr>
          <w:rFonts w:hint="eastAsia" w:ascii="仿宋" w:hAnsi="仿宋" w:eastAsia="仿宋" w:cs="仿宋"/>
          <w:color w:val="auto"/>
          <w:sz w:val="24"/>
          <w:szCs w:val="24"/>
          <w:highlight w:val="none"/>
        </w:rPr>
      </w:pPr>
    </w:p>
    <w:p>
      <w:pPr>
        <w:pStyle w:val="39"/>
        <w:spacing w:after="0" w:line="360" w:lineRule="auto"/>
        <w:ind w:firstLine="482" w:firstLine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如投标报价低于警示价的，提供投标报价不低于成本价的证明材料</w:t>
      </w:r>
    </w:p>
    <w:p>
      <w:pPr>
        <w:spacing w:line="360" w:lineRule="auto"/>
        <w:ind w:right="48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
        <w:jc w:val="center"/>
        <w:rPr>
          <w:rFonts w:hint="eastAsia" w:ascii="仿宋" w:hAnsi="仿宋" w:eastAsia="仿宋" w:cs="仿宋"/>
          <w:color w:val="auto"/>
          <w:sz w:val="24"/>
          <w:szCs w:val="24"/>
          <w:highlight w:val="none"/>
        </w:rPr>
      </w:pPr>
      <w:bookmarkStart w:id="307" w:name="_Toc13671"/>
      <w:bookmarkStart w:id="308" w:name="_Toc4024"/>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章否决性条款汇总</w:t>
      </w:r>
      <w:bookmarkEnd w:id="307"/>
      <w:bookmarkEnd w:id="308"/>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招标文件的其他条款与该单列的否决性条款不一致的，以单列的否决性条款为准。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（一）拒绝受理投标文件的情形</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 未按要求加密的投标文件，</w:t>
      </w:r>
      <w:r>
        <w:rPr>
          <w:rFonts w:hint="eastAsia" w:ascii="仿宋" w:hAnsi="仿宋" w:eastAsia="仿宋" w:cs="仿宋"/>
          <w:color w:val="auto"/>
          <w:sz w:val="24"/>
          <w:szCs w:val="24"/>
          <w:highlight w:val="none"/>
          <w:u w:val="single"/>
          <w:lang w:bidi="ar"/>
        </w:rPr>
        <w:t>广州公共资源</w:t>
      </w:r>
      <w:r>
        <w:rPr>
          <w:rFonts w:hint="eastAsia" w:ascii="仿宋" w:hAnsi="仿宋" w:eastAsia="仿宋" w:cs="仿宋"/>
          <w:color w:val="auto"/>
          <w:sz w:val="24"/>
          <w:szCs w:val="24"/>
          <w:highlight w:val="none"/>
          <w:lang w:bidi="ar"/>
        </w:rPr>
        <w:t>交易平台将予以拒收。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 电子投标文件未在投标截止时间前成功上传并保存在交易中心数字交易平台；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 因投标人原因造成电子投标文件未解密或逾期解密的；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 电子投标文件损坏或格式不正确的；</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 投标文件未按招标文件要求进行电子签章，并进行加密的；</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（二）作无效投标的情形</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 投标文件不符合招标文件评标办法中形式评审标准、资格评审标准、响应性评审标准的要求。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 两个（含两个）以上的投标人加密打包的电子投标文件电脑机器码一致的；</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（三）作不合格标处理的情形</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1.资格评审标准：见评标办法前附表。</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2.形式评审标准：见评标</w:t>
      </w:r>
      <w:r>
        <w:rPr>
          <w:rFonts w:hint="eastAsia" w:ascii="仿宋" w:hAnsi="仿宋" w:eastAsia="仿宋" w:cs="仿宋"/>
          <w:color w:val="auto"/>
          <w:sz w:val="24"/>
          <w:szCs w:val="24"/>
          <w:highlight w:val="none"/>
          <w:lang w:bidi="ar"/>
        </w:rPr>
        <w:t>办法</w:t>
      </w:r>
      <w:r>
        <w:rPr>
          <w:rFonts w:hint="eastAsia" w:ascii="仿宋" w:hAnsi="仿宋" w:eastAsia="仿宋" w:cs="仿宋"/>
          <w:color w:val="auto"/>
          <w:kern w:val="0"/>
          <w:sz w:val="24"/>
          <w:szCs w:val="24"/>
          <w:highlight w:val="none"/>
        </w:rPr>
        <w:t>前附表。</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3.响应性评审标准：见评标办法前附表。</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（四）其他否定投标文件效力情形</w:t>
      </w: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1. ……</w:t>
      </w: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2. ……</w:t>
      </w:r>
    </w:p>
    <w:p>
      <w:pPr>
        <w:spacing w:line="360" w:lineRule="auto"/>
        <w:ind w:firstLine="480" w:firstLineChars="200"/>
        <w:rPr>
          <w:rFonts w:hint="eastAsia" w:ascii="宋体" w:hAnsi="宋体" w:eastAsia="宋体" w:cs="宋体"/>
          <w:strike/>
          <w:color w:val="auto"/>
          <w:sz w:val="24"/>
          <w:szCs w:val="24"/>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lang w:val="en-US" w:eastAsia="zh-CN"/>
      </w:rP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 xml:space="preserve"> </w: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69</w:t>
                    </w:r>
                    <w:r>
                      <w:fldChar w:fldCharType="end"/>
                    </w:r>
                  </w:p>
                </w:txbxContent>
              </v:textbox>
            </v:shape>
          </w:pict>
        </mc:Fallback>
      </mc:AlternateContent>
    </w:r>
    <w:r>
      <w:rPr>
        <w:rFonts w:hint="eastAsia"/>
      </w:rPr>
      <w:t xml:space="preserve">  </w:t>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72</w:t>
                    </w:r>
                    <w:r>
                      <w:fldChar w:fldCharType="end"/>
                    </w:r>
                  </w:p>
                </w:txbxContent>
              </v:textbox>
            </v:shape>
          </w:pict>
        </mc:Fallback>
      </mc:AlternateContent>
    </w:r>
    <w:r>
      <w:rPr>
        <w:rFonts w:hint="eastAsia"/>
        <w:lang w:val="en-US" w:eastAsia="zh-CN"/>
      </w:rPr>
      <w:t xml:space="preserve">  </w:t>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115</w:t>
                    </w:r>
                    <w:r>
                      <w:fldChar w:fldCharType="end"/>
                    </w:r>
                  </w:p>
                </w:txbxContent>
              </v:textbox>
            </v:shape>
          </w:pict>
        </mc:Fallback>
      </mc:AlternateContent>
    </w:r>
    <w:r>
      <w:rPr>
        <w:rFonts w:hint="eastAsia"/>
        <w:lang w:val="en-US" w:eastAsia="zh-CN"/>
      </w:rPr>
      <w:t xml:space="preserve">  </w: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F9EAF"/>
    <w:multiLevelType w:val="multilevel"/>
    <w:tmpl w:val="BC1F9EAF"/>
    <w:lvl w:ilvl="0" w:tentative="0">
      <w:start w:val="1"/>
      <w:numFmt w:val="decimal"/>
      <w:lvlText w:val="3.%1"/>
      <w:lvlJc w:val="left"/>
      <w:pPr>
        <w:tabs>
          <w:tab w:val="left" w:pos="0"/>
        </w:tabs>
        <w:ind w:left="1320" w:hanging="420"/>
      </w:pPr>
    </w:lvl>
    <w:lvl w:ilvl="1" w:tentative="0">
      <w:start w:val="1"/>
      <w:numFmt w:val="decimal"/>
      <w:lvlText w:val="3.%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BD3E269F"/>
    <w:multiLevelType w:val="singleLevel"/>
    <w:tmpl w:val="BD3E269F"/>
    <w:lvl w:ilvl="0" w:tentative="0">
      <w:start w:val="6"/>
      <w:numFmt w:val="chineseCounting"/>
      <w:suff w:val="space"/>
      <w:lvlText w:val="第%1章"/>
      <w:lvlJc w:val="left"/>
      <w:rPr>
        <w:rFonts w:hint="eastAsia"/>
      </w:rPr>
    </w:lvl>
  </w:abstractNum>
  <w:abstractNum w:abstractNumId="2">
    <w:nsid w:val="CCF72102"/>
    <w:multiLevelType w:val="singleLevel"/>
    <w:tmpl w:val="CCF72102"/>
    <w:lvl w:ilvl="0" w:tentative="0">
      <w:start w:val="1"/>
      <w:numFmt w:val="chineseCounting"/>
      <w:suff w:val="space"/>
      <w:lvlText w:val="第%1章"/>
      <w:lvlJc w:val="left"/>
      <w:rPr>
        <w:rFonts w:hint="eastAsia"/>
      </w:rPr>
    </w:lvl>
  </w:abstractNum>
  <w:abstractNum w:abstractNumId="3">
    <w:nsid w:val="F1BBA918"/>
    <w:multiLevelType w:val="multilevel"/>
    <w:tmpl w:val="F1BBA918"/>
    <w:lvl w:ilvl="0" w:tentative="0">
      <w:start w:val="1"/>
      <w:numFmt w:val="decimal"/>
      <w:lvlText w:val="2.%1"/>
      <w:lvlJc w:val="left"/>
      <w:pPr>
        <w:tabs>
          <w:tab w:val="left" w:pos="0"/>
        </w:tabs>
        <w:ind w:left="900" w:hanging="420"/>
      </w:pPr>
    </w:lvl>
    <w:lvl w:ilvl="1" w:tentative="0">
      <w:start w:val="1"/>
      <w:numFmt w:val="decimal"/>
      <w:lvlText w:val="2.%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4">
    <w:nsid w:val="04585C45"/>
    <w:multiLevelType w:val="multilevel"/>
    <w:tmpl w:val="04585C45"/>
    <w:lvl w:ilvl="0" w:tentative="0">
      <w:start w:val="1"/>
      <w:numFmt w:val="decimal"/>
      <w:pStyle w:val="7"/>
      <w:lvlText w:val="1.1.%1"/>
      <w:lvlJc w:val="left"/>
      <w:pPr>
        <w:ind w:left="420" w:hanging="420"/>
      </w:pPr>
      <w:rPr>
        <w:rFonts w:hint="eastAsia"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5DC0DE"/>
    <w:multiLevelType w:val="singleLevel"/>
    <w:tmpl w:val="0B5DC0DE"/>
    <w:lvl w:ilvl="0" w:tentative="0">
      <w:start w:val="9"/>
      <w:numFmt w:val="decimal"/>
      <w:lvlText w:val="%1."/>
      <w:lvlJc w:val="left"/>
      <w:pPr>
        <w:tabs>
          <w:tab w:val="left" w:pos="312"/>
        </w:tabs>
      </w:pPr>
    </w:lvl>
  </w:abstractNum>
  <w:abstractNum w:abstractNumId="6">
    <w:nsid w:val="178FDF3D"/>
    <w:multiLevelType w:val="singleLevel"/>
    <w:tmpl w:val="178FDF3D"/>
    <w:lvl w:ilvl="0" w:tentative="0">
      <w:start w:val="1"/>
      <w:numFmt w:val="decimal"/>
      <w:lvlText w:val="%1."/>
      <w:lvlJc w:val="left"/>
      <w:pPr>
        <w:ind w:left="425" w:hanging="425"/>
      </w:pPr>
      <w:rPr>
        <w:rFonts w:hint="default"/>
      </w:rPr>
    </w:lvl>
  </w:abstractNum>
  <w:abstractNum w:abstractNumId="7">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8">
    <w:nsid w:val="22566F53"/>
    <w:multiLevelType w:val="multilevel"/>
    <w:tmpl w:val="22566F53"/>
    <w:lvl w:ilvl="0" w:tentative="0">
      <w:start w:val="1"/>
      <w:numFmt w:val="decimal"/>
      <w:lvlText w:val="1.1.%1"/>
      <w:lvlJc w:val="left"/>
      <w:pPr>
        <w:ind w:left="420" w:hanging="420"/>
      </w:pPr>
      <w:rPr>
        <w:rFonts w:hint="eastAsia"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0B600E"/>
    <w:multiLevelType w:val="multilevel"/>
    <w:tmpl w:val="250B600E"/>
    <w:lvl w:ilvl="0" w:tentative="0">
      <w:start w:val="1"/>
      <w:numFmt w:val="decimal"/>
      <w:lvlText w:val="3.%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95448C5"/>
    <w:multiLevelType w:val="multilevel"/>
    <w:tmpl w:val="295448C5"/>
    <w:lvl w:ilvl="0" w:tentative="0">
      <w:start w:val="1"/>
      <w:numFmt w:val="decimal"/>
      <w:lvlText w:val="6.%1"/>
      <w:lvlJc w:val="left"/>
      <w:pPr>
        <w:ind w:left="900" w:hanging="420"/>
      </w:pPr>
      <w:rPr>
        <w:rFonts w:hint="eastAsia"/>
      </w:rPr>
    </w:lvl>
    <w:lvl w:ilvl="1" w:tentative="0">
      <w:start w:val="1"/>
      <w:numFmt w:val="decimal"/>
      <w:lvlText w:val="6.%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7934594"/>
    <w:multiLevelType w:val="multilevel"/>
    <w:tmpl w:val="37934594"/>
    <w:lvl w:ilvl="0" w:tentative="0">
      <w:start w:val="1"/>
      <w:numFmt w:val="bullet"/>
      <w:pStyle w:val="125"/>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12">
    <w:nsid w:val="3FB01419"/>
    <w:multiLevelType w:val="multilevel"/>
    <w:tmpl w:val="3FB01419"/>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7D578B5"/>
    <w:multiLevelType w:val="multilevel"/>
    <w:tmpl w:val="47D578B5"/>
    <w:lvl w:ilvl="0" w:tentative="0">
      <w:start w:val="1"/>
      <w:numFmt w:val="lowerLetter"/>
      <w:lvlText w:val="%1)"/>
      <w:lvlJc w:val="left"/>
      <w:pPr>
        <w:ind w:left="840" w:hanging="420"/>
      </w:pPr>
      <w:rPr>
        <w:rFonts w:hint="eastAsia"/>
      </w:rPr>
    </w:lvl>
    <w:lvl w:ilvl="1" w:tentative="0">
      <w:start w:val="1"/>
      <w:numFmt w:val="decimal"/>
      <w:lvlText w:val="5.%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94F22F1"/>
    <w:multiLevelType w:val="multilevel"/>
    <w:tmpl w:val="494F22F1"/>
    <w:lvl w:ilvl="0" w:tentative="0">
      <w:start w:val="1"/>
      <w:numFmt w:val="decimal"/>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4E943A2E"/>
    <w:multiLevelType w:val="multilevel"/>
    <w:tmpl w:val="4E943A2E"/>
    <w:lvl w:ilvl="0" w:tentative="0">
      <w:start w:val="1"/>
      <w:numFmt w:val="decimal"/>
      <w:lvlText w:val="%1"/>
      <w:lvlJc w:val="left"/>
      <w:pPr>
        <w:ind w:left="840" w:hanging="420"/>
      </w:pPr>
      <w:rPr>
        <w:rFonts w:hint="eastAsia"/>
      </w:rPr>
    </w:lvl>
    <w:lvl w:ilvl="1" w:tentative="0">
      <w:start w:val="1"/>
      <w:numFmt w:val="decimal"/>
      <w:lvlText w:val="%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095272C"/>
    <w:multiLevelType w:val="multilevel"/>
    <w:tmpl w:val="5095272C"/>
    <w:lvl w:ilvl="0" w:tentative="0">
      <w:start w:val="1"/>
      <w:numFmt w:val="decimal"/>
      <w:lvlText w:val="7.%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A0B24CB"/>
    <w:multiLevelType w:val="multilevel"/>
    <w:tmpl w:val="5A0B24CB"/>
    <w:lvl w:ilvl="0" w:tentative="0">
      <w:start w:val="1"/>
      <w:numFmt w:val="decimal"/>
      <w:pStyle w:val="6"/>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18">
    <w:nsid w:val="60520335"/>
    <w:multiLevelType w:val="multilevel"/>
    <w:tmpl w:val="60520335"/>
    <w:lvl w:ilvl="0" w:tentative="0">
      <w:start w:val="1"/>
      <w:numFmt w:val="decimal"/>
      <w:lvlText w:val="10.%1"/>
      <w:lvlJc w:val="left"/>
      <w:pPr>
        <w:ind w:left="96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1222004"/>
    <w:multiLevelType w:val="multilevel"/>
    <w:tmpl w:val="61222004"/>
    <w:lvl w:ilvl="0" w:tentative="0">
      <w:start w:val="1"/>
      <w:numFmt w:val="decimal"/>
      <w:lvlText w:val="8.%1"/>
      <w:lvlJc w:val="left"/>
      <w:pPr>
        <w:ind w:left="1320" w:hanging="420"/>
      </w:pPr>
      <w:rPr>
        <w:rFonts w:hint="eastAsia"/>
      </w:rPr>
    </w:lvl>
    <w:lvl w:ilvl="1" w:tentative="0">
      <w:start w:val="1"/>
      <w:numFmt w:val="decimal"/>
      <w:lvlText w:val="8.%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EE34801"/>
    <w:multiLevelType w:val="multilevel"/>
    <w:tmpl w:val="6EE34801"/>
    <w:lvl w:ilvl="0" w:tentative="0">
      <w:start w:val="1"/>
      <w:numFmt w:val="decimal"/>
      <w:lvlText w:val="1.3.%1"/>
      <w:lvlJc w:val="left"/>
      <w:pPr>
        <w:ind w:left="900" w:hanging="420"/>
      </w:pPr>
      <w:rPr>
        <w:rFonts w:hint="eastAsia"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720F72D6"/>
    <w:multiLevelType w:val="multilevel"/>
    <w:tmpl w:val="720F72D6"/>
    <w:lvl w:ilvl="0" w:tentative="0">
      <w:start w:val="1"/>
      <w:numFmt w:val="decimal"/>
      <w:lvlText w:val="1.2.%1"/>
      <w:lvlJc w:val="left"/>
      <w:pPr>
        <w:ind w:left="900" w:hanging="420"/>
      </w:pPr>
      <w:rPr>
        <w:rFonts w:hint="eastAsia"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74AB13E1"/>
    <w:multiLevelType w:val="multilevel"/>
    <w:tmpl w:val="74AB13E1"/>
    <w:lvl w:ilvl="0" w:tentative="0">
      <w:start w:val="1"/>
      <w:numFmt w:val="decimal"/>
      <w:pStyle w:val="4"/>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abstractNum w:abstractNumId="23">
    <w:nsid w:val="78A4110E"/>
    <w:multiLevelType w:val="multilevel"/>
    <w:tmpl w:val="78A4110E"/>
    <w:lvl w:ilvl="0" w:tentative="0">
      <w:start w:val="1"/>
      <w:numFmt w:val="decimal"/>
      <w:lvlText w:val="7.%1"/>
      <w:lvlJc w:val="left"/>
      <w:pPr>
        <w:ind w:left="900" w:hanging="420"/>
      </w:pPr>
      <w:rPr>
        <w:rFonts w:hint="eastAsia"/>
      </w:rPr>
    </w:lvl>
    <w:lvl w:ilvl="1" w:tentative="0">
      <w:start w:val="1"/>
      <w:numFmt w:val="decimal"/>
      <w:lvlText w:val="7.%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2"/>
  </w:num>
  <w:num w:numId="2">
    <w:abstractNumId w:val="17"/>
  </w:num>
  <w:num w:numId="3">
    <w:abstractNumId w:val="4"/>
  </w:num>
  <w:num w:numId="4">
    <w:abstractNumId w:val="11"/>
  </w:num>
  <w:num w:numId="5">
    <w:abstractNumId w:val="7"/>
  </w:num>
  <w:num w:numId="6">
    <w:abstractNumId w:val="16"/>
  </w:num>
  <w:num w:numId="7">
    <w:abstractNumId w:val="1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1"/>
  </w:num>
  <w:num w:numId="11">
    <w:abstractNumId w:val="20"/>
  </w:num>
  <w:num w:numId="12">
    <w:abstractNumId w:val="12"/>
  </w:num>
  <w:num w:numId="13">
    <w:abstractNumId w:val="9"/>
  </w:num>
  <w:num w:numId="14">
    <w:abstractNumId w:val="13"/>
  </w:num>
  <w:num w:numId="15">
    <w:abstractNumId w:val="10"/>
  </w:num>
  <w:num w:numId="16">
    <w:abstractNumId w:val="23"/>
  </w:num>
  <w:num w:numId="17">
    <w:abstractNumId w:val="19"/>
  </w:num>
  <w:num w:numId="18">
    <w:abstractNumId w:val="6"/>
  </w:num>
  <w:num w:numId="19">
    <w:abstractNumId w:val="3"/>
  </w:num>
  <w:num w:numId="20">
    <w:abstractNumId w:val="0"/>
  </w:num>
  <w:num w:numId="21">
    <w:abstractNumId w:val="5"/>
  </w:num>
  <w:num w:numId="22">
    <w:abstractNumId w:val="2"/>
  </w:num>
  <w:num w:numId="23">
    <w:abstractNumId w:val="1"/>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DcyZjdhZDhiMWNiNWRiZGNlYTZjMDM2MjI5ZTQifQ=="/>
  </w:docVars>
  <w:rsids>
    <w:rsidRoot w:val="00172A27"/>
    <w:rsid w:val="00003247"/>
    <w:rsid w:val="00003368"/>
    <w:rsid w:val="00012571"/>
    <w:rsid w:val="0002311B"/>
    <w:rsid w:val="0003644B"/>
    <w:rsid w:val="00041A12"/>
    <w:rsid w:val="00053E5C"/>
    <w:rsid w:val="0006034D"/>
    <w:rsid w:val="00073414"/>
    <w:rsid w:val="0007617E"/>
    <w:rsid w:val="0007681F"/>
    <w:rsid w:val="00081EDD"/>
    <w:rsid w:val="000857B6"/>
    <w:rsid w:val="000A2CAF"/>
    <w:rsid w:val="000A3AC3"/>
    <w:rsid w:val="000A44E1"/>
    <w:rsid w:val="000A6523"/>
    <w:rsid w:val="000B0630"/>
    <w:rsid w:val="000B7710"/>
    <w:rsid w:val="000C1ACE"/>
    <w:rsid w:val="000D0560"/>
    <w:rsid w:val="000D1DA6"/>
    <w:rsid w:val="000D2FD2"/>
    <w:rsid w:val="000D4D8A"/>
    <w:rsid w:val="000D7608"/>
    <w:rsid w:val="000F28CC"/>
    <w:rsid w:val="000F3235"/>
    <w:rsid w:val="000F366F"/>
    <w:rsid w:val="000F3C3A"/>
    <w:rsid w:val="0010108D"/>
    <w:rsid w:val="001051FC"/>
    <w:rsid w:val="00107FE7"/>
    <w:rsid w:val="00111186"/>
    <w:rsid w:val="001139FE"/>
    <w:rsid w:val="00114AD8"/>
    <w:rsid w:val="0012246F"/>
    <w:rsid w:val="001237E8"/>
    <w:rsid w:val="00131608"/>
    <w:rsid w:val="00132EB5"/>
    <w:rsid w:val="001401D5"/>
    <w:rsid w:val="001455BB"/>
    <w:rsid w:val="00152311"/>
    <w:rsid w:val="00153346"/>
    <w:rsid w:val="00153A72"/>
    <w:rsid w:val="00155516"/>
    <w:rsid w:val="00160570"/>
    <w:rsid w:val="0016324E"/>
    <w:rsid w:val="00167FFB"/>
    <w:rsid w:val="00177B6A"/>
    <w:rsid w:val="0018147C"/>
    <w:rsid w:val="001A7E8C"/>
    <w:rsid w:val="001B044B"/>
    <w:rsid w:val="001B16CF"/>
    <w:rsid w:val="001B55B8"/>
    <w:rsid w:val="001C13B5"/>
    <w:rsid w:val="001C44B4"/>
    <w:rsid w:val="001C706B"/>
    <w:rsid w:val="001D1155"/>
    <w:rsid w:val="001D5BD2"/>
    <w:rsid w:val="001E69CB"/>
    <w:rsid w:val="001F0CF9"/>
    <w:rsid w:val="001F29E5"/>
    <w:rsid w:val="002012DA"/>
    <w:rsid w:val="0020324F"/>
    <w:rsid w:val="00204ED2"/>
    <w:rsid w:val="00213AF7"/>
    <w:rsid w:val="002168D2"/>
    <w:rsid w:val="00223C83"/>
    <w:rsid w:val="00231C8A"/>
    <w:rsid w:val="002330B4"/>
    <w:rsid w:val="00243888"/>
    <w:rsid w:val="00244149"/>
    <w:rsid w:val="002518F9"/>
    <w:rsid w:val="00253751"/>
    <w:rsid w:val="002577EC"/>
    <w:rsid w:val="00275063"/>
    <w:rsid w:val="00283890"/>
    <w:rsid w:val="00284171"/>
    <w:rsid w:val="00287C15"/>
    <w:rsid w:val="00290DCB"/>
    <w:rsid w:val="00294A51"/>
    <w:rsid w:val="002952FD"/>
    <w:rsid w:val="002A5126"/>
    <w:rsid w:val="002B44FC"/>
    <w:rsid w:val="002C2844"/>
    <w:rsid w:val="003000BA"/>
    <w:rsid w:val="003326EF"/>
    <w:rsid w:val="0033613D"/>
    <w:rsid w:val="00346BA3"/>
    <w:rsid w:val="00373FA0"/>
    <w:rsid w:val="0038191E"/>
    <w:rsid w:val="00384965"/>
    <w:rsid w:val="003A04EF"/>
    <w:rsid w:val="003A1BBC"/>
    <w:rsid w:val="003A22A0"/>
    <w:rsid w:val="003B4C86"/>
    <w:rsid w:val="003C6478"/>
    <w:rsid w:val="003D35FC"/>
    <w:rsid w:val="003E16BD"/>
    <w:rsid w:val="003E7F2B"/>
    <w:rsid w:val="003F2FD8"/>
    <w:rsid w:val="003F45B6"/>
    <w:rsid w:val="004029DC"/>
    <w:rsid w:val="00410F1F"/>
    <w:rsid w:val="00432244"/>
    <w:rsid w:val="00433D5C"/>
    <w:rsid w:val="0044156E"/>
    <w:rsid w:val="00455F8F"/>
    <w:rsid w:val="00472214"/>
    <w:rsid w:val="004843DD"/>
    <w:rsid w:val="004860B7"/>
    <w:rsid w:val="004A13EE"/>
    <w:rsid w:val="004A1E80"/>
    <w:rsid w:val="004B5497"/>
    <w:rsid w:val="004B5A5A"/>
    <w:rsid w:val="004B70D5"/>
    <w:rsid w:val="004B7B1D"/>
    <w:rsid w:val="004E6CD6"/>
    <w:rsid w:val="004F0B84"/>
    <w:rsid w:val="00507F71"/>
    <w:rsid w:val="00512BC7"/>
    <w:rsid w:val="00516E51"/>
    <w:rsid w:val="00517EAB"/>
    <w:rsid w:val="005351E1"/>
    <w:rsid w:val="0053591B"/>
    <w:rsid w:val="00542029"/>
    <w:rsid w:val="0054594C"/>
    <w:rsid w:val="00551BD1"/>
    <w:rsid w:val="005554DA"/>
    <w:rsid w:val="00557660"/>
    <w:rsid w:val="00562DCE"/>
    <w:rsid w:val="00566C06"/>
    <w:rsid w:val="00580EFB"/>
    <w:rsid w:val="00582DB3"/>
    <w:rsid w:val="005A22F2"/>
    <w:rsid w:val="005B0BF8"/>
    <w:rsid w:val="005B29E5"/>
    <w:rsid w:val="005C1983"/>
    <w:rsid w:val="005C263D"/>
    <w:rsid w:val="005C5023"/>
    <w:rsid w:val="005C511D"/>
    <w:rsid w:val="005C5398"/>
    <w:rsid w:val="005C63C3"/>
    <w:rsid w:val="005D7BD9"/>
    <w:rsid w:val="005E0662"/>
    <w:rsid w:val="005E1F7C"/>
    <w:rsid w:val="005E672C"/>
    <w:rsid w:val="005F3002"/>
    <w:rsid w:val="005F6B78"/>
    <w:rsid w:val="00600FB0"/>
    <w:rsid w:val="00610482"/>
    <w:rsid w:val="00613887"/>
    <w:rsid w:val="0062380B"/>
    <w:rsid w:val="0062749A"/>
    <w:rsid w:val="006301D5"/>
    <w:rsid w:val="00636D0E"/>
    <w:rsid w:val="006418CB"/>
    <w:rsid w:val="006420D1"/>
    <w:rsid w:val="00644C5C"/>
    <w:rsid w:val="006529BB"/>
    <w:rsid w:val="006553CC"/>
    <w:rsid w:val="00655768"/>
    <w:rsid w:val="00663095"/>
    <w:rsid w:val="0067133D"/>
    <w:rsid w:val="00675847"/>
    <w:rsid w:val="0068064B"/>
    <w:rsid w:val="00680FD3"/>
    <w:rsid w:val="006826A3"/>
    <w:rsid w:val="006827D0"/>
    <w:rsid w:val="006940C1"/>
    <w:rsid w:val="0069723A"/>
    <w:rsid w:val="006A0EE0"/>
    <w:rsid w:val="006A2301"/>
    <w:rsid w:val="006B6397"/>
    <w:rsid w:val="006C3C33"/>
    <w:rsid w:val="006C4A3B"/>
    <w:rsid w:val="006C5F54"/>
    <w:rsid w:val="006D00D2"/>
    <w:rsid w:val="006D161F"/>
    <w:rsid w:val="006D6F36"/>
    <w:rsid w:val="006E7455"/>
    <w:rsid w:val="006F164D"/>
    <w:rsid w:val="006F2AA9"/>
    <w:rsid w:val="006F590F"/>
    <w:rsid w:val="006F5A6E"/>
    <w:rsid w:val="00703392"/>
    <w:rsid w:val="00712C1C"/>
    <w:rsid w:val="00716FC5"/>
    <w:rsid w:val="00721BE1"/>
    <w:rsid w:val="00730DA0"/>
    <w:rsid w:val="00731775"/>
    <w:rsid w:val="007423E9"/>
    <w:rsid w:val="00742AC6"/>
    <w:rsid w:val="00742EBC"/>
    <w:rsid w:val="00744B42"/>
    <w:rsid w:val="00745193"/>
    <w:rsid w:val="00750405"/>
    <w:rsid w:val="0075248F"/>
    <w:rsid w:val="00755026"/>
    <w:rsid w:val="00760063"/>
    <w:rsid w:val="007611AB"/>
    <w:rsid w:val="00772549"/>
    <w:rsid w:val="00772624"/>
    <w:rsid w:val="007732C2"/>
    <w:rsid w:val="00773581"/>
    <w:rsid w:val="00784A06"/>
    <w:rsid w:val="007A5841"/>
    <w:rsid w:val="007B5479"/>
    <w:rsid w:val="007B7496"/>
    <w:rsid w:val="007D2884"/>
    <w:rsid w:val="007E2574"/>
    <w:rsid w:val="007E67F7"/>
    <w:rsid w:val="007E78F4"/>
    <w:rsid w:val="00802846"/>
    <w:rsid w:val="008138F4"/>
    <w:rsid w:val="00816E04"/>
    <w:rsid w:val="00823325"/>
    <w:rsid w:val="00823F18"/>
    <w:rsid w:val="00825B27"/>
    <w:rsid w:val="00830B23"/>
    <w:rsid w:val="00851768"/>
    <w:rsid w:val="00851C49"/>
    <w:rsid w:val="008562B9"/>
    <w:rsid w:val="0086779C"/>
    <w:rsid w:val="00877442"/>
    <w:rsid w:val="00882AC1"/>
    <w:rsid w:val="00884C00"/>
    <w:rsid w:val="008854C3"/>
    <w:rsid w:val="00893118"/>
    <w:rsid w:val="008A1D42"/>
    <w:rsid w:val="008B15C1"/>
    <w:rsid w:val="008B590F"/>
    <w:rsid w:val="008C3C2C"/>
    <w:rsid w:val="008C64C1"/>
    <w:rsid w:val="008D1EB3"/>
    <w:rsid w:val="008D6FB1"/>
    <w:rsid w:val="008E1986"/>
    <w:rsid w:val="008E61F3"/>
    <w:rsid w:val="008E6C1A"/>
    <w:rsid w:val="008F1452"/>
    <w:rsid w:val="008F5A0E"/>
    <w:rsid w:val="00902026"/>
    <w:rsid w:val="0090241E"/>
    <w:rsid w:val="00904214"/>
    <w:rsid w:val="009053DC"/>
    <w:rsid w:val="00914F9A"/>
    <w:rsid w:val="009203D3"/>
    <w:rsid w:val="009252CD"/>
    <w:rsid w:val="009263E0"/>
    <w:rsid w:val="00926447"/>
    <w:rsid w:val="00930BD8"/>
    <w:rsid w:val="00932DCD"/>
    <w:rsid w:val="00940A20"/>
    <w:rsid w:val="00944B31"/>
    <w:rsid w:val="00950273"/>
    <w:rsid w:val="00954231"/>
    <w:rsid w:val="00954FE8"/>
    <w:rsid w:val="009555AA"/>
    <w:rsid w:val="0095780D"/>
    <w:rsid w:val="00963E9F"/>
    <w:rsid w:val="00965B79"/>
    <w:rsid w:val="009877F0"/>
    <w:rsid w:val="009A17C8"/>
    <w:rsid w:val="009A4040"/>
    <w:rsid w:val="009B52F1"/>
    <w:rsid w:val="009B64C6"/>
    <w:rsid w:val="009B7C36"/>
    <w:rsid w:val="009C1238"/>
    <w:rsid w:val="009C5398"/>
    <w:rsid w:val="009C74EE"/>
    <w:rsid w:val="009C7696"/>
    <w:rsid w:val="009D7A1D"/>
    <w:rsid w:val="009E49DF"/>
    <w:rsid w:val="00A037A4"/>
    <w:rsid w:val="00A10439"/>
    <w:rsid w:val="00A1104E"/>
    <w:rsid w:val="00A16250"/>
    <w:rsid w:val="00A216C8"/>
    <w:rsid w:val="00A21FC6"/>
    <w:rsid w:val="00A253F9"/>
    <w:rsid w:val="00A2625D"/>
    <w:rsid w:val="00A3401F"/>
    <w:rsid w:val="00A44227"/>
    <w:rsid w:val="00A474D1"/>
    <w:rsid w:val="00A542EE"/>
    <w:rsid w:val="00A55610"/>
    <w:rsid w:val="00A562BA"/>
    <w:rsid w:val="00A60833"/>
    <w:rsid w:val="00A629C7"/>
    <w:rsid w:val="00A63FE5"/>
    <w:rsid w:val="00A73FC4"/>
    <w:rsid w:val="00A77622"/>
    <w:rsid w:val="00A8220A"/>
    <w:rsid w:val="00A87B7B"/>
    <w:rsid w:val="00A94D1B"/>
    <w:rsid w:val="00AA39B7"/>
    <w:rsid w:val="00AA4ADB"/>
    <w:rsid w:val="00AB31BE"/>
    <w:rsid w:val="00AB754D"/>
    <w:rsid w:val="00AC15F9"/>
    <w:rsid w:val="00AD02A5"/>
    <w:rsid w:val="00AD6B8D"/>
    <w:rsid w:val="00AE5197"/>
    <w:rsid w:val="00AE68BB"/>
    <w:rsid w:val="00AF56F2"/>
    <w:rsid w:val="00B00AA8"/>
    <w:rsid w:val="00B04557"/>
    <w:rsid w:val="00B067D1"/>
    <w:rsid w:val="00B06D1C"/>
    <w:rsid w:val="00B12331"/>
    <w:rsid w:val="00B1394F"/>
    <w:rsid w:val="00B15ECE"/>
    <w:rsid w:val="00B26D65"/>
    <w:rsid w:val="00B31060"/>
    <w:rsid w:val="00B34747"/>
    <w:rsid w:val="00B367E6"/>
    <w:rsid w:val="00B4291D"/>
    <w:rsid w:val="00B44B2A"/>
    <w:rsid w:val="00B47520"/>
    <w:rsid w:val="00B50ADE"/>
    <w:rsid w:val="00B519C9"/>
    <w:rsid w:val="00B55DFB"/>
    <w:rsid w:val="00B61F9B"/>
    <w:rsid w:val="00B66100"/>
    <w:rsid w:val="00B66C36"/>
    <w:rsid w:val="00B675B8"/>
    <w:rsid w:val="00B6774B"/>
    <w:rsid w:val="00B70C69"/>
    <w:rsid w:val="00B71ED5"/>
    <w:rsid w:val="00B75666"/>
    <w:rsid w:val="00B82DC5"/>
    <w:rsid w:val="00B85F3C"/>
    <w:rsid w:val="00B87A1A"/>
    <w:rsid w:val="00B91D81"/>
    <w:rsid w:val="00B93831"/>
    <w:rsid w:val="00BA420A"/>
    <w:rsid w:val="00BA54C4"/>
    <w:rsid w:val="00BA6535"/>
    <w:rsid w:val="00BB3CD5"/>
    <w:rsid w:val="00BB3EB7"/>
    <w:rsid w:val="00BB419D"/>
    <w:rsid w:val="00BB711D"/>
    <w:rsid w:val="00BC07D6"/>
    <w:rsid w:val="00BC578C"/>
    <w:rsid w:val="00BD6B0C"/>
    <w:rsid w:val="00C067F0"/>
    <w:rsid w:val="00C11739"/>
    <w:rsid w:val="00C14BAF"/>
    <w:rsid w:val="00C15168"/>
    <w:rsid w:val="00C175B3"/>
    <w:rsid w:val="00C40DDE"/>
    <w:rsid w:val="00C52BB8"/>
    <w:rsid w:val="00C575B0"/>
    <w:rsid w:val="00C61A97"/>
    <w:rsid w:val="00C71325"/>
    <w:rsid w:val="00C903CF"/>
    <w:rsid w:val="00C912BD"/>
    <w:rsid w:val="00C965AB"/>
    <w:rsid w:val="00C97D74"/>
    <w:rsid w:val="00CA0C33"/>
    <w:rsid w:val="00CA0FCC"/>
    <w:rsid w:val="00CA1B05"/>
    <w:rsid w:val="00CA3A96"/>
    <w:rsid w:val="00CA4BBF"/>
    <w:rsid w:val="00CB1090"/>
    <w:rsid w:val="00CB1804"/>
    <w:rsid w:val="00CB3A5C"/>
    <w:rsid w:val="00CC41D7"/>
    <w:rsid w:val="00CC7A78"/>
    <w:rsid w:val="00CD1A62"/>
    <w:rsid w:val="00CD2B07"/>
    <w:rsid w:val="00CE0611"/>
    <w:rsid w:val="00CE1398"/>
    <w:rsid w:val="00CE5AAD"/>
    <w:rsid w:val="00CF1151"/>
    <w:rsid w:val="00CF34BF"/>
    <w:rsid w:val="00D00019"/>
    <w:rsid w:val="00D02CDA"/>
    <w:rsid w:val="00D05E16"/>
    <w:rsid w:val="00D06FC5"/>
    <w:rsid w:val="00D10FB1"/>
    <w:rsid w:val="00D111FD"/>
    <w:rsid w:val="00D12CD4"/>
    <w:rsid w:val="00D22787"/>
    <w:rsid w:val="00D24D44"/>
    <w:rsid w:val="00D261EA"/>
    <w:rsid w:val="00D351D9"/>
    <w:rsid w:val="00D4175B"/>
    <w:rsid w:val="00D42A0B"/>
    <w:rsid w:val="00D50CD8"/>
    <w:rsid w:val="00D55DED"/>
    <w:rsid w:val="00D6042E"/>
    <w:rsid w:val="00D61EC1"/>
    <w:rsid w:val="00D66034"/>
    <w:rsid w:val="00D848DE"/>
    <w:rsid w:val="00D858A9"/>
    <w:rsid w:val="00D85E61"/>
    <w:rsid w:val="00D90146"/>
    <w:rsid w:val="00D95E7E"/>
    <w:rsid w:val="00DA1A41"/>
    <w:rsid w:val="00DA21CF"/>
    <w:rsid w:val="00DB14E9"/>
    <w:rsid w:val="00DB6A88"/>
    <w:rsid w:val="00DB7E22"/>
    <w:rsid w:val="00DC6EAD"/>
    <w:rsid w:val="00DD2201"/>
    <w:rsid w:val="00DD2276"/>
    <w:rsid w:val="00DE1574"/>
    <w:rsid w:val="00DE174E"/>
    <w:rsid w:val="00DF061D"/>
    <w:rsid w:val="00DF22D5"/>
    <w:rsid w:val="00DF4123"/>
    <w:rsid w:val="00DF7D84"/>
    <w:rsid w:val="00E0256B"/>
    <w:rsid w:val="00E247E2"/>
    <w:rsid w:val="00E2486C"/>
    <w:rsid w:val="00E25F05"/>
    <w:rsid w:val="00E31FC8"/>
    <w:rsid w:val="00E41B96"/>
    <w:rsid w:val="00E42523"/>
    <w:rsid w:val="00E571B0"/>
    <w:rsid w:val="00E61143"/>
    <w:rsid w:val="00E63F39"/>
    <w:rsid w:val="00E644F3"/>
    <w:rsid w:val="00E64CDC"/>
    <w:rsid w:val="00E657E6"/>
    <w:rsid w:val="00E677CC"/>
    <w:rsid w:val="00E702FE"/>
    <w:rsid w:val="00E864E2"/>
    <w:rsid w:val="00E97E16"/>
    <w:rsid w:val="00EA0EA9"/>
    <w:rsid w:val="00EA1930"/>
    <w:rsid w:val="00EA6179"/>
    <w:rsid w:val="00EA6E31"/>
    <w:rsid w:val="00EB0516"/>
    <w:rsid w:val="00EB4B86"/>
    <w:rsid w:val="00EC0020"/>
    <w:rsid w:val="00EE1BF3"/>
    <w:rsid w:val="00EE5734"/>
    <w:rsid w:val="00EE614B"/>
    <w:rsid w:val="00EE6C0B"/>
    <w:rsid w:val="00EE76E6"/>
    <w:rsid w:val="00EF2FAF"/>
    <w:rsid w:val="00F0047E"/>
    <w:rsid w:val="00F036E1"/>
    <w:rsid w:val="00F05904"/>
    <w:rsid w:val="00F13C92"/>
    <w:rsid w:val="00F14645"/>
    <w:rsid w:val="00F27868"/>
    <w:rsid w:val="00F33BF9"/>
    <w:rsid w:val="00F355AF"/>
    <w:rsid w:val="00F3664B"/>
    <w:rsid w:val="00F46F87"/>
    <w:rsid w:val="00F47992"/>
    <w:rsid w:val="00F520DC"/>
    <w:rsid w:val="00F52C13"/>
    <w:rsid w:val="00F56893"/>
    <w:rsid w:val="00F56F23"/>
    <w:rsid w:val="00F6179F"/>
    <w:rsid w:val="00F66829"/>
    <w:rsid w:val="00F73BB9"/>
    <w:rsid w:val="00F7682B"/>
    <w:rsid w:val="00F77F49"/>
    <w:rsid w:val="00F813B3"/>
    <w:rsid w:val="00F91A0A"/>
    <w:rsid w:val="00F9251C"/>
    <w:rsid w:val="00F9779C"/>
    <w:rsid w:val="00FA09A4"/>
    <w:rsid w:val="00FB1056"/>
    <w:rsid w:val="00FC1C24"/>
    <w:rsid w:val="00FD2B3F"/>
    <w:rsid w:val="00FE60F6"/>
    <w:rsid w:val="00FE6247"/>
    <w:rsid w:val="00FE7820"/>
    <w:rsid w:val="01084942"/>
    <w:rsid w:val="01167554"/>
    <w:rsid w:val="014F7DFC"/>
    <w:rsid w:val="0179336A"/>
    <w:rsid w:val="02115FEC"/>
    <w:rsid w:val="02B31F24"/>
    <w:rsid w:val="03113315"/>
    <w:rsid w:val="03C855F6"/>
    <w:rsid w:val="04267A70"/>
    <w:rsid w:val="047F1B5F"/>
    <w:rsid w:val="05D847E5"/>
    <w:rsid w:val="062E7715"/>
    <w:rsid w:val="067C65F1"/>
    <w:rsid w:val="06A719CB"/>
    <w:rsid w:val="06AC5DD9"/>
    <w:rsid w:val="07127BE2"/>
    <w:rsid w:val="07B26081"/>
    <w:rsid w:val="08EF1EE3"/>
    <w:rsid w:val="0A913BCA"/>
    <w:rsid w:val="0BF4406D"/>
    <w:rsid w:val="0C242EE3"/>
    <w:rsid w:val="0C5677B6"/>
    <w:rsid w:val="0CC178A4"/>
    <w:rsid w:val="0E8404C2"/>
    <w:rsid w:val="0FE125D4"/>
    <w:rsid w:val="112D3E25"/>
    <w:rsid w:val="11300DE2"/>
    <w:rsid w:val="11715182"/>
    <w:rsid w:val="11915392"/>
    <w:rsid w:val="11E51543"/>
    <w:rsid w:val="12AF7CD6"/>
    <w:rsid w:val="140D4D05"/>
    <w:rsid w:val="14D05932"/>
    <w:rsid w:val="14D871D9"/>
    <w:rsid w:val="156A00E7"/>
    <w:rsid w:val="16EF1057"/>
    <w:rsid w:val="1722536B"/>
    <w:rsid w:val="182F10F1"/>
    <w:rsid w:val="18A8222E"/>
    <w:rsid w:val="1A255DBF"/>
    <w:rsid w:val="1A2834B7"/>
    <w:rsid w:val="1AB040D2"/>
    <w:rsid w:val="1B04153E"/>
    <w:rsid w:val="1B506DE6"/>
    <w:rsid w:val="1B8D762B"/>
    <w:rsid w:val="1C733A47"/>
    <w:rsid w:val="1CA817C2"/>
    <w:rsid w:val="1CAF68AB"/>
    <w:rsid w:val="1DFC5003"/>
    <w:rsid w:val="1E1A7314"/>
    <w:rsid w:val="1E6A6411"/>
    <w:rsid w:val="1E7C3212"/>
    <w:rsid w:val="1ECB2CBB"/>
    <w:rsid w:val="1EEC1386"/>
    <w:rsid w:val="1F3E72B0"/>
    <w:rsid w:val="1FEF0C63"/>
    <w:rsid w:val="1FFC6217"/>
    <w:rsid w:val="20446B5F"/>
    <w:rsid w:val="20661425"/>
    <w:rsid w:val="2194541E"/>
    <w:rsid w:val="22230DB0"/>
    <w:rsid w:val="225A509F"/>
    <w:rsid w:val="239C52BE"/>
    <w:rsid w:val="247E2C16"/>
    <w:rsid w:val="25021B5F"/>
    <w:rsid w:val="25025C86"/>
    <w:rsid w:val="25071EF9"/>
    <w:rsid w:val="270A4E37"/>
    <w:rsid w:val="27220D48"/>
    <w:rsid w:val="282D549E"/>
    <w:rsid w:val="28EE1D39"/>
    <w:rsid w:val="2B1C0B7B"/>
    <w:rsid w:val="2C412DFA"/>
    <w:rsid w:val="2C806BCE"/>
    <w:rsid w:val="2CC46001"/>
    <w:rsid w:val="2D0C5618"/>
    <w:rsid w:val="2D6B05EA"/>
    <w:rsid w:val="2E663B90"/>
    <w:rsid w:val="2E8A3D5F"/>
    <w:rsid w:val="2EE16678"/>
    <w:rsid w:val="2F1135ED"/>
    <w:rsid w:val="2F3E1B6E"/>
    <w:rsid w:val="2F8152AD"/>
    <w:rsid w:val="3027435D"/>
    <w:rsid w:val="30C5119D"/>
    <w:rsid w:val="320F0DB6"/>
    <w:rsid w:val="323A479E"/>
    <w:rsid w:val="32B900B2"/>
    <w:rsid w:val="32E3786D"/>
    <w:rsid w:val="33275B4A"/>
    <w:rsid w:val="33377D32"/>
    <w:rsid w:val="338D5021"/>
    <w:rsid w:val="34A47AAB"/>
    <w:rsid w:val="34BD5094"/>
    <w:rsid w:val="34CC2216"/>
    <w:rsid w:val="35601230"/>
    <w:rsid w:val="356B3A8C"/>
    <w:rsid w:val="36032492"/>
    <w:rsid w:val="362106CC"/>
    <w:rsid w:val="363E5D73"/>
    <w:rsid w:val="36DC0D99"/>
    <w:rsid w:val="37EA2B82"/>
    <w:rsid w:val="37ED4FD5"/>
    <w:rsid w:val="386C1A3B"/>
    <w:rsid w:val="390B7438"/>
    <w:rsid w:val="394177A0"/>
    <w:rsid w:val="3A337237"/>
    <w:rsid w:val="3A4045A0"/>
    <w:rsid w:val="3B4E64FB"/>
    <w:rsid w:val="3B6444BC"/>
    <w:rsid w:val="3B671C1F"/>
    <w:rsid w:val="3B77345A"/>
    <w:rsid w:val="3EEF10AE"/>
    <w:rsid w:val="3F37438D"/>
    <w:rsid w:val="3F3E192F"/>
    <w:rsid w:val="3FA13628"/>
    <w:rsid w:val="3FC86909"/>
    <w:rsid w:val="40364325"/>
    <w:rsid w:val="403A1C8F"/>
    <w:rsid w:val="408C7BD7"/>
    <w:rsid w:val="40BF7F73"/>
    <w:rsid w:val="42B123CC"/>
    <w:rsid w:val="431A6AD0"/>
    <w:rsid w:val="4348019D"/>
    <w:rsid w:val="4529489D"/>
    <w:rsid w:val="461106E9"/>
    <w:rsid w:val="462A06AC"/>
    <w:rsid w:val="46C30D68"/>
    <w:rsid w:val="46E1230A"/>
    <w:rsid w:val="48201E6B"/>
    <w:rsid w:val="48390A7E"/>
    <w:rsid w:val="48FF333A"/>
    <w:rsid w:val="49E8736E"/>
    <w:rsid w:val="4BC73DDE"/>
    <w:rsid w:val="4BD626F6"/>
    <w:rsid w:val="4C3E6663"/>
    <w:rsid w:val="4C88340A"/>
    <w:rsid w:val="4D0A1F71"/>
    <w:rsid w:val="4D2A0685"/>
    <w:rsid w:val="4D9C6877"/>
    <w:rsid w:val="4DA46C91"/>
    <w:rsid w:val="4E10744E"/>
    <w:rsid w:val="4EA1469A"/>
    <w:rsid w:val="50FC061C"/>
    <w:rsid w:val="5119144D"/>
    <w:rsid w:val="51343C8C"/>
    <w:rsid w:val="517644A3"/>
    <w:rsid w:val="517E1818"/>
    <w:rsid w:val="52226EE4"/>
    <w:rsid w:val="52BA135A"/>
    <w:rsid w:val="5392443C"/>
    <w:rsid w:val="53F2563B"/>
    <w:rsid w:val="551F5395"/>
    <w:rsid w:val="552758CE"/>
    <w:rsid w:val="56144A5F"/>
    <w:rsid w:val="58E54192"/>
    <w:rsid w:val="59DF3632"/>
    <w:rsid w:val="5B343CF6"/>
    <w:rsid w:val="5B540B7B"/>
    <w:rsid w:val="5BFD59E6"/>
    <w:rsid w:val="5C686619"/>
    <w:rsid w:val="5D8E554C"/>
    <w:rsid w:val="5DE352BC"/>
    <w:rsid w:val="5E5E75A8"/>
    <w:rsid w:val="5EC243AF"/>
    <w:rsid w:val="5ECD725E"/>
    <w:rsid w:val="5F4E3D7F"/>
    <w:rsid w:val="5F541703"/>
    <w:rsid w:val="5FF820FB"/>
    <w:rsid w:val="60666601"/>
    <w:rsid w:val="60B635FB"/>
    <w:rsid w:val="61507262"/>
    <w:rsid w:val="61853147"/>
    <w:rsid w:val="6191539E"/>
    <w:rsid w:val="61B734B3"/>
    <w:rsid w:val="62306DC9"/>
    <w:rsid w:val="63022198"/>
    <w:rsid w:val="633F4691"/>
    <w:rsid w:val="634D235E"/>
    <w:rsid w:val="63941103"/>
    <w:rsid w:val="644C255F"/>
    <w:rsid w:val="644E124D"/>
    <w:rsid w:val="64557B1F"/>
    <w:rsid w:val="647A5F26"/>
    <w:rsid w:val="649661EF"/>
    <w:rsid w:val="64C47B75"/>
    <w:rsid w:val="654A13AF"/>
    <w:rsid w:val="66C914FC"/>
    <w:rsid w:val="671B3414"/>
    <w:rsid w:val="67D3268C"/>
    <w:rsid w:val="685D437B"/>
    <w:rsid w:val="6918202A"/>
    <w:rsid w:val="692F75B0"/>
    <w:rsid w:val="694C1DDD"/>
    <w:rsid w:val="69685E6D"/>
    <w:rsid w:val="6A06480C"/>
    <w:rsid w:val="6A086266"/>
    <w:rsid w:val="6BA510C0"/>
    <w:rsid w:val="6C07266B"/>
    <w:rsid w:val="6C7B56E6"/>
    <w:rsid w:val="6CD6123E"/>
    <w:rsid w:val="6D09357F"/>
    <w:rsid w:val="6D9669EA"/>
    <w:rsid w:val="6E474553"/>
    <w:rsid w:val="6E9579A2"/>
    <w:rsid w:val="6EDA719D"/>
    <w:rsid w:val="70821719"/>
    <w:rsid w:val="7082685F"/>
    <w:rsid w:val="71C93D2A"/>
    <w:rsid w:val="720E23A2"/>
    <w:rsid w:val="72A5680C"/>
    <w:rsid w:val="7516751B"/>
    <w:rsid w:val="76932F2A"/>
    <w:rsid w:val="77DE303E"/>
    <w:rsid w:val="78537889"/>
    <w:rsid w:val="797A08D7"/>
    <w:rsid w:val="79843EB8"/>
    <w:rsid w:val="7A92277A"/>
    <w:rsid w:val="7AA30604"/>
    <w:rsid w:val="7CCD0462"/>
    <w:rsid w:val="7D1D795D"/>
    <w:rsid w:val="7E1C5F4B"/>
    <w:rsid w:val="7E4234E1"/>
    <w:rsid w:val="7E7C185A"/>
    <w:rsid w:val="7F084246"/>
    <w:rsid w:val="7F113154"/>
    <w:rsid w:val="7F207C8E"/>
    <w:rsid w:val="7F627390"/>
    <w:rsid w:val="7F6A40DC"/>
    <w:rsid w:val="7F9E22B0"/>
    <w:rsid w:val="7FFF1D27"/>
    <w:rsid w:val="FF7FAE11"/>
    <w:rsid w:val="FFF857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link w:val="53"/>
    <w:qFormat/>
    <w:uiPriority w:val="0"/>
    <w:pPr>
      <w:keepNext/>
      <w:keepLines/>
      <w:spacing w:before="340" w:after="330" w:line="578" w:lineRule="auto"/>
      <w:outlineLvl w:val="0"/>
    </w:pPr>
    <w:rPr>
      <w:rFonts w:ascii="Times New Roman" w:hAnsi="Times New Roman" w:eastAsia="黑体"/>
      <w:b/>
      <w:bCs/>
      <w:kern w:val="44"/>
      <w:sz w:val="32"/>
      <w:szCs w:val="44"/>
    </w:rPr>
  </w:style>
  <w:style w:type="paragraph" w:styleId="4">
    <w:name w:val="heading 2"/>
    <w:basedOn w:val="1"/>
    <w:next w:val="1"/>
    <w:link w:val="54"/>
    <w:qFormat/>
    <w:uiPriority w:val="0"/>
    <w:pPr>
      <w:numPr>
        <w:ilvl w:val="0"/>
        <w:numId w:val="1"/>
      </w:numPr>
      <w:spacing w:before="260" w:after="260" w:line="415" w:lineRule="auto"/>
      <w:outlineLvl w:val="1"/>
    </w:pPr>
    <w:rPr>
      <w:rFonts w:ascii="黑体" w:hAnsi="黑体" w:eastAsia="黑体"/>
      <w:b/>
      <w:bCs/>
      <w:kern w:val="44"/>
      <w:sz w:val="30"/>
      <w:szCs w:val="30"/>
    </w:rPr>
  </w:style>
  <w:style w:type="paragraph" w:styleId="5">
    <w:name w:val="heading 3"/>
    <w:basedOn w:val="1"/>
    <w:next w:val="1"/>
    <w:link w:val="55"/>
    <w:qFormat/>
    <w:uiPriority w:val="9"/>
    <w:pPr>
      <w:keepNext/>
      <w:keepLines/>
      <w:spacing w:before="260" w:after="260" w:line="416" w:lineRule="auto"/>
      <w:outlineLvl w:val="2"/>
    </w:pPr>
    <w:rPr>
      <w:rFonts w:ascii="Times New Roman" w:hAnsi="Times New Roman"/>
      <w:b/>
      <w:bCs/>
      <w:kern w:val="0"/>
      <w:sz w:val="32"/>
      <w:szCs w:val="32"/>
    </w:rPr>
  </w:style>
  <w:style w:type="paragraph" w:styleId="6">
    <w:name w:val="heading 4"/>
    <w:basedOn w:val="4"/>
    <w:next w:val="7"/>
    <w:link w:val="56"/>
    <w:qFormat/>
    <w:uiPriority w:val="0"/>
    <w:pPr>
      <w:numPr>
        <w:numId w:val="2"/>
      </w:numPr>
      <w:outlineLvl w:val="3"/>
    </w:pPr>
    <w:rPr>
      <w:b w:val="0"/>
      <w:sz w:val="28"/>
    </w:rPr>
  </w:style>
  <w:style w:type="paragraph" w:styleId="7">
    <w:name w:val="heading 5"/>
    <w:basedOn w:val="6"/>
    <w:next w:val="8"/>
    <w:link w:val="57"/>
    <w:qFormat/>
    <w:uiPriority w:val="0"/>
    <w:pPr>
      <w:numPr>
        <w:numId w:val="3"/>
      </w:numPr>
      <w:spacing w:line="360" w:lineRule="auto"/>
      <w:outlineLvl w:val="4"/>
    </w:pPr>
    <w:rPr>
      <w:rFonts w:eastAsia="宋体"/>
      <w:b/>
      <w:bCs w:val="0"/>
      <w:sz w:val="24"/>
    </w:rPr>
  </w:style>
  <w:style w:type="paragraph" w:styleId="9">
    <w:name w:val="heading 6"/>
    <w:basedOn w:val="1"/>
    <w:next w:val="1"/>
    <w:link w:val="59"/>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8"/>
    <w:link w:val="60"/>
    <w:qFormat/>
    <w:uiPriority w:val="0"/>
    <w:pPr>
      <w:keepNext/>
      <w:keepLines/>
      <w:spacing w:before="240" w:after="64" w:line="320" w:lineRule="auto"/>
      <w:outlineLvl w:val="6"/>
    </w:pPr>
    <w:rPr>
      <w:rFonts w:ascii="Times New Roman" w:hAnsi="Times New Roman"/>
      <w:b/>
      <w:kern w:val="0"/>
      <w:sz w:val="24"/>
      <w:szCs w:val="20"/>
    </w:rPr>
  </w:style>
  <w:style w:type="paragraph" w:styleId="11">
    <w:name w:val="heading 8"/>
    <w:basedOn w:val="1"/>
    <w:next w:val="8"/>
    <w:link w:val="61"/>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8"/>
    <w:link w:val="62"/>
    <w:qFormat/>
    <w:uiPriority w:val="0"/>
    <w:pPr>
      <w:keepNext/>
      <w:keepLines/>
      <w:spacing w:before="240" w:after="64" w:line="320" w:lineRule="auto"/>
      <w:outlineLvl w:val="8"/>
    </w:pPr>
    <w:rPr>
      <w:rFonts w:ascii="Arial" w:hAnsi="Arial" w:eastAsia="黑体"/>
      <w:kern w:val="0"/>
      <w:sz w:val="20"/>
      <w:szCs w:val="20"/>
    </w:rPr>
  </w:style>
  <w:style w:type="character" w:default="1" w:styleId="44">
    <w:name w:val="Default Paragraph Font"/>
    <w:unhideWhenUsed/>
    <w:qFormat/>
    <w:uiPriority w:val="1"/>
  </w:style>
  <w:style w:type="table" w:default="1" w:styleId="4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Plain Text"/>
    <w:basedOn w:val="1"/>
    <w:link w:val="68"/>
    <w:qFormat/>
    <w:uiPriority w:val="0"/>
    <w:rPr>
      <w:rFonts w:ascii="宋体" w:hAnsi="Courier New" w:eastAsia="楷体_GB2312"/>
      <w:kern w:val="0"/>
      <w:sz w:val="20"/>
      <w:szCs w:val="24"/>
    </w:rPr>
  </w:style>
  <w:style w:type="paragraph" w:styleId="8">
    <w:name w:val="Normal Indent"/>
    <w:basedOn w:val="1"/>
    <w:link w:val="58"/>
    <w:unhideWhenUsed/>
    <w:qFormat/>
    <w:uiPriority w:val="0"/>
    <w:pPr>
      <w:ind w:firstLine="420" w:firstLineChars="200"/>
    </w:pPr>
    <w:rPr>
      <w:rFonts w:ascii="Times New Roman" w:hAnsi="Times New Roman"/>
    </w:rPr>
  </w:style>
  <w:style w:type="paragraph" w:styleId="13">
    <w:name w:val="toc 7"/>
    <w:basedOn w:val="1"/>
    <w:next w:val="1"/>
    <w:unhideWhenUsed/>
    <w:qFormat/>
    <w:uiPriority w:val="39"/>
    <w:pPr>
      <w:ind w:left="2520" w:leftChars="1200"/>
    </w:pPr>
  </w:style>
  <w:style w:type="paragraph" w:styleId="14">
    <w:name w:val="Document Map"/>
    <w:basedOn w:val="1"/>
    <w:link w:val="63"/>
    <w:semiHidden/>
    <w:qFormat/>
    <w:uiPriority w:val="0"/>
    <w:pPr>
      <w:shd w:val="clear" w:color="auto" w:fill="000080"/>
    </w:pPr>
    <w:rPr>
      <w:rFonts w:ascii="Times New Roman" w:hAnsi="Times New Roman"/>
      <w:kern w:val="0"/>
      <w:sz w:val="20"/>
      <w:szCs w:val="24"/>
    </w:rPr>
  </w:style>
  <w:style w:type="paragraph" w:styleId="15">
    <w:name w:val="annotation text"/>
    <w:basedOn w:val="1"/>
    <w:link w:val="64"/>
    <w:unhideWhenUsed/>
    <w:qFormat/>
    <w:uiPriority w:val="99"/>
    <w:pPr>
      <w:jc w:val="left"/>
    </w:pPr>
    <w:rPr>
      <w:rFonts w:ascii="Times New Roman" w:hAnsi="Times New Roman"/>
    </w:rPr>
  </w:style>
  <w:style w:type="paragraph" w:styleId="16">
    <w:name w:val="Body Text 3"/>
    <w:basedOn w:val="1"/>
    <w:link w:val="65"/>
    <w:unhideWhenUsed/>
    <w:qFormat/>
    <w:uiPriority w:val="99"/>
    <w:pPr>
      <w:spacing w:after="120"/>
    </w:pPr>
    <w:rPr>
      <w:rFonts w:ascii="Times New Roman" w:hAnsi="Times New Roman"/>
      <w:sz w:val="16"/>
      <w:szCs w:val="16"/>
    </w:rPr>
  </w:style>
  <w:style w:type="paragraph" w:styleId="17">
    <w:name w:val="Body Text"/>
    <w:basedOn w:val="1"/>
    <w:link w:val="66"/>
    <w:unhideWhenUsed/>
    <w:qFormat/>
    <w:uiPriority w:val="99"/>
    <w:pPr>
      <w:spacing w:after="120"/>
    </w:pPr>
    <w:rPr>
      <w:kern w:val="0"/>
      <w:sz w:val="20"/>
      <w:szCs w:val="20"/>
    </w:rPr>
  </w:style>
  <w:style w:type="paragraph" w:styleId="18">
    <w:name w:val="Body Text Indent"/>
    <w:basedOn w:val="1"/>
    <w:link w:val="67"/>
    <w:qFormat/>
    <w:uiPriority w:val="0"/>
    <w:pPr>
      <w:spacing w:after="120"/>
      <w:ind w:left="420" w:leftChars="200"/>
    </w:pPr>
    <w:rPr>
      <w:rFonts w:ascii="Times New Roman" w:hAnsi="Times New Roman"/>
      <w:kern w:val="0"/>
      <w:sz w:val="20"/>
      <w:szCs w:val="24"/>
    </w:rPr>
  </w:style>
  <w:style w:type="paragraph" w:styleId="19">
    <w:name w:val="toc 5"/>
    <w:basedOn w:val="1"/>
    <w:next w:val="1"/>
    <w:unhideWhenUsed/>
    <w:qFormat/>
    <w:uiPriority w:val="39"/>
    <w:pPr>
      <w:ind w:left="1680" w:leftChars="800"/>
    </w:pPr>
  </w:style>
  <w:style w:type="paragraph" w:styleId="20">
    <w:name w:val="toc 3"/>
    <w:basedOn w:val="1"/>
    <w:next w:val="1"/>
    <w:unhideWhenUsed/>
    <w:qFormat/>
    <w:uiPriority w:val="39"/>
    <w:pPr>
      <w:widowControl/>
      <w:spacing w:after="100" w:line="276" w:lineRule="auto"/>
      <w:ind w:left="440"/>
      <w:jc w:val="left"/>
    </w:pPr>
    <w:rPr>
      <w:kern w:val="0"/>
      <w:sz w:val="22"/>
    </w:rPr>
  </w:style>
  <w:style w:type="paragraph" w:styleId="21">
    <w:name w:val="toc 8"/>
    <w:basedOn w:val="1"/>
    <w:next w:val="1"/>
    <w:unhideWhenUsed/>
    <w:qFormat/>
    <w:uiPriority w:val="39"/>
    <w:pPr>
      <w:ind w:left="2940" w:leftChars="1400"/>
    </w:pPr>
  </w:style>
  <w:style w:type="paragraph" w:styleId="22">
    <w:name w:val="Date"/>
    <w:basedOn w:val="1"/>
    <w:next w:val="1"/>
    <w:link w:val="69"/>
    <w:unhideWhenUsed/>
    <w:qFormat/>
    <w:uiPriority w:val="0"/>
    <w:pPr>
      <w:ind w:left="100" w:leftChars="2500"/>
    </w:pPr>
    <w:rPr>
      <w:rFonts w:ascii="Times New Roman" w:hAnsi="Times New Roman"/>
    </w:rPr>
  </w:style>
  <w:style w:type="paragraph" w:styleId="23">
    <w:name w:val="Body Text Indent 2"/>
    <w:basedOn w:val="1"/>
    <w:link w:val="70"/>
    <w:qFormat/>
    <w:uiPriority w:val="0"/>
    <w:pPr>
      <w:spacing w:after="120" w:line="480" w:lineRule="auto"/>
      <w:ind w:left="420" w:leftChars="200"/>
    </w:pPr>
    <w:rPr>
      <w:rFonts w:ascii="Times New Roman" w:hAnsi="Times New Roman"/>
      <w:kern w:val="0"/>
      <w:sz w:val="20"/>
      <w:szCs w:val="24"/>
    </w:rPr>
  </w:style>
  <w:style w:type="paragraph" w:styleId="24">
    <w:name w:val="endnote text"/>
    <w:basedOn w:val="1"/>
    <w:link w:val="71"/>
    <w:unhideWhenUsed/>
    <w:qFormat/>
    <w:uiPriority w:val="99"/>
    <w:pPr>
      <w:snapToGrid w:val="0"/>
      <w:jc w:val="left"/>
    </w:pPr>
    <w:rPr>
      <w:rFonts w:ascii="Times New Roman" w:hAnsi="Times New Roman"/>
    </w:rPr>
  </w:style>
  <w:style w:type="paragraph" w:styleId="25">
    <w:name w:val="Balloon Text"/>
    <w:basedOn w:val="1"/>
    <w:link w:val="72"/>
    <w:unhideWhenUsed/>
    <w:qFormat/>
    <w:uiPriority w:val="99"/>
    <w:rPr>
      <w:kern w:val="0"/>
      <w:sz w:val="18"/>
      <w:szCs w:val="18"/>
    </w:rPr>
  </w:style>
  <w:style w:type="paragraph" w:styleId="26">
    <w:name w:val="footer"/>
    <w:basedOn w:val="1"/>
    <w:link w:val="73"/>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4"/>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1"/>
    <w:next w:val="1"/>
    <w:unhideWhenUsed/>
    <w:qFormat/>
    <w:uiPriority w:val="39"/>
    <w:pPr>
      <w:widowControl/>
      <w:spacing w:after="100" w:line="276" w:lineRule="auto"/>
      <w:jc w:val="left"/>
    </w:pPr>
    <w:rPr>
      <w:kern w:val="0"/>
      <w:sz w:val="22"/>
    </w:rPr>
  </w:style>
  <w:style w:type="paragraph" w:styleId="29">
    <w:name w:val="toc 4"/>
    <w:basedOn w:val="1"/>
    <w:next w:val="1"/>
    <w:unhideWhenUsed/>
    <w:qFormat/>
    <w:uiPriority w:val="39"/>
    <w:pPr>
      <w:ind w:left="1260" w:leftChars="600"/>
    </w:pPr>
  </w:style>
  <w:style w:type="paragraph" w:styleId="30">
    <w:name w:val="toc 6"/>
    <w:basedOn w:val="1"/>
    <w:next w:val="1"/>
    <w:unhideWhenUsed/>
    <w:qFormat/>
    <w:uiPriority w:val="39"/>
    <w:pPr>
      <w:ind w:left="2100" w:leftChars="1000"/>
    </w:pPr>
  </w:style>
  <w:style w:type="paragraph" w:styleId="31">
    <w:name w:val="Body Text Indent 3"/>
    <w:basedOn w:val="1"/>
    <w:link w:val="75"/>
    <w:qFormat/>
    <w:uiPriority w:val="0"/>
    <w:pPr>
      <w:spacing w:after="120"/>
      <w:ind w:left="420" w:leftChars="200"/>
    </w:pPr>
    <w:rPr>
      <w:rFonts w:ascii="Times New Roman" w:hAnsi="Times New Roman"/>
      <w:kern w:val="0"/>
      <w:sz w:val="16"/>
      <w:szCs w:val="16"/>
    </w:rPr>
  </w:style>
  <w:style w:type="paragraph" w:styleId="32">
    <w:name w:val="toc 2"/>
    <w:basedOn w:val="1"/>
    <w:next w:val="1"/>
    <w:unhideWhenUsed/>
    <w:qFormat/>
    <w:uiPriority w:val="39"/>
    <w:pPr>
      <w:widowControl/>
      <w:spacing w:after="100" w:line="276" w:lineRule="auto"/>
      <w:ind w:left="220"/>
      <w:jc w:val="left"/>
    </w:pPr>
    <w:rPr>
      <w:kern w:val="0"/>
      <w:sz w:val="22"/>
    </w:rPr>
  </w:style>
  <w:style w:type="paragraph" w:styleId="33">
    <w:name w:val="toc 9"/>
    <w:basedOn w:val="1"/>
    <w:next w:val="1"/>
    <w:unhideWhenUsed/>
    <w:qFormat/>
    <w:uiPriority w:val="39"/>
    <w:pPr>
      <w:ind w:left="3360" w:leftChars="1600"/>
    </w:pPr>
  </w:style>
  <w:style w:type="paragraph" w:styleId="34">
    <w:name w:val="Body Text 2"/>
    <w:basedOn w:val="1"/>
    <w:link w:val="76"/>
    <w:unhideWhenUsed/>
    <w:qFormat/>
    <w:uiPriority w:val="0"/>
    <w:rPr>
      <w:rFonts w:ascii="宋体" w:hAnsi="宋体" w:eastAsia="楷体_GB2312"/>
      <w:kern w:val="0"/>
      <w:sz w:val="20"/>
      <w:szCs w:val="24"/>
      <w:u w:val="single"/>
    </w:rPr>
  </w:style>
  <w:style w:type="paragraph" w:styleId="35">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paragraph" w:styleId="36">
    <w:name w:val="index 1"/>
    <w:basedOn w:val="1"/>
    <w:next w:val="1"/>
    <w:semiHidden/>
    <w:qFormat/>
    <w:uiPriority w:val="0"/>
    <w:pPr>
      <w:spacing w:line="220" w:lineRule="exact"/>
      <w:jc w:val="center"/>
    </w:pPr>
    <w:rPr>
      <w:rFonts w:ascii="仿宋_GB2312" w:hAnsi="Times New Roman" w:eastAsia="仿宋_GB2312"/>
      <w:szCs w:val="21"/>
    </w:rPr>
  </w:style>
  <w:style w:type="paragraph" w:styleId="37">
    <w:name w:val="Title"/>
    <w:basedOn w:val="1"/>
    <w:link w:val="77"/>
    <w:qFormat/>
    <w:uiPriority w:val="0"/>
    <w:pPr>
      <w:spacing w:before="120" w:after="60"/>
      <w:jc w:val="center"/>
    </w:pPr>
    <w:rPr>
      <w:rFonts w:ascii="Arial" w:hAnsi="Arial" w:eastAsia="楷体_GB2312"/>
      <w:b/>
      <w:kern w:val="0"/>
      <w:sz w:val="44"/>
      <w:szCs w:val="20"/>
    </w:rPr>
  </w:style>
  <w:style w:type="paragraph" w:styleId="38">
    <w:name w:val="annotation subject"/>
    <w:basedOn w:val="15"/>
    <w:next w:val="15"/>
    <w:link w:val="78"/>
    <w:unhideWhenUsed/>
    <w:qFormat/>
    <w:uiPriority w:val="99"/>
    <w:rPr>
      <w:b/>
      <w:bCs/>
    </w:rPr>
  </w:style>
  <w:style w:type="paragraph" w:styleId="39">
    <w:name w:val="Body Text First Indent"/>
    <w:basedOn w:val="17"/>
    <w:link w:val="79"/>
    <w:qFormat/>
    <w:uiPriority w:val="0"/>
    <w:pPr>
      <w:ind w:firstLine="420"/>
    </w:pPr>
    <w:rPr>
      <w:rFonts w:ascii="Times New Roman" w:hAnsi="Times New Roman" w:eastAsia="楷体_GB2312"/>
    </w:rPr>
  </w:style>
  <w:style w:type="table" w:styleId="41">
    <w:name w:val="Table Grid"/>
    <w:basedOn w:val="4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2">
    <w:name w:val="Table Theme"/>
    <w:basedOn w:val="4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3">
    <w:name w:val="Table Professional"/>
    <w:basedOn w:val="40"/>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5">
    <w:name w:val="Strong"/>
    <w:qFormat/>
    <w:uiPriority w:val="0"/>
    <w:rPr>
      <w:rFonts w:eastAsia="宋体"/>
      <w:b/>
      <w:bCs/>
      <w:kern w:val="2"/>
      <w:sz w:val="24"/>
      <w:szCs w:val="24"/>
      <w:lang w:val="en-US" w:eastAsia="zh-CN" w:bidi="ar-SA"/>
    </w:rPr>
  </w:style>
  <w:style w:type="character" w:styleId="46">
    <w:name w:val="endnote reference"/>
    <w:semiHidden/>
    <w:qFormat/>
    <w:uiPriority w:val="0"/>
    <w:rPr>
      <w:rFonts w:eastAsia="宋体"/>
      <w:kern w:val="2"/>
      <w:sz w:val="24"/>
      <w:szCs w:val="24"/>
      <w:vertAlign w:val="superscript"/>
      <w:lang w:val="en-US" w:eastAsia="zh-CN" w:bidi="ar-SA"/>
    </w:rPr>
  </w:style>
  <w:style w:type="character" w:styleId="47">
    <w:name w:val="page number"/>
    <w:qFormat/>
    <w:uiPriority w:val="0"/>
    <w:rPr>
      <w:rFonts w:ascii="Arial" w:hAnsi="Arial" w:eastAsia="黑体"/>
      <w:kern w:val="2"/>
      <w:sz w:val="21"/>
      <w:szCs w:val="21"/>
      <w:lang w:val="en-US" w:eastAsia="zh-CN" w:bidi="ar-SA"/>
    </w:rPr>
  </w:style>
  <w:style w:type="character" w:styleId="48">
    <w:name w:val="FollowedHyperlink"/>
    <w:qFormat/>
    <w:uiPriority w:val="0"/>
    <w:rPr>
      <w:rFonts w:ascii="Arial" w:hAnsi="Arial" w:eastAsia="黑体"/>
      <w:color w:val="800080"/>
      <w:kern w:val="2"/>
      <w:sz w:val="21"/>
      <w:szCs w:val="21"/>
      <w:u w:val="single"/>
      <w:lang w:val="en-US" w:eastAsia="zh-CN" w:bidi="ar-SA"/>
    </w:rPr>
  </w:style>
  <w:style w:type="character" w:styleId="49">
    <w:name w:val="Emphasis"/>
    <w:qFormat/>
    <w:uiPriority w:val="20"/>
    <w:rPr>
      <w:i/>
      <w:iCs/>
    </w:rPr>
  </w:style>
  <w:style w:type="character" w:styleId="50">
    <w:name w:val="Hyperlink"/>
    <w:basedOn w:val="44"/>
    <w:qFormat/>
    <w:uiPriority w:val="99"/>
    <w:rPr>
      <w:rFonts w:ascii="Arial" w:hAnsi="Arial" w:eastAsia="黑体"/>
      <w:color w:val="0000FF"/>
      <w:kern w:val="2"/>
      <w:sz w:val="21"/>
      <w:szCs w:val="21"/>
      <w:u w:val="single"/>
      <w:lang w:val="en-US" w:eastAsia="zh-CN" w:bidi="ar-SA"/>
    </w:rPr>
  </w:style>
  <w:style w:type="character" w:styleId="51">
    <w:name w:val="annotation reference"/>
    <w:unhideWhenUsed/>
    <w:qFormat/>
    <w:uiPriority w:val="99"/>
    <w:rPr>
      <w:sz w:val="21"/>
      <w:szCs w:val="21"/>
    </w:rPr>
  </w:style>
  <w:style w:type="paragraph" w:customStyle="1" w:styleId="52">
    <w:name w:val="样式 宋体 行距: 1.5 倍行距"/>
    <w:basedOn w:val="1"/>
    <w:unhideWhenUsed/>
    <w:qFormat/>
    <w:uiPriority w:val="0"/>
    <w:pPr>
      <w:spacing w:beforeLines="0" w:afterLines="0"/>
      <w:jc w:val="center"/>
    </w:pPr>
    <w:rPr>
      <w:rFonts w:hint="default"/>
      <w:b/>
      <w:sz w:val="21"/>
      <w:szCs w:val="22"/>
    </w:rPr>
  </w:style>
  <w:style w:type="character" w:customStyle="1" w:styleId="53">
    <w:name w:val="标题 1 Char"/>
    <w:link w:val="3"/>
    <w:qFormat/>
    <w:uiPriority w:val="0"/>
    <w:rPr>
      <w:rFonts w:eastAsia="黑体"/>
      <w:b/>
      <w:bCs/>
      <w:kern w:val="44"/>
      <w:sz w:val="32"/>
      <w:szCs w:val="44"/>
    </w:rPr>
  </w:style>
  <w:style w:type="character" w:customStyle="1" w:styleId="54">
    <w:name w:val="标题 2 Char"/>
    <w:link w:val="4"/>
    <w:qFormat/>
    <w:uiPriority w:val="0"/>
    <w:rPr>
      <w:rFonts w:ascii="黑体" w:hAnsi="黑体" w:eastAsia="黑体" w:cs="宋体"/>
      <w:b/>
      <w:bCs/>
      <w:kern w:val="44"/>
      <w:sz w:val="30"/>
      <w:szCs w:val="30"/>
    </w:rPr>
  </w:style>
  <w:style w:type="character" w:customStyle="1" w:styleId="55">
    <w:name w:val="标题 3 Char"/>
    <w:link w:val="5"/>
    <w:qFormat/>
    <w:uiPriority w:val="9"/>
    <w:rPr>
      <w:b/>
      <w:bCs/>
      <w:sz w:val="32"/>
      <w:szCs w:val="32"/>
    </w:rPr>
  </w:style>
  <w:style w:type="character" w:customStyle="1" w:styleId="56">
    <w:name w:val="标题 4 Char"/>
    <w:link w:val="6"/>
    <w:qFormat/>
    <w:uiPriority w:val="0"/>
    <w:rPr>
      <w:rFonts w:ascii="黑体" w:hAnsi="黑体" w:eastAsia="黑体" w:cs="宋体"/>
      <w:bCs/>
      <w:kern w:val="44"/>
      <w:sz w:val="28"/>
      <w:szCs w:val="30"/>
    </w:rPr>
  </w:style>
  <w:style w:type="character" w:customStyle="1" w:styleId="57">
    <w:name w:val="标题 5 Char"/>
    <w:link w:val="7"/>
    <w:qFormat/>
    <w:uiPriority w:val="0"/>
    <w:rPr>
      <w:rFonts w:ascii="黑体" w:hAnsi="黑体" w:cs="宋体"/>
      <w:bCs/>
      <w:kern w:val="44"/>
      <w:sz w:val="24"/>
      <w:szCs w:val="30"/>
    </w:rPr>
  </w:style>
  <w:style w:type="character" w:customStyle="1" w:styleId="58">
    <w:name w:val="正文缩进 Char"/>
    <w:link w:val="8"/>
    <w:qFormat/>
    <w:uiPriority w:val="0"/>
    <w:rPr>
      <w:kern w:val="2"/>
      <w:sz w:val="21"/>
      <w:szCs w:val="22"/>
    </w:rPr>
  </w:style>
  <w:style w:type="character" w:customStyle="1" w:styleId="59">
    <w:name w:val="标题 6 Char"/>
    <w:link w:val="9"/>
    <w:qFormat/>
    <w:uiPriority w:val="0"/>
    <w:rPr>
      <w:rFonts w:ascii="Arial" w:hAnsi="Arial" w:eastAsia="黑体"/>
      <w:b/>
      <w:bCs/>
      <w:sz w:val="24"/>
      <w:szCs w:val="24"/>
    </w:rPr>
  </w:style>
  <w:style w:type="character" w:customStyle="1" w:styleId="60">
    <w:name w:val="标题 7 Char"/>
    <w:link w:val="10"/>
    <w:qFormat/>
    <w:uiPriority w:val="0"/>
    <w:rPr>
      <w:rFonts w:ascii="Times New Roman" w:hAnsi="Times New Roman"/>
      <w:b/>
      <w:sz w:val="24"/>
    </w:rPr>
  </w:style>
  <w:style w:type="character" w:customStyle="1" w:styleId="61">
    <w:name w:val="标题 8 Char"/>
    <w:link w:val="11"/>
    <w:qFormat/>
    <w:uiPriority w:val="0"/>
    <w:rPr>
      <w:rFonts w:ascii="Arial" w:hAnsi="Arial" w:eastAsia="黑体"/>
      <w:sz w:val="24"/>
    </w:rPr>
  </w:style>
  <w:style w:type="character" w:customStyle="1" w:styleId="62">
    <w:name w:val="标题 9 Char"/>
    <w:link w:val="12"/>
    <w:qFormat/>
    <w:uiPriority w:val="0"/>
    <w:rPr>
      <w:rFonts w:ascii="Arial" w:hAnsi="Arial" w:eastAsia="黑体"/>
    </w:rPr>
  </w:style>
  <w:style w:type="character" w:customStyle="1" w:styleId="63">
    <w:name w:val="文档结构图 Char"/>
    <w:link w:val="14"/>
    <w:semiHidden/>
    <w:qFormat/>
    <w:uiPriority w:val="0"/>
    <w:rPr>
      <w:rFonts w:ascii="Times New Roman" w:hAnsi="Times New Roman"/>
      <w:szCs w:val="24"/>
      <w:shd w:val="clear" w:color="auto" w:fill="000080"/>
    </w:rPr>
  </w:style>
  <w:style w:type="character" w:customStyle="1" w:styleId="64">
    <w:name w:val="批注文字 Char"/>
    <w:link w:val="15"/>
    <w:qFormat/>
    <w:uiPriority w:val="99"/>
    <w:rPr>
      <w:kern w:val="2"/>
      <w:sz w:val="21"/>
      <w:szCs w:val="22"/>
    </w:rPr>
  </w:style>
  <w:style w:type="character" w:customStyle="1" w:styleId="65">
    <w:name w:val="正文文本 3 Char"/>
    <w:link w:val="16"/>
    <w:qFormat/>
    <w:uiPriority w:val="99"/>
    <w:rPr>
      <w:kern w:val="2"/>
      <w:sz w:val="16"/>
      <w:szCs w:val="16"/>
    </w:rPr>
  </w:style>
  <w:style w:type="character" w:customStyle="1" w:styleId="66">
    <w:name w:val="正文文本 Char"/>
    <w:link w:val="17"/>
    <w:semiHidden/>
    <w:qFormat/>
    <w:uiPriority w:val="99"/>
    <w:rPr>
      <w:rFonts w:ascii="Calibri" w:hAnsi="Calibri" w:eastAsia="宋体" w:cs="Times New Roman"/>
    </w:rPr>
  </w:style>
  <w:style w:type="character" w:customStyle="1" w:styleId="67">
    <w:name w:val="正文文本缩进 Char"/>
    <w:link w:val="18"/>
    <w:qFormat/>
    <w:uiPriority w:val="0"/>
    <w:rPr>
      <w:rFonts w:ascii="Times New Roman" w:hAnsi="Times New Roman"/>
      <w:szCs w:val="24"/>
    </w:rPr>
  </w:style>
  <w:style w:type="character" w:customStyle="1" w:styleId="68">
    <w:name w:val="纯文本 Char"/>
    <w:link w:val="2"/>
    <w:qFormat/>
    <w:locked/>
    <w:uiPriority w:val="0"/>
    <w:rPr>
      <w:rFonts w:ascii="宋体" w:hAnsi="Courier New" w:eastAsia="楷体_GB2312"/>
      <w:szCs w:val="24"/>
    </w:rPr>
  </w:style>
  <w:style w:type="character" w:customStyle="1" w:styleId="69">
    <w:name w:val="日期 Char"/>
    <w:link w:val="22"/>
    <w:qFormat/>
    <w:uiPriority w:val="0"/>
    <w:rPr>
      <w:kern w:val="2"/>
      <w:sz w:val="21"/>
      <w:szCs w:val="22"/>
    </w:rPr>
  </w:style>
  <w:style w:type="character" w:customStyle="1" w:styleId="70">
    <w:name w:val="正文文本缩进 2 Char"/>
    <w:link w:val="23"/>
    <w:qFormat/>
    <w:uiPriority w:val="0"/>
    <w:rPr>
      <w:rFonts w:ascii="Times New Roman" w:hAnsi="Times New Roman"/>
      <w:szCs w:val="24"/>
    </w:rPr>
  </w:style>
  <w:style w:type="character" w:customStyle="1" w:styleId="71">
    <w:name w:val="尾注文本 Char"/>
    <w:link w:val="24"/>
    <w:qFormat/>
    <w:uiPriority w:val="99"/>
    <w:rPr>
      <w:kern w:val="2"/>
      <w:sz w:val="21"/>
      <w:szCs w:val="22"/>
    </w:rPr>
  </w:style>
  <w:style w:type="character" w:customStyle="1" w:styleId="72">
    <w:name w:val="批注框文本 Char"/>
    <w:link w:val="25"/>
    <w:qFormat/>
    <w:uiPriority w:val="99"/>
    <w:rPr>
      <w:rFonts w:ascii="Calibri" w:hAnsi="Calibri" w:eastAsia="宋体" w:cs="Times New Roman"/>
      <w:sz w:val="18"/>
      <w:szCs w:val="18"/>
    </w:rPr>
  </w:style>
  <w:style w:type="character" w:customStyle="1" w:styleId="73">
    <w:name w:val="页脚 Char"/>
    <w:link w:val="26"/>
    <w:qFormat/>
    <w:uiPriority w:val="99"/>
    <w:rPr>
      <w:sz w:val="18"/>
      <w:szCs w:val="18"/>
    </w:rPr>
  </w:style>
  <w:style w:type="character" w:customStyle="1" w:styleId="74">
    <w:name w:val="页眉 Char"/>
    <w:link w:val="27"/>
    <w:qFormat/>
    <w:uiPriority w:val="99"/>
    <w:rPr>
      <w:sz w:val="18"/>
      <w:szCs w:val="18"/>
    </w:rPr>
  </w:style>
  <w:style w:type="character" w:customStyle="1" w:styleId="75">
    <w:name w:val="正文文本缩进 3 Char"/>
    <w:link w:val="31"/>
    <w:qFormat/>
    <w:uiPriority w:val="0"/>
    <w:rPr>
      <w:rFonts w:ascii="Times New Roman" w:hAnsi="Times New Roman"/>
      <w:sz w:val="16"/>
      <w:szCs w:val="16"/>
    </w:rPr>
  </w:style>
  <w:style w:type="character" w:customStyle="1" w:styleId="76">
    <w:name w:val="正文文本 2 Char"/>
    <w:link w:val="34"/>
    <w:qFormat/>
    <w:uiPriority w:val="0"/>
    <w:rPr>
      <w:rFonts w:ascii="宋体" w:hAnsi="宋体" w:eastAsia="楷体_GB2312"/>
      <w:szCs w:val="24"/>
      <w:u w:val="single"/>
    </w:rPr>
  </w:style>
  <w:style w:type="character" w:customStyle="1" w:styleId="77">
    <w:name w:val="标题 Char"/>
    <w:link w:val="37"/>
    <w:qFormat/>
    <w:uiPriority w:val="0"/>
    <w:rPr>
      <w:rFonts w:ascii="Arial" w:hAnsi="Arial" w:eastAsia="楷体_GB2312"/>
      <w:b/>
      <w:sz w:val="44"/>
    </w:rPr>
  </w:style>
  <w:style w:type="character" w:customStyle="1" w:styleId="78">
    <w:name w:val="批注主题 Char"/>
    <w:link w:val="38"/>
    <w:qFormat/>
    <w:uiPriority w:val="99"/>
    <w:rPr>
      <w:b/>
      <w:bCs/>
      <w:kern w:val="2"/>
      <w:sz w:val="21"/>
      <w:szCs w:val="22"/>
    </w:rPr>
  </w:style>
  <w:style w:type="character" w:customStyle="1" w:styleId="79">
    <w:name w:val="正文首行缩进 Char"/>
    <w:link w:val="39"/>
    <w:qFormat/>
    <w:uiPriority w:val="0"/>
    <w:rPr>
      <w:rFonts w:ascii="Times New Roman" w:hAnsi="Times New Roman" w:eastAsia="楷体_GB2312" w:cs="Times New Roman"/>
      <w:kern w:val="0"/>
      <w:sz w:val="20"/>
      <w:szCs w:val="20"/>
    </w:rPr>
  </w:style>
  <w:style w:type="character" w:customStyle="1" w:styleId="80">
    <w:name w:val="正文文本缩进 3 Char1"/>
    <w:semiHidden/>
    <w:qFormat/>
    <w:uiPriority w:val="99"/>
    <w:rPr>
      <w:rFonts w:ascii="Calibri" w:hAnsi="Calibri" w:eastAsia="宋体" w:cs="Times New Roman"/>
      <w:sz w:val="16"/>
      <w:szCs w:val="16"/>
    </w:rPr>
  </w:style>
  <w:style w:type="character" w:customStyle="1" w:styleId="81">
    <w:name w:val="正文文本 3 Char1"/>
    <w:semiHidden/>
    <w:qFormat/>
    <w:uiPriority w:val="99"/>
    <w:rPr>
      <w:rFonts w:ascii="Calibri" w:hAnsi="Calibri" w:eastAsia="宋体" w:cs="Times New Roman"/>
      <w:sz w:val="16"/>
      <w:szCs w:val="16"/>
    </w:rPr>
  </w:style>
  <w:style w:type="character" w:customStyle="1" w:styleId="82">
    <w:name w:val="hover42"/>
    <w:basedOn w:val="44"/>
    <w:qFormat/>
    <w:uiPriority w:val="0"/>
  </w:style>
  <w:style w:type="character" w:customStyle="1" w:styleId="83">
    <w:name w:val="font5 Char"/>
    <w:link w:val="84"/>
    <w:qFormat/>
    <w:uiPriority w:val="0"/>
    <w:rPr>
      <w:rFonts w:ascii="宋体" w:hAnsi="宋体"/>
      <w:sz w:val="24"/>
      <w:szCs w:val="24"/>
    </w:rPr>
  </w:style>
  <w:style w:type="paragraph" w:customStyle="1" w:styleId="84">
    <w:name w:val="font5"/>
    <w:basedOn w:val="1"/>
    <w:link w:val="83"/>
    <w:qFormat/>
    <w:uiPriority w:val="0"/>
    <w:pPr>
      <w:widowControl/>
      <w:spacing w:before="100" w:beforeAutospacing="1" w:after="100" w:afterAutospacing="1"/>
      <w:jc w:val="left"/>
    </w:pPr>
    <w:rPr>
      <w:rFonts w:ascii="宋体" w:hAnsi="宋体"/>
      <w:kern w:val="0"/>
      <w:sz w:val="24"/>
      <w:szCs w:val="24"/>
    </w:rPr>
  </w:style>
  <w:style w:type="character" w:customStyle="1" w:styleId="85">
    <w:name w:val="批注主题 Char1"/>
    <w:semiHidden/>
    <w:qFormat/>
    <w:uiPriority w:val="99"/>
    <w:rPr>
      <w:rFonts w:ascii="Calibri" w:hAnsi="Calibri" w:eastAsia="宋体" w:cs="Times New Roman"/>
      <w:b/>
      <w:bCs/>
    </w:rPr>
  </w:style>
  <w:style w:type="character" w:customStyle="1" w:styleId="86">
    <w:name w:val="日期 Char1"/>
    <w:semiHidden/>
    <w:qFormat/>
    <w:uiPriority w:val="99"/>
    <w:rPr>
      <w:rFonts w:ascii="Calibri" w:hAnsi="Calibri" w:eastAsia="宋体" w:cs="Times New Roman"/>
    </w:rPr>
  </w:style>
  <w:style w:type="character" w:customStyle="1" w:styleId="87">
    <w:name w:val="times1"/>
    <w:basedOn w:val="44"/>
    <w:qFormat/>
    <w:uiPriority w:val="0"/>
    <w:rPr>
      <w:color w:val="CDCDCD"/>
      <w:bdr w:val="single" w:color="CDCDCD" w:sz="6" w:space="0"/>
      <w:shd w:val="clear" w:color="auto" w:fill="EFEFEF"/>
    </w:rPr>
  </w:style>
  <w:style w:type="character" w:customStyle="1" w:styleId="88">
    <w:name w:val="批注框文本 Char1"/>
    <w:semiHidden/>
    <w:qFormat/>
    <w:uiPriority w:val="99"/>
    <w:rPr>
      <w:rFonts w:ascii="Calibri" w:hAnsi="Calibri" w:eastAsia="宋体" w:cs="Times New Roman"/>
      <w:sz w:val="18"/>
      <w:szCs w:val="18"/>
    </w:rPr>
  </w:style>
  <w:style w:type="character" w:customStyle="1" w:styleId="89">
    <w:name w:val="尾注文本 Char1"/>
    <w:semiHidden/>
    <w:qFormat/>
    <w:uiPriority w:val="99"/>
    <w:rPr>
      <w:rFonts w:ascii="Calibri" w:hAnsi="Calibri" w:eastAsia="宋体" w:cs="Times New Roman"/>
    </w:rPr>
  </w:style>
  <w:style w:type="character" w:customStyle="1" w:styleId="90">
    <w:name w:val="正文文本缩进 2 Char1"/>
    <w:semiHidden/>
    <w:qFormat/>
    <w:uiPriority w:val="99"/>
    <w:rPr>
      <w:rFonts w:ascii="Calibri" w:hAnsi="Calibri" w:eastAsia="宋体" w:cs="Times New Roman"/>
    </w:rPr>
  </w:style>
  <w:style w:type="character" w:customStyle="1" w:styleId="91">
    <w:name w:val="正文首行缩进 Char1"/>
    <w:semiHidden/>
    <w:qFormat/>
    <w:uiPriority w:val="99"/>
  </w:style>
  <w:style w:type="character" w:customStyle="1" w:styleId="92">
    <w:name w:val="正文文本缩进 Char1"/>
    <w:semiHidden/>
    <w:qFormat/>
    <w:uiPriority w:val="99"/>
    <w:rPr>
      <w:rFonts w:ascii="Calibri" w:hAnsi="Calibri" w:eastAsia="宋体" w:cs="Times New Roman"/>
    </w:rPr>
  </w:style>
  <w:style w:type="character" w:customStyle="1" w:styleId="93">
    <w:name w:val="纯文本 Char2"/>
    <w:semiHidden/>
    <w:qFormat/>
    <w:uiPriority w:val="99"/>
    <w:rPr>
      <w:rFonts w:ascii="宋体" w:hAnsi="Courier New" w:eastAsia="宋体" w:cs="Courier New"/>
      <w:szCs w:val="21"/>
    </w:rPr>
  </w:style>
  <w:style w:type="character" w:customStyle="1" w:styleId="94">
    <w:name w:val="正文文本 Char1"/>
    <w:semiHidden/>
    <w:qFormat/>
    <w:uiPriority w:val="99"/>
    <w:rPr>
      <w:rFonts w:ascii="Calibri" w:hAnsi="Calibri" w:eastAsia="宋体" w:cs="Times New Roman"/>
    </w:rPr>
  </w:style>
  <w:style w:type="character" w:customStyle="1" w:styleId="95">
    <w:name w:val="标题 Char1"/>
    <w:qFormat/>
    <w:uiPriority w:val="10"/>
    <w:rPr>
      <w:rFonts w:ascii="Cambria" w:hAnsi="Cambria" w:eastAsia="宋体" w:cs="Times New Roman"/>
      <w:b/>
      <w:bCs/>
      <w:sz w:val="32"/>
      <w:szCs w:val="32"/>
    </w:rPr>
  </w:style>
  <w:style w:type="character" w:customStyle="1" w:styleId="96">
    <w:name w:val="页脚 Char1"/>
    <w:semiHidden/>
    <w:qFormat/>
    <w:uiPriority w:val="99"/>
    <w:rPr>
      <w:rFonts w:ascii="Calibri" w:hAnsi="Calibri" w:eastAsia="宋体" w:cs="Times New Roman"/>
      <w:sz w:val="18"/>
      <w:szCs w:val="18"/>
    </w:rPr>
  </w:style>
  <w:style w:type="character" w:customStyle="1" w:styleId="97">
    <w:name w:val="times"/>
    <w:basedOn w:val="44"/>
    <w:qFormat/>
    <w:uiPriority w:val="0"/>
    <w:rPr>
      <w:color w:val="3399FF"/>
      <w:bdr w:val="single" w:color="D1EDF8" w:sz="6" w:space="0"/>
      <w:shd w:val="clear" w:color="auto" w:fill="EAF9FF"/>
    </w:rPr>
  </w:style>
  <w:style w:type="character" w:customStyle="1" w:styleId="98">
    <w:name w:val="文档结构图 Char1"/>
    <w:semiHidden/>
    <w:qFormat/>
    <w:uiPriority w:val="99"/>
    <w:rPr>
      <w:rFonts w:ascii="宋体" w:hAnsi="Calibri" w:eastAsia="宋体" w:cs="Times New Roman"/>
      <w:sz w:val="18"/>
      <w:szCs w:val="18"/>
    </w:rPr>
  </w:style>
  <w:style w:type="character" w:customStyle="1" w:styleId="99">
    <w:name w:val="纯文本 Char1"/>
    <w:qFormat/>
    <w:uiPriority w:val="99"/>
    <w:rPr>
      <w:rFonts w:ascii="宋体" w:hAnsi="Courier New" w:cs="Courier New"/>
      <w:kern w:val="2"/>
      <w:sz w:val="21"/>
      <w:szCs w:val="21"/>
    </w:rPr>
  </w:style>
  <w:style w:type="character" w:customStyle="1" w:styleId="100">
    <w:name w:val="批注文字 Char1"/>
    <w:semiHidden/>
    <w:qFormat/>
    <w:uiPriority w:val="99"/>
    <w:rPr>
      <w:rFonts w:ascii="Calibri" w:hAnsi="Calibri" w:eastAsia="宋体" w:cs="Times New Roman"/>
    </w:rPr>
  </w:style>
  <w:style w:type="character" w:customStyle="1" w:styleId="101">
    <w:name w:val="正文文本 2 Char1"/>
    <w:semiHidden/>
    <w:qFormat/>
    <w:uiPriority w:val="99"/>
    <w:rPr>
      <w:rFonts w:ascii="Calibri" w:hAnsi="Calibri" w:eastAsia="宋体" w:cs="Times New Roman"/>
    </w:rPr>
  </w:style>
  <w:style w:type="character" w:customStyle="1" w:styleId="102">
    <w:name w:val="font161"/>
    <w:qFormat/>
    <w:uiPriority w:val="0"/>
    <w:rPr>
      <w:rFonts w:ascii="Arial" w:hAnsi="Arial" w:eastAsia="黑体"/>
      <w:b/>
      <w:bCs/>
      <w:kern w:val="2"/>
      <w:sz w:val="32"/>
      <w:szCs w:val="32"/>
      <w:lang w:val="en-US" w:eastAsia="zh-CN" w:bidi="ar-SA"/>
    </w:rPr>
  </w:style>
  <w:style w:type="character" w:customStyle="1" w:styleId="103">
    <w:name w:val="页眉 Char1"/>
    <w:semiHidden/>
    <w:qFormat/>
    <w:uiPriority w:val="99"/>
    <w:rPr>
      <w:rFonts w:ascii="Calibri" w:hAnsi="Calibri" w:eastAsia="宋体" w:cs="Times New Roman"/>
      <w:sz w:val="18"/>
      <w:szCs w:val="18"/>
    </w:rPr>
  </w:style>
  <w:style w:type="paragraph" w:customStyle="1" w:styleId="104">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05">
    <w:name w:val="样式 标题 2 + Times New Roman 四号 非加粗 段前: 5 磅 段后: 0 磅 行距: 固定值 20..."/>
    <w:basedOn w:val="4"/>
    <w:qFormat/>
    <w:uiPriority w:val="0"/>
    <w:pPr>
      <w:numPr>
        <w:ilvl w:val="0"/>
        <w:numId w:val="0"/>
      </w:numPr>
      <w:spacing w:before="100" w:after="0"/>
      <w:ind w:left="420" w:hanging="420"/>
    </w:pPr>
    <w:rPr>
      <w:rFonts w:ascii="Times New Roman" w:hAnsi="Times New Roman"/>
      <w:sz w:val="28"/>
      <w:szCs w:val="20"/>
    </w:rPr>
  </w:style>
  <w:style w:type="paragraph" w:customStyle="1" w:styleId="106">
    <w:name w:val="表格"/>
    <w:basedOn w:val="1"/>
    <w:qFormat/>
    <w:uiPriority w:val="0"/>
    <w:pPr>
      <w:jc w:val="center"/>
      <w:textAlignment w:val="center"/>
    </w:pPr>
    <w:rPr>
      <w:rFonts w:ascii="华文细黑" w:hAnsi="华文细黑"/>
      <w:kern w:val="0"/>
      <w:szCs w:val="20"/>
    </w:rPr>
  </w:style>
  <w:style w:type="paragraph" w:customStyle="1" w:styleId="107">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8">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9">
    <w:name w:val="text"/>
    <w:basedOn w:val="1"/>
    <w:qFormat/>
    <w:uiPriority w:val="0"/>
    <w:pPr>
      <w:widowControl/>
      <w:spacing w:after="120" w:line="360" w:lineRule="atLeast"/>
      <w:ind w:firstLine="300"/>
      <w:jc w:val="left"/>
    </w:pPr>
    <w:rPr>
      <w:rFonts w:ascii="宋体" w:hAnsi="宋体" w:cs="宋体"/>
      <w:kern w:val="0"/>
      <w:sz w:val="24"/>
      <w:szCs w:val="24"/>
    </w:rPr>
  </w:style>
  <w:style w:type="paragraph" w:customStyle="1" w:styleId="110">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1">
    <w:name w:val="Char Char Char Char"/>
    <w:basedOn w:val="1"/>
    <w:qFormat/>
    <w:uiPriority w:val="0"/>
    <w:rPr>
      <w:rFonts w:ascii="Times New Roman" w:hAnsi="Times New Roman"/>
      <w:sz w:val="30"/>
      <w:szCs w:val="24"/>
    </w:rPr>
  </w:style>
  <w:style w:type="paragraph" w:customStyle="1" w:styleId="112">
    <w:name w:val="列出段落1"/>
    <w:basedOn w:val="1"/>
    <w:qFormat/>
    <w:uiPriority w:val="0"/>
    <w:pPr>
      <w:keepNext w:val="0"/>
      <w:keepLines w:val="0"/>
      <w:widowControl w:val="0"/>
      <w:suppressLineNumbers w:val="0"/>
      <w:tabs>
        <w:tab w:val="left" w:pos="960"/>
      </w:tabs>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1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4">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15">
    <w:name w:val="样式 标题 1 + 黑体 三号 非加粗 居中 段前: 6 磅 段后: 6 磅 行距: 固定值 20 磅"/>
    <w:basedOn w:val="3"/>
    <w:qFormat/>
    <w:uiPriority w:val="0"/>
    <w:pPr>
      <w:spacing w:before="120" w:after="120" w:line="400" w:lineRule="exact"/>
      <w:jc w:val="center"/>
    </w:pPr>
    <w:rPr>
      <w:rFonts w:ascii="黑体" w:hAnsi="黑体" w:cs="宋体"/>
      <w:b w:val="0"/>
      <w:bCs w:val="0"/>
      <w:szCs w:val="20"/>
    </w:rPr>
  </w:style>
  <w:style w:type="paragraph" w:customStyle="1" w:styleId="116">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7">
    <w:name w:val="1"/>
    <w:basedOn w:val="1"/>
    <w:qFormat/>
    <w:uiPriority w:val="0"/>
    <w:rPr>
      <w:rFonts w:ascii="Times New Roman" w:hAnsi="Times New Roman"/>
      <w:szCs w:val="24"/>
    </w:rPr>
  </w:style>
  <w:style w:type="paragraph" w:customStyle="1" w:styleId="118">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19">
    <w:name w:val="发文落款"/>
    <w:basedOn w:val="113"/>
    <w:qFormat/>
    <w:uiPriority w:val="0"/>
    <w:pPr>
      <w:ind w:left="4094" w:right="607" w:firstLine="0"/>
      <w:jc w:val="center"/>
    </w:pPr>
  </w:style>
  <w:style w:type="paragraph" w:customStyle="1" w:styleId="120">
    <w:name w:val="p0"/>
    <w:basedOn w:val="1"/>
    <w:qFormat/>
    <w:uiPriority w:val="0"/>
    <w:pPr>
      <w:widowControl/>
      <w:spacing w:before="75" w:after="75"/>
      <w:jc w:val="left"/>
    </w:pPr>
    <w:rPr>
      <w:rFonts w:ascii="宋体" w:hAnsi="宋体" w:cs="宋体"/>
      <w:kern w:val="0"/>
      <w:sz w:val="24"/>
      <w:szCs w:val="24"/>
    </w:rPr>
  </w:style>
  <w:style w:type="paragraph" w:customStyle="1" w:styleId="121">
    <w:name w:val="标题2"/>
    <w:basedOn w:val="4"/>
    <w:next w:val="1"/>
    <w:qFormat/>
    <w:uiPriority w:val="0"/>
    <w:pPr>
      <w:numPr>
        <w:ilvl w:val="0"/>
        <w:numId w:val="0"/>
      </w:numPr>
      <w:tabs>
        <w:tab w:val="left" w:pos="840"/>
      </w:tabs>
      <w:snapToGrid w:val="0"/>
      <w:spacing w:before="120" w:line="240" w:lineRule="auto"/>
      <w:ind w:left="840" w:hanging="420"/>
      <w:jc w:val="left"/>
    </w:pPr>
    <w:rPr>
      <w:rFonts w:ascii="Arial" w:hAnsi="Arial"/>
      <w:sz w:val="21"/>
      <w:szCs w:val="21"/>
    </w:rPr>
  </w:style>
  <w:style w:type="paragraph" w:styleId="122">
    <w:name w:val="List Paragraph"/>
    <w:basedOn w:val="1"/>
    <w:qFormat/>
    <w:uiPriority w:val="34"/>
    <w:pPr>
      <w:ind w:firstLine="420" w:firstLineChars="200"/>
    </w:pPr>
  </w:style>
  <w:style w:type="paragraph" w:customStyle="1" w:styleId="123">
    <w:name w:val="TOC Heading"/>
    <w:basedOn w:val="3"/>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124">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125">
    <w:name w:val="Char"/>
    <w:basedOn w:val="1"/>
    <w:qFormat/>
    <w:uiPriority w:val="0"/>
    <w:pPr>
      <w:numPr>
        <w:ilvl w:val="0"/>
        <w:numId w:val="4"/>
      </w:numPr>
    </w:pPr>
    <w:rPr>
      <w:rFonts w:ascii="Times New Roman" w:hAnsi="Times New Roman"/>
      <w:sz w:val="24"/>
      <w:szCs w:val="24"/>
    </w:rPr>
  </w:style>
  <w:style w:type="paragraph" w:customStyle="1" w:styleId="126">
    <w:name w:val="样式 标题 3 + (中文) 黑体 小四 非加粗 段前: 7.8 磅 段后: 0 磅 行距: 固定值 20 磅"/>
    <w:basedOn w:val="5"/>
    <w:qFormat/>
    <w:uiPriority w:val="0"/>
    <w:pPr>
      <w:spacing w:before="0" w:after="0" w:line="400" w:lineRule="exact"/>
      <w:jc w:val="left"/>
    </w:pPr>
    <w:rPr>
      <w:rFonts w:ascii="宋体" w:hAnsi="宋体" w:eastAsia="黑体" w:cs="宋体"/>
      <w:b w:val="0"/>
      <w:bCs w:val="0"/>
      <w:sz w:val="24"/>
      <w:szCs w:val="20"/>
    </w:rPr>
  </w:style>
  <w:style w:type="paragraph" w:customStyle="1" w:styleId="127">
    <w:name w:val="WPSOffice手动目录 1"/>
    <w:qFormat/>
    <w:uiPriority w:val="0"/>
    <w:rPr>
      <w:rFonts w:ascii="Times New Roman" w:hAnsi="Times New Roman" w:eastAsia="宋体" w:cs="Times New Roman"/>
      <w:lang w:val="en-US" w:eastAsia="zh-CN" w:bidi="ar-SA"/>
    </w:rPr>
  </w:style>
  <w:style w:type="paragraph" w:customStyle="1" w:styleId="128">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120</Pages>
  <Words>50427</Words>
  <Characters>53260</Characters>
  <Lines>389</Lines>
  <Paragraphs>109</Paragraphs>
  <TotalTime>79</TotalTime>
  <ScaleCrop>false</ScaleCrop>
  <LinksUpToDate>false</LinksUpToDate>
  <CharactersWithSpaces>56263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2021-10-25T15:12:00Z</dcterms:created>
  <dc:creator>PC</dc:creator>
  <cp:lastModifiedBy>Administrator</cp:lastModifiedBy>
  <cp:lastPrinted>2020-07-21T14:45:00Z</cp:lastPrinted>
  <dcterms:modified xsi:type="dcterms:W3CDTF">2022-11-17T09:03:41Z</dcterms:modified>
  <dc:title>黄埔区2022水利设施维修改造工程施工Ⅰ标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9816CA226DF3406BB2DF97724D3AB774</vt:lpwstr>
  </property>
</Properties>
</file>