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color w:val="auto"/>
          <w:sz w:val="24"/>
          <w:szCs w:val="24"/>
          <w:highlight w:val="none"/>
        </w:rPr>
      </w:pPr>
    </w:p>
    <w:p>
      <w:pPr>
        <w:widowControl/>
        <w:ind w:firstLine="803" w:firstLineChars="249"/>
        <w:jc w:val="left"/>
        <w:rPr>
          <w:rFonts w:hint="eastAsia" w:ascii="宋体" w:hAnsi="宋体" w:eastAsia="宋体" w:cs="宋体"/>
          <w:b/>
          <w:color w:val="auto"/>
          <w:sz w:val="32"/>
          <w:szCs w:val="32"/>
          <w:highlight w:val="none"/>
          <w:u w:val="single"/>
        </w:rPr>
      </w:pPr>
    </w:p>
    <w:p>
      <w:pPr>
        <w:widowControl/>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eastAsia="zh-CN"/>
        </w:rPr>
        <w:t>黄埔区2023年至2024年水利设施维修改造工程</w:t>
      </w:r>
      <w:r>
        <w:rPr>
          <w:rFonts w:hint="eastAsia" w:ascii="宋体" w:hAnsi="宋体" w:eastAsia="宋体" w:cs="宋体"/>
          <w:b/>
          <w:color w:val="auto"/>
          <w:sz w:val="52"/>
          <w:szCs w:val="52"/>
          <w:highlight w:val="none"/>
        </w:rPr>
        <w:t>施工Ⅰ标</w:t>
      </w:r>
    </w:p>
    <w:p>
      <w:pPr>
        <w:widowControl/>
        <w:jc w:val="center"/>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spacing w:line="360" w:lineRule="auto"/>
        <w:jc w:val="center"/>
        <w:rPr>
          <w:rFonts w:hint="eastAsia" w:ascii="宋体" w:hAnsi="宋体" w:eastAsia="宋体" w:cs="宋体"/>
          <w:b/>
          <w:bCs/>
          <w:color w:val="auto"/>
          <w:spacing w:val="26"/>
          <w:sz w:val="52"/>
          <w:szCs w:val="52"/>
          <w:highlight w:val="none"/>
        </w:rPr>
      </w:pPr>
      <w:r>
        <w:rPr>
          <w:rFonts w:hint="eastAsia" w:ascii="宋体" w:hAnsi="宋体" w:eastAsia="宋体" w:cs="宋体"/>
          <w:b/>
          <w:bCs/>
          <w:color w:val="auto"/>
          <w:spacing w:val="26"/>
          <w:sz w:val="52"/>
          <w:szCs w:val="52"/>
          <w:highlight w:val="none"/>
        </w:rPr>
        <w:t>招 标 文 件</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pStyle w:val="116"/>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招标人：广州市黄埔区水务设施管理所（盖单位章）</w:t>
      </w:r>
    </w:p>
    <w:p>
      <w:pPr>
        <w:widowControl/>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lang w:eastAsia="zh-CN"/>
        </w:rPr>
        <w:t>广东省建筑工程监理有限公司</w:t>
      </w:r>
      <w:r>
        <w:rPr>
          <w:rFonts w:hint="eastAsia" w:ascii="宋体" w:hAnsi="宋体" w:eastAsia="宋体" w:cs="宋体"/>
          <w:b/>
          <w:bCs/>
          <w:color w:val="auto"/>
          <w:sz w:val="32"/>
          <w:szCs w:val="32"/>
          <w:highlight w:val="none"/>
        </w:rPr>
        <w:t>（盖单位章）</w:t>
      </w:r>
    </w:p>
    <w:p>
      <w:pPr>
        <w:widowControl/>
        <w:jc w:val="center"/>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2022</w:t>
      </w:r>
      <w:r>
        <w:rPr>
          <w:rFonts w:hint="eastAsia" w:ascii="宋体" w:hAnsi="宋体" w:eastAsia="宋体" w:cs="宋体"/>
          <w:b/>
          <w:bCs/>
          <w:color w:val="auto"/>
          <w:sz w:val="32"/>
          <w:szCs w:val="32"/>
          <w:highlight w:val="none"/>
        </w:rPr>
        <w:t>年11月  日</w:t>
      </w:r>
    </w:p>
    <w:p>
      <w:pPr>
        <w:rPr>
          <w:rFonts w:hint="eastAsia" w:ascii="宋体" w:hAnsi="宋体" w:eastAsia="宋体" w:cs="宋体"/>
          <w:color w:val="auto"/>
          <w:sz w:val="32"/>
          <w:szCs w:val="32"/>
          <w:highlight w:val="none"/>
        </w:rPr>
        <w:sectPr>
          <w:footerReference r:id="rId3" w:type="default"/>
          <w:pgSz w:w="11906" w:h="16838"/>
          <w:pgMar w:top="1440" w:right="1797" w:bottom="1440" w:left="1797" w:header="851" w:footer="992" w:gutter="0"/>
          <w:pgNumType w:start="1"/>
          <w:cols w:space="720" w:num="1"/>
          <w:docGrid w:type="linesAndChars" w:linePitch="312" w:charSpace="640"/>
        </w:sectPr>
      </w:pPr>
    </w:p>
    <w:p>
      <w:pPr>
        <w:pStyle w:val="116"/>
        <w:rPr>
          <w:rFonts w:hint="eastAsia" w:ascii="宋体" w:hAnsi="宋体" w:eastAsia="宋体" w:cs="宋体"/>
          <w:color w:val="auto"/>
          <w:sz w:val="24"/>
          <w:szCs w:val="24"/>
          <w:highlight w:val="none"/>
        </w:rPr>
      </w:pPr>
    </w:p>
    <w:p>
      <w:pPr>
        <w:pStyle w:val="28"/>
        <w:tabs>
          <w:tab w:val="right" w:leader="dot" w:pos="8312"/>
        </w:tabs>
        <w:rPr>
          <w:rFonts w:hint="eastAsia" w:ascii="宋体" w:hAnsi="宋体" w:eastAsia="宋体" w:cs="宋体"/>
          <w:sz w:val="28"/>
          <w:szCs w:val="28"/>
          <w:highlight w:val="none"/>
        </w:rPr>
      </w:pPr>
      <w:bookmarkStart w:id="0" w:name="_Toc17464"/>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_Toc21625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_Toc7224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_Toc7224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_Toc18590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第三章评标办法（综合评估法）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_Toc18590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_Toc27158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_Toc27158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章技术标准和要求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_Toc7796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章投标文件格式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_Toc7796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章否决性条款汇总</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Cs w:val="24"/>
          <w:highlight w:val="none"/>
        </w:rPr>
      </w:pPr>
      <w:r>
        <w:rPr>
          <w:rFonts w:hint="eastAsia" w:ascii="宋体" w:hAnsi="宋体" w:eastAsia="宋体" w:cs="宋体"/>
          <w:sz w:val="28"/>
          <w:szCs w:val="28"/>
          <w:highlight w:val="none"/>
        </w:rPr>
        <w:fldChar w:fldCharType="end"/>
      </w:r>
    </w:p>
    <w:bookmarkEnd w:id="0"/>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jc w:val="center"/>
        <w:rPr>
          <w:rFonts w:hint="eastAsia" w:ascii="宋体" w:hAnsi="宋体" w:eastAsia="宋体" w:cs="宋体"/>
          <w:color w:val="auto"/>
          <w:sz w:val="24"/>
          <w:szCs w:val="24"/>
          <w:highlight w:val="none"/>
        </w:rPr>
        <w:sectPr>
          <w:footerReference r:id="rId4" w:type="default"/>
          <w:pgSz w:w="11906" w:h="16838"/>
          <w:pgMar w:top="1440" w:right="1797" w:bottom="1440" w:left="1797" w:header="851" w:footer="992" w:gutter="0"/>
          <w:pgNumType w:fmt="decimal" w:start="1"/>
          <w:cols w:space="720" w:num="1"/>
          <w:docGrid w:type="linesAndChars" w:linePitch="312" w:charSpace="640"/>
        </w:sectPr>
      </w:pPr>
      <w:bookmarkStart w:id="1" w:name="_Toc23634"/>
    </w:p>
    <w:p>
      <w:pPr>
        <w:pStyle w:val="2"/>
        <w:jc w:val="center"/>
        <w:rPr>
          <w:rFonts w:hint="eastAsia" w:ascii="宋体" w:hAnsi="宋体" w:eastAsia="宋体" w:cs="宋体"/>
          <w:color w:val="auto"/>
          <w:sz w:val="24"/>
          <w:szCs w:val="24"/>
          <w:highlight w:val="none"/>
        </w:rPr>
      </w:pPr>
      <w:bookmarkStart w:id="2" w:name="_Toc21625"/>
      <w:r>
        <w:rPr>
          <w:rFonts w:hint="eastAsia" w:ascii="宋体" w:hAnsi="宋体" w:eastAsia="宋体" w:cs="宋体"/>
          <w:color w:val="auto"/>
          <w:sz w:val="24"/>
          <w:szCs w:val="24"/>
          <w:highlight w:val="none"/>
        </w:rPr>
        <w:t>第一章招标公告</w:t>
      </w:r>
      <w:bookmarkEnd w:id="1"/>
      <w:bookmarkEnd w:id="2"/>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黄埔区2023年至2024年水利设施维修改造工程</w:t>
      </w:r>
      <w:r>
        <w:rPr>
          <w:rFonts w:hint="eastAsia" w:ascii="宋体" w:hAnsi="宋体" w:eastAsia="宋体" w:cs="宋体"/>
          <w:b/>
          <w:color w:val="auto"/>
          <w:kern w:val="0"/>
          <w:sz w:val="24"/>
          <w:szCs w:val="24"/>
          <w:highlight w:val="none"/>
        </w:rPr>
        <w:t>施工</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pStyle w:val="3"/>
        <w:rPr>
          <w:rFonts w:hint="eastAsia" w:ascii="宋体" w:hAnsi="宋体" w:eastAsia="宋体" w:cs="宋体"/>
          <w:color w:val="auto"/>
          <w:sz w:val="24"/>
          <w:szCs w:val="24"/>
          <w:highlight w:val="none"/>
        </w:rPr>
      </w:pPr>
      <w:bookmarkStart w:id="3" w:name="_Toc11696"/>
      <w:r>
        <w:rPr>
          <w:rFonts w:hint="eastAsia" w:ascii="宋体" w:hAnsi="宋体" w:eastAsia="宋体" w:cs="宋体"/>
          <w:color w:val="auto"/>
          <w:sz w:val="24"/>
          <w:szCs w:val="24"/>
          <w:highlight w:val="none"/>
        </w:rPr>
        <w:t>招标条件</w:t>
      </w:r>
      <w:bookmarkEnd w:id="3"/>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pStyle w:val="3"/>
        <w:rPr>
          <w:rFonts w:hint="eastAsia" w:ascii="宋体" w:hAnsi="宋体" w:eastAsia="宋体" w:cs="宋体"/>
          <w:color w:val="auto"/>
          <w:sz w:val="24"/>
          <w:szCs w:val="24"/>
          <w:highlight w:val="none"/>
        </w:rPr>
      </w:pPr>
      <w:bookmarkStart w:id="4" w:name="_Toc7299"/>
      <w:r>
        <w:rPr>
          <w:rFonts w:hint="eastAsia" w:ascii="宋体" w:hAnsi="宋体" w:eastAsia="宋体" w:cs="宋体"/>
          <w:color w:val="auto"/>
          <w:sz w:val="24"/>
          <w:szCs w:val="24"/>
          <w:highlight w:val="none"/>
        </w:rPr>
        <w:t>项目概况与招标范围</w:t>
      </w:r>
      <w:bookmarkEnd w:id="4"/>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none"/>
          <w:lang w:eastAsia="zh-CN"/>
        </w:rPr>
        <w:t>，共分</w:t>
      </w:r>
      <w:r>
        <w:rPr>
          <w:rFonts w:hint="eastAsia" w:ascii="宋体" w:hAnsi="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pStyle w:val="116"/>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标段一：</w:t>
      </w:r>
      <w:r>
        <w:rPr>
          <w:rFonts w:hint="eastAsia" w:ascii="宋体" w:hAnsi="宋体" w:eastAsia="宋体" w:cs="宋体"/>
          <w:b/>
          <w:bCs/>
          <w:sz w:val="24"/>
          <w:szCs w:val="24"/>
          <w:highlight w:val="none"/>
        </w:rPr>
        <w:t>黄埔区2023年至2024年水利设施维修改造工程施工Ⅰ标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default" w:ascii="宋体" w:hAnsi="宋体" w:eastAsia="宋体" w:cs="宋体"/>
          <w:sz w:val="24"/>
          <w:szCs w:val="24"/>
          <w:highlight w:val="none"/>
          <w:lang w:val="en-US" w:eastAsia="zh-CN"/>
        </w:rPr>
      </w:pP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标段二：</w:t>
      </w:r>
      <w:r>
        <w:rPr>
          <w:rFonts w:hint="eastAsia" w:ascii="宋体" w:hAnsi="宋体" w:eastAsia="宋体" w:cs="宋体"/>
          <w:b/>
          <w:bCs/>
          <w:sz w:val="24"/>
          <w:szCs w:val="24"/>
          <w:highlight w:val="none"/>
        </w:rPr>
        <w:t>黄埔区2023年至2024年水利设施维修改造工程施工Ⅱ标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eastAsia" w:ascii="宋体" w:hAnsi="宋体" w:eastAsia="宋体" w:cs="宋体"/>
          <w:sz w:val="24"/>
          <w:szCs w:val="24"/>
          <w:highlight w:val="none"/>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标段三：</w:t>
      </w:r>
      <w:r>
        <w:rPr>
          <w:rFonts w:hint="eastAsia" w:ascii="宋体" w:hAnsi="宋体" w:eastAsia="宋体" w:cs="宋体"/>
          <w:b/>
          <w:bCs/>
          <w:sz w:val="24"/>
          <w:szCs w:val="24"/>
          <w:highlight w:val="none"/>
        </w:rPr>
        <w:t>黄埔区2023年至2024年水利设施维修改造工程施工Ⅲ标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（1）工程范围：包括全区所有的水闸、泵站、补水闸阀及附属设施。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（2）工程内容：闸室（含闸板等）、翼墙、消能设施、</w:t>
      </w:r>
      <w:r>
        <w:rPr>
          <w:rFonts w:hint="eastAsia" w:ascii="宋体" w:hAnsi="宋体" w:cs="宋体"/>
          <w:sz w:val="24"/>
          <w:szCs w:val="24"/>
          <w:highlight w:val="none"/>
          <w:lang w:eastAsia="zh-CN"/>
        </w:rPr>
        <w:t>闸站</w:t>
      </w:r>
      <w:r>
        <w:rPr>
          <w:rFonts w:hint="eastAsia" w:ascii="宋体" w:hAnsi="宋体" w:eastAsia="宋体" w:cs="宋体"/>
          <w:sz w:val="24"/>
          <w:szCs w:val="24"/>
          <w:highlight w:val="none"/>
        </w:rPr>
        <w:t>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w:t>
      </w:r>
      <w:r>
        <w:rPr>
          <w:rFonts w:hint="eastAsia" w:ascii="宋体" w:hAnsi="宋体" w:cs="宋体"/>
          <w:sz w:val="24"/>
          <w:szCs w:val="24"/>
          <w:highlight w:val="none"/>
          <w:lang w:eastAsia="zh-CN"/>
        </w:rPr>
        <w:t>清疏及闸门周边</w:t>
      </w:r>
      <w:r>
        <w:rPr>
          <w:rFonts w:hint="eastAsia" w:ascii="宋体" w:hAnsi="宋体" w:eastAsia="宋体" w:cs="宋体"/>
          <w:sz w:val="24"/>
          <w:szCs w:val="24"/>
          <w:highlight w:val="none"/>
        </w:rPr>
        <w:t>清疏等。</w:t>
      </w: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标段四：</w:t>
      </w:r>
      <w:r>
        <w:rPr>
          <w:rFonts w:hint="eastAsia" w:ascii="宋体" w:hAnsi="宋体" w:eastAsia="宋体" w:cs="宋体"/>
          <w:b/>
          <w:bCs/>
          <w:sz w:val="24"/>
          <w:szCs w:val="24"/>
          <w:highlight w:val="none"/>
        </w:rPr>
        <w:t>黄埔区2023年至2024年水利设施维修改造工程</w:t>
      </w:r>
      <w:r>
        <w:rPr>
          <w:rFonts w:hint="eastAsia" w:ascii="宋体" w:hAnsi="宋体" w:cs="宋体"/>
          <w:b/>
          <w:bCs/>
          <w:sz w:val="24"/>
          <w:szCs w:val="24"/>
          <w:highlight w:val="none"/>
          <w:lang w:eastAsia="zh-CN"/>
        </w:rPr>
        <w:t>景观标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（1）工程范围：包括河湖、水闸、泵站及补水闸阀。</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投标说明</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pStyle w:val="3"/>
        <w:rPr>
          <w:rFonts w:hint="eastAsia" w:ascii="宋体" w:hAnsi="宋体" w:eastAsia="宋体" w:cs="宋体"/>
          <w:color w:val="auto"/>
          <w:sz w:val="24"/>
          <w:szCs w:val="24"/>
          <w:highlight w:val="none"/>
        </w:rPr>
      </w:pPr>
      <w:bookmarkStart w:id="5" w:name="_Toc22384"/>
      <w:r>
        <w:rPr>
          <w:rFonts w:hint="eastAsia" w:ascii="宋体" w:hAnsi="宋体" w:eastAsia="宋体" w:cs="宋体"/>
          <w:color w:val="auto"/>
          <w:sz w:val="24"/>
          <w:szCs w:val="24"/>
          <w:highlight w:val="none"/>
        </w:rPr>
        <w:t>投标人资格要求</w:t>
      </w:r>
      <w:bookmarkEnd w:id="5"/>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eastAsia="宋体" w:cs="宋体"/>
          <w:b/>
          <w:bCs/>
          <w:sz w:val="24"/>
          <w:szCs w:val="24"/>
          <w:highlight w:val="none"/>
        </w:rPr>
        <w:t>施工Ⅰ标</w:t>
      </w:r>
      <w:r>
        <w:rPr>
          <w:rFonts w:hint="eastAsia" w:ascii="宋体" w:hAnsi="宋体" w:eastAsia="宋体" w:cs="宋体"/>
          <w:color w:val="auto"/>
          <w:kern w:val="0"/>
          <w:sz w:val="24"/>
          <w:szCs w:val="24"/>
          <w:highlight w:val="none"/>
        </w:rPr>
        <w:t>具体要求如下：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43" w:firstLineChars="224"/>
        <w:rPr>
          <w:rFonts w:hint="default" w:eastAsia="宋体"/>
          <w:b w:val="0"/>
          <w:bCs/>
          <w:highlight w:val="none"/>
          <w:lang w:eastAsia="zh-CN"/>
        </w:rPr>
      </w:pPr>
      <w:r>
        <w:rPr>
          <w:rFonts w:hint="eastAsia" w:ascii="宋体" w:hAnsi="宋体" w:eastAsia="宋体" w:cs="宋体"/>
          <w:color w:val="auto"/>
          <w:kern w:val="0"/>
          <w:sz w:val="24"/>
          <w:szCs w:val="24"/>
          <w:highlight w:val="none"/>
          <w:lang w:bidi="ar"/>
        </w:rPr>
        <w:t>投标人具有承接本工程所需的水利水电工程施工总承包</w:t>
      </w:r>
      <w:r>
        <w:rPr>
          <w:rFonts w:hint="eastAsia" w:ascii="宋体" w:hAnsi="宋体" w:cs="宋体"/>
          <w:color w:val="auto"/>
          <w:kern w:val="0"/>
          <w:sz w:val="24"/>
          <w:szCs w:val="24"/>
          <w:highlight w:val="none"/>
          <w:u w:val="none"/>
          <w:lang w:val="en-US" w:eastAsia="zh-CN" w:bidi="ar"/>
        </w:rPr>
        <w:t>二</w:t>
      </w:r>
      <w:r>
        <w:rPr>
          <w:rFonts w:hint="eastAsia" w:ascii="宋体" w:hAnsi="宋体" w:eastAsia="宋体" w:cs="宋体"/>
          <w:color w:val="auto"/>
          <w:kern w:val="0"/>
          <w:sz w:val="24"/>
          <w:szCs w:val="24"/>
          <w:highlight w:val="none"/>
          <w:lang w:bidi="ar"/>
        </w:rPr>
        <w:t>级或以上级别资质。</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（1）投标人拟担任本工程项目负责人的人员须具有水利水电专业二级或以上级</w:t>
      </w:r>
      <w:r>
        <w:rPr>
          <w:rFonts w:hint="eastAsia" w:ascii="宋体" w:hAnsi="宋体" w:eastAsia="宋体" w:cs="宋体"/>
          <w:color w:val="auto"/>
          <w:sz w:val="24"/>
          <w:szCs w:val="24"/>
          <w:highlight w:val="none"/>
        </w:rPr>
        <w:t>别的注册建造师。</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（2）项目负责人持有水行政主管部门颁发的安全生产考核合格证（B类）</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专职安全员须具有水行政主管部门颁发的安全生产考核合格证（C类）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pStyle w:val="39"/>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bookmarkStart w:id="6" w:name="_Toc16364"/>
      <w:r>
        <w:rPr>
          <w:rFonts w:hint="eastAsia" w:ascii="宋体" w:hAnsi="宋体" w:eastAsia="宋体" w:cs="宋体"/>
          <w:color w:val="auto"/>
          <w:sz w:val="24"/>
          <w:szCs w:val="24"/>
          <w:highlight w:val="none"/>
        </w:rPr>
        <w:t>招标公告和招标文件的获取</w:t>
      </w:r>
      <w:bookmarkEnd w:id="6"/>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6"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pStyle w:val="3"/>
        <w:rPr>
          <w:rFonts w:hint="eastAsia" w:ascii="宋体" w:hAnsi="宋体" w:eastAsia="宋体" w:cs="宋体"/>
          <w:color w:val="auto"/>
          <w:sz w:val="24"/>
          <w:szCs w:val="24"/>
          <w:highlight w:val="none"/>
        </w:rPr>
      </w:pPr>
      <w:bookmarkStart w:id="7" w:name="_Toc27749"/>
      <w:r>
        <w:rPr>
          <w:rFonts w:hint="eastAsia" w:ascii="宋体" w:hAnsi="宋体" w:eastAsia="宋体" w:cs="宋体"/>
          <w:color w:val="auto"/>
          <w:sz w:val="24"/>
          <w:szCs w:val="24"/>
          <w:highlight w:val="none"/>
        </w:rPr>
        <w:t>投标文件的递交</w:t>
      </w:r>
      <w:bookmarkEnd w:id="7"/>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59"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5"/>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pStyle w:val="3"/>
        <w:rPr>
          <w:rFonts w:hint="eastAsia" w:ascii="宋体" w:hAnsi="宋体" w:eastAsia="宋体" w:cs="宋体"/>
          <w:color w:val="auto"/>
          <w:sz w:val="24"/>
          <w:szCs w:val="24"/>
          <w:highlight w:val="none"/>
        </w:rPr>
      </w:pPr>
      <w:bookmarkStart w:id="8" w:name="_Toc24608"/>
      <w:r>
        <w:rPr>
          <w:rFonts w:hint="eastAsia" w:ascii="宋体" w:hAnsi="宋体" w:eastAsia="宋体" w:cs="宋体"/>
          <w:color w:val="auto"/>
          <w:sz w:val="24"/>
          <w:szCs w:val="24"/>
          <w:highlight w:val="none"/>
        </w:rPr>
        <w:t>投标保证金</w:t>
      </w:r>
      <w:bookmarkEnd w:id="8"/>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pStyle w:val="3"/>
        <w:rPr>
          <w:rFonts w:hint="eastAsia" w:ascii="宋体" w:hAnsi="宋体" w:eastAsia="宋体" w:cs="宋体"/>
          <w:color w:val="auto"/>
          <w:sz w:val="24"/>
          <w:szCs w:val="24"/>
          <w:highlight w:val="none"/>
        </w:rPr>
      </w:pPr>
      <w:bookmarkStart w:id="9" w:name="_Toc22701"/>
      <w:r>
        <w:rPr>
          <w:rFonts w:hint="eastAsia" w:ascii="宋体" w:hAnsi="宋体" w:eastAsia="宋体" w:cs="宋体"/>
          <w:color w:val="auto"/>
          <w:sz w:val="24"/>
          <w:szCs w:val="24"/>
          <w:highlight w:val="none"/>
        </w:rPr>
        <w:t>资格审查方式</w:t>
      </w:r>
      <w:bookmarkEnd w:id="9"/>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pStyle w:val="3"/>
        <w:rPr>
          <w:rFonts w:hint="eastAsia" w:ascii="宋体" w:hAnsi="宋体" w:eastAsia="宋体" w:cs="宋体"/>
          <w:color w:val="auto"/>
          <w:sz w:val="24"/>
          <w:szCs w:val="24"/>
          <w:highlight w:val="none"/>
        </w:rPr>
      </w:pPr>
      <w:bookmarkStart w:id="10" w:name="_Toc30267"/>
      <w:r>
        <w:rPr>
          <w:rFonts w:hint="eastAsia" w:ascii="宋体" w:hAnsi="宋体" w:eastAsia="宋体" w:cs="宋体"/>
          <w:color w:val="auto"/>
          <w:sz w:val="24"/>
          <w:szCs w:val="24"/>
          <w:highlight w:val="none"/>
        </w:rPr>
        <w:t>企业信息登记</w:t>
      </w:r>
      <w:bookmarkEnd w:id="10"/>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pStyle w:val="3"/>
        <w:rPr>
          <w:rFonts w:hint="eastAsia" w:ascii="宋体" w:hAnsi="宋体" w:eastAsia="宋体" w:cs="宋体"/>
          <w:color w:val="auto"/>
          <w:sz w:val="24"/>
          <w:szCs w:val="24"/>
          <w:highlight w:val="none"/>
        </w:rPr>
      </w:pPr>
      <w:bookmarkStart w:id="11" w:name="_Toc16543"/>
      <w:r>
        <w:rPr>
          <w:rFonts w:hint="eastAsia" w:ascii="宋体" w:hAnsi="宋体" w:eastAsia="宋体" w:cs="宋体"/>
          <w:color w:val="auto"/>
          <w:sz w:val="24"/>
          <w:szCs w:val="24"/>
          <w:highlight w:val="none"/>
        </w:rPr>
        <w:t>诚信得分</w:t>
      </w:r>
      <w:bookmarkEnd w:id="11"/>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p>
      <w:pPr>
        <w:pStyle w:val="3"/>
        <w:rPr>
          <w:rFonts w:hint="eastAsia" w:ascii="宋体" w:hAnsi="宋体" w:eastAsia="宋体" w:cs="宋体"/>
          <w:color w:val="auto"/>
          <w:sz w:val="24"/>
          <w:szCs w:val="24"/>
          <w:highlight w:val="none"/>
        </w:rPr>
      </w:pPr>
      <w:bookmarkStart w:id="12" w:name="_Toc3644"/>
      <w:r>
        <w:rPr>
          <w:rFonts w:hint="eastAsia" w:ascii="宋体" w:hAnsi="宋体" w:eastAsia="宋体" w:cs="宋体"/>
          <w:color w:val="auto"/>
          <w:sz w:val="24"/>
          <w:szCs w:val="24"/>
          <w:highlight w:val="none"/>
        </w:rPr>
        <w:t>疑问、异议、投诉处理</w:t>
      </w:r>
      <w:bookmarkEnd w:id="12"/>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pStyle w:val="3"/>
        <w:rPr>
          <w:rFonts w:hint="eastAsia" w:ascii="宋体" w:hAnsi="宋体" w:eastAsia="宋体" w:cs="宋体"/>
          <w:color w:val="auto"/>
          <w:sz w:val="24"/>
          <w:szCs w:val="24"/>
          <w:highlight w:val="none"/>
        </w:rPr>
      </w:pPr>
      <w:bookmarkStart w:id="13" w:name="_Toc7479"/>
      <w:r>
        <w:rPr>
          <w:rFonts w:hint="eastAsia" w:ascii="宋体" w:hAnsi="宋体" w:eastAsia="宋体" w:cs="宋体"/>
          <w:color w:val="auto"/>
          <w:sz w:val="24"/>
          <w:szCs w:val="24"/>
          <w:highlight w:val="none"/>
        </w:rPr>
        <w:t>联系方式</w:t>
      </w:r>
      <w:bookmarkEnd w:id="13"/>
    </w:p>
    <w:p>
      <w:pPr>
        <w:spacing w:line="360" w:lineRule="auto"/>
        <w:ind w:firstLine="48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6"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4" w:name="_Toc7224"/>
      <w:bookmarkStart w:id="15" w:name="_Toc20031"/>
      <w:r>
        <w:rPr>
          <w:rFonts w:hint="eastAsia" w:ascii="宋体" w:hAnsi="宋体" w:eastAsia="宋体" w:cs="宋体"/>
          <w:color w:val="auto"/>
          <w:sz w:val="24"/>
          <w:szCs w:val="24"/>
          <w:highlight w:val="none"/>
        </w:rPr>
        <w:t>第二章投标人须知</w:t>
      </w:r>
      <w:bookmarkEnd w:id="14"/>
      <w:bookmarkEnd w:id="15"/>
    </w:p>
    <w:p>
      <w:pPr>
        <w:spacing w:line="360" w:lineRule="auto"/>
        <w:jc w:val="center"/>
        <w:outlineLvl w:val="2"/>
        <w:rPr>
          <w:rFonts w:hint="eastAsia" w:ascii="宋体" w:hAnsi="宋体" w:eastAsia="宋体" w:cs="宋体"/>
          <w:color w:val="auto"/>
          <w:sz w:val="24"/>
          <w:szCs w:val="24"/>
          <w:highlight w:val="none"/>
        </w:rPr>
      </w:pPr>
      <w:bookmarkStart w:id="16" w:name="_Toc4336"/>
      <w:r>
        <w:rPr>
          <w:rFonts w:hint="eastAsia" w:ascii="宋体" w:hAnsi="宋体" w:eastAsia="宋体" w:cs="宋体"/>
          <w:color w:val="auto"/>
          <w:sz w:val="24"/>
          <w:szCs w:val="24"/>
          <w:highlight w:val="none"/>
        </w:rPr>
        <w:t>投标须知修改表</w:t>
      </w:r>
      <w:bookmarkEnd w:id="16"/>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须知使用SWZB2019-02试行版招标文件范本的投标须知通用条款，与该通用条款不同之处，均在本表中列明，并以现文为准，原文不再有效。本招标文件范本请投标人自行到广州市水务局网站（网址：http://www.gzwater.gov.cn）下载查阅。</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条款号：9.1、9.2             修改类型：增加</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现文：9.1中标后，中标人须提供与电子投标文件一致的纸质版投标文件一正三副。</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w:t>
      </w:r>
      <w:r>
        <w:rPr>
          <w:rFonts w:hint="eastAsia" w:ascii="宋体" w:hAnsi="宋体" w:eastAsia="宋体" w:cs="宋体"/>
          <w:color w:val="auto"/>
          <w:sz w:val="24"/>
          <w:szCs w:val="24"/>
          <w:highlight w:val="none"/>
          <w:lang w:bidi="ar"/>
        </w:rPr>
        <w:t>为准）。</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             修改类型：删除</w:t>
      </w:r>
    </w:p>
    <w:p>
      <w:pPr>
        <w:pBdr>
          <w:bottom w:val="single" w:color="auto" w:sz="6" w:space="1"/>
        </w:pBd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条款号：2.1.1             修改类型：修改</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2.1.1</w:t>
      </w:r>
      <w:r>
        <w:rPr>
          <w:rFonts w:hint="eastAsia" w:ascii="宋体" w:hAnsi="宋体" w:eastAsia="宋体" w:cs="宋体"/>
          <w:color w:val="auto"/>
          <w:sz w:val="24"/>
          <w:szCs w:val="24"/>
          <w:highlight w:val="none"/>
          <w:lang w:bidi="ar"/>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（1）招标公告（或投标邀请书）；</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（4）合同条款；</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（5）工程量清单；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（6）图纸及勘察资料；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（7）技术标准和要求；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（8）投标文件格式；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（9）否决性条款汇总；</w:t>
      </w:r>
    </w:p>
    <w:p>
      <w:pPr>
        <w:widowControl/>
        <w:ind w:firstLine="486" w:firstLineChars="200"/>
        <w:jc w:val="lef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（10）最高投标限价（招标控制价）</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lang w:bidi="ar"/>
        </w:rPr>
        <w:t>2.1.1本招标文件包括：</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（1）招标公告；</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（2）投标人须知；</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（3）评标办法；</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（4）合同条款；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（5）技术标准和要求；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（6）投标文件格式；</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（7）否决性条款汇总；</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条款号：2.2.1、2.2.2、2.2.3             修改类型：修改</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2.2.1 招标答疑采用网上答疑方式进行。投标人若对招标文件（包括招标图纸、清单、招标控制价）有疑问的，应按照广州公共资源交易平台关于全流程电子化项目的相关指南进行操作。提问一律不得署名。</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2.2.2答疑纪要一经在</w:t>
      </w:r>
      <w:r>
        <w:rPr>
          <w:rFonts w:hint="eastAsia" w:ascii="宋体" w:hAnsi="宋体" w:eastAsia="宋体" w:cs="宋体"/>
          <w:bCs/>
          <w:color w:val="auto"/>
          <w:sz w:val="24"/>
          <w:szCs w:val="24"/>
          <w:highlight w:val="none"/>
          <w:u w:val="single"/>
          <w:lang w:bidi="ar"/>
        </w:rPr>
        <w:t>广州公共资源</w:t>
      </w:r>
      <w:r>
        <w:rPr>
          <w:rFonts w:hint="eastAsia" w:ascii="宋体" w:hAnsi="宋体" w:eastAsia="宋体" w:cs="宋体"/>
          <w:bCs/>
          <w:color w:val="auto"/>
          <w:sz w:val="24"/>
          <w:szCs w:val="24"/>
          <w:highlight w:val="none"/>
          <w:lang w:bidi="ar"/>
        </w:rPr>
        <w:t>交易平台发布，视作已发放给所有投标人。</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2.2.3招标答疑纪要为招标文件的一部分。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bCs/>
          <w:color w:val="auto"/>
          <w:sz w:val="24"/>
          <w:szCs w:val="24"/>
          <w:highlight w:val="none"/>
          <w:lang w:bidi="ar"/>
        </w:rPr>
        <w:t>2.2.1</w:t>
      </w:r>
      <w:r>
        <w:rPr>
          <w:rFonts w:hint="eastAsia" w:ascii="宋体" w:hAnsi="宋体" w:eastAsia="宋体" w:cs="宋体"/>
          <w:color w:val="auto"/>
          <w:sz w:val="24"/>
          <w:szCs w:val="24"/>
          <w:highlight w:val="none"/>
          <w:lang w:bidi="ar"/>
        </w:rPr>
        <w:t>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投标人网上答疑操作指南：按照广州公共资源交易平台关于全流程电子化项目的相关指南进行操作，详见：广州公共资源交易中心网站发布的最新版操作指引。 提问一律不得署名。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2.2.2</w:t>
      </w:r>
      <w:r>
        <w:rPr>
          <w:rFonts w:hint="eastAsia" w:ascii="宋体" w:hAnsi="宋体" w:eastAsia="宋体" w:cs="宋体"/>
          <w:color w:val="auto"/>
          <w:sz w:val="24"/>
          <w:szCs w:val="24"/>
          <w:highlight w:val="none"/>
          <w:lang w:bidi="ar"/>
        </w:rPr>
        <w:t>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2.2.3</w:t>
      </w:r>
      <w:r>
        <w:rPr>
          <w:rFonts w:hint="eastAsia" w:ascii="宋体" w:hAnsi="宋体" w:eastAsia="宋体" w:cs="宋体"/>
          <w:color w:val="auto"/>
          <w:sz w:val="24"/>
          <w:szCs w:val="24"/>
          <w:highlight w:val="none"/>
          <w:lang w:bidi="ar"/>
        </w:rPr>
        <w:t>招标文件的澄清一经在广州公共资源交易中心网站发布，视作已发放给所有投标人，招标文件的澄清内容作为招标文件的组成部分，具有约束作用。</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             修改类型：修改</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bookmarkStart w:id="17" w:name="_Toc14454"/>
      <w:r>
        <w:rPr>
          <w:rFonts w:hint="eastAsia" w:ascii="宋体" w:hAnsi="宋体" w:eastAsia="宋体" w:cs="宋体"/>
          <w:b/>
          <w:bCs/>
          <w:color w:val="auto"/>
          <w:sz w:val="24"/>
          <w:szCs w:val="24"/>
          <w:highlight w:val="none"/>
          <w:lang w:bidi="ar"/>
        </w:rPr>
        <w:t>原文：</w:t>
      </w:r>
      <w:r>
        <w:rPr>
          <w:rFonts w:hint="eastAsia" w:ascii="宋体" w:hAnsi="宋体" w:eastAsia="宋体" w:cs="宋体"/>
          <w:color w:val="auto"/>
          <w:kern w:val="0"/>
          <w:sz w:val="24"/>
          <w:szCs w:val="24"/>
          <w:highlight w:val="none"/>
          <w:lang w:bidi="ar"/>
        </w:rPr>
        <w:t>3.1投标文件的组成</w:t>
      </w:r>
      <w:bookmarkEnd w:id="17"/>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（2）法定代表人身份证明或附有法定代表人身份证明的授权委托书；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（3）联合体协议书（注：非联合体投标无需提交）；</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（5）已标价工程量清单；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（6）施工组织设计（不要求技术标的可不编制，提交施工组织设计要点）；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（7）项目管理机构；</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（9）投标人声明</w:t>
      </w:r>
    </w:p>
    <w:p>
      <w:pPr>
        <w:widowControl/>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（10）其他应提交的材料。</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szCs w:val="24"/>
          <w:highlight w:val="none"/>
          <w:lang w:bidi="ar"/>
        </w:rPr>
        <w:t xml:space="preserve"> </w:t>
      </w:r>
      <w:bookmarkStart w:id="18" w:name="_Toc24647"/>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kern w:val="0"/>
          <w:sz w:val="24"/>
          <w:szCs w:val="24"/>
          <w:highlight w:val="none"/>
          <w:lang w:bidi="ar"/>
        </w:rPr>
        <w:t>3.1投标文件的组成</w:t>
      </w:r>
      <w:bookmarkEnd w:id="18"/>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pBdr>
          <w:bottom w:val="single" w:color="auto" w:sz="6" w:space="1"/>
        </w:pBdr>
        <w:spacing w:line="360" w:lineRule="auto"/>
        <w:rPr>
          <w:rFonts w:hint="eastAsia" w:ascii="宋体" w:hAnsi="宋体" w:eastAsia="宋体" w:cs="宋体"/>
          <w:color w:val="auto"/>
          <w:sz w:val="24"/>
          <w:szCs w:val="24"/>
          <w:highlight w:val="none"/>
        </w:rPr>
      </w:pP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b/>
          <w:bCs/>
          <w:color w:val="auto"/>
          <w:kern w:val="2"/>
          <w:sz w:val="24"/>
          <w:szCs w:val="24"/>
          <w:highlight w:val="none"/>
          <w:lang w:bidi="ar"/>
        </w:rPr>
      </w:pPr>
      <w:r>
        <w:rPr>
          <w:rFonts w:hint="eastAsia" w:ascii="宋体" w:hAnsi="宋体" w:eastAsia="宋体" w:cs="宋体"/>
          <w:b/>
          <w:bCs/>
          <w:color w:val="auto"/>
          <w:kern w:val="2"/>
          <w:sz w:val="24"/>
          <w:szCs w:val="24"/>
          <w:highlight w:val="none"/>
          <w:lang w:bidi="ar"/>
        </w:rPr>
        <w:t>原文：3.2投标报价</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 投标人应按第五章“工程量清单”的要求填写相应表格（注：此条不适用于综合评估法三）。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投标人在投标截止时间前修改投标函中的投标报价总额，应同时修改“已标价工程量清单”中的相应报价，投标报价总额为各分项金额之和。此修改须符合本章第4.3款的有关要求。（注：适用于综合评估法一、综合评估法二、经评审最低价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3.2.2投标人在投标截止时间前修改投标函中的投标报价总额，并根据评标办法列明的方法重新计算投标单价下浮率。此修改须符合本章第4.3款的有关要求。（注：适用于综合评估法三）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3.2.3投标人的投标报价不得超过最高投标限价，最高投标限价见投标人须知前附表。</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3.2.4</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9"/>
        <w:spacing w:after="0" w:line="360" w:lineRule="auto"/>
        <w:ind w:firstLine="486"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现文：3.2投标报价</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审核，最终以区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rPr>
        <w:t>，投标报价总额为最高投标限价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投标人的投标报价不得超过最高投标限价，最高投标限价见投标人须知前附表。</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见投标人须知前附表。在评标过程中，评标委员会发现投标人的报价明显低于其他投标报价或者低于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条款号：3.3.1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b/>
          <w:bCs/>
          <w:color w:val="auto"/>
          <w:kern w:val="2"/>
          <w:sz w:val="24"/>
          <w:szCs w:val="24"/>
          <w:highlight w:val="none"/>
          <w:lang w:bidi="ar"/>
        </w:rPr>
        <w:t>原文：</w:t>
      </w:r>
      <w:r>
        <w:rPr>
          <w:rFonts w:hint="eastAsia" w:ascii="宋体" w:hAnsi="宋体" w:eastAsia="宋体" w:cs="宋体"/>
          <w:color w:val="auto"/>
          <w:sz w:val="24"/>
          <w:szCs w:val="24"/>
          <w:highlight w:val="none"/>
        </w:rPr>
        <w:t>3.3.1除投标人须知前附表另外有规定外，投标有效期为60天。</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rPr>
        <w:t>3.3.1除投标人须知前附表另外有规定外，投标有效期为90天。</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条款号：3.5            修改类型：修改</w:t>
      </w:r>
    </w:p>
    <w:p>
      <w:pPr>
        <w:widowControl/>
        <w:spacing w:line="360" w:lineRule="auto"/>
        <w:ind w:left="539"/>
        <w:jc w:val="left"/>
        <w:outlineLvl w:val="2"/>
        <w:rPr>
          <w:rFonts w:hint="eastAsia" w:ascii="宋体" w:hAnsi="宋体" w:eastAsia="宋体" w:cs="宋体"/>
          <w:b/>
          <w:bCs/>
          <w:color w:val="auto"/>
          <w:sz w:val="24"/>
          <w:szCs w:val="24"/>
          <w:highlight w:val="none"/>
          <w:lang w:bidi="ar"/>
        </w:rPr>
      </w:pPr>
      <w:bookmarkStart w:id="19" w:name="_Toc1562"/>
      <w:r>
        <w:rPr>
          <w:rFonts w:hint="eastAsia" w:ascii="宋体" w:hAnsi="宋体" w:eastAsia="宋体" w:cs="宋体"/>
          <w:b/>
          <w:bCs/>
          <w:color w:val="auto"/>
          <w:sz w:val="24"/>
          <w:szCs w:val="24"/>
          <w:highlight w:val="none"/>
          <w:lang w:bidi="ar"/>
        </w:rPr>
        <w:t>原文：3.5 资格审查资料</w:t>
      </w:r>
      <w:bookmarkEnd w:id="19"/>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3.5.4项目负责人的建造师证（或小型项目负责人相关证明）和安全培训考核合格证明或在有效期内的安全考核合格证书（B类）；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 “近年完成的类似项目情况表”应按照投标前附表的要求附中标通知书、施工合同、单位工程验收鉴定书（或合同工程完工验收鉴定书或工程竣工验收鉴定书）纸质原件的</w:t>
      </w:r>
      <w:r>
        <w:rPr>
          <w:rFonts w:hint="eastAsia" w:ascii="宋体" w:hAnsi="宋体" w:eastAsia="宋体" w:cs="宋体"/>
          <w:color w:val="auto"/>
          <w:kern w:val="0"/>
          <w:sz w:val="24"/>
          <w:szCs w:val="24"/>
          <w:highlight w:val="none"/>
          <w:lang w:eastAsia="zh-CN" w:bidi="ar"/>
        </w:rPr>
        <w:t>复印件</w:t>
      </w:r>
      <w:r>
        <w:rPr>
          <w:rFonts w:hint="eastAsia" w:ascii="宋体" w:hAnsi="宋体" w:eastAsia="宋体" w:cs="宋体"/>
          <w:color w:val="auto"/>
          <w:kern w:val="0"/>
          <w:sz w:val="24"/>
          <w:szCs w:val="24"/>
          <w:highlight w:val="none"/>
          <w:lang w:bidi="ar"/>
        </w:rPr>
        <w:t>。每张表格只填写一个项目，并标明序号。</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3.5.7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3.5.8投标人须知前附表规定接受联合体投标的，本章第3.5.1项至第3.5.6项规定的表格和资料应包括联合体各方相关情况。</w:t>
      </w:r>
    </w:p>
    <w:p>
      <w:pPr>
        <w:pBdr>
          <w:bottom w:val="single" w:color="auto" w:sz="6" w:space="1"/>
        </w:pBdr>
        <w:spacing w:line="360" w:lineRule="auto"/>
        <w:ind w:firstLine="543" w:firstLineChars="224"/>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现文：3.5资格审查资料</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w:t>
      </w:r>
      <w:r>
        <w:rPr>
          <w:rFonts w:hint="eastAsia" w:ascii="宋体" w:hAnsi="宋体" w:eastAsia="宋体" w:cs="宋体"/>
          <w:strike/>
          <w:dstrike w:val="0"/>
          <w:color w:val="auto"/>
          <w:kern w:val="0"/>
          <w:sz w:val="24"/>
          <w:szCs w:val="24"/>
          <w:highlight w:val="none"/>
          <w:lang w:bidi="ar"/>
        </w:rPr>
        <w:t>（或小型项目负责人相关证明）</w:t>
      </w:r>
      <w:r>
        <w:rPr>
          <w:rFonts w:hint="eastAsia" w:ascii="宋体" w:hAnsi="宋体" w:eastAsia="宋体" w:cs="宋体"/>
          <w:color w:val="auto"/>
          <w:kern w:val="0"/>
          <w:sz w:val="24"/>
          <w:szCs w:val="24"/>
          <w:highlight w:val="none"/>
          <w:lang w:bidi="ar"/>
        </w:rPr>
        <w:t>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3.5.7资审要求的其他材料。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color w:val="auto"/>
          <w:sz w:val="24"/>
          <w:szCs w:val="24"/>
          <w:highlight w:val="none"/>
        </w:rPr>
      </w:pPr>
      <w:bookmarkStart w:id="20" w:name="_Toc4990"/>
      <w:r>
        <w:rPr>
          <w:rFonts w:hint="eastAsia" w:ascii="宋体" w:hAnsi="宋体" w:eastAsia="宋体" w:cs="宋体"/>
          <w:b/>
          <w:bCs/>
          <w:color w:val="auto"/>
          <w:sz w:val="24"/>
          <w:szCs w:val="24"/>
          <w:highlight w:val="none"/>
        </w:rPr>
        <w:t>投标人须知前附表</w:t>
      </w:r>
      <w:bookmarkEnd w:id="2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061"/>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4963" w:type="dxa"/>
            <w:noWrap w:val="0"/>
            <w:vAlign w:val="center"/>
          </w:tcPr>
          <w:p>
            <w:pPr>
              <w:keepNext w:val="0"/>
              <w:keepLines w:val="0"/>
              <w:suppressLineNumbers w:val="0"/>
              <w:spacing w:before="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定义</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招标人（即发包人）：广州市黄埔区水务设施管理所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项目建设管理单位：/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bookmarkStart w:id="21" w:name="_Toc359263248"/>
            <w:bookmarkEnd w:id="21"/>
            <w:bookmarkStart w:id="22" w:name="_Toc221950008"/>
            <w:bookmarkStart w:id="23" w:name="_Toc359263249"/>
            <w:r>
              <w:rPr>
                <w:rFonts w:hint="eastAsia" w:ascii="宋体" w:hAnsi="宋体" w:eastAsia="宋体" w:cs="宋体"/>
                <w:color w:val="auto"/>
                <w:sz w:val="24"/>
                <w:szCs w:val="24"/>
                <w:highlight w:val="none"/>
              </w:rPr>
              <w:t>/</w:t>
            </w:r>
          </w:p>
          <w:bookmarkEnd w:id="22"/>
          <w:bookmarkEnd w:id="23"/>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检测机构：</w:t>
            </w:r>
            <w:bookmarkStart w:id="24" w:name="_Toc221950011"/>
            <w:bookmarkEnd w:id="24"/>
            <w:bookmarkStart w:id="25" w:name="_Toc221950010"/>
            <w:bookmarkEnd w:id="25"/>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黄埔区2023年至2024年水利设施维修改造工程施工Ⅰ标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合同期限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合格</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4963" w:type="dxa"/>
            <w:noWrap w:val="0"/>
            <w:vAlign w:val="center"/>
          </w:tcPr>
          <w:p>
            <w:pPr>
              <w:pStyle w:val="15"/>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□固定总价</w:t>
            </w:r>
          </w:p>
          <w:p>
            <w:pPr>
              <w:pStyle w:val="15"/>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□综合单价</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按《黄埔区水利设施维修改造管理办法（最新）》执行。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能力、信誉</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w:t>
            </w:r>
            <w:bookmarkStart w:id="26" w:name="_Toc221950015"/>
            <w:r>
              <w:rPr>
                <w:rFonts w:hint="eastAsia" w:ascii="宋体" w:hAnsi="宋体" w:eastAsia="宋体" w:cs="宋体"/>
                <w:color w:val="auto"/>
                <w:sz w:val="24"/>
                <w:szCs w:val="24"/>
                <w:highlight w:val="none"/>
                <w:lang w:val="en-US" w:eastAsia="zh-CN"/>
              </w:rPr>
              <w:t>见本项目招</w:t>
            </w:r>
            <w:bookmarkEnd w:id="26"/>
            <w:r>
              <w:rPr>
                <w:rFonts w:hint="eastAsia" w:ascii="宋体" w:hAnsi="宋体" w:eastAsia="宋体" w:cs="宋体"/>
                <w:color w:val="auto"/>
                <w:sz w:val="24"/>
                <w:szCs w:val="24"/>
                <w:highlight w:val="none"/>
                <w:lang w:val="en-US" w:eastAsia="zh-CN"/>
              </w:rPr>
              <w:t>标公告</w:t>
            </w:r>
          </w:p>
        </w:tc>
        <w:bookmarkStart w:id="27" w:name="_Toc221950017"/>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w:t>
            </w:r>
            <w:bookmarkStart w:id="28" w:name="_Toc221950019"/>
            <w:r>
              <w:rPr>
                <w:rFonts w:hint="eastAsia" w:ascii="宋体" w:hAnsi="宋体" w:eastAsia="宋体" w:cs="宋体"/>
                <w:color w:val="auto"/>
                <w:sz w:val="24"/>
                <w:szCs w:val="24"/>
                <w:highlight w:val="none"/>
              </w:rPr>
              <w:t>体投标</w:t>
            </w:r>
          </w:p>
          <w:bookmarkEnd w:id="28"/>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bookmarkStart w:id="29" w:name="_Toc221950031"/>
            <w:r>
              <w:rPr>
                <w:rFonts w:hint="eastAsia" w:ascii="宋体" w:hAnsi="宋体" w:eastAsia="宋体" w:cs="宋体"/>
                <w:color w:val="auto"/>
                <w:sz w:val="24"/>
                <w:szCs w:val="24"/>
                <w:highlight w:val="none"/>
              </w:rPr>
              <w:t>应满足下</w:t>
            </w:r>
            <w:bookmarkEnd w:id="29"/>
            <w:r>
              <w:rPr>
                <w:rFonts w:hint="eastAsia" w:ascii="宋体" w:hAnsi="宋体" w:eastAsia="宋体" w:cs="宋体"/>
                <w:color w:val="auto"/>
                <w:sz w:val="24"/>
                <w:szCs w:val="24"/>
                <w:highlight w:val="none"/>
              </w:rPr>
              <w:t>列要求：________</w:t>
            </w:r>
            <w:bookmarkStart w:id="30" w:name="_Toc221950037"/>
            <w:r>
              <w:rPr>
                <w:rFonts w:hint="eastAsia" w:ascii="宋体" w:hAnsi="宋体" w:eastAsia="宋体" w:cs="宋体"/>
                <w:color w:val="auto"/>
                <w:sz w:val="24"/>
                <w:szCs w:val="24"/>
                <w:highlight w:val="none"/>
              </w:rPr>
              <w:t>____</w:t>
            </w:r>
            <w:bookmarkEnd w:id="30"/>
            <w:r>
              <w:rPr>
                <w:rFonts w:hint="eastAsia" w:ascii="宋体" w:hAnsi="宋体" w:eastAsia="宋体" w:cs="宋体"/>
                <w:color w:val="auto"/>
                <w:sz w:val="24"/>
                <w:szCs w:val="24"/>
                <w:highlight w:val="none"/>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bookmarkStart w:id="31" w:name="_Toc221950039"/>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bookmarkEnd w:id="31"/>
            <w:r>
              <w:rPr>
                <w:rFonts w:hint="eastAsia" w:ascii="宋体" w:hAnsi="宋体" w:eastAsia="宋体" w:cs="宋体"/>
                <w:color w:val="auto"/>
                <w:sz w:val="24"/>
                <w:szCs w:val="24"/>
                <w:highlight w:val="none"/>
              </w:rPr>
              <w:t>审</w:t>
            </w:r>
            <w:bookmarkStart w:id="32" w:name="_Toc221950040"/>
            <w:r>
              <w:rPr>
                <w:rFonts w:hint="eastAsia" w:ascii="宋体" w:hAnsi="宋体" w:eastAsia="宋体" w:cs="宋体"/>
                <w:color w:val="auto"/>
                <w:sz w:val="24"/>
                <w:szCs w:val="24"/>
                <w:highlight w:val="none"/>
              </w:rPr>
              <w:t>查方式</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bookmarkEnd w:id="32"/>
        </w:tc>
        <w:tc>
          <w:tcPr>
            <w:tcW w:w="20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w:t>
            </w:r>
            <w:bookmarkStart w:id="33" w:name="_Toc221950041"/>
            <w:r>
              <w:rPr>
                <w:rFonts w:hint="eastAsia" w:ascii="宋体" w:hAnsi="宋体" w:eastAsia="宋体" w:cs="宋体"/>
                <w:color w:val="auto"/>
                <w:sz w:val="24"/>
                <w:szCs w:val="24"/>
                <w:highlight w:val="none"/>
              </w:rPr>
              <w:t>勘现场</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招标人不集中组织，由投标人自行踏勘；</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w:t>
            </w:r>
            <w:bookmarkEnd w:id="33"/>
            <w:r>
              <w:rPr>
                <w:rFonts w:hint="eastAsia" w:ascii="宋体" w:hAnsi="宋体" w:eastAsia="宋体" w:cs="宋体"/>
                <w:color w:val="auto"/>
                <w:sz w:val="24"/>
                <w:szCs w:val="24"/>
                <w:highlight w:val="none"/>
              </w:rPr>
              <w:t>间</w:t>
            </w:r>
            <w:bookmarkStart w:id="34" w:name="_Toc221950042"/>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11</w:t>
            </w:r>
            <w:r>
              <w:rPr>
                <w:rFonts w:hint="eastAsia" w:ascii="宋体" w:hAnsi="宋体" w:eastAsia="宋体" w:cs="宋体"/>
                <w:color w:val="auto"/>
                <w:sz w:val="24"/>
                <w:szCs w:val="24"/>
                <w:highlight w:val="none"/>
              </w:rPr>
              <w:t>月___日起具备现场踏勘条</w:t>
            </w:r>
            <w:bookmarkEnd w:id="34"/>
            <w:r>
              <w:rPr>
                <w:rFonts w:hint="eastAsia" w:ascii="宋体" w:hAnsi="宋体" w:eastAsia="宋体" w:cs="宋体"/>
                <w:color w:val="auto"/>
                <w:sz w:val="24"/>
                <w:szCs w:val="24"/>
                <w:highlight w:val="none"/>
              </w:rPr>
              <w:t>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现场详细地</w:t>
            </w:r>
            <w:bookmarkStart w:id="35" w:name="_Toc221950044"/>
            <w:r>
              <w:rPr>
                <w:rFonts w:hint="eastAsia" w:ascii="宋体" w:hAnsi="宋体" w:eastAsia="宋体" w:cs="宋体"/>
                <w:color w:val="auto"/>
                <w:sz w:val="24"/>
                <w:szCs w:val="24"/>
                <w:highlight w:val="none"/>
              </w:rPr>
              <w:t>点：</w:t>
            </w:r>
            <w:bookmarkEnd w:id="35"/>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963" w:type="dxa"/>
            <w:noWrap w:val="0"/>
            <w:vAlign w:val="center"/>
          </w:tcPr>
          <w:p>
            <w:pPr>
              <w:pStyle w:val="15"/>
              <w:keepNext w:val="0"/>
              <w:keepLines w:val="0"/>
              <w:suppressLineNumbers w:val="0"/>
              <w:topLinePunct/>
              <w:spacing w:before="0" w:beforeAutospacing="0" w:after="0" w:afterAutospacing="0"/>
              <w:ind w:left="0" w:right="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bCs/>
                <w:color w:val="auto"/>
                <w:sz w:val="24"/>
                <w:szCs w:val="24"/>
                <w:highlight w:val="none"/>
                <w:lang w:val="en-US" w:eastAsia="zh-CN"/>
              </w:rPr>
              <w:t>不允许</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允许。偏离允许幅度及其处理方法：__</w:t>
            </w:r>
            <w:bookmarkStart w:id="36" w:name="_Toc221950046"/>
            <w:r>
              <w:rPr>
                <w:rFonts w:hint="eastAsia" w:ascii="宋体" w:hAnsi="宋体" w:eastAsia="宋体" w:cs="宋体"/>
                <w:bCs/>
                <w:color w:val="auto"/>
                <w:sz w:val="24"/>
                <w:szCs w:val="24"/>
                <w:highlight w:val="none"/>
              </w:rPr>
              <w:t>____________</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招标答疑</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疑问提交时间：在递交投标文件截止日期前18 日；</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形式：投标人的疑问通过广州公共资源交易平台提交。</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具体要求：按照广州公共资源交易平台关于全流程电子化项目的相关指南进行操作，详见：广州公共资源交易中心网站发布的最新版操作指引。 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招标文件的修改期限：招标人在投标截止时间</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投标文件的组成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采用综合评估法（一）：投标文件由资格审查文件、商务文件和技术文件组成</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采用综合评估法二（需提交技术文件）：投标文件由资格审查文件、商务文件和技术文件组成。</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采用综合评估法三（不需要技术文件）：投标文件由资格审查文件、商务文件组成。</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采用最低投标报价法：投标文件由资格审查文件、商务文件和技术文件组成。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警示价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警示价</w:t>
            </w:r>
            <w:r>
              <w:rPr>
                <w:rFonts w:hint="eastAsia" w:ascii="宋体" w:hAnsi="宋体" w:eastAsia="宋体" w:cs="宋体"/>
                <w:b/>
                <w:bCs/>
                <w:color w:val="auto"/>
                <w:sz w:val="24"/>
                <w:szCs w:val="24"/>
                <w:highlight w:val="none"/>
              </w:rPr>
              <w:t>分别为：</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eastAsia="宋体" w:cs="宋体"/>
                <w:color w:val="auto"/>
                <w:sz w:val="24"/>
                <w:szCs w:val="24"/>
                <w:highlight w:val="none"/>
                <w:lang w:val="en-US" w:eastAsia="zh-CN"/>
              </w:rPr>
              <w:t>7200</w:t>
            </w:r>
            <w:r>
              <w:rPr>
                <w:rFonts w:hint="eastAsia" w:ascii="宋体" w:hAnsi="宋体" w:eastAsia="宋体" w:cs="宋体"/>
                <w:color w:val="auto"/>
                <w:sz w:val="24"/>
                <w:szCs w:val="24"/>
                <w:highlight w:val="none"/>
              </w:rPr>
              <w:t>万元；</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%设置为</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要求，按以下方式递交：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1.广州公</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资源交易平台代收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2.提供银行投标保函</w:t>
            </w:r>
          </w:p>
          <w:p>
            <w:pPr>
              <w:pStyle w:val="52"/>
              <w:keepNext w:val="0"/>
              <w:keepLines w:val="0"/>
              <w:suppressLineNumbers w:val="0"/>
              <w:spacing w:before="0" w:beforeAutospacing="0" w:after="0" w:afterAutospacing="0"/>
              <w:ind w:left="0" w:right="0"/>
              <w:jc w:val="both"/>
              <w:rPr>
                <w:rFonts w:hint="eastAsia" w:ascii="宋体" w:hAnsi="宋体" w:eastAsia="宋体" w:cs="宋体"/>
                <w:strike/>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3.投标保证保险</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万元人民币/标段；</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缴纳时间：在投标截止前</w:t>
            </w:r>
            <w:r>
              <w:rPr>
                <w:rFonts w:hint="eastAsia" w:ascii="宋体" w:hAnsi="宋体" w:eastAsia="宋体" w:cs="宋体"/>
                <w:color w:val="auto"/>
                <w:sz w:val="24"/>
                <w:szCs w:val="24"/>
                <w:highlight w:val="none"/>
                <w:lang w:eastAsia="zh-CN"/>
              </w:rPr>
              <w:t>，广州公共资源交易平台</w:t>
            </w:r>
            <w:r>
              <w:rPr>
                <w:rFonts w:hint="eastAsia" w:ascii="宋体" w:hAnsi="宋体" w:eastAsia="宋体" w:cs="宋体"/>
                <w:color w:val="auto"/>
                <w:sz w:val="24"/>
                <w:szCs w:val="24"/>
                <w:highlight w:val="none"/>
                <w:lang w:val="en-US" w:eastAsia="zh-CN"/>
              </w:rPr>
              <w:t>递交投标保证金的方法可以在广州公共资源交易中心网站查阅，如有变更以广州公共资源交易中心最新发布的标准为准</w:t>
            </w:r>
            <w:r>
              <w:rPr>
                <w:rFonts w:hint="eastAsia" w:ascii="宋体" w:hAnsi="宋体" w:eastAsia="宋体" w:cs="宋体"/>
                <w:color w:val="auto"/>
                <w:sz w:val="24"/>
                <w:szCs w:val="24"/>
                <w:highlight w:val="none"/>
              </w:rPr>
              <w:t>。投标人如采用投标保函或投标保证保险的形式递交的，须在投标截止前单独密封递交至开标室。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投标文件格式规定需个人签字的，应签字或签章后扫描上传。投标文件格式规定盖单位公章的页面必须盖单位公章（公章与电子公章具有相同法律效力）。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w:t>
            </w: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 月   日   时（北京时间）</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上述时间及地点是否有改变，请密切留意招标答疑纪要的相关信息。截止时间以广州公共资源交易中心电子评标系统服务器从中国科学院国家授时中心取得的北京时间为准。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eastAsia="宋体" w:cs="宋体"/>
                <w:color w:val="auto"/>
                <w:sz w:val="24"/>
                <w:szCs w:val="24"/>
                <w:highlight w:val="none"/>
                <w:u w:val="single"/>
              </w:rPr>
              <w:t xml:space="preserve"> 0.5小时</w:t>
            </w:r>
            <w:r>
              <w:rPr>
                <w:rFonts w:hint="eastAsia" w:ascii="宋体" w:hAnsi="宋体" w:eastAsia="宋体" w:cs="宋体"/>
                <w:color w:val="auto"/>
                <w:sz w:val="24"/>
                <w:szCs w:val="24"/>
                <w:highlight w:val="none"/>
              </w:rPr>
              <w:t>内，投标人通过广州公共资源交易平台对已递交的电子投标文件进行解密。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1、开标时间：____年__月__日__时__分</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2、地点：____</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开标评标办法</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综合评估法（一）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□综合评估法（二）</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□综合评估法（三）</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bookmarkStart w:id="37" w:name="_Toc221950065"/>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人，其中招</w:t>
            </w:r>
            <w:bookmarkEnd w:id="37"/>
            <w:r>
              <w:rPr>
                <w:rFonts w:hint="eastAsia" w:ascii="宋体" w:hAnsi="宋体" w:eastAsia="宋体" w:cs="宋体"/>
                <w:color w:val="auto"/>
                <w:sz w:val="24"/>
                <w:szCs w:val="24"/>
                <w:highlight w:val="none"/>
              </w:rPr>
              <w:t>标人代表</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人；评标专家确定方式：</w:t>
            </w:r>
            <w:r>
              <w:rPr>
                <w:rFonts w:hint="eastAsia" w:ascii="宋体" w:hAnsi="宋体" w:eastAsia="宋体" w:cs="宋体"/>
                <w:color w:val="auto"/>
                <w:sz w:val="24"/>
                <w:szCs w:val="24"/>
                <w:highlight w:val="none"/>
                <w:u w:val="single"/>
              </w:rPr>
              <w:t>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4963" w:type="dxa"/>
            <w:noWrap w:val="0"/>
            <w:vAlign w:val="center"/>
          </w:tcPr>
          <w:p>
            <w:pPr>
              <w:keepNext w:val="0"/>
              <w:keepLines w:val="0"/>
              <w:suppressLineNumbers w:val="0"/>
              <w:spacing w:before="0" w:beforeAutospacing="0" w:after="0" w:afterAutospacing="0"/>
              <w:ind w:left="0" w:right="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履约保函，为中标价款的10%。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u w:val="single"/>
              </w:rPr>
              <w:t>是</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推荐中标候选人的人数</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广东省招标投标监管网、广州公共资源交易中心网站、中国招标投标公共服务平台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zh-CN"/>
              </w:rPr>
              <w:t>不允许；</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color w:val="auto"/>
                <w:kern w:val="0"/>
                <w:sz w:val="24"/>
                <w:szCs w:val="24"/>
                <w:highlight w:val="none"/>
                <w:lang w:val="zh-CN"/>
              </w:rPr>
              <w:t>□允许：</w:t>
            </w:r>
            <w:r>
              <w:rPr>
                <w:rFonts w:hint="eastAsia" w:ascii="宋体" w:hAnsi="宋体" w:eastAsia="宋体" w:cs="宋体"/>
                <w:strike/>
                <w:dstrike w:val="0"/>
                <w:color w:val="auto"/>
                <w:kern w:val="0"/>
                <w:sz w:val="24"/>
                <w:szCs w:val="24"/>
                <w:highlight w:val="none"/>
                <w:lang w:val="zh-CN"/>
              </w:rPr>
              <w:t>分包内容要要求：</w:t>
            </w:r>
            <w:r>
              <w:rPr>
                <w:rFonts w:hint="eastAsia" w:ascii="宋体" w:hAnsi="宋体" w:eastAsia="宋体" w:cs="宋体"/>
                <w:strike/>
                <w:dstrike w:val="0"/>
                <w:color w:val="auto"/>
                <w:kern w:val="0"/>
                <w:sz w:val="24"/>
                <w:szCs w:val="24"/>
                <w:highlight w:val="none"/>
                <w:u w:val="single"/>
                <w:lang w:val="zh-CN"/>
              </w:rPr>
              <w:t>中标人按照合同约定或者经招标人同意，可以将中标项目的部分非主体、非关键性工作分包给他人完成。</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分包金额要求：</w:t>
            </w:r>
            <w:r>
              <w:rPr>
                <w:rFonts w:hint="eastAsia" w:ascii="宋体" w:hAnsi="宋体" w:eastAsia="宋体" w:cs="宋体"/>
                <w:strike/>
                <w:dstrike w:val="0"/>
                <w:color w:val="auto"/>
                <w:kern w:val="0"/>
                <w:sz w:val="24"/>
                <w:szCs w:val="24"/>
                <w:highlight w:val="none"/>
                <w:u w:val="single"/>
                <w:lang w:val="zh-CN"/>
              </w:rPr>
              <w:t>根据实际情况确定。</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对分包人的资质要求：</w:t>
            </w:r>
            <w:r>
              <w:rPr>
                <w:rFonts w:hint="eastAsia" w:ascii="宋体" w:hAnsi="宋体" w:eastAsia="宋体" w:cs="宋体"/>
                <w:strike/>
                <w:dstrike w:val="0"/>
                <w:color w:val="auto"/>
                <w:kern w:val="0"/>
                <w:sz w:val="24"/>
                <w:szCs w:val="24"/>
                <w:highlight w:val="none"/>
                <w:u w:val="single"/>
                <w:lang w:val="zh-CN"/>
              </w:rPr>
              <w:t>接受分包的人应当具备相应的资质条件，并不得再次分包。</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strike/>
                <w:dstrike w:val="0"/>
                <w:color w:val="auto"/>
                <w:kern w:val="0"/>
                <w:sz w:val="24"/>
                <w:szCs w:val="24"/>
                <w:highlight w:val="none"/>
                <w:lang w:val="zh-CN"/>
              </w:rPr>
              <w:t>对分包人的其他要求：</w:t>
            </w:r>
            <w:r>
              <w:rPr>
                <w:rFonts w:hint="eastAsia" w:ascii="宋体" w:hAnsi="宋体" w:eastAsia="宋体" w:cs="宋体"/>
                <w:strike/>
                <w:dstrike w:val="0"/>
                <w:color w:val="auto"/>
                <w:kern w:val="0"/>
                <w:sz w:val="24"/>
                <w:szCs w:val="24"/>
                <w:highlight w:val="none"/>
              </w:rPr>
              <w:t>/</w:t>
            </w:r>
            <w:r>
              <w:rPr>
                <w:rFonts w:hint="eastAsia" w:ascii="宋体" w:hAnsi="宋体" w:eastAsia="宋体" w:cs="宋体"/>
                <w:strike/>
                <w:dstrike w:val="0"/>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9.1中标后，中标人须提供与电子投标文件一致的纸质版投标文件一正三副。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tc>
      </w:tr>
    </w:tbl>
    <w:p>
      <w:pPr>
        <w:jc w:val="right"/>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b/>
          <w:bCs/>
          <w:color w:val="auto"/>
          <w:sz w:val="24"/>
          <w:szCs w:val="24"/>
          <w:highlight w:val="none"/>
        </w:rPr>
      </w:pPr>
      <w:bookmarkStart w:id="38" w:name="_Toc10919"/>
      <w:r>
        <w:rPr>
          <w:rFonts w:hint="eastAsia" w:ascii="宋体" w:hAnsi="宋体" w:eastAsia="宋体" w:cs="宋体"/>
          <w:b/>
          <w:bCs/>
          <w:color w:val="auto"/>
          <w:sz w:val="24"/>
          <w:szCs w:val="24"/>
          <w:highlight w:val="none"/>
        </w:rPr>
        <w:t>投标须知通用条款</w:t>
      </w:r>
      <w:bookmarkEnd w:id="38"/>
    </w:p>
    <w:p>
      <w:pPr>
        <w:pStyle w:val="3"/>
        <w:numPr>
          <w:ilvl w:val="0"/>
          <w:numId w:val="8"/>
        </w:numPr>
        <w:rPr>
          <w:rFonts w:hint="eastAsia" w:ascii="宋体" w:hAnsi="宋体" w:eastAsia="宋体" w:cs="宋体"/>
          <w:color w:val="auto"/>
          <w:sz w:val="24"/>
          <w:szCs w:val="24"/>
          <w:highlight w:val="none"/>
        </w:rPr>
      </w:pPr>
      <w:bookmarkStart w:id="39" w:name="_Toc13150"/>
      <w:r>
        <w:rPr>
          <w:rFonts w:hint="eastAsia" w:ascii="宋体" w:hAnsi="宋体" w:eastAsia="宋体" w:cs="宋体"/>
          <w:color w:val="auto"/>
          <w:sz w:val="24"/>
          <w:szCs w:val="24"/>
          <w:highlight w:val="none"/>
        </w:rPr>
        <w:t>总则</w:t>
      </w:r>
      <w:bookmarkEnd w:id="39"/>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本招标文件使用的下列词语具有如下规定的意义：</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（1）“招标人”（即发包人）、“项目建设管理单位”（或称“项目代建单位”）、“招标代理”、“设计单位”、“监理单位”均已在投标须知前附表中列明。</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（2）“投标人”指向招标人提交投标文件的当事人。   </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（3）“承包人”指其投标被招标人接受并与其签订承包合同的当事人。</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（4）“招标文件”指由招标代理发出的本文件（包括全部章节、附件）及招标答疑会会议纪要和招标文件的澄清与修改文件。</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（5）“投标文件</w:t>
      </w:r>
      <w:bookmarkStart w:id="40" w:name="_Toc359263251"/>
      <w:r>
        <w:rPr>
          <w:rFonts w:hint="eastAsia" w:ascii="宋体" w:hAnsi="宋体" w:eastAsia="宋体" w:cs="宋体"/>
          <w:bCs/>
          <w:color w:val="auto"/>
          <w:kern w:val="2"/>
          <w:sz w:val="24"/>
          <w:szCs w:val="24"/>
          <w:highlight w:val="none"/>
        </w:rPr>
        <w:t>”指投标人根据本项目</w:t>
      </w:r>
      <w:bookmarkEnd w:id="40"/>
      <w:r>
        <w:rPr>
          <w:rFonts w:hint="eastAsia" w:ascii="宋体" w:hAnsi="宋体" w:eastAsia="宋体" w:cs="宋体"/>
          <w:bCs/>
          <w:color w:val="auto"/>
          <w:kern w:val="2"/>
          <w:sz w:val="24"/>
          <w:szCs w:val="24"/>
          <w:highlight w:val="none"/>
        </w:rPr>
        <w:t>招</w:t>
      </w:r>
      <w:bookmarkStart w:id="41" w:name="_Toc85505512"/>
      <w:bookmarkStart w:id="42" w:name="_Toc101777612"/>
      <w:bookmarkStart w:id="43" w:name="_Toc262229163"/>
      <w:r>
        <w:rPr>
          <w:rFonts w:hint="eastAsia" w:ascii="宋体" w:hAnsi="宋体" w:eastAsia="宋体" w:cs="宋体"/>
          <w:bCs/>
          <w:color w:val="auto"/>
          <w:kern w:val="2"/>
          <w:sz w:val="24"/>
          <w:szCs w:val="24"/>
          <w:highlight w:val="none"/>
        </w:rPr>
        <w:t>标文件向招</w:t>
      </w:r>
      <w:bookmarkEnd w:id="41"/>
      <w:bookmarkEnd w:id="42"/>
      <w:bookmarkEnd w:id="43"/>
      <w:r>
        <w:rPr>
          <w:rFonts w:hint="eastAsia" w:ascii="宋体" w:hAnsi="宋体" w:eastAsia="宋体" w:cs="宋体"/>
          <w:bCs/>
          <w:color w:val="auto"/>
          <w:kern w:val="2"/>
          <w:sz w:val="24"/>
          <w:szCs w:val="24"/>
          <w:highlight w:val="none"/>
        </w:rPr>
        <w:t>标人提交的全部文件。</w:t>
      </w:r>
    </w:p>
    <w:p>
      <w:pPr>
        <w:pStyle w:val="39"/>
        <w:spacing w:after="0"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（6）“书面形式”指打字或印刷的文件和数据电文（包括电报、电传、传真、电子数据交换和电子邮件）。</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根据《中华人民共和国招标投标法》等有关法律、法规和规章的规定，本招标项目已具备招标条件，现对本标段施工进行招标。</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本标段招标代理机构：见投标人须知前附表。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本招标项目名称：见投标人须知前附表。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本标段建设地点：见投标人须知前附表。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pPr>
        <w:pStyle w:val="7"/>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本招标项目的资金来源及出资比例：见投标人须知前附表。</w:t>
      </w:r>
    </w:p>
    <w:p>
      <w:pPr>
        <w:pStyle w:val="7"/>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本招标项目的资金来落实情况：见投标人须知前附表。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招标范围、计划工期和质量要求</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本次招标范围：见投标人须知前附表。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本标段的计划工期：见投标人须知前附表。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本标段的质量要求：见投标人须知前附表。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本招标项目的承包方式：见投标人须知前附表。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1.4.1投标人应具备承担本项目施工的资质条件、能力和信誉。详见本项目《招标公告》</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投标人须知前附表规定接受联合体投标的，除应符合本章第1.4.1项和投标人须知前附表的要求外，还应遵守以下规定：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（1）联合体各方应按招标文件提供的格式签订联合体协议书，明确联合体主办方和各方权利义务；</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（3）联合体各方不得再以自己名义单独或参加其他联合体在同一标段中投标。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（2）为本次招标项目前期准备提供设计或咨询服务的；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（3）为本次招标项目的监理人；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（4）为本次招标项目的代建人；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（5）为本次招标项目提供招标代理服务的；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（6）与本次招标项目的监理人或代建人或招标代理机构同为一个法定代表人的；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（7）与本次招标项目的监理人或代建人或招标代理机构相互控股或参股的；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（8）与本次招标项目的监理人或代建人或招标代理机构相互任职或工作的；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（10）被暂停或取消投标资格的；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（12）在最近三年内有骗取中标或严重违约或重大工程质量问题的。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1.4.4单位负责人为同一人或者存在控股、管理关系的不同单位，不得同时参加本招标项目投标。</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费用承担</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投标人按投标人须知前附表规定的时间、地点自行踏勘项目现场。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招标人在踏勘现场中了解的工程场地和相关的周边环境情况，供投标人在编制投标文件时参考，招标人不对投标人据此作出的判断和决策负责。</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投标人须知前附表允许投标文件偏离招标文件某些要求的，偏离应当符合招标文件规定的偏离范围和幅度。</w:t>
      </w:r>
    </w:p>
    <w:p>
      <w:pPr>
        <w:pStyle w:val="3"/>
        <w:rPr>
          <w:rFonts w:hint="eastAsia" w:ascii="宋体" w:hAnsi="宋体" w:eastAsia="宋体" w:cs="宋体"/>
          <w:color w:val="auto"/>
          <w:sz w:val="24"/>
          <w:szCs w:val="24"/>
          <w:highlight w:val="none"/>
        </w:rPr>
      </w:pPr>
      <w:bookmarkStart w:id="44" w:name="_Toc18967"/>
      <w:r>
        <w:rPr>
          <w:rFonts w:hint="eastAsia" w:ascii="宋体" w:hAnsi="宋体" w:eastAsia="宋体" w:cs="宋体"/>
          <w:color w:val="auto"/>
          <w:sz w:val="24"/>
          <w:szCs w:val="24"/>
          <w:highlight w:val="none"/>
        </w:rPr>
        <w:t>招标文件</w:t>
      </w:r>
      <w:bookmarkEnd w:id="44"/>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5" w:name="_Toc24829"/>
      <w:r>
        <w:rPr>
          <w:rFonts w:hint="eastAsia" w:ascii="宋体" w:hAnsi="宋体" w:eastAsia="宋体" w:cs="宋体"/>
          <w:b/>
          <w:color w:val="auto"/>
          <w:sz w:val="24"/>
          <w:szCs w:val="24"/>
          <w:highlight w:val="none"/>
        </w:rPr>
        <w:t>招标文件的组成</w:t>
      </w:r>
      <w:bookmarkEnd w:id="45"/>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w:t>
      </w:r>
      <w:r>
        <w:rPr>
          <w:rFonts w:hint="eastAsia" w:ascii="宋体" w:hAnsi="宋体" w:eastAsia="宋体" w:cs="宋体"/>
          <w:color w:val="auto"/>
          <w:sz w:val="24"/>
          <w:szCs w:val="24"/>
          <w:highlight w:val="none"/>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（1）招标公告；</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（4）合同条款；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（5）技术标准和要求；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（7）否决性条款汇总；</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2.1.2根据本章第2.2款和第2.3款对招标文件所作的澄清、修改，构成招标文件的组成部分。</w:t>
      </w:r>
      <w:bookmarkStart w:id="46" w:name="_Toc262229164"/>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2.1.3 </w:t>
      </w:r>
      <w:bookmarkEnd w:id="46"/>
      <w:r>
        <w:rPr>
          <w:rFonts w:hint="eastAsia" w:ascii="宋体" w:hAnsi="宋体" w:eastAsia="宋体" w:cs="宋体"/>
          <w:bCs/>
          <w:color w:val="auto"/>
          <w:sz w:val="24"/>
          <w:szCs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 投标人一旦中标，招标文件的内容对招标人和中标人双方均有约束力。</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2.1.5招标人应在招标文件中明确投标文件主要内容编制的格式要求。</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7" w:name="_Toc522"/>
      <w:r>
        <w:rPr>
          <w:rFonts w:hint="eastAsia" w:ascii="宋体" w:hAnsi="宋体" w:eastAsia="宋体" w:cs="宋体"/>
          <w:b/>
          <w:color w:val="auto"/>
          <w:sz w:val="24"/>
          <w:szCs w:val="24"/>
          <w:highlight w:val="none"/>
        </w:rPr>
        <w:t>招标答疑</w:t>
      </w:r>
      <w:bookmarkEnd w:id="47"/>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2.2.1投标人应仔细阅读和检查招标文件的全部内容。如发现缺页或附件不全，应及时向招标人提出，以便补齐。如有疑问，应在本章第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投标人网上答疑操作指南：按照广州公共资源交易平台关于全流程电子化项目的相关指南进行操作，详见：广州公共资源交易中心网站发布的最新版操作指引。 提问一律不得署名。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2.2.2招标文件的澄清在广州公共资源交易中心网站“项目答疑纪要”专区发布，但不指明澄清问题的来源。澄清发出的时间距本章第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2.2.3招标文件的澄清一经在广州公共资源交易中心网站发布，视作已发放给所有投标人，招标文件的澄清内容作为招标文件的组成部分，具有约束作用。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2.2.4若招标答疑纪要与招标文件有矛盾时，以广州公共资源交</w:t>
      </w:r>
      <w:r>
        <w:rPr>
          <w:rFonts w:hint="eastAsia" w:ascii="宋体" w:hAnsi="宋体" w:eastAsia="宋体" w:cs="宋体"/>
          <w:color w:val="auto"/>
          <w:kern w:val="2"/>
          <w:sz w:val="24"/>
          <w:szCs w:val="24"/>
          <w:highlight w:val="none"/>
        </w:rPr>
        <w:t>易平台</w:t>
      </w:r>
      <w:r>
        <w:rPr>
          <w:rFonts w:hint="eastAsia" w:ascii="宋体" w:hAnsi="宋体" w:eastAsia="宋体" w:cs="宋体"/>
          <w:color w:val="auto"/>
          <w:sz w:val="24"/>
          <w:szCs w:val="24"/>
          <w:highlight w:val="none"/>
        </w:rPr>
        <w:t>最后发布的答疑纪要为准。</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8" w:name="_Toc18651"/>
      <w:r>
        <w:rPr>
          <w:rFonts w:hint="eastAsia" w:ascii="宋体" w:hAnsi="宋体" w:eastAsia="宋体" w:cs="宋体"/>
          <w:b/>
          <w:color w:val="auto"/>
          <w:sz w:val="24"/>
          <w:szCs w:val="24"/>
          <w:highlight w:val="none"/>
        </w:rPr>
        <w:t>招标文件的澄清与修改</w:t>
      </w:r>
      <w:bookmarkEnd w:id="48"/>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w:t>
      </w:r>
      <w:r>
        <w:rPr>
          <w:rFonts w:hint="eastAsia" w:ascii="宋体" w:hAnsi="宋体" w:eastAsia="宋体" w:cs="宋体"/>
          <w:color w:val="auto"/>
          <w:sz w:val="24"/>
          <w:szCs w:val="24"/>
          <w:highlight w:val="none"/>
        </w:rPr>
        <w:t>招标文件的澄清或修改在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交易平台发布。招标文件的澄清或修改一经在在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交易平台发布，视作已发放给所有投标人。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2.3.2</w:t>
      </w:r>
      <w:r>
        <w:rPr>
          <w:rFonts w:hint="eastAsia" w:ascii="宋体" w:hAnsi="宋体" w:eastAsia="宋体" w:cs="宋体"/>
          <w:color w:val="auto"/>
          <w:sz w:val="24"/>
          <w:szCs w:val="24"/>
          <w:highlight w:val="none"/>
        </w:rPr>
        <w:t>招标文件的澄清、修改作为招标文件的组成部分，具有约束作用。</w:t>
      </w:r>
    </w:p>
    <w:p>
      <w:pPr>
        <w:pStyle w:val="39"/>
        <w:spacing w:before="50" w:after="50" w:line="360" w:lineRule="auto"/>
        <w:ind w:firstLine="486"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2.3.3招标文件的澄清、修改均以广州公共资源交易平台发布的内容为准。当招标文件的澄清、修改在同一内容的表述不一致时，以广州公共资源交易平台最后发布的内容为准。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3"/>
        <w:rPr>
          <w:rFonts w:hint="eastAsia" w:ascii="宋体" w:hAnsi="宋体" w:eastAsia="宋体" w:cs="宋体"/>
          <w:color w:val="auto"/>
          <w:sz w:val="24"/>
          <w:szCs w:val="24"/>
          <w:highlight w:val="none"/>
        </w:rPr>
      </w:pPr>
      <w:bookmarkStart w:id="49" w:name="_Toc9452"/>
      <w:r>
        <w:rPr>
          <w:rFonts w:hint="eastAsia" w:ascii="宋体" w:hAnsi="宋体" w:eastAsia="宋体" w:cs="宋体"/>
          <w:color w:val="auto"/>
          <w:sz w:val="24"/>
          <w:szCs w:val="24"/>
          <w:highlight w:val="none"/>
        </w:rPr>
        <w:t>投标文件</w:t>
      </w:r>
      <w:bookmarkEnd w:id="49"/>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0" w:name="_Toc13274"/>
      <w:r>
        <w:rPr>
          <w:rFonts w:hint="eastAsia" w:ascii="宋体" w:hAnsi="宋体" w:eastAsia="宋体" w:cs="宋体"/>
          <w:b/>
          <w:color w:val="auto"/>
          <w:sz w:val="24"/>
          <w:szCs w:val="24"/>
          <w:highlight w:val="none"/>
        </w:rPr>
        <w:t>投标文件的组成</w:t>
      </w:r>
      <w:bookmarkEnd w:id="50"/>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1" w:name="_Toc16288"/>
      <w:r>
        <w:rPr>
          <w:rFonts w:hint="eastAsia" w:ascii="宋体" w:hAnsi="宋体" w:eastAsia="宋体" w:cs="宋体"/>
          <w:b/>
          <w:color w:val="auto"/>
          <w:sz w:val="24"/>
          <w:szCs w:val="24"/>
          <w:highlight w:val="none"/>
        </w:rPr>
        <w:t>投标报价</w:t>
      </w:r>
      <w:bookmarkEnd w:id="51"/>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投标报价下浮率，投标报价总额为最高投标限价×（1-投标报价下浮率）。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3.2.4投标人的投标报价不得超过最高投标限价，最高投标限价见投标人须知前附表。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警示价见投标人须知前附表。在评标过程中，评标委员会发现投标人的报价明显低于其他投标报价或者低于警示价，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eastAsia="宋体" w:cs="宋体"/>
          <w:color w:val="auto"/>
          <w:sz w:val="24"/>
          <w:szCs w:val="24"/>
          <w:highlight w:val="none"/>
          <w:lang w:val="en-US" w:eastAsia="zh-CN"/>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2" w:name="_Toc19661"/>
      <w:r>
        <w:rPr>
          <w:rFonts w:hint="eastAsia" w:ascii="宋体" w:hAnsi="宋体" w:eastAsia="宋体" w:cs="宋体"/>
          <w:b/>
          <w:color w:val="auto"/>
          <w:sz w:val="24"/>
          <w:szCs w:val="24"/>
          <w:highlight w:val="none"/>
        </w:rPr>
        <w:t>投标有效期</w:t>
      </w:r>
      <w:bookmarkEnd w:id="52"/>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3.3.1除投标人须知前附表另外有规定外，投标有效期为</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3.3.2在投标有效期内，投标人撤销或修改其投标文件的，应承担招标文件和法律规定的责任。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3" w:name="_Toc17724"/>
      <w:r>
        <w:rPr>
          <w:rFonts w:hint="eastAsia" w:ascii="宋体" w:hAnsi="宋体" w:eastAsia="宋体" w:cs="宋体"/>
          <w:b/>
          <w:color w:val="auto"/>
          <w:sz w:val="24"/>
          <w:szCs w:val="24"/>
          <w:highlight w:val="none"/>
        </w:rPr>
        <w:t>投标保证金</w:t>
      </w:r>
      <w:bookmarkEnd w:id="53"/>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招标人可委托广州公共资源交易平台具体实施保证金的收取和退还工作。通过广州公共资源交易平台递交投标保证金的相关事宜，请自行咨询广州公共资源交易平台。广州公共资源交易平台代收投标保证金的，其缴纳情况以广州公共资源交易平台数据库记录的信息为准。（注：适用于广州公共资源交易平台代收投标保证金）</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3.4.2投标人应按照第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章“投标文件格式”规定的投标保证金格式（或银行规定的格式）提供投标保函，提交投标保函的彩色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，并作为其投标文件的组成部分。（注：适用于投标保证金采用投标保函的形式）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3.4.2投标人应将提交投标保证金的银行汇款或转账凭证的彩色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3.4.3开标时投标人未按本须知第3.4.1条规定提交投标保证金的，评标委员会将否决其投标。</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3.4.4中标候选人以外的投标人的投标保证金将尽快退还，最迟不超过中标通知书发出之日起五日内。</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3.4.5中标人和其他中标候选人的投标保证金，在书面合同订立之日起五日内予以退还。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3.4.6有下列情形之一的，投标保证金将不予退还：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3.4.6.1因投标人原因造成投标文件未解密的；</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3.4.6.2投标人在规定的投标有效期内撤回其投标文件；</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3.4.6.3中标人未能在规定期限内按要求提交履约担保；</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3.4.6.4中标人未能在规定期限内签署合同协议。</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4" w:name="_Toc10169"/>
      <w:r>
        <w:rPr>
          <w:rFonts w:hint="eastAsia" w:ascii="宋体" w:hAnsi="宋体" w:eastAsia="宋体" w:cs="宋体"/>
          <w:b/>
          <w:color w:val="auto"/>
          <w:sz w:val="24"/>
          <w:szCs w:val="24"/>
          <w:highlight w:val="none"/>
        </w:rPr>
        <w:t>资格审查资料</w:t>
      </w:r>
      <w:bookmarkEnd w:id="54"/>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3.5.1投标人声明；</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3.5.2法定代表人证明书、法定代表人签字或盖章的本投标文件授权委托证明书；</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3.5.3“投标人基本情况表”应附投标人企业营业执照、企业资质证书和建筑施工企业安全生产许可证等；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3.5.4项目负责人的建造师证（或小型项目负责人相关证明）和安全培训考核合格证明或在有效期内的安全考核合格证书（B类）；</w:t>
      </w:r>
    </w:p>
    <w:p>
      <w:pPr>
        <w:pStyle w:val="39"/>
        <w:spacing w:after="0" w:line="360" w:lineRule="auto"/>
        <w:ind w:firstLine="486" w:firstLineChars="200"/>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3.5.5专职安全员须具有在有效期内的安全考核合格证书（C类）；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授权的委托代理人及项目部主要组成人员（项目负责人、技术负责人（如有）、专职安全员）在本单位交纳的社保证明文件（以加盖社会保险基金管理中心印章的《投保单》或《社会保险参保人员证明》资料为准）。</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kern w:val="2"/>
          <w:sz w:val="24"/>
          <w:szCs w:val="24"/>
          <w:highlight w:val="none"/>
          <w:lang w:val="en-US" w:eastAsia="zh-CN" w:bidi="ar"/>
        </w:rPr>
        <w:t>资审要求的其他材料</w:t>
      </w:r>
      <w:r>
        <w:rPr>
          <w:rFonts w:hint="eastAsia" w:ascii="宋体" w:hAnsi="宋体" w:eastAsia="宋体" w:cs="宋体"/>
          <w:color w:val="auto"/>
          <w:sz w:val="24"/>
          <w:szCs w:val="24"/>
          <w:highlight w:val="none"/>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5" w:name="_Toc22994"/>
      <w:r>
        <w:rPr>
          <w:rFonts w:hint="eastAsia" w:ascii="宋体" w:hAnsi="宋体" w:eastAsia="宋体" w:cs="宋体"/>
          <w:b/>
          <w:color w:val="auto"/>
          <w:sz w:val="24"/>
          <w:szCs w:val="24"/>
          <w:highlight w:val="none"/>
        </w:rPr>
        <w:t>投标文件的编制</w:t>
      </w:r>
      <w:bookmarkEnd w:id="55"/>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3.6.1投标文件应当对招标文件有关招标范围、投标有效期、工期、质量</w:t>
      </w:r>
      <w:r>
        <w:rPr>
          <w:rFonts w:hint="eastAsia" w:ascii="宋体" w:hAnsi="宋体" w:eastAsia="宋体" w:cs="宋体"/>
          <w:bCs/>
          <w:color w:val="auto"/>
          <w:kern w:val="0"/>
          <w:sz w:val="24"/>
          <w:szCs w:val="24"/>
          <w:highlight w:val="none"/>
        </w:rPr>
        <w:t>要求、发包人要求等实质性内容作出响应。</w:t>
      </w:r>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3.6.2投标文件包括本须知3.1中规定的内容，投标人提交的投标文件应当使用招标文件所提供的投标文件全部格式（表格可以按同样格式扩展）。</w:t>
      </w:r>
    </w:p>
    <w:p>
      <w:pPr>
        <w:pStyle w:val="39"/>
        <w:spacing w:after="0"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3.6.4</w:t>
      </w:r>
      <w:r>
        <w:rPr>
          <w:rFonts w:hint="eastAsia" w:ascii="宋体" w:hAnsi="宋体" w:eastAsia="宋体" w:cs="宋体"/>
          <w:bCs/>
          <w:color w:val="auto"/>
          <w:sz w:val="24"/>
          <w:szCs w:val="24"/>
          <w:highlight w:val="none"/>
        </w:rPr>
        <w:t>投标文件全部采用电子文档，投标文件所附证书证件均为纸质原件的</w:t>
      </w:r>
      <w:r>
        <w:rPr>
          <w:rFonts w:hint="eastAsia" w:ascii="宋体" w:hAnsi="宋体" w:eastAsia="宋体" w:cs="宋体"/>
          <w:bCs/>
          <w:color w:val="auto"/>
          <w:sz w:val="24"/>
          <w:szCs w:val="24"/>
          <w:highlight w:val="none"/>
          <w:lang w:eastAsia="zh-CN"/>
        </w:rPr>
        <w:t>复印件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并采用单位数字证书，按招标文件要求在相应位置加盖电子印章。签字或盖章的具体要求见投标人须知前附表。</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3.6.5</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照广州公共资源交易平台关于全流程电子化项目的相关指南进行编制。</w:t>
      </w:r>
      <w:r>
        <w:rPr>
          <w:rFonts w:hint="eastAsia" w:ascii="宋体" w:hAnsi="宋体" w:eastAsia="宋体" w:cs="宋体"/>
          <w:bCs/>
          <w:color w:val="auto"/>
          <w:sz w:val="24"/>
          <w:szCs w:val="24"/>
          <w:highlight w:val="none"/>
        </w:rPr>
        <w:t>如因不按上述编排要求编制而所引起系统无法检索、读取相关信息时，其后果将由投标人自行承担。</w:t>
      </w:r>
    </w:p>
    <w:p>
      <w:pPr>
        <w:pStyle w:val="3"/>
        <w:rPr>
          <w:rFonts w:hint="eastAsia" w:ascii="宋体" w:hAnsi="宋体" w:eastAsia="宋体" w:cs="宋体"/>
          <w:color w:val="auto"/>
          <w:sz w:val="24"/>
          <w:szCs w:val="24"/>
          <w:highlight w:val="none"/>
        </w:rPr>
      </w:pPr>
      <w:bookmarkStart w:id="56" w:name="_Toc17471890"/>
      <w:bookmarkEnd w:id="56"/>
      <w:bookmarkStart w:id="57" w:name="_Toc17471889"/>
      <w:bookmarkEnd w:id="57"/>
      <w:bookmarkStart w:id="58" w:name="_Toc16390"/>
      <w:r>
        <w:rPr>
          <w:rFonts w:hint="eastAsia" w:ascii="宋体" w:hAnsi="宋体" w:eastAsia="宋体" w:cs="宋体"/>
          <w:color w:val="auto"/>
          <w:sz w:val="24"/>
          <w:szCs w:val="24"/>
          <w:highlight w:val="none"/>
        </w:rPr>
        <w:t>投标</w:t>
      </w:r>
      <w:bookmarkEnd w:id="58"/>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59" w:name="_Toc15456"/>
      <w:r>
        <w:rPr>
          <w:rFonts w:hint="eastAsia" w:ascii="宋体" w:hAnsi="宋体" w:eastAsia="宋体" w:cs="宋体"/>
          <w:b/>
          <w:color w:val="auto"/>
          <w:sz w:val="24"/>
          <w:szCs w:val="24"/>
          <w:highlight w:val="none"/>
        </w:rPr>
        <w:t>投标文件的加密</w:t>
      </w:r>
      <w:bookmarkEnd w:id="59"/>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4.1.1递交的电子投标文件必须进行加密。按照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交易平台关于全流程电子化项目的相关指南进行操作。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0" w:name="_Toc3362"/>
      <w:r>
        <w:rPr>
          <w:rFonts w:hint="eastAsia" w:ascii="宋体" w:hAnsi="宋体" w:eastAsia="宋体" w:cs="宋体"/>
          <w:b/>
          <w:color w:val="auto"/>
          <w:sz w:val="24"/>
          <w:szCs w:val="24"/>
          <w:highlight w:val="none"/>
        </w:rPr>
        <w:t>投标文件的递交和接收</w:t>
      </w:r>
      <w:bookmarkEnd w:id="60"/>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4.2.2投标人完成电子投标文件上传后，</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交易平台即时向投标人发出递交回执通知。递交时间以递交回执通知载明的传输完成时间为</w:t>
      </w:r>
      <w:bookmarkStart w:id="61" w:name="_Toc101777615"/>
      <w:bookmarkStart w:id="62" w:name="_Toc262229166"/>
      <w:r>
        <w:rPr>
          <w:rFonts w:hint="eastAsia" w:ascii="宋体" w:hAnsi="宋体" w:eastAsia="宋体" w:cs="宋体"/>
          <w:color w:val="auto"/>
          <w:sz w:val="24"/>
          <w:szCs w:val="24"/>
          <w:highlight w:val="none"/>
        </w:rPr>
        <w:t>准。</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4.2.3逾期</w:t>
      </w:r>
      <w:bookmarkEnd w:id="61"/>
      <w:bookmarkEnd w:id="62"/>
      <w:r>
        <w:rPr>
          <w:rFonts w:hint="eastAsia" w:ascii="宋体" w:hAnsi="宋体" w:eastAsia="宋体" w:cs="宋体"/>
          <w:color w:val="auto"/>
          <w:sz w:val="24"/>
          <w:szCs w:val="24"/>
          <w:highlight w:val="none"/>
        </w:rPr>
        <w:t>送达的电子投标文件，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投标截止前，招标人拒绝接收符合条件的投标文件，投标人可向招标监督机构投诉。</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3" w:name="_Toc4441"/>
      <w:r>
        <w:rPr>
          <w:rFonts w:hint="eastAsia" w:ascii="宋体" w:hAnsi="宋体" w:eastAsia="宋体" w:cs="宋体"/>
          <w:b/>
          <w:color w:val="auto"/>
          <w:sz w:val="24"/>
          <w:szCs w:val="24"/>
          <w:highlight w:val="none"/>
        </w:rPr>
        <w:t>投标文件递交的截止时间</w:t>
      </w:r>
      <w:bookmarkEnd w:id="63"/>
    </w:p>
    <w:p>
      <w:pPr>
        <w:spacing w:line="360" w:lineRule="auto"/>
        <w:ind w:firstLine="486"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4.3.1投标人应在《投标须知前附表》述的投标截止时间前提交投标文件。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4.3.2招标人可按本须知第2.3条规定以招标文件修改的方式，酌情延长递交投标文件的截止时间。在此情况下，投标的所有权利和义务以及投标人受制约的截止时间，均以延长后新的投标截止时间为准。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到投标截止时间止，招标人收到的投标文件少于3家的，招标人将重新组织招标（当N个标段同时招标且不允许兼中时，若有效投标人不足N+2家，则重新组织招标）。</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4" w:name="_Toc2417"/>
      <w:r>
        <w:rPr>
          <w:rFonts w:hint="eastAsia" w:ascii="宋体" w:hAnsi="宋体" w:eastAsia="宋体" w:cs="宋体"/>
          <w:b/>
          <w:color w:val="auto"/>
          <w:sz w:val="24"/>
          <w:szCs w:val="24"/>
          <w:highlight w:val="none"/>
        </w:rPr>
        <w:t>迟交的投标文件</w:t>
      </w:r>
      <w:bookmarkEnd w:id="64"/>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本须知前附表第4.3.1项规定的投标截止时间后送达的电子投标文件，广州公共资源交易平台将予以拒收。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5" w:name="_Toc6759"/>
      <w:r>
        <w:rPr>
          <w:rFonts w:hint="eastAsia" w:ascii="宋体" w:hAnsi="宋体" w:eastAsia="宋体" w:cs="宋体"/>
          <w:b/>
          <w:color w:val="auto"/>
          <w:sz w:val="24"/>
          <w:szCs w:val="24"/>
          <w:highlight w:val="none"/>
        </w:rPr>
        <w:t>投标文件的补充、修改与撤回</w:t>
      </w:r>
      <w:bookmarkEnd w:id="65"/>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 投标人在递交投标文件以后，在规定的投标截止时间之前，可以修改或撤回已递交的投标文件。投标截止时间前未完成投标文件传输的，视为投标人撤回投标文件。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 在投标截止时间之后，投标人不得补充、修改和更换投标文件。</w:t>
      </w:r>
    </w:p>
    <w:p>
      <w:pPr>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4.5.4在投标文件递交截止时间后，至投标文件格式中规定的有效期终止日前，投标人不能撤回投标文件，否则其投标担保将被没收，且招标人有权就其撤回行为报告行政主管部门载入不良信用记录。</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6" w:name="_Toc9591"/>
      <w:r>
        <w:rPr>
          <w:rFonts w:hint="eastAsia" w:ascii="宋体" w:hAnsi="宋体" w:eastAsia="宋体" w:cs="宋体"/>
          <w:b/>
          <w:color w:val="auto"/>
          <w:sz w:val="24"/>
          <w:szCs w:val="24"/>
          <w:highlight w:val="none"/>
        </w:rPr>
        <w:t>投标文件解密</w:t>
      </w:r>
      <w:bookmarkEnd w:id="66"/>
    </w:p>
    <w:p>
      <w:pPr>
        <w:tabs>
          <w:tab w:val="left" w:pos="105"/>
        </w:tabs>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4.6.1投标人必须在《投标须知前附表》规定的时间内对投标文件进行解密。因投标人原因造成投标文件未解密或未在规定的时间内解密的，视为撤销其投标文件。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4.6.2电子投标文件解密</w:t>
      </w:r>
      <w:r>
        <w:rPr>
          <w:rFonts w:hint="eastAsia" w:ascii="宋体" w:hAnsi="宋体" w:eastAsia="宋体" w:cs="宋体"/>
          <w:color w:val="auto"/>
          <w:kern w:val="0"/>
          <w:sz w:val="24"/>
          <w:szCs w:val="24"/>
          <w:highlight w:val="none"/>
        </w:rPr>
        <w:t>应按照</w:t>
      </w:r>
      <w:r>
        <w:rPr>
          <w:rFonts w:hint="eastAsia" w:ascii="宋体" w:hAnsi="宋体" w:eastAsia="宋体" w:cs="宋体"/>
          <w:color w:val="auto"/>
          <w:sz w:val="24"/>
          <w:szCs w:val="24"/>
          <w:highlight w:val="none"/>
        </w:rPr>
        <w:t>广州公共资源</w:t>
      </w:r>
      <w:r>
        <w:rPr>
          <w:rFonts w:hint="eastAsia" w:ascii="宋体" w:hAnsi="宋体" w:eastAsia="宋体" w:cs="宋体"/>
          <w:color w:val="auto"/>
          <w:kern w:val="0"/>
          <w:sz w:val="24"/>
          <w:szCs w:val="24"/>
          <w:highlight w:val="none"/>
        </w:rPr>
        <w:t>交易平台关于全流程电子化项目的相关指南进行操作。</w:t>
      </w:r>
    </w:p>
    <w:p>
      <w:pPr>
        <w:pStyle w:val="3"/>
        <w:rPr>
          <w:rFonts w:hint="eastAsia" w:ascii="宋体" w:hAnsi="宋体" w:eastAsia="宋体" w:cs="宋体"/>
          <w:color w:val="auto"/>
          <w:sz w:val="24"/>
          <w:szCs w:val="24"/>
          <w:highlight w:val="none"/>
        </w:rPr>
      </w:pPr>
      <w:bookmarkStart w:id="67" w:name="_Toc3419"/>
      <w:r>
        <w:rPr>
          <w:rFonts w:hint="eastAsia" w:ascii="宋体" w:hAnsi="宋体" w:eastAsia="宋体" w:cs="宋体"/>
          <w:color w:val="auto"/>
          <w:sz w:val="24"/>
          <w:szCs w:val="24"/>
          <w:highlight w:val="none"/>
        </w:rPr>
        <w:t>开标</w:t>
      </w:r>
      <w:bookmarkEnd w:id="67"/>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8" w:name="_Toc12709"/>
      <w:r>
        <w:rPr>
          <w:rFonts w:hint="eastAsia" w:ascii="宋体" w:hAnsi="宋体" w:eastAsia="宋体" w:cs="宋体"/>
          <w:b/>
          <w:color w:val="auto"/>
          <w:sz w:val="24"/>
          <w:szCs w:val="24"/>
          <w:highlight w:val="none"/>
        </w:rPr>
        <w:t>开标时间和地点</w:t>
      </w:r>
      <w:bookmarkEnd w:id="6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5.1.2招标人在招标文件要求提交投标文件的截止时间前收到的投标文件，开标时都当众予以解密、公布。</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9" w:name="_Toc2907"/>
      <w:r>
        <w:rPr>
          <w:rFonts w:hint="eastAsia" w:ascii="宋体" w:hAnsi="宋体" w:eastAsia="宋体" w:cs="宋体"/>
          <w:b/>
          <w:color w:val="auto"/>
          <w:sz w:val="24"/>
          <w:szCs w:val="24"/>
          <w:highlight w:val="none"/>
        </w:rPr>
        <w:t>开标程序</w:t>
      </w:r>
      <w:bookmarkEnd w:id="6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5.2.1投标人按照《投标人须知前附表》的要求，对电子投标文件进行解密。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5.2.2宣布开标纪律；</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5.2.3招标人或招标代理通过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交易平台对所有投标人电子投标文件进行招标人解密；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5.2.4公布招标项目名称、投标人名称、投标文件解密情况、投标保证金的递交情况、投标报价、质量要求、工期、项目负责人、专职安全员及其他内容，并记录在案；</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5.2.5公开摇取评标基准价下浮率。下浮率从2%、2.5%、3%、3.5%、4%、4.5%、5%中通过摇珠机随机抽取。（适用于采用综合评估法一、综合评估法二） </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5.2.6投标人代表、招标人代表、监标人、记录人等有关人员在开标记录上签字确认；若有关人员不签字的，不影响开标程序。</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5.2.7开标结束。</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0" w:name="_Toc23338"/>
      <w:r>
        <w:rPr>
          <w:rFonts w:hint="eastAsia" w:ascii="宋体" w:hAnsi="宋体" w:eastAsia="宋体" w:cs="宋体"/>
          <w:b/>
          <w:color w:val="auto"/>
          <w:sz w:val="24"/>
          <w:szCs w:val="24"/>
          <w:highlight w:val="none"/>
        </w:rPr>
        <w:t>开标异议</w:t>
      </w:r>
      <w:bookmarkEnd w:id="7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5.3.1投标人代表对开标有异议的，应当在开标现场提出，招标人当场作出答复，并制作记录。该投标人代表须同时出示本人身份证原件。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招标人应当按照同一异议提起人一份记录的方式，对异议事项的处理应逐条进行书面记录，其中异议事项由异议提起人签名确认，作出的答复由招标人签名确认。书面记录含义应清晰而明确，包括但不限于纠正的措施、解释说明的内容、相关依据等。</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1" w:name="_Toc726"/>
      <w:r>
        <w:rPr>
          <w:rFonts w:hint="eastAsia" w:ascii="宋体" w:hAnsi="宋体" w:eastAsia="宋体" w:cs="宋体"/>
          <w:b/>
          <w:color w:val="auto"/>
          <w:sz w:val="24"/>
          <w:szCs w:val="24"/>
          <w:highlight w:val="none"/>
        </w:rPr>
        <w:t>开标时重新招标情形</w:t>
      </w:r>
      <w:bookmarkEnd w:id="71"/>
    </w:p>
    <w:p>
      <w:pPr>
        <w:spacing w:line="360" w:lineRule="auto"/>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5.4.1开标时，出现下列情形之一的，投标文件由招标人作否决投标处理，不参与评标：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（1）未成功递交投标文件的；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（1）因投标人原因造成投标文件未解密的；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（3）未按规定时间对投标文件进行解密的；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（4）未按招标文件要求提供投标保证金的；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（5）两个（含两个）以上的投标人加密打包投标文件电脑机器码一致的；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（6）项目负责人和安全员为同一人的；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（7）投标文件中的投标人企业名称、项目负责人、专职安全员与投标登记时的信息不一致的。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5.4.2若递交投标文件的投标人不足3家，则重新组织招标。（当N个标段同时招标且不允许兼中时，若有效投标人不足N+2家，则重新组织招标）</w:t>
      </w:r>
    </w:p>
    <w:p>
      <w:pPr>
        <w:pStyle w:val="3"/>
        <w:rPr>
          <w:rFonts w:hint="eastAsia" w:ascii="宋体" w:hAnsi="宋体" w:eastAsia="宋体" w:cs="宋体"/>
          <w:color w:val="auto"/>
          <w:sz w:val="24"/>
          <w:szCs w:val="24"/>
          <w:highlight w:val="none"/>
        </w:rPr>
      </w:pPr>
      <w:bookmarkStart w:id="72" w:name="_Toc17471903"/>
      <w:bookmarkEnd w:id="72"/>
      <w:bookmarkStart w:id="73" w:name="_Toc17471904"/>
      <w:bookmarkEnd w:id="73"/>
      <w:bookmarkStart w:id="74" w:name="_Toc31929"/>
      <w:r>
        <w:rPr>
          <w:rFonts w:hint="eastAsia" w:ascii="宋体" w:hAnsi="宋体" w:eastAsia="宋体" w:cs="宋体"/>
          <w:color w:val="auto"/>
          <w:sz w:val="24"/>
          <w:szCs w:val="24"/>
          <w:highlight w:val="none"/>
        </w:rPr>
        <w:t>评标</w:t>
      </w:r>
      <w:bookmarkEnd w:id="74"/>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5" w:name="_Toc22982"/>
      <w:r>
        <w:rPr>
          <w:rFonts w:hint="eastAsia" w:ascii="宋体" w:hAnsi="宋体" w:eastAsia="宋体" w:cs="宋体"/>
          <w:b/>
          <w:color w:val="auto"/>
          <w:sz w:val="24"/>
          <w:szCs w:val="24"/>
          <w:highlight w:val="none"/>
        </w:rPr>
        <w:t>评标委员会</w:t>
      </w:r>
      <w:bookmarkEnd w:id="75"/>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6.1.1评标由招标人依法组建的评标委员会负责。评标委员会成员人数以及技术、经济等方面专家的确定方式见《投标人须知前附表》。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（1）招标人或投标人的主要负责人的近亲属；</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6" w:name="_Toc18988"/>
      <w:r>
        <w:rPr>
          <w:rFonts w:hint="eastAsia" w:ascii="宋体" w:hAnsi="宋体" w:eastAsia="宋体" w:cs="宋体"/>
          <w:b/>
          <w:color w:val="auto"/>
          <w:sz w:val="24"/>
          <w:szCs w:val="24"/>
          <w:highlight w:val="none"/>
        </w:rPr>
        <w:t>评标原则</w:t>
      </w:r>
      <w:bookmarkEnd w:id="76"/>
      <w:r>
        <w:rPr>
          <w:rFonts w:hint="eastAsia" w:ascii="宋体" w:hAnsi="宋体" w:eastAsia="宋体" w:cs="宋体"/>
          <w:b/>
          <w:color w:val="auto"/>
          <w:sz w:val="24"/>
          <w:szCs w:val="24"/>
          <w:highlight w:val="none"/>
        </w:rPr>
        <w:tab/>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7" w:name="_Toc27458"/>
      <w:r>
        <w:rPr>
          <w:rFonts w:hint="eastAsia" w:ascii="宋体" w:hAnsi="宋体" w:eastAsia="宋体" w:cs="宋体"/>
          <w:b/>
          <w:color w:val="auto"/>
          <w:sz w:val="24"/>
          <w:szCs w:val="24"/>
          <w:highlight w:val="none"/>
        </w:rPr>
        <w:t>评审</w:t>
      </w:r>
      <w:bookmarkEnd w:id="7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评标委员会按照第三章“评标办法”规定的方法、评审因素、标准和程序对投标文件进行评审。第三章“评标办法”没有规定的方法、评审因素和标准，不作为评标依据。</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8" w:name="_Toc22106"/>
      <w:r>
        <w:rPr>
          <w:rFonts w:hint="eastAsia" w:ascii="宋体" w:hAnsi="宋体" w:eastAsia="宋体" w:cs="宋体"/>
          <w:b/>
          <w:color w:val="auto"/>
          <w:sz w:val="24"/>
          <w:szCs w:val="24"/>
          <w:highlight w:val="none"/>
        </w:rPr>
        <w:t>评标过程的保密</w:t>
      </w:r>
      <w:bookmarkEnd w:id="7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 开标后，直至中标公示为止，凡属于对投标文件的审查、澄清、评价和比较有关的资料以及中标候选人的推荐情况，与评标有关的其他任何情况均严格保密。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 在投标文件的评审和比较、中标候选人推荐以及授予合同的过程中，投标人向招标人和评标委员会施加不公正影响的任何行为，都将会导致其投标被拒绝。</w:t>
      </w:r>
    </w:p>
    <w:p>
      <w:pPr>
        <w:pStyle w:val="3"/>
        <w:rPr>
          <w:rFonts w:hint="eastAsia" w:ascii="宋体" w:hAnsi="宋体" w:eastAsia="宋体" w:cs="宋体"/>
          <w:color w:val="auto"/>
          <w:sz w:val="24"/>
          <w:szCs w:val="24"/>
          <w:highlight w:val="none"/>
        </w:rPr>
      </w:pPr>
      <w:bookmarkStart w:id="79" w:name="_Toc31349"/>
      <w:r>
        <w:rPr>
          <w:rFonts w:hint="eastAsia" w:ascii="宋体" w:hAnsi="宋体" w:eastAsia="宋体" w:cs="宋体"/>
          <w:color w:val="auto"/>
          <w:sz w:val="24"/>
          <w:szCs w:val="24"/>
          <w:highlight w:val="none"/>
        </w:rPr>
        <w:t>合同授予</w:t>
      </w:r>
      <w:bookmarkEnd w:id="79"/>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0" w:name="_Toc11433"/>
      <w:r>
        <w:rPr>
          <w:rFonts w:hint="eastAsia" w:ascii="宋体" w:hAnsi="宋体" w:eastAsia="宋体" w:cs="宋体"/>
          <w:b/>
          <w:color w:val="auto"/>
          <w:sz w:val="24"/>
          <w:szCs w:val="24"/>
          <w:highlight w:val="none"/>
        </w:rPr>
        <w:t>中标候选人公示</w:t>
      </w:r>
      <w:bookmarkEnd w:id="8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7.1.1招标人在《投标人须知前附表》规定的媒介公示中标候选人，公示期为三天，最后一天应为工作日。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7.1.2在产生中标候选人后，招标人将中标候选人的投标文件商务部分文件的所有内容（包括人员、业绩、奖项等资料）在广州公共资源交易网和广东省招标投标监管网公开。</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1" w:name="_Toc3698"/>
      <w:r>
        <w:rPr>
          <w:rFonts w:hint="eastAsia" w:ascii="宋体" w:hAnsi="宋体" w:eastAsia="宋体" w:cs="宋体"/>
          <w:b/>
          <w:color w:val="auto"/>
          <w:sz w:val="24"/>
          <w:szCs w:val="24"/>
          <w:highlight w:val="none"/>
        </w:rPr>
        <w:t>定标方式</w:t>
      </w:r>
      <w:bookmarkEnd w:id="8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7.2.1除投标人须知前附表规定评标委员会直接确定中标人外，招标人依据评标委员会推荐的中标候选人确定中标人，评标委员会推荐中标候选人的人数见投标人须知前附表。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依法必须进行公开招标的项目，招标人应当确定排名第一的中标候选人为中标人。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2" w:name="_Toc17436"/>
      <w:r>
        <w:rPr>
          <w:rFonts w:hint="eastAsia" w:ascii="宋体" w:hAnsi="宋体" w:eastAsia="宋体" w:cs="宋体"/>
          <w:b/>
          <w:color w:val="auto"/>
          <w:sz w:val="24"/>
          <w:szCs w:val="24"/>
          <w:highlight w:val="none"/>
        </w:rPr>
        <w:t>中标通知</w:t>
      </w:r>
      <w:bookmarkEnd w:id="8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在中标人确定之日起七日内且在《投标须知前附表》规定的投标有效期内，招标人以书面形式向中标人发出中标通知书，在广州公共资源交易网发布中标信息，视同将中标结果通知未中标的投标人。</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3" w:name="_Toc1404"/>
      <w:r>
        <w:rPr>
          <w:rFonts w:hint="eastAsia" w:ascii="宋体" w:hAnsi="宋体" w:eastAsia="宋体" w:cs="宋体"/>
          <w:b/>
          <w:color w:val="auto"/>
          <w:sz w:val="24"/>
          <w:szCs w:val="24"/>
          <w:highlight w:val="none"/>
        </w:rPr>
        <w:t>履约担保</w:t>
      </w:r>
      <w:bookmarkEnd w:id="83"/>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7.4.1在签订合同前，中标人应按《投标人须知前附表》规定的担保形式和招标文件“第四章合同条款”规定的或者事先经过招标人书面认可的履约担保格式向招标人提交履约担保。</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中标人不能按本章第7.4.1项要求提交履约担保的，视为放弃中标，其投标保证金不予退还，给招标人造成的损失超过投标保证金数额的，中标人还应当对超过部分予以赔偿。</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4" w:name="_Toc32754"/>
      <w:r>
        <w:rPr>
          <w:rFonts w:hint="eastAsia" w:ascii="宋体" w:hAnsi="宋体" w:eastAsia="宋体" w:cs="宋体"/>
          <w:b/>
          <w:color w:val="auto"/>
          <w:sz w:val="24"/>
          <w:szCs w:val="24"/>
          <w:highlight w:val="none"/>
        </w:rPr>
        <w:t>签订合同</w:t>
      </w:r>
      <w:bookmarkEnd w:id="84"/>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发出中标通知书后，招标人无正当理由拒签合同的，招标人向中标人退还投标保证金；给中标人造成损失的，还应当赔偿损失。</w:t>
      </w:r>
      <w:bookmarkStart w:id="85" w:name="_Toc17362594"/>
      <w:bookmarkEnd w:id="85"/>
    </w:p>
    <w:p>
      <w:pPr>
        <w:pStyle w:val="3"/>
        <w:rPr>
          <w:rFonts w:hint="eastAsia" w:ascii="宋体" w:hAnsi="宋体" w:eastAsia="宋体" w:cs="宋体"/>
          <w:color w:val="auto"/>
          <w:sz w:val="24"/>
          <w:szCs w:val="24"/>
          <w:highlight w:val="none"/>
        </w:rPr>
      </w:pPr>
      <w:bookmarkStart w:id="86" w:name="_Toc25532"/>
      <w:r>
        <w:rPr>
          <w:rFonts w:hint="eastAsia" w:ascii="宋体" w:hAnsi="宋体" w:eastAsia="宋体" w:cs="宋体"/>
          <w:color w:val="auto"/>
          <w:sz w:val="24"/>
          <w:szCs w:val="24"/>
          <w:highlight w:val="none"/>
        </w:rPr>
        <w:t>纪律和监督</w:t>
      </w:r>
      <w:bookmarkEnd w:id="86"/>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7" w:name="_Toc21006"/>
      <w:r>
        <w:rPr>
          <w:rFonts w:hint="eastAsia" w:ascii="宋体" w:hAnsi="宋体" w:eastAsia="宋体" w:cs="宋体"/>
          <w:b/>
          <w:color w:val="auto"/>
          <w:sz w:val="24"/>
          <w:szCs w:val="24"/>
          <w:highlight w:val="none"/>
        </w:rPr>
        <w:t>对招标人的纪律要求</w:t>
      </w:r>
      <w:bookmarkEnd w:id="8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招标人不得泄漏招标投标活动中应当保密的情况和资料，不得与投标人串通损害国家利益、社会公共利益或者他人合法权益。</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8" w:name="_Toc16507"/>
      <w:r>
        <w:rPr>
          <w:rFonts w:hint="eastAsia" w:ascii="宋体" w:hAnsi="宋体" w:eastAsia="宋体" w:cs="宋体"/>
          <w:b/>
          <w:color w:val="auto"/>
          <w:sz w:val="24"/>
          <w:szCs w:val="24"/>
          <w:highlight w:val="none"/>
        </w:rPr>
        <w:t>对投标人的纪律要求</w:t>
      </w:r>
      <w:bookmarkEnd w:id="8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9" w:name="_Toc30139"/>
      <w:r>
        <w:rPr>
          <w:rFonts w:hint="eastAsia" w:ascii="宋体" w:hAnsi="宋体" w:eastAsia="宋体" w:cs="宋体"/>
          <w:b/>
          <w:color w:val="auto"/>
          <w:sz w:val="24"/>
          <w:szCs w:val="24"/>
          <w:highlight w:val="none"/>
        </w:rPr>
        <w:t>对评标委员会成员的纪律要求</w:t>
      </w:r>
      <w:bookmarkEnd w:id="8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0" w:name="_Toc3673"/>
      <w:r>
        <w:rPr>
          <w:rFonts w:hint="eastAsia" w:ascii="宋体" w:hAnsi="宋体" w:eastAsia="宋体" w:cs="宋体"/>
          <w:b/>
          <w:color w:val="auto"/>
          <w:sz w:val="24"/>
          <w:szCs w:val="24"/>
          <w:highlight w:val="none"/>
        </w:rPr>
        <w:t>对与评标活动有关的工作人员的纪律要求</w:t>
      </w:r>
      <w:bookmarkEnd w:id="9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1" w:name="_Toc11665"/>
      <w:r>
        <w:rPr>
          <w:rFonts w:hint="eastAsia" w:ascii="宋体" w:hAnsi="宋体" w:eastAsia="宋体" w:cs="宋体"/>
          <w:b/>
          <w:color w:val="auto"/>
          <w:sz w:val="24"/>
          <w:szCs w:val="24"/>
          <w:highlight w:val="none"/>
        </w:rPr>
        <w:t>投诉处理</w:t>
      </w:r>
      <w:bookmarkEnd w:id="9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pStyle w:val="3"/>
        <w:rPr>
          <w:rFonts w:hint="eastAsia" w:ascii="宋体" w:hAnsi="宋体" w:eastAsia="宋体" w:cs="宋体"/>
          <w:color w:val="auto"/>
          <w:sz w:val="24"/>
          <w:szCs w:val="24"/>
          <w:highlight w:val="none"/>
        </w:rPr>
      </w:pPr>
      <w:bookmarkStart w:id="92" w:name="_Toc7711"/>
      <w:r>
        <w:rPr>
          <w:rFonts w:hint="eastAsia" w:ascii="宋体" w:hAnsi="宋体" w:eastAsia="宋体" w:cs="宋体"/>
          <w:color w:val="auto"/>
          <w:sz w:val="24"/>
          <w:szCs w:val="24"/>
          <w:highlight w:val="none"/>
        </w:rPr>
        <w:t>需要补充的其他内容</w:t>
      </w:r>
      <w:bookmarkEnd w:id="9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pPr>
        <w:spacing w:line="360" w:lineRule="auto"/>
        <w:jc w:val="left"/>
        <w:rPr>
          <w:rFonts w:hint="eastAsia" w:ascii="宋体" w:hAnsi="宋体" w:eastAsia="宋体" w:cs="宋体"/>
          <w:color w:val="auto"/>
          <w:sz w:val="24"/>
          <w:szCs w:val="24"/>
          <w:highlight w:val="none"/>
        </w:rPr>
        <w:sectPr>
          <w:footerReference r:id="rId5" w:type="default"/>
          <w:pgSz w:w="11906" w:h="16838"/>
          <w:pgMar w:top="1440" w:right="1417" w:bottom="1440" w:left="1417" w:header="851" w:footer="992" w:gutter="0"/>
          <w:pgNumType w:fmt="decimal"/>
          <w:cols w:space="720" w:num="1"/>
          <w:docGrid w:type="linesAndChars" w:linePitch="312" w:charSpace="640"/>
        </w:sectPr>
      </w:pPr>
    </w:p>
    <w:p>
      <w:pPr>
        <w:spacing w:line="360" w:lineRule="auto"/>
        <w:jc w:val="left"/>
        <w:outlineLvl w:val="2"/>
        <w:rPr>
          <w:rFonts w:hint="eastAsia" w:ascii="宋体" w:hAnsi="宋体" w:eastAsia="宋体" w:cs="宋体"/>
          <w:color w:val="auto"/>
          <w:sz w:val="24"/>
          <w:szCs w:val="24"/>
          <w:highlight w:val="none"/>
        </w:rPr>
      </w:pPr>
      <w:bookmarkStart w:id="93" w:name="_Toc1414"/>
      <w:r>
        <w:rPr>
          <w:rFonts w:hint="eastAsia" w:ascii="宋体" w:hAnsi="宋体" w:eastAsia="宋体" w:cs="宋体"/>
          <w:color w:val="auto"/>
          <w:sz w:val="24"/>
          <w:szCs w:val="24"/>
          <w:highlight w:val="none"/>
        </w:rPr>
        <w:t>附件1：开标记录表</w:t>
      </w:r>
      <w:bookmarkEnd w:id="93"/>
    </w:p>
    <w:p>
      <w:pPr>
        <w:spacing w:line="400" w:lineRule="exact"/>
        <w:jc w:val="center"/>
        <w:outlineLvl w:val="0"/>
        <w:rPr>
          <w:rFonts w:hint="eastAsia" w:ascii="宋体" w:hAnsi="宋体" w:eastAsia="宋体" w:cs="宋体"/>
          <w:b/>
          <w:color w:val="auto"/>
          <w:sz w:val="24"/>
          <w:szCs w:val="24"/>
          <w:highlight w:val="none"/>
        </w:rPr>
      </w:pPr>
      <w:bookmarkStart w:id="94" w:name="_Toc31932"/>
      <w:bookmarkStart w:id="95" w:name="_Toc22740"/>
      <w:r>
        <w:rPr>
          <w:rFonts w:hint="eastAsia" w:ascii="宋体" w:hAnsi="宋体" w:eastAsia="宋体" w:cs="宋体"/>
          <w:b/>
          <w:color w:val="auto"/>
          <w:sz w:val="24"/>
          <w:szCs w:val="24"/>
          <w:highlight w:val="none"/>
        </w:rPr>
        <w:t>（项目名称）开标记录表</w:t>
      </w:r>
      <w:bookmarkEnd w:id="94"/>
      <w:bookmarkEnd w:id="95"/>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评标基准价下浮率：                开标时间：  年   月   日    时分</w:t>
      </w:r>
    </w:p>
    <w:tbl>
      <w:tblPr>
        <w:tblStyle w:val="40"/>
        <w:tblW w:w="0" w:type="auto"/>
        <w:tblInd w:w="0" w:type="dxa"/>
        <w:tblLayout w:type="fixed"/>
        <w:tblCellMar>
          <w:top w:w="0" w:type="dxa"/>
          <w:left w:w="108" w:type="dxa"/>
          <w:bottom w:w="0" w:type="dxa"/>
          <w:right w:w="108" w:type="dxa"/>
        </w:tblCellMar>
      </w:tblPr>
      <w:tblGrid>
        <w:gridCol w:w="392"/>
        <w:gridCol w:w="2126"/>
        <w:gridCol w:w="851"/>
        <w:gridCol w:w="1134"/>
        <w:gridCol w:w="1278"/>
        <w:gridCol w:w="1418"/>
        <w:gridCol w:w="991"/>
        <w:gridCol w:w="1134"/>
        <w:gridCol w:w="1132"/>
        <w:gridCol w:w="1132"/>
        <w:gridCol w:w="1172"/>
        <w:gridCol w:w="1564"/>
      </w:tblGrid>
      <w:tr>
        <w:tblPrEx>
          <w:tblCellMar>
            <w:top w:w="0" w:type="dxa"/>
            <w:left w:w="108" w:type="dxa"/>
            <w:bottom w:w="0" w:type="dxa"/>
            <w:right w:w="108" w:type="dxa"/>
          </w:tblCellMar>
        </w:tblPrEx>
        <w:trPr>
          <w:trHeight w:val="2003" w:hRule="atLeast"/>
        </w:trPr>
        <w:tc>
          <w:tcPr>
            <w:tcW w:w="39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85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解密情况</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27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141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99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工期（天）</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项目负责人投报登记时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项目负责人投标时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专职安全员投报登记时</w:t>
            </w:r>
          </w:p>
        </w:tc>
        <w:tc>
          <w:tcPr>
            <w:tcW w:w="117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专职安全员投标时</w:t>
            </w:r>
          </w:p>
        </w:tc>
        <w:tc>
          <w:tcPr>
            <w:tcW w:w="156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57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招标人编制最高投标限价（单位：元）</w:t>
            </w:r>
          </w:p>
        </w:tc>
        <w:tc>
          <w:tcPr>
            <w:tcW w:w="854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招标人代表：            记录人：</w:t>
      </w:r>
    </w:p>
    <w:p>
      <w:pPr>
        <w:wordWrap w:val="0"/>
        <w:spacing w:line="44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jc w:val="center"/>
        <w:outlineLvl w:val="0"/>
        <w:rPr>
          <w:rFonts w:hint="eastAsia" w:ascii="宋体" w:hAnsi="宋体" w:eastAsia="宋体" w:cs="宋体"/>
          <w:b/>
          <w:color w:val="auto"/>
          <w:sz w:val="24"/>
          <w:szCs w:val="24"/>
          <w:highlight w:val="none"/>
        </w:rPr>
      </w:pPr>
      <w:bookmarkStart w:id="96" w:name="_Toc20500"/>
      <w:bookmarkStart w:id="97" w:name="_Toc25641"/>
      <w:r>
        <w:rPr>
          <w:rFonts w:hint="eastAsia" w:ascii="宋体" w:hAnsi="宋体" w:eastAsia="宋体" w:cs="宋体"/>
          <w:color w:val="auto"/>
          <w:sz w:val="24"/>
          <w:szCs w:val="24"/>
          <w:highlight w:val="none"/>
        </w:rPr>
        <w:t>附件2：抽取评标基准价的下浮率记录表</w:t>
      </w:r>
      <w:bookmarkEnd w:id="96"/>
      <w:bookmarkEnd w:id="97"/>
    </w:p>
    <w:p>
      <w:pPr>
        <w:spacing w:line="360" w:lineRule="auto"/>
        <w:rPr>
          <w:rFonts w:hint="eastAsia" w:ascii="宋体" w:hAnsi="宋体" w:eastAsia="宋体" w:cs="宋体"/>
          <w:b/>
          <w:color w:val="auto"/>
          <w:sz w:val="24"/>
          <w:szCs w:val="24"/>
          <w:highlight w:val="none"/>
        </w:rPr>
      </w:pPr>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抽取评标基准价的下浮率记录表</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球号</w:t>
            </w:r>
          </w:p>
        </w:tc>
        <w:tc>
          <w:tcPr>
            <w:tcW w:w="1534"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代表下浮率（%）</w:t>
            </w:r>
          </w:p>
        </w:tc>
        <w:tc>
          <w:tcPr>
            <w:tcW w:w="1619"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摇出球号</w:t>
            </w:r>
          </w:p>
        </w:tc>
        <w:tc>
          <w:tcPr>
            <w:tcW w:w="4261"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9"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注：1、计算评标基准价的下浮率从2%、2.5%、3%、3.5%、4%、4.5%、5%中随机抽取</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球号根据广州公共资源交易平台提供号球填写，如提供的球为1、2、3、4、5、6、7，则按从小到大的顺序对应填写1、2、3、4、5、6、7；如提供的球号2、2.5、3、3.5、4、4.5、5，则对应填写2、2.5、3、3.5、4、4.5、5。</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监督人：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招标代理记录人：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招标代理唱标人: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见证人员: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left"/>
        <w:outlineLvl w:val="2"/>
        <w:rPr>
          <w:rFonts w:hint="eastAsia" w:ascii="宋体" w:hAnsi="宋体" w:eastAsia="宋体" w:cs="宋体"/>
          <w:color w:val="auto"/>
          <w:sz w:val="24"/>
          <w:szCs w:val="24"/>
          <w:highlight w:val="none"/>
        </w:rPr>
      </w:pPr>
      <w:bookmarkStart w:id="98" w:name="_Toc30990"/>
      <w:r>
        <w:rPr>
          <w:rFonts w:hint="eastAsia" w:ascii="宋体" w:hAnsi="宋体" w:eastAsia="宋体" w:cs="宋体"/>
          <w:color w:val="auto"/>
          <w:sz w:val="24"/>
          <w:szCs w:val="24"/>
          <w:highlight w:val="none"/>
        </w:rPr>
        <w:t>附件3：问题澄清通知</w:t>
      </w:r>
      <w:bookmarkEnd w:id="98"/>
    </w:p>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问题澄清通知</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编号：__________________________</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spacing w:line="440" w:lineRule="exact"/>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请将上述问题的澄清于年月日时前递交至（详细地址）或传真至</w:t>
      </w:r>
      <w:bookmarkStart w:id="99" w:name="_Toc152045582"/>
      <w:bookmarkStart w:id="100" w:name="_Toc359263253"/>
      <w:bookmarkStart w:id="101" w:name="_Toc332641307"/>
      <w:bookmarkStart w:id="102" w:name="_Toc179632600"/>
      <w:bookmarkStart w:id="103" w:name="_Toc144974549"/>
      <w:bookmarkStart w:id="104" w:name="_Toc246996225"/>
      <w:bookmarkStart w:id="105" w:name="_Toc246996968"/>
      <w:bookmarkStart w:id="106" w:name="_Toc247085740"/>
      <w:bookmarkStart w:id="107" w:name="_Toc152042359"/>
      <w:r>
        <w:rPr>
          <w:rFonts w:hint="eastAsia" w:ascii="宋体" w:hAnsi="宋体" w:eastAsia="宋体" w:cs="宋体"/>
          <w:color w:val="auto"/>
          <w:sz w:val="24"/>
          <w:szCs w:val="24"/>
          <w:highlight w:val="none"/>
        </w:rPr>
        <w:t>（传真</w:t>
      </w:r>
      <w:bookmarkEnd w:id="99"/>
      <w:bookmarkEnd w:id="100"/>
      <w:bookmarkEnd w:id="101"/>
      <w:bookmarkEnd w:id="102"/>
      <w:bookmarkEnd w:id="103"/>
      <w:bookmarkEnd w:id="104"/>
      <w:bookmarkEnd w:id="105"/>
      <w:bookmarkEnd w:id="106"/>
      <w:bookmarkEnd w:id="107"/>
      <w:r>
        <w:rPr>
          <w:rFonts w:hint="eastAsia" w:ascii="宋体" w:hAnsi="宋体" w:eastAsia="宋体" w:cs="宋体"/>
          <w:color w:val="auto"/>
          <w:sz w:val="24"/>
          <w:szCs w:val="24"/>
          <w:highlight w:val="none"/>
        </w:rPr>
        <w:t>号码）。采用传真方式的，应在年月日时前将原件递交至（详细地址）。</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wordWrap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招标人或招标代理机构：</w:t>
      </w:r>
      <w:r>
        <w:rPr>
          <w:rFonts w:hint="eastAsia" w:ascii="宋体" w:hAnsi="宋体" w:eastAsia="宋体" w:cs="宋体"/>
          <w:color w:val="auto"/>
          <w:sz w:val="24"/>
          <w:szCs w:val="24"/>
          <w:highlight w:val="none"/>
          <w:u w:val="single"/>
        </w:rPr>
        <w:t xml:space="preserve">           （        或盖章）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8" w:name="_Toc246996969"/>
      <w:bookmarkStart w:id="109" w:name="_Toc359263254"/>
      <w:bookmarkStart w:id="110" w:name="_Toc246996226"/>
      <w:bookmarkStart w:id="111" w:name="_Toc25194"/>
      <w:bookmarkStart w:id="112" w:name="_Toc332641308"/>
      <w:bookmarkStart w:id="113" w:name="_Toc152042360"/>
      <w:bookmarkStart w:id="114" w:name="_Toc179632601"/>
      <w:bookmarkStart w:id="115" w:name="_Toc247085741"/>
      <w:bookmarkStart w:id="116" w:name="_Toc144974550"/>
      <w:bookmarkStart w:id="117" w:name="_Toc152045583"/>
      <w:r>
        <w:rPr>
          <w:rFonts w:hint="eastAsia" w:ascii="宋体" w:hAnsi="宋体" w:eastAsia="宋体" w:cs="宋体"/>
          <w:color w:val="auto"/>
          <w:sz w:val="24"/>
          <w:szCs w:val="24"/>
          <w:highlight w:val="none"/>
        </w:rPr>
        <w:t>附件4：中标通知书</w:t>
      </w:r>
      <w:bookmarkEnd w:id="108"/>
      <w:bookmarkEnd w:id="109"/>
      <w:bookmarkEnd w:id="110"/>
      <w:bookmarkEnd w:id="111"/>
      <w:bookmarkEnd w:id="112"/>
      <w:bookmarkEnd w:id="113"/>
      <w:bookmarkEnd w:id="114"/>
      <w:bookmarkEnd w:id="115"/>
      <w:bookmarkEnd w:id="116"/>
      <w:bookmarkEnd w:id="117"/>
    </w:p>
    <w:p>
      <w:pPr>
        <w:spacing w:line="360" w:lineRule="auto"/>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（注：中标通知书采用广州公共资源交易平台规定的格式）</w:t>
      </w:r>
    </w:p>
    <w:p>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18" w:name="_Toc22251"/>
      <w:bookmarkStart w:id="119" w:name="_Toc18590"/>
      <w:r>
        <w:rPr>
          <w:rFonts w:hint="eastAsia" w:ascii="宋体" w:hAnsi="宋体" w:eastAsia="宋体" w:cs="宋体"/>
          <w:color w:val="auto"/>
          <w:sz w:val="24"/>
          <w:szCs w:val="24"/>
          <w:highlight w:val="none"/>
        </w:rPr>
        <w:t>第三章评标办法（综合评估法）</w:t>
      </w:r>
      <w:bookmarkEnd w:id="118"/>
      <w:bookmarkEnd w:id="119"/>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20" w:name="_Toc12895"/>
      <w:r>
        <w:rPr>
          <w:rFonts w:hint="eastAsia" w:ascii="宋体" w:hAnsi="宋体" w:eastAsia="宋体" w:cs="宋体"/>
          <w:color w:val="auto"/>
          <w:sz w:val="24"/>
          <w:szCs w:val="24"/>
          <w:highlight w:val="none"/>
        </w:rPr>
        <w:t>评标办法修改表</w:t>
      </w:r>
      <w:bookmarkEnd w:id="120"/>
    </w:p>
    <w:p>
      <w:pPr>
        <w:pStyle w:val="39"/>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声明：本评标办法使用SWZB2019-02招标文件范本的评标办法条款，与该条款不同之处，均在本表中列明，并以现文为准，原文不再有效。本招标文件范本请投标人自行到广州市水务局网站下载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w:instrText>
      </w:r>
      <w:bookmarkStart w:id="121" w:name="_Toc247085742"/>
      <w:bookmarkStart w:id="122" w:name="_Toc144974551"/>
      <w:bookmarkStart w:id="123" w:name="_Toc246996227"/>
      <w:bookmarkStart w:id="124" w:name="_Toc152045584"/>
      <w:bookmarkStart w:id="125" w:name="_Toc179632602"/>
      <w:bookmarkStart w:id="126" w:name="_Toc152042361"/>
      <w:bookmarkStart w:id="127" w:name="_Toc359263255"/>
      <w:bookmarkStart w:id="128" w:name="_Toc332641309"/>
      <w:bookmarkStart w:id="129" w:name="_Toc246996970"/>
      <w:r>
        <w:rPr>
          <w:rFonts w:hint="eastAsia" w:ascii="宋体" w:hAnsi="宋体" w:eastAsia="宋体" w:cs="宋体"/>
          <w:color w:val="auto"/>
          <w:sz w:val="24"/>
          <w:szCs w:val="24"/>
          <w:highlight w:val="none"/>
        </w:rPr>
        <w:instrText xml:space="preserve">LINK "htt</w:instrText>
      </w:r>
      <w:bookmarkEnd w:id="121"/>
      <w:bookmarkEnd w:id="122"/>
      <w:bookmarkEnd w:id="123"/>
      <w:bookmarkEnd w:id="124"/>
      <w:bookmarkEnd w:id="125"/>
      <w:bookmarkEnd w:id="126"/>
      <w:bookmarkEnd w:id="127"/>
      <w:bookmarkEnd w:id="128"/>
      <w:bookmarkEnd w:id="129"/>
      <w:r>
        <w:rPr>
          <w:rFonts w:hint="eastAsia" w:ascii="宋体" w:hAnsi="宋体" w:eastAsia="宋体" w:cs="宋体"/>
          <w:color w:val="auto"/>
          <w:sz w:val="24"/>
          <w:szCs w:val="24"/>
          <w:highlight w:val="none"/>
        </w:rPr>
        <w:instrText xml:space="preserve">p://www.gzwater.gov.cn）下载查阅" </w:instrText>
      </w:r>
      <w:r>
        <w:rPr>
          <w:rFonts w:hint="eastAsia" w:ascii="宋体" w:hAnsi="宋体" w:eastAsia="宋体" w:cs="宋体"/>
          <w:color w:val="auto"/>
          <w:sz w:val="24"/>
          <w:szCs w:val="24"/>
          <w:highlight w:val="none"/>
        </w:rPr>
        <w:fldChar w:fldCharType="separate"/>
      </w:r>
      <w:r>
        <w:rPr>
          <w:rStyle w:val="50"/>
          <w:rFonts w:hint="eastAsia" w:ascii="宋体" w:hAnsi="宋体" w:eastAsia="宋体" w:cs="宋体"/>
          <w:color w:val="auto"/>
          <w:sz w:val="24"/>
          <w:szCs w:val="24"/>
          <w:highlight w:val="none"/>
        </w:rPr>
        <w:t>http://www.gzwater.gov.cn）下载查阅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39"/>
        <w:spacing w:after="0" w:line="360" w:lineRule="auto"/>
        <w:rPr>
          <w:rFonts w:hint="eastAsia" w:ascii="宋体" w:hAnsi="宋体" w:eastAsia="宋体" w:cs="宋体"/>
          <w:b/>
          <w:color w:val="auto"/>
          <w:sz w:val="24"/>
          <w:szCs w:val="24"/>
          <w:highlight w:val="none"/>
        </w:rPr>
      </w:pP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条款号：2.2.3             修改类型：删除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原文：可选方式一：</w:t>
      </w:r>
      <w:r>
        <w:rPr>
          <w:rFonts w:hint="eastAsia" w:ascii="宋体" w:hAnsi="宋体" w:eastAsia="宋体" w:cs="宋体"/>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在首次评标过程中，投标人未被发现存在串通投标、弄虚作假、行贿等情形的，无论是否重评，经确定的评标基准价不变。</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条款号：2.2.2             修改类型：修改</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原文：2.2.2有效投标报价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通过初步评审且不高于最高投标限价的投标报价为有效投标报价。非竞争性费用需与招标人发布的金额一致，不一致的投标报价无效。投标报价不得低于成本价，否则投标报价为无效投标报价。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现文：2.2.2有效投标报价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通过初步评审且不高于最高投标限价的投标报价为有效投标报价。投标报价不得低于成本价，否则投标报价为无效投标报价。</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条款号：3.1.4            修改类型：修改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原文：3.1.4投标报价有算术错误的，评标委员会按以下原则对投标报价进行修正，修正的价格经投标人书面确认后具有约束力。投标人不接受修正价格的，其投标作否决投标处理。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3.1.3投标报价有算术错误的，评标委员会按以下原则对投标报价进行修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（2）投标报价与投标报价下浮率计算出的结果不一致的，以（1-投标报价下浮率）×最高投标限价的计算结果为准修正总价，但投标报价下浮率单位有明显错误的除外。 </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（3）在《投标函附录》中，投标报价下浮率公式的计算结果与投标人填报的投标报价下浮率与不一致的，以该公式的计算结果进行修正。</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条款号：3.2.3             修改类型：修改</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原文：3.2.3投标人的得分=A*     +B*     。（注：由招标人根据相关规定自行设置计分权重）。</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现文:3.2.3投标人的得分=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技术部分得分（A）×得分权重(</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%)+商务部分得分（B）×得分权重(</w:t>
      </w: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%)+投标报价得分(C)×得分权重(</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×得分权重(</w:t>
      </w:r>
      <w:r>
        <w:rPr>
          <w:rFonts w:hint="eastAsia" w:ascii="宋体" w:hAnsi="宋体" w:eastAsia="宋体" w:cs="宋体"/>
          <w:color w:val="auto"/>
          <w:sz w:val="24"/>
          <w:szCs w:val="24"/>
          <w:highlight w:val="none"/>
          <w:lang w:val="en-US" w:eastAsia="zh-CN" w:bidi="ar"/>
        </w:rPr>
        <w:t>95</w:t>
      </w:r>
      <w:r>
        <w:rPr>
          <w:rFonts w:hint="eastAsia" w:ascii="宋体" w:hAnsi="宋体" w:eastAsia="宋体" w:cs="宋体"/>
          <w:color w:val="auto"/>
          <w:sz w:val="24"/>
          <w:szCs w:val="24"/>
          <w:highlight w:val="none"/>
          <w:lang w:bidi="ar"/>
        </w:rPr>
        <w:t>%)+诚信评价分（D）×得分权重(5%)。（注：由招标人根据相关规定自行设置计分权重）。</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条款号：3.5.1                        修改类型：修改</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3.5.1 评标委员会依据本章第2.2条评分标准进行评分，按评标办法前附表的约定计算投标人综合得分，根据得分由高到低的顺序推荐3名中标候选人，并标明推荐顺序。</w:t>
      </w:r>
    </w:p>
    <w:p>
      <w:pPr>
        <w:pBdr>
          <w:top w:val="none" w:color="auto" w:sz="0" w:space="1"/>
          <w:left w:val="none" w:color="auto" w:sz="0" w:space="4"/>
          <w:bottom w:val="single" w:color="auto" w:sz="4" w:space="1"/>
          <w:right w:val="none" w:color="auto" w:sz="0" w:space="4"/>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3.5.1 评标委员会依据本章第2.2条评分标准进行评分，按评标办法前附表的约定计算投标人最终得分，评标委员会应按照得分从高至低的顺序，确定得分前三名的投标人为第一中标候选人、第二中标候选人和第三中标候选人。</w:t>
      </w:r>
      <w:r>
        <w:rPr>
          <w:rFonts w:hint="eastAsia" w:ascii="宋体" w:hAnsi="宋体" w:eastAsia="宋体" w:cs="宋体"/>
          <w:color w:val="auto"/>
          <w:sz w:val="24"/>
          <w:szCs w:val="24"/>
          <w:highlight w:val="none"/>
          <w:u w:val="single"/>
        </w:rPr>
        <w:t>出现中标候选人得分相同的，按</w:t>
      </w:r>
      <w:r>
        <w:rPr>
          <w:rFonts w:hint="eastAsia" w:ascii="宋体" w:hAnsi="宋体" w:eastAsia="宋体" w:cs="宋体"/>
          <w:color w:val="auto"/>
          <w:sz w:val="24"/>
          <w:szCs w:val="24"/>
          <w:highlight w:val="none"/>
          <w:u w:val="single"/>
          <w:lang w:val="en-US" w:eastAsia="zh-CN"/>
        </w:rPr>
        <w:t>评标办法</w:t>
      </w:r>
      <w:r>
        <w:rPr>
          <w:rFonts w:hint="eastAsia" w:ascii="宋体" w:hAnsi="宋体" w:eastAsia="宋体" w:cs="宋体"/>
          <w:color w:val="auto"/>
          <w:sz w:val="24"/>
          <w:szCs w:val="24"/>
          <w:highlight w:val="none"/>
          <w:u w:val="single"/>
        </w:rPr>
        <w:t>的规定确定中标候选人排序。</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widowControl/>
        <w:pBdr>
          <w:top w:val="none" w:color="auto" w:sz="0" w:space="1"/>
          <w:left w:val="none" w:color="auto" w:sz="0" w:space="4"/>
          <w:bottom w:val="single" w:color="auto" w:sz="4" w:space="1"/>
          <w:right w:val="none" w:color="auto" w:sz="0" w:space="4"/>
        </w:pBdr>
        <w:spacing w:line="360" w:lineRule="auto"/>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注：以上修改，仅限于本范本中有可供选择条款的情形。</w:t>
      </w:r>
    </w:p>
    <w:p>
      <w:pPr>
        <w:widowControl/>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（以下无正文）</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0" w:name="_Toc21772"/>
      <w:r>
        <w:rPr>
          <w:rFonts w:hint="eastAsia" w:ascii="宋体" w:hAnsi="宋体" w:eastAsia="宋体" w:cs="宋体"/>
          <w:color w:val="auto"/>
          <w:sz w:val="24"/>
          <w:szCs w:val="24"/>
          <w:highlight w:val="none"/>
          <w:lang w:bidi="ar"/>
        </w:rPr>
        <w:t>可选方法一：综合评估法一（综合评估分值由技术、商务、投标报价和诚信分数组成）</w:t>
      </w:r>
      <w:bookmarkEnd w:id="130"/>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31" w:name="_Toc28181"/>
      <w:r>
        <w:rPr>
          <w:rFonts w:hint="eastAsia" w:ascii="宋体" w:hAnsi="宋体" w:eastAsia="宋体" w:cs="宋体"/>
          <w:color w:val="auto"/>
          <w:sz w:val="24"/>
          <w:szCs w:val="24"/>
          <w:highlight w:val="none"/>
          <w:lang w:bidi="ar"/>
        </w:rPr>
        <w:t>评标办法前附表</w:t>
      </w:r>
      <w:bookmarkEnd w:id="131"/>
    </w:p>
    <w:tbl>
      <w:tblPr>
        <w:tblStyle w:val="40"/>
        <w:tblpPr w:leftFromText="180" w:rightFromText="180" w:vertAnchor="text" w:tblpX="-863" w:tblpY="1"/>
        <w:tblOverlap w:val="never"/>
        <w:tblW w:w="938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1"/>
        <w:gridCol w:w="642"/>
        <w:gridCol w:w="925"/>
        <w:gridCol w:w="1500"/>
        <w:gridCol w:w="4342"/>
        <w:gridCol w:w="110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评审因素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bidi="ar"/>
              </w:rPr>
              <w:t>评</w:t>
            </w:r>
            <w:r>
              <w:rPr>
                <w:rFonts w:hint="eastAsia" w:ascii="宋体" w:hAnsi="宋体" w:eastAsia="宋体" w:cs="宋体"/>
                <w:b/>
                <w:color w:val="auto"/>
                <w:sz w:val="24"/>
                <w:szCs w:val="24"/>
                <w:highlight w:val="none"/>
                <w:lang w:bidi="ar"/>
              </w:rPr>
              <w:t>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trPr>
        <w:tc>
          <w:tcPr>
            <w:tcW w:w="871"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642"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初步评审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w:t>
            </w:r>
          </w:p>
        </w:tc>
        <w:tc>
          <w:tcPr>
            <w:tcW w:w="642" w:type="dxa"/>
            <w:vMerge w:val="restart"/>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法定代表人、项目负责人、技术负责人签字或签章及加盖单位公章（签字和盖章要求见《投标人须知前附表》第3.6.4条）。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营业执照</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具备有效的营业执照。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安全生产许可证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资质等级</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8" w:hRule="atLeast"/>
        </w:trPr>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安全生产考核合格证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项目负责人及专职安全员具备符合招标公告规定的行政主管部门颁发的有效安全生产考核合格证。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社保要求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联合体要求（如有）</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未被纳入失信联合惩戒名单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投标人未被纳入失信联合惩戒名单，失信联合惩戒名单以“信用广州”网站公布的“失信黑名单”为准。（提供网页打印页）。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w:t>
            </w:r>
          </w:p>
        </w:tc>
        <w:tc>
          <w:tcPr>
            <w:tcW w:w="642" w:type="dxa"/>
            <w:vMerge w:val="restart"/>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投标人参加投标的意思表达清楚，投标人代表被授权有效</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投标函签字盖章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法定代表人或其委托代理人签字或签章及加盖单位公章（签字和盖章要求见《投标人须知前附表》第3.6.4条）。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投标文件格式</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w:t>
            </w:r>
            <w:r>
              <w:rPr>
                <w:rFonts w:hint="eastAsia" w:ascii="宋体" w:hAnsi="宋体" w:cs="宋体"/>
                <w:color w:val="auto"/>
                <w:sz w:val="24"/>
                <w:szCs w:val="24"/>
                <w:highlight w:val="none"/>
                <w:lang w:val="en-US" w:eastAsia="zh-CN" w:bidi="ar"/>
              </w:rPr>
              <w:t>六</w:t>
            </w:r>
            <w:r>
              <w:rPr>
                <w:rFonts w:hint="eastAsia" w:ascii="宋体" w:hAnsi="宋体" w:eastAsia="宋体" w:cs="宋体"/>
                <w:color w:val="auto"/>
                <w:sz w:val="24"/>
                <w:szCs w:val="24"/>
                <w:highlight w:val="none"/>
                <w:lang w:bidi="ar"/>
              </w:rPr>
              <w:t>章“投标文件格式”的要求。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报价唯一</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w:t>
            </w:r>
          </w:p>
        </w:tc>
        <w:tc>
          <w:tcPr>
            <w:tcW w:w="642" w:type="dxa"/>
            <w:vMerge w:val="restar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符合第二章“投标人须知”第3.2.3项规定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工程质量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投标有效期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投标保证金</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技术标准和要求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符合第五章“技术标准和要求”规定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lang w:bidi="ar"/>
              </w:rPr>
              <w:t>综合评估得分构成</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(总分100分)</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highlight w:val="none"/>
                <w:u w:val="single"/>
              </w:rPr>
            </w:pPr>
            <w:r>
              <w:rPr>
                <w:rFonts w:hint="default" w:ascii="宋体" w:hAnsi="宋体" w:cs="宋体"/>
                <w:color w:val="auto"/>
                <w:sz w:val="24"/>
                <w:szCs w:val="24"/>
                <w:highlight w:val="none"/>
                <w:lang w:bidi="ar"/>
              </w:rPr>
              <w:t>1.技术评审权重：2%</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highlight w:val="none"/>
              </w:rPr>
            </w:pPr>
            <w:r>
              <w:rPr>
                <w:rFonts w:hint="default" w:ascii="宋体" w:hAnsi="宋体" w:cs="宋体"/>
                <w:color w:val="auto"/>
                <w:sz w:val="24"/>
                <w:szCs w:val="24"/>
                <w:highlight w:val="none"/>
                <w:lang w:bidi="ar"/>
              </w:rPr>
              <w:t>2.商务评审权重：18%</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highlight w:val="none"/>
                <w:u w:val="single"/>
              </w:rPr>
            </w:pPr>
            <w:r>
              <w:rPr>
                <w:rFonts w:hint="default" w:ascii="宋体" w:hAnsi="宋体" w:cs="宋体"/>
                <w:color w:val="auto"/>
                <w:sz w:val="24"/>
                <w:szCs w:val="24"/>
                <w:highlight w:val="none"/>
                <w:lang w:bidi="ar"/>
              </w:rPr>
              <w:t>3.投标报价权重：80%</w:t>
            </w:r>
          </w:p>
          <w:p>
            <w:pPr>
              <w:keepNext w:val="0"/>
              <w:keepLines w:val="0"/>
              <w:suppressLineNumbers w:val="0"/>
              <w:spacing w:before="0" w:beforeLines="0" w:beforeAutospacing="0" w:after="0" w:afterLines="0" w:afterAutospacing="0"/>
              <w:ind w:left="210" w:right="0" w:hanging="240" w:hangingChars="100"/>
              <w:rPr>
                <w:rFonts w:hint="default" w:ascii="宋体" w:hAnsi="宋体" w:cs="宋体"/>
                <w:color w:val="auto"/>
                <w:sz w:val="24"/>
                <w:szCs w:val="24"/>
                <w:highlight w:val="none"/>
              </w:rPr>
            </w:pPr>
            <w:r>
              <w:rPr>
                <w:rFonts w:hint="default" w:ascii="宋体" w:hAnsi="宋体" w:cs="宋体"/>
                <w:color w:val="auto"/>
                <w:sz w:val="24"/>
                <w:szCs w:val="24"/>
                <w:highlight w:val="none"/>
                <w:lang w:bidi="ar"/>
              </w:rPr>
              <w:t>上述三项评审得分总和占综合评估得分权重</w:t>
            </w:r>
            <w:r>
              <w:rPr>
                <w:rFonts w:hint="default" w:ascii="宋体" w:hAnsi="宋体" w:cs="宋体"/>
                <w:color w:val="auto"/>
                <w:sz w:val="24"/>
                <w:szCs w:val="24"/>
                <w:highlight w:val="none"/>
                <w:u w:val="single"/>
                <w:lang w:bidi="ar"/>
              </w:rPr>
              <w:t xml:space="preserve"> 95% </w:t>
            </w:r>
            <w:r>
              <w:rPr>
                <w:rFonts w:hint="default" w:ascii="宋体" w:hAnsi="宋体" w:cs="宋体"/>
                <w:color w:val="auto"/>
                <w:sz w:val="24"/>
                <w:szCs w:val="24"/>
                <w:highlight w:val="none"/>
                <w:lang w:bidi="ar"/>
              </w:rPr>
              <w:t>；（注：投标报价权重不少于商务、技术、投标报价三者之和的60%或80%，特殊性工程不少于60%，一般性工程不少于80%。）</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highlight w:val="none"/>
              </w:rPr>
            </w:pPr>
            <w:r>
              <w:rPr>
                <w:rFonts w:hint="default" w:ascii="宋体" w:hAnsi="宋体" w:cs="宋体"/>
                <w:color w:val="auto"/>
                <w:sz w:val="24"/>
                <w:szCs w:val="24"/>
                <w:highlight w:val="none"/>
                <w:lang w:bidi="ar"/>
              </w:rPr>
              <w:t>4.诚信得分占综合评估得分权重：5%。</w:t>
            </w:r>
          </w:p>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2.2.3</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评标基准价计算方法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jc w:val="left"/>
              <w:rPr>
                <w:rFonts w:hint="eastAsia" w:ascii="宋体" w:hAnsi="宋体" w:eastAsia="宋体" w:cs="宋体"/>
                <w:b/>
                <w:color w:val="auto"/>
                <w:sz w:val="24"/>
                <w:szCs w:val="24"/>
                <w:highlight w:val="none"/>
              </w:rPr>
            </w:pPr>
            <w:r>
              <w:rPr>
                <w:rFonts w:hint="default" w:ascii="宋体" w:hAnsi="宋体" w:cs="宋体"/>
                <w:color w:val="auto"/>
                <w:sz w:val="24"/>
                <w:szCs w:val="24"/>
                <w:highlight w:val="none"/>
              </w:rPr>
              <w:t>通过初步评审的投标人位于[警示价～招标控制价]区间的投标报价算术平均值按随机抽取的评标基准价下浮率（2～5%，0.5一个级别）下浮作为评标基准价。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2.2.4</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color w:val="auto"/>
                <w:sz w:val="24"/>
                <w:szCs w:val="24"/>
                <w:highlight w:val="none"/>
                <w:lang w:bidi="ar"/>
              </w:rPr>
              <w:t>投标报价偏差率计算公式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color w:val="auto"/>
                <w:sz w:val="24"/>
                <w:szCs w:val="24"/>
                <w:highlight w:val="none"/>
                <w:lang w:bidi="ar"/>
              </w:rPr>
              <w:t>偏差率=（投标报价-评标基准价）/评标基准价×100%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详细评审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评分因素</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评分标准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计分方法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2.2.5(1)</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lang w:bidi="ar"/>
              </w:rPr>
              <w:t>技术</w:t>
            </w:r>
          </w:p>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评审（100*权重2%）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shd w:val="clear" w:color="auto" w:fill="FFFFFF"/>
              </w:rPr>
              <w:t>施工组织方案与技术措施100分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rPr>
                <w:rFonts w:hint="default" w:ascii="宋体" w:hAnsi="宋体" w:cs="宋体"/>
                <w:color w:val="auto"/>
                <w:sz w:val="24"/>
                <w:szCs w:val="24"/>
                <w:highlight w:val="none"/>
                <w:shd w:val="clear" w:color="auto" w:fill="FFFFFF"/>
              </w:rPr>
            </w:pPr>
            <w:r>
              <w:rPr>
                <w:rFonts w:hint="default" w:ascii="宋体" w:hAnsi="宋体" w:cs="宋体"/>
                <w:color w:val="auto"/>
                <w:sz w:val="24"/>
                <w:szCs w:val="24"/>
                <w:highlight w:val="none"/>
                <w:shd w:val="clear" w:color="auto" w:fill="FFFFFF"/>
              </w:rPr>
              <w:t>施工组织方案及施工方法先进，工程重点难点、施工关键技术工艺把握及应用准确，技术措施可以充分保障工程质量、工期和施工安全生产，得95-100分。</w:t>
            </w:r>
          </w:p>
          <w:p>
            <w:pPr>
              <w:keepNext w:val="0"/>
              <w:keepLines w:val="0"/>
              <w:suppressLineNumbers w:val="0"/>
              <w:spacing w:before="0" w:beforeLines="0" w:beforeAutospacing="0" w:after="0" w:afterLines="0" w:afterAutospacing="0"/>
              <w:ind w:left="0" w:right="0" w:firstLine="480" w:firstLineChars="200"/>
              <w:rPr>
                <w:rFonts w:hint="default" w:ascii="宋体" w:hAnsi="宋体" w:cs="宋体"/>
                <w:color w:val="auto"/>
                <w:sz w:val="24"/>
                <w:szCs w:val="24"/>
                <w:highlight w:val="none"/>
                <w:shd w:val="clear" w:color="auto" w:fill="FFFFFF"/>
              </w:rPr>
            </w:pPr>
            <w:r>
              <w:rPr>
                <w:rFonts w:hint="default" w:ascii="宋体" w:hAnsi="宋体" w:cs="宋体"/>
                <w:color w:val="auto"/>
                <w:sz w:val="24"/>
                <w:szCs w:val="24"/>
                <w:highlight w:val="none"/>
                <w:shd w:val="clear" w:color="auto" w:fill="FFFFFF"/>
              </w:rPr>
              <w:t>施工组织方案及施工方法较好，工程重点难点、施工关键技术工艺把握及应用较好，技术措施能保障工程质量、工期和施工安全生产，得90-95分。</w:t>
            </w:r>
          </w:p>
          <w:p>
            <w:pPr>
              <w:keepNext w:val="0"/>
              <w:keepLines w:val="0"/>
              <w:suppressLineNumbers w:val="0"/>
              <w:spacing w:before="0" w:beforeLines="0" w:beforeAutospacing="0" w:after="0" w:afterLines="0" w:afterAutospacing="0"/>
              <w:ind w:left="0" w:right="0" w:firstLine="480" w:firstLineChars="200"/>
              <w:rPr>
                <w:rFonts w:hint="default" w:ascii="宋体" w:hAnsi="宋体" w:cs="宋体"/>
                <w:color w:val="auto"/>
                <w:sz w:val="24"/>
                <w:szCs w:val="24"/>
                <w:highlight w:val="none"/>
                <w:shd w:val="clear" w:color="auto" w:fill="FFFFFF"/>
              </w:rPr>
            </w:pPr>
            <w:r>
              <w:rPr>
                <w:rFonts w:hint="default" w:ascii="宋体" w:hAnsi="宋体" w:cs="宋体"/>
                <w:color w:val="auto"/>
                <w:sz w:val="24"/>
                <w:szCs w:val="24"/>
                <w:highlight w:val="none"/>
                <w:shd w:val="clear" w:color="auto" w:fill="FFFFFF"/>
              </w:rPr>
              <w:t>施工组织方案或施工方法一般，或工程重点难点、施工关键技术工艺把握及应用基本可行，或技术措施能基本保障工程质量、工期和施工安全生产，得85-90分。</w:t>
            </w:r>
          </w:p>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r>
              <w:rPr>
                <w:rFonts w:hint="default" w:ascii="宋体" w:hAnsi="宋体" w:cs="宋体"/>
                <w:color w:val="auto"/>
                <w:sz w:val="24"/>
                <w:szCs w:val="24"/>
                <w:highlight w:val="none"/>
                <w:shd w:val="clear" w:color="auto" w:fill="FFFFFF"/>
              </w:rPr>
              <w:t>备注：不符合上述条件的不得分。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去掉一个最高分值，去掉一个最低分，平均后得到技术部分评审得分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513"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2.2.5(2)</w:t>
            </w:r>
          </w:p>
        </w:tc>
        <w:tc>
          <w:tcPr>
            <w:tcW w:w="925" w:type="dxa"/>
            <w:tcBorders>
              <w:top w:val="single" w:color="auto" w:sz="4" w:space="0"/>
              <w:left w:val="nil"/>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lang w:bidi="ar"/>
              </w:rPr>
              <w:t>商务</w:t>
            </w:r>
          </w:p>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评审（100*权重18%）</w:t>
            </w:r>
          </w:p>
        </w:tc>
        <w:tc>
          <w:tcPr>
            <w:tcW w:w="150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lang w:bidi="ar"/>
              </w:rPr>
            </w:pPr>
            <w:r>
              <w:rPr>
                <w:rFonts w:hint="default" w:ascii="宋体" w:hAnsi="宋体" w:cs="宋体"/>
                <w:color w:val="000000"/>
                <w:sz w:val="24"/>
                <w:szCs w:val="24"/>
                <w:highlight w:val="none"/>
              </w:rPr>
              <w:t>组织机构及主要管理人员（15分）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拟投入本工程的现场主要管理人员(项目负责人、技术负责人除外)的要求：</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注册安全工程师、一级注册造价工程师（水利工程专业）、机电类专业中级</w:t>
            </w:r>
            <w:r>
              <w:rPr>
                <w:rFonts w:hint="default" w:ascii="宋体" w:hAnsi="宋体" w:cs="宋体"/>
                <w:color w:val="000000"/>
                <w:spacing w:val="1"/>
                <w:kern w:val="0"/>
                <w:sz w:val="24"/>
                <w:szCs w:val="24"/>
                <w:highlight w:val="none"/>
              </w:rPr>
              <w:t>（或以上）职称</w:t>
            </w:r>
            <w:r>
              <w:rPr>
                <w:rFonts w:hint="default" w:ascii="宋体" w:hAnsi="宋体" w:cs="宋体"/>
                <w:color w:val="000000"/>
                <w:sz w:val="24"/>
                <w:szCs w:val="24"/>
                <w:highlight w:val="none"/>
              </w:rPr>
              <w:t>、水利类专业中级</w:t>
            </w:r>
            <w:r>
              <w:rPr>
                <w:rFonts w:hint="default" w:ascii="宋体" w:hAnsi="宋体" w:cs="宋体"/>
                <w:color w:val="000000"/>
                <w:spacing w:val="1"/>
                <w:kern w:val="0"/>
                <w:sz w:val="24"/>
                <w:szCs w:val="24"/>
                <w:highlight w:val="none"/>
              </w:rPr>
              <w:t>（或以上）职称</w:t>
            </w:r>
            <w:r>
              <w:rPr>
                <w:rFonts w:hint="default" w:ascii="宋体" w:hAnsi="宋体" w:cs="宋体"/>
                <w:color w:val="000000"/>
                <w:sz w:val="24"/>
                <w:szCs w:val="24"/>
                <w:highlight w:val="none"/>
              </w:rPr>
              <w:t>、市政类专业</w:t>
            </w:r>
            <w:r>
              <w:rPr>
                <w:rFonts w:hint="default" w:ascii="宋体" w:hAnsi="宋体" w:cs="宋体"/>
                <w:color w:val="000000"/>
                <w:spacing w:val="1"/>
                <w:kern w:val="0"/>
                <w:sz w:val="24"/>
                <w:szCs w:val="24"/>
                <w:highlight w:val="none"/>
              </w:rPr>
              <w:t>中级（或以上）职称</w:t>
            </w:r>
            <w:r>
              <w:rPr>
                <w:rFonts w:hint="default" w:ascii="宋体" w:hAnsi="宋体" w:cs="宋体"/>
                <w:color w:val="000000"/>
                <w:sz w:val="24"/>
                <w:szCs w:val="24"/>
                <w:highlight w:val="none"/>
              </w:rPr>
              <w:t>、</w:t>
            </w:r>
            <w:r>
              <w:rPr>
                <w:rFonts w:hint="default" w:ascii="宋体" w:hAnsi="宋体" w:cs="宋体"/>
                <w:color w:val="000000"/>
                <w:spacing w:val="1"/>
                <w:kern w:val="0"/>
                <w:sz w:val="24"/>
                <w:szCs w:val="24"/>
                <w:highlight w:val="none"/>
              </w:rPr>
              <w:t>安全工程</w:t>
            </w:r>
            <w:r>
              <w:rPr>
                <w:rFonts w:hint="default" w:ascii="宋体" w:hAnsi="宋体" w:cs="宋体"/>
                <w:color w:val="000000"/>
                <w:sz w:val="24"/>
                <w:szCs w:val="24"/>
                <w:highlight w:val="none"/>
              </w:rPr>
              <w:t>（或安全管理）专业</w:t>
            </w:r>
            <w:r>
              <w:rPr>
                <w:rFonts w:hint="default" w:ascii="宋体" w:hAnsi="宋体" w:cs="宋体"/>
                <w:color w:val="000000"/>
                <w:spacing w:val="1"/>
                <w:kern w:val="0"/>
                <w:sz w:val="24"/>
                <w:szCs w:val="24"/>
                <w:highlight w:val="none"/>
              </w:rPr>
              <w:t>中级（或以上）职称各1名</w:t>
            </w:r>
            <w:r>
              <w:rPr>
                <w:rFonts w:hint="default" w:ascii="宋体" w:hAnsi="宋体" w:cs="宋体"/>
                <w:color w:val="000000"/>
                <w:sz w:val="24"/>
                <w:szCs w:val="24"/>
                <w:highlight w:val="none"/>
              </w:rPr>
              <w:t>，水利工程质量管理与技术员2名（具有省级或以上水利部门颁发的培训证书，并提供网上查询截图及查询地址）。</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满足上述现场主要管理人员的要求，得15分，</w:t>
            </w:r>
            <w:r>
              <w:rPr>
                <w:rFonts w:hint="default" w:ascii="宋体" w:cs="Calibri"/>
                <w:sz w:val="24"/>
                <w:szCs w:val="24"/>
                <w:highlight w:val="none"/>
              </w:rPr>
              <w:t>每缺少一名减3分，</w:t>
            </w:r>
            <w:r>
              <w:rPr>
                <w:rFonts w:hint="default" w:ascii="宋体" w:hAnsi="宋体" w:cs="Calibri"/>
                <w:sz w:val="24"/>
                <w:szCs w:val="24"/>
                <w:highlight w:val="none"/>
              </w:rPr>
              <w:t xml:space="preserve">扣完为止。 </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备注：</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1.每人只能担任一个职务，不可重复计分；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2.须提供</w:t>
            </w:r>
            <w:r>
              <w:rPr>
                <w:rFonts w:hint="default" w:ascii="宋体" w:hAnsi="宋体" w:cs="宋体"/>
                <w:b/>
                <w:color w:val="000000"/>
                <w:sz w:val="24"/>
                <w:szCs w:val="24"/>
                <w:highlight w:val="none"/>
              </w:rPr>
              <w:t>身份证</w:t>
            </w:r>
            <w:r>
              <w:rPr>
                <w:rFonts w:hint="default" w:ascii="宋体" w:hAnsi="宋体" w:cs="宋体"/>
                <w:color w:val="000000"/>
                <w:sz w:val="24"/>
                <w:szCs w:val="24"/>
                <w:highlight w:val="none"/>
              </w:rPr>
              <w:t>、</w:t>
            </w:r>
            <w:r>
              <w:rPr>
                <w:rFonts w:hint="default" w:ascii="宋体" w:hAnsi="宋体" w:cs="宋体"/>
                <w:b/>
                <w:color w:val="000000"/>
                <w:sz w:val="24"/>
                <w:szCs w:val="24"/>
                <w:highlight w:val="none"/>
              </w:rPr>
              <w:t>职称证</w:t>
            </w:r>
            <w:r>
              <w:rPr>
                <w:rFonts w:hint="default" w:ascii="宋体" w:hAnsi="宋体" w:cs="宋体"/>
                <w:color w:val="000000"/>
                <w:sz w:val="24"/>
                <w:szCs w:val="24"/>
                <w:highlight w:val="none"/>
              </w:rPr>
              <w:t>（职称证书需提供人力资源和社会保障行政部门核准备案机构的</w:t>
            </w:r>
            <w:r>
              <w:rPr>
                <w:rFonts w:hint="default" w:ascii="宋体" w:hAnsi="宋体" w:cs="宋体"/>
                <w:color w:val="000000"/>
                <w:sz w:val="24"/>
                <w:szCs w:val="24"/>
                <w:highlight w:val="none"/>
                <w:u w:val="single"/>
              </w:rPr>
              <w:t>网页查询截图</w:t>
            </w:r>
            <w:r>
              <w:rPr>
                <w:rFonts w:hint="default" w:ascii="宋体" w:hAnsi="宋体" w:cs="宋体"/>
                <w:color w:val="000000"/>
                <w:sz w:val="24"/>
                <w:szCs w:val="24"/>
                <w:highlight w:val="none"/>
              </w:rPr>
              <w:t>）或</w:t>
            </w:r>
            <w:r>
              <w:rPr>
                <w:rFonts w:hint="default" w:ascii="宋体" w:hAnsi="宋体" w:cs="宋体"/>
                <w:b/>
                <w:color w:val="000000"/>
                <w:sz w:val="24"/>
                <w:szCs w:val="24"/>
                <w:highlight w:val="none"/>
              </w:rPr>
              <w:t>岗位证</w:t>
            </w:r>
            <w:r>
              <w:rPr>
                <w:rFonts w:hint="default" w:ascii="宋体" w:hAnsi="宋体" w:cs="宋体"/>
                <w:color w:val="000000"/>
                <w:sz w:val="24"/>
                <w:szCs w:val="24"/>
                <w:highlight w:val="none"/>
              </w:rPr>
              <w:t>或</w:t>
            </w:r>
            <w:r>
              <w:rPr>
                <w:rFonts w:hint="default" w:ascii="宋体" w:hAnsi="宋体" w:cs="宋体"/>
                <w:b/>
                <w:color w:val="000000"/>
                <w:sz w:val="24"/>
                <w:szCs w:val="24"/>
                <w:highlight w:val="none"/>
              </w:rPr>
              <w:t>注册证（或执业证）</w:t>
            </w:r>
            <w:r>
              <w:rPr>
                <w:rFonts w:hint="default" w:ascii="宋体" w:hAnsi="宋体" w:cs="宋体"/>
                <w:color w:val="000000"/>
                <w:sz w:val="24"/>
                <w:szCs w:val="24"/>
                <w:highlight w:val="none"/>
              </w:rPr>
              <w:t>扫描件和近6个月在投标单位缴纳的</w:t>
            </w:r>
            <w:r>
              <w:rPr>
                <w:rFonts w:hint="default" w:ascii="宋体" w:hAnsi="宋体" w:cs="宋体"/>
                <w:b/>
                <w:color w:val="000000"/>
                <w:sz w:val="24"/>
                <w:szCs w:val="24"/>
                <w:highlight w:val="none"/>
              </w:rPr>
              <w:t>社保证明</w:t>
            </w:r>
            <w:r>
              <w:rPr>
                <w:rFonts w:hint="default" w:ascii="宋体" w:hAnsi="宋体" w:cs="宋体"/>
                <w:color w:val="000000"/>
                <w:sz w:val="24"/>
                <w:szCs w:val="24"/>
                <w:highlight w:val="none"/>
              </w:rPr>
              <w:t>；</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3.</w:t>
            </w:r>
            <w:r>
              <w:rPr>
                <w:rFonts w:hint="default" w:ascii="宋体" w:hAnsi="宋体" w:cs="宋体"/>
                <w:color w:val="000000"/>
                <w:kern w:val="0"/>
                <w:sz w:val="24"/>
                <w:szCs w:val="24"/>
                <w:highlight w:val="none"/>
              </w:rPr>
              <w:t>注册安全工程师证书（根据安监总人事【2017】118号文，应持有注册安全工程师执业资格证，注册类别为</w:t>
            </w:r>
            <w:r>
              <w:rPr>
                <w:rFonts w:hint="default" w:ascii="宋体" w:hAnsi="宋体" w:cs="宋体"/>
                <w:b/>
                <w:color w:val="000000"/>
                <w:kern w:val="0"/>
                <w:sz w:val="24"/>
                <w:szCs w:val="24"/>
                <w:highlight w:val="none"/>
              </w:rPr>
              <w:t>其他安全（水利）或其他安全（不含消防安全）或其他安全</w:t>
            </w:r>
            <w:r>
              <w:rPr>
                <w:rFonts w:hint="default" w:ascii="宋体" w:hAnsi="宋体" w:cs="宋体"/>
                <w:color w:val="000000"/>
                <w:kern w:val="0"/>
                <w:sz w:val="24"/>
                <w:szCs w:val="24"/>
                <w:highlight w:val="none"/>
              </w:rPr>
              <w:t>，并提供注册安全工程师注册管理系统查询结果截图</w:t>
            </w:r>
            <w:r>
              <w:rPr>
                <w:rFonts w:hint="default" w:ascii="宋体" w:hAnsi="宋体" w:cs="宋体"/>
                <w:color w:val="000000"/>
                <w:sz w:val="24"/>
                <w:szCs w:val="24"/>
                <w:highlight w:val="none"/>
              </w:rPr>
              <w:t>。</w:t>
            </w:r>
          </w:p>
          <w:p>
            <w:pPr>
              <w:keepNext w:val="0"/>
              <w:keepLines w:val="0"/>
              <w:suppressLineNumbers w:val="0"/>
              <w:spacing w:before="0" w:beforeAutospacing="0" w:after="0" w:afterAutospacing="0"/>
              <w:ind w:left="0" w:right="0" w:firstLine="480" w:firstLineChars="200"/>
              <w:jc w:val="left"/>
              <w:textAlignment w:val="baseline"/>
              <w:rPr>
                <w:rFonts w:hint="eastAsia" w:ascii="宋体" w:hAnsi="宋体" w:eastAsia="宋体" w:cs="宋体"/>
                <w:color w:val="auto"/>
                <w:sz w:val="24"/>
                <w:szCs w:val="24"/>
                <w:highlight w:val="none"/>
                <w:lang w:eastAsia="zh-CN"/>
              </w:rPr>
            </w:pPr>
            <w:r>
              <w:rPr>
                <w:rFonts w:hint="default" w:ascii="宋体" w:hAnsi="宋体" w:cs="宋体"/>
                <w:color w:val="000000"/>
                <w:sz w:val="24"/>
                <w:szCs w:val="24"/>
                <w:highlight w:val="none"/>
              </w:rPr>
              <w:t>4.</w:t>
            </w:r>
            <w:r>
              <w:rPr>
                <w:rFonts w:hint="default" w:ascii="宋体" w:hAnsi="宋体" w:cs="宋体"/>
                <w:color w:val="000000"/>
                <w:kern w:val="0"/>
                <w:sz w:val="24"/>
                <w:szCs w:val="24"/>
                <w:highlight w:val="none"/>
              </w:rPr>
              <w:t>未能提供上述资料的不得分</w:t>
            </w:r>
            <w:r>
              <w:rPr>
                <w:rFonts w:hint="default" w:ascii="宋体" w:hAnsi="宋体" w:cs="宋体"/>
                <w:color w:val="000000"/>
                <w:sz w:val="24"/>
                <w:szCs w:val="24"/>
                <w:highlight w:val="none"/>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企业业绩</w:t>
            </w:r>
          </w:p>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color w:val="000000"/>
                <w:sz w:val="24"/>
                <w:szCs w:val="24"/>
                <w:highlight w:val="none"/>
              </w:rPr>
              <w:t>（5分）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投标人近3年（2019年1月1日至今），独立完成过一项公开招标的水利水电工程施工项目业绩：</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1.合同额4500万元及以上的，得5分；</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2.合同额4500万元以下～3000万元（含本数）的，得3分；</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3.合同额3000万元以下～1500万元（含本数），得1分；</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4.1500万元以下的公开招标项目，得0.5分。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本项最多计算一项业绩，选取最高合同额项计分，最多得5分。</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备注：</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hAnsi="宋体" w:cs="宋体"/>
                <w:color w:val="000000"/>
                <w:sz w:val="24"/>
                <w:szCs w:val="24"/>
                <w:highlight w:val="none"/>
              </w:rPr>
              <w:t>1.需提供</w:t>
            </w:r>
            <w:r>
              <w:rPr>
                <w:rFonts w:hint="default" w:ascii="宋体" w:hAnsi="宋体" w:cs="宋体"/>
                <w:b/>
                <w:color w:val="000000"/>
                <w:sz w:val="24"/>
                <w:szCs w:val="24"/>
                <w:highlight w:val="none"/>
              </w:rPr>
              <w:t>中标通知书</w:t>
            </w:r>
            <w:r>
              <w:rPr>
                <w:rFonts w:hint="default" w:ascii="宋体" w:hAnsi="宋体" w:cs="宋体"/>
                <w:color w:val="000000"/>
                <w:sz w:val="24"/>
                <w:szCs w:val="24"/>
                <w:highlight w:val="none"/>
              </w:rPr>
              <w:t>、</w:t>
            </w:r>
            <w:r>
              <w:rPr>
                <w:rFonts w:hint="default" w:ascii="宋体" w:hAnsi="宋体" w:cs="宋体"/>
                <w:b/>
                <w:color w:val="000000"/>
                <w:sz w:val="24"/>
                <w:szCs w:val="24"/>
                <w:highlight w:val="none"/>
              </w:rPr>
              <w:t>合同</w:t>
            </w:r>
            <w:r>
              <w:rPr>
                <w:rFonts w:hint="default" w:ascii="宋体" w:hAnsi="宋体" w:cs="宋体"/>
                <w:color w:val="000000"/>
                <w:sz w:val="24"/>
                <w:szCs w:val="24"/>
                <w:highlight w:val="none"/>
              </w:rPr>
              <w:t>、</w:t>
            </w:r>
            <w:r>
              <w:rPr>
                <w:rFonts w:hint="default" w:ascii="宋体" w:hAnsi="宋体" w:cs="宋体"/>
                <w:b/>
                <w:color w:val="000000"/>
                <w:sz w:val="24"/>
                <w:szCs w:val="24"/>
                <w:highlight w:val="none"/>
              </w:rPr>
              <w:t>完工验收鉴定书或单位工程验收鉴定书或工程竣工验收鉴定书</w:t>
            </w:r>
            <w:r>
              <w:rPr>
                <w:rFonts w:hint="default" w:ascii="宋体" w:hAnsi="宋体" w:cs="宋体"/>
                <w:color w:val="000000"/>
                <w:sz w:val="24"/>
                <w:szCs w:val="24"/>
                <w:highlight w:val="none"/>
              </w:rPr>
              <w:t>等材料、交易中心发布的中标信息的网页截图及查询网址；</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color w:val="000000"/>
                <w:sz w:val="24"/>
                <w:szCs w:val="24"/>
                <w:highlight w:val="none"/>
              </w:rPr>
              <w:t>2.业绩招标公告明确该业绩为独立的水利水电施工总承包资质招标（若为水利水电EPC项目，投标人须作为项目牵头人，合同额以承担的施工合同额作为评审依据）。提供的招标公告和中标信息的网页打印件及查询网址必须来自招标公告载</w:t>
            </w:r>
            <w:r>
              <w:rPr>
                <w:rFonts w:hint="default" w:ascii="宋体" w:hAnsi="宋体" w:cs="宋体"/>
                <w:sz w:val="24"/>
                <w:szCs w:val="24"/>
                <w:highlight w:val="none"/>
              </w:rPr>
              <w:t>明的公共交易平台；</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color w:val="000000"/>
                <w:sz w:val="24"/>
                <w:szCs w:val="24"/>
                <w:highlight w:val="none"/>
              </w:rPr>
            </w:pPr>
            <w:r>
              <w:rPr>
                <w:rFonts w:hint="default" w:ascii="宋体" w:hAnsi="宋体" w:cs="宋体"/>
                <w:sz w:val="24"/>
                <w:szCs w:val="24"/>
                <w:highlight w:val="none"/>
              </w:rPr>
              <w:t>3.类似业绩证明的信息须明确业绩的项目名称、中标价等。</w:t>
            </w:r>
            <w:r>
              <w:rPr>
                <w:rFonts w:hint="default" w:ascii="宋体" w:cs="Calibri"/>
                <w:color w:val="000000"/>
                <w:sz w:val="24"/>
                <w:szCs w:val="24"/>
                <w:highlight w:val="none"/>
              </w:rPr>
              <w:t>时间及造价以中标通知书为准，若中标通知书或中标证明未能反映的，时间及造价以施工合同（不含补充合同）为准；</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color w:val="000000"/>
                <w:sz w:val="24"/>
                <w:szCs w:val="24"/>
                <w:highlight w:val="none"/>
              </w:rPr>
            </w:pPr>
            <w:r>
              <w:rPr>
                <w:rFonts w:hint="default" w:ascii="宋体" w:cs="Calibri"/>
                <w:color w:val="000000"/>
                <w:sz w:val="24"/>
                <w:szCs w:val="24"/>
                <w:highlight w:val="none"/>
              </w:rPr>
              <w:t>4.EPC项目须提供分工情况和承担金额（比例）的证明文件；</w:t>
            </w:r>
          </w:p>
          <w:p>
            <w:pPr>
              <w:keepNext w:val="0"/>
              <w:keepLines w:val="0"/>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lang w:bidi="ar"/>
              </w:rPr>
            </w:pPr>
            <w:r>
              <w:rPr>
                <w:rFonts w:hint="default" w:ascii="宋体" w:hAnsi="宋体" w:cs="宋体"/>
                <w:color w:val="000000"/>
                <w:kern w:val="0"/>
                <w:sz w:val="24"/>
                <w:szCs w:val="24"/>
                <w:highlight w:val="none"/>
              </w:rPr>
              <w:t>5.未能提供上述资料的不得分</w:t>
            </w:r>
            <w:r>
              <w:rPr>
                <w:rFonts w:hint="default" w:ascii="宋体" w:hAnsi="宋体" w:cs="宋体"/>
                <w:color w:val="000000"/>
                <w:sz w:val="24"/>
                <w:szCs w:val="24"/>
                <w:highlight w:val="none"/>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color w:val="000000"/>
                <w:sz w:val="24"/>
                <w:szCs w:val="24"/>
                <w:highlight w:val="none"/>
              </w:rPr>
              <w:t>工程获奖情况（20分）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lang w:val="zh-CN"/>
              </w:rPr>
              <w:t>投标人</w:t>
            </w:r>
            <w:r>
              <w:rPr>
                <w:rFonts w:hint="default" w:ascii="宋体" w:hAnsi="宋体" w:cs="宋体"/>
                <w:sz w:val="24"/>
                <w:szCs w:val="24"/>
                <w:highlight w:val="none"/>
              </w:rPr>
              <w:t>2019年1月1日至今，承接或参与承建的水利水电工程施工项目：</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1.获得过省部级（含省级）或以上工程奖，得20分；</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2.获得过市级（含副省级）工程奖，每个得10分；本项最高得20分。</w:t>
            </w:r>
          </w:p>
          <w:p>
            <w:pPr>
              <w:keepNext w:val="0"/>
              <w:keepLines w:val="0"/>
              <w:suppressLineNumbers w:val="0"/>
              <w:spacing w:before="0" w:beforeAutospacing="0" w:after="0" w:afterAutospacing="0"/>
              <w:ind w:left="0" w:right="0"/>
              <w:jc w:val="left"/>
              <w:textAlignment w:val="baseline"/>
              <w:rPr>
                <w:rFonts w:hint="default" w:ascii="宋体" w:hAnsi="宋体" w:cs="宋体"/>
                <w:sz w:val="24"/>
                <w:szCs w:val="24"/>
                <w:highlight w:val="none"/>
              </w:rPr>
            </w:pPr>
            <w:r>
              <w:rPr>
                <w:rFonts w:hint="default" w:ascii="宋体" w:hAnsi="宋体" w:cs="宋体"/>
                <w:sz w:val="24"/>
                <w:szCs w:val="24"/>
                <w:highlight w:val="none"/>
              </w:rPr>
              <w:t>备注：</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sz w:val="24"/>
                <w:szCs w:val="24"/>
                <w:highlight w:val="none"/>
              </w:rPr>
            </w:pPr>
            <w:r>
              <w:rPr>
                <w:rFonts w:hint="default" w:ascii="宋体" w:cs="Calibri"/>
                <w:sz w:val="24"/>
                <w:szCs w:val="24"/>
                <w:highlight w:val="none"/>
              </w:rPr>
              <w:t>1.须提供</w:t>
            </w:r>
            <w:r>
              <w:rPr>
                <w:rFonts w:hint="default" w:ascii="宋体" w:cs="Calibri"/>
                <w:b/>
                <w:sz w:val="24"/>
                <w:szCs w:val="24"/>
                <w:highlight w:val="none"/>
              </w:rPr>
              <w:t>获奖证书扫描件或图片</w:t>
            </w:r>
            <w:r>
              <w:rPr>
                <w:rFonts w:hint="default" w:ascii="宋体" w:hAnsi="宋体" w:cs="宋体"/>
                <w:color w:val="000000"/>
                <w:sz w:val="24"/>
                <w:szCs w:val="24"/>
                <w:highlight w:val="none"/>
              </w:rPr>
              <w:t>、获奖公示</w:t>
            </w:r>
            <w:r>
              <w:rPr>
                <w:rFonts w:hint="default" w:ascii="宋体" w:hAnsi="宋体" w:cs="宋体"/>
                <w:b/>
                <w:color w:val="000000"/>
                <w:sz w:val="24"/>
                <w:szCs w:val="24"/>
                <w:highlight w:val="none"/>
              </w:rPr>
              <w:t>网页打印页及网址</w:t>
            </w:r>
            <w:r>
              <w:rPr>
                <w:rFonts w:hint="default" w:ascii="宋体" w:cs="Calibri"/>
                <w:sz w:val="24"/>
                <w:szCs w:val="24"/>
                <w:highlight w:val="none"/>
              </w:rPr>
              <w:t>，获奖时间以证书中载明的的发证时间为准。</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sz w:val="24"/>
                <w:szCs w:val="24"/>
                <w:highlight w:val="none"/>
              </w:rPr>
            </w:pPr>
            <w:r>
              <w:rPr>
                <w:rFonts w:hint="default" w:ascii="宋体" w:hAnsi="宋体" w:cs="宋体"/>
                <w:sz w:val="24"/>
                <w:szCs w:val="24"/>
                <w:highlight w:val="none"/>
              </w:rPr>
              <w:t>2.获奖工程指水利水电工程施工项目，其他工程不得分。省部级工程奖项指鲁班奖、中国水利工程优质（大禹）奖、优质工程奖、土木工程詹天佑奖等，市级（含副省级）工程奖项指市级（含副省级）优质工程奖或优良样板工程奖；工程类奖项</w:t>
            </w:r>
            <w:r>
              <w:rPr>
                <w:rFonts w:hint="default" w:ascii="宋体" w:cs="Calibri"/>
                <w:sz w:val="24"/>
                <w:szCs w:val="24"/>
                <w:highlight w:val="none"/>
              </w:rPr>
              <w:t>不含安全文明类、QC类、工法、技术应用、科技类或技术类等非项目整体工程类奖项。</w:t>
            </w:r>
            <w:r>
              <w:rPr>
                <w:rFonts w:hint="default" w:ascii="宋体" w:hAnsi="宋体" w:cs="宋体"/>
                <w:color w:val="000000"/>
                <w:kern w:val="0"/>
                <w:sz w:val="24"/>
                <w:szCs w:val="24"/>
                <w:highlight w:val="none"/>
              </w:rPr>
              <w:t>发证单位非政府部门的须同时提供该发证单位</w:t>
            </w:r>
            <w:r>
              <w:rPr>
                <w:rFonts w:hint="default" w:ascii="宋体" w:hAnsi="宋体" w:cs="宋体"/>
                <w:sz w:val="24"/>
                <w:szCs w:val="24"/>
                <w:highlight w:val="none"/>
              </w:rPr>
              <w:t>在</w:t>
            </w:r>
            <w:r>
              <w:rPr>
                <w:rFonts w:hint="default" w:ascii="宋体" w:cs="Calibri"/>
                <w:sz w:val="24"/>
                <w:szCs w:val="24"/>
                <w:highlight w:val="none"/>
              </w:rPr>
              <w:t>“中国社会组织政务服务平台”有登记的网页查询截图（网址：</w:t>
            </w:r>
            <w:r>
              <w:rPr>
                <w:rFonts w:hint="default" w:ascii="宋体" w:cs="Calibri"/>
                <w:color w:val="auto"/>
                <w:sz w:val="24"/>
                <w:szCs w:val="24"/>
                <w:highlight w:val="none"/>
                <w:u w:val="none"/>
              </w:rPr>
              <w:t>https://chinanpo.mca.gov.cn），证明其有登记备案，否则不得分。</w:t>
            </w:r>
          </w:p>
          <w:p>
            <w:pPr>
              <w:keepNext w:val="0"/>
              <w:keepLines w:val="0"/>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kern w:val="2"/>
                <w:sz w:val="24"/>
                <w:szCs w:val="24"/>
                <w:highlight w:val="none"/>
                <w:lang w:val="en-US" w:eastAsia="zh-CN" w:bidi="ar"/>
              </w:rPr>
            </w:pPr>
            <w:r>
              <w:rPr>
                <w:rFonts w:hint="default" w:ascii="宋体" w:hAnsi="宋体" w:cs="宋体"/>
                <w:color w:val="000000"/>
                <w:kern w:val="0"/>
                <w:sz w:val="24"/>
                <w:szCs w:val="24"/>
                <w:highlight w:val="none"/>
              </w:rPr>
              <w:t>3.未能提供上述资料的不得分</w:t>
            </w:r>
            <w:r>
              <w:rPr>
                <w:rFonts w:hint="default" w:ascii="宋体" w:hAnsi="宋体" w:cs="宋体"/>
                <w:color w:val="000000"/>
                <w:sz w:val="24"/>
                <w:szCs w:val="24"/>
                <w:highlight w:val="none"/>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sz w:val="24"/>
                <w:szCs w:val="24"/>
                <w:highlight w:val="none"/>
              </w:rPr>
              <w:t>企业荣誉（20分）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cs="Calibri"/>
                <w:sz w:val="24"/>
                <w:szCs w:val="24"/>
                <w:highlight w:val="none"/>
                <w:lang w:val="zh-CN"/>
              </w:rPr>
              <w:t>投标人</w:t>
            </w:r>
            <w:r>
              <w:rPr>
                <w:rFonts w:hint="default" w:ascii="宋体" w:hAnsi="宋体" w:cs="宋体"/>
                <w:color w:val="000000"/>
                <w:sz w:val="24"/>
                <w:szCs w:val="24"/>
                <w:highlight w:val="none"/>
              </w:rPr>
              <w:t>近3年（2019年1月1日至今）获得</w:t>
            </w:r>
            <w:r>
              <w:rPr>
                <w:rFonts w:hint="default" w:ascii="宋体" w:hAnsi="宋体" w:cs="Calibri"/>
                <w:kern w:val="0"/>
                <w:sz w:val="24"/>
                <w:szCs w:val="24"/>
                <w:highlight w:val="none"/>
              </w:rPr>
              <w:t>企业荣誉类证书</w:t>
            </w:r>
            <w:r>
              <w:rPr>
                <w:rFonts w:hint="default" w:ascii="宋体" w:hAnsi="宋体" w:cs="宋体"/>
                <w:color w:val="000000"/>
                <w:sz w:val="24"/>
                <w:szCs w:val="24"/>
                <w:highlight w:val="none"/>
              </w:rPr>
              <w:t>：</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cs="Calibri"/>
                <w:color w:val="000000"/>
                <w:sz w:val="24"/>
                <w:szCs w:val="24"/>
                <w:highlight w:val="none"/>
              </w:rPr>
              <w:t>1.</w:t>
            </w:r>
            <w:r>
              <w:rPr>
                <w:rFonts w:hint="default" w:ascii="宋体" w:hAnsi="宋体" w:cs="宋体"/>
                <w:sz w:val="24"/>
                <w:szCs w:val="24"/>
                <w:highlight w:val="none"/>
              </w:rPr>
              <w:t>连续3年（含3年）或以上获得国家级（含部级行政部门）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得20分；连续2年获得国家级（含部级行政部门）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得15分；获得国家级（含部级行政部门）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得10分；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cs="Calibri"/>
                <w:color w:val="000000"/>
                <w:sz w:val="24"/>
                <w:szCs w:val="24"/>
                <w:highlight w:val="none"/>
              </w:rPr>
              <w:t>2.</w:t>
            </w:r>
            <w:r>
              <w:rPr>
                <w:rFonts w:hint="default" w:ascii="宋体" w:hAnsi="宋体" w:cs="宋体"/>
                <w:sz w:val="24"/>
                <w:szCs w:val="24"/>
                <w:highlight w:val="none"/>
              </w:rPr>
              <w:t>连续3年（含3年）或以上获得省级（含省级行政部门）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得9分；连续2年获得省级（含省级行政部门）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得7分；获得省级（含省级行政部门）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cs="Calibri"/>
                <w:color w:val="000000"/>
                <w:sz w:val="24"/>
                <w:szCs w:val="24"/>
                <w:highlight w:val="none"/>
              </w:rPr>
              <w:t>3.</w:t>
            </w:r>
            <w:r>
              <w:rPr>
                <w:rFonts w:hint="default" w:ascii="宋体" w:hAnsi="宋体" w:cs="宋体"/>
                <w:sz w:val="24"/>
                <w:szCs w:val="24"/>
                <w:highlight w:val="none"/>
              </w:rPr>
              <w:t>连续3年（含3年）或以上获得市级（含市级行政部门）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得4分；连续2年获得市级（含市级行政部门）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得2分；获得市级（含市级行政部门）</w:t>
            </w:r>
            <w:r>
              <w:rPr>
                <w:rFonts w:hint="default" w:ascii="宋体" w:hAnsi="宋体" w:cs="Calibri"/>
                <w:kern w:val="0"/>
                <w:sz w:val="24"/>
                <w:szCs w:val="24"/>
                <w:highlight w:val="none"/>
              </w:rPr>
              <w:t>颁发的企业荣誉类证书</w:t>
            </w:r>
            <w:r>
              <w:rPr>
                <w:rFonts w:hint="default" w:ascii="宋体" w:hAnsi="宋体" w:cs="宋体"/>
                <w:sz w:val="24"/>
                <w:szCs w:val="24"/>
                <w:highlight w:val="none"/>
              </w:rPr>
              <w:t>得1分；其他不得分。</w:t>
            </w:r>
          </w:p>
          <w:p>
            <w:pPr>
              <w:keepNext w:val="0"/>
              <w:keepLines w:val="0"/>
              <w:widowControl/>
              <w:suppressLineNumbers w:val="0"/>
              <w:spacing w:before="0" w:beforeAutospacing="0" w:after="0" w:afterAutospacing="0"/>
              <w:ind w:left="0" w:right="0"/>
              <w:jc w:val="left"/>
              <w:textAlignment w:val="baseline"/>
              <w:rPr>
                <w:rFonts w:hint="default" w:ascii="宋体" w:hAnsi="宋体" w:cs="宋体"/>
                <w:sz w:val="24"/>
                <w:szCs w:val="24"/>
                <w:highlight w:val="none"/>
              </w:rPr>
            </w:pPr>
            <w:r>
              <w:rPr>
                <w:rFonts w:hint="default" w:ascii="宋体" w:hAnsi="宋体" w:cs="宋体"/>
                <w:sz w:val="24"/>
                <w:szCs w:val="24"/>
                <w:highlight w:val="none"/>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1.此项最高得分20分，以获得最高荣誉</w:t>
            </w:r>
            <w:r>
              <w:rPr>
                <w:rFonts w:hint="default" w:ascii="宋体" w:hAnsi="宋体" w:cs="Calibri"/>
                <w:kern w:val="0"/>
                <w:sz w:val="24"/>
                <w:szCs w:val="24"/>
                <w:highlight w:val="none"/>
              </w:rPr>
              <w:t>类证书</w:t>
            </w:r>
            <w:r>
              <w:rPr>
                <w:rFonts w:hint="default" w:ascii="宋体" w:hAnsi="宋体" w:cs="宋体"/>
                <w:sz w:val="24"/>
                <w:szCs w:val="24"/>
                <w:highlight w:val="none"/>
              </w:rPr>
              <w:t>计分。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2.奖项颁发机构必须是国家、省、市人民政府或行政部门与经民政部门批准成立的组织方联合颁发的为准（民政部门批准成立的组织方须提供在“中国社会组织政务服务平台”有登记的网页查询截图（网址：</w:t>
            </w:r>
            <w:r>
              <w:rPr>
                <w:rFonts w:hint="default" w:ascii="宋体" w:hAnsi="宋体" w:cs="宋体"/>
                <w:color w:val="auto"/>
                <w:sz w:val="24"/>
                <w:szCs w:val="24"/>
                <w:highlight w:val="none"/>
                <w:u w:val="none"/>
              </w:rPr>
              <w:t>https://chinanpo.mca.gov.cn），证明其有登记备案</w:t>
            </w:r>
            <w:r>
              <w:rPr>
                <w:rFonts w:hint="default" w:ascii="宋体" w:cs="Calibri"/>
                <w:color w:val="auto"/>
                <w:sz w:val="24"/>
                <w:szCs w:val="24"/>
                <w:highlight w:val="none"/>
                <w:u w:val="none"/>
              </w:rPr>
              <w:t>，否则不得分</w:t>
            </w:r>
            <w:r>
              <w:rPr>
                <w:rFonts w:hint="default" w:ascii="宋体" w:hAnsi="宋体" w:cs="宋体"/>
                <w:color w:val="auto"/>
                <w:sz w:val="24"/>
                <w:szCs w:val="24"/>
                <w:highlight w:val="none"/>
                <w:u w:val="none"/>
              </w:rPr>
              <w:t>）。</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3.需提供荣誉证书扫描件（荣誉证书须提供在相关网站的查询结果网页截图）；时间以获奖证书载明日期为准。</w:t>
            </w:r>
          </w:p>
          <w:p>
            <w:pPr>
              <w:keepNext w:val="0"/>
              <w:keepLines w:val="0"/>
              <w:widowControl/>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lang w:eastAsia="zh-CN" w:bidi="ar"/>
              </w:rPr>
            </w:pPr>
            <w:r>
              <w:rPr>
                <w:rFonts w:hint="default" w:ascii="宋体" w:hAnsi="宋体" w:cs="宋体"/>
                <w:sz w:val="24"/>
                <w:szCs w:val="24"/>
                <w:highlight w:val="none"/>
              </w:rPr>
              <w:t>4.未能提供上述资料的不得分。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default" w:ascii="宋体" w:hAnsi="宋体" w:cs="Calibri"/>
                <w:color w:val="000000"/>
                <w:sz w:val="24"/>
                <w:szCs w:val="24"/>
                <w:highlight w:val="none"/>
              </w:rPr>
              <w:t>管理体系</w:t>
            </w:r>
            <w:r>
              <w:rPr>
                <w:rFonts w:hint="default" w:ascii="宋体" w:cs="Calibri"/>
                <w:sz w:val="24"/>
                <w:szCs w:val="24"/>
                <w:highlight w:val="none"/>
              </w:rPr>
              <w:t>（13分）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投标人获得有效期内的</w:t>
            </w:r>
            <w:r>
              <w:rPr>
                <w:rFonts w:hint="default" w:ascii="宋体" w:hAnsi="宋体" w:cs="宋体"/>
                <w:b w:val="0"/>
                <w:bCs/>
                <w:sz w:val="24"/>
                <w:szCs w:val="24"/>
                <w:highlight w:val="none"/>
              </w:rPr>
              <w:t>质量管理体系、环境管理体系、职业健康安全管理体系、信息安全管理体系、工程施工安全标准化体系、工程类绿色施工认证证书（资质范围许可包含水利水电工程施工总承包）。</w:t>
            </w:r>
            <w:r>
              <w:rPr>
                <w:rFonts w:hint="default" w:ascii="宋体" w:hAnsi="宋体" w:cs="Calibri"/>
                <w:b w:val="0"/>
                <w:bCs/>
                <w:sz w:val="24"/>
                <w:szCs w:val="24"/>
                <w:highlight w:val="none"/>
              </w:rPr>
              <w:t>全</w:t>
            </w:r>
            <w:r>
              <w:rPr>
                <w:rFonts w:hint="default" w:ascii="宋体" w:hAnsi="宋体" w:cs="Calibri"/>
                <w:sz w:val="24"/>
                <w:szCs w:val="24"/>
                <w:highlight w:val="none"/>
              </w:rPr>
              <w:t>部满足得13分；满足其中5项的得6分；满足其中4项的得3分；满足其中3项及以下的得1分。</w:t>
            </w:r>
          </w:p>
          <w:p>
            <w:pPr>
              <w:keepNext w:val="0"/>
              <w:keepLines w:val="0"/>
              <w:widowControl/>
              <w:suppressLineNumbers w:val="0"/>
              <w:spacing w:before="0" w:beforeAutospacing="0" w:after="0" w:afterAutospacing="0"/>
              <w:ind w:left="0" w:right="0"/>
              <w:jc w:val="left"/>
              <w:textAlignment w:val="baseline"/>
              <w:rPr>
                <w:rFonts w:hint="default" w:ascii="宋体" w:hAnsi="宋体" w:cs="宋体"/>
                <w:sz w:val="24"/>
                <w:szCs w:val="24"/>
                <w:highlight w:val="none"/>
              </w:rPr>
            </w:pPr>
            <w:r>
              <w:rPr>
                <w:rFonts w:hint="default" w:ascii="宋体" w:hAnsi="宋体" w:cs="宋体"/>
                <w:sz w:val="24"/>
                <w:szCs w:val="24"/>
                <w:highlight w:val="none"/>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1.提供相关证书扫描件及国家认证认可监督管理委员会官方网站中全国认证认可信息公共服务平台（http://cx.cnca.cn/CertECloud/index/index/page）查询结果(含网址的网页截图)，不齐全的不得分；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2.上述资料扫描件及网页截图需加盖投标人公章；</w:t>
            </w:r>
          </w:p>
          <w:p>
            <w:pPr>
              <w:keepNext w:val="0"/>
              <w:keepLines w:val="0"/>
              <w:widowControl/>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lang w:bidi="ar"/>
              </w:rPr>
            </w:pPr>
            <w:r>
              <w:rPr>
                <w:rFonts w:hint="default" w:ascii="宋体" w:hAnsi="宋体" w:cs="宋体"/>
                <w:sz w:val="24"/>
                <w:szCs w:val="24"/>
                <w:highlight w:val="none"/>
              </w:rPr>
              <w:t>3.</w:t>
            </w:r>
            <w:r>
              <w:rPr>
                <w:rFonts w:hint="default" w:ascii="宋体" w:hAnsi="宋体" w:cs="宋体"/>
                <w:color w:val="000000"/>
                <w:kern w:val="0"/>
                <w:sz w:val="24"/>
                <w:szCs w:val="24"/>
                <w:highlight w:val="none"/>
              </w:rPr>
              <w:t>未能提供上述资料的不得分</w:t>
            </w:r>
            <w:r>
              <w:rPr>
                <w:rFonts w:hint="default" w:ascii="宋体" w:hAnsi="宋体" w:cs="宋体"/>
                <w:sz w:val="24"/>
                <w:szCs w:val="24"/>
                <w:highlight w:val="none"/>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default" w:cs="Calibri"/>
                <w:sz w:val="24"/>
                <w:szCs w:val="24"/>
                <w:highlight w:val="none"/>
              </w:rPr>
            </w:pPr>
            <w:r>
              <w:rPr>
                <w:rFonts w:hint="default" w:ascii="宋体" w:cs="Calibri"/>
                <w:sz w:val="24"/>
                <w:szCs w:val="24"/>
                <w:highlight w:val="none"/>
              </w:rPr>
              <w:t>第三方评价</w:t>
            </w:r>
          </w:p>
          <w:p>
            <w:pPr>
              <w:keepNext w:val="0"/>
              <w:keepLines w:val="0"/>
              <w:suppressLineNumbers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default" w:ascii="宋体" w:cs="Calibri"/>
                <w:sz w:val="24"/>
                <w:szCs w:val="24"/>
                <w:highlight w:val="none"/>
              </w:rPr>
              <w:t>（12分）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highlight w:val="none"/>
              </w:rPr>
            </w:pPr>
            <w:r>
              <w:rPr>
                <w:rFonts w:hint="default" w:ascii="宋体" w:cs="Calibri"/>
                <w:sz w:val="24"/>
                <w:szCs w:val="24"/>
                <w:highlight w:val="none"/>
                <w:lang w:val="zh-CN"/>
              </w:rPr>
              <w:t>投标人</w:t>
            </w:r>
            <w:r>
              <w:rPr>
                <w:rFonts w:hint="default" w:ascii="宋体" w:hAnsi="宋体" w:cs="宋体"/>
                <w:color w:val="000000"/>
                <w:sz w:val="24"/>
                <w:szCs w:val="24"/>
                <w:highlight w:val="none"/>
              </w:rPr>
              <w:t>近3年（2019年1月1日至今）：</w:t>
            </w:r>
          </w:p>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cs="Calibri"/>
                <w:color w:val="000000"/>
                <w:sz w:val="24"/>
                <w:szCs w:val="24"/>
                <w:highlight w:val="none"/>
              </w:rPr>
              <w:t>1.</w:t>
            </w:r>
            <w:r>
              <w:rPr>
                <w:rFonts w:hint="default" w:ascii="宋体" w:cs="Calibri"/>
                <w:sz w:val="24"/>
                <w:szCs w:val="24"/>
                <w:highlight w:val="none"/>
              </w:rPr>
              <w:t>获得过</w:t>
            </w:r>
            <w:r>
              <w:rPr>
                <w:rFonts w:hint="default" w:ascii="宋体" w:hAnsi="宋体" w:cs="宋体"/>
                <w:sz w:val="24"/>
                <w:szCs w:val="24"/>
                <w:highlight w:val="none"/>
              </w:rPr>
              <w:t>国家级（含部级）相关机构颁发的“质量、服务、信誉AAA企业”、“诚信企业”、“科技创新示范单位”等企业类称号，</w:t>
            </w:r>
            <w:r>
              <w:rPr>
                <w:rFonts w:hint="default" w:ascii="宋体" w:cs="Calibri"/>
                <w:sz w:val="24"/>
                <w:szCs w:val="24"/>
                <w:highlight w:val="none"/>
              </w:rPr>
              <w:t>且证书在有效期内</w:t>
            </w:r>
            <w:r>
              <w:rPr>
                <w:rFonts w:hint="default" w:ascii="宋体" w:hAnsi="宋体" w:cs="宋体"/>
                <w:sz w:val="24"/>
                <w:szCs w:val="24"/>
                <w:highlight w:val="none"/>
              </w:rPr>
              <w:t>得12分；</w:t>
            </w:r>
          </w:p>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cs="Calibri"/>
                <w:color w:val="000000"/>
                <w:sz w:val="24"/>
                <w:szCs w:val="24"/>
                <w:highlight w:val="none"/>
              </w:rPr>
              <w:t>2.</w:t>
            </w:r>
            <w:r>
              <w:rPr>
                <w:rFonts w:hint="default" w:ascii="宋体" w:cs="Calibri"/>
                <w:sz w:val="24"/>
                <w:szCs w:val="24"/>
                <w:highlight w:val="none"/>
              </w:rPr>
              <w:t>获得过</w:t>
            </w:r>
            <w:r>
              <w:rPr>
                <w:rFonts w:hint="default" w:ascii="宋体" w:hAnsi="宋体" w:cs="宋体"/>
                <w:sz w:val="24"/>
                <w:szCs w:val="24"/>
                <w:highlight w:val="none"/>
              </w:rPr>
              <w:t>省级相关机构颁发的“质量、服务、信誉AAA企业”、“诚信企业”、“科技创新示范单位”等企业类称号，</w:t>
            </w:r>
            <w:r>
              <w:rPr>
                <w:rFonts w:hint="default" w:ascii="宋体" w:cs="Calibri"/>
                <w:sz w:val="24"/>
                <w:szCs w:val="24"/>
                <w:highlight w:val="none"/>
              </w:rPr>
              <w:t>且证书在有效期内</w:t>
            </w:r>
            <w:r>
              <w:rPr>
                <w:rFonts w:hint="default" w:ascii="宋体" w:hAnsi="宋体" w:cs="宋体"/>
                <w:sz w:val="24"/>
                <w:szCs w:val="24"/>
                <w:highlight w:val="none"/>
              </w:rPr>
              <w:t>得6分；</w:t>
            </w:r>
          </w:p>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cs="Calibri"/>
                <w:color w:val="000000"/>
                <w:sz w:val="24"/>
                <w:szCs w:val="24"/>
                <w:highlight w:val="none"/>
              </w:rPr>
              <w:t>3.</w:t>
            </w:r>
            <w:r>
              <w:rPr>
                <w:rFonts w:hint="default" w:ascii="宋体" w:cs="Calibri"/>
                <w:sz w:val="24"/>
                <w:szCs w:val="24"/>
                <w:highlight w:val="none"/>
              </w:rPr>
              <w:t>获得过市</w:t>
            </w:r>
            <w:r>
              <w:rPr>
                <w:rFonts w:hint="default" w:ascii="宋体" w:hAnsi="宋体" w:cs="宋体"/>
                <w:sz w:val="24"/>
                <w:szCs w:val="24"/>
                <w:highlight w:val="none"/>
              </w:rPr>
              <w:t>级相关机构颁发的“质量、服务、信誉AAA企业”、“诚信企业”、“科技创新示范单位”等企业类称号，</w:t>
            </w:r>
            <w:r>
              <w:rPr>
                <w:rFonts w:hint="default" w:ascii="宋体" w:cs="Calibri"/>
                <w:sz w:val="24"/>
                <w:szCs w:val="24"/>
                <w:highlight w:val="none"/>
              </w:rPr>
              <w:t>且证书在有效期内</w:t>
            </w:r>
            <w:r>
              <w:rPr>
                <w:rFonts w:hint="default" w:ascii="宋体" w:hAnsi="宋体" w:cs="宋体"/>
                <w:sz w:val="24"/>
                <w:szCs w:val="24"/>
                <w:highlight w:val="none"/>
              </w:rPr>
              <w:t>得3分；其他不得分。</w:t>
            </w:r>
          </w:p>
          <w:p>
            <w:pPr>
              <w:keepNext w:val="0"/>
              <w:keepLines w:val="0"/>
              <w:widowControl/>
              <w:suppressLineNumbers w:val="0"/>
              <w:spacing w:before="0" w:beforeAutospacing="0" w:after="0" w:afterAutospacing="0"/>
              <w:ind w:left="0" w:right="0"/>
              <w:jc w:val="left"/>
              <w:textAlignment w:val="baseline"/>
              <w:rPr>
                <w:rFonts w:hint="default" w:ascii="宋体" w:hAnsi="宋体" w:cs="宋体"/>
                <w:sz w:val="24"/>
                <w:szCs w:val="24"/>
                <w:highlight w:val="none"/>
              </w:rPr>
            </w:pPr>
            <w:r>
              <w:rPr>
                <w:rFonts w:hint="default" w:ascii="宋体" w:hAnsi="宋体" w:cs="宋体"/>
                <w:sz w:val="24"/>
                <w:szCs w:val="24"/>
                <w:highlight w:val="none"/>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1.须提供相关证书（或奖牌或牌匾）扫描件（须同时提供在发证机构官网的查询结果网页截图），</w:t>
            </w:r>
            <w:r>
              <w:rPr>
                <w:rFonts w:hint="default" w:ascii="宋体" w:hAnsi="宋体" w:cs="宋体"/>
                <w:color w:val="000000"/>
                <w:kern w:val="0"/>
                <w:sz w:val="24"/>
                <w:szCs w:val="24"/>
                <w:highlight w:val="none"/>
              </w:rPr>
              <w:t>发证单位非政府部门的须同时提供该发证单位</w:t>
            </w:r>
            <w:r>
              <w:rPr>
                <w:rFonts w:hint="default" w:ascii="宋体" w:hAnsi="宋体" w:cs="宋体"/>
                <w:sz w:val="24"/>
                <w:szCs w:val="24"/>
                <w:highlight w:val="none"/>
              </w:rPr>
              <w:t>在“中国社会组织政务服务平台”有登记的网页查询截图（网址：</w:t>
            </w:r>
            <w:r>
              <w:rPr>
                <w:rFonts w:hint="default" w:ascii="宋体" w:hAnsi="宋体" w:cs="宋体"/>
                <w:color w:val="auto"/>
                <w:sz w:val="24"/>
                <w:szCs w:val="24"/>
                <w:highlight w:val="none"/>
                <w:u w:val="none"/>
              </w:rPr>
              <w:t>https://chinanpo.mca.gov.cn/），证明其有登记备案，否则不得分。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highlight w:val="none"/>
              </w:rPr>
            </w:pPr>
            <w:r>
              <w:rPr>
                <w:rFonts w:hint="default" w:ascii="宋体" w:hAnsi="宋体" w:cs="宋体"/>
                <w:sz w:val="24"/>
                <w:szCs w:val="24"/>
                <w:highlight w:val="none"/>
              </w:rPr>
              <w:t>2.获奖时间以证书（或奖牌或牌匾）中载明的的发证时间为准（</w:t>
            </w:r>
            <w:r>
              <w:rPr>
                <w:rFonts w:hint="default" w:ascii="宋体" w:cs="Calibri"/>
                <w:color w:val="000000"/>
                <w:sz w:val="24"/>
                <w:szCs w:val="24"/>
                <w:highlight w:val="none"/>
              </w:rPr>
              <w:t>若证书未能体现发证时间，以</w:t>
            </w:r>
            <w:r>
              <w:rPr>
                <w:rFonts w:hint="default" w:ascii="宋体" w:hAnsi="宋体" w:cs="宋体"/>
                <w:sz w:val="24"/>
                <w:szCs w:val="24"/>
                <w:highlight w:val="none"/>
              </w:rPr>
              <w:t>发证机构官网查询结果中的批准日期</w:t>
            </w:r>
            <w:r>
              <w:rPr>
                <w:rFonts w:hint="default" w:ascii="宋体" w:cs="Calibri"/>
                <w:color w:val="000000"/>
                <w:sz w:val="24"/>
                <w:szCs w:val="24"/>
                <w:highlight w:val="none"/>
              </w:rPr>
              <w:t>为准</w:t>
            </w:r>
            <w:r>
              <w:rPr>
                <w:rFonts w:hint="default" w:ascii="宋体" w:hAnsi="宋体" w:cs="宋体"/>
                <w:sz w:val="24"/>
                <w:szCs w:val="24"/>
                <w:highlight w:val="none"/>
              </w:rPr>
              <w:t>）。</w:t>
            </w:r>
          </w:p>
          <w:p>
            <w:pPr>
              <w:keepNext w:val="0"/>
              <w:keepLines w:val="0"/>
              <w:widowControl/>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rPr>
            </w:pPr>
            <w:r>
              <w:rPr>
                <w:rFonts w:hint="default" w:ascii="宋体" w:hAnsi="宋体" w:cs="宋体"/>
                <w:sz w:val="24"/>
                <w:szCs w:val="24"/>
                <w:highlight w:val="none"/>
              </w:rPr>
              <w:t>3.</w:t>
            </w:r>
            <w:r>
              <w:rPr>
                <w:rFonts w:hint="default" w:ascii="宋体" w:hAnsi="宋体" w:cs="宋体"/>
                <w:color w:val="000000"/>
                <w:kern w:val="0"/>
                <w:sz w:val="24"/>
                <w:szCs w:val="24"/>
                <w:highlight w:val="none"/>
              </w:rPr>
              <w:t>未能提供上述资料的不得分</w:t>
            </w:r>
            <w:r>
              <w:rPr>
                <w:rFonts w:hint="default" w:ascii="宋体" w:hAnsi="宋体" w:cs="宋体"/>
                <w:color w:val="000000"/>
                <w:sz w:val="24"/>
                <w:szCs w:val="24"/>
                <w:highlight w:val="none"/>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default" w:cs="Calibri"/>
                <w:sz w:val="24"/>
                <w:szCs w:val="24"/>
                <w:highlight w:val="none"/>
              </w:rPr>
            </w:pPr>
            <w:r>
              <w:rPr>
                <w:rFonts w:hint="default" w:ascii="宋体" w:cs="Calibri"/>
                <w:sz w:val="24"/>
                <w:szCs w:val="24"/>
                <w:highlight w:val="none"/>
              </w:rPr>
              <w:t>财务指标</w:t>
            </w:r>
          </w:p>
          <w:p>
            <w:pPr>
              <w:keepNext w:val="0"/>
              <w:keepLines w:val="0"/>
              <w:suppressLineNumbers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default" w:ascii="宋体" w:cs="Calibri"/>
                <w:sz w:val="24"/>
                <w:szCs w:val="24"/>
                <w:highlight w:val="none"/>
              </w:rPr>
              <w:t>（15分）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cs="Calibri"/>
                <w:sz w:val="24"/>
                <w:szCs w:val="24"/>
                <w:highlight w:val="none"/>
              </w:rPr>
            </w:pPr>
            <w:r>
              <w:rPr>
                <w:rFonts w:hint="default" w:ascii="宋体" w:cs="Calibri"/>
                <w:sz w:val="24"/>
                <w:szCs w:val="24"/>
                <w:highlight w:val="none"/>
              </w:rPr>
              <w:t>根据会计事务所出具的2019年度、2020年度、2021年度的财务报表打分：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highlight w:val="none"/>
              </w:rPr>
            </w:pPr>
            <w:r>
              <w:rPr>
                <w:rFonts w:hint="default" w:ascii="宋体" w:cs="Calibri"/>
                <w:sz w:val="24"/>
                <w:szCs w:val="24"/>
                <w:highlight w:val="none"/>
              </w:rPr>
              <w:t>1.连续三年盈利且三年平均资产负债率在0～30%（不含30%）的，得15分；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highlight w:val="none"/>
              </w:rPr>
            </w:pPr>
            <w:r>
              <w:rPr>
                <w:rFonts w:hint="default" w:ascii="宋体" w:cs="Calibri"/>
                <w:sz w:val="24"/>
                <w:szCs w:val="24"/>
                <w:highlight w:val="none"/>
              </w:rPr>
              <w:t>2.连续三年盈利且三年平均资产负债率在30%（含30%）～40%（不含40%）的，得7分；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highlight w:val="none"/>
              </w:rPr>
            </w:pPr>
            <w:r>
              <w:rPr>
                <w:rFonts w:hint="default" w:ascii="宋体" w:cs="Calibri"/>
                <w:sz w:val="24"/>
                <w:szCs w:val="24"/>
                <w:highlight w:val="none"/>
              </w:rPr>
              <w:t>3.连续三年盈利且三年平均资产负债率在40%（含40%）～50%（不含50%）的，得3分；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highlight w:val="none"/>
              </w:rPr>
            </w:pPr>
            <w:r>
              <w:rPr>
                <w:rFonts w:hint="default" w:ascii="宋体" w:cs="Calibri"/>
                <w:sz w:val="24"/>
                <w:szCs w:val="24"/>
                <w:highlight w:val="none"/>
              </w:rPr>
              <w:t>4.连续三年盈利且三年平均资产负债率在50%（含50%）～60%（不含60%）的，得1分；</w:t>
            </w:r>
            <w:r>
              <w:rPr>
                <w:rFonts w:hint="default" w:ascii="宋体" w:cs="Calibri"/>
                <w:sz w:val="24"/>
                <w:szCs w:val="24"/>
                <w:highlight w:val="none"/>
                <w:lang w:val="zh-CN"/>
              </w:rPr>
              <w:t>其他</w:t>
            </w:r>
            <w:r>
              <w:rPr>
                <w:rFonts w:hint="default" w:ascii="宋体" w:cs="Calibri"/>
                <w:sz w:val="24"/>
                <w:szCs w:val="24"/>
                <w:highlight w:val="none"/>
              </w:rPr>
              <w:t>不得</w:t>
            </w:r>
            <w:r>
              <w:rPr>
                <w:rFonts w:hint="default" w:ascii="宋体" w:cs="Calibri"/>
                <w:sz w:val="24"/>
                <w:szCs w:val="24"/>
                <w:highlight w:val="none"/>
                <w:lang w:val="zh-CN"/>
              </w:rPr>
              <w:t>分</w:t>
            </w:r>
            <w:r>
              <w:rPr>
                <w:rFonts w:hint="default" w:ascii="宋体" w:cs="Calibri"/>
                <w:sz w:val="24"/>
                <w:szCs w:val="24"/>
                <w:highlight w:val="none"/>
              </w:rPr>
              <w:t>。</w:t>
            </w:r>
          </w:p>
          <w:p>
            <w:pPr>
              <w:keepNext w:val="0"/>
              <w:keepLines w:val="0"/>
              <w:widowControl/>
              <w:suppressLineNumbers w:val="0"/>
              <w:spacing w:before="0" w:beforeAutospacing="0" w:after="0" w:afterAutospacing="0"/>
              <w:ind w:left="0" w:right="0"/>
              <w:jc w:val="left"/>
              <w:textAlignment w:val="baseline"/>
              <w:rPr>
                <w:rFonts w:hint="default" w:ascii="宋体" w:cs="Calibri"/>
                <w:sz w:val="24"/>
                <w:szCs w:val="24"/>
                <w:highlight w:val="none"/>
              </w:rPr>
            </w:pPr>
            <w:r>
              <w:rPr>
                <w:rFonts w:hint="default" w:ascii="宋体" w:cs="Calibri"/>
                <w:sz w:val="24"/>
                <w:szCs w:val="24"/>
                <w:highlight w:val="none"/>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color w:val="auto"/>
                <w:sz w:val="24"/>
                <w:szCs w:val="24"/>
                <w:highlight w:val="none"/>
              </w:rPr>
            </w:pPr>
            <w:r>
              <w:rPr>
                <w:rFonts w:hint="default" w:ascii="宋体" w:cs="Calibri"/>
                <w:sz w:val="24"/>
                <w:szCs w:val="24"/>
                <w:highlight w:val="none"/>
              </w:rPr>
              <w:t>1.投标人须提供完整的近三年(2019-2021年度)经会计事务所审计的财务审计报告及附表（包括资产负债表、利润表、现金流量表等，财务报表附注可不提供）。如年度审计报告未经会计事务所审计或不符合上述情况的，不得分；</w:t>
            </w:r>
          </w:p>
          <w:p>
            <w:pPr>
              <w:keepNext w:val="0"/>
              <w:keepLines w:val="0"/>
              <w:widowControl/>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rPr>
            </w:pPr>
            <w:r>
              <w:rPr>
                <w:rFonts w:hint="default" w:ascii="宋体" w:cs="Calibri"/>
                <w:sz w:val="24"/>
                <w:szCs w:val="24"/>
                <w:highlight w:val="none"/>
              </w:rPr>
              <w:t>2.此项得分最高为15分。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2.2.5(3)</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投标报价评审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default" w:ascii="宋体" w:hAnsi="宋体" w:cs="宋体"/>
                <w:color w:val="auto"/>
                <w:sz w:val="24"/>
                <w:szCs w:val="24"/>
                <w:highlight w:val="none"/>
                <w:lang w:bidi="ar"/>
              </w:rPr>
              <w:t>投标人的投标报价等于评标基准价的，得100分，投标报价比评标基准价每高1%的，扣0.2分；每低1%扣0.1分，扣至0分为止。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8"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2.2.5(4)</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诚信得分评审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投标人诚信评价得分按广州市水务工程企业库及诚信评价系统（http://120.236.111.11:8001/#/website）中的“企业诚信得分&gt;&gt;施工—水利”的“诚信评价总分”计算；未在“诚信管理系统”录入企业信息的投标人（简称“未入库企业”），其诚信评价总分取基准分80分。“评价周期”应为招标公告发布第1天所在季度的上一季度。</w:t>
            </w:r>
          </w:p>
        </w:tc>
      </w:tr>
    </w:tbl>
    <w:p>
      <w:pPr>
        <w:spacing w:line="360" w:lineRule="auto"/>
        <w:jc w:val="center"/>
        <w:outlineLvl w:val="2"/>
        <w:rPr>
          <w:rFonts w:hint="eastAsia" w:ascii="宋体" w:hAnsi="宋体" w:eastAsia="宋体" w:cs="宋体"/>
          <w:color w:val="auto"/>
          <w:sz w:val="24"/>
          <w:szCs w:val="24"/>
          <w:highlight w:val="none"/>
        </w:rPr>
      </w:pPr>
    </w:p>
    <w:p>
      <w:pPr>
        <w:pStyle w:val="3"/>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2" w:name="_Toc32568"/>
      <w:r>
        <w:rPr>
          <w:rFonts w:hint="eastAsia" w:ascii="宋体" w:hAnsi="宋体" w:eastAsia="宋体" w:cs="宋体"/>
          <w:b/>
          <w:bCs/>
          <w:color w:val="auto"/>
          <w:sz w:val="24"/>
          <w:szCs w:val="24"/>
          <w:highlight w:val="none"/>
          <w:lang w:eastAsia="zh-CN"/>
        </w:rPr>
        <w:t>评标</w:t>
      </w:r>
      <w:r>
        <w:rPr>
          <w:rFonts w:hint="eastAsia" w:ascii="宋体" w:hAnsi="宋体" w:eastAsia="宋体" w:cs="宋体"/>
          <w:color w:val="auto"/>
          <w:sz w:val="24"/>
          <w:szCs w:val="24"/>
          <w:highlight w:val="none"/>
          <w:lang w:eastAsia="zh-CN"/>
        </w:rPr>
        <w:t>方法</w:t>
      </w:r>
      <w:bookmarkEnd w:id="132"/>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pPr>
        <w:pStyle w:val="3"/>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3" w:name="_Toc22730"/>
      <w:r>
        <w:rPr>
          <w:rFonts w:hint="eastAsia" w:ascii="宋体" w:hAnsi="宋体" w:eastAsia="宋体" w:cs="宋体"/>
          <w:color w:val="auto"/>
          <w:sz w:val="24"/>
          <w:szCs w:val="24"/>
          <w:highlight w:val="none"/>
          <w:lang w:eastAsia="zh-CN"/>
        </w:rPr>
        <w:t>评审标准</w:t>
      </w:r>
      <w:bookmarkEnd w:id="133"/>
    </w:p>
    <w:p>
      <w:pPr>
        <w:numPr>
          <w:ilvl w:val="1"/>
          <w:numId w:val="19"/>
        </w:numPr>
        <w:spacing w:line="360" w:lineRule="auto"/>
        <w:ind w:left="1322"/>
        <w:jc w:val="left"/>
        <w:outlineLvl w:val="2"/>
        <w:rPr>
          <w:rFonts w:hint="eastAsia" w:ascii="宋体" w:hAnsi="宋体" w:eastAsia="宋体" w:cs="宋体"/>
          <w:b/>
          <w:color w:val="auto"/>
          <w:sz w:val="24"/>
          <w:szCs w:val="24"/>
          <w:highlight w:val="none"/>
        </w:rPr>
      </w:pPr>
      <w:bookmarkStart w:id="134" w:name="_Toc22"/>
      <w:r>
        <w:rPr>
          <w:rFonts w:hint="eastAsia" w:ascii="宋体" w:hAnsi="宋体" w:eastAsia="宋体" w:cs="宋体"/>
          <w:b/>
          <w:color w:val="auto"/>
          <w:sz w:val="24"/>
          <w:szCs w:val="24"/>
          <w:highlight w:val="none"/>
          <w:lang w:bidi="ar"/>
        </w:rPr>
        <w:t>初步评审标准</w:t>
      </w:r>
      <w:bookmarkEnd w:id="1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2.1.1资格评审标准：见评标办法前附表。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2.1.2形式评审标准：见评标办法前附表。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 响应性评审标准：见评标办法前附表。</w:t>
      </w:r>
    </w:p>
    <w:p>
      <w:pPr>
        <w:numPr>
          <w:ilvl w:val="1"/>
          <w:numId w:val="19"/>
        </w:numPr>
        <w:spacing w:line="360" w:lineRule="auto"/>
        <w:ind w:left="1322"/>
        <w:outlineLvl w:val="2"/>
        <w:rPr>
          <w:rFonts w:hint="eastAsia" w:ascii="宋体" w:hAnsi="宋体" w:eastAsia="宋体" w:cs="宋体"/>
          <w:b/>
          <w:color w:val="auto"/>
          <w:sz w:val="24"/>
          <w:szCs w:val="24"/>
          <w:highlight w:val="none"/>
        </w:rPr>
      </w:pPr>
      <w:bookmarkStart w:id="135" w:name="_Toc7516"/>
      <w:r>
        <w:rPr>
          <w:rFonts w:hint="eastAsia" w:ascii="宋体" w:hAnsi="宋体" w:eastAsia="宋体" w:cs="宋体"/>
          <w:b/>
          <w:color w:val="auto"/>
          <w:sz w:val="24"/>
          <w:szCs w:val="24"/>
          <w:highlight w:val="none"/>
          <w:lang w:bidi="ar"/>
        </w:rPr>
        <w:t>分值构成与评分标准</w:t>
      </w:r>
      <w:bookmarkEnd w:id="1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2.2.1 分值构成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通过初步评审且不高于最高投标限价的投标报价为有效投标报价。投标报价不得低于成本价，否则投标报价为无效投标报价。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见第二章投标人须知前附表第3.2.4。对低于该警示价的投标报价，在评标过程中，评标委员会发现投标人的报价明显低于其他投标报价或者低于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 评标基准价计算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评标基准价可按以下方式确定：</w:t>
      </w:r>
      <w:r>
        <w:rPr>
          <w:rFonts w:hint="eastAsia" w:ascii="宋体" w:hAnsi="宋体" w:eastAsia="宋体" w:cs="宋体"/>
          <w:b/>
          <w:color w:val="auto"/>
          <w:sz w:val="24"/>
          <w:szCs w:val="24"/>
          <w:highlight w:val="none"/>
          <w:lang w:bidi="ar"/>
        </w:rPr>
        <w:t>（注：招标人自行选择，两选一）</w:t>
      </w:r>
    </w:p>
    <w:p>
      <w:pPr>
        <w:spacing w:line="360" w:lineRule="auto"/>
        <w:ind w:firstLine="482" w:firstLineChars="200"/>
        <w:rPr>
          <w:rFonts w:hint="eastAsia" w:ascii="宋体" w:hAnsi="宋体" w:eastAsia="宋体" w:cs="宋体"/>
          <w:strike/>
          <w:color w:val="auto"/>
          <w:sz w:val="24"/>
          <w:szCs w:val="24"/>
          <w:highlight w:val="none"/>
        </w:rPr>
      </w:pPr>
      <w:r>
        <w:rPr>
          <w:rFonts w:hint="eastAsia" w:ascii="宋体" w:hAnsi="宋体" w:eastAsia="宋体" w:cs="宋体"/>
          <w:b/>
          <w:strike/>
          <w:color w:val="auto"/>
          <w:sz w:val="24"/>
          <w:szCs w:val="24"/>
          <w:highlight w:val="none"/>
        </w:rPr>
        <w:t>可选方式一</w:t>
      </w:r>
      <w:r>
        <w:rPr>
          <w:rFonts w:hint="eastAsia" w:ascii="宋体" w:hAnsi="宋体" w:eastAsia="宋体" w:cs="宋体"/>
          <w:strike/>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80" w:firstLineChars="200"/>
        <w:rPr>
          <w:rFonts w:hint="eastAsia" w:ascii="宋体" w:hAnsi="宋体" w:eastAsia="宋体" w:cs="宋体"/>
          <w:b/>
          <w:strike/>
          <w:color w:val="auto"/>
          <w:sz w:val="24"/>
          <w:szCs w:val="24"/>
          <w:highlight w:val="none"/>
          <w:lang w:bidi="ar"/>
        </w:rPr>
      </w:pPr>
      <w:r>
        <w:rPr>
          <w:rFonts w:hint="eastAsia" w:ascii="宋体" w:hAnsi="宋体" w:eastAsia="宋体" w:cs="宋体"/>
          <w:strike/>
          <w:color w:val="auto"/>
          <w:sz w:val="24"/>
          <w:szCs w:val="24"/>
          <w:highlight w:val="none"/>
        </w:rPr>
        <w:t>在首次评标过程中，投标人未被发现存在串通投标、弄虚作假、行贿等情形的，无论是否重评，经确定的评标基准价不变。</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可选方式二</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通过初步评审的投标人位于[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～招标控制价]区间的投标报价算术平均值按随机抽取的评标基准价下浮率（2～5%，0.5一个级别）下浮作为评标基准价。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2.2.4投标报价偏差率计算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投标报价的偏差率计算公式：见评标办法前附表；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2.2.5评标标准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（3）投标报价评分标准：见评标办法前附表；</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（4）诚信得分评分标准：见评标办法前附表。</w:t>
      </w:r>
    </w:p>
    <w:p>
      <w:pPr>
        <w:pStyle w:val="3"/>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6" w:name="_Toc15994"/>
      <w:r>
        <w:rPr>
          <w:rFonts w:hint="eastAsia" w:ascii="宋体" w:hAnsi="宋体" w:eastAsia="宋体" w:cs="宋体"/>
          <w:color w:val="auto"/>
          <w:sz w:val="24"/>
          <w:szCs w:val="24"/>
          <w:highlight w:val="none"/>
          <w:lang w:eastAsia="zh-CN"/>
        </w:rPr>
        <w:t>评标程序</w:t>
      </w:r>
      <w:bookmarkEnd w:id="136"/>
    </w:p>
    <w:p>
      <w:pPr>
        <w:numPr>
          <w:ilvl w:val="1"/>
          <w:numId w:val="20"/>
        </w:numPr>
        <w:spacing w:line="360" w:lineRule="auto"/>
        <w:outlineLvl w:val="2"/>
        <w:rPr>
          <w:rFonts w:hint="eastAsia" w:ascii="宋体" w:hAnsi="宋体" w:eastAsia="宋体" w:cs="宋体"/>
          <w:b/>
          <w:color w:val="auto"/>
          <w:sz w:val="24"/>
          <w:szCs w:val="24"/>
          <w:highlight w:val="none"/>
        </w:rPr>
      </w:pPr>
      <w:bookmarkStart w:id="137" w:name="_Toc6394"/>
      <w:r>
        <w:rPr>
          <w:rFonts w:hint="eastAsia" w:ascii="宋体" w:hAnsi="宋体" w:eastAsia="宋体" w:cs="宋体"/>
          <w:b/>
          <w:color w:val="auto"/>
          <w:sz w:val="24"/>
          <w:szCs w:val="24"/>
          <w:highlight w:val="none"/>
          <w:lang w:bidi="ar"/>
        </w:rPr>
        <w:t>初步评审</w:t>
      </w:r>
      <w:bookmarkEnd w:id="1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3.1.1 评标委员会依据本章第2.1节规定的标准对投标文件进行初步评审。有一项不符合评审标准的，评标委员会应当否决其投标。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3.1.2 投标人有以下情形之一的，评标委员会应当否决其投标：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（1）第二章“投标人须知”第1.4.3项规定的任何一种情形的；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（2）串通投标或弄虚作假或有其他违法行为的；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（3）不按评标委员会要求澄清、说明或补正的。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3.1.3投标报价有算术错误的，评标</w:t>
      </w:r>
      <w:bookmarkStart w:id="138" w:name="_Toc152042381"/>
      <w:bookmarkStart w:id="139" w:name="_Toc152045604"/>
      <w:bookmarkStart w:id="140" w:name="_Toc179632622"/>
      <w:bookmarkStart w:id="141" w:name="_Toc144974571"/>
      <w:r>
        <w:rPr>
          <w:rFonts w:hint="eastAsia" w:ascii="宋体" w:hAnsi="宋体" w:eastAsia="宋体" w:cs="宋体"/>
          <w:color w:val="auto"/>
          <w:sz w:val="24"/>
          <w:szCs w:val="24"/>
          <w:highlight w:val="none"/>
          <w:lang w:bidi="ar"/>
        </w:rPr>
        <w:t>委员会按以下原</w:t>
      </w:r>
      <w:bookmarkEnd w:id="138"/>
      <w:bookmarkEnd w:id="139"/>
      <w:bookmarkEnd w:id="140"/>
      <w:bookmarkEnd w:id="141"/>
      <w:r>
        <w:rPr>
          <w:rFonts w:hint="eastAsia" w:ascii="宋体" w:hAnsi="宋体" w:eastAsia="宋体" w:cs="宋体"/>
          <w:color w:val="auto"/>
          <w:sz w:val="24"/>
          <w:szCs w:val="24"/>
          <w:highlight w:val="none"/>
          <w:lang w:bidi="ar"/>
        </w:rPr>
        <w:t>则</w:t>
      </w:r>
      <w:bookmarkStart w:id="142" w:name="_Toc152042382"/>
      <w:bookmarkStart w:id="143" w:name="_Toc144974572"/>
      <w:bookmarkStart w:id="144" w:name="_Toc152045605"/>
      <w:bookmarkStart w:id="145" w:name="_Toc179632623"/>
      <w:r>
        <w:rPr>
          <w:rFonts w:hint="eastAsia" w:ascii="宋体" w:hAnsi="宋体" w:eastAsia="宋体" w:cs="宋体"/>
          <w:color w:val="auto"/>
          <w:sz w:val="24"/>
          <w:szCs w:val="24"/>
          <w:highlight w:val="none"/>
          <w:lang w:bidi="ar"/>
        </w:rPr>
        <w:t>对投标报价进行修</w:t>
      </w:r>
      <w:bookmarkEnd w:id="142"/>
      <w:bookmarkEnd w:id="143"/>
      <w:bookmarkEnd w:id="144"/>
      <w:bookmarkEnd w:id="145"/>
      <w:r>
        <w:rPr>
          <w:rFonts w:hint="eastAsia" w:ascii="宋体" w:hAnsi="宋体" w:eastAsia="宋体" w:cs="宋体"/>
          <w:color w:val="auto"/>
          <w:sz w:val="24"/>
          <w:szCs w:val="24"/>
          <w:highlight w:val="none"/>
          <w:lang w:bidi="ar"/>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（1）投标文件中的大写金额与小写金额不一致的，以大写金额为准。</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（2）投标报价与投标报价下浮率计算出的结果不一致的，以（1-投标报价下浮率）×最高投标限价的计算结果为准修正总价，但投标报价下浮率单位有明显错误的除外。</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（3）在《投标函附录》中，投标报价下浮率公式的计算结果与投标人填报的投标报价下浮率与不一致的，以该公式的计算结果进行修正。</w:t>
      </w:r>
    </w:p>
    <w:p>
      <w:pPr>
        <w:numPr>
          <w:ilvl w:val="1"/>
          <w:numId w:val="20"/>
        </w:numPr>
        <w:spacing w:line="360" w:lineRule="auto"/>
        <w:outlineLvl w:val="2"/>
        <w:rPr>
          <w:rFonts w:hint="eastAsia" w:ascii="宋体" w:hAnsi="宋体" w:eastAsia="宋体" w:cs="宋体"/>
          <w:b/>
          <w:color w:val="auto"/>
          <w:sz w:val="24"/>
          <w:szCs w:val="24"/>
          <w:highlight w:val="none"/>
        </w:rPr>
      </w:pPr>
      <w:bookmarkStart w:id="146" w:name="_Toc5601"/>
      <w:r>
        <w:rPr>
          <w:rFonts w:hint="eastAsia" w:ascii="宋体" w:hAnsi="宋体" w:eastAsia="宋体" w:cs="宋体"/>
          <w:b/>
          <w:color w:val="auto"/>
          <w:sz w:val="24"/>
          <w:szCs w:val="24"/>
          <w:highlight w:val="none"/>
          <w:lang w:bidi="ar"/>
        </w:rPr>
        <w:t>详细评审</w:t>
      </w:r>
      <w:bookmarkEnd w:id="14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3.2.1通过初步评审的投标人全部进入详细评审。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3.2.2评标委员会按本章第2.2款规定的量化因素和分值进行打分，并计算出综合评估得分。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（1）按本章第2.2.1（1）目规定的评审因素和分值对技术部分计算出得分，去掉一个最高分值，去掉一个最低分，得到技术部分评审得分A；</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（2）按本章第2.2.1（2）目规定的评审因素和分值对商务部分计算出得分，去掉一个最高分值，去掉一个最低分，得到商务部分评审得分B；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（3）按本章第2.2.1（3）目规定的评审因素和分值对投标报价计算出得分C；</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（4）按本章第2.2.1（4）目规定的评审因素和分值对诚信评价计算出得分D；</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评分分值计算保留小数点后两位，小数点后第三位“四舍五入”</w:t>
      </w:r>
      <w:bookmarkStart w:id="147" w:name="_Toc179632624"/>
      <w:bookmarkStart w:id="148" w:name="_Toc152045606"/>
      <w:bookmarkStart w:id="149" w:name="_Toc144974573"/>
      <w:bookmarkStart w:id="150" w:name="_Toc152042384"/>
      <w:r>
        <w:rPr>
          <w:rFonts w:hint="eastAsia" w:ascii="宋体" w:hAnsi="宋体" w:eastAsia="宋体" w:cs="宋体"/>
          <w:color w:val="auto"/>
          <w:sz w:val="24"/>
          <w:szCs w:val="24"/>
          <w:highlight w:val="none"/>
          <w:lang w:bidi="ar"/>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w:t>
      </w:r>
      <w:bookmarkEnd w:id="147"/>
      <w:bookmarkEnd w:id="148"/>
      <w:bookmarkEnd w:id="149"/>
      <w:bookmarkEnd w:id="150"/>
      <w:r>
        <w:rPr>
          <w:rFonts w:hint="eastAsia" w:ascii="宋体" w:hAnsi="宋体" w:eastAsia="宋体" w:cs="宋体"/>
          <w:color w:val="auto"/>
          <w:sz w:val="24"/>
          <w:szCs w:val="24"/>
          <w:highlight w:val="none"/>
          <w:lang w:bidi="ar"/>
        </w:rPr>
        <w:t>投标人的得分=技术部分得分（A）×得分权重+商务部分得分（B）×得分权重+投标报价得分(C)×得分权重+诚信评价分（D）×得分权重。（注：由招标人根据相关规定自行设置权重）</w:t>
      </w:r>
    </w:p>
    <w:p>
      <w:pPr>
        <w:numPr>
          <w:ilvl w:val="1"/>
          <w:numId w:val="20"/>
        </w:numPr>
        <w:spacing w:line="360" w:lineRule="auto"/>
        <w:outlineLvl w:val="2"/>
        <w:rPr>
          <w:rFonts w:hint="eastAsia" w:ascii="宋体" w:hAnsi="宋体" w:eastAsia="宋体" w:cs="宋体"/>
          <w:b/>
          <w:color w:val="auto"/>
          <w:sz w:val="24"/>
          <w:szCs w:val="24"/>
          <w:highlight w:val="none"/>
        </w:rPr>
      </w:pPr>
      <w:bookmarkStart w:id="151" w:name="_Toc26665"/>
      <w:r>
        <w:rPr>
          <w:rFonts w:hint="eastAsia" w:ascii="宋体" w:hAnsi="宋体" w:eastAsia="宋体" w:cs="宋体"/>
          <w:b/>
          <w:color w:val="auto"/>
          <w:sz w:val="24"/>
          <w:szCs w:val="24"/>
          <w:highlight w:val="none"/>
          <w:lang w:bidi="ar"/>
        </w:rPr>
        <w:t>投标文件的澄清和补正</w:t>
      </w:r>
      <w:bookmarkEnd w:id="15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3.3.3 评标委员会均应当阅读投标人的澄清，但应独立参考澄清对投标文件进行评审。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numPr>
          <w:ilvl w:val="1"/>
          <w:numId w:val="20"/>
        </w:numPr>
        <w:spacing w:line="360" w:lineRule="auto"/>
        <w:outlineLvl w:val="2"/>
        <w:rPr>
          <w:rFonts w:hint="eastAsia" w:ascii="宋体" w:hAnsi="宋体" w:eastAsia="宋体" w:cs="宋体"/>
          <w:b/>
          <w:color w:val="auto"/>
          <w:sz w:val="24"/>
          <w:szCs w:val="24"/>
          <w:highlight w:val="none"/>
        </w:rPr>
      </w:pPr>
      <w:bookmarkStart w:id="152" w:name="_Toc3014"/>
      <w:r>
        <w:rPr>
          <w:rFonts w:hint="eastAsia" w:ascii="宋体" w:hAnsi="宋体" w:eastAsia="宋体" w:cs="宋体"/>
          <w:b/>
          <w:color w:val="auto"/>
          <w:sz w:val="24"/>
          <w:szCs w:val="24"/>
          <w:highlight w:val="none"/>
          <w:lang w:bidi="ar"/>
        </w:rPr>
        <w:t>评标过程应急预案</w:t>
      </w:r>
      <w:bookmarkEnd w:id="15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3.4.2在电子评标过程中，无论遇到任何系统异常或故障，评标委员会均应出具评标报告。</w:t>
      </w:r>
    </w:p>
    <w:p>
      <w:pPr>
        <w:numPr>
          <w:ilvl w:val="1"/>
          <w:numId w:val="20"/>
        </w:numPr>
        <w:spacing w:line="360" w:lineRule="auto"/>
        <w:outlineLvl w:val="2"/>
        <w:rPr>
          <w:rFonts w:hint="eastAsia" w:ascii="宋体" w:hAnsi="宋体" w:eastAsia="宋体" w:cs="宋体"/>
          <w:b/>
          <w:color w:val="auto"/>
          <w:sz w:val="24"/>
          <w:szCs w:val="24"/>
          <w:highlight w:val="none"/>
        </w:rPr>
      </w:pPr>
      <w:bookmarkStart w:id="153" w:name="_Toc12611"/>
      <w:r>
        <w:rPr>
          <w:rFonts w:hint="eastAsia" w:ascii="宋体" w:hAnsi="宋体" w:eastAsia="宋体" w:cs="宋体"/>
          <w:b/>
          <w:color w:val="auto"/>
          <w:sz w:val="24"/>
          <w:szCs w:val="24"/>
          <w:highlight w:val="none"/>
          <w:lang w:bidi="ar"/>
        </w:rPr>
        <w:t>评标结</w:t>
      </w:r>
      <w:bookmarkStart w:id="154" w:name="_Toc144974575"/>
      <w:bookmarkStart w:id="155" w:name="_Toc179632625"/>
      <w:bookmarkStart w:id="156" w:name="_Toc152045607"/>
      <w:bookmarkStart w:id="157" w:name="_Toc152042385"/>
      <w:r>
        <w:rPr>
          <w:rFonts w:hint="eastAsia" w:ascii="宋体" w:hAnsi="宋体" w:eastAsia="宋体" w:cs="宋体"/>
          <w:b/>
          <w:color w:val="auto"/>
          <w:sz w:val="24"/>
          <w:szCs w:val="24"/>
          <w:highlight w:val="none"/>
          <w:lang w:bidi="ar"/>
        </w:rPr>
        <w:t>果</w:t>
      </w:r>
      <w:bookmarkEnd w:id="153"/>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3.5.1</w:t>
      </w:r>
      <w:r>
        <w:rPr>
          <w:rFonts w:hint="eastAsia" w:ascii="宋体" w:hAnsi="宋体" w:eastAsia="宋体" w:cs="宋体"/>
          <w:color w:val="auto"/>
          <w:sz w:val="24"/>
          <w:szCs w:val="24"/>
          <w:highlight w:val="none"/>
          <w:u w:val="single"/>
          <w:lang w:bidi="ar"/>
        </w:rPr>
        <w:t>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按</w:t>
      </w:r>
      <w:r>
        <w:rPr>
          <w:rFonts w:hint="eastAsia" w:ascii="宋体" w:hAnsi="宋体" w:eastAsia="宋体" w:cs="宋体"/>
          <w:color w:val="auto"/>
          <w:sz w:val="24"/>
          <w:szCs w:val="24"/>
          <w:highlight w:val="none"/>
          <w:u w:val="single"/>
          <w:lang w:val="en-US" w:eastAsia="zh-CN" w:bidi="ar"/>
        </w:rPr>
        <w:t>评标办法</w:t>
      </w:r>
      <w:r>
        <w:rPr>
          <w:rFonts w:hint="eastAsia" w:ascii="宋体" w:hAnsi="宋体" w:eastAsia="宋体" w:cs="宋体"/>
          <w:color w:val="auto"/>
          <w:sz w:val="24"/>
          <w:szCs w:val="24"/>
          <w:highlight w:val="none"/>
          <w:u w:val="single"/>
          <w:lang w:bidi="ar"/>
        </w:rPr>
        <w:t>的规定确定中标候选人排序。</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注：①投标人可以参加一个或一个以上标段的投标（投标人可以只报一套项目班子），</w:t>
      </w:r>
      <w:r>
        <w:rPr>
          <w:rFonts w:hint="eastAsia" w:ascii="宋体" w:hAnsi="宋体" w:cs="宋体"/>
          <w:color w:val="auto"/>
          <w:sz w:val="24"/>
          <w:szCs w:val="24"/>
          <w:highlight w:val="none"/>
          <w:u w:val="single"/>
          <w:lang w:eastAsia="zh-CN" w:bidi="ar"/>
        </w:rPr>
        <w:t>四</w:t>
      </w:r>
      <w:r>
        <w:rPr>
          <w:rFonts w:hint="eastAsia" w:ascii="宋体" w:hAnsi="宋体" w:eastAsia="宋体" w:cs="宋体"/>
          <w:color w:val="auto"/>
          <w:sz w:val="24"/>
          <w:szCs w:val="24"/>
          <w:highlight w:val="none"/>
          <w:u w:val="single"/>
          <w:lang w:bidi="ar"/>
        </w:rPr>
        <w:t>个标段不可以兼中，最多只能中一个标段。</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②评标时第1标段、第2标段、第3标段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标段同时进行，但按照第1标段、第2标段、第3标段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标段的先后顺序，依次推荐各有效标段（指有效投标单位不少于3家的标段，下同）的中标候选人。</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标段的任何评审环节；已成为第1标段或第2标段的第一中标候选人，不参加第3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已成为第1标段或第2标段</w:t>
      </w:r>
      <w:r>
        <w:rPr>
          <w:rFonts w:hint="eastAsia" w:ascii="宋体" w:hAnsi="宋体" w:cs="宋体"/>
          <w:color w:val="auto"/>
          <w:sz w:val="24"/>
          <w:szCs w:val="24"/>
          <w:highlight w:val="none"/>
          <w:u w:val="single"/>
          <w:lang w:eastAsia="zh-CN" w:bidi="ar"/>
        </w:rPr>
        <w:t>或</w:t>
      </w:r>
      <w:r>
        <w:rPr>
          <w:rFonts w:hint="eastAsia" w:ascii="宋体" w:hAnsi="宋体" w:eastAsia="宋体" w:cs="宋体"/>
          <w:color w:val="auto"/>
          <w:sz w:val="24"/>
          <w:szCs w:val="24"/>
          <w:highlight w:val="none"/>
          <w:u w:val="single"/>
          <w:lang w:bidi="ar"/>
        </w:rPr>
        <w:t>第3标段的第一中标候选人，不参加第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⑤若某标段在确定中标候选人后，因其他原因导致该标段重新招标或中标通知书尚未发出，将不影响其他标段中标人的确定。</w:t>
      </w:r>
      <w:bookmarkEnd w:id="154"/>
      <w:bookmarkEnd w:id="155"/>
      <w:bookmarkEnd w:id="156"/>
      <w:bookmarkEnd w:id="157"/>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3.5.2 评标委员会完成评标后，应当向招标人提交书面评标报告。</w:t>
      </w:r>
    </w:p>
    <w:p>
      <w:pPr>
        <w:spacing w:line="360" w:lineRule="auto"/>
        <w:jc w:val="left"/>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outlineLvl w:val="2"/>
        <w:rPr>
          <w:rFonts w:hint="eastAsia" w:ascii="宋体" w:hAnsi="宋体" w:eastAsia="宋体" w:cs="宋体"/>
          <w:color w:val="auto"/>
          <w:sz w:val="24"/>
          <w:szCs w:val="24"/>
          <w:highlight w:val="none"/>
        </w:rPr>
      </w:pPr>
      <w:bookmarkStart w:id="158" w:name="_Toc12480"/>
      <w:r>
        <w:rPr>
          <w:rFonts w:hint="eastAsia" w:ascii="宋体" w:hAnsi="宋体" w:eastAsia="宋体" w:cs="宋体"/>
          <w:color w:val="auto"/>
          <w:sz w:val="24"/>
          <w:szCs w:val="24"/>
          <w:highlight w:val="none"/>
        </w:rPr>
        <w:t>附表1：</w:t>
      </w:r>
      <w:r>
        <w:rPr>
          <w:rFonts w:hint="eastAsia" w:ascii="宋体" w:hAnsi="宋体" w:eastAsia="宋体" w:cs="宋体"/>
          <w:b/>
          <w:color w:val="auto"/>
          <w:sz w:val="24"/>
          <w:szCs w:val="24"/>
          <w:highlight w:val="none"/>
        </w:rPr>
        <w:t>资格评审意见记录表（格式）</w:t>
      </w:r>
      <w:bookmarkEnd w:id="158"/>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投标人及资格评审结果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sectPr>
          <w:pgSz w:w="16838" w:h="11906" w:orient="landscape"/>
          <w:pgMar w:top="1800" w:right="1440" w:bottom="1800" w:left="1440" w:header="851" w:footer="992" w:gutter="0"/>
          <w:pgNumType w:fmt="decimal"/>
          <w:cols w:space="720" w:num="1"/>
          <w:docGrid w:type="lines" w:linePitch="312" w:charSpace="0"/>
        </w:sectPr>
      </w:pPr>
    </w:p>
    <w:p>
      <w:pPr>
        <w:spacing w:line="360" w:lineRule="auto"/>
        <w:jc w:val="left"/>
        <w:outlineLvl w:val="2"/>
        <w:rPr>
          <w:rFonts w:hint="eastAsia" w:ascii="宋体" w:hAnsi="宋体" w:eastAsia="宋体" w:cs="宋体"/>
          <w:b/>
          <w:color w:val="auto"/>
          <w:sz w:val="24"/>
          <w:szCs w:val="24"/>
          <w:highlight w:val="none"/>
        </w:rPr>
      </w:pPr>
      <w:bookmarkStart w:id="159" w:name="_Toc16281"/>
      <w:r>
        <w:rPr>
          <w:rFonts w:hint="eastAsia" w:ascii="宋体" w:hAnsi="宋体" w:eastAsia="宋体" w:cs="宋体"/>
          <w:color w:val="auto"/>
          <w:sz w:val="24"/>
          <w:szCs w:val="24"/>
          <w:highlight w:val="none"/>
        </w:rPr>
        <w:t>附表2：形式评审记录表（格式）</w:t>
      </w:r>
      <w:bookmarkEnd w:id="159"/>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投标人及形式评审结果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0" w:name="_Toc5009"/>
      <w:r>
        <w:rPr>
          <w:rFonts w:hint="eastAsia" w:ascii="宋体" w:hAnsi="宋体" w:eastAsia="宋体" w:cs="宋体"/>
          <w:color w:val="auto"/>
          <w:sz w:val="24"/>
          <w:szCs w:val="24"/>
          <w:highlight w:val="none"/>
        </w:rPr>
        <w:t>附表3：响应性评审记录表（格式）</w:t>
      </w:r>
      <w:bookmarkEnd w:id="160"/>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投标人及响应性评审结果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附表4：技术部分评审得分记录表（格式）</w:t>
      </w:r>
    </w:p>
    <w:p>
      <w:pP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技术部分评审结果汇总表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（适用于综合评分法一）</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470"/>
        <w:gridCol w:w="1275"/>
        <w:gridCol w:w="1257"/>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4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评委评分</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评委一</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评委二</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评委三</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附表5：商务部分评审得分记录表（格式）</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投标人及商务部分评审结果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1" w:name="_Toc23762"/>
      <w:r>
        <w:rPr>
          <w:rFonts w:hint="eastAsia" w:ascii="宋体" w:hAnsi="宋体" w:eastAsia="宋体" w:cs="宋体"/>
          <w:color w:val="auto"/>
          <w:sz w:val="24"/>
          <w:szCs w:val="24"/>
          <w:highlight w:val="none"/>
        </w:rPr>
        <w:t>附表6：投标报价评审得分记录表（格式）</w:t>
      </w:r>
      <w:bookmarkEnd w:id="161"/>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评标委员会投标报价评审得分记录表一</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（用于计算评标基准价）</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（注：适用于取全部投标报价计算算术平均值的）</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                               最高投标限价：元</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                               评标基准价下浮率X：</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54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540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计算通过初步评审的全部投标人投标报价的算术平均值</w:t>
            </w: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计算评标基准价（元）：投标报价的算术平均值×（1-评标基准价下浮率）</w:t>
            </w:r>
          </w:p>
        </w:tc>
        <w:tc>
          <w:tcPr>
            <w:tcW w:w="2340"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本表用于确定评标基准价。适用于全部投标报价计算算术平均值的情形。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2.评标基准价下浮率：取自《抽取评标基准价的下浮率记录表》中的“随机抽取的评标基准价的下浮率”</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3.未能通过初步评审的投标人，其投标报价不得在本表中列出。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本表中开标序号为投标人在《开标记录表》中的“序号”，即开标序号= “序号”。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5.投标人在本表中的排列：按照《开标记录表》中的“序号”从小到大排列。</w:t>
      </w:r>
    </w:p>
    <w:p>
      <w:pPr>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color w:val="auto"/>
          <w:kern w:val="0"/>
          <w:sz w:val="24"/>
          <w:szCs w:val="24"/>
          <w:highlight w:val="none"/>
        </w:rPr>
        <w:sectPr>
          <w:pgSz w:w="11906" w:h="16838"/>
          <w:pgMar w:top="1440" w:right="1797" w:bottom="1440" w:left="1797"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评标委员会投标报价评审得分记录表二</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（计算投标报价得分）</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（注：适用于除经评审的最低投标价法以外的评标法）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800"/>
        <w:gridCol w:w="2340"/>
        <w:gridCol w:w="131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开标序号</w:t>
            </w:r>
          </w:p>
        </w:tc>
        <w:tc>
          <w:tcPr>
            <w:tcW w:w="10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评标基准价（元）</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（取自《评标委员会投标报价评审得分记录表一》）</w:t>
            </w:r>
          </w:p>
        </w:tc>
        <w:tc>
          <w:tcPr>
            <w:tcW w:w="13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投标报价偏差率（%）</w:t>
            </w:r>
          </w:p>
        </w:tc>
        <w:tc>
          <w:tcPr>
            <w:tcW w:w="117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本表用于确定投标报价得分。</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本表中开标序号为投标人在《开标记录表》中的“序号”，即开标序号=“序号”。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4.投标人在本表中的排列：按照《开标记录表》中的“序号”从小到大排列。</w:t>
      </w: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jc w:val="center"/>
        <w:rPr>
          <w:rFonts w:hint="eastAsia" w:ascii="宋体" w:hAnsi="宋体" w:eastAsia="宋体" w:cs="宋体"/>
          <w:b/>
          <w:color w:val="auto"/>
          <w:sz w:val="24"/>
          <w:szCs w:val="24"/>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2" w:name="_Toc7553"/>
      <w:r>
        <w:rPr>
          <w:rFonts w:hint="eastAsia" w:ascii="宋体" w:hAnsi="宋体" w:eastAsia="宋体" w:cs="宋体"/>
          <w:color w:val="auto"/>
          <w:sz w:val="24"/>
          <w:szCs w:val="24"/>
          <w:highlight w:val="none"/>
        </w:rPr>
        <w:t>附表7：诚信评价评审得分记录表（格式）</w:t>
      </w:r>
      <w:bookmarkEnd w:id="162"/>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诚信评价分表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37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诚信类别</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施工-水利</w:t>
            </w: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 本表用于确定诚信得分。</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2.未能通过初步评审的投标人不得在本表中列出。</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本表中开标序号为投标人在《开标记录表》中的“序号”，即开标序号=号球号码=“序号”。</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4.投标人在本表中的排列：按照《开标记录表》中的“序号”从小到大排列。</w:t>
      </w:r>
    </w:p>
    <w:p>
      <w:pP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spacing w:line="360" w:lineRule="auto"/>
        <w:jc w:val="left"/>
        <w:outlineLvl w:val="2"/>
        <w:rPr>
          <w:rFonts w:hint="eastAsia" w:ascii="宋体" w:hAnsi="宋体" w:eastAsia="宋体" w:cs="宋体"/>
          <w:color w:val="auto"/>
          <w:sz w:val="24"/>
          <w:szCs w:val="24"/>
          <w:highlight w:val="none"/>
        </w:rPr>
      </w:pPr>
      <w:bookmarkStart w:id="163" w:name="_Toc593"/>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附表8：综合评估得分及排序表（格式）</w:t>
      </w:r>
      <w:bookmarkEnd w:id="163"/>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综合评估得分及排序表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（注：适用于综合评标法）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项目名称：</w:t>
      </w:r>
    </w:p>
    <w:tbl>
      <w:tblPr>
        <w:tblStyle w:val="4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260"/>
        <w:gridCol w:w="1260"/>
        <w:gridCol w:w="126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商务部分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诚信评价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总</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注：1.本表用于确定综合评估得分及排序，适用于综合评标法。</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 投标人在本表中的排列次序：按照“总得分”高低次序排列。</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 本表中的得分排序：按照本表“总得分”由高到低的原则编号，即本表总得分最高的“得分排序”为 “1”。</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评标委员会全体评委签名：                              </w:t>
      </w:r>
      <w:r>
        <w:rPr>
          <w:rFonts w:hint="eastAsia" w:ascii="宋体" w:hAnsi="宋体" w:eastAsia="宋体" w:cs="宋体"/>
          <w:color w:val="auto"/>
          <w:kern w:val="0"/>
          <w:sz w:val="24"/>
          <w:szCs w:val="24"/>
          <w:highlight w:val="none"/>
          <w:lang w:bidi="ar"/>
        </w:rPr>
        <w:t>日期：   年   月  日</w:t>
      </w:r>
    </w:p>
    <w:p>
      <w:pPr>
        <w:jc w:val="center"/>
        <w:rPr>
          <w:rFonts w:hint="eastAsia" w:ascii="宋体" w:hAnsi="宋体" w:eastAsia="宋体" w:cs="宋体"/>
          <w:b/>
          <w:color w:val="auto"/>
          <w:sz w:val="24"/>
          <w:szCs w:val="24"/>
          <w:highlight w:val="none"/>
        </w:rPr>
      </w:pPr>
    </w:p>
    <w:p>
      <w:pPr>
        <w:pStyle w:val="2"/>
        <w:spacing w:line="600" w:lineRule="exact"/>
        <w:jc w:val="center"/>
        <w:rPr>
          <w:rFonts w:hint="eastAsia" w:ascii="宋体" w:hAnsi="宋体" w:eastAsia="宋体" w:cs="宋体"/>
          <w:color w:val="auto"/>
          <w:sz w:val="24"/>
          <w:szCs w:val="24"/>
          <w:highlight w:val="none"/>
        </w:rPr>
      </w:pPr>
      <w:bookmarkStart w:id="164" w:name="_Toc10939"/>
      <w:bookmarkStart w:id="165" w:name="_Toc27158"/>
      <w:r>
        <w:rPr>
          <w:rFonts w:hint="eastAsia" w:ascii="宋体" w:hAnsi="宋体" w:eastAsia="宋体" w:cs="宋体"/>
          <w:color w:val="auto"/>
          <w:sz w:val="24"/>
          <w:szCs w:val="24"/>
          <w:highlight w:val="none"/>
        </w:rPr>
        <w:t>第四章合同条款</w:t>
      </w:r>
      <w:bookmarkEnd w:id="164"/>
      <w:bookmarkEnd w:id="165"/>
    </w:p>
    <w:p>
      <w:pPr>
        <w:pStyle w:val="2"/>
        <w:spacing w:line="600" w:lineRule="exact"/>
        <w:jc w:val="both"/>
        <w:rPr>
          <w:rFonts w:ascii="黑体" w:hAnsi="黑体" w:eastAsia="黑体" w:cs="黑体"/>
          <w:b/>
          <w:sz w:val="84"/>
          <w:szCs w:val="84"/>
          <w:highlight w:val="none"/>
        </w:rPr>
      </w:pPr>
      <w:bookmarkStart w:id="166" w:name="_Toc12951"/>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以实际签订的合同为准</w:t>
      </w:r>
      <w:r>
        <w:rPr>
          <w:rFonts w:hint="eastAsia" w:ascii="宋体" w:hAnsi="宋体" w:eastAsia="宋体" w:cs="宋体"/>
          <w:b/>
          <w:color w:val="auto"/>
          <w:sz w:val="24"/>
          <w:szCs w:val="24"/>
          <w:highlight w:val="none"/>
          <w:lang w:eastAsia="zh-CN"/>
        </w:rPr>
        <w:t>）</w:t>
      </w:r>
      <w:bookmarkEnd w:id="166"/>
    </w:p>
    <w:p>
      <w:pPr>
        <w:jc w:val="center"/>
        <w:rPr>
          <w:rFonts w:ascii="黑体" w:hAnsi="黑体" w:eastAsia="黑体" w:cs="黑体"/>
          <w:b/>
          <w:sz w:val="84"/>
          <w:szCs w:val="84"/>
          <w:highlight w:val="none"/>
        </w:rPr>
      </w:pPr>
    </w:p>
    <w:p>
      <w:pPr>
        <w:jc w:val="center"/>
        <w:rPr>
          <w:rFonts w:ascii="黑体" w:hAnsi="黑体" w:eastAsia="黑体" w:cs="黑体"/>
          <w:b/>
          <w:sz w:val="84"/>
          <w:szCs w:val="84"/>
          <w:highlight w:val="none"/>
        </w:rPr>
      </w:pPr>
    </w:p>
    <w:p>
      <w:pPr>
        <w:jc w:val="center"/>
        <w:rPr>
          <w:rFonts w:ascii="黑体" w:hAnsi="黑体" w:eastAsia="黑体" w:cs="黑体"/>
          <w:bCs/>
          <w:sz w:val="52"/>
          <w:szCs w:val="52"/>
          <w:highlight w:val="none"/>
        </w:rPr>
      </w:pPr>
      <w:r>
        <w:rPr>
          <w:rFonts w:hint="eastAsia" w:ascii="黑体" w:hAnsi="黑体" w:eastAsia="黑体" w:cs="黑体"/>
          <w:b/>
          <w:sz w:val="72"/>
          <w:szCs w:val="72"/>
          <w:highlight w:val="none"/>
        </w:rPr>
        <w:t>建设工程施工合同</w:t>
      </w:r>
    </w:p>
    <w:p>
      <w:pPr>
        <w:spacing w:line="440" w:lineRule="exact"/>
        <w:ind w:left="-197" w:leftChars="-94"/>
        <w:jc w:val="center"/>
        <w:rPr>
          <w:rFonts w:ascii="宋体" w:hAnsi="宋体" w:eastAsia="宋体"/>
          <w:highlight w:val="none"/>
        </w:rPr>
      </w:pPr>
    </w:p>
    <w:p>
      <w:pPr>
        <w:spacing w:line="440" w:lineRule="exact"/>
        <w:ind w:left="-197" w:leftChars="-94"/>
        <w:jc w:val="center"/>
        <w:rPr>
          <w:rFonts w:ascii="宋体" w:hAnsi="宋体" w:eastAsia="宋体"/>
          <w:highlight w:val="none"/>
        </w:rPr>
      </w:pPr>
    </w:p>
    <w:p>
      <w:pPr>
        <w:spacing w:line="440" w:lineRule="exact"/>
        <w:jc w:val="center"/>
        <w:rPr>
          <w:rFonts w:ascii="宋体" w:hAnsi="宋体" w:eastAsia="宋体"/>
          <w:highlight w:val="none"/>
        </w:rPr>
      </w:pPr>
    </w:p>
    <w:p>
      <w:pPr>
        <w:spacing w:line="440" w:lineRule="exact"/>
        <w:rPr>
          <w:rFonts w:ascii="仿宋_GB2312" w:hAnsi="仿宋" w:eastAsia="仿宋_GB2312"/>
          <w:sz w:val="28"/>
          <w:szCs w:val="28"/>
          <w:highlight w:val="none"/>
        </w:rPr>
      </w:pPr>
    </w:p>
    <w:p>
      <w:pPr>
        <w:spacing w:line="440" w:lineRule="exact"/>
        <w:jc w:val="center"/>
        <w:rPr>
          <w:rFonts w:ascii="仿宋_GB2312" w:hAnsi="仿宋" w:eastAsia="仿宋_GB2312"/>
          <w:sz w:val="28"/>
          <w:szCs w:val="28"/>
          <w:highlight w:val="none"/>
        </w:rPr>
      </w:pPr>
    </w:p>
    <w:p>
      <w:pPr>
        <w:spacing w:line="440" w:lineRule="exact"/>
        <w:rPr>
          <w:rFonts w:ascii="仿宋_GB2312" w:hAnsi="仿宋" w:eastAsia="仿宋_GB2312"/>
          <w:sz w:val="28"/>
          <w:szCs w:val="28"/>
          <w:highlight w:val="none"/>
        </w:rPr>
      </w:pPr>
    </w:p>
    <w:p>
      <w:pPr>
        <w:spacing w:line="440" w:lineRule="exact"/>
        <w:ind w:firstLine="562" w:firstLineChars="200"/>
        <w:rPr>
          <w:rFonts w:ascii="宋体" w:hAnsi="宋体" w:eastAsia="宋体" w:cs="宋体"/>
          <w:b/>
          <w:bCs/>
          <w:sz w:val="28"/>
          <w:szCs w:val="28"/>
          <w:highlight w:val="none"/>
          <w:u w:val="single"/>
        </w:rPr>
      </w:pPr>
      <w:r>
        <w:rPr>
          <w:rFonts w:hint="eastAsia" w:ascii="宋体" w:hAnsi="宋体" w:eastAsia="宋体" w:cs="宋体"/>
          <w:b/>
          <w:bCs/>
          <w:sz w:val="28"/>
          <w:szCs w:val="28"/>
          <w:highlight w:val="none"/>
        </w:rPr>
        <w:t>项目名称：</w:t>
      </w:r>
      <w:r>
        <w:rPr>
          <w:rFonts w:hint="eastAsia" w:ascii="宋体" w:hAnsi="宋体" w:eastAsia="宋体" w:cs="宋体"/>
          <w:b/>
          <w:bCs/>
          <w:sz w:val="28"/>
          <w:szCs w:val="28"/>
          <w:highlight w:val="none"/>
          <w:u w:val="single"/>
        </w:rPr>
        <w:t>黄埔区</w:t>
      </w:r>
      <w:r>
        <w:rPr>
          <w:rFonts w:hint="eastAsia" w:ascii="宋体" w:hAnsi="宋体" w:eastAsia="宋体" w:cs="宋体"/>
          <w:b/>
          <w:bCs/>
          <w:sz w:val="28"/>
          <w:szCs w:val="28"/>
          <w:highlight w:val="none"/>
          <w:u w:val="single"/>
          <w:lang w:val="en-US" w:eastAsia="zh-CN"/>
        </w:rPr>
        <w:t>2023</w:t>
      </w:r>
      <w:r>
        <w:rPr>
          <w:rFonts w:hint="eastAsia" w:ascii="宋体" w:hAnsi="宋体" w:eastAsia="宋体" w:cs="宋体"/>
          <w:b/>
          <w:bCs/>
          <w:sz w:val="28"/>
          <w:szCs w:val="28"/>
          <w:highlight w:val="none"/>
          <w:u w:val="single"/>
        </w:rPr>
        <w:t>年</w:t>
      </w:r>
      <w:r>
        <w:rPr>
          <w:rFonts w:hint="eastAsia" w:ascii="宋体" w:hAnsi="宋体" w:eastAsia="宋体" w:cs="宋体"/>
          <w:b/>
          <w:bCs/>
          <w:sz w:val="28"/>
          <w:szCs w:val="28"/>
          <w:highlight w:val="none"/>
          <w:u w:val="single"/>
          <w:lang w:eastAsia="zh-CN"/>
        </w:rPr>
        <w:t>至</w:t>
      </w:r>
      <w:r>
        <w:rPr>
          <w:rFonts w:hint="eastAsia" w:ascii="宋体" w:hAnsi="宋体" w:eastAsia="宋体" w:cs="宋体"/>
          <w:b/>
          <w:bCs/>
          <w:sz w:val="28"/>
          <w:szCs w:val="28"/>
          <w:highlight w:val="none"/>
          <w:u w:val="single"/>
          <w:lang w:val="en-US" w:eastAsia="zh-CN"/>
        </w:rPr>
        <w:t>2024年</w:t>
      </w:r>
      <w:r>
        <w:rPr>
          <w:rFonts w:hint="eastAsia" w:ascii="宋体" w:hAnsi="宋体" w:eastAsia="宋体" w:cs="宋体"/>
          <w:b/>
          <w:bCs/>
          <w:sz w:val="28"/>
          <w:szCs w:val="28"/>
          <w:highlight w:val="none"/>
          <w:u w:val="single"/>
        </w:rPr>
        <w:t>水利设施维修改造工程施工</w:t>
      </w:r>
      <w:r>
        <w:rPr>
          <w:rFonts w:hint="eastAsia" w:ascii="仿宋_GB2312" w:hAnsi="仿宋_GB2312" w:eastAsia="仿宋_GB2312" w:cs="仿宋_GB2312"/>
          <w:b/>
          <w:bCs/>
          <w:sz w:val="28"/>
          <w:szCs w:val="28"/>
          <w:highlight w:val="none"/>
          <w:u w:val="single"/>
        </w:rPr>
        <w:t>Ⅰ</w:t>
      </w:r>
      <w:r>
        <w:rPr>
          <w:rFonts w:hint="eastAsia" w:ascii="宋体" w:hAnsi="宋体" w:eastAsia="宋体" w:cs="宋体"/>
          <w:b/>
          <w:bCs/>
          <w:sz w:val="28"/>
          <w:szCs w:val="28"/>
          <w:highlight w:val="none"/>
          <w:u w:val="single"/>
        </w:rPr>
        <w:t>标</w:t>
      </w:r>
    </w:p>
    <w:p>
      <w:pPr>
        <w:tabs>
          <w:tab w:val="left" w:pos="870"/>
        </w:tabs>
        <w:spacing w:line="440" w:lineRule="exact"/>
        <w:ind w:firstLine="902" w:firstLineChars="321"/>
        <w:rPr>
          <w:rFonts w:ascii="宋体" w:hAnsi="宋体" w:eastAsia="宋体" w:cs="宋体"/>
          <w:b/>
          <w:bCs/>
          <w:sz w:val="28"/>
          <w:szCs w:val="28"/>
          <w:highlight w:val="none"/>
        </w:rPr>
      </w:pPr>
    </w:p>
    <w:p>
      <w:pPr>
        <w:tabs>
          <w:tab w:val="left" w:pos="870"/>
        </w:tabs>
        <w:spacing w:line="440" w:lineRule="exact"/>
        <w:ind w:firstLine="562" w:firstLineChars="200"/>
        <w:rPr>
          <w:rFonts w:ascii="宋体" w:hAnsi="宋体" w:eastAsia="宋体" w:cs="宋体"/>
          <w:b/>
          <w:bCs/>
          <w:sz w:val="28"/>
          <w:szCs w:val="28"/>
          <w:highlight w:val="none"/>
          <w:u w:val="single"/>
        </w:rPr>
      </w:pPr>
      <w:r>
        <w:rPr>
          <w:rFonts w:hint="eastAsia" w:ascii="宋体" w:hAnsi="宋体" w:eastAsia="宋体" w:cs="宋体"/>
          <w:b/>
          <w:bCs/>
          <w:sz w:val="28"/>
          <w:szCs w:val="28"/>
          <w:highlight w:val="none"/>
        </w:rPr>
        <w:t>合同编号：</w:t>
      </w:r>
      <w:r>
        <w:rPr>
          <w:rFonts w:hint="eastAsia" w:ascii="宋体" w:hAnsi="宋体" w:eastAsia="宋体" w:cs="宋体"/>
          <w:b/>
          <w:bCs/>
          <w:sz w:val="28"/>
          <w:szCs w:val="28"/>
          <w:highlight w:val="none"/>
          <w:u w:val="single"/>
        </w:rPr>
        <w:t>HP-SLSSWXGZGC</w:t>
      </w:r>
      <w:r>
        <w:rPr>
          <w:rFonts w:hint="eastAsia" w:ascii="仿宋_GB2312" w:hAnsi="仿宋_GB2312" w:eastAsia="仿宋_GB2312" w:cs="仿宋_GB2312"/>
          <w:b/>
          <w:bCs/>
          <w:sz w:val="28"/>
          <w:szCs w:val="28"/>
          <w:highlight w:val="none"/>
          <w:u w:val="single"/>
        </w:rPr>
        <w:t>Ⅰ</w:t>
      </w:r>
      <w:r>
        <w:rPr>
          <w:rFonts w:hint="eastAsia" w:ascii="宋体" w:hAnsi="宋体" w:eastAsia="宋体" w:cs="宋体"/>
          <w:b/>
          <w:bCs/>
          <w:sz w:val="28"/>
          <w:szCs w:val="28"/>
          <w:highlight w:val="none"/>
          <w:u w:val="single"/>
        </w:rPr>
        <w:t>-SG-202</w:t>
      </w:r>
      <w:r>
        <w:rPr>
          <w:rFonts w:hint="eastAsia" w:ascii="宋体" w:hAnsi="宋体" w:eastAsia="宋体" w:cs="宋体"/>
          <w:b/>
          <w:bCs/>
          <w:sz w:val="28"/>
          <w:szCs w:val="28"/>
          <w:highlight w:val="none"/>
          <w:u w:val="single"/>
          <w:lang w:val="en-US" w:eastAsia="zh-CN"/>
        </w:rPr>
        <w:t>3-2024</w:t>
      </w:r>
      <w:r>
        <w:rPr>
          <w:rFonts w:hint="eastAsia" w:ascii="宋体" w:hAnsi="宋体" w:eastAsia="宋体" w:cs="宋体"/>
          <w:b/>
          <w:bCs/>
          <w:sz w:val="28"/>
          <w:szCs w:val="28"/>
          <w:highlight w:val="none"/>
          <w:u w:val="single"/>
        </w:rPr>
        <w:t xml:space="preserve">  </w:t>
      </w:r>
    </w:p>
    <w:p>
      <w:pPr>
        <w:spacing w:line="440" w:lineRule="exact"/>
        <w:ind w:firstLine="902" w:firstLineChars="321"/>
        <w:rPr>
          <w:rFonts w:ascii="宋体" w:hAnsi="宋体" w:eastAsia="宋体" w:cs="宋体"/>
          <w:b/>
          <w:bCs/>
          <w:sz w:val="28"/>
          <w:szCs w:val="28"/>
          <w:highlight w:val="none"/>
        </w:rPr>
      </w:pPr>
    </w:p>
    <w:p>
      <w:pPr>
        <w:spacing w:line="440" w:lineRule="exact"/>
        <w:ind w:firstLine="902" w:firstLineChars="321"/>
        <w:rPr>
          <w:rFonts w:ascii="宋体" w:hAnsi="宋体" w:eastAsia="宋体" w:cs="宋体"/>
          <w:b/>
          <w:bCs/>
          <w:sz w:val="28"/>
          <w:szCs w:val="28"/>
          <w:highlight w:val="none"/>
        </w:rPr>
      </w:pPr>
      <w:r>
        <w:rPr>
          <w:rFonts w:hint="eastAsia" w:ascii="宋体" w:hAnsi="宋体" w:eastAsia="宋体" w:cs="宋体"/>
          <w:b/>
          <w:bCs/>
          <w:sz w:val="28"/>
          <w:szCs w:val="28"/>
          <w:highlight w:val="none"/>
        </w:rPr>
        <w:t>发包人：</w:t>
      </w:r>
      <w:r>
        <w:rPr>
          <w:rFonts w:hint="eastAsia" w:ascii="宋体" w:hAnsi="宋体" w:eastAsia="宋体" w:cs="宋体"/>
          <w:b/>
          <w:bCs/>
          <w:sz w:val="28"/>
          <w:szCs w:val="28"/>
          <w:highlight w:val="none"/>
          <w:u w:val="single"/>
        </w:rPr>
        <w:t xml:space="preserve">广州市黄埔区水务设施管理所  </w:t>
      </w:r>
    </w:p>
    <w:p>
      <w:pPr>
        <w:spacing w:line="440" w:lineRule="exact"/>
        <w:ind w:firstLine="902" w:firstLineChars="321"/>
        <w:rPr>
          <w:rFonts w:ascii="宋体" w:hAnsi="宋体" w:eastAsia="宋体" w:cs="宋体"/>
          <w:b/>
          <w:bCs/>
          <w:sz w:val="28"/>
          <w:szCs w:val="28"/>
          <w:highlight w:val="none"/>
        </w:rPr>
      </w:pPr>
    </w:p>
    <w:p>
      <w:pPr>
        <w:spacing w:line="440" w:lineRule="exact"/>
        <w:ind w:firstLine="902" w:firstLineChars="321"/>
        <w:rPr>
          <w:rFonts w:ascii="宋体" w:hAnsi="宋体" w:eastAsia="宋体" w:cs="宋体"/>
          <w:b/>
          <w:bCs/>
          <w:sz w:val="28"/>
          <w:szCs w:val="28"/>
          <w:highlight w:val="none"/>
        </w:rPr>
      </w:pPr>
      <w:r>
        <w:rPr>
          <w:rFonts w:hint="eastAsia" w:ascii="宋体" w:hAnsi="宋体" w:eastAsia="宋体" w:cs="宋体"/>
          <w:b/>
          <w:bCs/>
          <w:sz w:val="28"/>
          <w:szCs w:val="28"/>
          <w:highlight w:val="none"/>
        </w:rPr>
        <w:t>承包人：</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 xml:space="preserve">       </w:t>
      </w:r>
    </w:p>
    <w:p>
      <w:pPr>
        <w:spacing w:line="440" w:lineRule="exact"/>
        <w:ind w:firstLine="902" w:firstLineChars="321"/>
        <w:rPr>
          <w:rFonts w:ascii="宋体" w:hAnsi="宋体" w:eastAsia="宋体" w:cs="宋体"/>
          <w:b/>
          <w:bCs/>
          <w:sz w:val="28"/>
          <w:szCs w:val="28"/>
          <w:highlight w:val="none"/>
        </w:rPr>
      </w:pPr>
    </w:p>
    <w:p>
      <w:pPr>
        <w:spacing w:line="440" w:lineRule="exact"/>
        <w:ind w:firstLine="902" w:firstLineChars="321"/>
        <w:rPr>
          <w:rFonts w:eastAsia="宋体"/>
          <w:highlight w:val="none"/>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u w:val="single"/>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u w:val="single"/>
        </w:rPr>
        <w:t xml:space="preserve">    </w:t>
      </w:r>
      <w:r>
        <w:rPr>
          <w:rFonts w:hint="eastAsia" w:ascii="宋体" w:hAnsi="宋体" w:eastAsia="宋体" w:cs="宋体"/>
          <w:sz w:val="28"/>
          <w:szCs w:val="28"/>
          <w:highlight w:val="none"/>
        </w:rPr>
        <w:t>日</w:t>
      </w:r>
    </w:p>
    <w:p>
      <w:pPr>
        <w:spacing w:line="440" w:lineRule="exact"/>
        <w:ind w:firstLine="902" w:firstLineChars="321"/>
        <w:rPr>
          <w:rFonts w:ascii="宋体" w:hAnsi="宋体" w:eastAsia="宋体" w:cs="宋体"/>
          <w:b/>
          <w:bCs/>
          <w:sz w:val="28"/>
          <w:szCs w:val="28"/>
          <w:highlight w:val="none"/>
        </w:rPr>
      </w:pPr>
    </w:p>
    <w:p>
      <w:pPr>
        <w:spacing w:line="440" w:lineRule="exact"/>
        <w:ind w:firstLine="902" w:firstLineChars="321"/>
        <w:jc w:val="left"/>
        <w:rPr>
          <w:rFonts w:ascii="宋体" w:hAnsi="宋体" w:eastAsia="宋体" w:cs="宋体"/>
          <w:b/>
          <w:bCs/>
          <w:sz w:val="28"/>
          <w:szCs w:val="28"/>
          <w:highlight w:val="none"/>
          <w:u w:val="single"/>
        </w:rPr>
      </w:pPr>
      <w:r>
        <w:rPr>
          <w:rFonts w:hint="eastAsia" w:ascii="宋体" w:hAnsi="宋体" w:eastAsia="宋体" w:cs="宋体"/>
          <w:b/>
          <w:bCs/>
          <w:sz w:val="28"/>
          <w:szCs w:val="28"/>
          <w:highlight w:val="none"/>
        </w:rPr>
        <w:t>签订地点：</w:t>
      </w:r>
      <w:r>
        <w:rPr>
          <w:rFonts w:hint="eastAsia" w:ascii="宋体" w:hAnsi="宋体" w:eastAsia="宋体" w:cs="宋体"/>
          <w:b/>
          <w:bCs/>
          <w:sz w:val="28"/>
          <w:szCs w:val="28"/>
          <w:highlight w:val="none"/>
          <w:u w:val="single"/>
        </w:rPr>
        <w:t xml:space="preserve">广州市黄埔区 </w:t>
      </w:r>
    </w:p>
    <w:p>
      <w:pPr>
        <w:spacing w:line="440" w:lineRule="exact"/>
        <w:ind w:firstLine="1890" w:firstLineChars="900"/>
        <w:rPr>
          <w:rFonts w:ascii="宋体" w:eastAsia="宋体"/>
          <w:highlight w:val="none"/>
        </w:rPr>
      </w:pPr>
    </w:p>
    <w:p>
      <w:pPr>
        <w:spacing w:line="440" w:lineRule="exact"/>
        <w:ind w:left="-197" w:leftChars="-94"/>
        <w:jc w:val="center"/>
        <w:rPr>
          <w:rFonts w:ascii="宋体"/>
          <w:highlight w:val="none"/>
        </w:rPr>
        <w:sectPr>
          <w:footerReference r:id="rId6" w:type="default"/>
          <w:pgSz w:w="11906" w:h="16838"/>
          <w:pgMar w:top="1134" w:right="1191" w:bottom="1134" w:left="1247" w:header="6" w:footer="851" w:gutter="284"/>
          <w:pgNumType w:fmt="decimal"/>
          <w:cols w:space="720" w:num="1"/>
          <w:docGrid w:type="lines" w:linePitch="408" w:charSpace="0"/>
        </w:sectPr>
      </w:pPr>
      <w:r>
        <w:rPr>
          <w:rFonts w:hint="eastAsia" w:ascii="宋体" w:eastAsia="宋体"/>
          <w:highlight w:val="none"/>
        </w:rPr>
        <w:t xml:space="preserve"> </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b/>
          <w:sz w:val="28"/>
          <w:highlight w:val="none"/>
        </w:rPr>
      </w:pPr>
      <w:r>
        <w:rPr>
          <w:rFonts w:hint="eastAsia" w:ascii="仿宋_GB2312" w:eastAsia="仿宋_GB2312"/>
          <w:b/>
          <w:sz w:val="28"/>
          <w:highlight w:val="none"/>
        </w:rPr>
        <w:t>第一部分</w:t>
      </w:r>
      <w:r>
        <w:rPr>
          <w:rFonts w:ascii="仿宋_GB2312" w:eastAsia="仿宋_GB2312"/>
          <w:b/>
          <w:sz w:val="28"/>
          <w:highlight w:val="none"/>
        </w:rPr>
        <w:t xml:space="preserve">   </w:t>
      </w:r>
      <w:r>
        <w:rPr>
          <w:rFonts w:hint="eastAsia" w:ascii="仿宋_GB2312" w:eastAsia="仿宋_GB2312"/>
          <w:b/>
          <w:sz w:val="28"/>
          <w:highlight w:val="none"/>
        </w:rPr>
        <w:t>协议书</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highlight w:val="none"/>
          <w:u w:val="single"/>
        </w:rPr>
      </w:pPr>
      <w:r>
        <w:rPr>
          <w:rFonts w:hint="eastAsia" w:ascii="仿宋" w:hAnsi="仿宋" w:eastAsia="仿宋" w:cs="仿宋"/>
          <w:sz w:val="24"/>
          <w:highlight w:val="none"/>
        </w:rPr>
        <w:t xml:space="preserve">发包人： </w:t>
      </w:r>
      <w:r>
        <w:rPr>
          <w:rFonts w:hint="eastAsia" w:ascii="仿宋" w:hAnsi="仿宋" w:eastAsia="仿宋" w:cs="仿宋"/>
          <w:sz w:val="24"/>
          <w:highlight w:val="none"/>
          <w:u w:val="single"/>
        </w:rPr>
        <w:t xml:space="preserve">广州市黄埔区水务设施管理所     </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highlight w:val="none"/>
          <w:u w:val="single"/>
        </w:rPr>
      </w:pPr>
      <w:r>
        <w:rPr>
          <w:rFonts w:hint="eastAsia" w:ascii="仿宋" w:hAnsi="仿宋" w:eastAsia="仿宋" w:cs="仿宋"/>
          <w:sz w:val="24"/>
          <w:highlight w:val="none"/>
        </w:rPr>
        <w:t>承包人：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highlight w:val="none"/>
        </w:rPr>
      </w:pPr>
      <w:r>
        <w:rPr>
          <w:rFonts w:hint="eastAsia" w:ascii="仿宋" w:hAnsi="仿宋" w:eastAsia="仿宋" w:cs="仿宋"/>
          <w:sz w:val="24"/>
          <w:highlight w:val="none"/>
        </w:rPr>
        <w:t>依照《中华人民共和国民法典》、《中华人民共和国建筑法》及其他有关法律、行政法规，遵循平等、自愿、公平和诚实信用的原则，双方就本维修工程施工事项协商一致，订立本合同。</w:t>
      </w:r>
    </w:p>
    <w:p>
      <w:pPr>
        <w:keepNext w:val="0"/>
        <w:keepLines w:val="0"/>
        <w:pageBreakBefore w:val="0"/>
        <w:tabs>
          <w:tab w:val="left" w:pos="1047"/>
        </w:tabs>
        <w:kinsoku/>
        <w:wordWrap/>
        <w:overflowPunct/>
        <w:topLinePunct w:val="0"/>
        <w:autoSpaceDE/>
        <w:autoSpaceDN/>
        <w:bidi w:val="0"/>
        <w:adjustRightInd/>
        <w:snapToGrid/>
        <w:spacing w:line="500" w:lineRule="exact"/>
        <w:ind w:left="0" w:firstLine="482" w:firstLineChars="200"/>
        <w:textAlignment w:val="auto"/>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1.</w:t>
      </w:r>
      <w:r>
        <w:rPr>
          <w:rFonts w:hint="eastAsia" w:ascii="黑体" w:hAnsi="黑体" w:eastAsia="黑体" w:cs="黑体"/>
          <w:b/>
          <w:bCs/>
          <w:sz w:val="24"/>
          <w:highlight w:val="none"/>
        </w:rPr>
        <w:t>工程概况</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sz w:val="24"/>
          <w:highlight w:val="none"/>
        </w:rPr>
      </w:pPr>
      <w:r>
        <w:rPr>
          <w:rFonts w:hint="eastAsia" w:ascii="仿宋" w:hAnsi="仿宋" w:eastAsia="仿宋" w:cs="仿宋"/>
          <w:sz w:val="24"/>
          <w:highlight w:val="none"/>
        </w:rPr>
        <w:t xml:space="preserve">    1.1工程名称：</w:t>
      </w:r>
      <w:r>
        <w:rPr>
          <w:rFonts w:hint="eastAsia" w:ascii="仿宋" w:hAnsi="仿宋" w:eastAsia="仿宋" w:cs="仿宋"/>
          <w:b/>
          <w:sz w:val="24"/>
          <w:highlight w:val="none"/>
          <w:u w:val="single"/>
        </w:rPr>
        <w:t>黄埔区</w:t>
      </w:r>
      <w:r>
        <w:rPr>
          <w:rFonts w:hint="eastAsia" w:ascii="仿宋" w:hAnsi="仿宋" w:eastAsia="仿宋" w:cs="仿宋"/>
          <w:b/>
          <w:sz w:val="24"/>
          <w:highlight w:val="none"/>
          <w:u w:val="single"/>
          <w:lang w:val="en-US" w:eastAsia="zh-CN"/>
        </w:rPr>
        <w:t>2023</w:t>
      </w:r>
      <w:r>
        <w:rPr>
          <w:rFonts w:hint="eastAsia" w:ascii="仿宋" w:hAnsi="仿宋" w:eastAsia="仿宋" w:cs="仿宋"/>
          <w:b/>
          <w:sz w:val="24"/>
          <w:highlight w:val="none"/>
          <w:u w:val="single"/>
        </w:rPr>
        <w:t>年</w:t>
      </w:r>
      <w:r>
        <w:rPr>
          <w:rFonts w:hint="eastAsia" w:ascii="仿宋" w:hAnsi="仿宋" w:eastAsia="仿宋" w:cs="仿宋"/>
          <w:b/>
          <w:sz w:val="24"/>
          <w:highlight w:val="none"/>
          <w:u w:val="single"/>
          <w:lang w:eastAsia="zh-CN"/>
        </w:rPr>
        <w:t>至</w:t>
      </w:r>
      <w:r>
        <w:rPr>
          <w:rFonts w:hint="eastAsia" w:ascii="仿宋" w:hAnsi="仿宋" w:eastAsia="仿宋" w:cs="仿宋"/>
          <w:b/>
          <w:sz w:val="24"/>
          <w:highlight w:val="none"/>
          <w:u w:val="single"/>
          <w:lang w:val="en-US" w:eastAsia="zh-CN"/>
        </w:rPr>
        <w:t>2024年</w:t>
      </w:r>
      <w:r>
        <w:rPr>
          <w:rFonts w:hint="eastAsia" w:ascii="仿宋" w:hAnsi="仿宋" w:eastAsia="仿宋" w:cs="仿宋"/>
          <w:b/>
          <w:sz w:val="24"/>
          <w:highlight w:val="none"/>
          <w:u w:val="single"/>
        </w:rPr>
        <w:t>水利设施维修改造工程施工Ⅰ标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rPr>
        <w:t>1.2工程地点：</w:t>
      </w:r>
      <w:r>
        <w:rPr>
          <w:rFonts w:hint="eastAsia" w:ascii="仿宋" w:hAnsi="仿宋" w:eastAsia="仿宋" w:cs="仿宋"/>
          <w:sz w:val="24"/>
          <w:highlight w:val="none"/>
          <w:u w:val="single"/>
        </w:rPr>
        <w:t>广州市黄埔区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szCs w:val="24"/>
          <w:highlight w:val="none"/>
          <w:u w:val="single"/>
          <w:lang w:bidi="ar"/>
        </w:rPr>
      </w:pPr>
      <w:r>
        <w:rPr>
          <w:rFonts w:hint="eastAsia" w:ascii="仿宋" w:hAnsi="仿宋" w:eastAsia="仿宋" w:cs="仿宋"/>
          <w:sz w:val="24"/>
          <w:szCs w:val="24"/>
          <w:highlight w:val="none"/>
        </w:rPr>
        <w:t>1.3</w:t>
      </w:r>
      <w:r>
        <w:rPr>
          <w:rFonts w:hint="eastAsia" w:ascii="仿宋" w:hAnsi="仿宋" w:eastAsia="仿宋" w:cs="仿宋"/>
          <w:sz w:val="24"/>
          <w:szCs w:val="24"/>
          <w:highlight w:val="none"/>
          <w:u w:val="none"/>
          <w:lang w:bidi="ar"/>
        </w:rPr>
        <w:t>工程范围：包括开发大道东部、东北部片区河湖（含东滘涌、东江北干流、沙涌、沙步涌、南岗河、笔岗涌、四清河、天</w:t>
      </w:r>
      <w:r>
        <w:rPr>
          <w:rFonts w:hint="eastAsia" w:ascii="仿宋" w:hAnsi="仿宋" w:eastAsia="仿宋" w:cs="仿宋"/>
          <w:sz w:val="24"/>
          <w:szCs w:val="24"/>
          <w:highlight w:val="none"/>
          <w:u w:val="none"/>
          <w:lang w:eastAsia="zh-CN" w:bidi="ar"/>
        </w:rPr>
        <w:t>窿</w:t>
      </w:r>
      <w:r>
        <w:rPr>
          <w:rFonts w:hint="eastAsia" w:ascii="仿宋" w:hAnsi="仿宋" w:eastAsia="仿宋" w:cs="仿宋"/>
          <w:sz w:val="24"/>
          <w:szCs w:val="24"/>
          <w:highlight w:val="none"/>
          <w:u w:val="none"/>
          <w:lang w:bidi="ar"/>
        </w:rPr>
        <w:t>河、宏岗河、细陂河、牛屎圳、大坑涌、水声涌、沙田涌、龟咀涌、塘尾涌、珠山涌、芳尾河、华埔涌</w:t>
      </w:r>
      <w:r>
        <w:rPr>
          <w:rFonts w:hint="eastAsia" w:ascii="仿宋" w:hAnsi="仿宋" w:eastAsia="仿宋" w:cs="仿宋"/>
          <w:sz w:val="24"/>
          <w:szCs w:val="24"/>
          <w:highlight w:val="none"/>
          <w:u w:val="none"/>
          <w:lang w:eastAsia="zh-CN" w:bidi="ar"/>
        </w:rPr>
        <w:t>、金坑河、潭洞河、罗屋河、黄豆坑涌、平岗河、流沙河、凤凰河、黄田河、狮岭涌、塘面村河、平排二支涌、大沙河、沙形河、白汾水、柯木窿水、黄枝窿水、腰坑水、水响水、刘家庄河、伯坑涌、横坑涌、佛塱河、南村河、黄田河、凤凰湖、九龙湖</w:t>
      </w:r>
      <w:r>
        <w:rPr>
          <w:rFonts w:hint="eastAsia" w:ascii="仿宋" w:hAnsi="仿宋" w:eastAsia="仿宋" w:cs="仿宋"/>
          <w:sz w:val="24"/>
          <w:szCs w:val="24"/>
          <w:highlight w:val="none"/>
          <w:u w:val="none"/>
          <w:lang w:bidi="ar"/>
        </w:rPr>
        <w:t>等）堤岸及附属设施，堤防约</w:t>
      </w:r>
      <w:r>
        <w:rPr>
          <w:rFonts w:hint="eastAsia" w:ascii="仿宋" w:hAnsi="仿宋" w:eastAsia="仿宋" w:cs="仿宋"/>
          <w:sz w:val="24"/>
          <w:szCs w:val="24"/>
          <w:highlight w:val="none"/>
          <w:u w:val="none"/>
          <w:lang w:val="en-US" w:eastAsia="zh-CN" w:bidi="ar"/>
        </w:rPr>
        <w:t>304</w:t>
      </w:r>
      <w:r>
        <w:rPr>
          <w:rFonts w:hint="eastAsia" w:ascii="仿宋" w:hAnsi="仿宋" w:eastAsia="仿宋" w:cs="仿宋"/>
          <w:sz w:val="24"/>
          <w:szCs w:val="24"/>
          <w:highlight w:val="none"/>
          <w:u w:val="none"/>
          <w:lang w:bidi="ar"/>
        </w:rPr>
        <w:t>公里</w:t>
      </w:r>
      <w:r>
        <w:rPr>
          <w:rFonts w:hint="eastAsia" w:ascii="仿宋" w:hAnsi="仿宋" w:eastAsia="仿宋" w:cs="仿宋"/>
          <w:sz w:val="24"/>
          <w:szCs w:val="24"/>
          <w:highlight w:val="none"/>
          <w:u w:val="none"/>
          <w:lang w:eastAsia="zh-CN" w:bidi="ar"/>
        </w:rPr>
        <w:t>，山洪沟（截水沟）及附属设施</w:t>
      </w:r>
      <w:r>
        <w:rPr>
          <w:rFonts w:hint="eastAsia" w:ascii="仿宋" w:hAnsi="仿宋" w:eastAsia="仿宋" w:cs="仿宋"/>
          <w:sz w:val="24"/>
          <w:szCs w:val="24"/>
          <w:highlight w:val="none"/>
          <w:u w:val="none"/>
          <w:lang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none"/>
          <w:lang w:bidi="ar"/>
        </w:rPr>
      </w:pPr>
      <w:r>
        <w:rPr>
          <w:rFonts w:hint="eastAsia" w:ascii="仿宋" w:hAnsi="仿宋" w:eastAsia="仿宋" w:cs="仿宋"/>
          <w:sz w:val="24"/>
          <w:szCs w:val="24"/>
          <w:highlight w:val="none"/>
          <w:u w:val="none"/>
          <w:lang w:bidi="ar"/>
        </w:rPr>
        <w:t>1.4工程内容：</w:t>
      </w:r>
      <w:r>
        <w:rPr>
          <w:rFonts w:hint="eastAsia" w:ascii="仿宋" w:hAnsi="仿宋" w:eastAsia="仿宋" w:cs="仿宋"/>
          <w:b/>
          <w:bCs/>
          <w:sz w:val="24"/>
          <w:szCs w:val="24"/>
          <w:highlight w:val="none"/>
          <w:u w:val="none"/>
          <w:lang w:val="en-US" w:eastAsia="zh-CN" w:bidi="ar"/>
        </w:rPr>
        <w:t>堤岸路</w:t>
      </w:r>
      <w:r>
        <w:rPr>
          <w:rFonts w:hint="eastAsia" w:ascii="仿宋" w:hAnsi="仿宋" w:eastAsia="仿宋" w:cs="仿宋"/>
          <w:sz w:val="24"/>
          <w:szCs w:val="24"/>
          <w:highlight w:val="none"/>
          <w:u w:val="none"/>
          <w:lang w:val="en-US" w:eastAsia="zh-CN" w:bidi="ar"/>
        </w:rPr>
        <w:t>（以防汛功能为主的防汛道路，如防汛路、巡河路、环湖路等）、</w:t>
      </w:r>
      <w:r>
        <w:rPr>
          <w:rFonts w:hint="eastAsia" w:ascii="仿宋" w:hAnsi="仿宋" w:eastAsia="仿宋" w:cs="仿宋"/>
          <w:b/>
          <w:bCs/>
          <w:sz w:val="24"/>
          <w:szCs w:val="24"/>
          <w:highlight w:val="none"/>
          <w:u w:val="none"/>
          <w:lang w:val="en-US" w:eastAsia="zh-CN" w:bidi="ar"/>
        </w:rPr>
        <w:t>河湖标牌</w:t>
      </w:r>
      <w:r>
        <w:rPr>
          <w:rFonts w:hint="eastAsia" w:ascii="仿宋" w:hAnsi="仿宋" w:eastAsia="仿宋" w:cs="仿宋"/>
          <w:sz w:val="24"/>
          <w:szCs w:val="24"/>
          <w:highlight w:val="none"/>
          <w:u w:val="none"/>
          <w:lang w:val="en-US" w:eastAsia="zh-CN" w:bidi="ar"/>
        </w:rPr>
        <w:t>（</w:t>
      </w:r>
      <w:r>
        <w:rPr>
          <w:rFonts w:hint="eastAsia" w:ascii="仿宋" w:hAnsi="仿宋" w:eastAsia="仿宋" w:cs="仿宋"/>
          <w:sz w:val="24"/>
          <w:szCs w:val="24"/>
          <w:highlight w:val="none"/>
          <w:u w:val="none"/>
          <w:lang w:eastAsia="zh-CN" w:bidi="ar"/>
        </w:rPr>
        <w:t>河湖长公示（宣传）牌、划界公示牌、安全警示牌、管理责任牌等</w:t>
      </w:r>
      <w:r>
        <w:rPr>
          <w:rFonts w:hint="eastAsia" w:ascii="仿宋" w:hAnsi="仿宋" w:eastAsia="仿宋" w:cs="仿宋"/>
          <w:sz w:val="24"/>
          <w:szCs w:val="24"/>
          <w:highlight w:val="none"/>
          <w:u w:val="none"/>
          <w:lang w:val="en-US" w:eastAsia="zh-CN" w:bidi="ar"/>
        </w:rPr>
        <w:t>）、</w:t>
      </w:r>
      <w:r>
        <w:rPr>
          <w:rFonts w:hint="eastAsia" w:ascii="仿宋" w:hAnsi="仿宋" w:eastAsia="仿宋" w:cs="仿宋"/>
          <w:b/>
          <w:bCs/>
          <w:sz w:val="24"/>
          <w:szCs w:val="24"/>
          <w:highlight w:val="none"/>
          <w:u w:val="none"/>
          <w:lang w:val="en-US" w:eastAsia="zh-CN" w:bidi="ar"/>
        </w:rPr>
        <w:t>具备水利功能河湖结构</w:t>
      </w:r>
      <w:r>
        <w:rPr>
          <w:rFonts w:hint="eastAsia" w:ascii="仿宋" w:hAnsi="仿宋" w:eastAsia="仿宋" w:cs="仿宋"/>
          <w:sz w:val="24"/>
          <w:szCs w:val="24"/>
          <w:highlight w:val="none"/>
          <w:u w:val="none"/>
          <w:lang w:val="en-US" w:eastAsia="zh-CN" w:bidi="ar"/>
        </w:rPr>
        <w:t>（如堤身、挡土墙、</w:t>
      </w:r>
      <w:r>
        <w:rPr>
          <w:rFonts w:hint="eastAsia" w:ascii="仿宋" w:hAnsi="仿宋" w:eastAsia="仿宋" w:cs="仿宋"/>
          <w:sz w:val="24"/>
          <w:szCs w:val="24"/>
          <w:highlight w:val="none"/>
          <w:u w:val="none"/>
          <w:lang w:eastAsia="zh-CN" w:bidi="ar"/>
        </w:rPr>
        <w:t>防洪挡墙、</w:t>
      </w:r>
      <w:r>
        <w:rPr>
          <w:rFonts w:hint="eastAsia" w:ascii="仿宋" w:hAnsi="仿宋" w:eastAsia="仿宋" w:cs="仿宋"/>
          <w:sz w:val="24"/>
          <w:szCs w:val="24"/>
          <w:highlight w:val="none"/>
          <w:u w:val="none"/>
          <w:lang w:val="en-US" w:eastAsia="zh-CN" w:bidi="ar"/>
        </w:rPr>
        <w:t>边坡、跨涌桥、箱涵、滚水堰等）、</w:t>
      </w:r>
      <w:r>
        <w:rPr>
          <w:rFonts w:hint="eastAsia" w:ascii="仿宋" w:hAnsi="仿宋" w:eastAsia="仿宋" w:cs="仿宋"/>
          <w:b/>
          <w:bCs/>
          <w:sz w:val="24"/>
          <w:szCs w:val="24"/>
          <w:highlight w:val="none"/>
          <w:u w:val="none"/>
          <w:lang w:val="en-US" w:eastAsia="zh-CN" w:bidi="ar"/>
        </w:rPr>
        <w:t>水利附属设施</w:t>
      </w:r>
      <w:r>
        <w:rPr>
          <w:rFonts w:hint="eastAsia" w:ascii="仿宋" w:hAnsi="仿宋" w:eastAsia="仿宋" w:cs="仿宋"/>
          <w:sz w:val="24"/>
          <w:szCs w:val="24"/>
          <w:highlight w:val="none"/>
          <w:u w:val="none"/>
          <w:lang w:val="en-US" w:eastAsia="zh-CN" w:bidi="ar"/>
        </w:rPr>
        <w:t>（如</w:t>
      </w:r>
      <w:r>
        <w:rPr>
          <w:rFonts w:hint="eastAsia" w:ascii="仿宋" w:hAnsi="仿宋" w:eastAsia="仿宋" w:cs="仿宋"/>
          <w:sz w:val="24"/>
          <w:szCs w:val="24"/>
          <w:highlight w:val="none"/>
          <w:u w:val="none"/>
          <w:lang w:eastAsia="zh-CN" w:bidi="ar"/>
        </w:rPr>
        <w:t>救生设施、下河爬梯、防汛通道止（阻）车桩、防汛功能为主通道排水沟渠（含清疏）及盖板等、防洪挡板等</w:t>
      </w:r>
      <w:r>
        <w:rPr>
          <w:rFonts w:hint="eastAsia" w:ascii="仿宋" w:hAnsi="仿宋" w:eastAsia="仿宋" w:cs="仿宋"/>
          <w:sz w:val="24"/>
          <w:szCs w:val="24"/>
          <w:highlight w:val="none"/>
          <w:u w:val="none"/>
          <w:lang w:val="en-US" w:eastAsia="zh-CN" w:bidi="ar"/>
        </w:rPr>
        <w:t>）、</w:t>
      </w:r>
      <w:r>
        <w:rPr>
          <w:rFonts w:hint="eastAsia" w:ascii="仿宋" w:hAnsi="仿宋" w:eastAsia="仿宋" w:cs="仿宋"/>
          <w:b/>
          <w:bCs/>
          <w:sz w:val="24"/>
          <w:szCs w:val="24"/>
          <w:highlight w:val="none"/>
          <w:u w:val="none"/>
          <w:lang w:val="en-US" w:eastAsia="zh-CN" w:bidi="ar"/>
        </w:rPr>
        <w:t>水利</w:t>
      </w:r>
      <w:r>
        <w:rPr>
          <w:rFonts w:hint="eastAsia" w:ascii="仿宋" w:hAnsi="仿宋" w:eastAsia="仿宋" w:cs="仿宋"/>
          <w:b/>
          <w:bCs/>
          <w:sz w:val="24"/>
          <w:szCs w:val="24"/>
          <w:highlight w:val="none"/>
          <w:u w:val="none"/>
          <w:lang w:eastAsia="zh-CN" w:bidi="ar"/>
        </w:rPr>
        <w:t>附属系统</w:t>
      </w:r>
      <w:r>
        <w:rPr>
          <w:rFonts w:hint="eastAsia" w:ascii="仿宋" w:hAnsi="仿宋" w:eastAsia="仿宋" w:cs="仿宋"/>
          <w:sz w:val="24"/>
          <w:szCs w:val="24"/>
          <w:highlight w:val="none"/>
          <w:u w:val="none"/>
          <w:lang w:eastAsia="zh-CN" w:bidi="ar"/>
        </w:rPr>
        <w:t>（路灯照明系统、视频监控系统、广播系统、强电系统、弱电系统、河湖监测系统等）的维修改造；</w:t>
      </w:r>
      <w:r>
        <w:rPr>
          <w:rFonts w:hint="eastAsia" w:ascii="仿宋" w:hAnsi="仿宋" w:eastAsia="仿宋" w:cs="仿宋"/>
          <w:b/>
          <w:bCs/>
          <w:sz w:val="24"/>
          <w:szCs w:val="24"/>
          <w:highlight w:val="none"/>
          <w:u w:val="none"/>
          <w:lang w:val="en-US" w:eastAsia="zh-CN" w:bidi="ar"/>
        </w:rPr>
        <w:t>河湖清杂</w:t>
      </w:r>
      <w:r>
        <w:rPr>
          <w:rFonts w:hint="eastAsia" w:ascii="仿宋" w:hAnsi="仿宋" w:eastAsia="仿宋" w:cs="仿宋"/>
          <w:b/>
          <w:bCs/>
          <w:sz w:val="24"/>
          <w:szCs w:val="24"/>
          <w:highlight w:val="none"/>
          <w:u w:val="none"/>
          <w:lang w:eastAsia="zh-CN" w:bidi="ar"/>
        </w:rPr>
        <w:t>清疏</w:t>
      </w:r>
      <w:r>
        <w:rPr>
          <w:rFonts w:hint="eastAsia" w:ascii="仿宋" w:hAnsi="仿宋" w:eastAsia="仿宋" w:cs="仿宋"/>
          <w:sz w:val="24"/>
          <w:szCs w:val="24"/>
          <w:highlight w:val="none"/>
          <w:u w:val="none"/>
          <w:lang w:eastAsia="zh-CN" w:bidi="ar"/>
        </w:rPr>
        <w:t>（如河道湖面清杂清疏（淤泥</w:t>
      </w:r>
      <w:r>
        <w:rPr>
          <w:rFonts w:hint="eastAsia" w:ascii="仿宋" w:hAnsi="仿宋" w:eastAsia="仿宋" w:cs="仿宋"/>
          <w:sz w:val="24"/>
          <w:szCs w:val="24"/>
          <w:highlight w:val="none"/>
          <w:u w:val="none"/>
          <w:lang w:val="en-US" w:eastAsia="zh-CN" w:bidi="ar"/>
        </w:rPr>
        <w:t>2</w:t>
      </w:r>
      <w:r>
        <w:rPr>
          <w:rFonts w:hint="eastAsia" w:ascii="仿宋" w:hAnsi="仿宋" w:eastAsia="仿宋" w:cs="仿宋"/>
          <w:sz w:val="24"/>
          <w:szCs w:val="24"/>
          <w:highlight w:val="none"/>
          <w:u w:val="none"/>
          <w:lang w:eastAsia="zh-CN" w:bidi="ar"/>
        </w:rPr>
        <w:t>000</w:t>
      </w:r>
      <w:r>
        <w:rPr>
          <w:rFonts w:hint="eastAsia" w:ascii="仿宋" w:hAnsi="仿宋" w:eastAsia="仿宋" w:cs="仿宋"/>
          <w:sz w:val="24"/>
          <w:szCs w:val="24"/>
          <w:highlight w:val="none"/>
          <w:u w:val="none"/>
          <w:lang w:val="en-US" w:eastAsia="zh-CN" w:bidi="ar"/>
        </w:rPr>
        <w:t>m</w:t>
      </w:r>
      <w:r>
        <w:rPr>
          <w:rFonts w:hint="eastAsia" w:ascii="仿宋" w:hAnsi="仿宋" w:eastAsia="仿宋" w:cs="仿宋"/>
          <w:sz w:val="24"/>
          <w:szCs w:val="24"/>
          <w:highlight w:val="none"/>
          <w:u w:val="none"/>
          <w:vertAlign w:val="superscript"/>
          <w:lang w:val="en-US" w:eastAsia="zh-CN" w:bidi="ar"/>
        </w:rPr>
        <w:t>3</w:t>
      </w:r>
      <w:r>
        <w:rPr>
          <w:rFonts w:hint="eastAsia" w:ascii="仿宋" w:hAnsi="仿宋" w:eastAsia="仿宋" w:cs="仿宋"/>
          <w:sz w:val="24"/>
          <w:szCs w:val="24"/>
          <w:highlight w:val="none"/>
          <w:u w:val="none"/>
          <w:lang w:eastAsia="zh-CN" w:bidi="ar"/>
        </w:rPr>
        <w:t>以内）、堤身杂草（树）清理、防汛功能为主通道排水渠（沟）清疏、堤岸建筑垃圾清理等）；</w:t>
      </w:r>
      <w:r>
        <w:rPr>
          <w:rFonts w:hint="eastAsia" w:ascii="仿宋" w:hAnsi="仿宋" w:eastAsia="仿宋" w:cs="仿宋"/>
          <w:b/>
          <w:bCs/>
          <w:sz w:val="24"/>
          <w:szCs w:val="24"/>
          <w:highlight w:val="none"/>
          <w:u w:val="none"/>
          <w:lang w:eastAsia="zh-CN" w:bidi="ar"/>
        </w:rPr>
        <w:t>山洪沟（截水沟）</w:t>
      </w:r>
      <w:r>
        <w:rPr>
          <w:rFonts w:hint="eastAsia" w:ascii="仿宋" w:hAnsi="仿宋" w:eastAsia="仿宋" w:cs="仿宋"/>
          <w:sz w:val="24"/>
          <w:szCs w:val="24"/>
          <w:highlight w:val="none"/>
          <w:u w:val="none"/>
          <w:lang w:eastAsia="zh-CN" w:bidi="ar"/>
        </w:rPr>
        <w:t>清疏及维修改造</w:t>
      </w:r>
      <w:r>
        <w:rPr>
          <w:rFonts w:hint="eastAsia" w:ascii="仿宋" w:hAnsi="仿宋" w:eastAsia="仿宋" w:cs="仿宋"/>
          <w:sz w:val="24"/>
          <w:szCs w:val="24"/>
          <w:highlight w:val="none"/>
          <w:u w:val="none"/>
          <w:lang w:bidi="ar"/>
        </w:rPr>
        <w:t>等</w:t>
      </w:r>
      <w:r>
        <w:rPr>
          <w:rFonts w:hint="eastAsia" w:ascii="仿宋" w:hAnsi="仿宋" w:eastAsia="仿宋" w:cs="仿宋"/>
          <w:sz w:val="24"/>
          <w:szCs w:val="24"/>
          <w:highlight w:val="none"/>
          <w:u w:val="none"/>
          <w:lang w:eastAsia="zh-CN" w:bidi="ar"/>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highlight w:val="none"/>
          <w:u w:val="single"/>
        </w:rPr>
      </w:pPr>
      <w:r>
        <w:rPr>
          <w:rFonts w:hint="eastAsia" w:ascii="仿宋" w:hAnsi="仿宋" w:eastAsia="仿宋" w:cs="仿宋"/>
          <w:sz w:val="24"/>
          <w:highlight w:val="none"/>
        </w:rPr>
        <w:t>1.5工程立项批准文号：</w:t>
      </w:r>
      <w:r>
        <w:rPr>
          <w:rFonts w:hint="eastAsia" w:ascii="仿宋" w:hAnsi="仿宋" w:eastAsia="仿宋" w:cs="仿宋"/>
          <w:sz w:val="24"/>
          <w:highlight w:val="none"/>
          <w:u w:val="single"/>
        </w:rPr>
        <w:t>黄埔区水务局水务设施管理所党支部委员会会议纪要（埔水设党支委会纪【2022】</w:t>
      </w:r>
      <w:r>
        <w:rPr>
          <w:rFonts w:hint="eastAsia" w:ascii="仿宋" w:hAnsi="仿宋" w:eastAsia="仿宋" w:cs="仿宋"/>
          <w:sz w:val="24"/>
          <w:highlight w:val="none"/>
          <w:u w:val="single"/>
          <w:lang w:val="en-US" w:eastAsia="zh-CN"/>
        </w:rPr>
        <w:t>20</w:t>
      </w:r>
      <w:r>
        <w:rPr>
          <w:rFonts w:hint="eastAsia" w:ascii="仿宋" w:hAnsi="仿宋" w:eastAsia="仿宋" w:cs="仿宋"/>
          <w:sz w:val="24"/>
          <w:highlight w:val="none"/>
          <w:u w:val="single"/>
        </w:rPr>
        <w:t>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 xml:space="preserve">     </w:t>
      </w:r>
    </w:p>
    <w:p>
      <w:pPr>
        <w:keepNext w:val="0"/>
        <w:keepLines w:val="0"/>
        <w:pageBreakBefore w:val="0"/>
        <w:kinsoku/>
        <w:wordWrap/>
        <w:overflowPunct/>
        <w:topLinePunct w:val="0"/>
        <w:autoSpaceDE/>
        <w:autoSpaceDN/>
        <w:bidi w:val="0"/>
        <w:snapToGrid/>
        <w:spacing w:line="500" w:lineRule="exact"/>
        <w:ind w:left="0" w:firstLine="480"/>
        <w:rPr>
          <w:rFonts w:hint="default" w:ascii="仿宋" w:hAnsi="仿宋" w:eastAsia="仿宋" w:cs="仿宋"/>
          <w:b/>
          <w:bCs/>
          <w:sz w:val="24"/>
          <w:highlight w:val="none"/>
          <w:lang w:val="en-US"/>
        </w:rPr>
      </w:pPr>
      <w:r>
        <w:rPr>
          <w:rFonts w:hint="eastAsia" w:ascii="仿宋" w:hAnsi="仿宋" w:eastAsia="仿宋" w:cs="仿宋"/>
          <w:sz w:val="24"/>
          <w:highlight w:val="none"/>
        </w:rPr>
        <w:t>资金来源：</w:t>
      </w:r>
      <w:r>
        <w:rPr>
          <w:rFonts w:hint="eastAsia" w:ascii="仿宋" w:hAnsi="仿宋" w:eastAsia="仿宋" w:cs="仿宋"/>
          <w:sz w:val="24"/>
          <w:highlight w:val="none"/>
          <w:u w:val="single"/>
        </w:rPr>
        <w:t>区财政资金</w:t>
      </w:r>
    </w:p>
    <w:p>
      <w:pPr>
        <w:keepNext w:val="0"/>
        <w:keepLines w:val="0"/>
        <w:pageBreakBefore w:val="0"/>
        <w:tabs>
          <w:tab w:val="left" w:pos="1047"/>
        </w:tabs>
        <w:kinsoku/>
        <w:wordWrap/>
        <w:overflowPunct/>
        <w:topLinePunct w:val="0"/>
        <w:autoSpaceDE/>
        <w:autoSpaceDN/>
        <w:bidi w:val="0"/>
        <w:snapToGrid/>
        <w:spacing w:line="500" w:lineRule="exact"/>
        <w:ind w:left="0" w:firstLine="482" w:firstLineChars="200"/>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2.</w:t>
      </w:r>
      <w:r>
        <w:rPr>
          <w:rFonts w:hint="eastAsia" w:ascii="黑体" w:hAnsi="黑体" w:eastAsia="黑体" w:cs="黑体"/>
          <w:b/>
          <w:bCs/>
          <w:sz w:val="24"/>
          <w:highlight w:val="none"/>
        </w:rPr>
        <w:t>工程承包范围</w:t>
      </w:r>
    </w:p>
    <w:p>
      <w:pPr>
        <w:keepNext w:val="0"/>
        <w:keepLines w:val="0"/>
        <w:pageBreakBefore w:val="0"/>
        <w:kinsoku/>
        <w:wordWrap/>
        <w:overflowPunct/>
        <w:topLinePunct w:val="0"/>
        <w:autoSpaceDE/>
        <w:autoSpaceDN/>
        <w:bidi w:val="0"/>
        <w:snapToGrid/>
        <w:spacing w:line="500" w:lineRule="exact"/>
        <w:ind w:left="480"/>
        <w:rPr>
          <w:rFonts w:ascii="仿宋" w:hAnsi="仿宋" w:eastAsia="仿宋" w:cs="仿宋"/>
          <w:sz w:val="24"/>
          <w:highlight w:val="none"/>
          <w:u w:val="single"/>
        </w:rPr>
      </w:pPr>
      <w:r>
        <w:rPr>
          <w:rFonts w:hint="eastAsia" w:ascii="仿宋" w:hAnsi="仿宋" w:eastAsia="仿宋" w:cs="仿宋"/>
          <w:sz w:val="24"/>
          <w:highlight w:val="none"/>
        </w:rPr>
        <w:t>2.1承包范围：</w:t>
      </w:r>
      <w:r>
        <w:rPr>
          <w:rFonts w:hint="eastAsia" w:ascii="仿宋" w:hAnsi="仿宋" w:eastAsia="仿宋" w:cs="仿宋"/>
          <w:sz w:val="24"/>
          <w:highlight w:val="none"/>
          <w:u w:val="single"/>
        </w:rPr>
        <w:t>发包人下达</w:t>
      </w:r>
      <w:r>
        <w:rPr>
          <w:rFonts w:hint="eastAsia" w:ascii="仿宋" w:hAnsi="仿宋" w:eastAsia="仿宋" w:cs="仿宋"/>
          <w:sz w:val="24"/>
          <w:highlight w:val="none"/>
          <w:u w:val="single"/>
          <w:lang w:eastAsia="zh-CN"/>
        </w:rPr>
        <w:t>维修改造任务</w:t>
      </w:r>
      <w:r>
        <w:rPr>
          <w:rFonts w:hint="eastAsia" w:ascii="仿宋" w:hAnsi="仿宋" w:eastAsia="仿宋" w:cs="仿宋"/>
          <w:sz w:val="24"/>
          <w:highlight w:val="none"/>
          <w:u w:val="single"/>
        </w:rPr>
        <w:t>通知书所列内容。</w:t>
      </w:r>
    </w:p>
    <w:p>
      <w:pPr>
        <w:keepNext w:val="0"/>
        <w:keepLines w:val="0"/>
        <w:pageBreakBefore w:val="0"/>
        <w:kinsoku/>
        <w:wordWrap/>
        <w:overflowPunct/>
        <w:topLinePunct w:val="0"/>
        <w:autoSpaceDE/>
        <w:autoSpaceDN/>
        <w:bidi w:val="0"/>
        <w:snapToGrid/>
        <w:spacing w:line="500" w:lineRule="exact"/>
        <w:ind w:left="479" w:firstLine="0" w:firstLineChars="0"/>
        <w:rPr>
          <w:rFonts w:hint="default" w:ascii="仿宋" w:hAnsi="仿宋" w:eastAsia="仿宋" w:cs="仿宋"/>
          <w:b/>
          <w:bCs/>
          <w:sz w:val="24"/>
          <w:highlight w:val="none"/>
          <w:lang w:val="en-US"/>
        </w:rPr>
      </w:pPr>
      <w:r>
        <w:rPr>
          <w:rFonts w:hint="eastAsia" w:ascii="仿宋" w:hAnsi="仿宋" w:eastAsia="仿宋" w:cs="仿宋"/>
          <w:sz w:val="24"/>
          <w:highlight w:val="none"/>
        </w:rPr>
        <w:t>2.2承包方式：</w:t>
      </w:r>
      <w:r>
        <w:rPr>
          <w:rFonts w:hint="eastAsia" w:ascii="仿宋" w:hAnsi="仿宋" w:eastAsia="仿宋" w:cs="仿宋"/>
          <w:sz w:val="24"/>
          <w:highlight w:val="none"/>
          <w:u w:val="single"/>
        </w:rPr>
        <w:t>包工、包料、包工期、包质量、包安全、包文明施工。</w:t>
      </w:r>
    </w:p>
    <w:p>
      <w:pPr>
        <w:keepNext w:val="0"/>
        <w:keepLines w:val="0"/>
        <w:pageBreakBefore w:val="0"/>
        <w:kinsoku/>
        <w:wordWrap/>
        <w:overflowPunct/>
        <w:topLinePunct w:val="0"/>
        <w:autoSpaceDE/>
        <w:autoSpaceDN/>
        <w:bidi w:val="0"/>
        <w:snapToGrid/>
        <w:spacing w:line="500" w:lineRule="exact"/>
        <w:ind w:firstLine="482" w:firstLineChars="200"/>
        <w:rPr>
          <w:rFonts w:hint="eastAsia" w:ascii="黑体" w:hAnsi="黑体" w:eastAsia="黑体" w:cs="黑体"/>
          <w:sz w:val="24"/>
          <w:highlight w:val="none"/>
        </w:rPr>
      </w:pPr>
      <w:r>
        <w:rPr>
          <w:rFonts w:hint="eastAsia" w:ascii="黑体" w:hAnsi="黑体" w:eastAsia="黑体" w:cs="黑体"/>
          <w:b/>
          <w:bCs/>
          <w:sz w:val="24"/>
          <w:highlight w:val="none"/>
          <w:lang w:val="en-US" w:eastAsia="zh-CN"/>
        </w:rPr>
        <w:t>3.</w:t>
      </w:r>
      <w:r>
        <w:rPr>
          <w:rFonts w:hint="eastAsia" w:ascii="黑体" w:hAnsi="黑体" w:eastAsia="黑体" w:cs="黑体"/>
          <w:b/>
          <w:bCs/>
          <w:sz w:val="24"/>
          <w:highlight w:val="none"/>
        </w:rPr>
        <w:t>工程实施</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3.1发包人根据</w:t>
      </w: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rPr>
        <w:t>需要，向承包人发出维修</w:t>
      </w:r>
      <w:r>
        <w:rPr>
          <w:rFonts w:hint="eastAsia" w:ascii="仿宋" w:hAnsi="仿宋" w:eastAsia="仿宋" w:cs="仿宋"/>
          <w:sz w:val="24"/>
          <w:highlight w:val="none"/>
          <w:lang w:eastAsia="zh-CN"/>
        </w:rPr>
        <w:t>改造</w:t>
      </w:r>
      <w:r>
        <w:rPr>
          <w:rFonts w:hint="eastAsia" w:ascii="仿宋" w:hAnsi="仿宋" w:eastAsia="仿宋" w:cs="仿宋"/>
          <w:sz w:val="24"/>
          <w:highlight w:val="none"/>
        </w:rPr>
        <w:t>前期任务通知书，承包人必须严格按照前期任务通知书规定的要求和时限内，完成施工方案（工艺）、方案（工艺）图、效果图</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任务</w:t>
      </w:r>
      <w:r>
        <w:rPr>
          <w:rFonts w:hint="eastAsia" w:ascii="仿宋" w:hAnsi="仿宋" w:eastAsia="仿宋" w:cs="仿宋"/>
          <w:sz w:val="24"/>
          <w:highlight w:val="none"/>
        </w:rPr>
        <w:t>估算等</w:t>
      </w:r>
      <w:r>
        <w:rPr>
          <w:rFonts w:hint="eastAsia" w:ascii="仿宋" w:hAnsi="仿宋" w:eastAsia="仿宋" w:cs="仿宋"/>
          <w:sz w:val="24"/>
          <w:highlight w:val="none"/>
          <w:lang w:eastAsia="zh-CN"/>
        </w:rPr>
        <w:t>前期</w:t>
      </w:r>
      <w:r>
        <w:rPr>
          <w:rFonts w:hint="eastAsia" w:ascii="仿宋" w:hAnsi="仿宋" w:eastAsia="仿宋" w:cs="仿宋"/>
          <w:sz w:val="24"/>
          <w:highlight w:val="none"/>
        </w:rPr>
        <w:t>资料编制并提交监理单位审核。</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3.2发包人</w:t>
      </w:r>
      <w:r>
        <w:rPr>
          <w:rFonts w:hint="eastAsia" w:ascii="仿宋" w:hAnsi="仿宋" w:eastAsia="仿宋" w:cs="仿宋"/>
          <w:sz w:val="24"/>
          <w:highlight w:val="none"/>
          <w:lang w:val="en-US" w:eastAsia="zh-CN"/>
        </w:rPr>
        <w:t>根据</w:t>
      </w:r>
      <w:r>
        <w:rPr>
          <w:rFonts w:hint="eastAsia" w:ascii="仿宋" w:hAnsi="仿宋" w:eastAsia="仿宋" w:cs="仿宋"/>
          <w:sz w:val="24"/>
          <w:highlight w:val="none"/>
        </w:rPr>
        <w:t>监理单位审核</w:t>
      </w:r>
      <w:r>
        <w:rPr>
          <w:rFonts w:hint="eastAsia" w:ascii="仿宋" w:hAnsi="仿宋" w:eastAsia="仿宋" w:cs="仿宋"/>
          <w:sz w:val="24"/>
          <w:highlight w:val="none"/>
          <w:lang w:eastAsia="zh-CN"/>
        </w:rPr>
        <w:t>后的</w:t>
      </w:r>
      <w:r>
        <w:rPr>
          <w:rFonts w:hint="eastAsia" w:ascii="仿宋" w:hAnsi="仿宋" w:eastAsia="仿宋" w:cs="仿宋"/>
          <w:sz w:val="24"/>
          <w:highlight w:val="none"/>
          <w:lang w:val="en-US" w:eastAsia="zh-CN"/>
        </w:rPr>
        <w:t>前期材料</w:t>
      </w:r>
      <w:r>
        <w:rPr>
          <w:rFonts w:hint="eastAsia" w:ascii="仿宋" w:hAnsi="仿宋" w:eastAsia="仿宋" w:cs="仿宋"/>
          <w:sz w:val="24"/>
          <w:highlight w:val="none"/>
        </w:rPr>
        <w:t>编制</w:t>
      </w: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rPr>
        <w:t>通知书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报</w:t>
      </w:r>
      <w:r>
        <w:rPr>
          <w:rFonts w:hint="eastAsia" w:ascii="仿宋" w:hAnsi="仿宋" w:eastAsia="仿宋" w:cs="仿宋"/>
          <w:sz w:val="24"/>
          <w:highlight w:val="none"/>
        </w:rPr>
        <w:t>经</w:t>
      </w:r>
      <w:r>
        <w:rPr>
          <w:rFonts w:hint="eastAsia" w:ascii="仿宋" w:hAnsi="仿宋" w:eastAsia="仿宋" w:cs="仿宋"/>
          <w:sz w:val="24"/>
          <w:highlight w:val="none"/>
          <w:lang w:val="en-US" w:eastAsia="zh-CN"/>
        </w:rPr>
        <w:t>区水务局</w:t>
      </w:r>
      <w:r>
        <w:rPr>
          <w:rFonts w:hint="eastAsia" w:ascii="仿宋" w:hAnsi="仿宋" w:eastAsia="仿宋" w:cs="仿宋"/>
          <w:sz w:val="24"/>
          <w:highlight w:val="none"/>
        </w:rPr>
        <w:t>审批同意后下达给承包人</w:t>
      </w:r>
      <w:r>
        <w:rPr>
          <w:rFonts w:hint="eastAsia" w:ascii="仿宋" w:hAnsi="仿宋" w:eastAsia="仿宋" w:cs="仿宋"/>
          <w:sz w:val="24"/>
          <w:highlight w:val="none"/>
          <w:lang w:eastAsia="zh-CN"/>
        </w:rPr>
        <w:t>。维修改造</w:t>
      </w:r>
      <w:r>
        <w:rPr>
          <w:rFonts w:hint="eastAsia" w:ascii="仿宋" w:hAnsi="仿宋" w:eastAsia="仿宋" w:cs="仿宋"/>
          <w:sz w:val="24"/>
          <w:highlight w:val="none"/>
          <w:lang w:val="en-US" w:eastAsia="zh-CN"/>
        </w:rPr>
        <w:t>任务通知书编制时间必须在合同有效期内</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3.3</w:t>
      </w:r>
      <w:r>
        <w:rPr>
          <w:rFonts w:hint="eastAsia" w:ascii="仿宋" w:hAnsi="仿宋" w:eastAsia="仿宋" w:cs="仿宋"/>
          <w:sz w:val="24"/>
          <w:highlight w:val="none"/>
        </w:rPr>
        <w:t>承包人必须按照</w:t>
      </w: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rPr>
        <w:t>通知书的规定</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开展</w:t>
      </w: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rPr>
        <w:t>承包人</w:t>
      </w:r>
      <w:r>
        <w:rPr>
          <w:rFonts w:hint="eastAsia" w:ascii="仿宋" w:hAnsi="仿宋" w:eastAsia="仿宋" w:cs="仿宋"/>
          <w:sz w:val="24"/>
          <w:highlight w:val="none"/>
          <w:lang w:eastAsia="zh-CN"/>
        </w:rPr>
        <w:t>收到维修改造任务下达通知书后</w:t>
      </w:r>
      <w:r>
        <w:rPr>
          <w:rFonts w:hint="eastAsia" w:ascii="仿宋" w:hAnsi="仿宋" w:eastAsia="仿宋" w:cs="仿宋"/>
          <w:sz w:val="24"/>
          <w:highlight w:val="none"/>
          <w:lang w:val="en-US" w:eastAsia="zh-CN"/>
        </w:rPr>
        <w:t>7天内，应根据任务实际情况，完成工程预算及相关资料编制，报监理审核，审核结果作为</w:t>
      </w:r>
      <w:r>
        <w:rPr>
          <w:rFonts w:hint="eastAsia" w:ascii="仿宋" w:hAnsi="仿宋" w:eastAsia="仿宋" w:cs="仿宋"/>
          <w:sz w:val="24"/>
          <w:highlight w:val="none"/>
        </w:rPr>
        <w:t>发包人</w:t>
      </w:r>
      <w:r>
        <w:rPr>
          <w:rFonts w:hint="eastAsia" w:ascii="仿宋" w:hAnsi="仿宋" w:eastAsia="仿宋" w:cs="仿宋"/>
          <w:sz w:val="24"/>
          <w:highlight w:val="none"/>
          <w:lang w:val="en-US" w:eastAsia="zh-CN"/>
        </w:rPr>
        <w:t>支付承包人工程进度款的依据。</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val="en-US" w:eastAsia="zh-CN"/>
        </w:rPr>
        <w:t>3.4</w:t>
      </w:r>
      <w:r>
        <w:rPr>
          <w:rFonts w:hint="eastAsia" w:ascii="仿宋" w:hAnsi="仿宋" w:eastAsia="仿宋" w:cs="仿宋"/>
          <w:sz w:val="24"/>
          <w:highlight w:val="none"/>
        </w:rPr>
        <w:t>承包人</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向发包人</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监理单位</w:t>
      </w:r>
      <w:r>
        <w:rPr>
          <w:rFonts w:hint="eastAsia" w:ascii="仿宋" w:hAnsi="仿宋" w:eastAsia="仿宋" w:cs="仿宋"/>
          <w:sz w:val="24"/>
          <w:highlight w:val="none"/>
        </w:rPr>
        <w:t>报告</w:t>
      </w:r>
      <w:r>
        <w:rPr>
          <w:rFonts w:hint="eastAsia" w:ascii="仿宋" w:hAnsi="仿宋" w:eastAsia="仿宋" w:cs="仿宋"/>
          <w:sz w:val="24"/>
          <w:highlight w:val="none"/>
          <w:lang w:eastAsia="zh-CN"/>
        </w:rPr>
        <w:t>维修任务的</w:t>
      </w:r>
      <w:r>
        <w:rPr>
          <w:rFonts w:hint="eastAsia" w:ascii="仿宋" w:hAnsi="仿宋" w:eastAsia="仿宋" w:cs="仿宋"/>
          <w:sz w:val="24"/>
          <w:highlight w:val="none"/>
        </w:rPr>
        <w:t>进场开工时间和完工时间。</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lang w:val="en-US" w:eastAsia="zh-CN"/>
        </w:rPr>
        <w:t>分批次（原则上</w:t>
      </w:r>
      <w:r>
        <w:rPr>
          <w:rFonts w:hint="eastAsia" w:ascii="仿宋" w:hAnsi="仿宋" w:eastAsia="仿宋" w:cs="仿宋"/>
          <w:sz w:val="24"/>
          <w:highlight w:val="none"/>
        </w:rPr>
        <w:t>以季度</w:t>
      </w:r>
      <w:r>
        <w:rPr>
          <w:rFonts w:hint="eastAsia" w:ascii="仿宋" w:hAnsi="仿宋" w:eastAsia="仿宋" w:cs="仿宋"/>
          <w:sz w:val="24"/>
          <w:highlight w:val="none"/>
          <w:lang w:eastAsia="zh-CN"/>
        </w:rPr>
        <w:t>周期</w:t>
      </w:r>
      <w:r>
        <w:rPr>
          <w:rFonts w:hint="eastAsia" w:ascii="仿宋" w:hAnsi="仿宋" w:eastAsia="仿宋" w:cs="仿宋"/>
          <w:sz w:val="24"/>
          <w:highlight w:val="none"/>
          <w:lang w:val="en-US" w:eastAsia="zh-CN"/>
        </w:rPr>
        <w:t>划分批次）</w:t>
      </w:r>
      <w:r>
        <w:rPr>
          <w:rFonts w:hint="eastAsia" w:ascii="仿宋" w:hAnsi="仿宋" w:eastAsia="仿宋" w:cs="仿宋"/>
          <w:sz w:val="24"/>
          <w:highlight w:val="none"/>
        </w:rPr>
        <w:t>开展</w:t>
      </w:r>
      <w:r>
        <w:rPr>
          <w:rFonts w:hint="eastAsia" w:ascii="仿宋" w:hAnsi="仿宋" w:eastAsia="仿宋" w:cs="仿宋"/>
          <w:sz w:val="24"/>
          <w:highlight w:val="none"/>
          <w:lang w:eastAsia="zh-CN"/>
        </w:rPr>
        <w:t>完工</w:t>
      </w:r>
      <w:r>
        <w:rPr>
          <w:rFonts w:hint="eastAsia" w:ascii="仿宋" w:hAnsi="仿宋" w:eastAsia="仿宋" w:cs="仿宋"/>
          <w:sz w:val="24"/>
          <w:highlight w:val="none"/>
        </w:rPr>
        <w:t>验收</w:t>
      </w:r>
      <w:r>
        <w:rPr>
          <w:rFonts w:hint="eastAsia" w:ascii="仿宋" w:hAnsi="仿宋" w:eastAsia="仿宋" w:cs="仿宋"/>
          <w:sz w:val="24"/>
          <w:highlight w:val="none"/>
          <w:lang w:eastAsia="zh-CN"/>
        </w:rPr>
        <w:t>。如完工后需要及时验收的任务，如清疏类、水下作业类等任务</w:t>
      </w:r>
      <w:r>
        <w:rPr>
          <w:rFonts w:hint="eastAsia" w:ascii="仿宋" w:hAnsi="仿宋" w:eastAsia="仿宋" w:cs="仿宋"/>
          <w:sz w:val="24"/>
          <w:highlight w:val="none"/>
        </w:rPr>
        <w:t>。</w:t>
      </w:r>
    </w:p>
    <w:p>
      <w:pPr>
        <w:keepNext w:val="0"/>
        <w:keepLines w:val="0"/>
        <w:pageBreakBefore w:val="0"/>
        <w:kinsoku/>
        <w:wordWrap/>
        <w:overflowPunct/>
        <w:topLinePunct w:val="0"/>
        <w:autoSpaceDE/>
        <w:autoSpaceDN/>
        <w:bidi w:val="0"/>
        <w:snapToGrid/>
        <w:spacing w:line="50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每批次</w:t>
      </w:r>
      <w:r>
        <w:rPr>
          <w:rFonts w:hint="eastAsia" w:ascii="仿宋" w:hAnsi="仿宋" w:eastAsia="仿宋" w:cs="仿宋"/>
          <w:sz w:val="24"/>
          <w:szCs w:val="24"/>
          <w:highlight w:val="none"/>
        </w:rPr>
        <w:t>验收合格后，承包人以实际发生</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经发包人、监理单位、承包人三方确认的工程量为依据，按合同约定定额和信息价完成工程</w:t>
      </w:r>
      <w:r>
        <w:rPr>
          <w:rFonts w:hint="eastAsia" w:ascii="仿宋" w:hAnsi="仿宋" w:eastAsia="仿宋" w:cs="仿宋"/>
          <w:sz w:val="24"/>
          <w:szCs w:val="24"/>
          <w:highlight w:val="none"/>
          <w:lang w:val="en-US" w:eastAsia="zh-CN"/>
        </w:rPr>
        <w:t>结</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rPr>
        <w:t>编制工作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结</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资料经</w:t>
      </w:r>
      <w:r>
        <w:rPr>
          <w:rFonts w:hint="eastAsia" w:ascii="仿宋" w:hAnsi="仿宋" w:eastAsia="仿宋" w:cs="仿宋"/>
          <w:sz w:val="24"/>
          <w:szCs w:val="24"/>
          <w:highlight w:val="none"/>
        </w:rPr>
        <w:t>监理单位</w:t>
      </w:r>
      <w:r>
        <w:rPr>
          <w:rFonts w:hint="eastAsia" w:ascii="仿宋" w:hAnsi="仿宋" w:eastAsia="仿宋" w:cs="仿宋"/>
          <w:sz w:val="24"/>
          <w:szCs w:val="24"/>
          <w:highlight w:val="none"/>
          <w:lang w:eastAsia="zh-CN"/>
        </w:rPr>
        <w:t>、</w:t>
      </w:r>
      <w:r>
        <w:rPr>
          <w:rFonts w:hint="eastAsia" w:ascii="仿宋" w:hAnsi="仿宋" w:eastAsia="仿宋" w:cs="仿宋"/>
          <w:sz w:val="24"/>
          <w:highlight w:val="none"/>
        </w:rPr>
        <w:t>发包人</w:t>
      </w:r>
      <w:r>
        <w:rPr>
          <w:rFonts w:hint="eastAsia" w:ascii="仿宋" w:hAnsi="仿宋" w:eastAsia="仿宋" w:cs="仿宋"/>
          <w:sz w:val="24"/>
          <w:highlight w:val="none"/>
          <w:lang w:val="en-US" w:eastAsia="zh-CN"/>
        </w:rPr>
        <w:t>审核后按规定送区财政评审。</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中间验收</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lang w:val="en-US" w:eastAsia="zh-CN"/>
        </w:rPr>
        <w:t>.6.1</w:t>
      </w:r>
      <w:r>
        <w:rPr>
          <w:rFonts w:hint="eastAsia" w:ascii="仿宋" w:hAnsi="仿宋" w:eastAsia="仿宋" w:cs="仿宋"/>
          <w:sz w:val="24"/>
          <w:highlight w:val="none"/>
        </w:rPr>
        <w:t>涉及隐蔽工程或需中间验收的施工环节，承包人应</w:t>
      </w:r>
      <w:r>
        <w:rPr>
          <w:rFonts w:hint="eastAsia" w:ascii="仿宋" w:hAnsi="仿宋" w:eastAsia="仿宋" w:cs="仿宋"/>
          <w:sz w:val="24"/>
          <w:highlight w:val="none"/>
          <w:lang w:eastAsia="zh-CN"/>
        </w:rPr>
        <w:t>提前</w:t>
      </w:r>
      <w:r>
        <w:rPr>
          <w:rFonts w:hint="eastAsia" w:ascii="仿宋" w:hAnsi="仿宋" w:eastAsia="仿宋" w:cs="仿宋"/>
          <w:sz w:val="24"/>
          <w:highlight w:val="none"/>
          <w:lang w:val="en-US" w:eastAsia="zh-CN"/>
        </w:rPr>
        <w:t>2天</w:t>
      </w:r>
      <w:r>
        <w:rPr>
          <w:rFonts w:hint="eastAsia" w:ascii="仿宋" w:hAnsi="仿宋" w:eastAsia="仿宋" w:cs="仿宋"/>
          <w:sz w:val="24"/>
          <w:highlight w:val="none"/>
          <w:lang w:eastAsia="zh-CN"/>
        </w:rPr>
        <w:t>向</w:t>
      </w:r>
      <w:r>
        <w:rPr>
          <w:rFonts w:hint="eastAsia" w:ascii="仿宋" w:hAnsi="仿宋" w:eastAsia="仿宋" w:cs="仿宋"/>
          <w:sz w:val="24"/>
          <w:highlight w:val="none"/>
        </w:rPr>
        <w:t>监理人申请旁站或验收。</w:t>
      </w:r>
      <w:r>
        <w:rPr>
          <w:rFonts w:hint="eastAsia" w:ascii="仿宋" w:hAnsi="仿宋" w:eastAsia="仿宋" w:cs="仿宋"/>
          <w:sz w:val="24"/>
          <w:highlight w:val="none"/>
          <w:lang w:eastAsia="zh-CN"/>
        </w:rPr>
        <w:t>监理人收到申请后，会同</w:t>
      </w:r>
      <w:r>
        <w:rPr>
          <w:rFonts w:hint="eastAsia" w:ascii="仿宋" w:hAnsi="仿宋" w:eastAsia="仿宋" w:cs="仿宋"/>
          <w:sz w:val="24"/>
          <w:highlight w:val="none"/>
        </w:rPr>
        <w:t>发包人</w:t>
      </w:r>
      <w:r>
        <w:rPr>
          <w:rFonts w:hint="eastAsia" w:ascii="仿宋" w:hAnsi="仿宋" w:eastAsia="仿宋" w:cs="仿宋"/>
          <w:sz w:val="24"/>
          <w:highlight w:val="none"/>
          <w:lang w:eastAsia="zh-CN"/>
        </w:rPr>
        <w:t>2</w:t>
      </w:r>
      <w:r>
        <w:rPr>
          <w:rFonts w:hint="eastAsia" w:ascii="仿宋" w:hAnsi="仿宋" w:eastAsia="仿宋" w:cs="仿宋"/>
          <w:sz w:val="24"/>
          <w:highlight w:val="none"/>
        </w:rPr>
        <w:t>天内组织验收，验收合格后</w:t>
      </w:r>
      <w:r>
        <w:rPr>
          <w:rFonts w:hint="eastAsia" w:ascii="仿宋" w:hAnsi="仿宋" w:eastAsia="仿宋" w:cs="仿宋"/>
          <w:sz w:val="24"/>
          <w:highlight w:val="none"/>
          <w:lang w:eastAsia="zh-CN"/>
        </w:rPr>
        <w:t>准</w:t>
      </w:r>
      <w:r>
        <w:rPr>
          <w:rFonts w:hint="eastAsia" w:ascii="仿宋" w:hAnsi="仿宋" w:eastAsia="仿宋" w:cs="仿宋"/>
          <w:sz w:val="24"/>
          <w:highlight w:val="none"/>
        </w:rPr>
        <w:t>予</w:t>
      </w:r>
      <w:r>
        <w:rPr>
          <w:rFonts w:hint="eastAsia" w:ascii="仿宋" w:hAnsi="仿宋" w:eastAsia="仿宋" w:cs="仿宋"/>
          <w:sz w:val="24"/>
          <w:highlight w:val="none"/>
          <w:lang w:eastAsia="zh-CN"/>
        </w:rPr>
        <w:t>进行下一工序施工</w:t>
      </w:r>
      <w:r>
        <w:rPr>
          <w:rFonts w:hint="eastAsia" w:ascii="仿宋" w:hAnsi="仿宋" w:eastAsia="仿宋" w:cs="仿宋"/>
          <w:sz w:val="24"/>
          <w:highlight w:val="none"/>
        </w:rPr>
        <w:t>；如</w:t>
      </w:r>
      <w:r>
        <w:rPr>
          <w:rFonts w:hint="eastAsia" w:ascii="仿宋" w:hAnsi="仿宋" w:eastAsia="仿宋" w:cs="仿宋"/>
          <w:sz w:val="24"/>
          <w:highlight w:val="none"/>
          <w:lang w:eastAsia="zh-CN"/>
        </w:rPr>
        <w:t>验收不合格</w:t>
      </w:r>
      <w:r>
        <w:rPr>
          <w:rFonts w:hint="eastAsia" w:ascii="仿宋" w:hAnsi="仿宋" w:eastAsia="仿宋" w:cs="仿宋"/>
          <w:sz w:val="24"/>
          <w:highlight w:val="none"/>
        </w:rPr>
        <w:t>，必须</w:t>
      </w:r>
      <w:r>
        <w:rPr>
          <w:rFonts w:hint="eastAsia" w:ascii="仿宋" w:hAnsi="仿宋" w:eastAsia="仿宋" w:cs="仿宋"/>
          <w:sz w:val="24"/>
          <w:highlight w:val="none"/>
          <w:lang w:eastAsia="zh-CN"/>
        </w:rPr>
        <w:t>立即</w:t>
      </w:r>
      <w:r>
        <w:rPr>
          <w:rFonts w:hint="eastAsia" w:ascii="仿宋" w:hAnsi="仿宋" w:eastAsia="仿宋" w:cs="仿宋"/>
          <w:sz w:val="24"/>
          <w:highlight w:val="none"/>
        </w:rPr>
        <w:t>整改至</w:t>
      </w:r>
      <w:r>
        <w:rPr>
          <w:rFonts w:hint="eastAsia" w:ascii="仿宋" w:hAnsi="仿宋" w:eastAsia="仿宋" w:cs="仿宋"/>
          <w:sz w:val="24"/>
          <w:highlight w:val="none"/>
          <w:lang w:eastAsia="zh-CN"/>
        </w:rPr>
        <w:t>合格为止，否则，不允许进行下一工序施工</w:t>
      </w:r>
      <w:r>
        <w:rPr>
          <w:rFonts w:hint="eastAsia" w:ascii="仿宋" w:hAnsi="仿宋" w:eastAsia="仿宋" w:cs="仿宋"/>
          <w:sz w:val="24"/>
          <w:highlight w:val="none"/>
        </w:rPr>
        <w:t>。</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sz w:val="24"/>
          <w:highlight w:val="none"/>
          <w:lang w:eastAsia="zh-CN"/>
        </w:rPr>
        <w:t>3</w:t>
      </w:r>
      <w:r>
        <w:rPr>
          <w:rFonts w:hint="eastAsia" w:ascii="仿宋" w:hAnsi="仿宋" w:eastAsia="仿宋" w:cs="仿宋"/>
          <w:sz w:val="24"/>
          <w:highlight w:val="none"/>
          <w:lang w:val="en-US" w:eastAsia="zh-CN"/>
        </w:rPr>
        <w:t>.6.2</w:t>
      </w:r>
      <w:r>
        <w:rPr>
          <w:rFonts w:hint="eastAsia" w:ascii="仿宋" w:hAnsi="仿宋" w:eastAsia="仿宋" w:cs="仿宋"/>
          <w:sz w:val="24"/>
          <w:highlight w:val="none"/>
        </w:rPr>
        <w:t>施工过程相关措施如需计量的，承包人应提前准备好相关证明材料并及时通知监理、发包人现场确认。否则，结算时不予计量。</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3.7合同期满且所有任务均完成结算送审后，开展合同完工验收工作。</w:t>
      </w:r>
    </w:p>
    <w:p>
      <w:pPr>
        <w:keepNext w:val="0"/>
        <w:keepLines w:val="0"/>
        <w:pageBreakBefore w:val="0"/>
        <w:tabs>
          <w:tab w:val="left" w:pos="1047"/>
        </w:tabs>
        <w:kinsoku/>
        <w:wordWrap/>
        <w:overflowPunct/>
        <w:topLinePunct w:val="0"/>
        <w:autoSpaceDE/>
        <w:autoSpaceDN/>
        <w:bidi w:val="0"/>
        <w:snapToGrid/>
        <w:spacing w:line="500" w:lineRule="exact"/>
        <w:ind w:left="480"/>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4.</w:t>
      </w:r>
      <w:r>
        <w:rPr>
          <w:rFonts w:hint="eastAsia" w:ascii="黑体" w:hAnsi="黑体" w:eastAsia="黑体" w:cs="黑体"/>
          <w:b/>
          <w:bCs/>
          <w:sz w:val="24"/>
          <w:highlight w:val="none"/>
        </w:rPr>
        <w:t>合同价款</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bCs/>
          <w:sz w:val="24"/>
          <w:highlight w:val="none"/>
        </w:rPr>
      </w:pPr>
      <w:r>
        <w:rPr>
          <w:rFonts w:hint="eastAsia" w:ascii="仿宋" w:hAnsi="仿宋" w:eastAsia="仿宋" w:cs="仿宋"/>
          <w:sz w:val="24"/>
          <w:szCs w:val="24"/>
          <w:highlight w:val="none"/>
        </w:rPr>
        <w:t>本工程合同暂定价为</w:t>
      </w:r>
      <w:r>
        <w:rPr>
          <w:rFonts w:hint="eastAsia" w:ascii="仿宋" w:hAnsi="仿宋" w:eastAsia="仿宋" w:cs="仿宋"/>
          <w:b/>
          <w:bCs/>
          <w:sz w:val="24"/>
          <w:szCs w:val="24"/>
          <w:highlight w:val="none"/>
        </w:rPr>
        <w:t>人民币</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b/>
          <w:bCs/>
          <w:sz w:val="24"/>
          <w:highlight w:val="none"/>
          <w:u w:val="single"/>
          <w:lang w:val="en-US" w:eastAsia="zh-CN"/>
        </w:rPr>
        <w:t xml:space="preserve">     </w:t>
      </w:r>
      <w:r>
        <w:rPr>
          <w:rFonts w:hint="eastAsia" w:ascii="仿宋" w:hAnsi="仿宋" w:eastAsia="仿宋" w:cs="仿宋"/>
          <w:sz w:val="24"/>
          <w:szCs w:val="24"/>
          <w:highlight w:val="none"/>
        </w:rPr>
        <w:t>万元），中标下浮率为</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sz w:val="24"/>
          <w:szCs w:val="24"/>
          <w:highlight w:val="none"/>
        </w:rPr>
        <w:t>工程按实际发生工程量结算</w:t>
      </w:r>
      <w:r>
        <w:rPr>
          <w:rFonts w:hint="eastAsia" w:ascii="仿宋" w:hAnsi="仿宋" w:eastAsia="仿宋" w:cs="仿宋"/>
          <w:sz w:val="24"/>
          <w:szCs w:val="24"/>
          <w:highlight w:val="none"/>
          <w:lang w:eastAsia="zh-CN"/>
        </w:rPr>
        <w:t>，以</w:t>
      </w:r>
      <w:r>
        <w:rPr>
          <w:rFonts w:hint="eastAsia" w:ascii="仿宋" w:hAnsi="仿宋" w:eastAsia="仿宋" w:cs="仿宋"/>
          <w:sz w:val="24"/>
          <w:szCs w:val="24"/>
          <w:highlight w:val="none"/>
        </w:rPr>
        <w:t>区财政</w:t>
      </w:r>
      <w:r>
        <w:rPr>
          <w:rFonts w:hint="eastAsia" w:ascii="仿宋" w:hAnsi="仿宋" w:eastAsia="仿宋" w:cs="仿宋"/>
          <w:sz w:val="24"/>
          <w:szCs w:val="24"/>
          <w:highlight w:val="none"/>
          <w:lang w:eastAsia="zh-CN"/>
        </w:rPr>
        <w:t>评审核定价</w:t>
      </w:r>
      <w:r>
        <w:rPr>
          <w:rFonts w:hint="eastAsia" w:ascii="仿宋" w:hAnsi="仿宋" w:eastAsia="仿宋" w:cs="仿宋"/>
          <w:sz w:val="24"/>
          <w:szCs w:val="24"/>
          <w:highlight w:val="none"/>
        </w:rPr>
        <w:t>为准，最终结算总价不</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rPr>
        <w:t>超过合同暂定价。</w:t>
      </w:r>
    </w:p>
    <w:p>
      <w:pPr>
        <w:keepNext w:val="0"/>
        <w:keepLines w:val="0"/>
        <w:pageBreakBefore w:val="0"/>
        <w:kinsoku/>
        <w:wordWrap/>
        <w:overflowPunct/>
        <w:topLinePunct w:val="0"/>
        <w:autoSpaceDE/>
        <w:autoSpaceDN/>
        <w:bidi w:val="0"/>
        <w:snapToGrid/>
        <w:spacing w:line="500" w:lineRule="exact"/>
        <w:ind w:left="426" w:firstLine="53"/>
        <w:rPr>
          <w:rFonts w:hint="eastAsia" w:ascii="黑体" w:hAnsi="黑体" w:eastAsia="黑体" w:cs="黑体"/>
          <w:b/>
          <w:bCs/>
          <w:sz w:val="24"/>
          <w:highlight w:val="none"/>
          <w:u w:val="single"/>
        </w:rPr>
      </w:pPr>
      <w:r>
        <w:rPr>
          <w:rFonts w:hint="eastAsia" w:ascii="黑体" w:hAnsi="黑体" w:eastAsia="黑体" w:cs="黑体"/>
          <w:b/>
          <w:bCs/>
          <w:sz w:val="24"/>
          <w:highlight w:val="none"/>
          <w:lang w:val="en-US" w:eastAsia="zh-CN"/>
        </w:rPr>
        <w:t>5.</w:t>
      </w:r>
      <w:r>
        <w:rPr>
          <w:rFonts w:hint="eastAsia" w:ascii="黑体" w:hAnsi="黑体" w:eastAsia="黑体" w:cs="黑体"/>
          <w:b/>
          <w:bCs/>
          <w:sz w:val="24"/>
          <w:highlight w:val="none"/>
        </w:rPr>
        <w:t>合同期</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从合同生效之日起至202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年12月31日</w:t>
      </w:r>
      <w:r>
        <w:rPr>
          <w:rFonts w:hint="eastAsia" w:ascii="仿宋" w:hAnsi="仿宋" w:eastAsia="仿宋" w:cs="仿宋"/>
          <w:sz w:val="24"/>
          <w:highlight w:val="none"/>
          <w:lang w:val="en-US" w:eastAsia="zh-CN"/>
        </w:rPr>
        <w:t>止。</w:t>
      </w:r>
    </w:p>
    <w:p>
      <w:pPr>
        <w:keepNext w:val="0"/>
        <w:keepLines w:val="0"/>
        <w:pageBreakBefore w:val="0"/>
        <w:kinsoku/>
        <w:wordWrap/>
        <w:overflowPunct/>
        <w:topLinePunct w:val="0"/>
        <w:autoSpaceDE/>
        <w:autoSpaceDN/>
        <w:bidi w:val="0"/>
        <w:snapToGrid/>
        <w:spacing w:line="500" w:lineRule="exact"/>
        <w:ind w:left="480"/>
        <w:rPr>
          <w:rFonts w:hint="eastAsia" w:ascii="黑体" w:hAnsi="黑体" w:eastAsia="黑体" w:cs="黑体"/>
          <w:b/>
          <w:bCs/>
          <w:sz w:val="24"/>
          <w:highlight w:val="none"/>
        </w:rPr>
      </w:pPr>
      <w:r>
        <w:rPr>
          <w:rFonts w:hint="eastAsia" w:ascii="黑体" w:hAnsi="黑体" w:eastAsia="黑体" w:cs="黑体"/>
          <w:sz w:val="24"/>
          <w:highlight w:val="none"/>
          <w:lang w:val="en-US" w:eastAsia="zh-CN"/>
        </w:rPr>
        <w:t>6.</w:t>
      </w:r>
      <w:r>
        <w:rPr>
          <w:rFonts w:hint="eastAsia" w:ascii="黑体" w:hAnsi="黑体" w:eastAsia="黑体" w:cs="黑体"/>
          <w:b/>
          <w:bCs/>
          <w:sz w:val="24"/>
          <w:highlight w:val="none"/>
        </w:rPr>
        <w:t>质量标准</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highlight w:val="none"/>
        </w:rPr>
      </w:pPr>
      <w:r>
        <w:rPr>
          <w:rFonts w:hint="eastAsia" w:ascii="仿宋" w:hAnsi="仿宋" w:eastAsia="仿宋" w:cs="仿宋"/>
          <w:sz w:val="24"/>
          <w:highlight w:val="none"/>
        </w:rPr>
        <w:t xml:space="preserve">合格。  </w:t>
      </w:r>
    </w:p>
    <w:p>
      <w:pPr>
        <w:keepNext w:val="0"/>
        <w:keepLines w:val="0"/>
        <w:pageBreakBefore w:val="0"/>
        <w:kinsoku/>
        <w:wordWrap/>
        <w:overflowPunct/>
        <w:topLinePunct w:val="0"/>
        <w:autoSpaceDE/>
        <w:autoSpaceDN/>
        <w:bidi w:val="0"/>
        <w:snapToGrid/>
        <w:spacing w:line="500" w:lineRule="exact"/>
        <w:ind w:firstLine="495"/>
        <w:rPr>
          <w:rFonts w:hint="eastAsia" w:ascii="黑体" w:hAnsi="黑体" w:eastAsia="黑体" w:cs="黑体"/>
          <w:b/>
          <w:bCs w:val="0"/>
          <w:sz w:val="24"/>
          <w:highlight w:val="none"/>
        </w:rPr>
      </w:pPr>
      <w:r>
        <w:rPr>
          <w:rFonts w:hint="eastAsia" w:ascii="黑体" w:hAnsi="黑体" w:eastAsia="黑体" w:cs="黑体"/>
          <w:b/>
          <w:bCs w:val="0"/>
          <w:sz w:val="24"/>
          <w:highlight w:val="none"/>
          <w:lang w:val="en-US" w:eastAsia="zh-CN"/>
        </w:rPr>
        <w:t>7.</w:t>
      </w:r>
      <w:r>
        <w:rPr>
          <w:rFonts w:hint="eastAsia" w:ascii="黑体" w:hAnsi="黑体" w:eastAsia="黑体" w:cs="黑体"/>
          <w:b/>
          <w:bCs w:val="0"/>
          <w:sz w:val="24"/>
          <w:highlight w:val="none"/>
        </w:rPr>
        <w:t>保修期</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新建和改造更新的结构、设备等保修期12个月，其他部分保修期3</w:t>
      </w:r>
      <w:r>
        <w:rPr>
          <w:rFonts w:hint="eastAsia" w:ascii="仿宋" w:hAnsi="仿宋" w:eastAsia="仿宋" w:cs="仿宋"/>
          <w:sz w:val="24"/>
          <w:highlight w:val="none"/>
        </w:rPr>
        <w:t>个月</w:t>
      </w:r>
      <w:r>
        <w:rPr>
          <w:rFonts w:hint="eastAsia" w:ascii="仿宋" w:hAnsi="仿宋" w:eastAsia="仿宋" w:cs="仿宋"/>
          <w:sz w:val="24"/>
          <w:highlight w:val="none"/>
          <w:lang w:eastAsia="zh-CN"/>
        </w:rPr>
        <w:t>。</w:t>
      </w:r>
    </w:p>
    <w:p>
      <w:pPr>
        <w:keepNext w:val="0"/>
        <w:keepLines w:val="0"/>
        <w:pageBreakBefore w:val="0"/>
        <w:kinsoku/>
        <w:wordWrap/>
        <w:overflowPunct/>
        <w:topLinePunct w:val="0"/>
        <w:autoSpaceDE/>
        <w:autoSpaceDN/>
        <w:bidi w:val="0"/>
        <w:snapToGrid/>
        <w:spacing w:line="500" w:lineRule="exact"/>
        <w:ind w:firstLine="495"/>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8.</w:t>
      </w:r>
      <w:r>
        <w:rPr>
          <w:rFonts w:hint="eastAsia" w:ascii="黑体" w:hAnsi="黑体" w:eastAsia="黑体" w:cs="黑体"/>
          <w:b/>
          <w:bCs/>
          <w:sz w:val="24"/>
          <w:highlight w:val="none"/>
        </w:rPr>
        <w:t>责任和义务</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8.1发包人</w:t>
      </w:r>
      <w:r>
        <w:rPr>
          <w:rFonts w:hint="eastAsia" w:ascii="仿宋" w:hAnsi="仿宋" w:eastAsia="仿宋" w:cs="仿宋"/>
          <w:sz w:val="24"/>
          <w:highlight w:val="none"/>
        </w:rPr>
        <w:t>负责</w:t>
      </w:r>
      <w:r>
        <w:rPr>
          <w:rFonts w:hint="eastAsia" w:ascii="仿宋" w:hAnsi="仿宋" w:eastAsia="仿宋" w:cs="仿宋"/>
          <w:sz w:val="24"/>
          <w:highlight w:val="none"/>
          <w:lang w:val="en-US" w:eastAsia="zh-CN"/>
        </w:rPr>
        <w:t>项目</w:t>
      </w:r>
      <w:r>
        <w:rPr>
          <w:rFonts w:hint="eastAsia" w:ascii="仿宋" w:hAnsi="仿宋" w:eastAsia="仿宋" w:cs="仿宋"/>
          <w:sz w:val="24"/>
          <w:highlight w:val="none"/>
        </w:rPr>
        <w:t>的管理</w:t>
      </w:r>
      <w:r>
        <w:rPr>
          <w:rFonts w:hint="eastAsia" w:ascii="仿宋" w:hAnsi="仿宋" w:eastAsia="仿宋" w:cs="仿宋"/>
          <w:sz w:val="24"/>
          <w:highlight w:val="none"/>
          <w:lang w:val="en-US" w:eastAsia="zh-CN"/>
        </w:rPr>
        <w:t>工作</w:t>
      </w:r>
      <w:r>
        <w:rPr>
          <w:rFonts w:hint="eastAsia" w:ascii="仿宋" w:hAnsi="仿宋" w:eastAsia="仿宋" w:cs="仿宋"/>
          <w:sz w:val="24"/>
          <w:highlight w:val="none"/>
        </w:rPr>
        <w:t>，检查、监督</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rPr>
        <w:t>执行合同情况，组织</w:t>
      </w:r>
      <w:r>
        <w:rPr>
          <w:rFonts w:hint="eastAsia" w:ascii="仿宋" w:hAnsi="仿宋" w:eastAsia="仿宋" w:cs="仿宋"/>
          <w:sz w:val="24"/>
          <w:highlight w:val="none"/>
          <w:lang w:val="en-US" w:eastAsia="zh-CN"/>
        </w:rPr>
        <w:t>必要的</w:t>
      </w:r>
      <w:r>
        <w:rPr>
          <w:rFonts w:hint="eastAsia" w:ascii="仿宋" w:hAnsi="仿宋" w:eastAsia="仿宋" w:cs="仿宋"/>
          <w:sz w:val="24"/>
          <w:highlight w:val="none"/>
        </w:rPr>
        <w:t>技术交底、</w:t>
      </w:r>
      <w:r>
        <w:rPr>
          <w:rFonts w:hint="eastAsia" w:ascii="仿宋" w:hAnsi="仿宋" w:eastAsia="仿宋" w:cs="仿宋"/>
          <w:sz w:val="24"/>
          <w:highlight w:val="none"/>
          <w:lang w:val="en-US" w:eastAsia="zh-CN"/>
        </w:rPr>
        <w:t>组织</w:t>
      </w:r>
      <w:r>
        <w:rPr>
          <w:rFonts w:hint="eastAsia" w:ascii="仿宋" w:hAnsi="仿宋" w:eastAsia="仿宋" w:cs="仿宋"/>
          <w:sz w:val="24"/>
          <w:highlight w:val="none"/>
        </w:rPr>
        <w:t>方案</w:t>
      </w:r>
      <w:r>
        <w:rPr>
          <w:rFonts w:hint="eastAsia" w:ascii="仿宋" w:hAnsi="仿宋" w:eastAsia="仿宋" w:cs="仿宋"/>
          <w:sz w:val="24"/>
          <w:highlight w:val="none"/>
          <w:lang w:val="en-US" w:eastAsia="zh-CN"/>
        </w:rPr>
        <w:t>会审</w:t>
      </w:r>
      <w:r>
        <w:rPr>
          <w:rFonts w:hint="eastAsia" w:ascii="仿宋" w:hAnsi="仿宋" w:eastAsia="仿宋" w:cs="仿宋"/>
          <w:sz w:val="24"/>
          <w:highlight w:val="none"/>
        </w:rPr>
        <w:t>、计量</w:t>
      </w:r>
      <w:r>
        <w:rPr>
          <w:rFonts w:hint="eastAsia" w:ascii="仿宋" w:hAnsi="仿宋" w:eastAsia="仿宋" w:cs="仿宋"/>
          <w:sz w:val="24"/>
          <w:highlight w:val="none"/>
          <w:lang w:val="en-US" w:eastAsia="zh-CN"/>
        </w:rPr>
        <w:t>确认</w:t>
      </w:r>
      <w:r>
        <w:rPr>
          <w:rFonts w:hint="eastAsia" w:ascii="仿宋" w:hAnsi="仿宋" w:eastAsia="仿宋" w:cs="仿宋"/>
          <w:sz w:val="24"/>
          <w:highlight w:val="none"/>
        </w:rPr>
        <w:t>、办理合同支付，组织验收、结算等。</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施工条件</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.1施工所需的水、电、通讯线路由承包人自行解决，费用已包在本工程合同价中。</w:t>
      </w:r>
    </w:p>
    <w:p>
      <w:pPr>
        <w:keepNext w:val="0"/>
        <w:keepLines w:val="0"/>
        <w:pageBreakBefore w:val="0"/>
        <w:kinsoku/>
        <w:wordWrap/>
        <w:overflowPunct/>
        <w:topLinePunct w:val="0"/>
        <w:autoSpaceDE/>
        <w:autoSpaceDN/>
        <w:bidi w:val="0"/>
        <w:snapToGrid/>
        <w:spacing w:line="500" w:lineRule="exact"/>
        <w:ind w:firstLine="397"/>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.2施工场地与公共道路的通道及施工便道均由承包人自行解决，费用已包在本工程合同价中。</w:t>
      </w:r>
    </w:p>
    <w:p>
      <w:pPr>
        <w:keepNext w:val="0"/>
        <w:keepLines w:val="0"/>
        <w:pageBreakBefore w:val="0"/>
        <w:kinsoku/>
        <w:wordWrap/>
        <w:overflowPunct/>
        <w:topLinePunct w:val="0"/>
        <w:autoSpaceDE/>
        <w:autoSpaceDN/>
        <w:bidi w:val="0"/>
        <w:snapToGrid/>
        <w:spacing w:line="500" w:lineRule="exact"/>
        <w:ind w:firstLine="397"/>
        <w:rPr>
          <w:rFonts w:hint="default" w:eastAsia="仿宋"/>
          <w:highlight w:val="none"/>
          <w:lang w:val="en-US" w:eastAsia="zh-CN"/>
        </w:rPr>
      </w:pPr>
      <w:r>
        <w:rPr>
          <w:rFonts w:hint="eastAsia" w:ascii="仿宋" w:hAnsi="仿宋" w:eastAsia="仿宋" w:cs="仿宋"/>
          <w:sz w:val="24"/>
          <w:highlight w:val="none"/>
          <w:lang w:val="en-US" w:eastAsia="zh-CN"/>
        </w:rPr>
        <w:t>8.2.3发包人应协助承包人办理施工所需的水、电等手续，协助办理施工所涉及的各种申请、批件等手续。</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施工场地周围地下管线和邻近建筑物、构筑物、</w:t>
      </w:r>
      <w:r>
        <w:rPr>
          <w:rFonts w:hint="eastAsia" w:ascii="仿宋" w:hAnsi="仿宋" w:eastAsia="仿宋" w:cs="仿宋"/>
          <w:sz w:val="24"/>
          <w:highlight w:val="none"/>
          <w:lang w:eastAsia="zh-CN"/>
        </w:rPr>
        <w:t>历史文物、</w:t>
      </w:r>
      <w:r>
        <w:rPr>
          <w:rFonts w:hint="eastAsia" w:ascii="仿宋" w:hAnsi="仿宋" w:eastAsia="仿宋" w:cs="仿宋"/>
          <w:sz w:val="24"/>
          <w:highlight w:val="none"/>
        </w:rPr>
        <w:t>古树名木</w:t>
      </w:r>
      <w:r>
        <w:rPr>
          <w:rFonts w:hint="eastAsia" w:ascii="仿宋" w:hAnsi="仿宋" w:eastAsia="仿宋" w:cs="仿宋"/>
          <w:sz w:val="24"/>
          <w:highlight w:val="none"/>
          <w:lang w:val="en-US" w:eastAsia="zh-CN"/>
        </w:rPr>
        <w:t>等第三方设施</w:t>
      </w:r>
      <w:r>
        <w:rPr>
          <w:rFonts w:hint="eastAsia" w:ascii="仿宋" w:hAnsi="仿宋" w:eastAsia="仿宋" w:cs="仿宋"/>
          <w:sz w:val="24"/>
          <w:highlight w:val="none"/>
        </w:rPr>
        <w:t>保护</w:t>
      </w:r>
      <w:r>
        <w:rPr>
          <w:rFonts w:hint="eastAsia" w:ascii="仿宋" w:hAnsi="仿宋" w:eastAsia="仿宋" w:cs="仿宋"/>
          <w:sz w:val="24"/>
          <w:highlight w:val="none"/>
          <w:lang w:eastAsia="zh-CN"/>
        </w:rPr>
        <w:t>按相关规定执行，</w:t>
      </w:r>
      <w:r>
        <w:rPr>
          <w:rFonts w:hint="eastAsia" w:ascii="仿宋" w:hAnsi="仿宋" w:eastAsia="仿宋" w:cs="仿宋"/>
          <w:sz w:val="24"/>
          <w:highlight w:val="none"/>
        </w:rPr>
        <w:t>费用</w:t>
      </w:r>
      <w:r>
        <w:rPr>
          <w:rFonts w:hint="eastAsia" w:ascii="仿宋" w:hAnsi="仿宋" w:eastAsia="仿宋" w:cs="仿宋"/>
          <w:sz w:val="24"/>
          <w:highlight w:val="none"/>
          <w:lang w:eastAsia="zh-CN"/>
        </w:rPr>
        <w:t>纳入维修工程量，按实结算</w:t>
      </w:r>
      <w:r>
        <w:rPr>
          <w:rFonts w:hint="eastAsia" w:ascii="仿宋" w:hAnsi="仿宋" w:eastAsia="仿宋" w:cs="仿宋"/>
          <w:sz w:val="24"/>
          <w:highlight w:val="none"/>
        </w:rPr>
        <w:t>。因承包人原因导致施工场地周围地下管线、邻近建筑物、构筑物</w:t>
      </w:r>
      <w:r>
        <w:rPr>
          <w:rFonts w:hint="eastAsia" w:ascii="仿宋" w:hAnsi="仿宋" w:eastAsia="仿宋" w:cs="仿宋"/>
          <w:sz w:val="24"/>
          <w:highlight w:val="none"/>
          <w:lang w:eastAsia="zh-CN"/>
        </w:rPr>
        <w:t>、历史文物、</w:t>
      </w:r>
      <w:r>
        <w:rPr>
          <w:rFonts w:hint="eastAsia" w:ascii="仿宋" w:hAnsi="仿宋" w:eastAsia="仿宋" w:cs="仿宋"/>
          <w:sz w:val="24"/>
          <w:highlight w:val="none"/>
        </w:rPr>
        <w:t>古树名木等第三方</w:t>
      </w:r>
      <w:r>
        <w:rPr>
          <w:rFonts w:hint="eastAsia" w:ascii="仿宋" w:hAnsi="仿宋" w:eastAsia="仿宋" w:cs="仿宋"/>
          <w:sz w:val="24"/>
          <w:highlight w:val="none"/>
          <w:lang w:eastAsia="zh-CN"/>
        </w:rPr>
        <w:t>设施受损破坏</w:t>
      </w:r>
      <w:r>
        <w:rPr>
          <w:rFonts w:hint="eastAsia" w:ascii="仿宋" w:hAnsi="仿宋" w:eastAsia="仿宋" w:cs="仿宋"/>
          <w:sz w:val="24"/>
          <w:highlight w:val="none"/>
        </w:rPr>
        <w:t>的，一切责任和损失由承包人负责。</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承包人在收到发包人下达的</w:t>
      </w:r>
      <w:r>
        <w:rPr>
          <w:rFonts w:hint="eastAsia" w:ascii="仿宋" w:hAnsi="仿宋" w:eastAsia="仿宋" w:cs="仿宋"/>
          <w:sz w:val="24"/>
          <w:highlight w:val="none"/>
          <w:lang w:eastAsia="zh-CN"/>
        </w:rPr>
        <w:t>维修改造前期</w:t>
      </w:r>
      <w:r>
        <w:rPr>
          <w:rFonts w:hint="eastAsia" w:ascii="仿宋" w:hAnsi="仿宋" w:eastAsia="仿宋" w:cs="仿宋"/>
          <w:sz w:val="24"/>
          <w:highlight w:val="none"/>
        </w:rPr>
        <w:t>任务通知书后，</w:t>
      </w:r>
      <w:r>
        <w:rPr>
          <w:rFonts w:hint="eastAsia" w:ascii="仿宋" w:hAnsi="仿宋" w:eastAsia="仿宋" w:cs="仿宋"/>
          <w:sz w:val="24"/>
          <w:highlight w:val="none"/>
          <w:lang w:eastAsia="zh-CN"/>
        </w:rPr>
        <w:t>按前期</w:t>
      </w:r>
      <w:r>
        <w:rPr>
          <w:rFonts w:hint="eastAsia" w:ascii="仿宋" w:hAnsi="仿宋" w:eastAsia="仿宋" w:cs="仿宋"/>
          <w:sz w:val="24"/>
          <w:highlight w:val="none"/>
        </w:rPr>
        <w:t>通知书限定的时间内完成施工方案（工艺）、方案（工艺）图、效果图</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任务</w:t>
      </w:r>
      <w:r>
        <w:rPr>
          <w:rFonts w:hint="eastAsia" w:ascii="仿宋" w:hAnsi="仿宋" w:eastAsia="仿宋" w:cs="仿宋"/>
          <w:sz w:val="24"/>
          <w:highlight w:val="none"/>
        </w:rPr>
        <w:t>估算等资料的编制和提交监理单位审核。逾期未</w:t>
      </w:r>
      <w:r>
        <w:rPr>
          <w:rFonts w:hint="eastAsia" w:ascii="仿宋" w:hAnsi="仿宋" w:eastAsia="仿宋" w:cs="仿宋"/>
          <w:sz w:val="24"/>
          <w:highlight w:val="none"/>
          <w:lang w:val="en-US" w:eastAsia="zh-CN"/>
        </w:rPr>
        <w:t>提交的</w:t>
      </w:r>
      <w:r>
        <w:rPr>
          <w:rFonts w:hint="eastAsia" w:ascii="仿宋" w:hAnsi="仿宋" w:eastAsia="仿宋" w:cs="仿宋"/>
          <w:sz w:val="24"/>
          <w:highlight w:val="none"/>
        </w:rPr>
        <w:t>，每逾期一天，发包人有权</w:t>
      </w:r>
      <w:r>
        <w:rPr>
          <w:rFonts w:hint="eastAsia" w:ascii="仿宋" w:hAnsi="仿宋" w:eastAsia="仿宋" w:cs="仿宋"/>
          <w:sz w:val="24"/>
          <w:highlight w:val="none"/>
          <w:lang w:eastAsia="zh-CN"/>
        </w:rPr>
        <w:t>按</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000元</w:t>
      </w:r>
      <w:r>
        <w:rPr>
          <w:rFonts w:hint="eastAsia" w:ascii="仿宋" w:hAnsi="仿宋" w:eastAsia="仿宋" w:cs="仿宋"/>
          <w:sz w:val="24"/>
          <w:highlight w:val="none"/>
          <w:lang w:val="en-US" w:eastAsia="zh-CN"/>
        </w:rPr>
        <w:t>/天标准</w:t>
      </w:r>
      <w:r>
        <w:rPr>
          <w:rFonts w:hint="eastAsia" w:ascii="仿宋" w:hAnsi="仿宋" w:eastAsia="仿宋" w:cs="仿宋"/>
          <w:sz w:val="24"/>
          <w:highlight w:val="none"/>
        </w:rPr>
        <w:t>在支付工程款时</w:t>
      </w:r>
      <w:r>
        <w:rPr>
          <w:rFonts w:hint="eastAsia" w:ascii="仿宋" w:hAnsi="仿宋" w:eastAsia="仿宋" w:cs="仿宋"/>
          <w:sz w:val="24"/>
          <w:highlight w:val="none"/>
          <w:lang w:val="en-US" w:eastAsia="zh-CN"/>
        </w:rPr>
        <w:t>扣减</w:t>
      </w:r>
      <w:r>
        <w:rPr>
          <w:rFonts w:hint="eastAsia" w:ascii="仿宋" w:hAnsi="仿宋" w:eastAsia="仿宋" w:cs="仿宋"/>
          <w:sz w:val="24"/>
          <w:highlight w:val="none"/>
        </w:rPr>
        <w:t>承包人违约金</w:t>
      </w:r>
      <w:r>
        <w:rPr>
          <w:rFonts w:hint="eastAsia" w:ascii="仿宋" w:hAnsi="仿宋" w:eastAsia="仿宋" w:cs="仿宋"/>
          <w:sz w:val="24"/>
          <w:highlight w:val="none"/>
          <w:lang w:eastAsia="zh-CN"/>
        </w:rPr>
        <w:t>；</w:t>
      </w:r>
      <w:r>
        <w:rPr>
          <w:rFonts w:hint="eastAsia" w:ascii="仿宋" w:hAnsi="仿宋" w:eastAsia="仿宋" w:cs="仿宋"/>
          <w:sz w:val="24"/>
          <w:highlight w:val="none"/>
        </w:rPr>
        <w:t>逾期超过</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天仍不报送，发包人有权</w:t>
      </w:r>
      <w:r>
        <w:rPr>
          <w:rFonts w:hint="eastAsia" w:ascii="仿宋" w:hAnsi="仿宋" w:eastAsia="仿宋" w:cs="仿宋"/>
          <w:sz w:val="24"/>
          <w:highlight w:val="none"/>
          <w:lang w:eastAsia="zh-CN"/>
        </w:rPr>
        <w:t>按</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000元</w:t>
      </w:r>
      <w:r>
        <w:rPr>
          <w:rFonts w:hint="eastAsia" w:ascii="仿宋" w:hAnsi="仿宋" w:eastAsia="仿宋" w:cs="仿宋"/>
          <w:sz w:val="24"/>
          <w:highlight w:val="none"/>
          <w:lang w:val="en-US" w:eastAsia="zh-CN"/>
        </w:rPr>
        <w:t>/天标准</w:t>
      </w:r>
      <w:r>
        <w:rPr>
          <w:rFonts w:hint="eastAsia" w:ascii="仿宋" w:hAnsi="仿宋" w:eastAsia="仿宋" w:cs="仿宋"/>
          <w:sz w:val="24"/>
          <w:highlight w:val="none"/>
        </w:rPr>
        <w:t>在支付工程款时</w:t>
      </w:r>
      <w:r>
        <w:rPr>
          <w:rFonts w:hint="eastAsia" w:ascii="仿宋" w:hAnsi="仿宋" w:eastAsia="仿宋" w:cs="仿宋"/>
          <w:sz w:val="24"/>
          <w:highlight w:val="none"/>
          <w:lang w:val="en-US" w:eastAsia="zh-CN"/>
        </w:rPr>
        <w:t>扣减</w:t>
      </w:r>
      <w:r>
        <w:rPr>
          <w:rFonts w:hint="eastAsia" w:ascii="仿宋" w:hAnsi="仿宋" w:eastAsia="仿宋" w:cs="仿宋"/>
          <w:sz w:val="24"/>
          <w:highlight w:val="none"/>
        </w:rPr>
        <w:t>承包人违约金</w:t>
      </w:r>
      <w:r>
        <w:rPr>
          <w:rFonts w:hint="eastAsia" w:ascii="仿宋" w:hAnsi="仿宋" w:eastAsia="仿宋" w:cs="仿宋"/>
          <w:sz w:val="24"/>
          <w:highlight w:val="none"/>
          <w:lang w:eastAsia="zh-CN"/>
        </w:rPr>
        <w:t>；</w:t>
      </w:r>
      <w:r>
        <w:rPr>
          <w:rFonts w:hint="eastAsia" w:ascii="仿宋" w:hAnsi="仿宋" w:eastAsia="仿宋" w:cs="仿宋"/>
          <w:sz w:val="24"/>
          <w:highlight w:val="none"/>
        </w:rPr>
        <w:t>逾期超过</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天仍不报</w:t>
      </w:r>
      <w:r>
        <w:rPr>
          <w:rFonts w:hint="eastAsia" w:ascii="仿宋" w:hAnsi="仿宋" w:eastAsia="仿宋" w:cs="仿宋"/>
          <w:sz w:val="24"/>
          <w:highlight w:val="none"/>
          <w:lang w:eastAsia="zh-CN"/>
        </w:rPr>
        <w:t>送，</w:t>
      </w:r>
      <w:r>
        <w:rPr>
          <w:rFonts w:hint="eastAsia" w:ascii="仿宋" w:hAnsi="仿宋" w:eastAsia="仿宋" w:cs="仿宋"/>
          <w:sz w:val="24"/>
          <w:highlight w:val="none"/>
        </w:rPr>
        <w:t>发包人有权单方面解除合同。</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承包人严格按照审定的</w:t>
      </w:r>
      <w:r>
        <w:rPr>
          <w:rFonts w:hint="eastAsia" w:ascii="仿宋" w:hAnsi="仿宋" w:eastAsia="仿宋" w:cs="仿宋"/>
          <w:sz w:val="24"/>
          <w:highlight w:val="none"/>
          <w:lang w:eastAsia="zh-CN"/>
        </w:rPr>
        <w:t>维修改造方案</w:t>
      </w:r>
      <w:r>
        <w:rPr>
          <w:rFonts w:hint="eastAsia" w:ascii="仿宋" w:hAnsi="仿宋" w:eastAsia="仿宋" w:cs="仿宋"/>
          <w:sz w:val="24"/>
          <w:highlight w:val="none"/>
        </w:rPr>
        <w:t>施工，施工期间不得随意改变</w:t>
      </w:r>
      <w:r>
        <w:rPr>
          <w:rFonts w:hint="eastAsia" w:ascii="仿宋" w:hAnsi="仿宋" w:eastAsia="仿宋" w:cs="仿宋"/>
          <w:sz w:val="24"/>
          <w:highlight w:val="none"/>
          <w:lang w:eastAsia="zh-CN"/>
        </w:rPr>
        <w:t>维修改造方案</w:t>
      </w:r>
      <w:r>
        <w:rPr>
          <w:rFonts w:hint="eastAsia" w:ascii="仿宋" w:hAnsi="仿宋" w:eastAsia="仿宋" w:cs="仿宋"/>
          <w:sz w:val="24"/>
          <w:highlight w:val="none"/>
        </w:rPr>
        <w:t>，如确需改变须</w:t>
      </w:r>
      <w:r>
        <w:rPr>
          <w:rFonts w:hint="eastAsia" w:ascii="仿宋" w:hAnsi="仿宋" w:eastAsia="仿宋" w:cs="仿宋"/>
          <w:sz w:val="24"/>
          <w:highlight w:val="none"/>
          <w:lang w:val="en-US" w:eastAsia="zh-CN"/>
        </w:rPr>
        <w:t>报监理审核，并</w:t>
      </w:r>
      <w:r>
        <w:rPr>
          <w:rFonts w:hint="eastAsia" w:ascii="仿宋" w:hAnsi="仿宋" w:eastAsia="仿宋" w:cs="仿宋"/>
          <w:sz w:val="24"/>
          <w:highlight w:val="none"/>
        </w:rPr>
        <w:t>经发包人同意，</w:t>
      </w:r>
      <w:r>
        <w:rPr>
          <w:rFonts w:hint="eastAsia" w:ascii="仿宋" w:hAnsi="仿宋" w:eastAsia="仿宋" w:cs="仿宋"/>
          <w:sz w:val="24"/>
          <w:highlight w:val="none"/>
          <w:lang w:eastAsia="zh-CN"/>
        </w:rPr>
        <w:t>并完善相关资料和手续</w:t>
      </w:r>
      <w:r>
        <w:rPr>
          <w:rFonts w:hint="eastAsia" w:ascii="仿宋" w:hAnsi="仿宋" w:eastAsia="仿宋" w:cs="仿宋"/>
          <w:sz w:val="24"/>
          <w:highlight w:val="none"/>
        </w:rPr>
        <w:t>。未经发包人同意擅自更改</w:t>
      </w:r>
      <w:r>
        <w:rPr>
          <w:rFonts w:hint="eastAsia" w:ascii="仿宋" w:hAnsi="仿宋" w:eastAsia="仿宋" w:cs="仿宋"/>
          <w:sz w:val="24"/>
          <w:highlight w:val="none"/>
          <w:lang w:eastAsia="zh-CN"/>
        </w:rPr>
        <w:t>维修改造方案</w:t>
      </w:r>
      <w:r>
        <w:rPr>
          <w:rFonts w:hint="eastAsia" w:ascii="仿宋" w:hAnsi="仿宋" w:eastAsia="仿宋" w:cs="仿宋"/>
          <w:sz w:val="24"/>
          <w:highlight w:val="none"/>
        </w:rPr>
        <w:t>施工的，发包人有权按2000元/</w:t>
      </w:r>
      <w:r>
        <w:rPr>
          <w:rFonts w:hint="eastAsia" w:ascii="仿宋" w:hAnsi="仿宋" w:eastAsia="仿宋" w:cs="仿宋"/>
          <w:sz w:val="24"/>
          <w:highlight w:val="none"/>
          <w:lang w:val="en-US" w:eastAsia="zh-CN"/>
        </w:rPr>
        <w:t>宗标准</w:t>
      </w:r>
      <w:r>
        <w:rPr>
          <w:rFonts w:hint="eastAsia" w:ascii="仿宋" w:hAnsi="仿宋" w:eastAsia="仿宋" w:cs="仿宋"/>
          <w:sz w:val="24"/>
          <w:highlight w:val="none"/>
        </w:rPr>
        <w:t>在支付工程款时扣减承包人违约金，</w:t>
      </w:r>
      <w:r>
        <w:rPr>
          <w:rFonts w:hint="eastAsia" w:ascii="仿宋" w:hAnsi="仿宋" w:eastAsia="仿宋" w:cs="仿宋"/>
          <w:sz w:val="24"/>
          <w:highlight w:val="none"/>
          <w:lang w:eastAsia="zh-CN"/>
        </w:rPr>
        <w:t>并按原方案进行整改</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所造成的经济损失和责任全部由承包人承担。</w:t>
      </w:r>
    </w:p>
    <w:p>
      <w:pPr>
        <w:keepNext w:val="0"/>
        <w:keepLines w:val="0"/>
        <w:pageBreakBefore w:val="0"/>
        <w:kinsoku/>
        <w:wordWrap/>
        <w:overflowPunct/>
        <w:topLinePunct w:val="0"/>
        <w:autoSpaceDE/>
        <w:autoSpaceDN/>
        <w:bidi w:val="0"/>
        <w:snapToGrid/>
        <w:spacing w:line="500" w:lineRule="exact"/>
        <w:ind w:firstLine="495" w:firstLineChars="0"/>
        <w:rPr>
          <w:rFonts w:hint="eastAsia" w:ascii="仿宋" w:hAnsi="仿宋" w:eastAsia="仿宋" w:cs="仿宋"/>
          <w:sz w:val="24"/>
          <w:highlight w:val="none"/>
        </w:rPr>
      </w:pPr>
      <w:r>
        <w:rPr>
          <w:rFonts w:hint="eastAsia" w:ascii="仿宋" w:hAnsi="仿宋" w:eastAsia="仿宋" w:cs="仿宋"/>
          <w:sz w:val="24"/>
          <w:highlight w:val="none"/>
          <w:lang w:val="en-US" w:eastAsia="zh-CN"/>
        </w:rPr>
        <w:t>8.6</w:t>
      </w:r>
      <w:r>
        <w:rPr>
          <w:rFonts w:hint="eastAsia" w:ascii="仿宋" w:hAnsi="仿宋" w:eastAsia="仿宋" w:cs="仿宋"/>
          <w:sz w:val="24"/>
          <w:highlight w:val="none"/>
        </w:rPr>
        <w:t>承包人</w:t>
      </w:r>
      <w:r>
        <w:rPr>
          <w:rFonts w:hint="eastAsia" w:ascii="仿宋" w:hAnsi="仿宋" w:eastAsia="仿宋" w:cs="仿宋"/>
          <w:sz w:val="24"/>
          <w:highlight w:val="none"/>
          <w:lang w:eastAsia="zh-CN"/>
        </w:rPr>
        <w:t>收到</w:t>
      </w:r>
      <w:r>
        <w:rPr>
          <w:rFonts w:hint="eastAsia" w:ascii="仿宋" w:hAnsi="仿宋" w:eastAsia="仿宋" w:cs="仿宋"/>
          <w:sz w:val="24"/>
          <w:highlight w:val="none"/>
        </w:rPr>
        <w:t>任务通知书3天内，承包人应组织进场施工，逾期不进场，每逾期一天，发包人有权</w:t>
      </w:r>
      <w:r>
        <w:rPr>
          <w:rFonts w:hint="eastAsia" w:ascii="仿宋" w:hAnsi="仿宋" w:eastAsia="仿宋" w:cs="仿宋"/>
          <w:sz w:val="24"/>
          <w:highlight w:val="none"/>
          <w:lang w:eastAsia="zh-CN"/>
        </w:rPr>
        <w:t>按</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000元</w:t>
      </w:r>
      <w:r>
        <w:rPr>
          <w:rFonts w:hint="eastAsia" w:ascii="仿宋" w:hAnsi="仿宋" w:eastAsia="仿宋" w:cs="仿宋"/>
          <w:sz w:val="24"/>
          <w:highlight w:val="none"/>
          <w:lang w:val="en-US" w:eastAsia="zh-CN"/>
        </w:rPr>
        <w:t>/天标准</w:t>
      </w:r>
      <w:r>
        <w:rPr>
          <w:rFonts w:hint="eastAsia" w:ascii="仿宋" w:hAnsi="仿宋" w:eastAsia="仿宋" w:cs="仿宋"/>
          <w:sz w:val="24"/>
          <w:highlight w:val="none"/>
        </w:rPr>
        <w:t>在支付工程款时</w:t>
      </w:r>
      <w:r>
        <w:rPr>
          <w:rFonts w:hint="eastAsia" w:ascii="仿宋" w:hAnsi="仿宋" w:eastAsia="仿宋" w:cs="仿宋"/>
          <w:sz w:val="24"/>
          <w:highlight w:val="none"/>
          <w:lang w:val="en-US" w:eastAsia="zh-CN"/>
        </w:rPr>
        <w:t>扣减</w:t>
      </w:r>
      <w:r>
        <w:rPr>
          <w:rFonts w:hint="eastAsia" w:ascii="仿宋" w:hAnsi="仿宋" w:eastAsia="仿宋" w:cs="仿宋"/>
          <w:sz w:val="24"/>
          <w:highlight w:val="none"/>
        </w:rPr>
        <w:t>承包人违约金</w:t>
      </w:r>
      <w:r>
        <w:rPr>
          <w:rFonts w:hint="eastAsia" w:ascii="仿宋" w:hAnsi="仿宋" w:eastAsia="仿宋" w:cs="仿宋"/>
          <w:sz w:val="24"/>
          <w:highlight w:val="none"/>
          <w:lang w:eastAsia="zh-CN"/>
        </w:rPr>
        <w:t>；</w:t>
      </w:r>
      <w:r>
        <w:rPr>
          <w:rFonts w:hint="eastAsia" w:ascii="仿宋" w:hAnsi="仿宋" w:eastAsia="仿宋" w:cs="仿宋"/>
          <w:sz w:val="24"/>
          <w:highlight w:val="none"/>
        </w:rPr>
        <w:t>逾期超过</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天仍不进场，发包人有权</w:t>
      </w:r>
      <w:r>
        <w:rPr>
          <w:rFonts w:hint="eastAsia" w:ascii="仿宋" w:hAnsi="仿宋" w:eastAsia="仿宋" w:cs="仿宋"/>
          <w:sz w:val="24"/>
          <w:highlight w:val="none"/>
          <w:lang w:eastAsia="zh-CN"/>
        </w:rPr>
        <w:t>按</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000元</w:t>
      </w:r>
      <w:r>
        <w:rPr>
          <w:rFonts w:hint="eastAsia" w:ascii="仿宋" w:hAnsi="仿宋" w:eastAsia="仿宋" w:cs="仿宋"/>
          <w:sz w:val="24"/>
          <w:highlight w:val="none"/>
          <w:lang w:val="en-US" w:eastAsia="zh-CN"/>
        </w:rPr>
        <w:t>/天标准</w:t>
      </w:r>
      <w:r>
        <w:rPr>
          <w:rFonts w:hint="eastAsia" w:ascii="仿宋" w:hAnsi="仿宋" w:eastAsia="仿宋" w:cs="仿宋"/>
          <w:sz w:val="24"/>
          <w:highlight w:val="none"/>
        </w:rPr>
        <w:t>在支付工程款时</w:t>
      </w:r>
      <w:r>
        <w:rPr>
          <w:rFonts w:hint="eastAsia" w:ascii="仿宋" w:hAnsi="仿宋" w:eastAsia="仿宋" w:cs="仿宋"/>
          <w:sz w:val="24"/>
          <w:highlight w:val="none"/>
          <w:lang w:val="en-US" w:eastAsia="zh-CN"/>
        </w:rPr>
        <w:t>扣减</w:t>
      </w:r>
      <w:r>
        <w:rPr>
          <w:rFonts w:hint="eastAsia" w:ascii="仿宋" w:hAnsi="仿宋" w:eastAsia="仿宋" w:cs="仿宋"/>
          <w:sz w:val="24"/>
          <w:highlight w:val="none"/>
        </w:rPr>
        <w:t>承包人违约金</w:t>
      </w:r>
      <w:r>
        <w:rPr>
          <w:rFonts w:hint="eastAsia" w:ascii="仿宋" w:hAnsi="仿宋" w:eastAsia="仿宋" w:cs="仿宋"/>
          <w:sz w:val="24"/>
          <w:highlight w:val="none"/>
          <w:lang w:eastAsia="zh-CN"/>
        </w:rPr>
        <w:t>；逾期超过</w:t>
      </w:r>
      <w:r>
        <w:rPr>
          <w:rFonts w:hint="eastAsia" w:ascii="仿宋" w:hAnsi="仿宋" w:eastAsia="仿宋" w:cs="仿宋"/>
          <w:sz w:val="24"/>
          <w:highlight w:val="none"/>
          <w:lang w:val="en-US" w:eastAsia="zh-CN"/>
        </w:rPr>
        <w:t>30天</w:t>
      </w:r>
      <w:r>
        <w:rPr>
          <w:rFonts w:hint="eastAsia" w:ascii="仿宋" w:hAnsi="仿宋" w:eastAsia="仿宋" w:cs="仿宋"/>
          <w:sz w:val="24"/>
          <w:highlight w:val="none"/>
        </w:rPr>
        <w:t>，发包人有权单方面解除合同。</w:t>
      </w:r>
    </w:p>
    <w:p>
      <w:pPr>
        <w:keepNext w:val="0"/>
        <w:keepLines w:val="0"/>
        <w:pageBreakBefore w:val="0"/>
        <w:widowControl w:val="0"/>
        <w:kinsoku/>
        <w:wordWrap/>
        <w:overflowPunct/>
        <w:topLinePunct w:val="0"/>
        <w:autoSpaceDE/>
        <w:autoSpaceDN/>
        <w:bidi w:val="0"/>
        <w:snapToGrid/>
        <w:spacing w:line="500" w:lineRule="exact"/>
        <w:ind w:firstLine="480" w:firstLineChars="200"/>
        <w:jc w:val="both"/>
        <w:rPr>
          <w:rFonts w:hint="default"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8.7承包人未经发包人和监理同意，擅自组织进场施工，发包人有权按2000元/次标准在支付工程款时扣减承包人违约金，承包人必须立即停止施工，等待开工指令。承包人施工如超出拟定方案和范围，超出部分发包人不予确认，所需费用由承包人承担。</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rPr>
      </w:pPr>
      <w:r>
        <w:rPr>
          <w:rFonts w:hint="eastAsia" w:ascii="仿宋" w:hAnsi="仿宋" w:eastAsia="仿宋" w:cs="仿宋"/>
          <w:kern w:val="2"/>
          <w:sz w:val="24"/>
          <w:szCs w:val="22"/>
          <w:highlight w:val="none"/>
          <w:lang w:val="en-US" w:eastAsia="zh-CN" w:bidi="ar-SA"/>
        </w:rPr>
        <w:t>8.8承包人须严格按照发包人下达给承包人的维修改造任务书中列明的完工时间按期完工，若因不可抗力因素需要</w:t>
      </w:r>
      <w:r>
        <w:rPr>
          <w:rFonts w:hint="eastAsia" w:ascii="仿宋" w:hAnsi="仿宋" w:eastAsia="仿宋" w:cs="仿宋"/>
          <w:sz w:val="24"/>
          <w:highlight w:val="none"/>
        </w:rPr>
        <w:t>工期</w:t>
      </w:r>
      <w:r>
        <w:rPr>
          <w:rFonts w:hint="eastAsia" w:ascii="仿宋" w:hAnsi="仿宋" w:eastAsia="仿宋" w:cs="仿宋"/>
          <w:sz w:val="24"/>
          <w:highlight w:val="none"/>
          <w:lang w:eastAsia="zh-CN"/>
        </w:rPr>
        <w:t>延后的</w:t>
      </w:r>
      <w:r>
        <w:rPr>
          <w:rFonts w:hint="eastAsia" w:ascii="仿宋" w:hAnsi="仿宋" w:eastAsia="仿宋" w:cs="仿宋"/>
          <w:sz w:val="24"/>
          <w:highlight w:val="none"/>
        </w:rPr>
        <w:t>，</w:t>
      </w:r>
      <w:r>
        <w:rPr>
          <w:rFonts w:hint="eastAsia" w:ascii="仿宋" w:hAnsi="仿宋" w:eastAsia="仿宋" w:cs="仿宋"/>
          <w:kern w:val="2"/>
          <w:sz w:val="24"/>
          <w:szCs w:val="22"/>
          <w:highlight w:val="none"/>
          <w:lang w:val="en-US" w:eastAsia="zh-CN" w:bidi="ar-SA"/>
        </w:rPr>
        <w:t>承包人须在工期到期提前7个工作日天内，书面向监理人提出申请，经总监理工程师审核同意后报发包</w:t>
      </w:r>
      <w:r>
        <w:rPr>
          <w:rFonts w:hint="eastAsia" w:ascii="仿宋" w:hAnsi="仿宋" w:eastAsia="仿宋" w:cs="仿宋"/>
          <w:sz w:val="24"/>
          <w:highlight w:val="none"/>
        </w:rPr>
        <w:t>人</w:t>
      </w:r>
      <w:r>
        <w:rPr>
          <w:rFonts w:hint="eastAsia" w:ascii="仿宋" w:hAnsi="仿宋" w:eastAsia="仿宋" w:cs="仿宋"/>
          <w:sz w:val="24"/>
          <w:highlight w:val="none"/>
          <w:lang w:eastAsia="zh-CN"/>
        </w:rPr>
        <w:t>审批，经审批</w:t>
      </w:r>
      <w:r>
        <w:rPr>
          <w:rFonts w:hint="eastAsia" w:ascii="仿宋" w:hAnsi="仿宋" w:eastAsia="仿宋" w:cs="仿宋"/>
          <w:sz w:val="24"/>
          <w:highlight w:val="none"/>
        </w:rPr>
        <w:t>同意</w:t>
      </w:r>
      <w:r>
        <w:rPr>
          <w:rFonts w:hint="eastAsia" w:ascii="仿宋" w:hAnsi="仿宋" w:eastAsia="仿宋" w:cs="仿宋"/>
          <w:sz w:val="24"/>
          <w:highlight w:val="none"/>
          <w:lang w:eastAsia="zh-CN"/>
        </w:rPr>
        <w:t>后方可延长工期。</w:t>
      </w:r>
      <w:r>
        <w:rPr>
          <w:rFonts w:hint="eastAsia" w:ascii="仿宋" w:hAnsi="仿宋" w:eastAsia="仿宋" w:cs="仿宋"/>
          <w:sz w:val="24"/>
          <w:highlight w:val="none"/>
          <w:lang w:val="en-US" w:eastAsia="zh-CN"/>
        </w:rPr>
        <w:t>否则，</w:t>
      </w:r>
      <w:r>
        <w:rPr>
          <w:rFonts w:hint="eastAsia" w:ascii="仿宋" w:hAnsi="仿宋" w:eastAsia="仿宋" w:cs="仿宋"/>
          <w:sz w:val="24"/>
          <w:highlight w:val="none"/>
        </w:rPr>
        <w:t>每逾期</w:t>
      </w:r>
      <w:r>
        <w:rPr>
          <w:rFonts w:hint="eastAsia" w:ascii="仿宋" w:hAnsi="仿宋" w:eastAsia="仿宋" w:cs="仿宋"/>
          <w:sz w:val="24"/>
          <w:highlight w:val="none"/>
          <w:lang w:eastAsia="zh-CN"/>
        </w:rPr>
        <w:t>完工</w:t>
      </w:r>
      <w:r>
        <w:rPr>
          <w:rFonts w:hint="eastAsia" w:ascii="仿宋" w:hAnsi="仿宋" w:eastAsia="仿宋" w:cs="仿宋"/>
          <w:sz w:val="24"/>
          <w:highlight w:val="none"/>
        </w:rPr>
        <w:t>一天，发包人有权要求承包人支付违约金</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000元</w:t>
      </w:r>
      <w:r>
        <w:rPr>
          <w:rFonts w:hint="eastAsia" w:ascii="仿宋" w:hAnsi="仿宋" w:eastAsia="仿宋" w:cs="仿宋"/>
          <w:sz w:val="24"/>
          <w:highlight w:val="none"/>
          <w:lang w:eastAsia="zh-CN"/>
        </w:rPr>
        <w:t>；</w:t>
      </w:r>
      <w:r>
        <w:rPr>
          <w:rFonts w:hint="eastAsia" w:ascii="仿宋" w:hAnsi="仿宋" w:eastAsia="仿宋" w:cs="仿宋"/>
          <w:sz w:val="24"/>
          <w:highlight w:val="none"/>
        </w:rPr>
        <w:t>逾期超过</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天</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，发包人有权按</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000元/天扣减承包人违约金</w:t>
      </w:r>
      <w:r>
        <w:rPr>
          <w:rFonts w:hint="eastAsia" w:ascii="仿宋" w:hAnsi="仿宋" w:eastAsia="仿宋" w:cs="仿宋"/>
          <w:sz w:val="24"/>
          <w:highlight w:val="none"/>
          <w:lang w:eastAsia="zh-CN"/>
        </w:rPr>
        <w:t>；</w:t>
      </w:r>
      <w:r>
        <w:rPr>
          <w:rFonts w:hint="eastAsia" w:ascii="仿宋" w:hAnsi="仿宋" w:eastAsia="仿宋" w:cs="仿宋"/>
          <w:sz w:val="24"/>
          <w:highlight w:val="none"/>
        </w:rPr>
        <w:t>逾期</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天仍未完工的，发包人有权单方面解除合同。</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8.9</w:t>
      </w:r>
      <w:r>
        <w:rPr>
          <w:rFonts w:hint="eastAsia" w:ascii="仿宋" w:hAnsi="仿宋" w:eastAsia="仿宋" w:cs="仿宋"/>
          <w:sz w:val="24"/>
          <w:highlight w:val="none"/>
        </w:rPr>
        <w:t>承包人采购的</w:t>
      </w:r>
      <w:r>
        <w:rPr>
          <w:rFonts w:hint="eastAsia" w:ascii="仿宋" w:hAnsi="仿宋" w:eastAsia="仿宋" w:cs="仿宋"/>
          <w:sz w:val="24"/>
          <w:highlight w:val="none"/>
          <w:lang w:val="en-US" w:eastAsia="zh-CN"/>
        </w:rPr>
        <w:t>主要</w:t>
      </w:r>
      <w:r>
        <w:rPr>
          <w:rFonts w:hint="eastAsia" w:ascii="仿宋" w:hAnsi="仿宋" w:eastAsia="仿宋" w:cs="仿宋"/>
          <w:sz w:val="24"/>
          <w:highlight w:val="none"/>
        </w:rPr>
        <w:t>材料和设备应符合有关规范要求。</w:t>
      </w:r>
      <w:r>
        <w:rPr>
          <w:rFonts w:hint="eastAsia" w:ascii="仿宋" w:hAnsi="仿宋" w:eastAsia="仿宋" w:cs="仿宋"/>
          <w:sz w:val="24"/>
          <w:highlight w:val="none"/>
          <w:lang w:val="en-US" w:eastAsia="zh-CN"/>
        </w:rPr>
        <w:t>主要</w:t>
      </w:r>
      <w:r>
        <w:rPr>
          <w:rFonts w:hint="eastAsia" w:ascii="仿宋" w:hAnsi="仿宋" w:eastAsia="仿宋" w:cs="仿宋"/>
          <w:sz w:val="24"/>
          <w:highlight w:val="none"/>
        </w:rPr>
        <w:t>材料、设备用于工程前，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按要求进行入场报验。未按要求报验的，发包人有权要求承包人支付违约金10000元</w:t>
      </w:r>
      <w:r>
        <w:rPr>
          <w:rFonts w:hint="eastAsia" w:ascii="仿宋" w:hAnsi="仿宋" w:eastAsia="仿宋" w:cs="仿宋"/>
          <w:sz w:val="24"/>
          <w:highlight w:val="none"/>
          <w:lang w:val="en-US" w:eastAsia="zh-CN"/>
        </w:rPr>
        <w:t>/批次</w:t>
      </w:r>
      <w:r>
        <w:rPr>
          <w:rFonts w:hint="eastAsia" w:ascii="仿宋" w:hAnsi="仿宋" w:eastAsia="仿宋" w:cs="仿宋"/>
          <w:sz w:val="24"/>
          <w:highlight w:val="none"/>
        </w:rPr>
        <w:t>，违约金在支付工程款时予以扣除。</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8</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承包人须严格履职，按规范和发包人要求对工程质量进行有效管理，因承包人原因导致工程质量不合格的，经业主</w:t>
      </w:r>
      <w:r>
        <w:rPr>
          <w:rFonts w:hint="eastAsia" w:ascii="仿宋" w:hAnsi="仿宋" w:eastAsia="仿宋" w:cs="仿宋"/>
          <w:sz w:val="24"/>
          <w:highlight w:val="none"/>
          <w:lang w:eastAsia="zh-CN"/>
        </w:rPr>
        <w:t>、</w:t>
      </w:r>
      <w:r>
        <w:rPr>
          <w:rFonts w:hint="eastAsia" w:ascii="仿宋" w:hAnsi="仿宋" w:eastAsia="仿宋" w:cs="仿宋"/>
          <w:sz w:val="24"/>
          <w:highlight w:val="none"/>
        </w:rPr>
        <w:t>监理检查</w:t>
      </w:r>
      <w:r>
        <w:rPr>
          <w:rFonts w:hint="eastAsia" w:ascii="仿宋" w:hAnsi="仿宋" w:eastAsia="仿宋" w:cs="仿宋"/>
          <w:sz w:val="24"/>
          <w:highlight w:val="none"/>
          <w:lang w:val="en-US" w:eastAsia="zh-CN"/>
        </w:rPr>
        <w:t>或其他部门通报</w:t>
      </w:r>
      <w:r>
        <w:rPr>
          <w:rFonts w:hint="eastAsia" w:ascii="仿宋" w:hAnsi="仿宋" w:eastAsia="仿宋" w:cs="仿宋"/>
          <w:sz w:val="24"/>
          <w:highlight w:val="none"/>
        </w:rPr>
        <w:t>，每发现一次，发包人有权要求承包人支付违约金10000元，违约金在支付工程款时予以扣</w:t>
      </w:r>
      <w:r>
        <w:rPr>
          <w:rFonts w:hint="eastAsia" w:ascii="仿宋" w:hAnsi="仿宋" w:eastAsia="仿宋" w:cs="仿宋"/>
          <w:sz w:val="24"/>
          <w:highlight w:val="none"/>
          <w:lang w:eastAsia="zh-CN"/>
        </w:rPr>
        <w:t>减</w:t>
      </w:r>
      <w:r>
        <w:rPr>
          <w:rFonts w:hint="eastAsia" w:ascii="仿宋" w:hAnsi="仿宋" w:eastAsia="仿宋" w:cs="仿宋"/>
          <w:sz w:val="24"/>
          <w:highlight w:val="none"/>
        </w:rPr>
        <w:t>。接发包人相应违约扣款通知后，承包人仍未采取有效措施整改，发包人有权根据相应管理办法将有关违约行为作为不良记录，上报区水行政主管部门及其他相关建设单位管理部门。</w:t>
      </w:r>
    </w:p>
    <w:p>
      <w:pPr>
        <w:keepNext w:val="0"/>
        <w:keepLines w:val="0"/>
        <w:pageBreakBefore w:val="0"/>
        <w:kinsoku/>
        <w:wordWrap/>
        <w:overflowPunct/>
        <w:topLinePunct w:val="0"/>
        <w:autoSpaceDE/>
        <w:autoSpaceDN/>
        <w:bidi w:val="0"/>
        <w:snapToGrid/>
        <w:spacing w:line="500" w:lineRule="exact"/>
        <w:ind w:firstLine="495" w:firstLineChars="0"/>
        <w:rPr>
          <w:rFonts w:hint="eastAsia" w:ascii="仿宋" w:hAnsi="仿宋" w:eastAsia="仿宋" w:cs="仿宋"/>
          <w:sz w:val="24"/>
          <w:highlight w:val="none"/>
        </w:rPr>
      </w:pPr>
      <w:r>
        <w:rPr>
          <w:rFonts w:hint="eastAsia" w:ascii="仿宋" w:hAnsi="仿宋" w:eastAsia="仿宋" w:cs="仿宋"/>
          <w:sz w:val="24"/>
          <w:highlight w:val="none"/>
          <w:lang w:eastAsia="zh-CN"/>
        </w:rPr>
        <w:t>8</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工程完工后，由承包人自检合格并报监理单位和发包人申请验收，发包人根据维修改造任务书和承包人提供的完工材料</w:t>
      </w:r>
      <w:r>
        <w:rPr>
          <w:rFonts w:hint="eastAsia" w:ascii="仿宋" w:hAnsi="仿宋" w:eastAsia="仿宋" w:cs="仿宋"/>
          <w:sz w:val="24"/>
          <w:highlight w:val="none"/>
          <w:lang w:eastAsia="zh-CN"/>
        </w:rPr>
        <w:t>（</w:t>
      </w:r>
      <w:r>
        <w:rPr>
          <w:rFonts w:hint="eastAsia" w:ascii="仿宋" w:hAnsi="仿宋" w:eastAsia="仿宋" w:cs="仿宋"/>
          <w:sz w:val="24"/>
          <w:highlight w:val="none"/>
        </w:rPr>
        <w:t>包含</w:t>
      </w:r>
      <w:r>
        <w:rPr>
          <w:rFonts w:hint="eastAsia" w:ascii="仿宋" w:hAnsi="仿宋" w:eastAsia="仿宋" w:cs="仿宋"/>
          <w:sz w:val="24"/>
          <w:highlight w:val="none"/>
          <w:lang w:val="en-US" w:eastAsia="zh-CN"/>
        </w:rPr>
        <w:t>但不限于</w:t>
      </w:r>
      <w:r>
        <w:rPr>
          <w:rFonts w:hint="eastAsia" w:ascii="仿宋" w:hAnsi="仿宋" w:eastAsia="仿宋" w:cs="仿宋"/>
          <w:sz w:val="24"/>
          <w:highlight w:val="none"/>
        </w:rPr>
        <w:t>隐蔽工程验收影像资料、过程变更及签证材料、</w:t>
      </w:r>
      <w:r>
        <w:rPr>
          <w:rFonts w:hint="eastAsia" w:ascii="仿宋" w:hAnsi="仿宋" w:eastAsia="仿宋" w:cs="仿宋"/>
          <w:sz w:val="24"/>
          <w:highlight w:val="none"/>
          <w:lang w:val="en-US" w:eastAsia="zh-CN"/>
        </w:rPr>
        <w:t>主要</w:t>
      </w:r>
      <w:r>
        <w:rPr>
          <w:rFonts w:hint="eastAsia" w:ascii="仿宋" w:hAnsi="仿宋" w:eastAsia="仿宋" w:cs="仿宋"/>
          <w:sz w:val="24"/>
          <w:highlight w:val="none"/>
        </w:rPr>
        <w:t>材料和设备质量合格证明</w:t>
      </w:r>
      <w:r>
        <w:rPr>
          <w:rFonts w:hint="eastAsia" w:ascii="仿宋" w:hAnsi="仿宋" w:eastAsia="仿宋" w:cs="仿宋"/>
          <w:sz w:val="24"/>
          <w:highlight w:val="none"/>
          <w:lang w:val="en-US" w:eastAsia="zh-CN"/>
        </w:rPr>
        <w:t>等</w:t>
      </w:r>
      <w:r>
        <w:rPr>
          <w:rFonts w:hint="eastAsia" w:ascii="仿宋" w:hAnsi="仿宋" w:eastAsia="仿宋" w:cs="仿宋"/>
          <w:sz w:val="24"/>
          <w:highlight w:val="none"/>
          <w:lang w:eastAsia="zh-CN"/>
        </w:rPr>
        <w:t>）</w:t>
      </w:r>
      <w:r>
        <w:rPr>
          <w:rFonts w:hint="eastAsia" w:ascii="仿宋" w:hAnsi="仿宋" w:eastAsia="仿宋" w:cs="仿宋"/>
          <w:sz w:val="24"/>
          <w:highlight w:val="none"/>
        </w:rPr>
        <w:t>，组织验收工作。若验收过程中发现工程质量不合格或工程内容尚未完成，由承包人</w:t>
      </w:r>
      <w:r>
        <w:rPr>
          <w:rFonts w:hint="eastAsia" w:ascii="仿宋" w:hAnsi="仿宋" w:eastAsia="仿宋" w:cs="仿宋"/>
          <w:sz w:val="24"/>
          <w:highlight w:val="none"/>
          <w:lang w:eastAsia="zh-CN"/>
        </w:rPr>
        <w:t>在限期内完成施工整改，如未能整改合格，</w:t>
      </w:r>
      <w:r>
        <w:rPr>
          <w:rFonts w:hint="eastAsia" w:ascii="仿宋" w:hAnsi="仿宋" w:eastAsia="仿宋" w:cs="仿宋"/>
          <w:sz w:val="24"/>
          <w:highlight w:val="none"/>
        </w:rPr>
        <w:t>发包人有权</w:t>
      </w:r>
      <w:r>
        <w:rPr>
          <w:rFonts w:hint="eastAsia" w:ascii="仿宋" w:hAnsi="仿宋" w:eastAsia="仿宋" w:cs="仿宋"/>
          <w:sz w:val="24"/>
          <w:highlight w:val="none"/>
          <w:lang w:val="en-US" w:eastAsia="zh-CN"/>
        </w:rPr>
        <w:t>按</w:t>
      </w:r>
      <w:r>
        <w:rPr>
          <w:rFonts w:hint="eastAsia" w:ascii="仿宋" w:hAnsi="仿宋" w:eastAsia="仿宋" w:cs="仿宋"/>
          <w:sz w:val="24"/>
          <w:highlight w:val="none"/>
        </w:rPr>
        <w:t>50000元</w:t>
      </w:r>
      <w:r>
        <w:rPr>
          <w:rFonts w:hint="eastAsia" w:ascii="仿宋" w:hAnsi="仿宋" w:eastAsia="仿宋" w:cs="仿宋"/>
          <w:sz w:val="24"/>
          <w:highlight w:val="none"/>
          <w:lang w:val="en-US" w:eastAsia="zh-CN"/>
        </w:rPr>
        <w:t>/次的标准</w:t>
      </w:r>
      <w:r>
        <w:rPr>
          <w:rFonts w:hint="eastAsia" w:ascii="仿宋" w:hAnsi="仿宋" w:eastAsia="仿宋" w:cs="仿宋"/>
          <w:sz w:val="24"/>
          <w:highlight w:val="none"/>
        </w:rPr>
        <w:t>在支付工程款时</w:t>
      </w:r>
      <w:r>
        <w:rPr>
          <w:rFonts w:hint="eastAsia" w:ascii="仿宋" w:hAnsi="仿宋" w:eastAsia="仿宋" w:cs="仿宋"/>
          <w:sz w:val="24"/>
          <w:highlight w:val="none"/>
          <w:lang w:eastAsia="zh-CN"/>
        </w:rPr>
        <w:t>扣减</w:t>
      </w:r>
      <w:r>
        <w:rPr>
          <w:rFonts w:hint="eastAsia" w:ascii="仿宋" w:hAnsi="仿宋" w:eastAsia="仿宋" w:cs="仿宋"/>
          <w:sz w:val="24"/>
          <w:highlight w:val="none"/>
        </w:rPr>
        <w:t>承包人违约金，</w:t>
      </w:r>
      <w:r>
        <w:rPr>
          <w:rFonts w:hint="eastAsia" w:ascii="仿宋" w:hAnsi="仿宋" w:eastAsia="仿宋" w:cs="仿宋"/>
          <w:sz w:val="24"/>
          <w:highlight w:val="none"/>
          <w:lang w:eastAsia="zh-CN"/>
        </w:rPr>
        <w:t>并委托具备资质第三方单位进行施工整改，涉及整改费用由承包人支付。</w:t>
      </w:r>
      <w:r>
        <w:rPr>
          <w:rFonts w:hint="eastAsia" w:ascii="仿宋" w:hAnsi="仿宋" w:eastAsia="仿宋" w:cs="仿宋"/>
          <w:sz w:val="24"/>
          <w:highlight w:val="none"/>
          <w:lang w:val="en-US" w:eastAsia="zh-CN"/>
        </w:rPr>
        <w:t>整改完成后</w:t>
      </w:r>
      <w:r>
        <w:rPr>
          <w:rFonts w:hint="eastAsia" w:ascii="仿宋" w:hAnsi="仿宋" w:eastAsia="仿宋" w:cs="仿宋"/>
          <w:sz w:val="24"/>
          <w:highlight w:val="none"/>
        </w:rPr>
        <w:t>再进行验收，直至达到符合标准和要求为止，并按最后验收合格的日期作为验收日期。</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8</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承包人应在任务完工且验收合格后</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5天内按规定编制完成相应的详细工程量计算确认表</w:t>
      </w:r>
      <w:r>
        <w:rPr>
          <w:rFonts w:hint="eastAsia" w:ascii="仿宋" w:hAnsi="仿宋" w:eastAsia="仿宋" w:cs="仿宋"/>
          <w:sz w:val="24"/>
          <w:highlight w:val="none"/>
          <w:lang w:val="en-US" w:eastAsia="zh-CN"/>
        </w:rPr>
        <w:t>提交至监理审核后报发包人确认</w:t>
      </w:r>
      <w:r>
        <w:rPr>
          <w:rFonts w:hint="eastAsia" w:ascii="仿宋" w:hAnsi="仿宋" w:eastAsia="仿宋" w:cs="仿宋"/>
          <w:sz w:val="24"/>
          <w:highlight w:val="none"/>
          <w:lang w:eastAsia="zh-CN"/>
        </w:rPr>
        <w:t>。</w:t>
      </w:r>
      <w:r>
        <w:rPr>
          <w:rFonts w:hint="eastAsia" w:ascii="仿宋" w:hAnsi="仿宋" w:eastAsia="仿宋" w:cs="仿宋"/>
          <w:sz w:val="24"/>
          <w:highlight w:val="none"/>
        </w:rPr>
        <w:t>因承包人自身原因导致资料逾期提交，每逾期一天，发包人有权要求承包人支付违约金5000元，违约金在支付工程款时予以扣</w:t>
      </w:r>
      <w:r>
        <w:rPr>
          <w:rFonts w:hint="eastAsia" w:ascii="仿宋" w:hAnsi="仿宋" w:eastAsia="仿宋" w:cs="仿宋"/>
          <w:sz w:val="24"/>
          <w:highlight w:val="none"/>
          <w:lang w:eastAsia="zh-CN"/>
        </w:rPr>
        <w:t>减</w:t>
      </w:r>
      <w:r>
        <w:rPr>
          <w:rFonts w:hint="eastAsia" w:ascii="仿宋" w:hAnsi="仿宋" w:eastAsia="仿宋" w:cs="仿宋"/>
          <w:sz w:val="24"/>
          <w:highlight w:val="none"/>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8.13</w:t>
      </w:r>
      <w:r>
        <w:rPr>
          <w:rFonts w:hint="eastAsia" w:ascii="仿宋" w:hAnsi="仿宋" w:eastAsia="仿宋" w:cs="仿宋"/>
          <w:sz w:val="24"/>
          <w:highlight w:val="none"/>
        </w:rPr>
        <w:t>承包人应在任务完工且验收合格后</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天内按规定编制完成相应的工程结算资料，因承包人自身原因导致结算资料逾期提交，每逾期一天，发包人有权要求承包人支付违约金5000元，违约金在支付工程款时予以扣</w:t>
      </w:r>
      <w:r>
        <w:rPr>
          <w:rFonts w:hint="eastAsia" w:ascii="仿宋" w:hAnsi="仿宋" w:eastAsia="仿宋" w:cs="仿宋"/>
          <w:sz w:val="24"/>
          <w:highlight w:val="none"/>
          <w:lang w:eastAsia="zh-CN"/>
        </w:rPr>
        <w:t>减</w:t>
      </w:r>
      <w:r>
        <w:rPr>
          <w:rFonts w:hint="eastAsia" w:ascii="仿宋" w:hAnsi="仿宋" w:eastAsia="仿宋" w:cs="仿宋"/>
          <w:sz w:val="24"/>
          <w:highlight w:val="none"/>
        </w:rPr>
        <w:t>。</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14工程预算监理审核报告或工程结算财政评审核定书出具后10天内，</w:t>
      </w:r>
      <w:r>
        <w:rPr>
          <w:rFonts w:hint="eastAsia" w:ascii="仿宋" w:hAnsi="仿宋" w:eastAsia="仿宋" w:cs="仿宋"/>
          <w:sz w:val="24"/>
          <w:highlight w:val="none"/>
        </w:rPr>
        <w:t>承包人向发包人提交工程</w:t>
      </w:r>
      <w:r>
        <w:rPr>
          <w:rFonts w:hint="eastAsia" w:ascii="仿宋" w:hAnsi="仿宋" w:eastAsia="仿宋" w:cs="仿宋"/>
          <w:sz w:val="24"/>
          <w:highlight w:val="none"/>
          <w:lang w:eastAsia="zh-CN"/>
        </w:rPr>
        <w:t>请款资料。</w:t>
      </w:r>
      <w:r>
        <w:rPr>
          <w:rFonts w:hint="eastAsia" w:ascii="仿宋" w:hAnsi="仿宋" w:eastAsia="仿宋" w:cs="仿宋"/>
          <w:sz w:val="24"/>
          <w:highlight w:val="none"/>
        </w:rPr>
        <w:t>逾期不申请且对发包人工作造成不良影响的，发包人有权</w:t>
      </w:r>
      <w:r>
        <w:rPr>
          <w:rFonts w:hint="eastAsia" w:ascii="仿宋" w:hAnsi="仿宋" w:eastAsia="仿宋" w:cs="仿宋"/>
          <w:sz w:val="24"/>
          <w:highlight w:val="none"/>
          <w:lang w:val="en-US" w:eastAsia="zh-CN"/>
        </w:rPr>
        <w:t>按</w:t>
      </w:r>
      <w:r>
        <w:rPr>
          <w:rFonts w:hint="eastAsia" w:ascii="仿宋" w:hAnsi="仿宋" w:eastAsia="仿宋" w:cs="仿宋"/>
          <w:sz w:val="24"/>
          <w:highlight w:val="none"/>
        </w:rPr>
        <w:t>50000元</w:t>
      </w:r>
      <w:r>
        <w:rPr>
          <w:rFonts w:hint="eastAsia" w:ascii="仿宋" w:hAnsi="仿宋" w:eastAsia="仿宋" w:cs="仿宋"/>
          <w:sz w:val="24"/>
          <w:highlight w:val="none"/>
          <w:lang w:val="en-US" w:eastAsia="zh-CN"/>
        </w:rPr>
        <w:t>/次的标准</w:t>
      </w:r>
      <w:r>
        <w:rPr>
          <w:rFonts w:hint="eastAsia" w:ascii="仿宋" w:hAnsi="仿宋" w:eastAsia="仿宋" w:cs="仿宋"/>
          <w:sz w:val="24"/>
          <w:highlight w:val="none"/>
        </w:rPr>
        <w:t>在支付工程款时</w:t>
      </w:r>
      <w:r>
        <w:rPr>
          <w:rFonts w:hint="eastAsia" w:ascii="仿宋" w:hAnsi="仿宋" w:eastAsia="仿宋" w:cs="仿宋"/>
          <w:sz w:val="24"/>
          <w:highlight w:val="none"/>
          <w:lang w:eastAsia="zh-CN"/>
        </w:rPr>
        <w:t>扣减</w:t>
      </w:r>
      <w:r>
        <w:rPr>
          <w:rFonts w:hint="eastAsia" w:ascii="仿宋" w:hAnsi="仿宋" w:eastAsia="仿宋" w:cs="仿宋"/>
          <w:sz w:val="24"/>
          <w:highlight w:val="none"/>
        </w:rPr>
        <w:t>承包人违约金。</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承包人应按照发包人要求做好工程资料的编制、收集、归档和移交等工作。未按照发包人要求的时间完成和移交工程资料的，每逾期一天，发包人有权按1000元/天扣减承包人违约金，违约金在支付工程款时予以扣</w:t>
      </w:r>
      <w:r>
        <w:rPr>
          <w:rFonts w:hint="eastAsia" w:ascii="仿宋" w:hAnsi="仿宋" w:eastAsia="仿宋" w:cs="仿宋"/>
          <w:sz w:val="24"/>
          <w:highlight w:val="none"/>
          <w:lang w:eastAsia="zh-CN"/>
        </w:rPr>
        <w:t>减</w:t>
      </w:r>
      <w:r>
        <w:rPr>
          <w:rFonts w:hint="eastAsia" w:ascii="仿宋" w:hAnsi="仿宋" w:eastAsia="仿宋" w:cs="仿宋"/>
          <w:sz w:val="24"/>
          <w:highlight w:val="none"/>
        </w:rPr>
        <w:t>，逾期</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天仍未移交的，</w:t>
      </w:r>
      <w:r>
        <w:rPr>
          <w:rFonts w:hint="eastAsia" w:ascii="仿宋" w:hAnsi="仿宋" w:eastAsia="仿宋" w:cs="仿宋"/>
          <w:sz w:val="24"/>
          <w:highlight w:val="none"/>
          <w:lang w:val="en-US" w:eastAsia="zh-CN"/>
        </w:rPr>
        <w:t>相应任务未支付部分发包人将不予支付，且</w:t>
      </w:r>
      <w:r>
        <w:rPr>
          <w:rFonts w:hint="eastAsia" w:ascii="仿宋" w:hAnsi="仿宋" w:eastAsia="仿宋" w:cs="仿宋"/>
          <w:sz w:val="24"/>
          <w:highlight w:val="none"/>
        </w:rPr>
        <w:t>发包人有权单方面解除合同</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一切损失由承包人负责</w:t>
      </w:r>
      <w:r>
        <w:rPr>
          <w:rFonts w:hint="eastAsia" w:ascii="仿宋" w:hAnsi="仿宋" w:eastAsia="仿宋" w:cs="仿宋"/>
          <w:sz w:val="24"/>
          <w:highlight w:val="none"/>
        </w:rPr>
        <w:t>。</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承包人应严格遵守国家、省、市及黄埔区有关防火、爆破和施工安全以及文明施工、</w:t>
      </w:r>
      <w:r>
        <w:rPr>
          <w:rFonts w:hint="eastAsia" w:ascii="仿宋" w:hAnsi="仿宋" w:eastAsia="仿宋" w:cs="仿宋"/>
          <w:sz w:val="24"/>
          <w:highlight w:val="none"/>
          <w:lang w:val="en-US" w:eastAsia="zh-CN"/>
        </w:rPr>
        <w:t>夜间</w:t>
      </w:r>
      <w:r>
        <w:rPr>
          <w:rFonts w:hint="eastAsia" w:ascii="仿宋" w:hAnsi="仿宋" w:eastAsia="仿宋" w:cs="仿宋"/>
          <w:sz w:val="24"/>
          <w:highlight w:val="none"/>
        </w:rPr>
        <w:t>施工、环卫和城市管理等规定，建立规章制度和防护措施，并组织施工。在相关部门的检查中，承包人施工场地被评为不合格工地</w:t>
      </w:r>
      <w:r>
        <w:rPr>
          <w:rFonts w:hint="eastAsia" w:ascii="仿宋" w:hAnsi="仿宋" w:eastAsia="仿宋" w:cs="仿宋"/>
          <w:sz w:val="24"/>
          <w:highlight w:val="none"/>
          <w:lang w:eastAsia="zh-CN"/>
        </w:rPr>
        <w:t>、</w:t>
      </w:r>
      <w:r>
        <w:rPr>
          <w:rFonts w:hint="eastAsia" w:ascii="仿宋" w:hAnsi="仿宋" w:eastAsia="仿宋" w:cs="仿宋"/>
          <w:sz w:val="24"/>
          <w:highlight w:val="none"/>
        </w:rPr>
        <w:t>被通报批评或者被新闻媒体曝光的，每发生一次，发包人有权按5000元/次扣减承包人违约金，如发包人因此被相关部门处罚的，罚金由承包人承担。</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如果承包人未按国家省市有关要求做好安全、文明施工相关措施</w:t>
      </w:r>
      <w:r>
        <w:rPr>
          <w:rFonts w:hint="eastAsia" w:ascii="仿宋" w:hAnsi="仿宋" w:eastAsia="仿宋" w:cs="仿宋"/>
          <w:sz w:val="24"/>
          <w:highlight w:val="none"/>
          <w:lang w:eastAsia="zh-CN"/>
        </w:rPr>
        <w:t>、施工人员未配置且正确使用劳动安全防护用品、施工现场未设置工程信息公示牌，</w:t>
      </w:r>
      <w:r>
        <w:rPr>
          <w:rFonts w:hint="eastAsia" w:ascii="仿宋" w:hAnsi="仿宋" w:eastAsia="仿宋" w:cs="仿宋"/>
          <w:sz w:val="24"/>
          <w:highlight w:val="none"/>
        </w:rPr>
        <w:t>经监理工程师或发包人检查发现的，每发现一次，发包人有权按</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00元/次扣减承包人违约金，并按发包人或监理单位要求限期整改，未在限期内完成合格整改的，发包人有权</w:t>
      </w:r>
      <w:r>
        <w:rPr>
          <w:rFonts w:hint="eastAsia" w:ascii="仿宋" w:hAnsi="仿宋" w:eastAsia="仿宋" w:cs="仿宋"/>
          <w:sz w:val="24"/>
          <w:highlight w:val="none"/>
          <w:lang w:val="en-US" w:eastAsia="zh-CN"/>
        </w:rPr>
        <w:t>加倍</w:t>
      </w:r>
      <w:r>
        <w:rPr>
          <w:rFonts w:hint="eastAsia" w:ascii="仿宋" w:hAnsi="仿宋" w:eastAsia="仿宋" w:cs="仿宋"/>
          <w:sz w:val="24"/>
          <w:highlight w:val="none"/>
        </w:rPr>
        <w:t>扣减承包人违约金</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承包人拒不整改的，发包人有权</w:t>
      </w:r>
      <w:r>
        <w:rPr>
          <w:rFonts w:hint="eastAsia" w:ascii="仿宋" w:hAnsi="仿宋" w:eastAsia="仿宋" w:cs="仿宋"/>
          <w:sz w:val="24"/>
          <w:highlight w:val="none"/>
        </w:rPr>
        <w:t>单方面解除合同。</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承包人应做好安全管理工作，对施工中发生的安全事故负全部责任，但因发包人违章指挥原因造成的除外。</w:t>
      </w:r>
    </w:p>
    <w:p>
      <w:pPr>
        <w:keepNext w:val="0"/>
        <w:keepLines w:val="0"/>
        <w:pageBreakBefore w:val="0"/>
        <w:kinsoku/>
        <w:wordWrap/>
        <w:overflowPunct/>
        <w:topLinePunct w:val="0"/>
        <w:autoSpaceDE/>
        <w:autoSpaceDN/>
        <w:bidi w:val="0"/>
        <w:snapToGrid/>
        <w:spacing w:line="500" w:lineRule="exact"/>
        <w:ind w:firstLine="600" w:firstLineChars="250"/>
        <w:rPr>
          <w:rFonts w:ascii="仿宋" w:hAnsi="仿宋" w:eastAsia="仿宋" w:cs="仿宋"/>
          <w:sz w:val="24"/>
          <w:highlight w:val="none"/>
        </w:rPr>
      </w:pPr>
      <w:r>
        <w:rPr>
          <w:rFonts w:hint="eastAsia" w:ascii="仿宋" w:hAnsi="仿宋" w:eastAsia="仿宋" w:cs="仿宋"/>
          <w:sz w:val="24"/>
          <w:highlight w:val="none"/>
        </w:rPr>
        <w:t>8.1</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在余泥渣土清运施工和建筑垃圾排放运输时，承包人必须严格执行《广州市余泥渣土管理条例》、《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发包人有权按5000元/次扣减承包人违约金。同时，发包人将根据承包人违反余泥渣土运输管理有关规定而造成的不良后果的严重程度，可单方面解除合同。</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承包人拖欠农民工工资，被投诉属实</w:t>
      </w:r>
      <w:r>
        <w:rPr>
          <w:rFonts w:hint="eastAsia" w:ascii="仿宋" w:hAnsi="仿宋" w:eastAsia="仿宋" w:cs="仿宋"/>
          <w:sz w:val="24"/>
          <w:highlight w:val="none"/>
          <w:lang w:val="en-US" w:eastAsia="zh-CN"/>
        </w:rPr>
        <w:t>或者被相关部门通报的，</w:t>
      </w:r>
      <w:r>
        <w:rPr>
          <w:rFonts w:hint="eastAsia" w:ascii="仿宋" w:hAnsi="仿宋" w:eastAsia="仿宋" w:cs="仿宋"/>
          <w:sz w:val="24"/>
          <w:highlight w:val="none"/>
        </w:rPr>
        <w:t>承包人必须在3天内</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rPr>
        <w:t>拖欠的款项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同时</w:t>
      </w:r>
      <w:r>
        <w:rPr>
          <w:rFonts w:hint="eastAsia" w:ascii="仿宋" w:hAnsi="仿宋" w:eastAsia="仿宋" w:cs="仿宋"/>
          <w:sz w:val="24"/>
          <w:highlight w:val="none"/>
        </w:rPr>
        <w:t>发包人有权按</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0000元/</w:t>
      </w:r>
      <w:r>
        <w:rPr>
          <w:rFonts w:hint="eastAsia" w:ascii="仿宋" w:hAnsi="仿宋" w:eastAsia="仿宋" w:cs="仿宋"/>
          <w:sz w:val="24"/>
          <w:highlight w:val="none"/>
          <w:lang w:val="en-US" w:eastAsia="zh-CN"/>
        </w:rPr>
        <w:t>宗</w:t>
      </w:r>
      <w:r>
        <w:rPr>
          <w:rFonts w:hint="eastAsia" w:ascii="仿宋" w:hAnsi="仿宋" w:eastAsia="仿宋" w:cs="仿宋"/>
          <w:sz w:val="24"/>
          <w:highlight w:val="none"/>
        </w:rPr>
        <w:t>扣减承包人违约金</w:t>
      </w:r>
      <w:r>
        <w:rPr>
          <w:rFonts w:hint="eastAsia" w:ascii="仿宋" w:hAnsi="仿宋" w:eastAsia="仿宋" w:cs="仿宋"/>
          <w:sz w:val="24"/>
          <w:highlight w:val="none"/>
          <w:lang w:eastAsia="zh-CN"/>
        </w:rPr>
        <w:t>；</w:t>
      </w:r>
      <w:r>
        <w:rPr>
          <w:rFonts w:hint="eastAsia" w:ascii="仿宋" w:hAnsi="仿宋" w:eastAsia="仿宋" w:cs="仿宋"/>
          <w:sz w:val="24"/>
          <w:highlight w:val="none"/>
        </w:rPr>
        <w:t>若被投诉</w:t>
      </w:r>
      <w:r>
        <w:rPr>
          <w:rFonts w:hint="eastAsia" w:ascii="仿宋" w:hAnsi="仿宋" w:eastAsia="仿宋" w:cs="仿宋"/>
          <w:sz w:val="24"/>
          <w:highlight w:val="none"/>
          <w:lang w:eastAsia="zh-CN"/>
        </w:rPr>
        <w:t>属实</w:t>
      </w:r>
      <w:r>
        <w:rPr>
          <w:rFonts w:hint="eastAsia" w:ascii="仿宋" w:hAnsi="仿宋" w:eastAsia="仿宋" w:cs="仿宋"/>
          <w:sz w:val="24"/>
          <w:highlight w:val="none"/>
          <w:lang w:val="en-US" w:eastAsia="zh-CN"/>
        </w:rPr>
        <w:t>或通报</w:t>
      </w:r>
      <w:r>
        <w:rPr>
          <w:rFonts w:hint="eastAsia" w:ascii="仿宋" w:hAnsi="仿宋" w:eastAsia="仿宋" w:cs="仿宋"/>
          <w:sz w:val="24"/>
          <w:highlight w:val="none"/>
        </w:rPr>
        <w:t>2次及以上，经查实，承包人除应</w:t>
      </w:r>
      <w:r>
        <w:rPr>
          <w:rFonts w:hint="eastAsia" w:ascii="仿宋" w:hAnsi="仿宋" w:eastAsia="仿宋" w:cs="仿宋"/>
          <w:sz w:val="24"/>
          <w:highlight w:val="none"/>
          <w:lang w:val="en-US" w:eastAsia="zh-CN"/>
        </w:rPr>
        <w:t>3天内</w:t>
      </w:r>
      <w:r>
        <w:rPr>
          <w:rFonts w:hint="eastAsia" w:ascii="仿宋" w:hAnsi="仿宋" w:eastAsia="仿宋" w:cs="仿宋"/>
          <w:sz w:val="24"/>
          <w:highlight w:val="none"/>
        </w:rPr>
        <w:t>支付拖欠款项外，</w:t>
      </w:r>
      <w:r>
        <w:rPr>
          <w:rFonts w:hint="eastAsia" w:ascii="仿宋" w:hAnsi="仿宋" w:eastAsia="仿宋" w:cs="仿宋"/>
          <w:sz w:val="24"/>
          <w:highlight w:val="none"/>
          <w:lang w:val="en-US" w:eastAsia="zh-CN"/>
        </w:rPr>
        <w:t>且</w:t>
      </w:r>
      <w:r>
        <w:rPr>
          <w:rFonts w:hint="eastAsia" w:ascii="仿宋" w:hAnsi="仿宋" w:eastAsia="仿宋" w:cs="仿宋"/>
          <w:sz w:val="24"/>
          <w:highlight w:val="none"/>
        </w:rPr>
        <w:t>发包人有权</w:t>
      </w:r>
      <w:r>
        <w:rPr>
          <w:rFonts w:hint="eastAsia" w:ascii="仿宋" w:hAnsi="仿宋" w:eastAsia="仿宋" w:cs="仿宋"/>
          <w:sz w:val="24"/>
          <w:highlight w:val="none"/>
          <w:lang w:val="en-US" w:eastAsia="zh-CN"/>
        </w:rPr>
        <w:t>加倍</w:t>
      </w:r>
      <w:r>
        <w:rPr>
          <w:rFonts w:hint="eastAsia" w:ascii="仿宋" w:hAnsi="仿宋" w:eastAsia="仿宋" w:cs="仿宋"/>
          <w:sz w:val="24"/>
          <w:highlight w:val="none"/>
        </w:rPr>
        <w:t>扣减承包人违约金。因承包人拖欠农民工工资，导致农民工采取停工、集聚围阻发包人办公地点甚至政府部门等过激行动的，承包人除应</w:t>
      </w:r>
      <w:r>
        <w:rPr>
          <w:rFonts w:hint="eastAsia" w:ascii="仿宋" w:hAnsi="仿宋" w:eastAsia="仿宋" w:cs="仿宋"/>
          <w:sz w:val="24"/>
          <w:highlight w:val="none"/>
          <w:lang w:val="en-US" w:eastAsia="zh-CN"/>
        </w:rPr>
        <w:t>1天内</w:t>
      </w:r>
      <w:r>
        <w:rPr>
          <w:rFonts w:hint="eastAsia" w:ascii="仿宋" w:hAnsi="仿宋" w:eastAsia="仿宋" w:cs="仿宋"/>
          <w:sz w:val="24"/>
          <w:highlight w:val="none"/>
        </w:rPr>
        <w:t>支付拖欠款项外，发包人有权按10000</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元/次扣减承包人违约金</w:t>
      </w:r>
      <w:r>
        <w:rPr>
          <w:rFonts w:hint="eastAsia" w:ascii="仿宋" w:hAnsi="仿宋" w:eastAsia="仿宋" w:cs="仿宋"/>
          <w:sz w:val="24"/>
          <w:highlight w:val="none"/>
          <w:lang w:val="en-US" w:eastAsia="zh-CN"/>
        </w:rPr>
        <w:t>并有权解除合同。</w:t>
      </w:r>
      <w:r>
        <w:rPr>
          <w:rFonts w:hint="eastAsia" w:ascii="仿宋" w:hAnsi="仿宋" w:eastAsia="仿宋" w:cs="仿宋"/>
          <w:sz w:val="24"/>
          <w:highlight w:val="none"/>
        </w:rPr>
        <w:t>若承包人在本工程内发生拖欠农民工工资现象，</w:t>
      </w:r>
      <w:r>
        <w:rPr>
          <w:rFonts w:hint="eastAsia" w:ascii="仿宋" w:hAnsi="仿宋" w:eastAsia="仿宋" w:cs="仿宋"/>
          <w:sz w:val="24"/>
          <w:highlight w:val="none"/>
          <w:lang w:val="en-US" w:eastAsia="zh-CN"/>
        </w:rPr>
        <w:t>发包人有权将承包人行为</w:t>
      </w:r>
      <w:r>
        <w:rPr>
          <w:rFonts w:hint="eastAsia" w:ascii="仿宋" w:hAnsi="仿宋" w:eastAsia="仿宋" w:cs="仿宋"/>
          <w:sz w:val="24"/>
          <w:highlight w:val="none"/>
        </w:rPr>
        <w:t>被作不良记录上报</w:t>
      </w:r>
      <w:r>
        <w:rPr>
          <w:rFonts w:hint="eastAsia" w:ascii="仿宋" w:hAnsi="仿宋" w:eastAsia="仿宋" w:cs="仿宋"/>
          <w:sz w:val="24"/>
          <w:highlight w:val="none"/>
          <w:lang w:val="en-US" w:eastAsia="zh-CN"/>
        </w:rPr>
        <w:t>有关</w:t>
      </w:r>
      <w:r>
        <w:rPr>
          <w:rFonts w:hint="eastAsia" w:ascii="仿宋" w:hAnsi="仿宋" w:eastAsia="仿宋" w:cs="仿宋"/>
          <w:sz w:val="24"/>
          <w:highlight w:val="none"/>
        </w:rPr>
        <w:t>部门。</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涉及应急维修改造事项（如抢修、督办、整改、投诉、迎检</w:t>
      </w:r>
      <w:r>
        <w:rPr>
          <w:rFonts w:hint="eastAsia" w:ascii="仿宋" w:hAnsi="仿宋" w:eastAsia="仿宋" w:cs="仿宋"/>
          <w:sz w:val="24"/>
          <w:highlight w:val="none"/>
          <w:lang w:eastAsia="zh-CN"/>
        </w:rPr>
        <w:t>、测评</w:t>
      </w:r>
      <w:r>
        <w:rPr>
          <w:rFonts w:hint="eastAsia" w:ascii="仿宋" w:hAnsi="仿宋" w:eastAsia="仿宋" w:cs="仿宋"/>
          <w:sz w:val="24"/>
          <w:highlight w:val="none"/>
        </w:rPr>
        <w:t>等），由发包人下达应急维修指令，承包人未能按指令要求的时间节点和质量要求完成，发包人有权按</w:t>
      </w:r>
      <w:r>
        <w:rPr>
          <w:rFonts w:hint="eastAsia" w:ascii="仿宋" w:hAnsi="仿宋" w:eastAsia="仿宋" w:cs="仿宋"/>
          <w:sz w:val="24"/>
          <w:highlight w:val="none"/>
          <w:lang w:val="en-US" w:eastAsia="zh-CN"/>
        </w:rPr>
        <w:t>100</w:t>
      </w:r>
      <w:r>
        <w:rPr>
          <w:rFonts w:hint="eastAsia" w:ascii="仿宋" w:hAnsi="仿宋" w:eastAsia="仿宋" w:cs="仿宋"/>
          <w:sz w:val="24"/>
          <w:highlight w:val="none"/>
        </w:rPr>
        <w:t>00元/天</w:t>
      </w:r>
      <w:r>
        <w:rPr>
          <w:rFonts w:hint="eastAsia" w:ascii="仿宋" w:hAnsi="仿宋" w:eastAsia="仿宋" w:cs="仿宋"/>
          <w:sz w:val="24"/>
          <w:highlight w:val="none"/>
          <w:lang w:eastAsia="zh-CN"/>
        </w:rPr>
        <w:t>标准在支付工程款时</w:t>
      </w:r>
      <w:r>
        <w:rPr>
          <w:rFonts w:hint="eastAsia" w:ascii="仿宋" w:hAnsi="仿宋" w:eastAsia="仿宋" w:cs="仿宋"/>
          <w:sz w:val="24"/>
          <w:highlight w:val="none"/>
        </w:rPr>
        <w:t>扣减承包人违约金。</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22</w:t>
      </w:r>
      <w:r>
        <w:rPr>
          <w:rFonts w:hint="eastAsia" w:ascii="仿宋" w:hAnsi="仿宋" w:eastAsia="仿宋" w:cs="仿宋"/>
          <w:sz w:val="24"/>
          <w:highlight w:val="none"/>
        </w:rPr>
        <w:t>承包人未按要求参加发包人（或上级部门）组织的会议、培训等活动，发包人有权按</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000元/次扣减承包人违约金</w:t>
      </w:r>
      <w:r>
        <w:rPr>
          <w:rFonts w:hint="eastAsia" w:ascii="仿宋" w:hAnsi="仿宋" w:eastAsia="仿宋" w:cs="仿宋"/>
          <w:sz w:val="24"/>
          <w:highlight w:val="none"/>
          <w:lang w:eastAsia="zh-CN"/>
        </w:rPr>
        <w:t>。</w:t>
      </w:r>
    </w:p>
    <w:p>
      <w:pPr>
        <w:keepNext w:val="0"/>
        <w:keepLines w:val="0"/>
        <w:pageBreakBefore w:val="0"/>
        <w:numPr>
          <w:ilvl w:val="0"/>
          <w:numId w:val="21"/>
        </w:numPr>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rPr>
      </w:pPr>
      <w:r>
        <w:rPr>
          <w:rFonts w:hint="eastAsia" w:ascii="黑体" w:hAnsi="黑体" w:eastAsia="黑体" w:cs="黑体"/>
          <w:b/>
          <w:bCs/>
          <w:sz w:val="24"/>
          <w:highlight w:val="none"/>
        </w:rPr>
        <w:t>工程定额</w:t>
      </w:r>
    </w:p>
    <w:p>
      <w:pPr>
        <w:spacing w:line="360" w:lineRule="auto"/>
        <w:ind w:right="11"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工程结算根据工程分类子项套用对应定额</w:t>
      </w:r>
      <w:r>
        <w:rPr>
          <w:rFonts w:hint="eastAsia" w:ascii="仿宋" w:hAnsi="仿宋" w:eastAsia="仿宋" w:cs="仿宋"/>
          <w:sz w:val="24"/>
          <w:highlight w:val="none"/>
          <w:lang w:eastAsia="zh-CN"/>
        </w:rPr>
        <w:t>：</w:t>
      </w:r>
    </w:p>
    <w:p>
      <w:pPr>
        <w:spacing w:line="360" w:lineRule="auto"/>
        <w:ind w:right="11"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9.1</w:t>
      </w:r>
      <w:r>
        <w:rPr>
          <w:rFonts w:hint="eastAsia" w:ascii="仿宋" w:hAnsi="仿宋" w:eastAsia="仿宋" w:cs="仿宋"/>
          <w:b/>
          <w:bCs/>
          <w:kern w:val="2"/>
          <w:sz w:val="24"/>
          <w:szCs w:val="22"/>
          <w:highlight w:val="none"/>
          <w:lang w:val="en-US" w:eastAsia="zh-CN" w:bidi="ar-SA"/>
        </w:rPr>
        <w:t>具备水利功能河湖结构</w:t>
      </w:r>
      <w:r>
        <w:rPr>
          <w:rFonts w:hint="eastAsia" w:ascii="仿宋" w:hAnsi="仿宋" w:eastAsia="仿宋" w:cs="仿宋"/>
          <w:b w:val="0"/>
          <w:bCs w:val="0"/>
          <w:kern w:val="2"/>
          <w:sz w:val="24"/>
          <w:szCs w:val="22"/>
          <w:highlight w:val="none"/>
          <w:lang w:val="en-US" w:eastAsia="zh-CN" w:bidi="ar-SA"/>
        </w:rPr>
        <w:t>（如堤身、挡土墙、防洪挡墙、边坡、跨涌桥、箱涵、滚水堰等）</w:t>
      </w:r>
      <w:r>
        <w:rPr>
          <w:rFonts w:hint="eastAsia" w:ascii="仿宋" w:hAnsi="仿宋" w:eastAsia="仿宋" w:cs="仿宋"/>
          <w:sz w:val="24"/>
          <w:highlight w:val="none"/>
        </w:rPr>
        <w:t>、</w:t>
      </w:r>
      <w:r>
        <w:rPr>
          <w:rFonts w:hint="eastAsia" w:ascii="仿宋" w:hAnsi="仿宋" w:eastAsia="仿宋" w:cs="仿宋"/>
          <w:b/>
          <w:bCs/>
          <w:kern w:val="2"/>
          <w:sz w:val="24"/>
          <w:szCs w:val="22"/>
          <w:highlight w:val="none"/>
          <w:lang w:val="en-US" w:eastAsia="zh-CN" w:bidi="ar-SA"/>
        </w:rPr>
        <w:t>河湖清杂清疏</w:t>
      </w:r>
      <w:r>
        <w:rPr>
          <w:rFonts w:hint="eastAsia" w:ascii="仿宋" w:hAnsi="仿宋" w:eastAsia="仿宋" w:cs="仿宋"/>
          <w:b w:val="0"/>
          <w:bCs w:val="0"/>
          <w:kern w:val="2"/>
          <w:sz w:val="24"/>
          <w:szCs w:val="22"/>
          <w:highlight w:val="none"/>
          <w:lang w:val="en-US" w:eastAsia="zh-CN" w:bidi="ar-SA"/>
        </w:rPr>
        <w:t>（如河道湖面清杂清疏（淤泥2000m3以内）、堤身杂草（树）清理、防汛功能为主通道排水渠（沟）清疏、堤岸建筑垃圾清理等）</w:t>
      </w:r>
      <w:r>
        <w:rPr>
          <w:rFonts w:hint="eastAsia" w:ascii="仿宋" w:hAnsi="仿宋" w:eastAsia="仿宋" w:cs="仿宋"/>
          <w:sz w:val="24"/>
          <w:highlight w:val="none"/>
        </w:rPr>
        <w:t>、</w:t>
      </w:r>
      <w:r>
        <w:rPr>
          <w:rFonts w:hint="eastAsia" w:ascii="仿宋" w:hAnsi="仿宋" w:eastAsia="仿宋" w:cs="仿宋"/>
          <w:b/>
          <w:bCs/>
          <w:sz w:val="24"/>
          <w:highlight w:val="none"/>
        </w:rPr>
        <w:t>山洪沟（截</w:t>
      </w:r>
      <w:r>
        <w:rPr>
          <w:rFonts w:hint="eastAsia" w:ascii="仿宋" w:hAnsi="仿宋" w:eastAsia="仿宋" w:cs="仿宋"/>
          <w:b/>
          <w:bCs/>
          <w:sz w:val="24"/>
          <w:highlight w:val="none"/>
          <w:lang w:eastAsia="zh-CN"/>
        </w:rPr>
        <w:t>水</w:t>
      </w:r>
      <w:r>
        <w:rPr>
          <w:rFonts w:hint="eastAsia" w:ascii="仿宋" w:hAnsi="仿宋" w:eastAsia="仿宋" w:cs="仿宋"/>
          <w:b/>
          <w:bCs/>
          <w:sz w:val="24"/>
          <w:highlight w:val="none"/>
        </w:rPr>
        <w:t>沟）</w:t>
      </w:r>
      <w:r>
        <w:rPr>
          <w:rFonts w:hint="eastAsia" w:ascii="仿宋" w:hAnsi="仿宋" w:eastAsia="仿宋" w:cs="仿宋"/>
          <w:sz w:val="24"/>
          <w:highlight w:val="none"/>
        </w:rPr>
        <w:t>清疏及维修改造等维修工程结算优先根据</w:t>
      </w:r>
      <w:r>
        <w:rPr>
          <w:rFonts w:hint="eastAsia" w:ascii="仿宋" w:hAnsi="仿宋" w:eastAsia="仿宋" w:cs="仿宋"/>
          <w:b/>
          <w:bCs/>
          <w:sz w:val="24"/>
          <w:highlight w:val="none"/>
        </w:rPr>
        <w:t>广东省水利厅粤水建管〔2017〕37号文《广东省水利水电工程预算定额》、《广东省水利水电设备安装工程预算定额》和《广东省水利水电工程施工机械台班费定额》</w:t>
      </w:r>
      <w:r>
        <w:rPr>
          <w:rFonts w:hint="eastAsia" w:ascii="仿宋" w:hAnsi="仿宋" w:eastAsia="仿宋" w:cs="仿宋"/>
          <w:sz w:val="24"/>
          <w:highlight w:val="none"/>
        </w:rPr>
        <w:t>计算</w:t>
      </w:r>
      <w:r>
        <w:rPr>
          <w:rFonts w:hint="eastAsia" w:ascii="仿宋" w:hAnsi="仿宋" w:eastAsia="仿宋" w:cs="仿宋"/>
          <w:sz w:val="24"/>
          <w:highlight w:val="none"/>
          <w:lang w:eastAsia="zh-CN"/>
        </w:rPr>
        <w:t>；</w:t>
      </w:r>
    </w:p>
    <w:p>
      <w:pPr>
        <w:spacing w:line="360" w:lineRule="auto"/>
        <w:ind w:right="11"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9.2</w:t>
      </w:r>
      <w:r>
        <w:rPr>
          <w:rFonts w:hint="eastAsia" w:ascii="仿宋" w:hAnsi="仿宋" w:eastAsia="仿宋" w:cs="仿宋"/>
          <w:b/>
          <w:bCs/>
          <w:kern w:val="2"/>
          <w:sz w:val="24"/>
          <w:szCs w:val="22"/>
          <w:highlight w:val="none"/>
          <w:lang w:val="en-US" w:eastAsia="zh-CN" w:bidi="ar-SA"/>
        </w:rPr>
        <w:t>堤岸路</w:t>
      </w:r>
      <w:r>
        <w:rPr>
          <w:rFonts w:hint="eastAsia" w:ascii="仿宋" w:hAnsi="仿宋" w:eastAsia="仿宋" w:cs="仿宋"/>
          <w:b w:val="0"/>
          <w:bCs w:val="0"/>
          <w:kern w:val="2"/>
          <w:sz w:val="24"/>
          <w:szCs w:val="22"/>
          <w:highlight w:val="none"/>
          <w:lang w:val="en-US" w:eastAsia="zh-CN" w:bidi="ar-SA"/>
        </w:rPr>
        <w:t>（以防汛功能为主的防汛道路，如防汛路、巡河路、环湖路等）、</w:t>
      </w:r>
      <w:r>
        <w:rPr>
          <w:rFonts w:hint="eastAsia" w:ascii="仿宋" w:hAnsi="仿宋" w:eastAsia="仿宋" w:cs="仿宋"/>
          <w:b/>
          <w:bCs/>
          <w:kern w:val="2"/>
          <w:sz w:val="24"/>
          <w:szCs w:val="22"/>
          <w:highlight w:val="none"/>
          <w:lang w:val="en-US" w:eastAsia="zh-CN" w:bidi="ar-SA"/>
        </w:rPr>
        <w:t>河湖标牌</w:t>
      </w:r>
      <w:r>
        <w:rPr>
          <w:rFonts w:hint="eastAsia" w:ascii="仿宋" w:hAnsi="仿宋" w:eastAsia="仿宋" w:cs="仿宋"/>
          <w:b w:val="0"/>
          <w:bCs w:val="0"/>
          <w:kern w:val="2"/>
          <w:sz w:val="24"/>
          <w:szCs w:val="22"/>
          <w:highlight w:val="none"/>
          <w:lang w:val="en-US" w:eastAsia="zh-CN" w:bidi="ar-SA"/>
        </w:rPr>
        <w:t>（河湖长公示（宣传）牌、划界公示牌、安全警示牌、管理责任牌等）</w:t>
      </w:r>
      <w:r>
        <w:rPr>
          <w:rFonts w:hint="eastAsia" w:ascii="仿宋" w:hAnsi="仿宋" w:eastAsia="仿宋" w:cs="仿宋"/>
          <w:sz w:val="24"/>
          <w:highlight w:val="none"/>
        </w:rPr>
        <w:t>、</w:t>
      </w:r>
      <w:r>
        <w:rPr>
          <w:rFonts w:hint="eastAsia" w:ascii="仿宋" w:hAnsi="仿宋" w:eastAsia="仿宋" w:cs="仿宋"/>
          <w:b/>
          <w:bCs/>
          <w:kern w:val="2"/>
          <w:sz w:val="24"/>
          <w:szCs w:val="22"/>
          <w:highlight w:val="none"/>
          <w:lang w:val="en-US" w:eastAsia="zh-CN" w:bidi="ar-SA"/>
        </w:rPr>
        <w:t>水利附属设施</w:t>
      </w:r>
      <w:r>
        <w:rPr>
          <w:rFonts w:hint="eastAsia" w:ascii="仿宋" w:hAnsi="仿宋" w:eastAsia="仿宋" w:cs="仿宋"/>
          <w:b w:val="0"/>
          <w:bCs w:val="0"/>
          <w:kern w:val="2"/>
          <w:sz w:val="24"/>
          <w:szCs w:val="22"/>
          <w:highlight w:val="none"/>
          <w:lang w:val="en-US" w:eastAsia="zh-CN" w:bidi="ar-SA"/>
        </w:rPr>
        <w:t>（如救生设施、下河爬梯、防汛通道止（阻）车桩、防汛功能为主通道排水沟渠（含清疏）及盖板等、防洪挡板路等）、灯照明系统</w:t>
      </w:r>
      <w:r>
        <w:rPr>
          <w:rFonts w:hint="eastAsia" w:ascii="仿宋" w:hAnsi="仿宋" w:eastAsia="仿宋" w:cs="仿宋"/>
          <w:sz w:val="24"/>
          <w:highlight w:val="none"/>
        </w:rPr>
        <w:t>等维修工程结算优先根据</w:t>
      </w:r>
      <w:r>
        <w:rPr>
          <w:rFonts w:hint="eastAsia" w:ascii="仿宋" w:hAnsi="仿宋" w:eastAsia="仿宋" w:cs="仿宋"/>
          <w:b/>
          <w:bCs/>
          <w:sz w:val="24"/>
          <w:highlight w:val="none"/>
        </w:rPr>
        <w:t>《广东省市政工程综合定额(2018)》和《广东省建筑与装饰工程综合定额（2018）》</w:t>
      </w:r>
      <w:r>
        <w:rPr>
          <w:rFonts w:hint="eastAsia" w:ascii="仿宋" w:hAnsi="仿宋" w:eastAsia="仿宋" w:cs="仿宋"/>
          <w:sz w:val="24"/>
          <w:highlight w:val="none"/>
        </w:rPr>
        <w:t>计算</w:t>
      </w:r>
      <w:r>
        <w:rPr>
          <w:rFonts w:hint="eastAsia" w:ascii="仿宋" w:hAnsi="仿宋" w:eastAsia="仿宋" w:cs="仿宋"/>
          <w:sz w:val="24"/>
          <w:highlight w:val="none"/>
          <w:lang w:eastAsia="zh-CN"/>
        </w:rPr>
        <w:t>；</w:t>
      </w:r>
    </w:p>
    <w:p>
      <w:pPr>
        <w:spacing w:line="360" w:lineRule="auto"/>
        <w:ind w:right="11"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9.3</w:t>
      </w:r>
      <w:r>
        <w:rPr>
          <w:rFonts w:hint="eastAsia" w:ascii="仿宋" w:hAnsi="仿宋" w:eastAsia="仿宋" w:cs="仿宋"/>
          <w:b/>
          <w:bCs/>
          <w:kern w:val="2"/>
          <w:sz w:val="24"/>
          <w:szCs w:val="22"/>
          <w:highlight w:val="none"/>
          <w:lang w:val="en-US" w:eastAsia="zh-CN" w:bidi="ar-SA"/>
        </w:rPr>
        <w:t>水利附属系统</w:t>
      </w:r>
      <w:r>
        <w:rPr>
          <w:rFonts w:hint="eastAsia" w:ascii="仿宋" w:hAnsi="仿宋" w:eastAsia="仿宋" w:cs="仿宋"/>
          <w:b w:val="0"/>
          <w:bCs w:val="0"/>
          <w:kern w:val="2"/>
          <w:sz w:val="24"/>
          <w:szCs w:val="22"/>
          <w:highlight w:val="none"/>
          <w:lang w:val="en-US" w:eastAsia="zh-CN" w:bidi="ar-SA"/>
        </w:rPr>
        <w:t>（视频监控系统、广播系统、强电系统、弱电系统、河湖监测系统等）的维修改造工程</w:t>
      </w:r>
      <w:r>
        <w:rPr>
          <w:rFonts w:hint="eastAsia" w:ascii="仿宋" w:hAnsi="仿宋" w:eastAsia="仿宋" w:cs="仿宋"/>
          <w:sz w:val="24"/>
          <w:highlight w:val="none"/>
        </w:rPr>
        <w:t>结算优先根据</w:t>
      </w:r>
      <w:r>
        <w:rPr>
          <w:rFonts w:hint="eastAsia" w:ascii="仿宋" w:hAnsi="仿宋" w:eastAsia="仿宋" w:cs="仿宋"/>
          <w:b/>
          <w:bCs/>
          <w:sz w:val="24"/>
          <w:highlight w:val="none"/>
        </w:rPr>
        <w:t>《广东省安装修缮工程综合定额(2012)》和《广东省通用安装工程综合定额(2018)》</w:t>
      </w:r>
      <w:r>
        <w:rPr>
          <w:rFonts w:hint="eastAsia" w:ascii="仿宋" w:hAnsi="仿宋" w:eastAsia="仿宋" w:cs="仿宋"/>
          <w:sz w:val="24"/>
          <w:highlight w:val="none"/>
          <w:lang w:eastAsia="zh-CN"/>
        </w:rPr>
        <w:t>计算；</w:t>
      </w:r>
    </w:p>
    <w:p>
      <w:pPr>
        <w:spacing w:line="360" w:lineRule="auto"/>
        <w:ind w:right="11"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9.4如有部分项目子项不适用上述定额的则可套用适应工程项目子项的其它相关定额计算，没有适用定额的根据实际产生工作量按水利人工、材料、机械等规则汇总计算。工程常用材料及其他材料价格按照施工期间同期的</w:t>
      </w:r>
      <w:r>
        <w:rPr>
          <w:rFonts w:hint="eastAsia" w:ascii="仿宋" w:hAnsi="仿宋" w:eastAsia="仿宋" w:cs="仿宋"/>
          <w:b/>
          <w:bCs/>
          <w:sz w:val="24"/>
          <w:highlight w:val="none"/>
          <w:lang w:val="en-US" w:eastAsia="zh-CN"/>
        </w:rPr>
        <w:t>《广州建设工程造价信息》</w:t>
      </w:r>
      <w:r>
        <w:rPr>
          <w:rFonts w:hint="eastAsia" w:ascii="仿宋" w:hAnsi="仿宋" w:eastAsia="仿宋" w:cs="仿宋"/>
          <w:b w:val="0"/>
          <w:bCs w:val="0"/>
          <w:sz w:val="24"/>
          <w:highlight w:val="none"/>
          <w:lang w:val="en-US" w:eastAsia="zh-CN"/>
        </w:rPr>
        <w:t>和</w:t>
      </w:r>
      <w:r>
        <w:rPr>
          <w:rFonts w:hint="eastAsia" w:ascii="仿宋" w:hAnsi="仿宋" w:eastAsia="仿宋" w:cs="仿宋"/>
          <w:b/>
          <w:bCs/>
          <w:sz w:val="24"/>
          <w:highlight w:val="none"/>
          <w:lang w:val="en-US" w:eastAsia="zh-CN"/>
        </w:rPr>
        <w:t>《广州地区建设工程材料（设备）厂商价格信息》</w:t>
      </w:r>
      <w:r>
        <w:rPr>
          <w:rFonts w:hint="eastAsia" w:ascii="仿宋" w:hAnsi="仿宋" w:eastAsia="仿宋" w:cs="仿宋"/>
          <w:sz w:val="24"/>
          <w:highlight w:val="none"/>
          <w:lang w:val="en-US" w:eastAsia="zh-CN"/>
        </w:rPr>
        <w:t>计价；</w:t>
      </w:r>
    </w:p>
    <w:p>
      <w:pPr>
        <w:spacing w:line="360" w:lineRule="auto"/>
        <w:ind w:right="11"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9.5计费方式执行《广东省水利水电工程设计概（估）算编制规定（2017）》。</w:t>
      </w:r>
    </w:p>
    <w:p>
      <w:pPr>
        <w:spacing w:line="360" w:lineRule="auto"/>
        <w:ind w:right="11"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9.6</w:t>
      </w:r>
      <w:r>
        <w:rPr>
          <w:rFonts w:hint="eastAsia" w:ascii="仿宋" w:hAnsi="仿宋" w:eastAsia="仿宋" w:cs="仿宋"/>
          <w:sz w:val="24"/>
          <w:highlight w:val="none"/>
        </w:rPr>
        <w:t>余泥渣土、建筑垃圾、绿化残枝等清运距离，原黄埔片区运距按20公里计算，原萝岗片区运距按15公里计算</w:t>
      </w:r>
      <w:r>
        <w:rPr>
          <w:rFonts w:hint="eastAsia" w:ascii="仿宋" w:hAnsi="仿宋" w:eastAsia="仿宋" w:cs="仿宋"/>
          <w:sz w:val="24"/>
          <w:highlight w:val="none"/>
          <w:lang w:eastAsia="zh-CN"/>
        </w:rPr>
        <w:t>；</w:t>
      </w:r>
    </w:p>
    <w:p>
      <w:pPr>
        <w:spacing w:line="360" w:lineRule="auto"/>
        <w:ind w:right="11"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9.7</w:t>
      </w:r>
      <w:r>
        <w:rPr>
          <w:rFonts w:hint="eastAsia" w:ascii="仿宋" w:hAnsi="仿宋" w:eastAsia="仿宋" w:cs="仿宋"/>
          <w:sz w:val="24"/>
          <w:highlight w:val="none"/>
        </w:rPr>
        <w:t>合同期内，如相关主管部门颁布新定额，则按新定额执行。</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0.</w:t>
      </w:r>
      <w:r>
        <w:rPr>
          <w:rFonts w:hint="eastAsia" w:ascii="黑体" w:hAnsi="黑体" w:eastAsia="黑体" w:cs="黑体"/>
          <w:b/>
          <w:bCs/>
          <w:sz w:val="24"/>
          <w:highlight w:val="none"/>
        </w:rPr>
        <w:t>工程结算</w:t>
      </w:r>
    </w:p>
    <w:p>
      <w:pPr>
        <w:keepNext w:val="0"/>
        <w:keepLines w:val="0"/>
        <w:pageBreakBefore w:val="0"/>
        <w:kinsoku/>
        <w:wordWrap/>
        <w:overflowPunct/>
        <w:topLinePunct w:val="0"/>
        <w:autoSpaceDE/>
        <w:autoSpaceDN/>
        <w:bidi w:val="0"/>
        <w:snapToGrid/>
        <w:spacing w:line="500" w:lineRule="exact"/>
        <w:ind w:right="11" w:firstLine="480" w:firstLineChars="200"/>
        <w:rPr>
          <w:rFonts w:ascii="仿宋" w:hAnsi="仿宋" w:eastAsia="仿宋" w:cs="仿宋"/>
          <w:sz w:val="24"/>
          <w:szCs w:val="24"/>
          <w:highlight w:val="none"/>
        </w:rPr>
      </w:pP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rPr>
        <w:t>完工通过验收后，承包人</w:t>
      </w:r>
      <w:r>
        <w:rPr>
          <w:rFonts w:hint="eastAsia" w:ascii="仿宋" w:hAnsi="仿宋" w:eastAsia="仿宋" w:cs="仿宋"/>
          <w:sz w:val="24"/>
          <w:szCs w:val="24"/>
          <w:highlight w:val="none"/>
        </w:rPr>
        <w:t>以实际</w:t>
      </w:r>
      <w:r>
        <w:rPr>
          <w:rFonts w:hint="eastAsia" w:ascii="仿宋" w:hAnsi="仿宋" w:eastAsia="仿宋" w:cs="仿宋"/>
          <w:sz w:val="24"/>
          <w:szCs w:val="24"/>
          <w:highlight w:val="none"/>
          <w:lang w:eastAsia="zh-CN"/>
        </w:rPr>
        <w:t>完成量</w:t>
      </w:r>
      <w:r>
        <w:rPr>
          <w:rFonts w:hint="eastAsia" w:ascii="仿宋" w:hAnsi="仿宋" w:eastAsia="仿宋" w:cs="仿宋"/>
          <w:sz w:val="24"/>
          <w:szCs w:val="24"/>
          <w:highlight w:val="none"/>
        </w:rPr>
        <w:t>经发包人、监理单位、承包人三方确认的工程量为依据，</w:t>
      </w:r>
      <w:r>
        <w:rPr>
          <w:rFonts w:hint="eastAsia" w:ascii="仿宋" w:hAnsi="仿宋" w:eastAsia="仿宋" w:cs="仿宋"/>
          <w:sz w:val="24"/>
          <w:szCs w:val="24"/>
          <w:highlight w:val="none"/>
          <w:lang w:eastAsia="zh-CN"/>
        </w:rPr>
        <w:t>按季度周期</w:t>
      </w:r>
      <w:r>
        <w:rPr>
          <w:rFonts w:hint="eastAsia" w:ascii="仿宋" w:hAnsi="仿宋" w:eastAsia="仿宋" w:cs="仿宋"/>
          <w:sz w:val="24"/>
          <w:highlight w:val="none"/>
        </w:rPr>
        <w:t>编制工程结算书，工程结算</w:t>
      </w:r>
      <w:r>
        <w:rPr>
          <w:rFonts w:hint="eastAsia" w:ascii="仿宋" w:hAnsi="仿宋" w:eastAsia="仿宋" w:cs="仿宋"/>
          <w:sz w:val="24"/>
          <w:highlight w:val="none"/>
          <w:lang w:eastAsia="zh-CN"/>
        </w:rPr>
        <w:t>价</w:t>
      </w:r>
      <w:r>
        <w:rPr>
          <w:rFonts w:hint="eastAsia" w:ascii="仿宋" w:hAnsi="仿宋" w:eastAsia="仿宋" w:cs="仿宋"/>
          <w:sz w:val="24"/>
          <w:highlight w:val="none"/>
        </w:rPr>
        <w:t>最终以</w:t>
      </w:r>
      <w:r>
        <w:rPr>
          <w:rFonts w:hint="eastAsia" w:ascii="仿宋" w:hAnsi="仿宋" w:eastAsia="仿宋" w:cs="仿宋"/>
          <w:sz w:val="24"/>
          <w:szCs w:val="24"/>
          <w:highlight w:val="none"/>
        </w:rPr>
        <w:t>区财政局审定的工程结算核定价</w:t>
      </w:r>
      <w:r>
        <w:rPr>
          <w:rFonts w:hint="eastAsia" w:ascii="仿宋" w:hAnsi="仿宋" w:eastAsia="仿宋" w:cs="仿宋"/>
          <w:sz w:val="24"/>
          <w:szCs w:val="24"/>
          <w:highlight w:val="none"/>
          <w:lang w:eastAsia="zh-CN"/>
        </w:rPr>
        <w:t>结算（核定价如已按</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下浮率下浮，不作重复下浮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1.</w:t>
      </w:r>
      <w:r>
        <w:rPr>
          <w:rFonts w:hint="eastAsia" w:ascii="黑体" w:hAnsi="黑体" w:eastAsia="黑体" w:cs="黑体"/>
          <w:b/>
          <w:bCs/>
          <w:sz w:val="24"/>
          <w:highlight w:val="none"/>
        </w:rPr>
        <w:t>工程款支付</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11.1</w:t>
      </w:r>
      <w:r>
        <w:rPr>
          <w:rFonts w:hint="eastAsia" w:ascii="仿宋" w:hAnsi="仿宋" w:eastAsia="仿宋" w:cs="仿宋"/>
          <w:sz w:val="24"/>
          <w:highlight w:val="none"/>
          <w:lang w:eastAsia="zh-CN"/>
        </w:rPr>
        <w:t>维修改造任务</w:t>
      </w:r>
      <w:r>
        <w:rPr>
          <w:rFonts w:hint="eastAsia" w:ascii="仿宋" w:hAnsi="仿宋" w:eastAsia="仿宋" w:cs="仿宋"/>
          <w:sz w:val="24"/>
          <w:highlight w:val="none"/>
        </w:rPr>
        <w:t>完工验收</w:t>
      </w:r>
      <w:r>
        <w:rPr>
          <w:rFonts w:hint="eastAsia" w:ascii="仿宋" w:hAnsi="仿宋" w:eastAsia="仿宋" w:cs="仿宋"/>
          <w:sz w:val="24"/>
          <w:highlight w:val="none"/>
          <w:lang w:eastAsia="zh-CN"/>
        </w:rPr>
        <w:t>合格</w:t>
      </w:r>
      <w:r>
        <w:rPr>
          <w:rFonts w:hint="eastAsia" w:ascii="仿宋" w:hAnsi="仿宋" w:eastAsia="仿宋" w:cs="仿宋"/>
          <w:sz w:val="24"/>
          <w:highlight w:val="none"/>
        </w:rPr>
        <w:t>后支付至工程预算书监理单位审核价的50%，区财政局审定结算后支付至结算审定价的9</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%，质保期结束</w:t>
      </w:r>
      <w:r>
        <w:rPr>
          <w:rFonts w:hint="eastAsia" w:ascii="仿宋" w:hAnsi="仿宋" w:eastAsia="仿宋" w:cs="仿宋"/>
          <w:sz w:val="24"/>
          <w:highlight w:val="none"/>
          <w:lang w:val="en-US" w:eastAsia="zh-CN"/>
        </w:rPr>
        <w:t>且无质量缺陷</w:t>
      </w:r>
      <w:r>
        <w:rPr>
          <w:rFonts w:hint="eastAsia" w:ascii="仿宋" w:hAnsi="仿宋" w:eastAsia="仿宋" w:cs="仿宋"/>
          <w:sz w:val="24"/>
          <w:highlight w:val="none"/>
          <w:lang w:eastAsia="zh-CN"/>
        </w:rPr>
        <w:t>的</w:t>
      </w:r>
      <w:r>
        <w:rPr>
          <w:rFonts w:hint="eastAsia" w:ascii="仿宋" w:hAnsi="仿宋" w:eastAsia="仿宋" w:cs="仿宋"/>
          <w:sz w:val="24"/>
          <w:highlight w:val="none"/>
        </w:rPr>
        <w:t>支付至结算审定价的100%。</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11.2发包人</w:t>
      </w:r>
      <w:r>
        <w:rPr>
          <w:rFonts w:hint="eastAsia" w:ascii="仿宋" w:hAnsi="仿宋" w:eastAsia="仿宋" w:cs="仿宋"/>
          <w:sz w:val="24"/>
          <w:highlight w:val="none"/>
        </w:rPr>
        <w:t>收到</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rPr>
        <w:t>齐备请款资料</w:t>
      </w:r>
      <w:r>
        <w:rPr>
          <w:rFonts w:hint="eastAsia" w:ascii="仿宋" w:hAnsi="仿宋" w:eastAsia="仿宋" w:cs="仿宋"/>
          <w:sz w:val="24"/>
          <w:highlight w:val="none"/>
          <w:lang w:eastAsia="zh-CN"/>
        </w:rPr>
        <w:t>（</w:t>
      </w:r>
      <w:r>
        <w:rPr>
          <w:rFonts w:hint="eastAsia" w:ascii="仿宋" w:hAnsi="仿宋" w:eastAsia="仿宋" w:cs="仿宋"/>
          <w:sz w:val="24"/>
          <w:highlight w:val="none"/>
        </w:rPr>
        <w:t>有效的国家完税发票及相关资料</w:t>
      </w:r>
      <w:r>
        <w:rPr>
          <w:rFonts w:hint="eastAsia" w:ascii="仿宋" w:hAnsi="仿宋" w:eastAsia="仿宋" w:cs="仿宋"/>
          <w:sz w:val="24"/>
          <w:highlight w:val="none"/>
          <w:lang w:eastAsia="zh-CN"/>
        </w:rPr>
        <w:t>）</w:t>
      </w:r>
      <w:r>
        <w:rPr>
          <w:rFonts w:hint="eastAsia" w:ascii="仿宋" w:hAnsi="仿宋" w:eastAsia="仿宋" w:cs="仿宋"/>
          <w:sz w:val="24"/>
          <w:highlight w:val="none"/>
        </w:rPr>
        <w:t>后15个工作日内办理工程款支付</w:t>
      </w:r>
      <w:r>
        <w:rPr>
          <w:rFonts w:hint="eastAsia" w:ascii="仿宋" w:hAnsi="仿宋" w:eastAsia="仿宋" w:cs="仿宋"/>
          <w:sz w:val="24"/>
          <w:highlight w:val="none"/>
          <w:lang w:val="en-US" w:eastAsia="zh-CN"/>
        </w:rPr>
        <w:t>申</w:t>
      </w:r>
      <w:r>
        <w:rPr>
          <w:rFonts w:hint="eastAsia" w:ascii="仿宋" w:hAnsi="仿宋" w:eastAsia="仿宋" w:cs="仿宋"/>
          <w:sz w:val="24"/>
          <w:highlight w:val="none"/>
        </w:rPr>
        <w:t>请手续。</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rPr>
        <w:t>完成请款</w:t>
      </w:r>
      <w:r>
        <w:rPr>
          <w:rFonts w:hint="eastAsia" w:ascii="仿宋" w:hAnsi="仿宋" w:eastAsia="仿宋" w:cs="仿宋"/>
          <w:sz w:val="24"/>
          <w:highlight w:val="none"/>
          <w:lang w:val="en-US" w:eastAsia="zh-CN"/>
        </w:rPr>
        <w:t>内部</w:t>
      </w:r>
      <w:r>
        <w:rPr>
          <w:rFonts w:hint="eastAsia" w:ascii="仿宋" w:hAnsi="仿宋" w:eastAsia="仿宋" w:cs="仿宋"/>
          <w:sz w:val="24"/>
          <w:highlight w:val="none"/>
        </w:rPr>
        <w:t>审批流程并提交资料至区财政国库集中支付中心，完成提交手续后视为完成支付工作。具体付款时间按区财政制度办理。</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2.</w:t>
      </w:r>
      <w:r>
        <w:rPr>
          <w:rFonts w:hint="eastAsia" w:ascii="黑体" w:hAnsi="黑体" w:eastAsia="黑体" w:cs="黑体"/>
          <w:b/>
          <w:bCs/>
          <w:sz w:val="24"/>
          <w:highlight w:val="none"/>
        </w:rPr>
        <w:t>合同生效</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highlight w:val="none"/>
        </w:rPr>
      </w:pPr>
      <w:r>
        <w:rPr>
          <w:rFonts w:hint="eastAsia" w:ascii="仿宋" w:hAnsi="仿宋" w:eastAsia="仿宋" w:cs="仿宋"/>
          <w:sz w:val="24"/>
          <w:highlight w:val="none"/>
        </w:rPr>
        <w:t>本合同</w:t>
      </w:r>
      <w:r>
        <w:rPr>
          <w:rFonts w:hint="eastAsia" w:ascii="仿宋" w:hAnsi="仿宋" w:eastAsia="仿宋" w:cs="仿宋"/>
          <w:sz w:val="24"/>
          <w:highlight w:val="none"/>
          <w:lang w:eastAsia="zh-CN"/>
        </w:rPr>
        <w:t>自发包人、承包人</w:t>
      </w:r>
      <w:r>
        <w:rPr>
          <w:rFonts w:hint="eastAsia" w:ascii="仿宋" w:hAnsi="仿宋" w:eastAsia="仿宋" w:cs="仿宋"/>
          <w:sz w:val="24"/>
          <w:highlight w:val="none"/>
          <w:u w:val="none"/>
        </w:rPr>
        <w:t>双方签名、盖章后</w:t>
      </w:r>
      <w:r>
        <w:rPr>
          <w:rFonts w:hint="eastAsia" w:ascii="仿宋" w:hAnsi="仿宋" w:eastAsia="仿宋" w:cs="仿宋"/>
          <w:sz w:val="24"/>
          <w:highlight w:val="none"/>
        </w:rPr>
        <w:t>生效。</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13.履约担保及安全生产责任保险</w:t>
      </w:r>
    </w:p>
    <w:p>
      <w:pPr>
        <w:keepNext w:val="0"/>
        <w:keepLines w:val="0"/>
        <w:pageBreakBefore w:val="0"/>
        <w:kinsoku/>
        <w:wordWrap/>
        <w:overflowPunct/>
        <w:topLinePunct w:val="0"/>
        <w:autoSpaceDE/>
        <w:autoSpaceDN/>
        <w:bidi w:val="0"/>
        <w:snapToGrid/>
        <w:spacing w:line="500" w:lineRule="exact"/>
        <w:ind w:right="11"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eastAsia="zh-CN"/>
        </w:rPr>
        <w:t>发包人、承包人</w:t>
      </w:r>
      <w:r>
        <w:rPr>
          <w:rFonts w:hint="eastAsia" w:ascii="仿宋" w:hAnsi="仿宋" w:eastAsia="仿宋" w:cs="仿宋"/>
          <w:sz w:val="24"/>
          <w:highlight w:val="none"/>
        </w:rPr>
        <w:t>双方签订合同后，承包人应在合同签订后60日内，提交履约保函</w:t>
      </w:r>
      <w:r>
        <w:rPr>
          <w:rFonts w:hint="eastAsia" w:ascii="仿宋" w:hAnsi="仿宋" w:eastAsia="仿宋" w:cs="仿宋"/>
          <w:sz w:val="24"/>
          <w:highlight w:val="none"/>
          <w:lang w:eastAsia="zh-CN"/>
        </w:rPr>
        <w:t>和安全生产责任保险。</w:t>
      </w:r>
      <w:r>
        <w:rPr>
          <w:rFonts w:hint="eastAsia" w:ascii="仿宋" w:hAnsi="仿宋" w:eastAsia="仿宋" w:cs="仿宋"/>
          <w:sz w:val="24"/>
          <w:highlight w:val="none"/>
        </w:rPr>
        <w:t>保函金额为合同价格的</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%。履约保函为承包人委托银行</w:t>
      </w:r>
      <w:r>
        <w:rPr>
          <w:rFonts w:hint="eastAsia" w:ascii="仿宋" w:hAnsi="仿宋" w:eastAsia="仿宋" w:cs="仿宋"/>
          <w:sz w:val="24"/>
          <w:highlight w:val="none"/>
          <w:lang w:eastAsia="zh-CN"/>
        </w:rPr>
        <w:t>或保险公司</w:t>
      </w:r>
      <w:r>
        <w:rPr>
          <w:rFonts w:hint="eastAsia" w:ascii="仿宋" w:hAnsi="仿宋" w:eastAsia="仿宋" w:cs="仿宋"/>
          <w:sz w:val="24"/>
          <w:highlight w:val="none"/>
        </w:rPr>
        <w:t>出具的以发包人为受益人的无条件、见索即付、不可撤销的履约保证。</w:t>
      </w:r>
      <w:r>
        <w:rPr>
          <w:rFonts w:hint="eastAsia" w:ascii="仿宋" w:hAnsi="仿宋" w:eastAsia="仿宋" w:cs="仿宋"/>
          <w:sz w:val="24"/>
          <w:highlight w:val="none"/>
          <w:lang w:eastAsia="zh-CN"/>
        </w:rPr>
        <w:t>安全生产责任保险方案按每人死亡赔偿限额不低于</w:t>
      </w:r>
      <w:r>
        <w:rPr>
          <w:rFonts w:hint="eastAsia" w:ascii="仿宋" w:hAnsi="仿宋" w:eastAsia="仿宋" w:cs="仿宋"/>
          <w:sz w:val="24"/>
          <w:highlight w:val="none"/>
          <w:lang w:val="en-US" w:eastAsia="zh-CN"/>
        </w:rPr>
        <w:t>140万元购买，合同期内，如有新规定，按新规定执行。</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14.</w:t>
      </w:r>
      <w:r>
        <w:rPr>
          <w:rFonts w:hint="eastAsia" w:ascii="黑体" w:hAnsi="黑体" w:eastAsia="黑体" w:cs="黑体"/>
          <w:b/>
          <w:bCs/>
          <w:sz w:val="24"/>
          <w:highlight w:val="none"/>
        </w:rPr>
        <w:t>争议的解决方式</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rFonts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en-US" w:eastAsia="zh-CN" w:bidi="ar-SA"/>
        </w:rPr>
        <w:t>如发生与本合同有关的纠纷，由</w:t>
      </w:r>
      <w:r>
        <w:rPr>
          <w:rFonts w:hint="eastAsia" w:ascii="仿宋" w:hAnsi="仿宋" w:eastAsia="仿宋" w:cs="仿宋"/>
          <w:kern w:val="0"/>
          <w:sz w:val="24"/>
          <w:szCs w:val="20"/>
          <w:highlight w:val="none"/>
          <w:lang w:val="en-US" w:eastAsia="zh-CN" w:bidi="ar-SA"/>
        </w:rPr>
        <w:t>发包人、承包人</w:t>
      </w:r>
      <w:r>
        <w:rPr>
          <w:rFonts w:hint="eastAsia" w:ascii="仿宋" w:hAnsi="仿宋" w:eastAsia="仿宋" w:cs="仿宋"/>
          <w:kern w:val="2"/>
          <w:sz w:val="24"/>
          <w:szCs w:val="22"/>
          <w:highlight w:val="none"/>
          <w:lang w:val="en-US" w:eastAsia="zh-CN" w:bidi="ar-SA"/>
        </w:rPr>
        <w:t>双方当事人协商解决，协商不成的，任一方均有权向广州市黄埔区人民法院提起诉讼。</w:t>
      </w:r>
    </w:p>
    <w:p>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jc w:val="left"/>
        <w:textAlignment w:val="baseline"/>
        <w:rPr>
          <w:rFonts w:hint="eastAsia" w:ascii="黑体" w:hAnsi="黑体" w:eastAsia="黑体" w:cs="黑体"/>
          <w:b/>
          <w:bCs/>
          <w:kern w:val="2"/>
          <w:sz w:val="24"/>
          <w:szCs w:val="22"/>
          <w:highlight w:val="none"/>
          <w:lang w:val="en-US" w:eastAsia="zh-CN" w:bidi="ar-SA"/>
        </w:rPr>
      </w:pPr>
      <w:r>
        <w:rPr>
          <w:rFonts w:hint="eastAsia" w:ascii="黑体" w:hAnsi="黑体" w:eastAsia="黑体" w:cs="黑体"/>
          <w:b/>
          <w:bCs/>
          <w:kern w:val="2"/>
          <w:sz w:val="24"/>
          <w:szCs w:val="22"/>
          <w:highlight w:val="none"/>
          <w:lang w:val="en-US" w:eastAsia="zh-CN" w:bidi="ar-SA"/>
        </w:rPr>
        <w:t>15.其他</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b w:val="0"/>
          <w:bCs w:val="0"/>
          <w:kern w:val="2"/>
          <w:sz w:val="24"/>
          <w:szCs w:val="22"/>
          <w:highlight w:val="none"/>
        </w:rPr>
      </w:pPr>
      <w:r>
        <w:rPr>
          <w:rFonts w:hint="eastAsia" w:ascii="仿宋" w:hAnsi="仿宋" w:eastAsia="仿宋" w:cs="仿宋"/>
          <w:b w:val="0"/>
          <w:bCs w:val="0"/>
          <w:kern w:val="2"/>
          <w:sz w:val="24"/>
          <w:szCs w:val="22"/>
          <w:highlight w:val="none"/>
          <w:lang w:val="en-US" w:eastAsia="zh-CN"/>
        </w:rPr>
        <w:t>15.1</w:t>
      </w:r>
      <w:r>
        <w:rPr>
          <w:rFonts w:hint="eastAsia" w:ascii="仿宋" w:hAnsi="仿宋" w:eastAsia="仿宋" w:cs="仿宋"/>
          <w:b w:val="0"/>
          <w:bCs w:val="0"/>
          <w:kern w:val="2"/>
          <w:sz w:val="24"/>
          <w:szCs w:val="22"/>
          <w:highlight w:val="none"/>
        </w:rPr>
        <w:t>若承包人违约，</w:t>
      </w:r>
      <w:r>
        <w:rPr>
          <w:rFonts w:hint="eastAsia" w:ascii="仿宋" w:hAnsi="仿宋" w:eastAsia="仿宋" w:cs="仿宋"/>
          <w:b w:val="0"/>
          <w:bCs w:val="0"/>
          <w:kern w:val="2"/>
          <w:sz w:val="24"/>
          <w:szCs w:val="22"/>
          <w:highlight w:val="none"/>
          <w:lang w:val="en-US" w:eastAsia="zh-CN"/>
        </w:rPr>
        <w:t>涉及违约金、发包人垫付费用的，发包人有权在支付任何一期工程款时进行扣除，</w:t>
      </w:r>
      <w:r>
        <w:rPr>
          <w:rFonts w:hint="eastAsia" w:ascii="仿宋" w:hAnsi="仿宋" w:eastAsia="仿宋" w:cs="仿宋"/>
          <w:b w:val="0"/>
          <w:bCs w:val="0"/>
          <w:kern w:val="2"/>
          <w:sz w:val="24"/>
          <w:szCs w:val="22"/>
          <w:highlight w:val="none"/>
        </w:rPr>
        <w:t>相关工程款项不足以支付违约金的，</w:t>
      </w:r>
      <w:r>
        <w:rPr>
          <w:rFonts w:hint="eastAsia" w:ascii="仿宋" w:hAnsi="仿宋" w:eastAsia="仿宋" w:cs="仿宋"/>
          <w:sz w:val="24"/>
          <w:highlight w:val="none"/>
        </w:rPr>
        <w:t>则按照银行履约保函的相关款项兑付履约保函，保函金额仍不足以支付的，</w:t>
      </w:r>
      <w:r>
        <w:rPr>
          <w:rFonts w:hint="eastAsia" w:ascii="仿宋" w:hAnsi="仿宋" w:eastAsia="仿宋" w:cs="仿宋"/>
          <w:b w:val="0"/>
          <w:bCs w:val="0"/>
          <w:kern w:val="2"/>
          <w:sz w:val="24"/>
          <w:szCs w:val="22"/>
          <w:highlight w:val="none"/>
        </w:rPr>
        <w:t>承包人还应补齐</w:t>
      </w:r>
      <w:r>
        <w:rPr>
          <w:rFonts w:hint="eastAsia" w:ascii="仿宋" w:hAnsi="仿宋" w:eastAsia="仿宋" w:cs="仿宋"/>
          <w:b w:val="0"/>
          <w:bCs w:val="0"/>
          <w:kern w:val="2"/>
          <w:sz w:val="24"/>
          <w:szCs w:val="22"/>
          <w:highlight w:val="none"/>
          <w:lang w:eastAsia="zh-CN"/>
        </w:rPr>
        <w:t>余款</w:t>
      </w:r>
      <w:r>
        <w:rPr>
          <w:rFonts w:hint="eastAsia" w:ascii="仿宋" w:hAnsi="仿宋" w:eastAsia="仿宋" w:cs="仿宋"/>
          <w:b w:val="0"/>
          <w:bCs w:val="0"/>
          <w:kern w:val="2"/>
          <w:sz w:val="24"/>
          <w:szCs w:val="22"/>
          <w:highlight w:val="none"/>
        </w:rPr>
        <w:t>，并承担相应的法律责任。</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b w:val="0"/>
          <w:bCs w:val="0"/>
          <w:kern w:val="2"/>
          <w:sz w:val="24"/>
          <w:szCs w:val="22"/>
          <w:highlight w:val="none"/>
        </w:rPr>
      </w:pPr>
      <w:r>
        <w:rPr>
          <w:rFonts w:hint="eastAsia" w:ascii="仿宋" w:hAnsi="仿宋" w:eastAsia="仿宋" w:cs="仿宋"/>
          <w:b w:val="0"/>
          <w:bCs w:val="0"/>
          <w:kern w:val="2"/>
          <w:sz w:val="24"/>
          <w:szCs w:val="22"/>
          <w:highlight w:val="none"/>
          <w:lang w:val="en-US" w:eastAsia="zh-CN"/>
        </w:rPr>
        <w:t>15.2</w:t>
      </w:r>
      <w:r>
        <w:rPr>
          <w:rFonts w:hint="eastAsia" w:ascii="仿宋" w:hAnsi="仿宋" w:eastAsia="仿宋" w:cs="仿宋"/>
          <w:b w:val="0"/>
          <w:bCs w:val="0"/>
          <w:kern w:val="2"/>
          <w:sz w:val="24"/>
          <w:szCs w:val="22"/>
          <w:highlight w:val="none"/>
        </w:rPr>
        <w:t>承包人有转包或违法分包行为的，发包人有权终止合同，一切损失和责任由承包人承担。</w:t>
      </w:r>
    </w:p>
    <w:p>
      <w:pPr>
        <w:keepNext w:val="0"/>
        <w:keepLines w:val="0"/>
        <w:pageBreakBefore w:val="0"/>
        <w:kinsoku/>
        <w:wordWrap/>
        <w:overflowPunct/>
        <w:topLinePunct w:val="0"/>
        <w:autoSpaceDE/>
        <w:autoSpaceDN/>
        <w:bidi w:val="0"/>
        <w:snapToGrid/>
        <w:spacing w:line="500" w:lineRule="exact"/>
        <w:ind w:firstLine="480"/>
        <w:rPr>
          <w:rFonts w:hint="eastAsia"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5.3</w:t>
      </w:r>
      <w:r>
        <w:rPr>
          <w:rFonts w:hint="eastAsia" w:ascii="仿宋" w:hAnsi="仿宋" w:eastAsia="仿宋" w:cs="仿宋"/>
          <w:sz w:val="24"/>
          <w:highlight w:val="none"/>
        </w:rPr>
        <w:t xml:space="preserve">本合同所有附件、招标文件、投标文件、中标通知书均为合同的有效组成部分，与本合同具有同等法律效力。在执行本合同的过程中，所有经双方签署确认的文件（包括会议纪要、补充协议、往来信函）即成为本合同的有效组成部分。如一方地址、电话、注册信息等有变更，应及时书面通知对方，否则，应承担相应责任。 </w:t>
      </w:r>
    </w:p>
    <w:p>
      <w:pPr>
        <w:keepNext w:val="0"/>
        <w:keepLines w:val="0"/>
        <w:pageBreakBefore w:val="0"/>
        <w:kinsoku/>
        <w:wordWrap/>
        <w:overflowPunct/>
        <w:topLinePunct w:val="0"/>
        <w:autoSpaceDE/>
        <w:autoSpaceDN/>
        <w:bidi w:val="0"/>
        <w:snapToGrid/>
        <w:spacing w:line="50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15.4</w:t>
      </w:r>
      <w:r>
        <w:rPr>
          <w:rFonts w:hint="eastAsia" w:ascii="仿宋" w:hAnsi="仿宋" w:eastAsia="仿宋" w:cs="仿宋"/>
          <w:sz w:val="24"/>
          <w:szCs w:val="24"/>
          <w:highlight w:val="none"/>
        </w:rPr>
        <w:t>与本合同执行过程有关的一切税费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工程保险费用</w:t>
      </w:r>
      <w:r>
        <w:rPr>
          <w:rFonts w:hint="eastAsia" w:ascii="仿宋" w:hAnsi="仿宋" w:eastAsia="仿宋" w:cs="仿宋"/>
          <w:sz w:val="24"/>
          <w:szCs w:val="24"/>
          <w:highlight w:val="none"/>
        </w:rPr>
        <w:t>均由承包人承担。</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5.5</w:t>
      </w:r>
      <w:r>
        <w:rPr>
          <w:rFonts w:hint="eastAsia" w:ascii="仿宋" w:hAnsi="仿宋" w:eastAsia="仿宋" w:cs="仿宋"/>
          <w:sz w:val="24"/>
          <w:highlight w:val="none"/>
        </w:rPr>
        <w:t>本合同一式陆份。其中正本贰份，发包人、承包人各执壹份；副本肆份，发包人、承包人各执贰份。正本与副本不一致时，以正本内容为准。</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baseline"/>
        <w:rPr>
          <w:rFonts w:ascii="仿宋" w:hAnsi="仿宋" w:eastAsia="仿宋" w:cs="仿宋"/>
          <w:kern w:val="2"/>
          <w:sz w:val="24"/>
          <w:szCs w:val="22"/>
          <w:highlight w:val="none"/>
          <w:lang w:val="en-US" w:eastAsia="zh-CN" w:bidi="ar-SA"/>
        </w:rPr>
      </w:pPr>
      <w:r>
        <w:rPr>
          <w:rFonts w:hint="eastAsia" w:ascii="仿宋" w:hAnsi="仿宋" w:eastAsia="仿宋" w:cs="仿宋"/>
          <w:kern w:val="0"/>
          <w:sz w:val="24"/>
          <w:szCs w:val="20"/>
          <w:highlight w:val="none"/>
          <w:lang w:val="en-US" w:eastAsia="zh-CN" w:bidi="ar-SA"/>
        </w:rPr>
        <w:t>15.6</w:t>
      </w:r>
      <w:r>
        <w:rPr>
          <w:rFonts w:hint="eastAsia" w:ascii="仿宋" w:hAnsi="仿宋" w:eastAsia="仿宋" w:cs="仿宋"/>
          <w:kern w:val="2"/>
          <w:sz w:val="24"/>
          <w:szCs w:val="22"/>
          <w:highlight w:val="none"/>
          <w:lang w:val="en-US" w:eastAsia="zh-CN" w:bidi="ar-SA"/>
        </w:rPr>
        <w:t>本合同书未尽事宜由</w:t>
      </w:r>
      <w:r>
        <w:rPr>
          <w:rFonts w:hint="eastAsia" w:ascii="仿宋" w:hAnsi="仿宋" w:eastAsia="仿宋" w:cs="仿宋"/>
          <w:kern w:val="0"/>
          <w:sz w:val="24"/>
          <w:szCs w:val="20"/>
          <w:highlight w:val="none"/>
          <w:lang w:val="en-US" w:eastAsia="zh-CN" w:bidi="ar-SA"/>
        </w:rPr>
        <w:t>发包人、承包人</w:t>
      </w:r>
      <w:r>
        <w:rPr>
          <w:rFonts w:hint="eastAsia" w:ascii="仿宋" w:hAnsi="仿宋" w:eastAsia="仿宋" w:cs="仿宋"/>
          <w:kern w:val="2"/>
          <w:sz w:val="24"/>
          <w:szCs w:val="22"/>
          <w:highlight w:val="none"/>
          <w:lang w:val="en-US" w:eastAsia="zh-CN" w:bidi="ar-SA"/>
        </w:rPr>
        <w:t>双方以补充合同形式确认，补充合同作为本合同书的组成部分，与本合同书具有同等效力。</w:t>
      </w:r>
    </w:p>
    <w:p>
      <w:pPr>
        <w:keepNext w:val="0"/>
        <w:keepLines w:val="0"/>
        <w:pageBreakBefore w:val="0"/>
        <w:kinsoku/>
        <w:wordWrap/>
        <w:overflowPunct/>
        <w:topLinePunct w:val="0"/>
        <w:autoSpaceDE/>
        <w:autoSpaceDN/>
        <w:bidi w:val="0"/>
        <w:snapToGrid/>
        <w:spacing w:line="500" w:lineRule="exact"/>
        <w:ind w:firstLine="48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以下无正文</w:t>
      </w:r>
      <w:r>
        <w:rPr>
          <w:rFonts w:hint="eastAsia" w:ascii="仿宋" w:hAnsi="仿宋" w:eastAsia="仿宋" w:cs="仿宋"/>
          <w:sz w:val="24"/>
          <w:highlight w:val="none"/>
          <w:lang w:eastAsia="zh-CN"/>
        </w:rPr>
        <w:t>）</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highlight w:val="none"/>
        </w:rPr>
      </w:pPr>
      <w:r>
        <w:rPr>
          <w:rFonts w:hint="eastAsia" w:ascii="仿宋" w:hAnsi="仿宋" w:eastAsia="仿宋" w:cs="仿宋"/>
          <w:sz w:val="24"/>
          <w:highlight w:val="none"/>
        </w:rPr>
        <w:t>附件1：《黄埔区水务工程建设项目廉政责任书》</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highlight w:val="none"/>
        </w:rPr>
      </w:pPr>
      <w:r>
        <w:rPr>
          <w:rFonts w:hint="eastAsia" w:ascii="仿宋" w:hAnsi="仿宋" w:eastAsia="仿宋" w:cs="仿宋"/>
          <w:sz w:val="24"/>
          <w:highlight w:val="none"/>
        </w:rPr>
        <w:t>附件2：《黄埔区水务工程安全生产责任书》</w:t>
      </w:r>
    </w:p>
    <w:p>
      <w:pPr>
        <w:keepNext w:val="0"/>
        <w:keepLines w:val="0"/>
        <w:pageBreakBefore w:val="0"/>
        <w:widowControl w:val="0"/>
        <w:numPr>
          <w:ilvl w:val="0"/>
          <w:numId w:val="0"/>
        </w:numPr>
        <w:kinsoku/>
        <w:wordWrap/>
        <w:overflowPunct/>
        <w:topLinePunct w:val="0"/>
        <w:autoSpaceDE/>
        <w:autoSpaceDN/>
        <w:bidi w:val="0"/>
        <w:snapToGrid/>
        <w:spacing w:before="260" w:after="260" w:line="500" w:lineRule="exact"/>
        <w:jc w:val="both"/>
        <w:outlineLvl w:val="1"/>
        <w:rPr>
          <w:rFonts w:ascii="黑体" w:hAnsi="黑体" w:eastAsia="黑体" w:cs="Times New Roman"/>
          <w:b/>
          <w:bCs/>
          <w:kern w:val="44"/>
          <w:sz w:val="30"/>
          <w:szCs w:val="30"/>
          <w:highlight w:val="none"/>
          <w:lang w:val="en-US" w:eastAsia="zh-CN" w:bidi="ar-SA"/>
        </w:rPr>
      </w:pPr>
    </w:p>
    <w:p>
      <w:pPr>
        <w:keepNext w:val="0"/>
        <w:keepLines w:val="0"/>
        <w:pageBreakBefore w:val="0"/>
        <w:kinsoku/>
        <w:wordWrap/>
        <w:overflowPunct/>
        <w:topLinePunct w:val="0"/>
        <w:autoSpaceDE/>
        <w:autoSpaceDN/>
        <w:bidi w:val="0"/>
        <w:snapToGrid/>
        <w:spacing w:line="500"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发  包  人：（公章）              承  包  人：（公章）</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r>
        <w:rPr>
          <w:rFonts w:hint="eastAsia" w:ascii="仿宋" w:hAnsi="仿宋" w:eastAsia="仿宋" w:cs="仿宋"/>
          <w:sz w:val="24"/>
          <w:highlight w:val="none"/>
        </w:rPr>
        <w:t xml:space="preserve">                          </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r>
        <w:rPr>
          <w:rFonts w:hint="eastAsia" w:ascii="仿宋" w:hAnsi="仿宋" w:eastAsia="仿宋" w:cs="仿宋"/>
          <w:sz w:val="24"/>
          <w:highlight w:val="none"/>
        </w:rPr>
        <w:t xml:space="preserve"> 法定代表人：                      法定代表人：</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委托代理人：                    </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委托代理人：</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r>
        <w:rPr>
          <w:rFonts w:hint="eastAsia" w:ascii="仿宋" w:hAnsi="仿宋" w:eastAsia="仿宋" w:cs="仿宋"/>
          <w:sz w:val="24"/>
          <w:highlight w:val="none"/>
        </w:rPr>
        <w:t xml:space="preserve"> 电    话： </w:t>
      </w:r>
      <w:r>
        <w:rPr>
          <w:rFonts w:hint="eastAsia" w:ascii="仿宋" w:hAnsi="仿宋" w:eastAsia="仿宋"/>
          <w:sz w:val="24"/>
          <w:highlight w:val="none"/>
        </w:rPr>
        <w:t xml:space="preserve">            </w:t>
      </w:r>
      <w:r>
        <w:rPr>
          <w:rFonts w:hint="eastAsia" w:ascii="仿宋" w:hAnsi="仿宋" w:eastAsia="仿宋" w:cs="仿宋"/>
          <w:sz w:val="24"/>
          <w:highlight w:val="none"/>
        </w:rPr>
        <w:t xml:space="preserve">           电     话：</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r>
        <w:rPr>
          <w:rFonts w:hint="eastAsia" w:ascii="仿宋" w:hAnsi="仿宋" w:eastAsia="仿宋" w:cs="仿宋"/>
          <w:sz w:val="24"/>
          <w:highlight w:val="none"/>
        </w:rPr>
        <w:t xml:space="preserve"> 开户银行：                        开户银行：</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highlight w:val="none"/>
        </w:rPr>
      </w:pPr>
      <w:r>
        <w:rPr>
          <w:rFonts w:hint="eastAsia" w:ascii="仿宋" w:hAnsi="仿宋" w:eastAsia="仿宋" w:cs="仿宋"/>
          <w:sz w:val="24"/>
          <w:highlight w:val="none"/>
        </w:rPr>
        <w:t xml:space="preserve"> 帐    号：                        帐    号：</w:t>
      </w:r>
    </w:p>
    <w:p>
      <w:pPr>
        <w:spacing w:line="360" w:lineRule="auto"/>
        <w:rPr>
          <w:rFonts w:ascii="仿宋" w:hAnsi="仿宋" w:eastAsia="仿宋" w:cs="仿宋"/>
          <w:sz w:val="24"/>
          <w:highlight w:val="none"/>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pPr>
    </w:p>
    <w:p>
      <w:pPr>
        <w:widowControl w:val="0"/>
        <w:adjustRightInd w:val="0"/>
        <w:snapToGrid w:val="0"/>
        <w:spacing w:line="360" w:lineRule="auto"/>
        <w:jc w:val="both"/>
        <w:rPr>
          <w:rFonts w:hint="eastAsia" w:ascii="仿宋" w:hAnsi="仿宋" w:eastAsia="仿宋" w:cs="Times New Roman"/>
          <w:kern w:val="0"/>
          <w:sz w:val="20"/>
          <w:szCs w:val="22"/>
          <w:highlight w:val="none"/>
          <w:lang w:val="en-US" w:eastAsia="zh-CN" w:bidi="ar-SA"/>
        </w:rPr>
        <w:sectPr>
          <w:footerReference r:id="rId7" w:type="default"/>
          <w:pgSz w:w="11906" w:h="16838"/>
          <w:pgMar w:top="1440" w:right="1800" w:bottom="1440" w:left="1800" w:header="851" w:footer="992" w:gutter="0"/>
          <w:pgNumType w:fmt="decimal"/>
          <w:cols w:space="720" w:num="1"/>
          <w:docGrid w:type="lines" w:linePitch="312" w:charSpace="0"/>
        </w:sectPr>
      </w:pPr>
    </w:p>
    <w:p>
      <w:pPr>
        <w:widowControl w:val="0"/>
        <w:adjustRightInd w:val="0"/>
        <w:snapToGrid w:val="0"/>
        <w:spacing w:line="360" w:lineRule="auto"/>
        <w:jc w:val="both"/>
        <w:rPr>
          <w:rFonts w:ascii="仿宋" w:hAnsi="仿宋" w:eastAsia="仿宋" w:cs="Times New Roman"/>
          <w:kern w:val="0"/>
          <w:sz w:val="20"/>
          <w:szCs w:val="22"/>
          <w:highlight w:val="none"/>
          <w:lang w:val="en-US" w:eastAsia="zh-CN" w:bidi="ar-SA"/>
        </w:rPr>
      </w:pPr>
      <w:r>
        <w:rPr>
          <w:rFonts w:hint="eastAsia" w:ascii="仿宋" w:hAnsi="仿宋" w:eastAsia="仿宋" w:cs="Times New Roman"/>
          <w:kern w:val="0"/>
          <w:sz w:val="20"/>
          <w:szCs w:val="22"/>
          <w:highlight w:val="none"/>
          <w:lang w:val="en-US" w:eastAsia="zh-CN" w:bidi="ar-SA"/>
        </w:rPr>
        <w:t xml:space="preserve">附件1               </w:t>
      </w:r>
    </w:p>
    <w:p>
      <w:pPr>
        <w:spacing w:line="300" w:lineRule="auto"/>
        <w:jc w:val="center"/>
        <w:rPr>
          <w:rFonts w:ascii="仿宋" w:hAnsi="仿宋" w:eastAsia="仿宋"/>
          <w:b/>
          <w:sz w:val="28"/>
          <w:szCs w:val="28"/>
          <w:highlight w:val="none"/>
        </w:rPr>
      </w:pPr>
      <w:r>
        <w:rPr>
          <w:rFonts w:hint="eastAsia" w:ascii="仿宋" w:hAnsi="仿宋" w:eastAsia="仿宋"/>
          <w:sz w:val="24"/>
          <w:highlight w:val="none"/>
        </w:rPr>
        <w:t xml:space="preserve"> </w:t>
      </w:r>
      <w:r>
        <w:rPr>
          <w:rFonts w:hint="eastAsia" w:ascii="仿宋" w:hAnsi="仿宋" w:eastAsia="仿宋"/>
          <w:b/>
          <w:sz w:val="28"/>
          <w:szCs w:val="28"/>
          <w:highlight w:val="none"/>
        </w:rPr>
        <w:t>黄埔区水务工程建设项目廉政责任书</w:t>
      </w:r>
    </w:p>
    <w:p>
      <w:pPr>
        <w:spacing w:line="300" w:lineRule="auto"/>
        <w:rPr>
          <w:rFonts w:ascii="仿宋" w:hAnsi="仿宋" w:eastAsia="仿宋"/>
          <w:sz w:val="24"/>
          <w:highlight w:val="none"/>
        </w:rPr>
      </w:pPr>
    </w:p>
    <w:p>
      <w:pPr>
        <w:spacing w:line="300" w:lineRule="auto"/>
        <w:rPr>
          <w:rFonts w:ascii="仿宋" w:hAnsi="仿宋" w:eastAsia="仿宋" w:cs="Times New Roman"/>
          <w:sz w:val="24"/>
          <w:highlight w:val="none"/>
          <w:u w:val="single"/>
        </w:rPr>
      </w:pPr>
      <w:r>
        <w:rPr>
          <w:rFonts w:hint="eastAsia" w:ascii="仿宋" w:hAnsi="仿宋" w:eastAsia="仿宋"/>
          <w:sz w:val="24"/>
          <w:highlight w:val="none"/>
        </w:rPr>
        <w:t>工程项目名称：</w:t>
      </w:r>
      <w:r>
        <w:rPr>
          <w:rFonts w:hint="eastAsia" w:ascii="仿宋" w:hAnsi="仿宋" w:eastAsia="仿宋" w:cs="Times New Roman"/>
          <w:sz w:val="24"/>
          <w:highlight w:val="none"/>
          <w:u w:val="single"/>
        </w:rPr>
        <w:t>黄埔区</w:t>
      </w:r>
      <w:r>
        <w:rPr>
          <w:rFonts w:hint="eastAsia" w:ascii="仿宋" w:hAnsi="仿宋" w:eastAsia="仿宋" w:cs="Times New Roman"/>
          <w:sz w:val="24"/>
          <w:highlight w:val="none"/>
          <w:u w:val="single"/>
          <w:lang w:val="en-US" w:eastAsia="zh-CN"/>
        </w:rPr>
        <w:t>2023</w:t>
      </w:r>
      <w:r>
        <w:rPr>
          <w:rFonts w:hint="eastAsia" w:ascii="仿宋" w:hAnsi="仿宋" w:eastAsia="仿宋" w:cs="Times New Roman"/>
          <w:sz w:val="24"/>
          <w:highlight w:val="none"/>
          <w:u w:val="single"/>
        </w:rPr>
        <w:t>年</w:t>
      </w:r>
      <w:r>
        <w:rPr>
          <w:rFonts w:hint="eastAsia" w:ascii="仿宋" w:hAnsi="仿宋" w:eastAsia="仿宋" w:cs="Times New Roman"/>
          <w:sz w:val="24"/>
          <w:highlight w:val="none"/>
          <w:u w:val="single"/>
          <w:lang w:eastAsia="zh-CN"/>
        </w:rPr>
        <w:t>至</w:t>
      </w:r>
      <w:r>
        <w:rPr>
          <w:rFonts w:hint="eastAsia" w:ascii="仿宋" w:hAnsi="仿宋" w:eastAsia="仿宋" w:cs="Times New Roman"/>
          <w:sz w:val="24"/>
          <w:highlight w:val="none"/>
          <w:u w:val="single"/>
          <w:lang w:val="en-US" w:eastAsia="zh-CN"/>
        </w:rPr>
        <w:t>2024年</w:t>
      </w:r>
      <w:r>
        <w:rPr>
          <w:rFonts w:hint="eastAsia" w:ascii="仿宋" w:hAnsi="仿宋" w:eastAsia="仿宋" w:cs="Times New Roman"/>
          <w:sz w:val="24"/>
          <w:highlight w:val="none"/>
          <w:u w:val="single"/>
        </w:rPr>
        <w:t xml:space="preserve">水利设施维修改造工程施工Ⅰ标 </w:t>
      </w:r>
    </w:p>
    <w:p>
      <w:pPr>
        <w:spacing w:line="300" w:lineRule="auto"/>
        <w:rPr>
          <w:rFonts w:ascii="仿宋" w:hAnsi="仿宋" w:eastAsia="仿宋"/>
          <w:sz w:val="24"/>
          <w:highlight w:val="none"/>
        </w:rPr>
      </w:pPr>
      <w:r>
        <w:rPr>
          <w:rFonts w:hint="eastAsia" w:ascii="仿宋" w:hAnsi="仿宋" w:eastAsia="仿宋"/>
          <w:sz w:val="24"/>
          <w:highlight w:val="none"/>
        </w:rPr>
        <w:t>工程项目地址：</w:t>
      </w:r>
      <w:r>
        <w:rPr>
          <w:rFonts w:hint="eastAsia" w:ascii="仿宋" w:hAnsi="仿宋" w:eastAsia="仿宋"/>
          <w:sz w:val="24"/>
          <w:highlight w:val="none"/>
          <w:u w:val="single"/>
          <w:lang w:eastAsia="zh-CN"/>
        </w:rPr>
        <w:t>广州市</w:t>
      </w:r>
      <w:r>
        <w:rPr>
          <w:rFonts w:ascii="仿宋" w:hAnsi="仿宋" w:eastAsia="仿宋"/>
          <w:sz w:val="24"/>
          <w:highlight w:val="none"/>
          <w:u w:val="single"/>
        </w:rPr>
        <w:t>黄埔区</w:t>
      </w:r>
      <w:r>
        <w:rPr>
          <w:rFonts w:hint="eastAsia" w:ascii="仿宋" w:hAnsi="仿宋" w:eastAsia="仿宋"/>
          <w:sz w:val="24"/>
          <w:highlight w:val="none"/>
          <w:u w:val="single"/>
        </w:rPr>
        <w:t xml:space="preserve"> </w:t>
      </w:r>
    </w:p>
    <w:p>
      <w:pPr>
        <w:spacing w:line="300" w:lineRule="auto"/>
        <w:rPr>
          <w:rFonts w:ascii="仿宋" w:hAnsi="仿宋" w:eastAsia="仿宋"/>
          <w:sz w:val="24"/>
          <w:highlight w:val="none"/>
        </w:rPr>
      </w:pPr>
      <w:r>
        <w:rPr>
          <w:rFonts w:hint="eastAsia" w:ascii="仿宋" w:hAnsi="仿宋" w:eastAsia="仿宋"/>
          <w:sz w:val="24"/>
          <w:highlight w:val="none"/>
        </w:rPr>
        <w:t>建</w:t>
      </w:r>
      <w:r>
        <w:rPr>
          <w:rFonts w:ascii="仿宋" w:hAnsi="仿宋" w:eastAsia="仿宋"/>
          <w:sz w:val="24"/>
          <w:highlight w:val="none"/>
        </w:rPr>
        <w:t xml:space="preserve"> </w:t>
      </w:r>
      <w:r>
        <w:rPr>
          <w:rFonts w:hint="eastAsia" w:ascii="仿宋" w:hAnsi="仿宋" w:eastAsia="仿宋"/>
          <w:sz w:val="24"/>
          <w:highlight w:val="none"/>
        </w:rPr>
        <w:t>设</w:t>
      </w:r>
      <w:r>
        <w:rPr>
          <w:rFonts w:ascii="仿宋" w:hAnsi="仿宋" w:eastAsia="仿宋"/>
          <w:sz w:val="24"/>
          <w:highlight w:val="none"/>
        </w:rPr>
        <w:t xml:space="preserve"> </w:t>
      </w:r>
      <w:r>
        <w:rPr>
          <w:rFonts w:hint="eastAsia" w:ascii="仿宋" w:hAnsi="仿宋" w:eastAsia="仿宋"/>
          <w:sz w:val="24"/>
          <w:highlight w:val="none"/>
        </w:rPr>
        <w:t>单</w:t>
      </w:r>
      <w:r>
        <w:rPr>
          <w:rFonts w:ascii="仿宋" w:hAnsi="仿宋" w:eastAsia="仿宋"/>
          <w:sz w:val="24"/>
          <w:highlight w:val="none"/>
        </w:rPr>
        <w:t xml:space="preserve"> </w:t>
      </w:r>
      <w:r>
        <w:rPr>
          <w:rFonts w:hint="eastAsia" w:ascii="仿宋" w:hAnsi="仿宋" w:eastAsia="仿宋"/>
          <w:sz w:val="24"/>
          <w:highlight w:val="none"/>
        </w:rPr>
        <w:t>位</w:t>
      </w:r>
      <w:r>
        <w:rPr>
          <w:rFonts w:ascii="仿宋" w:hAnsi="仿宋" w:eastAsia="仿宋"/>
          <w:sz w:val="24"/>
          <w:highlight w:val="none"/>
        </w:rPr>
        <w:t xml:space="preserve"> </w:t>
      </w:r>
      <w:r>
        <w:rPr>
          <w:rFonts w:hint="eastAsia" w:ascii="仿宋" w:hAnsi="仿宋" w:eastAsia="仿宋"/>
          <w:sz w:val="24"/>
          <w:highlight w:val="none"/>
        </w:rPr>
        <w:t>(甲方)：</w:t>
      </w:r>
      <w:r>
        <w:rPr>
          <w:rFonts w:hint="eastAsia" w:ascii="仿宋" w:hAnsi="仿宋" w:eastAsia="仿宋"/>
          <w:sz w:val="24"/>
          <w:highlight w:val="none"/>
          <w:u w:val="single"/>
        </w:rPr>
        <w:t xml:space="preserve">广州市黄埔区水务设施管理所  </w:t>
      </w:r>
    </w:p>
    <w:p>
      <w:pPr>
        <w:spacing w:line="300" w:lineRule="auto"/>
        <w:rPr>
          <w:rFonts w:ascii="仿宋" w:hAnsi="仿宋" w:eastAsia="仿宋"/>
          <w:sz w:val="24"/>
          <w:highlight w:val="none"/>
        </w:rPr>
      </w:pPr>
      <w:r>
        <w:rPr>
          <w:rFonts w:hint="eastAsia" w:ascii="仿宋" w:hAnsi="仿宋" w:eastAsia="仿宋"/>
          <w:sz w:val="24"/>
          <w:highlight w:val="none"/>
        </w:rPr>
        <w:t>施 工</w:t>
      </w:r>
      <w:r>
        <w:rPr>
          <w:rFonts w:ascii="仿宋" w:hAnsi="仿宋" w:eastAsia="仿宋"/>
          <w:sz w:val="24"/>
          <w:highlight w:val="none"/>
        </w:rPr>
        <w:t xml:space="preserve"> </w:t>
      </w:r>
      <w:r>
        <w:rPr>
          <w:rFonts w:hint="eastAsia" w:ascii="仿宋" w:hAnsi="仿宋" w:eastAsia="仿宋"/>
          <w:sz w:val="24"/>
          <w:highlight w:val="none"/>
        </w:rPr>
        <w:t>单</w:t>
      </w:r>
      <w:r>
        <w:rPr>
          <w:rFonts w:ascii="仿宋" w:hAnsi="仿宋" w:eastAsia="仿宋"/>
          <w:sz w:val="24"/>
          <w:highlight w:val="none"/>
        </w:rPr>
        <w:t xml:space="preserve"> </w:t>
      </w:r>
      <w:r>
        <w:rPr>
          <w:rFonts w:hint="eastAsia" w:ascii="仿宋" w:hAnsi="仿宋" w:eastAsia="仿宋"/>
          <w:sz w:val="24"/>
          <w:highlight w:val="none"/>
        </w:rPr>
        <w:t>位</w:t>
      </w:r>
      <w:r>
        <w:rPr>
          <w:rFonts w:ascii="仿宋" w:hAnsi="仿宋" w:eastAsia="仿宋"/>
          <w:sz w:val="24"/>
          <w:highlight w:val="none"/>
        </w:rPr>
        <w:t xml:space="preserve"> </w:t>
      </w:r>
      <w:r>
        <w:rPr>
          <w:rFonts w:hint="eastAsia" w:ascii="仿宋" w:hAnsi="仿宋" w:eastAsia="仿宋"/>
          <w:sz w:val="24"/>
          <w:highlight w:val="none"/>
        </w:rPr>
        <w:t>(乙方)：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sz w:val="24"/>
          <w:highlight w:val="none"/>
          <w:u w:val="single"/>
        </w:rPr>
        <w:t xml:space="preserve"> </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第一条  甲乙双方的责任</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(一)应严格遵守国家关于市场准入、项目招标投标、工程建设、施工安装和市场活动等有关法律、法规，相关政策，以及廉政建设的各项规定。</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(二)严格执行建设工程项目承发包合同文件，自觉按合同办事。</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(三)业务活动必须坚持公开、公平、公正、诚信、透明的原则(除法律法规另有规定者外)，不得为获取不正当的利益，损害国家、集体和对方利益，不得违反工程建设管理、施工安装的规章制度。</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(四)发现对方在业务活动中有违规、违纪、违法行为的，应及时提醒对方，情节严重的，应向其上级主管部门或纪检监察、司法等有关机关举报。</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第二条  甲方的责任</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甲方的领导和从事该建设工程项目的工作人员，在工程建设的事前、事中、事后应遵守以下规定：</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（一）不准向乙方和相关单位索要或接受回扣、红包、礼金、有价证券、贵重物品、好处费和感谢费等。不准要求在乙方和相关单位报销任何应由甲方或个人支付的费用。</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（二）不准要求、暗示或接受乙方和相关单位为个人装修住房、婚丧嫁娶、配偶子女的工作安排以及出国（境）、旅游等提供方便。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（三）不准参加有可能影响公正执行公务的乙方和相关单位的宴请、健身、娱乐等活动。</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（四）不准向乙方和相关单位介绍或为配偶、子女、亲属参与同甲方工程项目合同有关的建设等活动。</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（五）按时完成项目建设任务，全面真实地汇报检查结果，不隐瞒项目跟进中发现的各类违规问题，对重大违规问题及时向领导汇报。不擅自向服务单位允诺检查处理意见。</w:t>
      </w:r>
    </w:p>
    <w:p>
      <w:pPr>
        <w:widowControl w:val="0"/>
        <w:adjustRightInd w:val="0"/>
        <w:spacing w:line="420" w:lineRule="atLeast"/>
        <w:jc w:val="left"/>
        <w:textAlignment w:val="baseline"/>
        <w:rPr>
          <w:rFonts w:ascii="Times New Roman" w:hAnsi="Times New Roman" w:eastAsia="宋体" w:cs="Times New Roman"/>
          <w:kern w:val="0"/>
          <w:sz w:val="21"/>
          <w:szCs w:val="20"/>
          <w:highlight w:val="none"/>
          <w:lang w:val="en-US" w:eastAsia="zh-CN" w:bidi="ar-SA"/>
        </w:rPr>
      </w:pP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第三条  乙方的责任</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应与甲方保持正常的业务交往．按照有关法律法规和程序开展业务工作，严格执行工程建设的有关方针、政策，尤其是有关建筑施工安装的强制性标准和规范，并遵守以下规定：</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（一）不准以任何理由向甲方及其工作人员索要、接受或赠送红包、礼金、有价证券、贵重物品、好处费和感谢费等。</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（二）不准以任何理由为甲方和相关单位报销应由对方或个人支付的费用。</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（三）不准接受或暗示为甲方、相关单位或个人装修住房、婚丧嫁娶、配偶子女的工作安排以及出国（境）、旅游等提供方便。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（四）不准违反合同约定而使用甲方、相关单位提供的通信、交通工具和高档办公用品。</w:t>
      </w:r>
    </w:p>
    <w:p>
      <w:pPr>
        <w:adjustRightInd w:val="0"/>
        <w:snapToGrid w:val="0"/>
        <w:spacing w:line="44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（五）不准以任何理由为甲方、相关单位或个人组织有可能影响公正执行公务的宴请、健身、娱乐等活动。</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第四条  违约责任</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第五条  本责任书作为工程施工合同的附件，与工程施工合同具有同等法律效力。经双方签署后立即生效。</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第六条  本责任书的有效期为双方签署之日起至该工程项目竣工验收合格时止。</w:t>
      </w:r>
    </w:p>
    <w:p>
      <w:pPr>
        <w:spacing w:line="300" w:lineRule="auto"/>
        <w:ind w:firstLine="480" w:firstLineChars="200"/>
        <w:rPr>
          <w:rFonts w:ascii="仿宋" w:hAnsi="仿宋" w:eastAsia="仿宋"/>
          <w:sz w:val="24"/>
          <w:highlight w:val="none"/>
        </w:rPr>
      </w:pP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甲方单位 (盖章) ：广州市黄埔区水务设施管理所</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法定代表人</w:t>
      </w:r>
    </w:p>
    <w:p>
      <w:pPr>
        <w:spacing w:line="320" w:lineRule="exact"/>
        <w:ind w:firstLine="960" w:firstLineChars="400"/>
        <w:rPr>
          <w:rFonts w:ascii="仿宋" w:hAnsi="仿宋" w:eastAsia="仿宋"/>
          <w:sz w:val="24"/>
          <w:highlight w:val="none"/>
        </w:rPr>
      </w:pPr>
      <w:r>
        <w:rPr>
          <w:rFonts w:hint="eastAsia" w:ascii="仿宋" w:hAnsi="仿宋" w:eastAsia="仿宋"/>
          <w:sz w:val="24"/>
          <w:highlight w:val="none"/>
        </w:rPr>
        <w:t>或</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委托代理人： </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地      址：广州市黄埔区瑞祥路1号  </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电      话：020-82287753                      </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年</w:t>
      </w:r>
      <w:r>
        <w:rPr>
          <w:rFonts w:ascii="仿宋" w:hAnsi="仿宋" w:eastAsia="仿宋"/>
          <w:sz w:val="24"/>
          <w:highlight w:val="none"/>
        </w:rPr>
        <w:t xml:space="preserve">    </w:t>
      </w:r>
      <w:r>
        <w:rPr>
          <w:rFonts w:hint="eastAsia" w:ascii="仿宋" w:hAnsi="仿宋" w:eastAsia="仿宋"/>
          <w:sz w:val="24"/>
          <w:highlight w:val="none"/>
        </w:rPr>
        <w:t>月</w:t>
      </w:r>
      <w:r>
        <w:rPr>
          <w:rFonts w:ascii="仿宋" w:hAnsi="仿宋" w:eastAsia="仿宋"/>
          <w:sz w:val="24"/>
          <w:highlight w:val="none"/>
        </w:rPr>
        <w:t xml:space="preserve">    </w:t>
      </w:r>
      <w:r>
        <w:rPr>
          <w:rFonts w:hint="eastAsia" w:ascii="仿宋" w:hAnsi="仿宋" w:eastAsia="仿宋"/>
          <w:sz w:val="24"/>
          <w:highlight w:val="none"/>
        </w:rPr>
        <w:t>日</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甲方监督单位：</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代  表  人：</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电      话：</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年</w:t>
      </w:r>
      <w:r>
        <w:rPr>
          <w:rFonts w:ascii="仿宋" w:hAnsi="仿宋" w:eastAsia="仿宋"/>
          <w:sz w:val="24"/>
          <w:highlight w:val="none"/>
        </w:rPr>
        <w:t xml:space="preserve">    </w:t>
      </w:r>
      <w:r>
        <w:rPr>
          <w:rFonts w:hint="eastAsia" w:ascii="仿宋" w:hAnsi="仿宋" w:eastAsia="仿宋"/>
          <w:sz w:val="24"/>
          <w:highlight w:val="none"/>
        </w:rPr>
        <w:t>月</w:t>
      </w:r>
      <w:r>
        <w:rPr>
          <w:rFonts w:ascii="仿宋" w:hAnsi="仿宋" w:eastAsia="仿宋"/>
          <w:sz w:val="24"/>
          <w:highlight w:val="none"/>
        </w:rPr>
        <w:t xml:space="preserve">    </w:t>
      </w:r>
      <w:r>
        <w:rPr>
          <w:rFonts w:hint="eastAsia" w:ascii="仿宋" w:hAnsi="仿宋" w:eastAsia="仿宋"/>
          <w:sz w:val="24"/>
          <w:highlight w:val="none"/>
        </w:rPr>
        <w:t>日</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乙方单位 (盖章) ：</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法定代表人</w:t>
      </w:r>
    </w:p>
    <w:p>
      <w:pPr>
        <w:spacing w:line="320" w:lineRule="exact"/>
        <w:ind w:firstLine="960" w:firstLineChars="400"/>
        <w:rPr>
          <w:rFonts w:ascii="仿宋" w:hAnsi="仿宋" w:eastAsia="仿宋"/>
          <w:sz w:val="24"/>
          <w:highlight w:val="none"/>
        </w:rPr>
      </w:pPr>
      <w:r>
        <w:rPr>
          <w:rFonts w:hint="eastAsia" w:ascii="仿宋" w:hAnsi="仿宋" w:eastAsia="仿宋"/>
          <w:sz w:val="24"/>
          <w:highlight w:val="none"/>
        </w:rPr>
        <w:t>或</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委托代理人：</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地      址：  </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电      话：                                       年 </w:t>
      </w:r>
      <w:r>
        <w:rPr>
          <w:rFonts w:ascii="仿宋" w:hAnsi="仿宋" w:eastAsia="仿宋"/>
          <w:sz w:val="24"/>
          <w:highlight w:val="none"/>
        </w:rPr>
        <w:t xml:space="preserve"> </w:t>
      </w:r>
      <w:r>
        <w:rPr>
          <w:rFonts w:hint="eastAsia" w:ascii="仿宋" w:hAnsi="仿宋" w:eastAsia="仿宋"/>
          <w:sz w:val="24"/>
          <w:highlight w:val="none"/>
        </w:rPr>
        <w:t xml:space="preserve">  月 </w:t>
      </w:r>
      <w:r>
        <w:rPr>
          <w:rFonts w:ascii="仿宋" w:hAnsi="仿宋" w:eastAsia="仿宋"/>
          <w:sz w:val="24"/>
          <w:highlight w:val="none"/>
        </w:rPr>
        <w:t xml:space="preserve">  </w:t>
      </w:r>
      <w:r>
        <w:rPr>
          <w:rFonts w:hint="eastAsia" w:ascii="仿宋" w:hAnsi="仿宋" w:eastAsia="仿宋"/>
          <w:sz w:val="24"/>
          <w:highlight w:val="none"/>
        </w:rPr>
        <w:t xml:space="preserve"> 日</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乙方监督单位(盖章) ：/</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代  表  人：</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电      话：</w:t>
      </w:r>
    </w:p>
    <w:p>
      <w:pPr>
        <w:spacing w:line="320" w:lineRule="exact"/>
        <w:ind w:firstLine="480" w:firstLineChars="200"/>
        <w:rPr>
          <w:rFonts w:ascii="仿宋" w:hAnsi="仿宋" w:eastAsia="仿宋"/>
          <w:sz w:val="24"/>
          <w:highlight w:val="none"/>
        </w:rPr>
      </w:pP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 xml:space="preserve"> 年</w:t>
      </w:r>
      <w:r>
        <w:rPr>
          <w:rFonts w:ascii="仿宋" w:hAnsi="仿宋" w:eastAsia="仿宋"/>
          <w:sz w:val="24"/>
          <w:highlight w:val="none"/>
        </w:rPr>
        <w:t xml:space="preserve">    </w:t>
      </w:r>
      <w:r>
        <w:rPr>
          <w:rFonts w:hint="eastAsia" w:ascii="仿宋" w:hAnsi="仿宋" w:eastAsia="仿宋"/>
          <w:sz w:val="24"/>
          <w:highlight w:val="none"/>
        </w:rPr>
        <w:t>月</w:t>
      </w:r>
      <w:r>
        <w:rPr>
          <w:rFonts w:ascii="仿宋" w:hAnsi="仿宋" w:eastAsia="仿宋"/>
          <w:sz w:val="24"/>
          <w:highlight w:val="none"/>
        </w:rPr>
        <w:t xml:space="preserve">    </w:t>
      </w:r>
      <w:r>
        <w:rPr>
          <w:rFonts w:hint="eastAsia" w:ascii="仿宋" w:hAnsi="仿宋" w:eastAsia="仿宋"/>
          <w:sz w:val="24"/>
          <w:highlight w:val="none"/>
        </w:rPr>
        <w:t>日</w:t>
      </w: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spacing w:line="300" w:lineRule="auto"/>
        <w:rPr>
          <w:rFonts w:ascii="仿宋" w:hAnsi="仿宋" w:eastAsia="仿宋"/>
          <w:sz w:val="24"/>
          <w:highlight w:val="none"/>
        </w:rPr>
      </w:pPr>
    </w:p>
    <w:p>
      <w:pPr>
        <w:widowControl w:val="0"/>
        <w:adjustRightInd w:val="0"/>
        <w:spacing w:line="420" w:lineRule="atLeast"/>
        <w:jc w:val="left"/>
        <w:textAlignment w:val="baseline"/>
        <w:rPr>
          <w:rFonts w:ascii="仿宋" w:hAnsi="仿宋" w:eastAsia="仿宋" w:cs="Times New Roman"/>
          <w:kern w:val="0"/>
          <w:sz w:val="24"/>
          <w:szCs w:val="20"/>
          <w:highlight w:val="none"/>
          <w:lang w:val="en-US" w:eastAsia="zh-CN" w:bidi="ar-SA"/>
        </w:rPr>
      </w:pPr>
    </w:p>
    <w:p>
      <w:pPr>
        <w:spacing w:line="300" w:lineRule="auto"/>
        <w:outlineLvl w:val="0"/>
        <w:rPr>
          <w:rFonts w:ascii="仿宋" w:hAnsi="仿宋" w:eastAsia="仿宋"/>
          <w:sz w:val="24"/>
          <w:highlight w:val="none"/>
        </w:rPr>
      </w:pPr>
      <w:bookmarkStart w:id="167" w:name="_Toc20250"/>
    </w:p>
    <w:p>
      <w:pPr>
        <w:spacing w:line="300" w:lineRule="auto"/>
        <w:outlineLvl w:val="0"/>
        <w:rPr>
          <w:rFonts w:ascii="仿宋" w:hAnsi="仿宋" w:eastAsia="仿宋"/>
          <w:sz w:val="24"/>
          <w:highlight w:val="none"/>
        </w:rPr>
      </w:pPr>
    </w:p>
    <w:p>
      <w:pPr>
        <w:spacing w:line="300" w:lineRule="auto"/>
        <w:outlineLvl w:val="0"/>
        <w:rPr>
          <w:rFonts w:ascii="仿宋" w:hAnsi="仿宋" w:eastAsia="仿宋"/>
          <w:sz w:val="24"/>
          <w:highlight w:val="none"/>
        </w:rPr>
      </w:pPr>
    </w:p>
    <w:p>
      <w:pPr>
        <w:spacing w:line="300" w:lineRule="auto"/>
        <w:outlineLvl w:val="0"/>
        <w:rPr>
          <w:rFonts w:ascii="仿宋" w:hAnsi="仿宋" w:eastAsia="仿宋"/>
          <w:sz w:val="24"/>
          <w:highlight w:val="none"/>
        </w:rPr>
      </w:pPr>
    </w:p>
    <w:p>
      <w:pPr>
        <w:spacing w:line="300" w:lineRule="auto"/>
        <w:outlineLvl w:val="0"/>
        <w:rPr>
          <w:rFonts w:ascii="仿宋" w:hAnsi="仿宋" w:eastAsia="仿宋"/>
          <w:sz w:val="24"/>
          <w:highlight w:val="none"/>
        </w:rPr>
      </w:pPr>
    </w:p>
    <w:p>
      <w:pPr>
        <w:spacing w:line="300" w:lineRule="auto"/>
        <w:outlineLvl w:val="0"/>
        <w:rPr>
          <w:rFonts w:ascii="仿宋" w:hAnsi="仿宋" w:eastAsia="仿宋"/>
          <w:sz w:val="24"/>
          <w:highlight w:val="none"/>
        </w:rPr>
      </w:pPr>
    </w:p>
    <w:p>
      <w:pPr>
        <w:spacing w:line="300" w:lineRule="auto"/>
        <w:outlineLvl w:val="0"/>
        <w:rPr>
          <w:rFonts w:ascii="仿宋" w:hAnsi="仿宋" w:eastAsia="仿宋"/>
          <w:sz w:val="24"/>
          <w:highlight w:val="none"/>
        </w:rPr>
      </w:pPr>
    </w:p>
    <w:p>
      <w:pPr>
        <w:spacing w:line="300" w:lineRule="auto"/>
        <w:outlineLvl w:val="0"/>
        <w:rPr>
          <w:rFonts w:ascii="仿宋" w:hAnsi="仿宋" w:eastAsia="仿宋"/>
          <w:sz w:val="24"/>
          <w:highlight w:val="none"/>
        </w:rPr>
      </w:pPr>
      <w:bookmarkStart w:id="168" w:name="_Toc17928"/>
      <w:r>
        <w:rPr>
          <w:rFonts w:hint="eastAsia" w:ascii="仿宋" w:hAnsi="仿宋" w:eastAsia="仿宋"/>
          <w:sz w:val="24"/>
          <w:highlight w:val="none"/>
        </w:rPr>
        <w:t>附件2</w:t>
      </w:r>
      <w:bookmarkEnd w:id="167"/>
      <w:bookmarkEnd w:id="168"/>
    </w:p>
    <w:p>
      <w:pPr>
        <w:spacing w:line="300" w:lineRule="auto"/>
        <w:jc w:val="center"/>
        <w:outlineLvl w:val="0"/>
        <w:rPr>
          <w:rFonts w:ascii="仿宋" w:hAnsi="仿宋" w:eastAsia="仿宋"/>
          <w:b/>
          <w:sz w:val="28"/>
          <w:szCs w:val="28"/>
          <w:highlight w:val="none"/>
        </w:rPr>
      </w:pPr>
      <w:bookmarkStart w:id="169" w:name="_Toc14659"/>
      <w:bookmarkStart w:id="170" w:name="_Toc10697"/>
      <w:r>
        <w:rPr>
          <w:rFonts w:hint="eastAsia" w:ascii="仿宋" w:hAnsi="仿宋" w:eastAsia="仿宋"/>
          <w:b/>
          <w:sz w:val="28"/>
          <w:szCs w:val="28"/>
          <w:highlight w:val="none"/>
        </w:rPr>
        <w:t>黄埔区水务工程安全生产责任书</w:t>
      </w:r>
      <w:bookmarkEnd w:id="169"/>
      <w:bookmarkEnd w:id="170"/>
    </w:p>
    <w:p>
      <w:pPr>
        <w:spacing w:line="300" w:lineRule="auto"/>
        <w:ind w:firstLine="480" w:firstLineChars="200"/>
        <w:rPr>
          <w:rFonts w:ascii="仿宋" w:hAnsi="仿宋" w:eastAsia="仿宋"/>
          <w:sz w:val="24"/>
          <w:highlight w:val="none"/>
        </w:rPr>
      </w:pPr>
    </w:p>
    <w:p>
      <w:pPr>
        <w:spacing w:line="300" w:lineRule="auto"/>
        <w:rPr>
          <w:rFonts w:ascii="仿宋" w:hAnsi="仿宋" w:eastAsia="仿宋" w:cs="Times New Roman"/>
          <w:sz w:val="24"/>
          <w:highlight w:val="none"/>
          <w:u w:val="single"/>
        </w:rPr>
      </w:pPr>
      <w:r>
        <w:rPr>
          <w:rFonts w:hint="eastAsia" w:ascii="仿宋" w:hAnsi="仿宋" w:eastAsia="仿宋"/>
          <w:sz w:val="24"/>
          <w:highlight w:val="none"/>
        </w:rPr>
        <w:t>工程项目名称：</w:t>
      </w:r>
      <w:r>
        <w:rPr>
          <w:rFonts w:hint="eastAsia" w:ascii="仿宋" w:hAnsi="仿宋" w:eastAsia="仿宋" w:cs="Times New Roman"/>
          <w:sz w:val="24"/>
          <w:highlight w:val="none"/>
          <w:u w:val="single"/>
        </w:rPr>
        <w:t>黄埔区</w:t>
      </w:r>
      <w:r>
        <w:rPr>
          <w:rFonts w:hint="eastAsia" w:ascii="仿宋" w:hAnsi="仿宋" w:eastAsia="仿宋" w:cs="Times New Roman"/>
          <w:sz w:val="24"/>
          <w:highlight w:val="none"/>
          <w:u w:val="single"/>
          <w:lang w:val="en-US" w:eastAsia="zh-CN"/>
        </w:rPr>
        <w:t>2023</w:t>
      </w:r>
      <w:r>
        <w:rPr>
          <w:rFonts w:hint="eastAsia" w:ascii="仿宋" w:hAnsi="仿宋" w:eastAsia="仿宋" w:cs="Times New Roman"/>
          <w:sz w:val="24"/>
          <w:highlight w:val="none"/>
          <w:u w:val="single"/>
        </w:rPr>
        <w:t>年</w:t>
      </w:r>
      <w:r>
        <w:rPr>
          <w:rFonts w:hint="eastAsia" w:ascii="仿宋" w:hAnsi="仿宋" w:eastAsia="仿宋" w:cs="Times New Roman"/>
          <w:sz w:val="24"/>
          <w:highlight w:val="none"/>
          <w:u w:val="single"/>
          <w:lang w:eastAsia="zh-CN"/>
        </w:rPr>
        <w:t>至</w:t>
      </w:r>
      <w:r>
        <w:rPr>
          <w:rFonts w:hint="eastAsia" w:ascii="仿宋" w:hAnsi="仿宋" w:eastAsia="仿宋" w:cs="Times New Roman"/>
          <w:sz w:val="24"/>
          <w:highlight w:val="none"/>
          <w:u w:val="single"/>
          <w:lang w:val="en-US" w:eastAsia="zh-CN"/>
        </w:rPr>
        <w:t>2024年</w:t>
      </w:r>
      <w:r>
        <w:rPr>
          <w:rFonts w:hint="eastAsia" w:ascii="仿宋" w:hAnsi="仿宋" w:eastAsia="仿宋" w:cs="Times New Roman"/>
          <w:sz w:val="24"/>
          <w:highlight w:val="none"/>
          <w:u w:val="single"/>
        </w:rPr>
        <w:t xml:space="preserve">水利设施维修改造工程施工Ⅰ标 </w:t>
      </w:r>
    </w:p>
    <w:p>
      <w:pPr>
        <w:spacing w:line="300" w:lineRule="auto"/>
        <w:rPr>
          <w:rFonts w:ascii="仿宋" w:hAnsi="仿宋" w:eastAsia="仿宋"/>
          <w:sz w:val="24"/>
          <w:highlight w:val="none"/>
        </w:rPr>
      </w:pPr>
      <w:r>
        <w:rPr>
          <w:rFonts w:hint="eastAsia" w:ascii="仿宋" w:hAnsi="仿宋" w:eastAsia="仿宋"/>
          <w:sz w:val="24"/>
          <w:highlight w:val="none"/>
        </w:rPr>
        <w:t>工程项目地址：</w:t>
      </w:r>
      <w:r>
        <w:rPr>
          <w:rFonts w:hint="eastAsia" w:ascii="仿宋" w:hAnsi="仿宋" w:eastAsia="仿宋" w:cs="Times New Roman"/>
          <w:sz w:val="24"/>
          <w:highlight w:val="none"/>
          <w:u w:val="single"/>
          <w:lang w:eastAsia="zh-CN"/>
        </w:rPr>
        <w:t>广州市</w:t>
      </w:r>
      <w:r>
        <w:rPr>
          <w:rFonts w:ascii="仿宋" w:hAnsi="仿宋" w:eastAsia="仿宋" w:cs="Times New Roman"/>
          <w:sz w:val="24"/>
          <w:highlight w:val="none"/>
          <w:u w:val="single"/>
        </w:rPr>
        <w:t>黄</w:t>
      </w:r>
      <w:r>
        <w:rPr>
          <w:rFonts w:ascii="仿宋" w:hAnsi="仿宋" w:eastAsia="仿宋"/>
          <w:sz w:val="24"/>
          <w:highlight w:val="none"/>
          <w:u w:val="single"/>
        </w:rPr>
        <w:t>埔区</w:t>
      </w:r>
      <w:r>
        <w:rPr>
          <w:rFonts w:hint="eastAsia" w:ascii="仿宋" w:hAnsi="仿宋" w:eastAsia="仿宋"/>
          <w:sz w:val="24"/>
          <w:highlight w:val="none"/>
          <w:u w:val="single"/>
        </w:rPr>
        <w:t xml:space="preserve"> </w:t>
      </w:r>
    </w:p>
    <w:p>
      <w:pPr>
        <w:spacing w:line="300" w:lineRule="auto"/>
        <w:rPr>
          <w:rFonts w:ascii="仿宋" w:hAnsi="仿宋" w:eastAsia="仿宋"/>
          <w:sz w:val="24"/>
          <w:highlight w:val="none"/>
        </w:rPr>
      </w:pPr>
      <w:r>
        <w:rPr>
          <w:rFonts w:hint="eastAsia" w:ascii="仿宋" w:hAnsi="仿宋" w:eastAsia="仿宋"/>
          <w:sz w:val="24"/>
          <w:highlight w:val="none"/>
        </w:rPr>
        <w:t>建</w:t>
      </w:r>
      <w:r>
        <w:rPr>
          <w:rFonts w:ascii="仿宋" w:hAnsi="仿宋" w:eastAsia="仿宋"/>
          <w:sz w:val="24"/>
          <w:highlight w:val="none"/>
        </w:rPr>
        <w:t xml:space="preserve"> </w:t>
      </w:r>
      <w:r>
        <w:rPr>
          <w:rFonts w:hint="eastAsia" w:ascii="仿宋" w:hAnsi="仿宋" w:eastAsia="仿宋"/>
          <w:sz w:val="24"/>
          <w:highlight w:val="none"/>
        </w:rPr>
        <w:t>设</w:t>
      </w:r>
      <w:r>
        <w:rPr>
          <w:rFonts w:ascii="仿宋" w:hAnsi="仿宋" w:eastAsia="仿宋"/>
          <w:sz w:val="24"/>
          <w:highlight w:val="none"/>
        </w:rPr>
        <w:t xml:space="preserve"> </w:t>
      </w:r>
      <w:r>
        <w:rPr>
          <w:rFonts w:hint="eastAsia" w:ascii="仿宋" w:hAnsi="仿宋" w:eastAsia="仿宋"/>
          <w:sz w:val="24"/>
          <w:highlight w:val="none"/>
        </w:rPr>
        <w:t>单</w:t>
      </w:r>
      <w:r>
        <w:rPr>
          <w:rFonts w:ascii="仿宋" w:hAnsi="仿宋" w:eastAsia="仿宋"/>
          <w:sz w:val="24"/>
          <w:highlight w:val="none"/>
        </w:rPr>
        <w:t xml:space="preserve"> </w:t>
      </w:r>
      <w:r>
        <w:rPr>
          <w:rFonts w:hint="eastAsia" w:ascii="仿宋" w:hAnsi="仿宋" w:eastAsia="仿宋"/>
          <w:sz w:val="24"/>
          <w:highlight w:val="none"/>
        </w:rPr>
        <w:t>位</w:t>
      </w:r>
      <w:r>
        <w:rPr>
          <w:rFonts w:ascii="仿宋" w:hAnsi="仿宋" w:eastAsia="仿宋"/>
          <w:sz w:val="24"/>
          <w:highlight w:val="none"/>
        </w:rPr>
        <w:t xml:space="preserve"> </w:t>
      </w:r>
      <w:r>
        <w:rPr>
          <w:rFonts w:hint="eastAsia" w:ascii="仿宋" w:hAnsi="仿宋" w:eastAsia="仿宋"/>
          <w:sz w:val="24"/>
          <w:highlight w:val="none"/>
        </w:rPr>
        <w:t>(甲方)：</w:t>
      </w:r>
      <w:r>
        <w:rPr>
          <w:rFonts w:hint="eastAsia" w:ascii="仿宋" w:hAnsi="仿宋" w:eastAsia="仿宋"/>
          <w:sz w:val="24"/>
          <w:highlight w:val="none"/>
          <w:u w:val="single"/>
        </w:rPr>
        <w:t xml:space="preserve">广州市黄埔区水务设施管理所  </w:t>
      </w:r>
    </w:p>
    <w:p>
      <w:pPr>
        <w:spacing w:line="300" w:lineRule="auto"/>
        <w:rPr>
          <w:rFonts w:ascii="仿宋" w:hAnsi="仿宋" w:eastAsia="仿宋"/>
          <w:sz w:val="24"/>
          <w:highlight w:val="none"/>
        </w:rPr>
      </w:pPr>
      <w:r>
        <w:rPr>
          <w:rFonts w:hint="eastAsia" w:ascii="仿宋" w:hAnsi="仿宋" w:eastAsia="仿宋"/>
          <w:sz w:val="24"/>
          <w:highlight w:val="none"/>
        </w:rPr>
        <w:t>施 工</w:t>
      </w:r>
      <w:r>
        <w:rPr>
          <w:rFonts w:ascii="仿宋" w:hAnsi="仿宋" w:eastAsia="仿宋"/>
          <w:sz w:val="24"/>
          <w:highlight w:val="none"/>
        </w:rPr>
        <w:t xml:space="preserve"> </w:t>
      </w:r>
      <w:r>
        <w:rPr>
          <w:rFonts w:hint="eastAsia" w:ascii="仿宋" w:hAnsi="仿宋" w:eastAsia="仿宋"/>
          <w:sz w:val="24"/>
          <w:highlight w:val="none"/>
        </w:rPr>
        <w:t>单</w:t>
      </w:r>
      <w:r>
        <w:rPr>
          <w:rFonts w:ascii="仿宋" w:hAnsi="仿宋" w:eastAsia="仿宋"/>
          <w:sz w:val="24"/>
          <w:highlight w:val="none"/>
        </w:rPr>
        <w:t xml:space="preserve"> </w:t>
      </w:r>
      <w:r>
        <w:rPr>
          <w:rFonts w:hint="eastAsia" w:ascii="仿宋" w:hAnsi="仿宋" w:eastAsia="仿宋"/>
          <w:sz w:val="24"/>
          <w:highlight w:val="none"/>
        </w:rPr>
        <w:t>位</w:t>
      </w:r>
      <w:r>
        <w:rPr>
          <w:rFonts w:ascii="仿宋" w:hAnsi="仿宋" w:eastAsia="仿宋"/>
          <w:sz w:val="24"/>
          <w:highlight w:val="none"/>
        </w:rPr>
        <w:t xml:space="preserve"> </w:t>
      </w:r>
      <w:r>
        <w:rPr>
          <w:rFonts w:hint="eastAsia" w:ascii="仿宋" w:hAnsi="仿宋" w:eastAsia="仿宋"/>
          <w:sz w:val="24"/>
          <w:highlight w:val="none"/>
        </w:rPr>
        <w:t>(乙方)：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sz w:val="24"/>
          <w:highlight w:val="none"/>
          <w:u w:val="single"/>
        </w:rPr>
        <w:t xml:space="preserve"> </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为保证</w:t>
      </w:r>
      <w:r>
        <w:rPr>
          <w:rFonts w:hint="eastAsia" w:ascii="仿宋" w:hAnsi="仿宋" w:eastAsia="仿宋"/>
          <w:sz w:val="24"/>
          <w:highlight w:val="none"/>
          <w:u w:val="single"/>
        </w:rPr>
        <w:t xml:space="preserve">   </w:t>
      </w:r>
      <w:r>
        <w:rPr>
          <w:rFonts w:hint="eastAsia" w:ascii="仿宋" w:hAnsi="仿宋" w:eastAsia="仿宋" w:cs="Times New Roman"/>
          <w:sz w:val="24"/>
          <w:highlight w:val="none"/>
          <w:u w:val="single"/>
        </w:rPr>
        <w:t>黄埔区</w:t>
      </w:r>
      <w:r>
        <w:rPr>
          <w:rFonts w:hint="eastAsia" w:ascii="仿宋" w:hAnsi="仿宋" w:eastAsia="仿宋" w:cs="Times New Roman"/>
          <w:sz w:val="24"/>
          <w:highlight w:val="none"/>
          <w:u w:val="single"/>
          <w:lang w:val="en-US" w:eastAsia="zh-CN"/>
        </w:rPr>
        <w:t>2023</w:t>
      </w:r>
      <w:r>
        <w:rPr>
          <w:rFonts w:hint="eastAsia" w:ascii="仿宋" w:hAnsi="仿宋" w:eastAsia="仿宋" w:cs="Times New Roman"/>
          <w:sz w:val="24"/>
          <w:highlight w:val="none"/>
          <w:u w:val="single"/>
        </w:rPr>
        <w:t>年</w:t>
      </w:r>
      <w:r>
        <w:rPr>
          <w:rFonts w:hint="eastAsia" w:ascii="仿宋" w:hAnsi="仿宋" w:eastAsia="仿宋" w:cs="Times New Roman"/>
          <w:sz w:val="24"/>
          <w:highlight w:val="none"/>
          <w:u w:val="single"/>
          <w:lang w:eastAsia="zh-CN"/>
        </w:rPr>
        <w:t>至</w:t>
      </w:r>
      <w:r>
        <w:rPr>
          <w:rFonts w:hint="eastAsia" w:ascii="仿宋" w:hAnsi="仿宋" w:eastAsia="仿宋" w:cs="Times New Roman"/>
          <w:sz w:val="24"/>
          <w:highlight w:val="none"/>
          <w:u w:val="single"/>
          <w:lang w:val="en-US" w:eastAsia="zh-CN"/>
        </w:rPr>
        <w:t>2024年</w:t>
      </w:r>
      <w:r>
        <w:rPr>
          <w:rFonts w:hint="eastAsia" w:ascii="仿宋" w:hAnsi="仿宋" w:eastAsia="仿宋" w:cs="Times New Roman"/>
          <w:sz w:val="24"/>
          <w:highlight w:val="none"/>
          <w:u w:val="single"/>
        </w:rPr>
        <w:t>水利设施维修改造工程施工Ⅰ标</w:t>
      </w:r>
      <w:r>
        <w:rPr>
          <w:rFonts w:hint="eastAsia" w:ascii="仿宋" w:hAnsi="仿宋" w:eastAsia="仿宋"/>
          <w:sz w:val="24"/>
          <w:highlight w:val="none"/>
          <w:u w:val="single"/>
        </w:rPr>
        <w:t xml:space="preserve">  </w:t>
      </w:r>
      <w:r>
        <w:rPr>
          <w:rFonts w:hint="eastAsia" w:ascii="仿宋" w:hAnsi="仿宋" w:eastAsia="仿宋"/>
          <w:sz w:val="24"/>
          <w:highlight w:val="none"/>
        </w:rPr>
        <w:t>工程施工企业依法进行安全生产活动，规范工程施工企业安全行为，遏制重、特大建筑安全生产事故、减少一般事故的发生，特制定本责任书：</w:t>
      </w:r>
    </w:p>
    <w:p>
      <w:pPr>
        <w:spacing w:line="300" w:lineRule="auto"/>
        <w:ind w:firstLine="480" w:firstLineChars="200"/>
        <w:outlineLvl w:val="0"/>
        <w:rPr>
          <w:rFonts w:ascii="仿宋" w:hAnsi="仿宋" w:eastAsia="仿宋"/>
          <w:sz w:val="24"/>
          <w:highlight w:val="none"/>
        </w:rPr>
      </w:pPr>
      <w:bookmarkStart w:id="171" w:name="_Toc2839"/>
      <w:bookmarkStart w:id="172" w:name="_Toc13693"/>
      <w:r>
        <w:rPr>
          <w:rFonts w:ascii="仿宋" w:hAnsi="仿宋" w:eastAsia="仿宋"/>
          <w:sz w:val="24"/>
          <w:highlight w:val="none"/>
        </w:rPr>
        <w:t>一、</w:t>
      </w:r>
      <w:r>
        <w:rPr>
          <w:rFonts w:hint="eastAsia" w:ascii="仿宋" w:hAnsi="仿宋" w:eastAsia="仿宋"/>
          <w:sz w:val="24"/>
          <w:highlight w:val="none"/>
        </w:rPr>
        <w:t>责任时限</w:t>
      </w:r>
      <w:bookmarkEnd w:id="171"/>
      <w:bookmarkEnd w:id="172"/>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从</w:t>
      </w:r>
      <w:r>
        <w:rPr>
          <w:rFonts w:hint="eastAsia" w:ascii="仿宋" w:hAnsi="仿宋" w:eastAsia="仿宋"/>
          <w:sz w:val="24"/>
          <w:highlight w:val="none"/>
          <w:u w:val="single"/>
        </w:rPr>
        <w:t xml:space="preserve">   </w:t>
      </w:r>
      <w:r>
        <w:rPr>
          <w:rFonts w:hint="eastAsia" w:ascii="仿宋" w:hAnsi="仿宋" w:eastAsia="仿宋" w:cs="Times New Roman"/>
          <w:sz w:val="24"/>
          <w:highlight w:val="none"/>
          <w:u w:val="single"/>
        </w:rPr>
        <w:t>黄埔区</w:t>
      </w:r>
      <w:r>
        <w:rPr>
          <w:rFonts w:hint="eastAsia" w:ascii="仿宋" w:hAnsi="仿宋" w:eastAsia="仿宋" w:cs="Times New Roman"/>
          <w:sz w:val="24"/>
          <w:highlight w:val="none"/>
          <w:u w:val="single"/>
          <w:lang w:val="en-US" w:eastAsia="zh-CN"/>
        </w:rPr>
        <w:t>2023</w:t>
      </w:r>
      <w:r>
        <w:rPr>
          <w:rFonts w:hint="eastAsia" w:ascii="仿宋" w:hAnsi="仿宋" w:eastAsia="仿宋" w:cs="Times New Roman"/>
          <w:sz w:val="24"/>
          <w:highlight w:val="none"/>
          <w:u w:val="single"/>
        </w:rPr>
        <w:t>年</w:t>
      </w:r>
      <w:r>
        <w:rPr>
          <w:rFonts w:hint="eastAsia" w:ascii="仿宋" w:hAnsi="仿宋" w:eastAsia="仿宋" w:cs="Times New Roman"/>
          <w:sz w:val="24"/>
          <w:highlight w:val="none"/>
          <w:u w:val="single"/>
          <w:lang w:eastAsia="zh-CN"/>
        </w:rPr>
        <w:t>至</w:t>
      </w:r>
      <w:r>
        <w:rPr>
          <w:rFonts w:hint="eastAsia" w:ascii="仿宋" w:hAnsi="仿宋" w:eastAsia="仿宋" w:cs="Times New Roman"/>
          <w:sz w:val="24"/>
          <w:highlight w:val="none"/>
          <w:u w:val="single"/>
          <w:lang w:val="en-US" w:eastAsia="zh-CN"/>
        </w:rPr>
        <w:t>2024年</w:t>
      </w:r>
      <w:r>
        <w:rPr>
          <w:rFonts w:hint="eastAsia" w:ascii="仿宋" w:hAnsi="仿宋" w:eastAsia="仿宋" w:cs="Times New Roman"/>
          <w:sz w:val="24"/>
          <w:highlight w:val="none"/>
          <w:u w:val="single"/>
        </w:rPr>
        <w:t>水利设施维修改造工程施工Ⅰ标</w:t>
      </w:r>
      <w:r>
        <w:rPr>
          <w:rFonts w:hint="eastAsia" w:ascii="仿宋" w:hAnsi="仿宋" w:eastAsia="仿宋"/>
          <w:sz w:val="24"/>
          <w:highlight w:val="none"/>
          <w:u w:val="single"/>
        </w:rPr>
        <w:t xml:space="preserve">   </w:t>
      </w:r>
      <w:r>
        <w:rPr>
          <w:rFonts w:hint="eastAsia" w:ascii="仿宋" w:hAnsi="仿宋" w:eastAsia="仿宋"/>
          <w:sz w:val="24"/>
          <w:highlight w:val="none"/>
        </w:rPr>
        <w:t>工程开工时间起至完工时间止。责任人因故变动的，要向新责任人交接责任书，责任随责任人变动自然转换。</w:t>
      </w:r>
    </w:p>
    <w:p>
      <w:pPr>
        <w:spacing w:line="300" w:lineRule="auto"/>
        <w:ind w:firstLine="480" w:firstLineChars="200"/>
        <w:outlineLvl w:val="0"/>
        <w:rPr>
          <w:rFonts w:ascii="仿宋" w:hAnsi="仿宋" w:eastAsia="仿宋"/>
          <w:sz w:val="24"/>
          <w:highlight w:val="none"/>
        </w:rPr>
      </w:pPr>
      <w:bookmarkStart w:id="173" w:name="_Toc31207"/>
      <w:bookmarkStart w:id="174" w:name="_Toc24737"/>
      <w:r>
        <w:rPr>
          <w:rFonts w:ascii="仿宋" w:hAnsi="仿宋" w:eastAsia="仿宋"/>
          <w:sz w:val="24"/>
          <w:highlight w:val="none"/>
        </w:rPr>
        <w:t>二、</w:t>
      </w:r>
      <w:r>
        <w:rPr>
          <w:rFonts w:hint="eastAsia" w:ascii="仿宋" w:hAnsi="仿宋" w:eastAsia="仿宋"/>
          <w:sz w:val="24"/>
          <w:highlight w:val="none"/>
        </w:rPr>
        <w:t>责任内容</w:t>
      </w:r>
      <w:bookmarkEnd w:id="173"/>
      <w:bookmarkEnd w:id="174"/>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本工程的施工单位</w:t>
      </w:r>
      <w:r>
        <w:rPr>
          <w:rFonts w:hint="eastAsia" w:ascii="仿宋" w:hAnsi="仿宋" w:eastAsia="仿宋" w:cs="仿宋"/>
          <w:sz w:val="24"/>
          <w:highlight w:val="none"/>
          <w:u w:val="single"/>
          <w:lang w:val="en-US" w:eastAsia="zh-CN"/>
        </w:rPr>
        <w:t xml:space="preserve">               </w:t>
      </w:r>
      <w:r>
        <w:rPr>
          <w:rFonts w:hint="eastAsia" w:ascii="仿宋" w:hAnsi="仿宋" w:eastAsia="仿宋"/>
          <w:sz w:val="24"/>
          <w:highlight w:val="none"/>
        </w:rPr>
        <w:t>为责任单位，监理单位</w:t>
      </w:r>
      <w:r>
        <w:rPr>
          <w:rFonts w:hint="eastAsia" w:ascii="仿宋" w:hAnsi="仿宋" w:eastAsia="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sz w:val="24"/>
          <w:highlight w:val="none"/>
        </w:rPr>
        <w:t>为连带责任单位。施工企业法定代表人为安全生产第一责任人，本工程的项目负责人为主要责任人，专职安全员为具体责任人。本项目的监理单位法定代表人为连带责任人。责任内容如下：</w:t>
      </w:r>
    </w:p>
    <w:p>
      <w:pPr>
        <w:spacing w:line="300" w:lineRule="auto"/>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、施工企业必须依法取得安全生产许可证。已取得安全生产许可证的企业，不得降低安全生产条件。企业不得转让、转借、冒用或使用伪造的安全生产许可证。</w:t>
      </w:r>
    </w:p>
    <w:p>
      <w:pPr>
        <w:spacing w:line="300" w:lineRule="auto"/>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、施工企业必须设立安全生产管理机构，配备足够的专职安全生产管理人员，并建立健全各级安全生产责任制，制定安全生产控制目标及实现目标的保证措施，将安全生产控制目标分解到各项目部、各班组。</w:t>
      </w:r>
    </w:p>
    <w:p>
      <w:pPr>
        <w:spacing w:line="300" w:lineRule="auto"/>
        <w:ind w:firstLine="480" w:firstLineChars="200"/>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落实安全检查及安全技术交底制度，做好检查和交底记录；落实年度安全生产教育与培训制度，对项目部管理人员、作业人员必须进行岗前安全培训。特种作业人员必须按照国家有关规定持证上岗。新从业人员必须进行安全生产“三级教育”。企业法定代表人、项目负责人、专职安全管理人员必须取得安全生产考核合格证书。</w:t>
      </w:r>
    </w:p>
    <w:p>
      <w:pPr>
        <w:spacing w:line="300" w:lineRule="auto"/>
        <w:ind w:firstLine="480" w:firstLineChars="200"/>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、保证本单位安全生产条件所需资金的投入，本年度在建工程必须使用质量合格的安全防护设施设备，并为从业人员提供必备的安全防护用具和安全防护服装。</w:t>
      </w:r>
    </w:p>
    <w:p>
      <w:pPr>
        <w:spacing w:line="300" w:lineRule="auto"/>
        <w:ind w:firstLine="480" w:firstLineChars="200"/>
        <w:rPr>
          <w:rFonts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、依法为施工现场从事危险作业人员办理意外伤害保险。</w:t>
      </w:r>
    </w:p>
    <w:p>
      <w:pPr>
        <w:spacing w:line="300" w:lineRule="auto"/>
        <w:ind w:firstLine="480" w:firstLineChars="200"/>
        <w:rPr>
          <w:rFonts w:ascii="仿宋" w:hAnsi="仿宋" w:eastAsia="仿宋"/>
          <w:sz w:val="24"/>
          <w:highlight w:val="none"/>
        </w:rPr>
      </w:pPr>
      <w:r>
        <w:rPr>
          <w:rFonts w:ascii="仿宋" w:hAnsi="仿宋" w:eastAsia="仿宋"/>
          <w:sz w:val="24"/>
          <w:highlight w:val="none"/>
        </w:rPr>
        <w:t>6</w:t>
      </w:r>
      <w:r>
        <w:rPr>
          <w:rFonts w:hint="eastAsia" w:ascii="仿宋" w:hAnsi="仿宋" w:eastAsia="仿宋"/>
          <w:sz w:val="24"/>
          <w:highlight w:val="none"/>
        </w:rPr>
        <w:t>、建设工程实行施工总承包的，由总承包单位对施工现场的安全生产负总责。建设工程总承包单位依法分包给其他单位的，分包合同中应明确各自的安全生产方面权力、义务，总承包单位和分包单位对分包工程的安全生产承担连带责任。</w:t>
      </w:r>
    </w:p>
    <w:p>
      <w:pPr>
        <w:spacing w:line="300" w:lineRule="auto"/>
        <w:ind w:firstLine="480" w:firstLineChars="200"/>
        <w:rPr>
          <w:rFonts w:ascii="仿宋" w:hAnsi="仿宋" w:eastAsia="仿宋"/>
          <w:sz w:val="24"/>
          <w:highlight w:val="none"/>
        </w:rPr>
      </w:pPr>
      <w:r>
        <w:rPr>
          <w:rFonts w:ascii="仿宋" w:hAnsi="仿宋" w:eastAsia="仿宋"/>
          <w:sz w:val="24"/>
          <w:highlight w:val="none"/>
        </w:rPr>
        <w:t>7</w:t>
      </w:r>
      <w:r>
        <w:rPr>
          <w:rFonts w:hint="eastAsia" w:ascii="仿宋" w:hAnsi="仿宋" w:eastAsia="仿宋"/>
          <w:sz w:val="24"/>
          <w:highlight w:val="none"/>
        </w:rPr>
        <w:t>、因建设工程施工可能造成损害的毗邻建筑物、构筑物和地下管线、文物古迹等，应当采取专项防护和保护措施．并对所发现的文物古迹及时上报。</w:t>
      </w:r>
    </w:p>
    <w:p>
      <w:pPr>
        <w:spacing w:line="300" w:lineRule="auto"/>
        <w:ind w:firstLine="480" w:firstLineChars="200"/>
        <w:rPr>
          <w:rFonts w:ascii="仿宋" w:hAnsi="仿宋" w:eastAsia="仿宋"/>
          <w:sz w:val="24"/>
          <w:highlight w:val="none"/>
        </w:rPr>
      </w:pPr>
      <w:r>
        <w:rPr>
          <w:rFonts w:ascii="仿宋" w:hAnsi="仿宋" w:eastAsia="仿宋"/>
          <w:sz w:val="24"/>
          <w:highlight w:val="none"/>
        </w:rPr>
        <w:t>8</w:t>
      </w:r>
      <w:r>
        <w:rPr>
          <w:rFonts w:hint="eastAsia" w:ascii="仿宋" w:hAnsi="仿宋" w:eastAsia="仿宋"/>
          <w:sz w:val="24"/>
          <w:highlight w:val="none"/>
        </w:rPr>
        <w:t>、企业所属施工现场必须按规定配齐专职安全员，并做到专职专用．尽职尽责，作业人员有权对施工现场存在的安全问题提出批评、检举和控告，有权拒绝违章指挥和冒险作业。</w:t>
      </w:r>
    </w:p>
    <w:p>
      <w:pPr>
        <w:spacing w:line="300" w:lineRule="auto"/>
        <w:ind w:firstLine="480" w:firstLineChars="200"/>
        <w:rPr>
          <w:rFonts w:ascii="仿宋" w:hAnsi="仿宋" w:eastAsia="仿宋"/>
          <w:sz w:val="24"/>
          <w:highlight w:val="none"/>
        </w:rPr>
      </w:pPr>
      <w:r>
        <w:rPr>
          <w:rFonts w:ascii="仿宋" w:hAnsi="仿宋" w:eastAsia="仿宋"/>
          <w:sz w:val="24"/>
          <w:highlight w:val="none"/>
        </w:rPr>
        <w:t>9</w:t>
      </w:r>
      <w:r>
        <w:rPr>
          <w:rFonts w:hint="eastAsia" w:ascii="仿宋" w:hAnsi="仿宋" w:eastAsia="仿宋"/>
          <w:sz w:val="24"/>
          <w:highlight w:val="none"/>
        </w:rPr>
        <w:t>、严格执行《建筑施工安全检查标准》（</w:t>
      </w:r>
      <w:r>
        <w:rPr>
          <w:rFonts w:ascii="仿宋" w:hAnsi="仿宋" w:eastAsia="仿宋"/>
          <w:sz w:val="24"/>
          <w:highlight w:val="none"/>
        </w:rPr>
        <w:t xml:space="preserve"> JGJ 59</w:t>
      </w:r>
      <w:r>
        <w:rPr>
          <w:rFonts w:hint="eastAsia" w:ascii="仿宋" w:hAnsi="仿宋" w:eastAsia="仿宋"/>
          <w:sz w:val="24"/>
          <w:highlight w:val="none"/>
        </w:rPr>
        <w:t>—</w:t>
      </w:r>
      <w:r>
        <w:rPr>
          <w:rFonts w:ascii="仿宋" w:hAnsi="仿宋" w:eastAsia="仿宋"/>
          <w:sz w:val="24"/>
          <w:highlight w:val="none"/>
        </w:rPr>
        <w:t xml:space="preserve">99 </w:t>
      </w:r>
      <w:r>
        <w:rPr>
          <w:rFonts w:hint="eastAsia" w:ascii="仿宋" w:hAnsi="仿宋" w:eastAsia="仿宋"/>
          <w:sz w:val="24"/>
          <w:highlight w:val="none"/>
        </w:rPr>
        <w:t>）及《施工现场临时用电安全技术规范》</w:t>
      </w:r>
      <w:r>
        <w:rPr>
          <w:rFonts w:ascii="仿宋" w:hAnsi="仿宋" w:eastAsia="仿宋"/>
          <w:sz w:val="24"/>
          <w:highlight w:val="none"/>
        </w:rPr>
        <w:t>(JGJ46</w:t>
      </w:r>
      <w:r>
        <w:rPr>
          <w:rFonts w:hint="eastAsia" w:ascii="仿宋" w:hAnsi="仿宋" w:eastAsia="仿宋"/>
          <w:sz w:val="24"/>
          <w:highlight w:val="none"/>
        </w:rPr>
        <w:t>—</w:t>
      </w:r>
      <w:r>
        <w:rPr>
          <w:rFonts w:ascii="仿宋" w:hAnsi="仿宋" w:eastAsia="仿宋"/>
          <w:sz w:val="24"/>
          <w:highlight w:val="none"/>
        </w:rPr>
        <w:t>2005)</w:t>
      </w:r>
      <w:r>
        <w:rPr>
          <w:rFonts w:hint="eastAsia" w:ascii="仿宋" w:hAnsi="仿宋" w:eastAsia="仿宋"/>
          <w:sz w:val="24"/>
          <w:highlight w:val="none"/>
        </w:rPr>
        <w:t>等有关安全技术规范，积极参加安全质量标准化活动。</w:t>
      </w:r>
    </w:p>
    <w:p>
      <w:pPr>
        <w:spacing w:line="300" w:lineRule="auto"/>
        <w:ind w:firstLine="480" w:firstLineChars="200"/>
        <w:rPr>
          <w:rFonts w:ascii="仿宋" w:hAnsi="仿宋" w:eastAsia="仿宋"/>
          <w:sz w:val="24"/>
          <w:highlight w:val="none"/>
        </w:rPr>
      </w:pPr>
      <w:r>
        <w:rPr>
          <w:rFonts w:ascii="仿宋" w:hAnsi="仿宋" w:eastAsia="仿宋"/>
          <w:sz w:val="24"/>
          <w:highlight w:val="none"/>
        </w:rPr>
        <w:t>10</w:t>
      </w:r>
      <w:r>
        <w:rPr>
          <w:rFonts w:hint="eastAsia" w:ascii="仿宋" w:hAnsi="仿宋" w:eastAsia="仿宋"/>
          <w:sz w:val="24"/>
          <w:highlight w:val="none"/>
        </w:rPr>
        <w:t>、根据本企业的特点，制定可能会导致职工产生职业病的预防措施，改善职工的生活条件，加强传染性疾病的预防和控制工作。严格执行《建筑施工现场环境与卫生标准》</w:t>
      </w:r>
      <w:r>
        <w:rPr>
          <w:rFonts w:ascii="仿宋" w:hAnsi="仿宋" w:eastAsia="仿宋"/>
          <w:sz w:val="24"/>
          <w:highlight w:val="none"/>
        </w:rPr>
        <w:t>(JGJl46</w:t>
      </w:r>
      <w:r>
        <w:rPr>
          <w:rFonts w:hint="eastAsia" w:ascii="仿宋" w:hAnsi="仿宋" w:eastAsia="仿宋"/>
          <w:sz w:val="24"/>
          <w:highlight w:val="none"/>
        </w:rPr>
        <w:t>—</w:t>
      </w:r>
      <w:r>
        <w:rPr>
          <w:rFonts w:ascii="仿宋" w:hAnsi="仿宋" w:eastAsia="仿宋"/>
          <w:sz w:val="24"/>
          <w:highlight w:val="none"/>
        </w:rPr>
        <w:t>2004)</w:t>
      </w:r>
      <w:r>
        <w:rPr>
          <w:rFonts w:hint="eastAsia" w:ascii="仿宋" w:hAnsi="仿宋" w:eastAsia="仿宋"/>
          <w:sz w:val="24"/>
          <w:highlight w:val="none"/>
        </w:rPr>
        <w:t>。</w:t>
      </w:r>
    </w:p>
    <w:p>
      <w:pPr>
        <w:spacing w:line="300" w:lineRule="auto"/>
        <w:ind w:firstLine="480" w:firstLineChars="200"/>
        <w:rPr>
          <w:rFonts w:ascii="仿宋" w:hAnsi="仿宋" w:eastAsia="仿宋"/>
          <w:sz w:val="24"/>
          <w:highlight w:val="none"/>
        </w:rPr>
      </w:pPr>
      <w:r>
        <w:rPr>
          <w:rFonts w:ascii="仿宋" w:hAnsi="仿宋" w:eastAsia="仿宋"/>
          <w:sz w:val="24"/>
          <w:highlight w:val="none"/>
        </w:rPr>
        <w:t>11</w:t>
      </w:r>
      <w:r>
        <w:rPr>
          <w:rFonts w:hint="eastAsia" w:ascii="仿宋" w:hAnsi="仿宋" w:eastAsia="仿宋"/>
          <w:sz w:val="24"/>
          <w:highlight w:val="none"/>
        </w:rPr>
        <w:t>、制定建设工程施工现场生产安全事故应急救援预靠。建立组织机构，配备应急救援器材、设备，组织救援人员定期演练，如实记录演练内容和预案修改情况。</w:t>
      </w:r>
    </w:p>
    <w:p>
      <w:pPr>
        <w:spacing w:line="300" w:lineRule="auto"/>
        <w:ind w:firstLine="480" w:firstLineChars="200"/>
        <w:rPr>
          <w:rFonts w:ascii="仿宋" w:hAnsi="仿宋" w:eastAsia="仿宋"/>
          <w:sz w:val="24"/>
          <w:highlight w:val="none"/>
        </w:rPr>
      </w:pPr>
      <w:r>
        <w:rPr>
          <w:rFonts w:ascii="仿宋" w:hAnsi="仿宋" w:eastAsia="仿宋"/>
          <w:sz w:val="24"/>
          <w:highlight w:val="none"/>
        </w:rPr>
        <w:t>12</w:t>
      </w:r>
      <w:r>
        <w:rPr>
          <w:rFonts w:hint="eastAsia" w:ascii="仿宋" w:hAnsi="仿宋" w:eastAsia="仿宋"/>
          <w:sz w:val="24"/>
          <w:highlight w:val="none"/>
        </w:rPr>
        <w:t>、发生安全生产事故要采取措施防止事故扩大，保护事故现场，并按程序及时、如实报告；杜绝瞒报、迟报现象。</w:t>
      </w:r>
    </w:p>
    <w:p>
      <w:pPr>
        <w:spacing w:line="300" w:lineRule="auto"/>
        <w:ind w:firstLine="480" w:firstLineChars="200"/>
        <w:rPr>
          <w:rFonts w:ascii="仿宋" w:hAnsi="仿宋" w:eastAsia="仿宋"/>
          <w:sz w:val="24"/>
          <w:highlight w:val="none"/>
        </w:rPr>
      </w:pPr>
      <w:r>
        <w:rPr>
          <w:rFonts w:ascii="仿宋" w:hAnsi="仿宋" w:eastAsia="仿宋"/>
          <w:sz w:val="24"/>
          <w:highlight w:val="none"/>
        </w:rPr>
        <w:t>1 3</w:t>
      </w:r>
      <w:r>
        <w:rPr>
          <w:rFonts w:hint="eastAsia" w:ascii="仿宋" w:hAnsi="仿宋" w:eastAsia="仿宋"/>
          <w:sz w:val="24"/>
          <w:highlight w:val="none"/>
        </w:rPr>
        <w:t>、重要的安全生产工作要有文字资料记载，要做好各类安全台帐、文字及影像资料的归类、管理工作。</w:t>
      </w:r>
    </w:p>
    <w:p>
      <w:pPr>
        <w:spacing w:line="300" w:lineRule="auto"/>
        <w:ind w:firstLine="480" w:firstLineChars="200"/>
        <w:outlineLvl w:val="0"/>
        <w:rPr>
          <w:rFonts w:ascii="仿宋" w:hAnsi="仿宋" w:eastAsia="仿宋"/>
          <w:sz w:val="24"/>
          <w:highlight w:val="none"/>
        </w:rPr>
      </w:pPr>
      <w:bookmarkStart w:id="175" w:name="_Toc19233"/>
      <w:bookmarkStart w:id="176" w:name="_Toc4294"/>
      <w:r>
        <w:rPr>
          <w:rFonts w:hint="eastAsia" w:ascii="仿宋" w:hAnsi="仿宋" w:eastAsia="仿宋"/>
          <w:sz w:val="24"/>
          <w:highlight w:val="none"/>
        </w:rPr>
        <w:t>三、控制指标</w:t>
      </w:r>
      <w:bookmarkEnd w:id="175"/>
      <w:bookmarkEnd w:id="176"/>
    </w:p>
    <w:p>
      <w:pPr>
        <w:spacing w:line="300" w:lineRule="auto"/>
        <w:ind w:firstLine="480" w:firstLineChars="200"/>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、杜绝重特大事故，因工死亡人数为“零”；</w:t>
      </w:r>
    </w:p>
    <w:p>
      <w:pPr>
        <w:spacing w:line="300" w:lineRule="auto"/>
        <w:ind w:firstLine="480" w:firstLineChars="2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、重伤率控制在</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03</w:t>
      </w:r>
      <w:r>
        <w:rPr>
          <w:rFonts w:hint="eastAsia" w:ascii="仿宋" w:hAnsi="仿宋" w:eastAsia="仿宋"/>
          <w:sz w:val="24"/>
          <w:highlight w:val="none"/>
        </w:rPr>
        <w:t>％以内；</w:t>
      </w:r>
    </w:p>
    <w:p>
      <w:pPr>
        <w:spacing w:line="300" w:lineRule="auto"/>
        <w:ind w:firstLine="480" w:firstLineChars="200"/>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、企业职工全员安全培训教育率达</w:t>
      </w:r>
      <w:r>
        <w:rPr>
          <w:rFonts w:ascii="仿宋" w:hAnsi="仿宋" w:eastAsia="仿宋"/>
          <w:sz w:val="24"/>
          <w:highlight w:val="none"/>
        </w:rPr>
        <w:t>100</w:t>
      </w:r>
      <w:r>
        <w:rPr>
          <w:rFonts w:hint="eastAsia" w:ascii="仿宋" w:hAnsi="仿宋" w:eastAsia="仿宋"/>
          <w:sz w:val="24"/>
          <w:highlight w:val="none"/>
        </w:rPr>
        <w:t>％，特种作业人员持证率达</w:t>
      </w:r>
      <w:r>
        <w:rPr>
          <w:rFonts w:ascii="仿宋" w:hAnsi="仿宋" w:eastAsia="仿宋"/>
          <w:sz w:val="24"/>
          <w:highlight w:val="none"/>
        </w:rPr>
        <w:t>100</w:t>
      </w:r>
      <w:r>
        <w:rPr>
          <w:rFonts w:hint="eastAsia" w:ascii="仿宋" w:hAnsi="仿宋" w:eastAsia="仿宋"/>
          <w:sz w:val="24"/>
          <w:highlight w:val="none"/>
        </w:rPr>
        <w:t>％；</w:t>
      </w:r>
    </w:p>
    <w:p>
      <w:pPr>
        <w:spacing w:line="300" w:lineRule="auto"/>
        <w:ind w:firstLine="480" w:firstLineChars="200"/>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、重大事故隐患整改率达到</w:t>
      </w:r>
      <w:r>
        <w:rPr>
          <w:rFonts w:ascii="仿宋" w:hAnsi="仿宋" w:eastAsia="仿宋"/>
          <w:sz w:val="24"/>
          <w:highlight w:val="none"/>
        </w:rPr>
        <w:t>100</w:t>
      </w:r>
      <w:r>
        <w:rPr>
          <w:rFonts w:hint="eastAsia" w:ascii="仿宋" w:hAnsi="仿宋" w:eastAsia="仿宋"/>
          <w:sz w:val="24"/>
          <w:highlight w:val="none"/>
        </w:rPr>
        <w:t>％，一般事故隐患整改率达到</w:t>
      </w:r>
      <w:r>
        <w:rPr>
          <w:rFonts w:ascii="仿宋" w:hAnsi="仿宋" w:eastAsia="仿宋"/>
          <w:sz w:val="24"/>
          <w:highlight w:val="none"/>
        </w:rPr>
        <w:t>95</w:t>
      </w:r>
      <w:r>
        <w:rPr>
          <w:rFonts w:hint="eastAsia" w:ascii="仿宋" w:hAnsi="仿宋" w:eastAsia="仿宋"/>
          <w:sz w:val="24"/>
          <w:highlight w:val="none"/>
        </w:rPr>
        <w:t>％以上，重大危险源监控率达</w:t>
      </w:r>
      <w:r>
        <w:rPr>
          <w:rFonts w:ascii="仿宋" w:hAnsi="仿宋" w:eastAsia="仿宋"/>
          <w:sz w:val="24"/>
          <w:highlight w:val="none"/>
        </w:rPr>
        <w:t>100</w:t>
      </w:r>
      <w:r>
        <w:rPr>
          <w:rFonts w:hint="eastAsia" w:ascii="仿宋" w:hAnsi="仿宋" w:eastAsia="仿宋"/>
          <w:sz w:val="24"/>
          <w:highlight w:val="none"/>
        </w:rPr>
        <w:t>％；</w:t>
      </w:r>
    </w:p>
    <w:p>
      <w:pPr>
        <w:spacing w:line="300" w:lineRule="auto"/>
        <w:ind w:firstLine="480" w:firstLineChars="200"/>
        <w:rPr>
          <w:rFonts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、年度在建工程施工现场按《建筑施工安全检查标准》评定，二级企业优良率达到</w:t>
      </w:r>
      <w:r>
        <w:rPr>
          <w:rFonts w:ascii="仿宋" w:hAnsi="仿宋" w:eastAsia="仿宋"/>
          <w:sz w:val="24"/>
          <w:highlight w:val="none"/>
        </w:rPr>
        <w:t>50</w:t>
      </w:r>
      <w:r>
        <w:rPr>
          <w:rFonts w:hint="eastAsia" w:ascii="仿宋" w:hAnsi="仿宋" w:eastAsia="仿宋"/>
          <w:sz w:val="24"/>
          <w:highlight w:val="none"/>
        </w:rPr>
        <w:t>％、一级企业优良率达到</w:t>
      </w:r>
      <w:r>
        <w:rPr>
          <w:rFonts w:ascii="仿宋" w:hAnsi="仿宋" w:eastAsia="仿宋"/>
          <w:sz w:val="24"/>
          <w:highlight w:val="none"/>
        </w:rPr>
        <w:t>70</w:t>
      </w:r>
      <w:r>
        <w:rPr>
          <w:rFonts w:hint="eastAsia" w:ascii="仿宋" w:hAnsi="仿宋" w:eastAsia="仿宋"/>
          <w:sz w:val="24"/>
          <w:highlight w:val="none"/>
        </w:rPr>
        <w:t>％。</w:t>
      </w:r>
    </w:p>
    <w:p>
      <w:pPr>
        <w:spacing w:line="300" w:lineRule="auto"/>
        <w:ind w:firstLine="480" w:firstLineChars="200"/>
        <w:outlineLvl w:val="0"/>
        <w:rPr>
          <w:rFonts w:ascii="仿宋" w:hAnsi="仿宋" w:eastAsia="仿宋"/>
          <w:sz w:val="24"/>
          <w:highlight w:val="none"/>
        </w:rPr>
      </w:pPr>
      <w:bookmarkStart w:id="177" w:name="_Toc9649"/>
      <w:bookmarkStart w:id="178" w:name="_Toc4039"/>
      <w:r>
        <w:rPr>
          <w:rFonts w:hint="eastAsia" w:ascii="仿宋" w:hAnsi="仿宋" w:eastAsia="仿宋"/>
          <w:sz w:val="24"/>
          <w:highlight w:val="none"/>
        </w:rPr>
        <w:t>四、奖惩办法</w:t>
      </w:r>
      <w:bookmarkEnd w:id="177"/>
      <w:bookmarkEnd w:id="178"/>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区水务局与建设单位对责任书落实情况进行考核，超过控制指标的施工单位，将依据《建设工程安全生产管理条例》规定，对责任人和责任单位进行严肃处理，安全事故所造成的后果由责任单位全部承担。</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责任期限内如完成控制指标，建设单位将根据情况对责任人与责任单位进行安全生产专项奖励。</w:t>
      </w:r>
    </w:p>
    <w:p>
      <w:pPr>
        <w:spacing w:line="300" w:lineRule="auto"/>
        <w:ind w:firstLine="480" w:firstLineChars="200"/>
        <w:rPr>
          <w:rFonts w:ascii="仿宋" w:hAnsi="仿宋" w:eastAsia="仿宋"/>
          <w:sz w:val="24"/>
          <w:highlight w:val="none"/>
        </w:rPr>
      </w:pP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责 任 单 位：</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sz w:val="24"/>
          <w:highlight w:val="none"/>
        </w:rPr>
        <w:t xml:space="preserve">  （盖章）</w:t>
      </w:r>
    </w:p>
    <w:p>
      <w:pPr>
        <w:spacing w:line="300" w:lineRule="auto"/>
        <w:ind w:firstLine="480" w:firstLineChars="200"/>
        <w:rPr>
          <w:rFonts w:ascii="仿宋" w:hAnsi="仿宋" w:eastAsia="仿宋"/>
          <w:sz w:val="24"/>
          <w:highlight w:val="none"/>
        </w:rPr>
      </w:pP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连带责任单位：</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rPr>
        <w:t xml:space="preserve"> （盖章）</w:t>
      </w:r>
    </w:p>
    <w:p>
      <w:pPr>
        <w:spacing w:line="300" w:lineRule="auto"/>
        <w:ind w:firstLine="480" w:firstLineChars="200"/>
        <w:rPr>
          <w:rFonts w:ascii="仿宋" w:hAnsi="仿宋" w:eastAsia="仿宋"/>
          <w:sz w:val="24"/>
          <w:highlight w:val="none"/>
        </w:rPr>
      </w:pPr>
    </w:p>
    <w:p>
      <w:pPr>
        <w:spacing w:line="300" w:lineRule="auto"/>
        <w:ind w:firstLine="480" w:firstLineChars="200"/>
        <w:outlineLvl w:val="0"/>
        <w:rPr>
          <w:rFonts w:ascii="仿宋" w:hAnsi="仿宋" w:eastAsia="仿宋"/>
          <w:sz w:val="24"/>
          <w:highlight w:val="none"/>
        </w:rPr>
      </w:pPr>
      <w:bookmarkStart w:id="179" w:name="_Toc14359"/>
      <w:bookmarkStart w:id="180" w:name="_Toc30083"/>
      <w:r>
        <w:rPr>
          <w:rFonts w:hint="eastAsia" w:ascii="仿宋" w:hAnsi="仿宋" w:eastAsia="仿宋"/>
          <w:sz w:val="24"/>
          <w:highlight w:val="none"/>
        </w:rPr>
        <w:t>第一责任人：</w:t>
      </w:r>
      <w:r>
        <w:rPr>
          <w:rFonts w:hint="eastAsia" w:ascii="仿宋" w:hAnsi="仿宋" w:eastAsia="仿宋"/>
          <w:sz w:val="24"/>
          <w:highlight w:val="none"/>
          <w:u w:val="single"/>
        </w:rPr>
        <w:t xml:space="preserve">                       </w:t>
      </w:r>
      <w:r>
        <w:rPr>
          <w:rFonts w:hint="eastAsia" w:ascii="仿宋" w:hAnsi="仿宋" w:eastAsia="仿宋"/>
          <w:sz w:val="24"/>
          <w:highlight w:val="none"/>
        </w:rPr>
        <w:t>；</w:t>
      </w:r>
      <w:bookmarkEnd w:id="179"/>
      <w:bookmarkEnd w:id="180"/>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主要责任人：</w:t>
      </w:r>
      <w:r>
        <w:rPr>
          <w:rFonts w:hint="eastAsia" w:ascii="仿宋" w:hAnsi="仿宋" w:eastAsia="仿宋"/>
          <w:sz w:val="24"/>
          <w:highlight w:val="none"/>
          <w:u w:val="single"/>
        </w:rPr>
        <w:t xml:space="preserve">                       </w:t>
      </w:r>
      <w:r>
        <w:rPr>
          <w:rFonts w:hint="eastAsia" w:ascii="仿宋" w:hAnsi="仿宋" w:eastAsia="仿宋"/>
          <w:sz w:val="24"/>
          <w:highlight w:val="none"/>
        </w:rPr>
        <w:t>；</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具体责任人：</w:t>
      </w:r>
      <w:r>
        <w:rPr>
          <w:rFonts w:hint="eastAsia" w:ascii="仿宋" w:hAnsi="仿宋" w:eastAsia="仿宋"/>
          <w:sz w:val="24"/>
          <w:highlight w:val="none"/>
          <w:u w:val="single"/>
        </w:rPr>
        <w:t xml:space="preserve">                       </w:t>
      </w:r>
      <w:r>
        <w:rPr>
          <w:rFonts w:hint="eastAsia" w:ascii="仿宋" w:hAnsi="仿宋" w:eastAsia="仿宋"/>
          <w:sz w:val="24"/>
          <w:highlight w:val="none"/>
        </w:rPr>
        <w:t>；</w:t>
      </w:r>
    </w:p>
    <w:p>
      <w:pPr>
        <w:spacing w:line="300" w:lineRule="auto"/>
        <w:ind w:firstLine="480" w:firstLineChars="200"/>
        <w:rPr>
          <w:rFonts w:ascii="仿宋" w:hAnsi="仿宋" w:eastAsia="仿宋"/>
          <w:sz w:val="24"/>
          <w:highlight w:val="none"/>
        </w:rPr>
      </w:pPr>
      <w:r>
        <w:rPr>
          <w:rFonts w:hint="eastAsia" w:ascii="仿宋" w:hAnsi="仿宋" w:eastAsia="仿宋"/>
          <w:sz w:val="24"/>
          <w:highlight w:val="none"/>
        </w:rPr>
        <w:t>连带责任人：</w:t>
      </w:r>
      <w:r>
        <w:rPr>
          <w:rFonts w:hint="eastAsia" w:ascii="仿宋" w:hAnsi="仿宋" w:eastAsia="仿宋"/>
          <w:sz w:val="24"/>
          <w:highlight w:val="none"/>
          <w:u w:val="single"/>
        </w:rPr>
        <w:t xml:space="preserve">                       </w:t>
      </w:r>
      <w:r>
        <w:rPr>
          <w:rFonts w:hint="eastAsia" w:ascii="仿宋" w:hAnsi="仿宋" w:eastAsia="仿宋"/>
          <w:sz w:val="24"/>
          <w:highlight w:val="none"/>
        </w:rPr>
        <w:t>；</w:t>
      </w: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rPr>
          <w:rFonts w:eastAsia="宋体"/>
          <w:highlight w:val="none"/>
        </w:rPr>
      </w:pPr>
    </w:p>
    <w:p>
      <w:pPr>
        <w:rPr>
          <w:rFonts w:eastAsia="宋体"/>
          <w:highlight w:val="none"/>
        </w:rPr>
      </w:pPr>
    </w:p>
    <w:p>
      <w:pPr>
        <w:pStyle w:val="2"/>
        <w:spacing w:line="600" w:lineRule="exact"/>
        <w:jc w:val="center"/>
        <w:rPr>
          <w:rFonts w:hint="eastAsia" w:ascii="宋体" w:hAnsi="宋体" w:eastAsia="宋体" w:cs="宋体"/>
          <w:color w:val="auto"/>
          <w:sz w:val="24"/>
          <w:szCs w:val="24"/>
          <w:highlight w:val="none"/>
        </w:rPr>
      </w:pPr>
    </w:p>
    <w:p>
      <w:pPr>
        <w:pStyle w:val="2"/>
        <w:spacing w:line="600" w:lineRule="exact"/>
        <w:jc w:val="center"/>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2"/>
        <w:spacing w:line="600" w:lineRule="exact"/>
        <w:jc w:val="center"/>
        <w:rPr>
          <w:rFonts w:hint="eastAsia" w:asciiTheme="majorEastAsia" w:hAnsiTheme="majorEastAsia" w:eastAsiaTheme="majorEastAsia" w:cstheme="majorEastAsia"/>
          <w:color w:val="auto"/>
          <w:sz w:val="24"/>
          <w:szCs w:val="24"/>
          <w:highlight w:val="none"/>
        </w:rPr>
      </w:pPr>
      <w:bookmarkStart w:id="181" w:name="_Toc16024"/>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lang w:eastAsia="zh-CN"/>
        </w:rPr>
        <w:t>五</w:t>
      </w:r>
      <w:r>
        <w:rPr>
          <w:rFonts w:hint="eastAsia" w:asciiTheme="majorEastAsia" w:hAnsiTheme="majorEastAsia" w:eastAsiaTheme="majorEastAsia" w:cstheme="majorEastAsia"/>
          <w:color w:val="auto"/>
          <w:sz w:val="24"/>
          <w:szCs w:val="24"/>
          <w:highlight w:val="none"/>
        </w:rPr>
        <w:t>章技术标准和要求</w:t>
      </w:r>
      <w:bookmarkEnd w:id="181"/>
    </w:p>
    <w:p>
      <w:pPr>
        <w:spacing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黄埔区水务局水利设施维修</w:t>
      </w:r>
      <w:r>
        <w:rPr>
          <w:rFonts w:hint="eastAsia" w:ascii="宋体" w:hAnsi="宋体" w:eastAsia="宋体" w:cs="宋体"/>
          <w:b w:val="0"/>
          <w:bCs w:val="0"/>
          <w:color w:val="auto"/>
          <w:sz w:val="24"/>
          <w:szCs w:val="24"/>
          <w:highlight w:val="none"/>
          <w:lang w:eastAsia="zh-CN"/>
        </w:rPr>
        <w:t>改造</w:t>
      </w:r>
      <w:r>
        <w:rPr>
          <w:rFonts w:hint="eastAsia" w:ascii="宋体" w:hAnsi="宋体" w:eastAsia="宋体" w:cs="宋体"/>
          <w:b w:val="0"/>
          <w:bCs w:val="0"/>
          <w:color w:val="auto"/>
          <w:sz w:val="24"/>
          <w:szCs w:val="24"/>
          <w:highlight w:val="none"/>
        </w:rPr>
        <w:t>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年修订）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cs="宋体"/>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第一条 </w:t>
      </w:r>
      <w:r>
        <w:rPr>
          <w:rFonts w:hint="eastAsia" w:ascii="宋体" w:hAnsi="宋体" w:eastAsia="宋体" w:cs="宋体"/>
          <w:color w:val="auto"/>
          <w:sz w:val="24"/>
          <w:szCs w:val="24"/>
          <w:highlight w:val="none"/>
        </w:rPr>
        <w:t>为加强我局水利设施的维护管理工作，提高管理水平，及时高效地对水利设施进行维修改造</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根据国家、省、市和区的有关法律、法规和规定，结合水利设施维修改造施工任务急、规模小、施工点随机性大、分散和突发性强的工作实际，制定本办法。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第二条 </w:t>
      </w:r>
      <w:r>
        <w:rPr>
          <w:rFonts w:hint="eastAsia" w:ascii="宋体" w:hAnsi="宋体" w:eastAsia="宋体" w:cs="宋体"/>
          <w:color w:val="auto"/>
          <w:sz w:val="24"/>
          <w:szCs w:val="24"/>
          <w:highlight w:val="none"/>
        </w:rPr>
        <w:t>本办法适用于黄埔区内已投入运行的、使用财政维修养护资金且承担公益性任务的水利工程及其附属设施、设备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，以及河</w:t>
      </w:r>
      <w:r>
        <w:rPr>
          <w:rFonts w:hint="eastAsia" w:ascii="宋体" w:hAnsi="宋体" w:eastAsia="宋体" w:cs="宋体"/>
          <w:color w:val="auto"/>
          <w:sz w:val="24"/>
          <w:szCs w:val="24"/>
          <w:highlight w:val="none"/>
          <w:lang w:eastAsia="zh-CN"/>
        </w:rPr>
        <w:t>（湖）</w:t>
      </w:r>
      <w:r>
        <w:rPr>
          <w:rFonts w:hint="eastAsia" w:ascii="宋体" w:hAnsi="宋体" w:eastAsia="宋体" w:cs="宋体"/>
          <w:color w:val="auto"/>
          <w:sz w:val="24"/>
          <w:szCs w:val="24"/>
          <w:highlight w:val="none"/>
        </w:rPr>
        <w:t>疏浚、河涌(含湖泊）管理范围内的绿化</w:t>
      </w:r>
      <w:r>
        <w:rPr>
          <w:rFonts w:hint="eastAsia" w:ascii="宋体" w:hAnsi="宋体" w:eastAsia="宋体" w:cs="宋体"/>
          <w:color w:val="auto"/>
          <w:sz w:val="24"/>
          <w:szCs w:val="24"/>
          <w:highlight w:val="none"/>
          <w:lang w:val="en-US" w:eastAsia="zh-CN"/>
        </w:rPr>
        <w:t>及附属设施的</w:t>
      </w:r>
      <w:r>
        <w:rPr>
          <w:rFonts w:hint="eastAsia" w:ascii="宋体" w:hAnsi="宋体" w:eastAsia="宋体" w:cs="宋体"/>
          <w:color w:val="auto"/>
          <w:sz w:val="24"/>
          <w:szCs w:val="24"/>
          <w:highlight w:val="none"/>
        </w:rPr>
        <w:t>升级改造、截水沟、山洪沟维</w:t>
      </w:r>
      <w:r>
        <w:rPr>
          <w:rFonts w:hint="eastAsia" w:ascii="宋体" w:hAnsi="宋体" w:eastAsia="宋体" w:cs="宋体"/>
          <w:color w:val="auto"/>
          <w:sz w:val="24"/>
          <w:szCs w:val="24"/>
          <w:highlight w:val="none"/>
          <w:lang w:eastAsia="zh-CN"/>
        </w:rPr>
        <w:t>修</w:t>
      </w:r>
      <w:r>
        <w:rPr>
          <w:rFonts w:hint="eastAsia" w:ascii="宋体" w:hAnsi="宋体" w:eastAsia="宋体" w:cs="宋体"/>
          <w:color w:val="auto"/>
          <w:sz w:val="24"/>
          <w:szCs w:val="24"/>
          <w:highlight w:val="none"/>
        </w:rPr>
        <w:t>等工作。其他水利设施的维修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，参照本办法执行。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color w:val="auto"/>
          <w:sz w:val="24"/>
          <w:szCs w:val="24"/>
          <w:highlight w:val="none"/>
        </w:rPr>
        <w:t>水利设施维修改造养护实行区水务设施管理所负责、监理单位控制、施工单位保证和区水务局监督相结合的监督管理体制。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第四条 </w:t>
      </w:r>
      <w:r>
        <w:rPr>
          <w:rFonts w:hint="eastAsia" w:ascii="宋体" w:hAnsi="宋体" w:eastAsia="宋体" w:cs="宋体"/>
          <w:color w:val="auto"/>
          <w:sz w:val="24"/>
          <w:szCs w:val="24"/>
          <w:highlight w:val="none"/>
        </w:rPr>
        <w:t>区水务设施管理所负责区内水利设施维修改造的具体组织和实施，是水利设施维修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的第一责任人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区水务局负责对水利设施维修改造</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监督指导。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第五条 </w:t>
      </w:r>
      <w:r>
        <w:rPr>
          <w:rFonts w:hint="eastAsia" w:ascii="宋体" w:hAnsi="宋体" w:eastAsia="宋体" w:cs="宋体"/>
          <w:color w:val="auto"/>
          <w:sz w:val="24"/>
          <w:szCs w:val="24"/>
          <w:highlight w:val="none"/>
        </w:rPr>
        <w:t>区水务设施管理所依照国家、地方法律法规及行业规范对承担水利设施维修改造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单位开展</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管理，</w:t>
      </w:r>
      <w:r>
        <w:rPr>
          <w:rFonts w:hint="eastAsia" w:ascii="宋体" w:hAnsi="宋体" w:eastAsia="宋体" w:cs="宋体"/>
          <w:color w:val="auto"/>
          <w:sz w:val="24"/>
          <w:szCs w:val="24"/>
          <w:highlight w:val="none"/>
          <w:lang w:eastAsia="zh-CN"/>
        </w:rPr>
        <w:t>督促</w:t>
      </w:r>
      <w:r>
        <w:rPr>
          <w:rFonts w:hint="eastAsia" w:ascii="宋体" w:hAnsi="宋体" w:eastAsia="宋体" w:cs="宋体"/>
          <w:color w:val="auto"/>
          <w:sz w:val="24"/>
          <w:szCs w:val="24"/>
          <w:highlight w:val="none"/>
        </w:rPr>
        <w:t>维修改造监理</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履行合同约定，保质保量按期做好</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第六条 </w:t>
      </w:r>
      <w:r>
        <w:rPr>
          <w:rFonts w:hint="eastAsia" w:ascii="宋体" w:hAnsi="宋体" w:eastAsia="宋体" w:cs="宋体"/>
          <w:color w:val="auto"/>
          <w:sz w:val="24"/>
          <w:szCs w:val="24"/>
          <w:highlight w:val="none"/>
        </w:rPr>
        <w:t>区水务设施管理所根据水利设施运行情况，依据国家、省、市行业部门有关维修养护定额，编制下一年度水利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维修改造预算，</w:t>
      </w:r>
      <w:r>
        <w:rPr>
          <w:rFonts w:hint="eastAsia" w:ascii="宋体" w:hAnsi="宋体" w:eastAsia="宋体" w:cs="宋体"/>
          <w:color w:val="auto"/>
          <w:sz w:val="24"/>
          <w:szCs w:val="24"/>
          <w:highlight w:val="none"/>
          <w:lang w:eastAsia="zh-CN"/>
        </w:rPr>
        <w:t>纳入管理所年度部门预算。区水务设施管理所负责制定</w:t>
      </w:r>
      <w:r>
        <w:rPr>
          <w:rFonts w:hint="eastAsia" w:ascii="宋体" w:hAnsi="宋体" w:eastAsia="宋体" w:cs="宋体"/>
          <w:color w:val="auto"/>
          <w:sz w:val="24"/>
          <w:szCs w:val="24"/>
          <w:highlight w:val="none"/>
        </w:rPr>
        <w:t>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年度维修改造</w:t>
      </w:r>
      <w:r>
        <w:rPr>
          <w:rFonts w:hint="eastAsia" w:ascii="宋体" w:hAnsi="宋体" w:eastAsia="宋体" w:cs="宋体"/>
          <w:color w:val="auto"/>
          <w:sz w:val="24"/>
          <w:szCs w:val="24"/>
          <w:highlight w:val="none"/>
          <w:lang w:eastAsia="zh-CN"/>
        </w:rPr>
        <w:t>计划，报区水务局备案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color w:val="auto"/>
          <w:sz w:val="24"/>
          <w:szCs w:val="24"/>
          <w:highlight w:val="none"/>
        </w:rPr>
        <w:t>为便于管理，水利设施维修改造任务由区水务设施管理所公开招标确定的维修单位负责具体实施，每次招标合同期限原则上不超过三年。维修改造工作由区水务设施管理所以任务通知书的形式下发给维修单位，费用按实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第八条 </w:t>
      </w:r>
      <w:r>
        <w:rPr>
          <w:rFonts w:hint="eastAsia" w:ascii="宋体" w:hAnsi="宋体" w:eastAsia="宋体" w:cs="宋体"/>
          <w:color w:val="auto"/>
          <w:sz w:val="24"/>
          <w:szCs w:val="24"/>
          <w:highlight w:val="none"/>
        </w:rPr>
        <w:t>为便于工程管理和计量支付，区水务设施管理所依据法律法规招标确定一家监理单位承担监理工作。监理单位负责审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维修改造方案，对施工质量、进度、资金、安全生产、文明施工、环境保护等进行</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管理。监理服务费按工程监理收费有关规定执行，计费方式以区财政局批复的结算金额作为计价基数，按季度支付。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第九条 </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维修改造任务的</w:t>
      </w:r>
      <w:r>
        <w:rPr>
          <w:rFonts w:hint="eastAsia" w:ascii="宋体" w:hAnsi="宋体" w:eastAsia="宋体" w:cs="宋体"/>
          <w:color w:val="auto"/>
          <w:sz w:val="24"/>
          <w:szCs w:val="24"/>
          <w:highlight w:val="none"/>
          <w:lang w:eastAsia="zh-CN"/>
        </w:rPr>
        <w:t>来源</w:t>
      </w:r>
      <w:r>
        <w:rPr>
          <w:rFonts w:hint="eastAsia" w:ascii="宋体" w:hAnsi="宋体" w:eastAsia="宋体" w:cs="宋体"/>
          <w:color w:val="auto"/>
          <w:sz w:val="24"/>
          <w:szCs w:val="24"/>
          <w:highlight w:val="none"/>
        </w:rPr>
        <w:t>：1.上级部门发来的督办整改通知书或通报；2.巡查、检测发现需要维修改造的问题；3.水利设施养护单位、街道、社区来文提出的需要维修改造的问题；4.来自于12345或12319系统、网上微博投诉、信访件等反映需要维修改造的问题；5.在创文活动中区创建办或其他创建成员单位巡查发现须由我局实施的应急维修改造；6.迎接各级检查须由我局实施的应急维修改造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第十条 </w:t>
      </w:r>
      <w:r>
        <w:rPr>
          <w:rFonts w:hint="eastAsia" w:ascii="宋体" w:hAnsi="宋体" w:eastAsia="宋体" w:cs="宋体"/>
          <w:color w:val="auto"/>
          <w:sz w:val="24"/>
          <w:szCs w:val="24"/>
          <w:highlight w:val="none"/>
        </w:rPr>
        <w:t>区水务设施管理所</w:t>
      </w: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建立</w:t>
      </w:r>
      <w:r>
        <w:rPr>
          <w:rFonts w:hint="eastAsia" w:ascii="宋体" w:hAnsi="宋体" w:eastAsia="宋体" w:cs="宋体"/>
          <w:color w:val="auto"/>
          <w:sz w:val="24"/>
          <w:szCs w:val="24"/>
          <w:highlight w:val="none"/>
          <w:lang w:eastAsia="zh-CN"/>
        </w:rPr>
        <w:t>和完善</w:t>
      </w:r>
      <w:r>
        <w:rPr>
          <w:rFonts w:hint="eastAsia" w:ascii="宋体" w:hAnsi="宋体" w:eastAsia="宋体" w:cs="宋体"/>
          <w:color w:val="auto"/>
          <w:sz w:val="24"/>
          <w:szCs w:val="24"/>
          <w:highlight w:val="none"/>
        </w:rPr>
        <w:t>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管理制度。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第十一条 </w:t>
      </w:r>
      <w:r>
        <w:rPr>
          <w:rFonts w:hint="eastAsia" w:ascii="宋体" w:hAnsi="宋体" w:eastAsia="宋体" w:cs="宋体"/>
          <w:color w:val="auto"/>
          <w:sz w:val="24"/>
          <w:szCs w:val="24"/>
          <w:highlight w:val="none"/>
        </w:rPr>
        <w:t>维修改造任务的批准及</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的确定：区水务设施管理所组织编制维修改造任务通知书（附任务依据、现场照片、历次维修记录、实施方案等），报经局主管科室审核和局领导批准后实施；维修改造施工单位组织编制工程预算，报经监理单位审核，以监理审定价作为工程</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第十二条 </w:t>
      </w:r>
      <w:r>
        <w:rPr>
          <w:rFonts w:hint="eastAsia" w:ascii="宋体" w:hAnsi="宋体" w:eastAsia="宋体" w:cs="宋体"/>
          <w:color w:val="auto"/>
          <w:sz w:val="24"/>
          <w:szCs w:val="24"/>
          <w:highlight w:val="none"/>
        </w:rPr>
        <w:t>维修改造任务通知书经区水务局批准后，由区水务设施管理所下达给监理单位和维修改造</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单位。维修改造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单位接到通知书后严格按任务通知书要求实施维修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监理单位根据监理合同进行全过程监理。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第十三条 </w:t>
      </w:r>
      <w:r>
        <w:rPr>
          <w:rFonts w:hint="eastAsia" w:ascii="宋体" w:hAnsi="宋体" w:eastAsia="宋体" w:cs="宋体"/>
          <w:color w:val="auto"/>
          <w:sz w:val="24"/>
          <w:szCs w:val="24"/>
          <w:highlight w:val="none"/>
        </w:rPr>
        <w:t>水利设施维修改造任务完成后，由区水务设施管理所</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区水务局（水利科）</w:t>
      </w:r>
      <w:r>
        <w:rPr>
          <w:rFonts w:hint="eastAsia" w:ascii="宋体" w:hAnsi="宋体" w:eastAsia="宋体" w:cs="宋体"/>
          <w:color w:val="auto"/>
          <w:sz w:val="24"/>
          <w:szCs w:val="24"/>
          <w:highlight w:val="none"/>
        </w:rPr>
        <w:t>、监理、施工</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第十四条 </w:t>
      </w:r>
      <w:r>
        <w:rPr>
          <w:rFonts w:hint="eastAsia" w:ascii="宋体" w:hAnsi="宋体" w:eastAsia="宋体" w:cs="宋体"/>
          <w:color w:val="auto"/>
          <w:sz w:val="24"/>
          <w:szCs w:val="24"/>
          <w:highlight w:val="none"/>
        </w:rPr>
        <w:t>维修改造任务完工验收后按季度汇总支付至工程预算价（即监理审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价）的50%</w:t>
      </w:r>
      <w:bookmarkStart w:id="182" w:name="OLE_LINK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区财政局</w:t>
      </w:r>
      <w:bookmarkEnd w:id="182"/>
      <w:r>
        <w:rPr>
          <w:rFonts w:hint="eastAsia" w:ascii="宋体" w:hAnsi="宋体" w:eastAsia="宋体" w:cs="宋体"/>
          <w:color w:val="auto"/>
          <w:sz w:val="24"/>
          <w:szCs w:val="24"/>
          <w:highlight w:val="none"/>
        </w:rPr>
        <w:t>审定结算后，支付至审定价的95%，质保期结束后支付至100%。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第十五条 </w:t>
      </w:r>
      <w:r>
        <w:rPr>
          <w:rFonts w:hint="eastAsia" w:ascii="宋体" w:hAnsi="宋体" w:eastAsia="宋体" w:cs="宋体"/>
          <w:color w:val="auto"/>
          <w:sz w:val="24"/>
          <w:szCs w:val="24"/>
          <w:highlight w:val="none"/>
        </w:rPr>
        <w:t>维修改造任务</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，由施工单位</w:t>
      </w:r>
      <w:r>
        <w:rPr>
          <w:rFonts w:hint="eastAsia" w:ascii="宋体" w:hAnsi="宋体" w:eastAsia="宋体" w:cs="宋体"/>
          <w:color w:val="auto"/>
          <w:sz w:val="24"/>
          <w:szCs w:val="24"/>
          <w:highlight w:val="none"/>
        </w:rPr>
        <w:t>编制相应的结算书，报经监理单位、区水务设施管理所审核确认后，报</w:t>
      </w:r>
      <w:r>
        <w:rPr>
          <w:rFonts w:hint="eastAsia" w:ascii="宋体" w:hAnsi="宋体" w:eastAsia="宋体" w:cs="宋体"/>
          <w:color w:val="auto"/>
          <w:sz w:val="24"/>
          <w:szCs w:val="24"/>
          <w:highlight w:val="none"/>
          <w:lang w:eastAsia="zh-CN"/>
        </w:rPr>
        <w:t>送</w:t>
      </w:r>
      <w:r>
        <w:rPr>
          <w:rFonts w:hint="eastAsia" w:ascii="宋体" w:hAnsi="宋体" w:eastAsia="宋体" w:cs="宋体"/>
          <w:color w:val="auto"/>
          <w:sz w:val="24"/>
          <w:szCs w:val="24"/>
          <w:highlight w:val="none"/>
        </w:rPr>
        <w:t>区财政局审核，最终以区财政局审定价</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违约责任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第十六条</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施工单位应严格遵守国家、省、市及黄埔区有关防火、爆破和施工安全以及文明施工、深夜施工、环卫和城市管理等规定，建立规章制度和防护措施，并组织施工，</w:t>
      </w:r>
      <w:r>
        <w:rPr>
          <w:rFonts w:hint="eastAsia" w:ascii="宋体" w:hAnsi="宋体" w:eastAsia="宋体" w:cs="宋体"/>
          <w:color w:val="auto"/>
          <w:sz w:val="24"/>
          <w:szCs w:val="24"/>
          <w:highlight w:val="none"/>
        </w:rPr>
        <w:t>监理单位</w:t>
      </w:r>
      <w:r>
        <w:rPr>
          <w:rFonts w:hint="eastAsia" w:ascii="宋体" w:hAnsi="宋体" w:eastAsia="宋体" w:cs="宋体"/>
          <w:color w:val="auto"/>
          <w:sz w:val="24"/>
          <w:szCs w:val="24"/>
          <w:highlight w:val="none"/>
          <w:lang w:val="en-US" w:eastAsia="zh-CN"/>
        </w:rPr>
        <w:t>对</w:t>
      </w:r>
      <w:r>
        <w:rPr>
          <w:rFonts w:hint="eastAsia" w:ascii="宋体" w:hAnsi="宋体" w:eastAsia="宋体" w:cs="宋体"/>
          <w:kern w:val="2"/>
          <w:sz w:val="24"/>
          <w:szCs w:val="24"/>
          <w:highlight w:val="none"/>
          <w:lang w:val="en-US" w:eastAsia="zh-CN" w:bidi="ar-SA"/>
        </w:rPr>
        <w:t>施工单位进行监督。在相关部门的检查中，</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施工场地被评为不合格工地或被通报批评或者被新闻媒体曝光的，黄埔区水务局对</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val="en-US" w:eastAsia="zh-CN"/>
        </w:rPr>
        <w:t>进行通报批评</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区水务设施管理所</w:t>
      </w:r>
      <w:r>
        <w:rPr>
          <w:rFonts w:hint="eastAsia" w:ascii="宋体" w:hAnsi="宋体" w:eastAsia="宋体" w:cs="宋体"/>
          <w:kern w:val="2"/>
          <w:sz w:val="24"/>
          <w:szCs w:val="24"/>
          <w:highlight w:val="none"/>
          <w:lang w:val="en-US" w:eastAsia="zh-CN" w:bidi="ar-SA"/>
        </w:rPr>
        <w:t>按5000元/次扣减施工单位违约金，按1000元/次扣减监理单位违约金。</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监理单位督促施工</w:t>
      </w:r>
      <w:r>
        <w:rPr>
          <w:rFonts w:hint="eastAsia" w:ascii="宋体" w:hAnsi="宋体" w:eastAsia="宋体" w:cs="宋体"/>
          <w:color w:val="auto"/>
          <w:kern w:val="2"/>
          <w:sz w:val="24"/>
          <w:szCs w:val="24"/>
          <w:highlight w:val="none"/>
          <w:lang w:val="en-US" w:eastAsia="zh-CN" w:bidi="ar-SA"/>
        </w:rPr>
        <w:t>单位立即进行整改</w:t>
      </w:r>
      <w:r>
        <w:rPr>
          <w:rFonts w:hint="eastAsia" w:ascii="宋体" w:hAnsi="宋体" w:eastAsia="宋体" w:cs="宋体"/>
          <w:color w:val="auto"/>
          <w:sz w:val="24"/>
          <w:szCs w:val="24"/>
          <w:highlight w:val="none"/>
          <w:lang w:val="en-US" w:eastAsia="zh-CN"/>
        </w:rPr>
        <w:t>并填写整改情况表（详见附件）。同时，在</w:t>
      </w:r>
      <w:r>
        <w:rPr>
          <w:rFonts w:hint="eastAsia" w:ascii="宋体" w:hAnsi="宋体" w:eastAsia="宋体" w:cs="宋体"/>
          <w:color w:val="auto"/>
          <w:kern w:val="0"/>
          <w:sz w:val="24"/>
          <w:szCs w:val="24"/>
          <w:highlight w:val="none"/>
          <w:lang w:val="en-US" w:eastAsia="zh-CN" w:bidi="ar"/>
        </w:rPr>
        <w:t>发现问题起7日内</w:t>
      </w:r>
      <w:r>
        <w:rPr>
          <w:rFonts w:hint="eastAsia" w:ascii="宋体" w:hAnsi="宋体" w:eastAsia="宋体" w:cs="宋体"/>
          <w:color w:val="auto"/>
          <w:sz w:val="24"/>
          <w:szCs w:val="24"/>
          <w:highlight w:val="none"/>
          <w:lang w:val="en-US" w:eastAsia="zh-CN"/>
        </w:rPr>
        <w:t>将整改情况表通过书面形式报至黄埔区水务局。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附则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本办法所称的水利工程及其附属设施包括黄埔区管辖的水闸、泵站、河道（湖泊）堤防护坡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等；本办法所称的山洪沟是指山丘区坡面小洪水通道，截水沟是指山坡明渠、暗渠、截洪沟、边沟边渠等；本办法中河（湖）疏浚仅限于工程量为2000立方米以下（包含2000立方米）的和（湖）疏浚。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本办法自下发之日起实施，《黄埔区水务局水利设施维修管理办法》（修订）（穗埔水〔2018〕89号）同时废除。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本办法由区水务局负责解释。</w:t>
      </w:r>
    </w:p>
    <w:p>
      <w:pPr>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2"/>
        <w:jc w:val="center"/>
        <w:rPr>
          <w:rFonts w:hint="eastAsia" w:ascii="宋体" w:hAnsi="宋体" w:eastAsia="宋体" w:cs="宋体"/>
          <w:color w:val="auto"/>
          <w:sz w:val="24"/>
          <w:szCs w:val="24"/>
          <w:highlight w:val="none"/>
        </w:rPr>
      </w:pPr>
      <w:bookmarkStart w:id="183" w:name="_Toc7796"/>
      <w:bookmarkStart w:id="184" w:name="_Toc1681"/>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w:t>
      </w:r>
      <w:bookmarkEnd w:id="183"/>
      <w:bookmarkEnd w:id="184"/>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注：本章《投标函》及《投标函附录》的格式，招标人应不加修改的应用。其他为参考格式，招标人可根据项目情况依法修改。</w:t>
      </w:r>
    </w:p>
    <w:p>
      <w:pPr>
        <w:spacing w:line="360" w:lineRule="auto"/>
        <w:jc w:val="left"/>
        <w:rPr>
          <w:rFonts w:hint="eastAsia" w:ascii="宋体" w:hAnsi="宋体" w:eastAsia="宋体" w:cs="宋体"/>
          <w:color w:val="auto"/>
          <w:sz w:val="24"/>
          <w:szCs w:val="24"/>
          <w:highlight w:val="none"/>
        </w:rPr>
      </w:pPr>
    </w:p>
    <w:p>
      <w:pPr>
        <w:widowControl/>
        <w:jc w:val="left"/>
        <w:rPr>
          <w:rFonts w:ascii="宋体" w:hAnsi="宋体"/>
          <w:color w:val="auto"/>
          <w:sz w:val="24"/>
          <w:highlight w:val="none"/>
        </w:rPr>
      </w:pPr>
      <w:r>
        <w:rPr>
          <w:rFonts w:hint="eastAsia" w:ascii="宋体" w:hAnsi="宋体" w:eastAsia="宋体" w:cs="宋体"/>
          <w:color w:val="auto"/>
          <w:sz w:val="24"/>
          <w:szCs w:val="24"/>
          <w:highlight w:val="none"/>
        </w:rPr>
        <w:br w:type="page"/>
      </w:r>
    </w:p>
    <w:p>
      <w:pPr>
        <w:pStyle w:val="2"/>
        <w:rPr>
          <w:highlight w:val="none"/>
        </w:rPr>
      </w:pP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27"/>
          <w:szCs w:val="27"/>
          <w:highlight w:val="none"/>
        </w:rPr>
      </w:pPr>
      <w:bookmarkStart w:id="185" w:name="_Toc221951910"/>
      <w:r>
        <w:rPr>
          <w:rFonts w:hint="eastAsia" w:ascii="宋体" w:hAnsi="宋体"/>
          <w:color w:val="auto"/>
          <w:sz w:val="27"/>
          <w:szCs w:val="27"/>
          <w:highlight w:val="none"/>
          <w:u w:val="single"/>
        </w:rPr>
        <w:t xml:space="preserve">            </w:t>
      </w:r>
      <w:r>
        <w:rPr>
          <w:rFonts w:ascii="宋体" w:hAnsi="宋体"/>
          <w:color w:val="auto"/>
          <w:sz w:val="27"/>
          <w:szCs w:val="27"/>
          <w:highlight w:val="none"/>
        </w:rPr>
        <w:t>（</w:t>
      </w:r>
      <w:r>
        <w:rPr>
          <w:rFonts w:hint="eastAsia" w:ascii="宋体" w:hAnsi="宋体"/>
          <w:color w:val="auto"/>
          <w:sz w:val="27"/>
          <w:szCs w:val="27"/>
          <w:highlight w:val="none"/>
        </w:rPr>
        <w:t>项目名称）</w:t>
      </w:r>
      <w:r>
        <w:rPr>
          <w:rFonts w:hint="eastAsia" w:ascii="宋体" w:hAnsi="宋体"/>
          <w:color w:val="auto"/>
          <w:sz w:val="27"/>
          <w:szCs w:val="27"/>
          <w:highlight w:val="none"/>
          <w:u w:val="single"/>
        </w:rPr>
        <w:t xml:space="preserve">            （</w:t>
      </w:r>
      <w:r>
        <w:rPr>
          <w:rFonts w:hint="eastAsia" w:ascii="宋体" w:hAnsi="宋体"/>
          <w:color w:val="auto"/>
          <w:sz w:val="27"/>
          <w:szCs w:val="27"/>
          <w:highlight w:val="none"/>
        </w:rPr>
        <w:t>标段名称</w:t>
      </w:r>
      <w:bookmarkEnd w:id="185"/>
      <w:r>
        <w:rPr>
          <w:rFonts w:hint="eastAsia" w:ascii="宋体" w:hAnsi="宋体"/>
          <w:color w:val="auto"/>
          <w:sz w:val="27"/>
          <w:szCs w:val="27"/>
          <w:highlight w:val="none"/>
        </w:rPr>
        <w:t xml:space="preserve">） </w:t>
      </w: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pStyle w:val="2"/>
        <w:rPr>
          <w:highlight w:val="none"/>
        </w:rPr>
      </w:pPr>
    </w:p>
    <w:p>
      <w:pPr>
        <w:spacing w:line="400" w:lineRule="exact"/>
        <w:jc w:val="center"/>
        <w:rPr>
          <w:rFonts w:ascii="宋体" w:hAnsi="宋体"/>
          <w:color w:val="auto"/>
          <w:sz w:val="42"/>
          <w:szCs w:val="42"/>
          <w:highlight w:val="none"/>
        </w:rPr>
      </w:pPr>
    </w:p>
    <w:p>
      <w:pPr>
        <w:spacing w:line="400" w:lineRule="exact"/>
        <w:jc w:val="center"/>
        <w:rPr>
          <w:rFonts w:ascii="宋体" w:hAnsi="宋体"/>
          <w:color w:val="auto"/>
          <w:sz w:val="42"/>
          <w:szCs w:val="42"/>
          <w:highlight w:val="none"/>
        </w:rPr>
      </w:pPr>
      <w:r>
        <w:rPr>
          <w:rFonts w:ascii="宋体" w:hAnsi="宋体"/>
          <w:color w:val="auto"/>
          <w:sz w:val="42"/>
          <w:szCs w:val="42"/>
          <w:highlight w:val="none"/>
        </w:rPr>
        <w:t>投  标  文  件</w:t>
      </w: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rPr>
        <w:t>投标人：</w:t>
      </w:r>
      <w:r>
        <w:rPr>
          <w:rFonts w:ascii="宋体" w:hAnsi="宋体"/>
          <w:color w:val="auto"/>
          <w:sz w:val="27"/>
          <w:szCs w:val="27"/>
          <w:highlight w:val="none"/>
          <w:u w:val="single"/>
        </w:rPr>
        <w:t xml:space="preserve">                     </w:t>
      </w:r>
      <w:r>
        <w:rPr>
          <w:rFonts w:hint="eastAsia" w:ascii="宋体" w:hAnsi="宋体"/>
          <w:color w:val="auto"/>
          <w:sz w:val="27"/>
          <w:szCs w:val="27"/>
          <w:highlight w:val="none"/>
          <w:u w:val="single"/>
        </w:rPr>
        <w:t xml:space="preserve">  </w:t>
      </w:r>
      <w:r>
        <w:rPr>
          <w:rFonts w:ascii="宋体" w:hAnsi="宋体"/>
          <w:color w:val="auto"/>
          <w:sz w:val="27"/>
          <w:szCs w:val="27"/>
          <w:highlight w:val="none"/>
          <w:u w:val="single"/>
        </w:rPr>
        <w:t xml:space="preserve">       </w:t>
      </w:r>
      <w:r>
        <w:rPr>
          <w:rFonts w:ascii="宋体" w:hAnsi="宋体"/>
          <w:color w:val="auto"/>
          <w:sz w:val="27"/>
          <w:szCs w:val="27"/>
          <w:highlight w:val="none"/>
        </w:rPr>
        <w:t>（盖单位章）</w:t>
      </w:r>
    </w:p>
    <w:p>
      <w:pPr>
        <w:spacing w:line="400" w:lineRule="exact"/>
        <w:jc w:val="center"/>
        <w:rPr>
          <w:rFonts w:ascii="宋体" w:hAnsi="宋体"/>
          <w:color w:val="auto"/>
          <w:sz w:val="27"/>
          <w:szCs w:val="27"/>
          <w:highlight w:val="none"/>
          <w:u w:val="singl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u w:val="single"/>
        </w:rPr>
        <w:t xml:space="preserve">        </w:t>
      </w:r>
      <w:r>
        <w:rPr>
          <w:rFonts w:ascii="宋体" w:hAnsi="宋体"/>
          <w:color w:val="auto"/>
          <w:sz w:val="27"/>
          <w:szCs w:val="27"/>
          <w:highlight w:val="none"/>
        </w:rPr>
        <w:t>年</w:t>
      </w:r>
      <w:r>
        <w:rPr>
          <w:rFonts w:ascii="宋体" w:hAnsi="宋体"/>
          <w:color w:val="auto"/>
          <w:sz w:val="27"/>
          <w:szCs w:val="27"/>
          <w:highlight w:val="none"/>
          <w:u w:val="single"/>
        </w:rPr>
        <w:t xml:space="preserve">        </w:t>
      </w:r>
      <w:r>
        <w:rPr>
          <w:rFonts w:ascii="宋体" w:hAnsi="宋体"/>
          <w:color w:val="auto"/>
          <w:sz w:val="27"/>
          <w:szCs w:val="27"/>
          <w:highlight w:val="none"/>
        </w:rPr>
        <w:t>月</w:t>
      </w:r>
      <w:r>
        <w:rPr>
          <w:rFonts w:ascii="宋体" w:hAnsi="宋体"/>
          <w:color w:val="auto"/>
          <w:sz w:val="27"/>
          <w:szCs w:val="27"/>
          <w:highlight w:val="none"/>
          <w:u w:val="single"/>
        </w:rPr>
        <w:t xml:space="preserve">         </w:t>
      </w:r>
      <w:r>
        <w:rPr>
          <w:rFonts w:ascii="宋体" w:hAnsi="宋体"/>
          <w:color w:val="auto"/>
          <w:sz w:val="27"/>
          <w:szCs w:val="27"/>
          <w:highlight w:val="none"/>
        </w:rPr>
        <w:t>日</w:t>
      </w:r>
    </w:p>
    <w:p>
      <w:pPr>
        <w:rPr>
          <w:rFonts w:hint="eastAsia" w:ascii="仿宋" w:hAnsi="仿宋" w:eastAsia="仿宋" w:cs="仿宋"/>
          <w:color w:val="auto"/>
          <w:sz w:val="24"/>
          <w:szCs w:val="24"/>
          <w:highlight w:val="none"/>
        </w:rPr>
      </w:pPr>
      <w:r>
        <w:rPr>
          <w:rFonts w:ascii="宋体" w:hAnsi="宋体"/>
          <w:color w:val="auto"/>
          <w:sz w:val="20"/>
          <w:szCs w:val="20"/>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186" w:name="_Toc148"/>
      <w:r>
        <w:rPr>
          <w:rFonts w:hint="eastAsia" w:ascii="仿宋" w:hAnsi="仿宋" w:eastAsia="仿宋" w:cs="仿宋"/>
          <w:color w:val="auto"/>
          <w:sz w:val="24"/>
          <w:szCs w:val="24"/>
          <w:highlight w:val="none"/>
        </w:rPr>
        <w:t xml:space="preserve">目 </w:t>
      </w:r>
      <w:bookmarkStart w:id="187" w:name="_Toc359263273"/>
      <w:bookmarkStart w:id="188" w:name="_Toc296602591"/>
      <w:r>
        <w:rPr>
          <w:rFonts w:hint="eastAsia" w:ascii="仿宋" w:hAnsi="仿宋" w:eastAsia="仿宋" w:cs="仿宋"/>
          <w:color w:val="auto"/>
          <w:sz w:val="24"/>
          <w:szCs w:val="24"/>
          <w:highlight w:val="none"/>
        </w:rPr>
        <w:t xml:space="preserve">  录（可加上</w:t>
      </w:r>
      <w:bookmarkEnd w:id="187"/>
      <w:bookmarkEnd w:id="188"/>
      <w:r>
        <w:rPr>
          <w:rFonts w:hint="eastAsia" w:ascii="仿宋" w:hAnsi="仿宋" w:eastAsia="仿宋" w:cs="仿宋"/>
          <w:color w:val="auto"/>
          <w:sz w:val="24"/>
          <w:szCs w:val="24"/>
          <w:highlight w:val="none"/>
        </w:rPr>
        <w:t>二级目录）</w:t>
      </w:r>
      <w:bookmarkEnd w:id="186"/>
    </w:p>
    <w:p>
      <w:pPr>
        <w:spacing w:line="400" w:lineRule="exact"/>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投标文件封面</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投标函及投标函附录</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商务评审资料</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eastAsia="zh-CN"/>
        </w:rPr>
        <w:t>、</w:t>
      </w:r>
      <w:bookmarkStart w:id="317" w:name="_GoBack"/>
      <w:r>
        <w:rPr>
          <w:rFonts w:hint="eastAsia" w:ascii="仿宋" w:hAnsi="仿宋" w:eastAsia="仿宋" w:cs="仿宋"/>
          <w:color w:val="auto"/>
          <w:sz w:val="24"/>
          <w:szCs w:val="24"/>
          <w:highlight w:val="none"/>
        </w:rPr>
        <w:t>招标文件要求或投标人认为有需要的其他资料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bookmarkEnd w:id="317"/>
    </w:p>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89" w:name="_Toc23143"/>
      <w:r>
        <w:rPr>
          <w:rFonts w:hint="eastAsia" w:ascii="仿宋" w:hAnsi="仿宋" w:eastAsia="仿宋" w:cs="仿宋"/>
          <w:color w:val="auto"/>
          <w:sz w:val="24"/>
          <w:szCs w:val="24"/>
          <w:highlight w:val="none"/>
        </w:rPr>
        <w:t>一、投标函及投标函</w:t>
      </w:r>
      <w:bookmarkStart w:id="190" w:name="_Toc221951911"/>
      <w:r>
        <w:rPr>
          <w:rFonts w:hint="eastAsia" w:ascii="仿宋" w:hAnsi="仿宋" w:eastAsia="仿宋" w:cs="仿宋"/>
          <w:color w:val="auto"/>
          <w:sz w:val="24"/>
          <w:szCs w:val="24"/>
          <w:highlight w:val="none"/>
        </w:rPr>
        <w:t>附录</w:t>
      </w:r>
      <w:bookmarkEnd w:id="189"/>
    </w:p>
    <w:p>
      <w:pPr>
        <w:spacing w:line="400" w:lineRule="exact"/>
        <w:outlineLvl w:val="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（一）投标函</w:t>
      </w:r>
    </w:p>
    <w:bookmarkEnd w:id="190"/>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bookmarkStart w:id="191" w:name="_Toc221951912"/>
      <w:r>
        <w:rPr>
          <w:rFonts w:hint="eastAsia" w:ascii="仿宋" w:hAnsi="仿宋" w:eastAsia="仿宋" w:cs="仿宋"/>
          <w:color w:val="auto"/>
          <w:sz w:val="24"/>
          <w:szCs w:val="24"/>
          <w:highlight w:val="none"/>
        </w:rPr>
        <w:t>（招标人名称）：</w:t>
      </w:r>
    </w:p>
    <w:p>
      <w:pPr>
        <w:spacing w:line="400" w:lineRule="exact"/>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1．我方已仔细研究了</w:t>
      </w:r>
      <w:bookmarkEnd w:id="191"/>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bookmarkStart w:id="192" w:name="_Toc221951914"/>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（标段名称）招标文件的全部内容</w:t>
      </w:r>
      <w:bookmarkEnd w:id="192"/>
      <w:r>
        <w:rPr>
          <w:rFonts w:hint="eastAsia" w:ascii="仿宋" w:hAnsi="仿宋" w:eastAsia="仿宋" w:cs="仿宋"/>
          <w:color w:val="auto"/>
          <w:sz w:val="24"/>
          <w:szCs w:val="24"/>
          <w:highlight w:val="none"/>
        </w:rPr>
        <w:t>，愿意</w:t>
      </w:r>
      <w:bookmarkStart w:id="193" w:name="_Toc229305419"/>
      <w:bookmarkStart w:id="194" w:name="_Toc359263280"/>
      <w:bookmarkStart w:id="195" w:name="_Toc259524413"/>
      <w:r>
        <w:rPr>
          <w:rFonts w:hint="eastAsia" w:ascii="仿宋" w:hAnsi="仿宋" w:eastAsia="仿宋" w:cs="仿宋"/>
          <w:color w:val="auto"/>
          <w:sz w:val="24"/>
          <w:szCs w:val="24"/>
          <w:highlight w:val="none"/>
        </w:rPr>
        <w:t>以</w:t>
      </w:r>
      <w:r>
        <w:rPr>
          <w:rFonts w:hint="eastAsia" w:ascii="宋体" w:hAnsi="宋体" w:eastAsia="宋体" w:cs="宋体"/>
          <w:color w:val="auto"/>
          <w:sz w:val="24"/>
          <w:szCs w:val="24"/>
          <w:highlight w:val="none"/>
        </w:rPr>
        <w:t>投标报价下浮率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w:t>
      </w:r>
      <w:r>
        <w:rPr>
          <w:rFonts w:hint="eastAsia" w:ascii="仿宋" w:hAnsi="仿宋" w:eastAsia="仿宋" w:cs="仿宋"/>
          <w:color w:val="auto"/>
          <w:sz w:val="24"/>
          <w:szCs w:val="24"/>
          <w:highlight w:val="none"/>
        </w:rPr>
        <w:t>人民币（大</w:t>
      </w:r>
      <w:bookmarkEnd w:id="193"/>
      <w:bookmarkEnd w:id="194"/>
      <w:bookmarkEnd w:id="195"/>
      <w:r>
        <w:rPr>
          <w:rFonts w:hint="eastAsia" w:ascii="仿宋" w:hAnsi="仿宋" w:eastAsia="仿宋" w:cs="仿宋"/>
          <w:color w:val="auto"/>
          <w:sz w:val="24"/>
          <w:szCs w:val="24"/>
          <w:highlight w:val="none"/>
        </w:rPr>
        <w:t>写）</w:t>
      </w:r>
      <w:bookmarkStart w:id="196" w:name="_Toc221951916"/>
      <w:r>
        <w:rPr>
          <w:rFonts w:hint="eastAsia" w:ascii="仿宋" w:hAnsi="仿宋" w:eastAsia="仿宋" w:cs="仿宋"/>
          <w:color w:val="auto"/>
          <w:sz w:val="24"/>
          <w:szCs w:val="24"/>
          <w:highlight w:val="none"/>
          <w:u w:val="single"/>
        </w:rPr>
        <w:t xml:space="preserve">           </w:t>
      </w:r>
      <w:bookmarkEnd w:id="196"/>
      <w:bookmarkStart w:id="197" w:name="_Toc221951917"/>
      <w:r>
        <w:rPr>
          <w:rFonts w:hint="eastAsia" w:ascii="宋体" w:hAnsi="宋体" w:eastAsia="宋体" w:cs="宋体"/>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）的投标总报价，</w:t>
      </w:r>
      <w:bookmarkEnd w:id="197"/>
      <w:bookmarkStart w:id="198" w:name="_Toc221951918"/>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u w:val="single"/>
          <w:lang w:val="en-US" w:eastAsia="zh-CN"/>
        </w:rPr>
        <w:t>按招标文件要求</w:t>
      </w:r>
      <w:r>
        <w:rPr>
          <w:rFonts w:hint="eastAsia" w:ascii="仿宋" w:hAnsi="仿宋" w:eastAsia="仿宋" w:cs="仿宋"/>
          <w:color w:val="auto"/>
          <w:sz w:val="24"/>
          <w:szCs w:val="24"/>
          <w:highlight w:val="none"/>
        </w:rPr>
        <w:t>，按合同约定</w:t>
      </w:r>
      <w:bookmarkEnd w:id="198"/>
      <w:r>
        <w:rPr>
          <w:rFonts w:hint="eastAsia" w:ascii="仿宋" w:hAnsi="仿宋" w:eastAsia="仿宋" w:cs="仿宋"/>
          <w:color w:val="auto"/>
          <w:sz w:val="24"/>
          <w:szCs w:val="24"/>
          <w:highlight w:val="none"/>
        </w:rPr>
        <w:t>实</w:t>
      </w:r>
      <w:bookmarkStart w:id="199" w:name="_Toc221951919"/>
      <w:r>
        <w:rPr>
          <w:rFonts w:hint="eastAsia" w:ascii="仿宋" w:hAnsi="仿宋" w:eastAsia="仿宋" w:cs="仿宋"/>
          <w:color w:val="auto"/>
          <w:sz w:val="24"/>
          <w:szCs w:val="24"/>
          <w:highlight w:val="none"/>
        </w:rPr>
        <w:t>施和完成承包工</w:t>
      </w:r>
      <w:bookmarkEnd w:id="199"/>
      <w:r>
        <w:rPr>
          <w:rFonts w:hint="eastAsia" w:ascii="仿宋" w:hAnsi="仿宋" w:eastAsia="仿宋" w:cs="仿宋"/>
          <w:color w:val="auto"/>
          <w:sz w:val="24"/>
          <w:szCs w:val="24"/>
          <w:highlight w:val="none"/>
        </w:rPr>
        <w:t>程，</w:t>
      </w:r>
      <w:bookmarkStart w:id="200" w:name="_Toc221951920"/>
      <w:r>
        <w:rPr>
          <w:rFonts w:hint="eastAsia" w:ascii="仿宋" w:hAnsi="仿宋" w:eastAsia="仿宋" w:cs="仿宋"/>
          <w:color w:val="auto"/>
          <w:sz w:val="24"/>
          <w:szCs w:val="24"/>
          <w:highlight w:val="none"/>
        </w:rPr>
        <w:t>修补工程中的任何缺陷</w:t>
      </w:r>
      <w:bookmarkEnd w:id="200"/>
      <w:r>
        <w:rPr>
          <w:rFonts w:hint="eastAsia" w:ascii="仿宋" w:hAnsi="仿宋" w:eastAsia="仿宋" w:cs="仿宋"/>
          <w:color w:val="auto"/>
          <w:sz w:val="24"/>
          <w:szCs w:val="24"/>
          <w:highlight w:val="none"/>
        </w:rPr>
        <w:t>，</w:t>
      </w:r>
      <w:bookmarkStart w:id="201" w:name="_Toc221951921"/>
      <w:r>
        <w:rPr>
          <w:rFonts w:hint="eastAsia" w:ascii="仿宋" w:hAnsi="仿宋" w:eastAsia="仿宋" w:cs="仿宋"/>
          <w:color w:val="auto"/>
          <w:sz w:val="24"/>
          <w:szCs w:val="24"/>
          <w:highlight w:val="none"/>
        </w:rPr>
        <w:t>工程质量达到</w:t>
      </w:r>
      <w:bookmarkEnd w:id="201"/>
      <w:r>
        <w:rPr>
          <w:rFonts w:hint="eastAsia" w:ascii="宋体" w:hAnsi="宋体" w:eastAsia="宋体" w:cs="宋体"/>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pPr>
        <w:spacing w:line="400" w:lineRule="exact"/>
        <w:ind w:firstLine="480" w:firstLineChars="200"/>
        <w:jc w:val="left"/>
        <w:rPr>
          <w:rFonts w:hint="eastAsia" w:ascii="仿宋" w:hAnsi="仿宋" w:eastAsia="仿宋" w:cs="仿宋"/>
          <w:color w:val="auto"/>
          <w:sz w:val="24"/>
          <w:szCs w:val="24"/>
          <w:highlight w:val="none"/>
        </w:rPr>
      </w:pPr>
      <w:bookmarkStart w:id="202" w:name="_Toc221951922"/>
      <w:r>
        <w:rPr>
          <w:rFonts w:hint="eastAsia" w:ascii="仿宋" w:hAnsi="仿宋" w:eastAsia="仿宋" w:cs="仿宋"/>
          <w:color w:val="auto"/>
          <w:sz w:val="24"/>
          <w:szCs w:val="24"/>
          <w:highlight w:val="none"/>
        </w:rPr>
        <w:t>2．我方承诺在投</w:t>
      </w:r>
      <w:bookmarkEnd w:id="202"/>
      <w:r>
        <w:rPr>
          <w:rFonts w:hint="eastAsia" w:ascii="仿宋" w:hAnsi="仿宋" w:eastAsia="仿宋" w:cs="仿宋"/>
          <w:color w:val="auto"/>
          <w:sz w:val="24"/>
          <w:szCs w:val="24"/>
          <w:highlight w:val="none"/>
        </w:rPr>
        <w:t>标</w:t>
      </w:r>
      <w:bookmarkStart w:id="203" w:name="_Toc221951924"/>
      <w:r>
        <w:rPr>
          <w:rFonts w:hint="eastAsia" w:ascii="仿宋" w:hAnsi="仿宋" w:eastAsia="仿宋" w:cs="仿宋"/>
          <w:color w:val="auto"/>
          <w:sz w:val="24"/>
          <w:szCs w:val="24"/>
          <w:highlight w:val="none"/>
        </w:rPr>
        <w:t>有效期内不补充、</w:t>
      </w:r>
      <w:bookmarkEnd w:id="203"/>
      <w:r>
        <w:rPr>
          <w:rFonts w:hint="eastAsia" w:ascii="仿宋" w:hAnsi="仿宋" w:eastAsia="仿宋" w:cs="仿宋"/>
          <w:color w:val="auto"/>
          <w:sz w:val="24"/>
          <w:szCs w:val="24"/>
          <w:highlight w:val="none"/>
        </w:rPr>
        <w:t>修</w:t>
      </w:r>
      <w:bookmarkStart w:id="204" w:name="_Toc221951925"/>
      <w:r>
        <w:rPr>
          <w:rFonts w:hint="eastAsia" w:ascii="仿宋" w:hAnsi="仿宋" w:eastAsia="仿宋" w:cs="仿宋"/>
          <w:color w:val="auto"/>
          <w:sz w:val="24"/>
          <w:szCs w:val="24"/>
          <w:highlight w:val="none"/>
        </w:rPr>
        <w:t>改、</w:t>
      </w:r>
      <w:bookmarkEnd w:id="204"/>
      <w:r>
        <w:rPr>
          <w:rFonts w:hint="eastAsia" w:ascii="仿宋" w:hAnsi="仿宋" w:eastAsia="仿宋" w:cs="仿宋"/>
          <w:color w:val="auto"/>
          <w:sz w:val="24"/>
          <w:szCs w:val="24"/>
          <w:highlight w:val="none"/>
        </w:rPr>
        <w:t>替代或撤回本投标文件。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3．随同本投</w:t>
      </w:r>
      <w:bookmarkStart w:id="205" w:name="_Toc144974857"/>
      <w:bookmarkStart w:id="206" w:name="_Toc222031062"/>
      <w:bookmarkStart w:id="207" w:name="_Toc221951926"/>
      <w:bookmarkStart w:id="208" w:name="_Toc359263281"/>
      <w:bookmarkStart w:id="209" w:name="_Toc222029560"/>
      <w:bookmarkStart w:id="210" w:name="_Toc229305420"/>
      <w:bookmarkStart w:id="211" w:name="_Toc222033911"/>
      <w:bookmarkStart w:id="212" w:name="_Toc168475915"/>
      <w:bookmarkStart w:id="213" w:name="_Toc222032729"/>
      <w:bookmarkStart w:id="214" w:name="_Toc259524414"/>
      <w:bookmarkStart w:id="215" w:name="_Toc168476318"/>
      <w:r>
        <w:rPr>
          <w:rFonts w:hint="eastAsia" w:ascii="仿宋" w:hAnsi="仿宋" w:eastAsia="仿宋" w:cs="仿宋"/>
          <w:color w:val="auto"/>
          <w:sz w:val="24"/>
          <w:szCs w:val="24"/>
          <w:highlight w:val="none"/>
        </w:rPr>
        <w:t>标函提交投标保证金一份</w:t>
      </w:r>
      <w:bookmarkEnd w:id="205"/>
      <w:bookmarkEnd w:id="206"/>
      <w:bookmarkEnd w:id="207"/>
      <w:bookmarkEnd w:id="208"/>
      <w:bookmarkEnd w:id="209"/>
      <w:bookmarkEnd w:id="210"/>
      <w:bookmarkEnd w:id="211"/>
      <w:bookmarkEnd w:id="212"/>
      <w:bookmarkEnd w:id="213"/>
      <w:bookmarkEnd w:id="214"/>
      <w:bookmarkEnd w:id="215"/>
      <w:r>
        <w:rPr>
          <w:rFonts w:hint="eastAsia" w:ascii="仿宋" w:hAnsi="仿宋" w:eastAsia="仿宋" w:cs="仿宋"/>
          <w:color w:val="auto"/>
          <w:sz w:val="24"/>
          <w:szCs w:val="24"/>
          <w:highlight w:val="none"/>
        </w:rPr>
        <w:t>，</w:t>
      </w:r>
      <w:bookmarkStart w:id="216" w:name="_Toc168475916"/>
      <w:bookmarkStart w:id="217" w:name="_Toc168476319"/>
      <w:bookmarkStart w:id="218" w:name="_Toc221951927"/>
      <w:bookmarkStart w:id="219" w:name="_Toc144974858"/>
      <w:r>
        <w:rPr>
          <w:rFonts w:hint="eastAsia" w:ascii="仿宋" w:hAnsi="仿宋" w:eastAsia="仿宋" w:cs="仿宋"/>
          <w:color w:val="auto"/>
          <w:sz w:val="24"/>
          <w:szCs w:val="24"/>
          <w:highlight w:val="none"/>
        </w:rPr>
        <w:t>金额为人民币</w:t>
      </w:r>
      <w:bookmarkEnd w:id="216"/>
      <w:bookmarkEnd w:id="217"/>
      <w:bookmarkEnd w:id="218"/>
      <w:bookmarkEnd w:id="219"/>
      <w:r>
        <w:rPr>
          <w:rFonts w:hint="eastAsia" w:ascii="仿宋" w:hAnsi="仿宋" w:eastAsia="仿宋" w:cs="仿宋"/>
          <w:color w:val="auto"/>
          <w:sz w:val="24"/>
          <w:szCs w:val="24"/>
          <w:highlight w:val="none"/>
        </w:rPr>
        <w:t>（大写</w:t>
      </w:r>
      <w:r>
        <w:rPr>
          <w:rFonts w:hint="eastAsia" w:ascii="宋体" w:hAnsi="宋体" w:eastAsia="宋体" w:cs="宋体"/>
          <w:color w:val="auto"/>
          <w:sz w:val="24"/>
          <w:szCs w:val="24"/>
          <w:highlight w:val="none"/>
        </w:rPr>
        <w:t xml:space="preserve">）元（¥元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400" w:lineRule="exact"/>
        <w:ind w:firstLine="480" w:firstLineChars="200"/>
        <w:rPr>
          <w:rFonts w:hint="eastAsia" w:ascii="仿宋" w:hAnsi="仿宋" w:eastAsia="仿宋" w:cs="仿宋"/>
          <w:color w:val="auto"/>
          <w:sz w:val="24"/>
          <w:szCs w:val="24"/>
          <w:highlight w:val="none"/>
        </w:rPr>
      </w:pPr>
      <w:bookmarkStart w:id="220" w:name="_Toc221951928"/>
      <w:r>
        <w:rPr>
          <w:rFonts w:hint="eastAsia" w:ascii="仿宋" w:hAnsi="仿宋" w:eastAsia="仿宋" w:cs="仿宋"/>
          <w:color w:val="auto"/>
          <w:sz w:val="24"/>
          <w:szCs w:val="24"/>
          <w:highlight w:val="none"/>
        </w:rPr>
        <w:t>4．如我方中标：</w:t>
      </w:r>
      <w:bookmarkEnd w:id="220"/>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bookmarkStart w:id="221" w:name="_Toc221951929"/>
      <w:r>
        <w:rPr>
          <w:rFonts w:hint="eastAsia" w:ascii="仿宋" w:hAnsi="仿宋" w:eastAsia="仿宋" w:cs="仿宋"/>
          <w:color w:val="auto"/>
          <w:sz w:val="24"/>
          <w:szCs w:val="24"/>
          <w:highlight w:val="none"/>
        </w:rPr>
        <w:t>1）我方承诺在收到中标通知书后，在中标通知书规定的期限内与你方签订合同。</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（2）随同本投标函递交的投标函附录属于合同文件的组成部分。</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（3）我方承诺按照招标文件规定向你方递交履约担保。</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（4）我方承诺在合同约定的期限内完成并移交全部合同工程。</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5．我方在此声明，所递交的投标文件及有关资料内容完整、真实</w:t>
      </w:r>
      <w:bookmarkEnd w:id="221"/>
      <w:r>
        <w:rPr>
          <w:rFonts w:hint="eastAsia" w:ascii="仿宋" w:hAnsi="仿宋" w:eastAsia="仿宋" w:cs="仿宋"/>
          <w:color w:val="auto"/>
          <w:sz w:val="24"/>
          <w:szCs w:val="24"/>
          <w:highlight w:val="none"/>
        </w:rPr>
        <w:t>和</w:t>
      </w:r>
      <w:bookmarkStart w:id="222" w:name="_Toc221951930"/>
      <w:r>
        <w:rPr>
          <w:rFonts w:hint="eastAsia" w:ascii="仿宋" w:hAnsi="仿宋" w:eastAsia="仿宋" w:cs="仿宋"/>
          <w:color w:val="auto"/>
          <w:sz w:val="24"/>
          <w:szCs w:val="24"/>
          <w:highlight w:val="none"/>
        </w:rPr>
        <w:t>准确，且不存在第二章“投标人须知”第1.4.3项</w:t>
      </w:r>
      <w:bookmarkEnd w:id="222"/>
      <w:r>
        <w:rPr>
          <w:rFonts w:hint="eastAsia" w:ascii="仿宋" w:hAnsi="仿宋" w:eastAsia="仿宋" w:cs="仿宋"/>
          <w:color w:val="auto"/>
          <w:sz w:val="24"/>
          <w:szCs w:val="24"/>
          <w:highlight w:val="none"/>
        </w:rPr>
        <w:t>和第1.4.4项规</w:t>
      </w:r>
      <w:bookmarkStart w:id="223" w:name="_Toc221951931"/>
      <w:r>
        <w:rPr>
          <w:rFonts w:hint="eastAsia" w:ascii="仿宋" w:hAnsi="仿宋" w:eastAsia="仿宋" w:cs="仿宋"/>
          <w:color w:val="auto"/>
          <w:sz w:val="24"/>
          <w:szCs w:val="24"/>
          <w:highlight w:val="none"/>
        </w:rPr>
        <w:t>定的任何一种情形。</w:t>
      </w:r>
    </w:p>
    <w:p>
      <w:pPr>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w:t>
      </w:r>
      <w:bookmarkEnd w:id="223"/>
      <w:bookmarkStart w:id="224" w:name="_Toc221951932"/>
      <w:r>
        <w:rPr>
          <w:rFonts w:hint="eastAsia" w:ascii="仿宋" w:hAnsi="仿宋" w:eastAsia="仿宋" w:cs="仿宋"/>
          <w:color w:val="auto"/>
          <w:sz w:val="24"/>
          <w:szCs w:val="24"/>
          <w:highlight w:val="none"/>
        </w:rPr>
        <w:t>我方承诺</w:t>
      </w:r>
      <w:r>
        <w:rPr>
          <w:rFonts w:hint="eastAsia" w:ascii="仿宋" w:hAnsi="仿宋" w:eastAsia="仿宋" w:cs="仿宋"/>
          <w:color w:val="auto"/>
          <w:sz w:val="24"/>
          <w:szCs w:val="24"/>
          <w:highlight w:val="none"/>
          <w:lang w:val="en-US" w:eastAsia="zh-CN"/>
        </w:rPr>
        <w:t>完全响应招标文件的技术标准和要求</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（其他补充说明）</w:t>
      </w:r>
      <w:bookmarkEnd w:id="224"/>
      <w:r>
        <w:rPr>
          <w:rFonts w:hint="eastAsia" w:ascii="仿宋" w:hAnsi="仿宋" w:eastAsia="仿宋" w:cs="仿宋"/>
          <w:color w:val="auto"/>
          <w:sz w:val="24"/>
          <w:szCs w:val="24"/>
          <w:highlight w:val="none"/>
        </w:rPr>
        <w:t>。</w:t>
      </w:r>
      <w:bookmarkStart w:id="225" w:name="_Toc221951933"/>
    </w:p>
    <w:p>
      <w:pPr>
        <w:spacing w:line="400" w:lineRule="exact"/>
        <w:ind w:firstLine="4200" w:firstLineChars="1750"/>
        <w:rPr>
          <w:rFonts w:hint="eastAsia" w:ascii="仿宋" w:hAnsi="仿宋" w:eastAsia="仿宋" w:cs="仿宋"/>
          <w:color w:val="auto"/>
          <w:sz w:val="24"/>
          <w:szCs w:val="24"/>
          <w:highlight w:val="none"/>
        </w:rPr>
      </w:pP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bookmarkEnd w:id="225"/>
    <w:p>
      <w:pPr>
        <w:spacing w:line="400" w:lineRule="exact"/>
        <w:ind w:firstLine="4200" w:firstLineChars="17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w:t>
      </w:r>
      <w:bookmarkStart w:id="226" w:name="_Toc221951934"/>
      <w:r>
        <w:rPr>
          <w:rFonts w:hint="eastAsia" w:ascii="仿宋" w:hAnsi="仿宋" w:eastAsia="仿宋" w:cs="仿宋"/>
          <w:color w:val="auto"/>
          <w:sz w:val="24"/>
          <w:szCs w:val="24"/>
          <w:highlight w:val="none"/>
        </w:rPr>
        <w:t>定代表人或其委托代理人：</w:t>
      </w:r>
      <w:r>
        <w:rPr>
          <w:rFonts w:hint="eastAsia" w:ascii="仿宋" w:hAnsi="仿宋" w:eastAsia="仿宋" w:cs="仿宋"/>
          <w:color w:val="auto"/>
          <w:sz w:val="24"/>
          <w:szCs w:val="24"/>
          <w:highlight w:val="none"/>
          <w:u w:val="single"/>
        </w:rPr>
        <w:t xml:space="preserve">  （签字） </w:t>
      </w:r>
      <w:bookmarkEnd w:id="226"/>
    </w:p>
    <w:p>
      <w:pPr>
        <w:spacing w:line="400" w:lineRule="exact"/>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项目负责人：              （签字）</w:t>
      </w: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技术负责人：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（签字）</w:t>
      </w:r>
    </w:p>
    <w:p>
      <w:pPr>
        <w:spacing w:line="400" w:lineRule="exact"/>
        <w:ind w:firstLine="4200" w:firstLineChars="1750"/>
        <w:rPr>
          <w:rFonts w:hint="eastAsia" w:ascii="仿宋" w:hAnsi="仿宋" w:eastAsia="仿宋" w:cs="仿宋"/>
          <w:color w:val="auto"/>
          <w:sz w:val="24"/>
          <w:szCs w:val="24"/>
          <w:highlight w:val="none"/>
        </w:rPr>
      </w:pPr>
      <w:bookmarkStart w:id="227" w:name="_Toc221951935"/>
      <w:r>
        <w:rPr>
          <w:rFonts w:hint="eastAsia" w:ascii="仿宋" w:hAnsi="仿宋" w:eastAsia="仿宋" w:cs="仿宋"/>
          <w:color w:val="auto"/>
          <w:sz w:val="24"/>
          <w:szCs w:val="24"/>
          <w:highlight w:val="none"/>
        </w:rPr>
        <w:t>地址</w:t>
      </w:r>
      <w:bookmarkEnd w:id="227"/>
      <w:bookmarkStart w:id="228" w:name="_Toc221951936"/>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bookmarkEnd w:id="228"/>
      <w:bookmarkStart w:id="229" w:name="_Toc221951937"/>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bookmarkEnd w:id="229"/>
      <w:bookmarkStart w:id="230" w:name="_Toc221951938"/>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宋体" w:hAnsi="宋体" w:eastAsia="宋体" w:cs="宋体"/>
          <w:color w:val="auto"/>
          <w:sz w:val="24"/>
          <w:szCs w:val="24"/>
          <w:highlight w:val="none"/>
          <w:u w:val="single"/>
          <w:lang w:val="en-US" w:eastAsia="zh-CN"/>
        </w:rPr>
      </w:pPr>
      <w:r>
        <w:rPr>
          <w:rFonts w:hint="eastAsia" w:ascii="仿宋" w:hAnsi="仿宋" w:eastAsia="仿宋" w:cs="仿宋"/>
          <w:color w:val="auto"/>
          <w:sz w:val="24"/>
          <w:szCs w:val="24"/>
          <w:highlight w:val="none"/>
        </w:rPr>
        <w:t>邮政编码</w:t>
      </w:r>
      <w:bookmarkEnd w:id="230"/>
      <w:bookmarkStart w:id="231" w:name="_Toc221951939"/>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pPr>
        <w:spacing w:line="400" w:lineRule="exact"/>
        <w:ind w:firstLine="4200" w:firstLineChars="1750"/>
        <w:rPr>
          <w:rFonts w:hint="eastAsia" w:ascii="仿宋" w:hAnsi="仿宋" w:eastAsia="仿宋" w:cs="仿宋"/>
          <w:color w:val="auto"/>
          <w:sz w:val="24"/>
          <w:szCs w:val="24"/>
          <w:highlight w:val="none"/>
          <w:lang w:eastAsia="zh-CN"/>
        </w:rPr>
      </w:pPr>
      <w:r>
        <w:rPr>
          <w:rFonts w:hint="eastAsia" w:ascii="宋体" w:hAnsi="宋体" w:cs="宋体"/>
          <w:color w:val="auto"/>
          <w:sz w:val="24"/>
          <w:szCs w:val="24"/>
          <w:highlight w:val="none"/>
          <w:lang w:val="en-US" w:eastAsia="zh-CN"/>
        </w:rPr>
        <w:t xml:space="preserve"> </w:t>
      </w:r>
    </w:p>
    <w:bookmarkEnd w:id="231"/>
    <w:p>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pageBreakBefore/>
        <w:spacing w:line="400" w:lineRule="exact"/>
        <w:rPr>
          <w:rFonts w:hint="eastAsia" w:ascii="仿宋" w:hAnsi="仿宋" w:eastAsia="仿宋" w:cs="仿宋"/>
          <w:b/>
          <w:bCs/>
          <w:color w:val="auto"/>
          <w:sz w:val="24"/>
          <w:szCs w:val="24"/>
          <w:highlight w:val="none"/>
          <w:lang w:val="zh-CN"/>
        </w:rPr>
      </w:pPr>
      <w:bookmarkStart w:id="232" w:name="_Toc221951947"/>
      <w:bookmarkStart w:id="233" w:name="_Toc168475917"/>
      <w:bookmarkStart w:id="234" w:name="_Toc144974859"/>
      <w:bookmarkStart w:id="235" w:name="_Toc168476320"/>
      <w:r>
        <w:rPr>
          <w:rFonts w:hint="eastAsia" w:ascii="仿宋" w:hAnsi="仿宋" w:eastAsia="仿宋" w:cs="仿宋"/>
          <w:b/>
          <w:color w:val="auto"/>
          <w:sz w:val="24"/>
          <w:szCs w:val="24"/>
          <w:highlight w:val="none"/>
        </w:rPr>
        <w:t>（二）</w:t>
      </w:r>
      <w:r>
        <w:rPr>
          <w:rFonts w:hint="eastAsia" w:ascii="仿宋" w:hAnsi="仿宋" w:eastAsia="仿宋" w:cs="仿宋"/>
          <w:color w:val="auto"/>
          <w:sz w:val="24"/>
          <w:szCs w:val="24"/>
          <w:highlight w:val="none"/>
        </w:rPr>
        <w:t>投标函附录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下浮率（</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lang w:val="zh-CN"/>
              </w:rPr>
              <w:t>）</w:t>
            </w:r>
          </w:p>
        </w:tc>
        <w:tc>
          <w:tcPr>
            <w:tcW w:w="5851" w:type="dxa"/>
            <w:gridSpan w:val="2"/>
            <w:tcBorders>
              <w:top w:val="single" w:color="auto" w:sz="4" w:space="0"/>
              <w:left w:val="single" w:color="auto" w:sz="4" w:space="0"/>
              <w:right w:val="single" w:color="auto" w:sz="4" w:space="0"/>
            </w:tcBorders>
            <w:noWrap w:val="0"/>
            <w:vAlign w:val="center"/>
          </w:tcPr>
          <w:p>
            <w:pPr>
              <w:pStyle w:val="116"/>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（元</w:t>
            </w:r>
            <w:r>
              <w:rPr>
                <w:rFonts w:hint="eastAsia" w:ascii="仿宋" w:hAnsi="仿宋" w:eastAsia="仿宋" w:cs="仿宋"/>
                <w:color w:val="auto"/>
                <w:sz w:val="24"/>
                <w:szCs w:val="24"/>
                <w:highlight w:val="none"/>
                <w:lang w:val="zh-CN"/>
              </w:rPr>
              <w:t>）</w:t>
            </w:r>
          </w:p>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投标报</w:t>
            </w:r>
            <w:r>
              <w:rPr>
                <w:rFonts w:hint="eastAsia" w:ascii="仿宋" w:hAnsi="仿宋" w:eastAsia="仿宋" w:cs="仿宋"/>
                <w:color w:val="auto"/>
                <w:sz w:val="24"/>
                <w:szCs w:val="24"/>
                <w:highlight w:val="none"/>
                <w:lang w:val="en-US" w:eastAsia="zh-CN"/>
              </w:rPr>
              <w:t>价=最高</w:t>
            </w:r>
            <w:r>
              <w:rPr>
                <w:rFonts w:hint="eastAsia" w:ascii="仿宋" w:hAnsi="仿宋" w:eastAsia="仿宋" w:cs="仿宋"/>
                <w:color w:val="auto"/>
                <w:sz w:val="24"/>
                <w:szCs w:val="24"/>
                <w:highlight w:val="none"/>
                <w:lang w:val="zh-CN"/>
              </w:rPr>
              <w:t>投标限价×</w:t>
            </w:r>
            <w:r>
              <w:rPr>
                <w:rFonts w:hint="eastAsia" w:ascii="仿宋" w:hAnsi="仿宋" w:eastAsia="仿宋" w:cs="仿宋"/>
                <w:color w:val="auto"/>
                <w:sz w:val="24"/>
                <w:szCs w:val="24"/>
                <w:highlight w:val="none"/>
                <w:lang w:val="en-US" w:eastAsia="zh-CN"/>
              </w:rPr>
              <w:t>（1-投标报价下浮率），四舍五入</w:t>
            </w:r>
            <w:r>
              <w:rPr>
                <w:rFonts w:hint="eastAsia" w:ascii="仿宋" w:hAnsi="仿宋" w:eastAsia="仿宋" w:cs="仿宋"/>
                <w:color w:val="auto"/>
                <w:sz w:val="24"/>
                <w:szCs w:val="24"/>
                <w:highlight w:val="none"/>
                <w:lang w:val="zh-CN"/>
              </w:rPr>
              <w:t>保留至小数点后2位</w:t>
            </w:r>
          </w:p>
        </w:tc>
        <w:tc>
          <w:tcPr>
            <w:tcW w:w="585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Lines="0" w:beforeAutospacing="0" w:after="0" w:afterLines="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352" w:firstLineChars="147"/>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安全生产考核合格证（C类）编号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bookmarkEnd w:id="232"/>
      <w:bookmarkEnd w:id="233"/>
      <w:bookmarkEnd w:id="234"/>
      <w:bookmarkEnd w:id="235"/>
    </w:tbl>
    <w:p>
      <w:pPr>
        <w:autoSpaceDE w:val="0"/>
        <w:autoSpaceDN w:val="0"/>
        <w:adjustRightInd w:val="0"/>
        <w:jc w:val="center"/>
        <w:rPr>
          <w:rFonts w:hint="eastAsia" w:ascii="仿宋" w:hAnsi="仿宋" w:eastAsia="仿宋" w:cs="仿宋"/>
          <w:b/>
          <w:color w:val="auto"/>
          <w:sz w:val="24"/>
          <w:szCs w:val="24"/>
          <w:highlight w:val="none"/>
          <w:lang w:val="zh-CN"/>
        </w:rPr>
      </w:pPr>
    </w:p>
    <w:p>
      <w:pPr>
        <w:autoSpaceDE w:val="0"/>
        <w:autoSpaceDN w:val="0"/>
        <w:adjustRightIn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投标日期：   年  月  日</w:t>
      </w:r>
    </w:p>
    <w:p>
      <w:pPr>
        <w:autoSpaceDE w:val="0"/>
        <w:autoSpaceDN w:val="0"/>
        <w:adjustRightIn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本表所报委派的项目负责人、安全员的姓名及相关资料，须与本企业在广州公共资源交易信息登记平台一致。</w:t>
      </w:r>
    </w:p>
    <w:p>
      <w:pPr>
        <w:autoSpaceDE w:val="0"/>
        <w:autoSpaceDN w:val="0"/>
        <w:adjustRightInd w:val="0"/>
        <w:jc w:val="left"/>
        <w:rPr>
          <w:rFonts w:hint="eastAsia"/>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本投标函附录由投标文件管理软件生成，投标人可直接在上面填写相关内容。</w:t>
      </w: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360" w:lineRule="auto"/>
        <w:jc w:val="center"/>
        <w:outlineLvl w:val="2"/>
        <w:rPr>
          <w:rFonts w:hint="eastAsia" w:ascii="仿宋" w:hAnsi="仿宋" w:eastAsia="仿宋" w:cs="仿宋"/>
          <w:color w:val="auto"/>
          <w:sz w:val="24"/>
          <w:szCs w:val="24"/>
          <w:highlight w:val="none"/>
        </w:rPr>
      </w:pPr>
      <w:bookmarkStart w:id="236" w:name="_Toc3479"/>
      <w:r>
        <w:rPr>
          <w:rFonts w:hint="eastAsia" w:ascii="仿宋" w:hAnsi="仿宋" w:eastAsia="仿宋" w:cs="仿宋"/>
          <w:color w:val="auto"/>
          <w:sz w:val="24"/>
          <w:szCs w:val="24"/>
          <w:highlight w:val="none"/>
        </w:rPr>
        <w:t>二、法定代表人身份证明</w:t>
      </w:r>
      <w:bookmarkEnd w:id="236"/>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(投标人名称)的法定代表人。</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附：法定代表人身份证正反面彩色</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37" w:name="_Toc221952016"/>
      <w:bookmarkEnd w:id="237"/>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 </w:t>
      </w:r>
      <w:bookmarkStart w:id="238" w:name="_Toc221952017"/>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239" w:name="_Toc4989"/>
      <w:r>
        <w:rPr>
          <w:rFonts w:hint="eastAsia" w:ascii="仿宋" w:hAnsi="仿宋" w:eastAsia="仿宋" w:cs="仿宋"/>
          <w:color w:val="auto"/>
          <w:sz w:val="24"/>
          <w:szCs w:val="24"/>
          <w:highlight w:val="none"/>
        </w:rPr>
        <w:t>三、授权委托书</w:t>
      </w:r>
      <w:bookmarkEnd w:id="239"/>
    </w:p>
    <w:p>
      <w:pPr>
        <w:spacing w:line="400" w:lineRule="exact"/>
        <w:rPr>
          <w:rFonts w:hint="eastAsia" w:ascii="仿宋" w:hAnsi="仿宋" w:eastAsia="仿宋" w:cs="仿宋"/>
          <w:color w:val="auto"/>
          <w:sz w:val="24"/>
          <w:szCs w:val="24"/>
          <w:highlight w:val="none"/>
        </w:rPr>
      </w:pPr>
    </w:p>
    <w:p>
      <w:pPr>
        <w:topLinePunct/>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（标段名称）投标文件、签订合同和处理有关事宜，其法律后果由我方承担。</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238"/>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w:t>
      </w:r>
      <w:bookmarkStart w:id="240" w:name="_Toc221952022"/>
      <w:r>
        <w:rPr>
          <w:rFonts w:hint="eastAsia" w:ascii="仿宋" w:hAnsi="仿宋" w:eastAsia="仿宋" w:cs="仿宋"/>
          <w:color w:val="auto"/>
          <w:sz w:val="24"/>
          <w:szCs w:val="24"/>
          <w:highlight w:val="none"/>
        </w:rPr>
        <w:t>无转委托权。代理人为投标人正式职工（提供最近3个月的社</w:t>
      </w:r>
      <w:bookmarkEnd w:id="240"/>
      <w:r>
        <w:rPr>
          <w:rFonts w:hint="eastAsia" w:ascii="仿宋" w:hAnsi="仿宋" w:eastAsia="仿宋" w:cs="仿宋"/>
          <w:color w:val="auto"/>
          <w:sz w:val="24"/>
          <w:szCs w:val="24"/>
          <w:highlight w:val="none"/>
        </w:rPr>
        <w:t>保证明）</w:t>
      </w:r>
    </w:p>
    <w:p>
      <w:pPr>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附：委托代</w:t>
      </w:r>
      <w:bookmarkStart w:id="241" w:name="_Toc221952023"/>
      <w:r>
        <w:rPr>
          <w:rFonts w:hint="eastAsia" w:ascii="仿宋" w:hAnsi="仿宋" w:eastAsia="仿宋" w:cs="仿宋"/>
          <w:color w:val="auto"/>
          <w:sz w:val="24"/>
          <w:szCs w:val="24"/>
          <w:highlight w:val="none"/>
        </w:rPr>
        <w:t>理人身份证正反面和社保证明</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bookmarkEnd w:id="241"/>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42" w:name="_Toc221952025"/>
      <w:r>
        <w:rPr>
          <w:rFonts w:hint="eastAsia" w:ascii="仿宋" w:hAnsi="仿宋" w:eastAsia="仿宋" w:cs="仿宋"/>
          <w:color w:val="auto"/>
          <w:sz w:val="24"/>
          <w:szCs w:val="24"/>
          <w:highlight w:val="none"/>
        </w:rPr>
        <w:t>：</w:t>
      </w:r>
      <w:bookmarkStart w:id="243" w:name="_Toc168475919"/>
      <w:bookmarkEnd w:id="243"/>
      <w:bookmarkStart w:id="244" w:name="_Toc144974861"/>
      <w:bookmarkEnd w:id="244"/>
      <w:bookmarkStart w:id="245" w:name="_Toc222033913"/>
      <w:bookmarkEnd w:id="245"/>
      <w:bookmarkStart w:id="246" w:name="_Toc229305422"/>
      <w:bookmarkEnd w:id="246"/>
      <w:bookmarkStart w:id="247" w:name="_Toc221952024"/>
      <w:bookmarkEnd w:id="247"/>
      <w:bookmarkStart w:id="248" w:name="_Toc222031064"/>
      <w:bookmarkEnd w:id="248"/>
      <w:bookmarkStart w:id="249" w:name="_Toc222029562"/>
      <w:bookmarkEnd w:id="249"/>
      <w:bookmarkStart w:id="250" w:name="_Toc168476322"/>
      <w:bookmarkEnd w:id="250"/>
      <w:bookmarkStart w:id="251" w:name="_Toc259524416"/>
      <w:bookmarkEnd w:id="251"/>
      <w:bookmarkStart w:id="252" w:name="_Toc222032731"/>
      <w:bookmarkEnd w:id="252"/>
      <w:bookmarkStart w:id="253" w:name="_Toc359263283"/>
      <w:bookmarkEnd w:id="253"/>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pPr>
        <w:wordWrap w:val="0"/>
        <w:spacing w:line="400" w:lineRule="exact"/>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bookmarkEnd w:id="242"/>
      <w:r>
        <w:rPr>
          <w:rFonts w:hint="eastAsia" w:ascii="仿宋" w:hAnsi="仿宋" w:eastAsia="仿宋" w:cs="仿宋"/>
          <w:color w:val="auto"/>
          <w:sz w:val="24"/>
          <w:szCs w:val="24"/>
          <w:highlight w:val="none"/>
        </w:rPr>
        <w:t>签字）</w:t>
      </w:r>
      <w:bookmarkStart w:id="254" w:name="_Toc221952026"/>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bookmarkEnd w:id="254"/>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spacing w:line="400" w:lineRule="exact"/>
        <w:ind w:firstLine="1800" w:firstLineChars="7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55" w:name="_Toc221952044"/>
    </w:p>
    <w:p>
      <w:pPr>
        <w:spacing w:line="360" w:lineRule="auto"/>
        <w:jc w:val="center"/>
        <w:outlineLvl w:val="2"/>
        <w:rPr>
          <w:rFonts w:hint="eastAsia" w:ascii="仿宋" w:hAnsi="仿宋" w:eastAsia="仿宋" w:cs="仿宋"/>
          <w:color w:val="auto"/>
          <w:sz w:val="24"/>
          <w:szCs w:val="24"/>
          <w:highlight w:val="none"/>
        </w:rPr>
      </w:pPr>
      <w:bookmarkStart w:id="256" w:name="_Toc16161"/>
      <w:r>
        <w:rPr>
          <w:rFonts w:hint="eastAsia" w:ascii="仿宋" w:hAnsi="仿宋" w:eastAsia="仿宋" w:cs="仿宋"/>
          <w:color w:val="auto"/>
          <w:sz w:val="24"/>
          <w:szCs w:val="24"/>
          <w:highlight w:val="none"/>
        </w:rPr>
        <w:t>四、投标保证金</w:t>
      </w:r>
      <w:bookmarkEnd w:id="256"/>
    </w:p>
    <w:p>
      <w:pPr>
        <w:spacing w:line="400" w:lineRule="exact"/>
        <w:jc w:val="left"/>
        <w:rPr>
          <w:rFonts w:hint="eastAsia" w:ascii="仿宋" w:hAnsi="仿宋" w:eastAsia="仿宋" w:cs="仿宋"/>
          <w:color w:val="auto"/>
          <w:sz w:val="24"/>
          <w:szCs w:val="24"/>
          <w:highlight w:val="none"/>
          <w:u w:val="singl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（招标人名称）：</w:t>
      </w:r>
    </w:p>
    <w:p>
      <w:pPr>
        <w:spacing w:line="400" w:lineRule="exact"/>
        <w:jc w:val="left"/>
        <w:rPr>
          <w:rFonts w:hint="eastAsia" w:ascii="仿宋" w:hAnsi="仿宋" w:eastAsia="仿宋" w:cs="仿宋"/>
          <w:color w:val="auto"/>
          <w:sz w:val="24"/>
          <w:szCs w:val="24"/>
          <w:highlight w:val="none"/>
        </w:rPr>
      </w:pP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（投标人名称）</w:t>
      </w:r>
      <w:r>
        <w:rPr>
          <w:rFonts w:hint="eastAsia" w:ascii="仿宋" w:hAnsi="仿宋" w:eastAsia="仿宋" w:cs="仿宋"/>
          <w:color w:val="auto"/>
          <w:sz w:val="24"/>
          <w:szCs w:val="24"/>
          <w:highlight w:val="none"/>
        </w:rPr>
        <w:t>（以下称“投标人”）于年月日参加</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255"/>
      <w:bookmarkStart w:id="257" w:name="_Toc221952043"/>
      <w:r>
        <w:rPr>
          <w:rFonts w:hint="eastAsia" w:ascii="仿宋" w:hAnsi="仿宋" w:eastAsia="仿宋" w:cs="仿宋"/>
          <w:color w:val="auto"/>
          <w:sz w:val="24"/>
          <w:szCs w:val="24"/>
          <w:highlight w:val="none"/>
        </w:rPr>
        <w:t>方支付人民币（大写）。</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本担保在投标有效期内保持有</w:t>
      </w:r>
      <w:bookmarkEnd w:id="257"/>
      <w:r>
        <w:rPr>
          <w:rFonts w:hint="eastAsia" w:ascii="仿宋" w:hAnsi="仿宋" w:eastAsia="仿宋" w:cs="仿宋"/>
          <w:color w:val="auto"/>
          <w:sz w:val="24"/>
          <w:szCs w:val="24"/>
          <w:highlight w:val="none"/>
        </w:rPr>
        <w:t>效。要求我</w:t>
      </w:r>
      <w:bookmarkStart w:id="258" w:name="_Toc229305424"/>
      <w:bookmarkStart w:id="259" w:name="_Toc168475921"/>
      <w:bookmarkStart w:id="260" w:name="_Toc222033915"/>
      <w:bookmarkStart w:id="261" w:name="_Toc222029564"/>
      <w:bookmarkStart w:id="262" w:name="_Toc168476324"/>
      <w:bookmarkStart w:id="263" w:name="_Toc222031066"/>
      <w:bookmarkStart w:id="264" w:name="_Toc222032733"/>
      <w:bookmarkStart w:id="265" w:name="_Toc221952052"/>
      <w:bookmarkStart w:id="266" w:name="_Toc359263285"/>
      <w:bookmarkStart w:id="267" w:name="_Toc259524418"/>
      <w:r>
        <w:rPr>
          <w:rFonts w:hint="eastAsia" w:ascii="仿宋" w:hAnsi="仿宋" w:eastAsia="仿宋" w:cs="仿宋"/>
          <w:color w:val="auto"/>
          <w:sz w:val="24"/>
          <w:szCs w:val="24"/>
          <w:highlight w:val="none"/>
        </w:rPr>
        <w:t>方承担保证责任</w:t>
      </w:r>
      <w:bookmarkEnd w:id="258"/>
      <w:bookmarkEnd w:id="259"/>
      <w:bookmarkEnd w:id="260"/>
      <w:bookmarkEnd w:id="261"/>
      <w:bookmarkEnd w:id="262"/>
      <w:bookmarkEnd w:id="263"/>
      <w:bookmarkEnd w:id="264"/>
      <w:bookmarkEnd w:id="265"/>
      <w:bookmarkEnd w:id="266"/>
      <w:bookmarkEnd w:id="267"/>
      <w:r>
        <w:rPr>
          <w:rFonts w:hint="eastAsia" w:ascii="仿宋" w:hAnsi="仿宋" w:eastAsia="仿宋" w:cs="仿宋"/>
          <w:color w:val="auto"/>
          <w:sz w:val="24"/>
          <w:szCs w:val="24"/>
          <w:highlight w:val="none"/>
        </w:rPr>
        <w:t>的书面通知应在投标有效期内送达</w:t>
      </w:r>
      <w:bookmarkStart w:id="268" w:name="_Toc221952054"/>
      <w:r>
        <w:rPr>
          <w:rFonts w:hint="eastAsia" w:ascii="仿宋" w:hAnsi="仿宋" w:eastAsia="仿宋" w:cs="仿宋"/>
          <w:color w:val="auto"/>
          <w:sz w:val="24"/>
          <w:szCs w:val="24"/>
          <w:highlight w:val="none"/>
        </w:rPr>
        <w:t>我方。</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bookmarkEnd w:id="268"/>
    <w:p>
      <w:pPr>
        <w:spacing w:line="400" w:lineRule="exact"/>
        <w:jc w:val="left"/>
        <w:rPr>
          <w:rFonts w:hint="eastAsia" w:ascii="仿宋" w:hAnsi="仿宋" w:eastAsia="仿宋" w:cs="仿宋"/>
          <w:color w:val="auto"/>
          <w:sz w:val="24"/>
          <w:szCs w:val="24"/>
          <w:highlight w:val="none"/>
        </w:rPr>
      </w:pP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bookmarkStart w:id="269" w:name="_Toc221952056"/>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787" w:firstLineChars="157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注1：投标保证金由广州公共资源交易平台代收</w:t>
      </w:r>
      <w:bookmarkEnd w:id="269"/>
      <w:r>
        <w:rPr>
          <w:rFonts w:hint="eastAsia" w:ascii="仿宋" w:hAnsi="仿宋" w:eastAsia="仿宋" w:cs="仿宋"/>
          <w:color w:val="auto"/>
          <w:sz w:val="24"/>
          <w:szCs w:val="24"/>
          <w:highlight w:val="none"/>
        </w:rPr>
        <w:t>的，以开标记录表记录的结果为准。</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2：招标人收取的，附招标人开具收据的复印件；</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3.采用投标保函形式的，应采用上述格式或银行保函的格式。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4：委托代理人应附授权委托书。</w:t>
      </w:r>
    </w:p>
    <w:p>
      <w:pPr>
        <w:spacing w:line="360" w:lineRule="auto"/>
        <w:jc w:val="center"/>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70" w:name="_Toc28960"/>
      <w:r>
        <w:rPr>
          <w:rFonts w:hint="eastAsia" w:ascii="仿宋" w:hAnsi="仿宋" w:eastAsia="仿宋" w:cs="仿宋"/>
          <w:color w:val="auto"/>
          <w:sz w:val="24"/>
          <w:szCs w:val="24"/>
          <w:highlight w:val="none"/>
        </w:rPr>
        <w:t>五、</w:t>
      </w:r>
      <w:bookmarkEnd w:id="270"/>
      <w:bookmarkStart w:id="271" w:name="_Toc17454959"/>
      <w:bookmarkStart w:id="272" w:name="_Toc17454908"/>
      <w:bookmarkStart w:id="273" w:name="_Toc17452701"/>
      <w:bookmarkStart w:id="274" w:name="_Toc17451138"/>
      <w:bookmarkStart w:id="275" w:name="_Toc17556913"/>
      <w:bookmarkStart w:id="276" w:name="_Toc17451615"/>
      <w:bookmarkStart w:id="277" w:name="_Toc17451660"/>
      <w:bookmarkStart w:id="278" w:name="_Toc20871"/>
      <w:r>
        <w:rPr>
          <w:rFonts w:hint="eastAsia" w:ascii="仿宋" w:hAnsi="仿宋" w:eastAsia="仿宋" w:cs="仿宋"/>
          <w:color w:val="auto"/>
          <w:sz w:val="24"/>
          <w:szCs w:val="24"/>
          <w:highlight w:val="none"/>
        </w:rPr>
        <w:t>项目管理机构</w:t>
      </w:r>
      <w:bookmarkEnd w:id="271"/>
      <w:bookmarkEnd w:id="272"/>
      <w:bookmarkEnd w:id="273"/>
      <w:bookmarkEnd w:id="274"/>
      <w:bookmarkEnd w:id="275"/>
      <w:bookmarkEnd w:id="276"/>
      <w:bookmarkEnd w:id="277"/>
      <w:bookmarkEnd w:id="278"/>
    </w:p>
    <w:p>
      <w:pPr>
        <w:spacing w:line="360" w:lineRule="auto"/>
        <w:jc w:val="center"/>
        <w:outlineLvl w:val="2"/>
        <w:rPr>
          <w:rFonts w:hint="eastAsia" w:ascii="宋体" w:hAnsi="宋体"/>
          <w:b/>
          <w:color w:val="auto"/>
          <w:sz w:val="24"/>
          <w:szCs w:val="24"/>
          <w:highlight w:val="none"/>
        </w:rPr>
      </w:pPr>
      <w:r>
        <w:rPr>
          <w:rFonts w:hint="eastAsia" w:ascii="宋体" w:hAnsi="宋体"/>
          <w:b/>
          <w:color w:val="auto"/>
          <w:sz w:val="24"/>
          <w:szCs w:val="24"/>
          <w:highlight w:val="none"/>
        </w:rPr>
        <w:t>项目管理架构人员最低配置承诺书（参考格式）</w:t>
      </w:r>
    </w:p>
    <w:p>
      <w:pPr>
        <w:spacing w:before="120" w:line="520" w:lineRule="exact"/>
        <w:ind w:left="960" w:hanging="960"/>
        <w:rPr>
          <w:rFonts w:ascii="宋体" w:hAnsi="宋体"/>
          <w:color w:val="auto"/>
          <w:szCs w:val="32"/>
          <w:highlight w:val="none"/>
        </w:rPr>
      </w:pPr>
      <w:r>
        <w:rPr>
          <w:rFonts w:ascii="宋体" w:hAnsi="宋体"/>
          <w:color w:val="auto"/>
          <w:szCs w:val="32"/>
          <w:highlight w:val="none"/>
        </w:rPr>
        <w:t>致（招标人）：</w:t>
      </w:r>
    </w:p>
    <w:p>
      <w:pPr>
        <w:spacing w:before="120" w:line="520" w:lineRule="exact"/>
        <w:ind w:left="6" w:leftChars="3" w:firstLine="420" w:firstLineChars="200"/>
        <w:rPr>
          <w:rFonts w:ascii="宋体" w:hAnsi="宋体"/>
          <w:b/>
          <w:bCs/>
          <w:color w:val="auto"/>
          <w:szCs w:val="32"/>
          <w:highlight w:val="none"/>
        </w:rPr>
      </w:pPr>
      <w:r>
        <w:rPr>
          <w:rFonts w:ascii="宋体" w:hAnsi="宋体"/>
          <w:color w:val="auto"/>
          <w:szCs w:val="32"/>
          <w:highlight w:val="none"/>
        </w:rPr>
        <w:t>我公司参与</w:t>
      </w:r>
      <w:r>
        <w:rPr>
          <w:rFonts w:ascii="宋体" w:hAnsi="宋体"/>
          <w:color w:val="auto"/>
          <w:szCs w:val="32"/>
          <w:highlight w:val="none"/>
          <w:u w:val="single"/>
        </w:rPr>
        <w:t xml:space="preserve">                （项目）</w:t>
      </w:r>
      <w:r>
        <w:rPr>
          <w:rFonts w:ascii="宋体" w:hAnsi="宋体"/>
          <w:color w:val="auto"/>
          <w:szCs w:val="32"/>
          <w:highlight w:val="none"/>
        </w:rPr>
        <w:t>投标，郑重承诺如下(具体要求请招标人根据项目特点确定)：</w:t>
      </w:r>
    </w:p>
    <w:tbl>
      <w:tblPr>
        <w:tblStyle w:val="40"/>
        <w:tblpPr w:leftFromText="180" w:rightFromText="180" w:vertAnchor="page" w:horzAnchor="page" w:tblpX="1035" w:tblpY="45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rPr>
                <w:rFonts w:hint="eastAsia" w:ascii="宋体" w:hAnsi="宋体" w:cs="Calibri"/>
                <w:color w:val="auto"/>
                <w:szCs w:val="21"/>
                <w:highlight w:val="none"/>
              </w:rPr>
            </w:pPr>
            <w:r>
              <w:rPr>
                <w:rFonts w:hint="eastAsia" w:ascii="宋体" w:hAnsi="宋体" w:cs="Calibri"/>
                <w:color w:val="auto"/>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firstLine="34"/>
              <w:rPr>
                <w:rFonts w:hint="default" w:ascii="宋体" w:hAnsi="宋体" w:cs="Calibri"/>
                <w:color w:val="auto"/>
                <w:sz w:val="24"/>
                <w:szCs w:val="24"/>
                <w:highlight w:val="none"/>
              </w:rPr>
            </w:pPr>
            <w:r>
              <w:rPr>
                <w:rFonts w:hint="default" w:ascii="宋体" w:hAnsi="宋体" w:cs="Calibri"/>
                <w:color w:val="auto"/>
                <w:sz w:val="24"/>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具备预结算从业资格</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1个以上</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bl>
    <w:p>
      <w:pPr>
        <w:spacing w:before="120" w:line="400" w:lineRule="exact"/>
        <w:ind w:right="42" w:rightChars="20" w:firstLine="480" w:firstLineChars="200"/>
        <w:rPr>
          <w:rFonts w:ascii="宋体" w:hAnsi="宋体"/>
          <w:color w:val="auto"/>
          <w:sz w:val="24"/>
          <w:szCs w:val="24"/>
          <w:highlight w:val="none"/>
        </w:rPr>
      </w:pPr>
      <w:r>
        <w:rPr>
          <w:rFonts w:ascii="宋体" w:hAnsi="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如我公司违反上述承诺，我公司自愿放弃本项目中标资格。</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olor w:val="auto"/>
          <w:sz w:val="24"/>
          <w:highlight w:val="none"/>
        </w:rPr>
      </w:pPr>
    </w:p>
    <w:p>
      <w:pPr>
        <w:spacing w:before="120" w:line="400" w:lineRule="exact"/>
        <w:ind w:left="720" w:hanging="720"/>
        <w:jc w:val="right"/>
        <w:rPr>
          <w:rFonts w:ascii="宋体" w:hAnsi="宋体"/>
          <w:color w:val="auto"/>
          <w:sz w:val="24"/>
          <w:highlight w:val="none"/>
        </w:rPr>
      </w:pPr>
    </w:p>
    <w:p>
      <w:pPr>
        <w:wordWrap/>
        <w:spacing w:before="120" w:line="400" w:lineRule="exact"/>
        <w:ind w:left="720" w:hanging="720"/>
        <w:jc w:val="right"/>
        <w:rPr>
          <w:rFonts w:ascii="宋体" w:hAnsi="宋体"/>
          <w:color w:val="auto"/>
          <w:sz w:val="24"/>
          <w:highlight w:val="none"/>
        </w:rPr>
      </w:pPr>
      <w:r>
        <w:rPr>
          <w:rFonts w:hint="eastAsia" w:ascii="宋体" w:hAnsi="宋体"/>
          <w:color w:val="auto"/>
          <w:sz w:val="24"/>
          <w:highlight w:val="none"/>
          <w:lang w:val="en-US" w:eastAsia="zh-CN"/>
        </w:rPr>
        <w:t xml:space="preserve">   </w:t>
      </w:r>
      <w:r>
        <w:rPr>
          <w:rFonts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签字</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pacing w:line="400" w:lineRule="exact"/>
        <w:rPr>
          <w:rFonts w:ascii="宋体" w:hAnsi="宋体"/>
          <w:color w:val="auto"/>
          <w:sz w:val="19"/>
          <w:szCs w:val="19"/>
          <w:highlight w:val="none"/>
        </w:rPr>
      </w:pPr>
      <w:r>
        <w:rPr>
          <w:rFonts w:ascii="宋体" w:hAnsi="宋体"/>
          <w:color w:val="auto"/>
          <w:sz w:val="24"/>
          <w:highlight w:val="none"/>
        </w:rPr>
        <w:t xml:space="preserve">                           单位名称：</w:t>
      </w:r>
      <w:r>
        <w:rPr>
          <w:rFonts w:hint="eastAsia" w:ascii="宋体" w:hAnsi="宋体"/>
          <w:color w:val="auto"/>
          <w:sz w:val="24"/>
          <w:highlight w:val="none"/>
          <w:lang w:val="en-US" w:eastAsia="zh-CN"/>
        </w:rPr>
        <w:t xml:space="preserve">                     </w:t>
      </w:r>
      <w:r>
        <w:rPr>
          <w:rFonts w:ascii="宋体" w:hAnsi="宋体"/>
          <w:color w:val="auto"/>
          <w:sz w:val="24"/>
          <w:highlight w:val="none"/>
        </w:rPr>
        <w:t>（盖</w:t>
      </w:r>
      <w:r>
        <w:rPr>
          <w:rFonts w:hint="eastAsia" w:ascii="宋体" w:hAnsi="宋体"/>
          <w:color w:val="auto"/>
          <w:sz w:val="24"/>
          <w:highlight w:val="none"/>
        </w:rPr>
        <w:t>单位</w:t>
      </w:r>
      <w:r>
        <w:rPr>
          <w:rFonts w:ascii="宋体" w:hAnsi="宋体"/>
          <w:color w:val="auto"/>
          <w:sz w:val="24"/>
          <w:highlight w:val="none"/>
        </w:rPr>
        <w:t xml:space="preserve">章）  </w:t>
      </w:r>
    </w:p>
    <w:p>
      <w:pPr>
        <w:widowControl/>
        <w:spacing w:line="400" w:lineRule="exact"/>
        <w:ind w:firstLine="480" w:firstLineChars="200"/>
        <w:jc w:val="lef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center"/>
        <w:rPr>
          <w:rFonts w:ascii="宋体" w:hAnsi="宋体"/>
          <w:color w:val="auto"/>
          <w:sz w:val="28"/>
          <w:szCs w:val="28"/>
          <w:highlight w:val="none"/>
        </w:rPr>
      </w:pPr>
      <w:r>
        <w:rPr>
          <w:rFonts w:hint="eastAsia" w:ascii="仿宋" w:hAnsi="仿宋" w:eastAsia="仿宋" w:cs="仿宋"/>
          <w:color w:val="auto"/>
          <w:sz w:val="24"/>
          <w:szCs w:val="24"/>
          <w:highlight w:val="none"/>
        </w:rPr>
        <w:br w:type="page"/>
      </w:r>
      <w:bookmarkStart w:id="279" w:name="_Toc259524421"/>
      <w:bookmarkStart w:id="280" w:name="_Toc168476333"/>
      <w:bookmarkStart w:id="281" w:name="_Toc13708"/>
      <w:bookmarkStart w:id="282" w:name="_Toc168475930"/>
      <w:bookmarkStart w:id="283" w:name="_Toc229305427"/>
      <w:bookmarkStart w:id="284" w:name="_Toc221952115"/>
      <w:bookmarkStart w:id="285" w:name="_Toc144974871"/>
      <w:bookmarkStart w:id="286" w:name="_Toc222031069"/>
      <w:bookmarkStart w:id="287" w:name="_Toc222033918"/>
      <w:bookmarkStart w:id="288" w:name="_Toc222032736"/>
      <w:bookmarkStart w:id="289" w:name="_Toc222029567"/>
      <w:r>
        <w:rPr>
          <w:rFonts w:hint="eastAsia" w:ascii="仿宋" w:hAnsi="仿宋" w:eastAsia="仿宋" w:cs="仿宋"/>
          <w:color w:val="auto"/>
          <w:sz w:val="24"/>
          <w:szCs w:val="24"/>
          <w:highlight w:val="none"/>
        </w:rPr>
        <w:t>六、</w:t>
      </w:r>
      <w:bookmarkEnd w:id="279"/>
      <w:bookmarkEnd w:id="280"/>
      <w:bookmarkEnd w:id="281"/>
      <w:bookmarkEnd w:id="282"/>
      <w:bookmarkEnd w:id="283"/>
      <w:bookmarkEnd w:id="284"/>
      <w:bookmarkEnd w:id="285"/>
      <w:bookmarkEnd w:id="286"/>
      <w:bookmarkEnd w:id="287"/>
      <w:bookmarkEnd w:id="288"/>
      <w:bookmarkEnd w:id="289"/>
      <w:r>
        <w:rPr>
          <w:rFonts w:hint="eastAsia" w:ascii="仿宋" w:hAnsi="仿宋" w:eastAsia="仿宋" w:cs="仿宋"/>
          <w:color w:val="auto"/>
          <w:sz w:val="24"/>
          <w:szCs w:val="24"/>
          <w:highlight w:val="none"/>
        </w:rPr>
        <w:t>资格审查资料</w:t>
      </w: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eastAsia" w:ascii="宋体" w:hAnsi="宋体" w:cs="Calibri"/>
                <w:color w:val="auto"/>
                <w:szCs w:val="20"/>
                <w:highlight w:val="none"/>
              </w:rPr>
              <w:t>投标人</w:t>
            </w:r>
            <w:r>
              <w:rPr>
                <w:rFonts w:hint="default" w:ascii="宋体" w:hAnsi="宋体" w:cs="Calibri"/>
                <w:color w:val="auto"/>
                <w:szCs w:val="20"/>
                <w:highlight w:val="none"/>
              </w:rPr>
              <w:t>名称</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注册地址</w:t>
            </w:r>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邮政编码</w:t>
            </w:r>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0" w:name="_Toc221952158"/>
            <w:r>
              <w:rPr>
                <w:rFonts w:hint="default" w:ascii="宋体" w:hAnsi="宋体" w:cs="Calibri"/>
                <w:color w:val="auto"/>
                <w:szCs w:val="20"/>
                <w:highlight w:val="none"/>
              </w:rPr>
              <w:t>联系方式</w:t>
            </w:r>
            <w:bookmarkEnd w:id="290"/>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1" w:name="_Toc221952159"/>
            <w:r>
              <w:rPr>
                <w:rFonts w:hint="default" w:ascii="宋体" w:hAnsi="宋体" w:cs="Calibri"/>
                <w:color w:val="auto"/>
                <w:szCs w:val="20"/>
                <w:highlight w:val="none"/>
              </w:rPr>
              <w:t>联系人</w:t>
            </w:r>
            <w:bookmarkEnd w:id="291"/>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2" w:name="_Toc221952160"/>
            <w:r>
              <w:rPr>
                <w:rFonts w:hint="default" w:ascii="宋体" w:hAnsi="宋体" w:cs="Calibri"/>
                <w:color w:val="auto"/>
                <w:szCs w:val="20"/>
                <w:highlight w:val="none"/>
              </w:rPr>
              <w:t>电 话</w:t>
            </w:r>
            <w:bookmarkEnd w:id="292"/>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3" w:name="_Toc221952161"/>
            <w:r>
              <w:rPr>
                <w:rFonts w:hint="default" w:ascii="宋体" w:hAnsi="宋体" w:cs="Calibri"/>
                <w:color w:val="auto"/>
                <w:szCs w:val="20"/>
                <w:highlight w:val="none"/>
              </w:rPr>
              <w:t>传  真</w:t>
            </w:r>
            <w:bookmarkEnd w:id="293"/>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4" w:name="_Toc221952162"/>
            <w:r>
              <w:rPr>
                <w:rFonts w:hint="default" w:ascii="宋体" w:hAnsi="宋体" w:cs="Calibri"/>
                <w:color w:val="auto"/>
                <w:szCs w:val="20"/>
                <w:highlight w:val="none"/>
              </w:rPr>
              <w:t>网 址</w:t>
            </w:r>
            <w:bookmarkEnd w:id="294"/>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5" w:name="_Toc221952163"/>
            <w:r>
              <w:rPr>
                <w:rFonts w:hint="default" w:ascii="宋体" w:hAnsi="宋体" w:cs="Calibri"/>
                <w:color w:val="auto"/>
                <w:szCs w:val="20"/>
                <w:highlight w:val="none"/>
              </w:rPr>
              <w:t>组织结构</w:t>
            </w:r>
            <w:bookmarkEnd w:id="295"/>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96" w:name="_Toc221952164"/>
            <w:r>
              <w:rPr>
                <w:rFonts w:hint="default" w:ascii="宋体" w:hAnsi="宋体" w:cs="Calibri"/>
                <w:color w:val="auto"/>
                <w:szCs w:val="20"/>
                <w:highlight w:val="none"/>
              </w:rPr>
              <w:t>法定代表人</w:t>
            </w:r>
            <w:bookmarkEnd w:id="296"/>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技术负责人</w:t>
            </w: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成立时间</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员工总人数：</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1050" w:firstLineChars="500"/>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企业资质等级</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其中</w:t>
            </w: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营业执照号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高级职称人员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注册资金</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中级职称人员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开户银行</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初级职称人员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账号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w:t>
            </w:r>
            <w:r>
              <w:rPr>
                <w:rFonts w:hint="eastAsia" w:ascii="宋体" w:hAnsi="宋体" w:cs="Calibri"/>
                <w:color w:val="auto"/>
                <w:szCs w:val="20"/>
                <w:highlight w:val="none"/>
              </w:rPr>
              <w:t xml:space="preserve">  </w:t>
            </w:r>
            <w:r>
              <w:rPr>
                <w:rFonts w:hint="default" w:ascii="宋体" w:hAnsi="宋体" w:cs="Calibri"/>
                <w:color w:val="auto"/>
                <w:szCs w:val="20"/>
                <w:highlight w:val="none"/>
              </w:rPr>
              <w:t>工</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210" w:firstLineChars="100"/>
              <w:jc w:val="center"/>
              <w:rPr>
                <w:rFonts w:hint="default" w:ascii="宋体" w:hAnsi="宋体" w:cs="Calibri"/>
                <w:color w:val="auto"/>
                <w:szCs w:val="20"/>
                <w:highlight w:val="none"/>
              </w:rPr>
            </w:pPr>
            <w:r>
              <w:rPr>
                <w:rFonts w:hint="default" w:ascii="宋体" w:hAnsi="宋体" w:cs="Calibri"/>
                <w:color w:val="auto"/>
                <w:szCs w:val="20"/>
                <w:highlight w:val="none"/>
              </w:rPr>
              <w:t>经营范围</w:t>
            </w:r>
          </w:p>
        </w:tc>
        <w:tc>
          <w:tcPr>
            <w:tcW w:w="6811" w:type="dxa"/>
            <w:gridSpan w:val="9"/>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备注</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bl>
    <w:p>
      <w:pPr>
        <w:spacing w:line="400" w:lineRule="exact"/>
        <w:rPr>
          <w:rFonts w:hint="eastAsia" w:ascii="宋体" w:hAnsi="宋体"/>
          <w:color w:val="auto"/>
          <w:highlight w:val="none"/>
          <w:lang w:eastAsia="zh-CN"/>
        </w:rPr>
      </w:pPr>
      <w:r>
        <w:rPr>
          <w:rFonts w:hint="eastAsia" w:ascii="宋体" w:hAnsi="宋体"/>
          <w:color w:val="auto"/>
          <w:highlight w:val="none"/>
        </w:rPr>
        <w:t>注</w:t>
      </w:r>
      <w:r>
        <w:rPr>
          <w:rFonts w:hint="eastAsia" w:ascii="宋体" w:hAnsi="宋体"/>
          <w:color w:val="auto"/>
          <w:highlight w:val="none"/>
          <w:lang w:eastAsia="zh-CN"/>
        </w:rPr>
        <w:t>：应附投标人营业执照副本、资质证书副本和安全生产许可证等材料的扫描件。</w:t>
      </w: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r>
        <w:rPr>
          <w:rFonts w:hint="eastAsia" w:ascii="宋体" w:hAnsi="宋体"/>
          <w:b/>
          <w:color w:val="auto"/>
          <w:sz w:val="24"/>
          <w:szCs w:val="31"/>
          <w:highlight w:val="none"/>
        </w:rPr>
        <w:t>拟投入项目负责人</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项目负责人</w:t>
      </w:r>
      <w:r>
        <w:rPr>
          <w:rFonts w:ascii="宋体" w:hAnsi="宋体"/>
          <w:b/>
          <w:color w:val="auto"/>
          <w:sz w:val="32"/>
          <w:szCs w:val="32"/>
          <w:highlight w:val="none"/>
        </w:rPr>
        <w:t>简历表</w:t>
      </w:r>
    </w:p>
    <w:tbl>
      <w:tblPr>
        <w:tblStyle w:val="40"/>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line="400" w:lineRule="exact"/>
        <w:ind w:firstLine="420"/>
        <w:rPr>
          <w:rFonts w:hint="eastAsia" w:ascii="宋体" w:hAnsi="宋体"/>
          <w:b/>
          <w:color w:val="auto"/>
          <w:sz w:val="24"/>
          <w:szCs w:val="31"/>
          <w:highlight w:val="none"/>
        </w:rPr>
      </w:pPr>
      <w:r>
        <w:rPr>
          <w:rFonts w:hint="eastAsia" w:ascii="宋体" w:hAnsi="宋体"/>
          <w:color w:val="auto"/>
          <w:highlight w:val="none"/>
        </w:rPr>
        <w:t>应附注册建造师执业资格证书、养老保险复印件、安全培训考核合格证（B证）复印件。</w:t>
      </w:r>
      <w:bookmarkStart w:id="297" w:name="_Toc332641447"/>
      <w:bookmarkStart w:id="298" w:name="_Toc247085892"/>
      <w:bookmarkStart w:id="299" w:name="_Toc246997117"/>
      <w:bookmarkStart w:id="300" w:name="_Toc246996374"/>
      <w:r>
        <w:rPr>
          <w:rFonts w:ascii="宋体" w:hAnsi="宋体"/>
          <w:b/>
          <w:color w:val="auto"/>
          <w:sz w:val="24"/>
          <w:szCs w:val="31"/>
          <w:highlight w:val="none"/>
        </w:rPr>
        <w:br w:type="page"/>
      </w:r>
      <w:r>
        <w:rPr>
          <w:rFonts w:ascii="宋体" w:hAnsi="宋体"/>
          <w:b/>
          <w:color w:val="auto"/>
          <w:sz w:val="24"/>
          <w:szCs w:val="31"/>
          <w:highlight w:val="none"/>
        </w:rPr>
        <w:t>（</w:t>
      </w:r>
      <w:r>
        <w:rPr>
          <w:rFonts w:hint="eastAsia" w:ascii="宋体" w:hAnsi="宋体"/>
          <w:b/>
          <w:color w:val="auto"/>
          <w:sz w:val="24"/>
          <w:szCs w:val="31"/>
          <w:highlight w:val="none"/>
          <w:lang w:val="en-US" w:eastAsia="zh-CN"/>
        </w:rPr>
        <w:t>三</w:t>
      </w:r>
      <w:r>
        <w:rPr>
          <w:rFonts w:ascii="宋体" w:hAnsi="宋体"/>
          <w:b/>
          <w:color w:val="auto"/>
          <w:sz w:val="24"/>
          <w:szCs w:val="31"/>
          <w:highlight w:val="none"/>
        </w:rPr>
        <w:t>）</w:t>
      </w:r>
      <w:r>
        <w:rPr>
          <w:rFonts w:hint="eastAsia" w:ascii="宋体" w:hAnsi="宋体"/>
          <w:b/>
          <w:color w:val="auto"/>
          <w:sz w:val="24"/>
          <w:szCs w:val="31"/>
          <w:highlight w:val="none"/>
        </w:rPr>
        <w:t>拟投入</w:t>
      </w:r>
      <w:r>
        <w:rPr>
          <w:rFonts w:hint="eastAsia" w:ascii="宋体" w:hAnsi="宋体"/>
          <w:b/>
          <w:color w:val="auto"/>
          <w:sz w:val="24"/>
          <w:szCs w:val="31"/>
          <w:highlight w:val="none"/>
          <w:lang w:val="en-US" w:eastAsia="zh-CN"/>
        </w:rPr>
        <w:t>技术</w:t>
      </w:r>
      <w:r>
        <w:rPr>
          <w:rFonts w:hint="eastAsia" w:ascii="宋体" w:hAnsi="宋体"/>
          <w:b/>
          <w:color w:val="auto"/>
          <w:sz w:val="24"/>
          <w:szCs w:val="31"/>
          <w:highlight w:val="none"/>
        </w:rPr>
        <w:t>负责人</w:t>
      </w:r>
    </w:p>
    <w:p>
      <w:pPr>
        <w:numPr>
          <w:ilvl w:val="0"/>
          <w:numId w:val="0"/>
        </w:numPr>
        <w:spacing w:before="260" w:after="260" w:line="415"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技术负责人</w:t>
      </w:r>
      <w:r>
        <w:rPr>
          <w:rFonts w:ascii="宋体" w:hAnsi="宋体"/>
          <w:b/>
          <w:color w:val="auto"/>
          <w:sz w:val="32"/>
          <w:szCs w:val="32"/>
          <w:highlight w:val="none"/>
        </w:rPr>
        <w:t>简历表</w:t>
      </w:r>
    </w:p>
    <w:tbl>
      <w:tblPr>
        <w:tblStyle w:val="40"/>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before="260" w:after="260" w:line="415" w:lineRule="auto"/>
        <w:jc w:val="left"/>
        <w:rPr>
          <w:rFonts w:hint="eastAsia" w:ascii="宋体" w:hAnsi="宋体"/>
          <w:color w:val="auto"/>
          <w:szCs w:val="21"/>
          <w:highlight w:val="none"/>
        </w:rPr>
      </w:pPr>
      <w:r>
        <w:rPr>
          <w:rFonts w:hint="eastAsia" w:ascii="宋体" w:hAnsi="宋体"/>
          <w:color w:val="auto"/>
          <w:szCs w:val="21"/>
          <w:highlight w:val="none"/>
        </w:rPr>
        <w:t>应附职称证书复印件、养老保险复印件。</w:t>
      </w: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w:t>
      </w:r>
      <w:r>
        <w:rPr>
          <w:rFonts w:hint="eastAsia" w:ascii="宋体" w:hAnsi="宋体"/>
          <w:b/>
          <w:color w:val="auto"/>
          <w:sz w:val="24"/>
          <w:szCs w:val="31"/>
          <w:highlight w:val="none"/>
          <w:lang w:val="en-US" w:eastAsia="zh-CN"/>
        </w:rPr>
        <w:t>四</w:t>
      </w:r>
      <w:r>
        <w:rPr>
          <w:rFonts w:hint="eastAsia" w:ascii="宋体" w:hAnsi="宋体"/>
          <w:b/>
          <w:color w:val="auto"/>
          <w:sz w:val="24"/>
          <w:szCs w:val="31"/>
          <w:highlight w:val="none"/>
        </w:rPr>
        <w:t>）专职安全管理员</w:t>
      </w:r>
      <w:bookmarkEnd w:id="297"/>
      <w:bookmarkEnd w:id="298"/>
      <w:bookmarkEnd w:id="299"/>
      <w:bookmarkEnd w:id="300"/>
    </w:p>
    <w:p>
      <w:pPr>
        <w:spacing w:before="260" w:after="260" w:line="415" w:lineRule="auto"/>
        <w:jc w:val="center"/>
        <w:rPr>
          <w:rFonts w:ascii="宋体" w:hAnsi="宋体"/>
          <w:color w:val="auto"/>
          <w:highlight w:val="none"/>
        </w:rPr>
      </w:pPr>
      <w:r>
        <w:rPr>
          <w:rFonts w:hint="eastAsia" w:ascii="宋体" w:hAnsi="宋体"/>
          <w:b/>
          <w:color w:val="auto"/>
          <w:sz w:val="32"/>
          <w:szCs w:val="32"/>
          <w:highlight w:val="none"/>
        </w:rPr>
        <w:t>专职安全员简历表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姓名</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年龄</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职称</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从事本工作时间</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学历</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专业</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毕业院校</w:t>
            </w:r>
          </w:p>
        </w:tc>
        <w:tc>
          <w:tcPr>
            <w:tcW w:w="4558" w:type="dxa"/>
            <w:gridSpan w:val="3"/>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毕业时间</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bl>
    <w:p>
      <w:pPr>
        <w:spacing w:line="400" w:lineRule="exact"/>
        <w:rPr>
          <w:rFonts w:ascii="宋体" w:hAnsi="宋体"/>
          <w:b/>
          <w:bCs/>
          <w:color w:val="auto"/>
          <w:sz w:val="24"/>
          <w:szCs w:val="24"/>
          <w:highlight w:val="none"/>
        </w:rPr>
      </w:pPr>
      <w:r>
        <w:rPr>
          <w:rFonts w:hint="eastAsia" w:ascii="宋体" w:hAnsi="宋体"/>
          <w:color w:val="auto"/>
          <w:highlight w:val="none"/>
        </w:rPr>
        <w:t>应附安全培训考核合格证（C证）复印件、养老保险复印件。</w:t>
      </w:r>
      <w:r>
        <w:rPr>
          <w:rFonts w:ascii="宋体" w:hAnsi="宋体"/>
          <w:b/>
          <w:color w:val="auto"/>
          <w:sz w:val="24"/>
          <w:szCs w:val="31"/>
          <w:highlight w:val="none"/>
        </w:rPr>
        <w:br w:type="page"/>
      </w:r>
      <w:r>
        <w:rPr>
          <w:rFonts w:hint="eastAsia" w:ascii="宋体" w:hAnsi="宋体"/>
          <w:b/>
          <w:bCs/>
          <w:color w:val="auto"/>
          <w:kern w:val="0"/>
          <w:sz w:val="24"/>
          <w:szCs w:val="24"/>
          <w:highlight w:val="none"/>
        </w:rPr>
        <w:t>（</w:t>
      </w:r>
      <w:r>
        <w:rPr>
          <w:rFonts w:hint="eastAsia" w:ascii="宋体" w:hAnsi="宋体"/>
          <w:b/>
          <w:bCs/>
          <w:color w:val="auto"/>
          <w:kern w:val="0"/>
          <w:sz w:val="24"/>
          <w:szCs w:val="24"/>
          <w:highlight w:val="none"/>
          <w:lang w:val="en-US" w:eastAsia="zh-CN"/>
        </w:rPr>
        <w:t>五</w:t>
      </w:r>
      <w:r>
        <w:rPr>
          <w:rFonts w:hint="eastAsia" w:ascii="宋体" w:hAnsi="宋体"/>
          <w:b/>
          <w:bCs/>
          <w:color w:val="auto"/>
          <w:kern w:val="0"/>
          <w:sz w:val="24"/>
          <w:szCs w:val="24"/>
          <w:highlight w:val="none"/>
        </w:rPr>
        <w:t>）</w:t>
      </w:r>
      <w:r>
        <w:rPr>
          <w:rFonts w:ascii="宋体" w:hAnsi="宋体"/>
          <w:b/>
          <w:bCs/>
          <w:color w:val="auto"/>
          <w:kern w:val="0"/>
          <w:sz w:val="24"/>
          <w:szCs w:val="24"/>
          <w:highlight w:val="none"/>
        </w:rPr>
        <w:t>投标人声明</w:t>
      </w:r>
      <w:r>
        <w:rPr>
          <w:rFonts w:ascii="宋体" w:hAnsi="宋体"/>
          <w:b/>
          <w:bCs/>
          <w:color w:val="auto"/>
          <w:sz w:val="24"/>
          <w:szCs w:val="24"/>
          <w:highlight w:val="none"/>
        </w:rPr>
        <w:t>（</w:t>
      </w:r>
      <w:r>
        <w:rPr>
          <w:rFonts w:hint="eastAsia" w:ascii="宋体" w:hAnsi="宋体"/>
          <w:b/>
          <w:bCs/>
          <w:color w:val="auto"/>
          <w:sz w:val="24"/>
          <w:szCs w:val="24"/>
          <w:highlight w:val="none"/>
          <w:lang w:val="en-US" w:eastAsia="zh-CN"/>
        </w:rPr>
        <w:t>按招标公告附件一</w:t>
      </w:r>
      <w:r>
        <w:rPr>
          <w:rFonts w:ascii="宋体" w:hAnsi="宋体"/>
          <w:b/>
          <w:bCs/>
          <w:color w:val="auto"/>
          <w:sz w:val="24"/>
          <w:szCs w:val="24"/>
          <w:highlight w:val="none"/>
        </w:rPr>
        <w:t>）</w:t>
      </w:r>
    </w:p>
    <w:p>
      <w:pPr>
        <w:pageBreakBefore/>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）投标人廉洁承诺书（格式）</w:t>
      </w:r>
    </w:p>
    <w:p>
      <w:pPr>
        <w:pStyle w:val="35"/>
        <w:ind w:firstLine="482"/>
        <w:jc w:val="center"/>
        <w:rPr>
          <w:rFonts w:ascii="宋体" w:hAnsi="宋体"/>
          <w:b/>
          <w:bCs/>
          <w:color w:val="auto"/>
          <w:sz w:val="40"/>
          <w:szCs w:val="40"/>
          <w:highlight w:val="none"/>
        </w:rPr>
      </w:pPr>
      <w:r>
        <w:rPr>
          <w:rFonts w:hint="eastAsia" w:ascii="宋体" w:hAnsi="宋体"/>
          <w:b/>
          <w:bCs/>
          <w:color w:val="auto"/>
          <w:sz w:val="40"/>
          <w:szCs w:val="40"/>
          <w:highlight w:val="none"/>
        </w:rPr>
        <w:t>投标人廉洁承诺书</w:t>
      </w:r>
    </w:p>
    <w:p>
      <w:pPr>
        <w:pStyle w:val="35"/>
        <w:shd w:val="clear" w:color="auto" w:fill="FFFFFF"/>
        <w:ind w:firstLine="482"/>
        <w:rPr>
          <w:rFonts w:ascii="宋体" w:hAnsi="宋体"/>
          <w:color w:val="auto"/>
          <w:sz w:val="21"/>
          <w:szCs w:val="21"/>
          <w:highlight w:val="none"/>
        </w:rPr>
      </w:pPr>
      <w:r>
        <w:rPr>
          <w:rFonts w:hint="eastAsia" w:ascii="宋体" w:hAnsi="宋体"/>
          <w:color w:val="auto"/>
          <w:sz w:val="21"/>
          <w:szCs w:val="21"/>
          <w:highlight w:val="none"/>
        </w:rPr>
        <w:t>本招标项目招标人及招标监管机构：</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本公司参加了</w:t>
      </w:r>
      <w:r>
        <w:rPr>
          <w:rFonts w:hint="eastAsia" w:hAnsi="宋体" w:eastAsia="宋体"/>
          <w:color w:val="auto"/>
          <w:sz w:val="21"/>
          <w:szCs w:val="21"/>
          <w:highlight w:val="none"/>
          <w:u w:val="single"/>
        </w:rPr>
        <w:t xml:space="preserve">   （项目名称/标段名称）    </w:t>
      </w:r>
      <w:r>
        <w:rPr>
          <w:rFonts w:hint="eastAsia" w:hAnsi="宋体" w:eastAsia="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一、自觉遵守国家有关法律法规及廉洁规定。</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二、不与招标单位工作人员串通投标，损害国家利益、企业利益以及他人的合法利益；</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三、不与其他单位围标、串标，不出让投标资格，不向招标人或评标委员会成员行贿。</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五、不以任何名义为参与招标、评标工作的有关人员装修住房、婚丧嫁取、配偶子女的工作安排以及境内外旅游等提供方便；</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六、不以谋取非正当利益为目的，擅自与参与招标、评标工作的有关人员就业务问题进行私下商谈或者达成利益默契；</w:t>
      </w:r>
    </w:p>
    <w:p>
      <w:pPr>
        <w:pStyle w:val="35"/>
        <w:shd w:val="clear" w:color="auto" w:fill="FFFFFF"/>
        <w:spacing w:line="555" w:lineRule="atLeast"/>
        <w:ind w:firstLine="645"/>
        <w:rPr>
          <w:rFonts w:ascii="宋体" w:hAnsi="宋体"/>
          <w:color w:val="auto"/>
          <w:sz w:val="21"/>
          <w:szCs w:val="21"/>
          <w:highlight w:val="none"/>
        </w:rPr>
      </w:pPr>
      <w:r>
        <w:rPr>
          <w:rFonts w:hint="eastAsia" w:ascii="宋体" w:hAnsi="宋体"/>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p>
    <w:p>
      <w:pPr>
        <w:pStyle w:val="35"/>
        <w:shd w:val="clear" w:color="auto" w:fill="FFFFFF"/>
        <w:spacing w:before="0" w:beforeAutospacing="0" w:after="0" w:afterAutospacing="0" w:line="360" w:lineRule="auto"/>
        <w:ind w:firstLine="645"/>
        <w:rPr>
          <w:rFonts w:ascii="宋体" w:hAnsi="宋体"/>
          <w:color w:val="auto"/>
          <w:sz w:val="21"/>
          <w:szCs w:val="21"/>
          <w:highlight w:val="none"/>
        </w:rPr>
      </w:pPr>
      <w:r>
        <w:rPr>
          <w:rFonts w:hint="eastAsia" w:ascii="宋体" w:hAnsi="宋体"/>
          <w:color w:val="auto"/>
          <w:sz w:val="21"/>
          <w:szCs w:val="21"/>
          <w:highlight w:val="none"/>
        </w:rPr>
        <w:t>特此承诺</w:t>
      </w:r>
    </w:p>
    <w:p>
      <w:pPr>
        <w:pStyle w:val="35"/>
        <w:shd w:val="clear" w:color="auto" w:fill="FFFFFF"/>
        <w:spacing w:before="0" w:beforeAutospacing="0" w:after="0" w:afterAutospacing="0" w:line="360" w:lineRule="auto"/>
        <w:ind w:right="1455" w:firstLine="2880"/>
        <w:jc w:val="right"/>
        <w:rPr>
          <w:rFonts w:ascii="宋体" w:hAnsi="宋体"/>
          <w:color w:val="auto"/>
          <w:sz w:val="21"/>
          <w:szCs w:val="21"/>
          <w:highlight w:val="none"/>
        </w:rPr>
      </w:pPr>
      <w:r>
        <w:rPr>
          <w:rFonts w:hint="eastAsia" w:ascii="宋体" w:hAnsi="宋体"/>
          <w:color w:val="auto"/>
          <w:sz w:val="21"/>
          <w:szCs w:val="21"/>
          <w:highlight w:val="none"/>
        </w:rPr>
        <w:t>承诺企业（该单位章）：      </w:t>
      </w:r>
    </w:p>
    <w:p>
      <w:pPr>
        <w:pStyle w:val="35"/>
        <w:shd w:val="clear" w:color="auto" w:fill="FFFFFF"/>
        <w:spacing w:before="0" w:beforeAutospacing="0" w:after="0" w:afterAutospacing="0" w:line="360" w:lineRule="auto"/>
        <w:ind w:firstLine="482"/>
        <w:jc w:val="right"/>
        <w:rPr>
          <w:rFonts w:hint="eastAsia" w:ascii="宋体" w:hAnsi="宋体"/>
          <w:color w:val="auto"/>
          <w:sz w:val="21"/>
          <w:szCs w:val="21"/>
          <w:highlight w:val="none"/>
        </w:rPr>
      </w:pPr>
      <w:r>
        <w:rPr>
          <w:rFonts w:hint="eastAsia" w:ascii="宋体" w:hAnsi="宋体"/>
          <w:color w:val="auto"/>
          <w:sz w:val="21"/>
          <w:szCs w:val="21"/>
          <w:highlight w:val="none"/>
        </w:rPr>
        <w:t xml:space="preserve">法定代表人签字：           </w:t>
      </w:r>
    </w:p>
    <w:p>
      <w:pPr>
        <w:pStyle w:val="35"/>
        <w:shd w:val="clear" w:color="auto" w:fill="FFFFFF"/>
        <w:spacing w:before="0" w:beforeAutospacing="0" w:after="0" w:afterAutospacing="0"/>
        <w:ind w:firstLine="482"/>
        <w:jc w:val="right"/>
        <w:rPr>
          <w:rFonts w:ascii="宋体" w:hAnsi="宋体"/>
          <w:color w:val="auto"/>
          <w:sz w:val="21"/>
          <w:szCs w:val="21"/>
          <w:highlight w:val="none"/>
        </w:rPr>
      </w:pPr>
      <w:r>
        <w:rPr>
          <w:rFonts w:hint="eastAsia" w:ascii="宋体" w:hAnsi="宋体"/>
          <w:color w:val="auto"/>
          <w:sz w:val="21"/>
          <w:szCs w:val="21"/>
          <w:highlight w:val="none"/>
        </w:rPr>
        <w:t>年   月   日</w:t>
      </w:r>
    </w:p>
    <w:p>
      <w:pPr>
        <w:spacing w:line="360" w:lineRule="auto"/>
        <w:jc w:val="center"/>
        <w:outlineLvl w:val="2"/>
        <w:rPr>
          <w:rFonts w:hint="eastAsia" w:ascii="仿宋" w:hAnsi="仿宋" w:eastAsia="仿宋" w:cs="仿宋"/>
          <w:color w:val="auto"/>
          <w:sz w:val="24"/>
          <w:szCs w:val="24"/>
          <w:highlight w:val="none"/>
        </w:rPr>
      </w:pPr>
      <w:bookmarkStart w:id="301" w:name="_Toc17451140"/>
      <w:bookmarkStart w:id="302" w:name="_Toc17452703"/>
      <w:bookmarkStart w:id="303" w:name="_Toc17451662"/>
      <w:bookmarkStart w:id="304" w:name="_Toc17556915"/>
      <w:bookmarkStart w:id="305" w:name="_Toc17454961"/>
      <w:bookmarkStart w:id="306" w:name="_Toc17451617"/>
      <w:bookmarkStart w:id="307" w:name="_Toc17454910"/>
      <w:r>
        <w:rPr>
          <w:rFonts w:ascii="宋体" w:hAnsi="宋体"/>
          <w:color w:val="auto"/>
          <w:sz w:val="28"/>
          <w:szCs w:val="27"/>
          <w:highlight w:val="none"/>
        </w:rPr>
        <w:br w:type="page"/>
      </w:r>
      <w:bookmarkStart w:id="308" w:name="_Toc11421"/>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、投标人须知前附表规定的其他材料</w:t>
      </w:r>
      <w:bookmarkEnd w:id="301"/>
      <w:bookmarkEnd w:id="302"/>
      <w:bookmarkEnd w:id="303"/>
      <w:bookmarkEnd w:id="304"/>
      <w:bookmarkEnd w:id="305"/>
      <w:bookmarkEnd w:id="306"/>
      <w:bookmarkEnd w:id="307"/>
      <w:bookmarkEnd w:id="308"/>
    </w:p>
    <w:p>
      <w:pPr>
        <w:adjustRightInd w:val="0"/>
        <w:snapToGrid w:val="0"/>
        <w:spacing w:after="120" w:afterLines="50" w:line="400" w:lineRule="exact"/>
        <w:jc w:val="center"/>
        <w:rPr>
          <w:b/>
          <w:color w:val="auto"/>
          <w:szCs w:val="21"/>
          <w:highlight w:val="none"/>
        </w:rPr>
      </w:pPr>
      <w:r>
        <w:rPr>
          <w:rFonts w:hint="eastAsia"/>
          <w:b/>
          <w:color w:val="auto"/>
          <w:szCs w:val="21"/>
          <w:highlight w:val="none"/>
          <w:lang w:val="en-US" w:eastAsia="zh-CN"/>
        </w:rPr>
        <w:t>1、</w:t>
      </w:r>
      <w:r>
        <w:rPr>
          <w:b/>
          <w:color w:val="auto"/>
          <w:szCs w:val="21"/>
          <w:highlight w:val="none"/>
        </w:rPr>
        <w:t>评标要素索引表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53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序号</w:t>
            </w:r>
          </w:p>
        </w:tc>
        <w:tc>
          <w:tcPr>
            <w:tcW w:w="5533"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评审内容</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color w:val="auto"/>
                <w:highlight w:val="none"/>
              </w:rPr>
            </w:pPr>
            <w:r>
              <w:rPr>
                <w:rFonts w:hint="eastAsia" w:cs="Calibri"/>
                <w:color w:val="auto"/>
                <w:highlight w:val="none"/>
              </w:rPr>
              <w:t>一</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rPr>
                <w:rFonts w:hint="default" w:cs="Calibri"/>
                <w:bCs/>
                <w:color w:val="auto"/>
                <w:szCs w:val="21"/>
                <w:highlight w:val="none"/>
              </w:rPr>
            </w:pPr>
            <w:r>
              <w:rPr>
                <w:rFonts w:hint="eastAsia" w:cs="Calibri"/>
                <w:bCs/>
                <w:color w:val="auto"/>
                <w:szCs w:val="21"/>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1"/>
                <w:numId w:val="24"/>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宋体"/>
                <w:highlight w:val="none"/>
                <w:shd w:val="clear" w:color="auto" w:fill="FFFFFF"/>
              </w:rPr>
              <w:t>施工组织方案与技术措施</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firstLine="210" w:firstLineChars="100"/>
              <w:rPr>
                <w:rFonts w:hint="eastAsia" w:cs="Calibri"/>
                <w:color w:val="auto"/>
                <w:highlight w:val="none"/>
              </w:rPr>
            </w:pPr>
            <w:r>
              <w:rPr>
                <w:rFonts w:hint="eastAsia" w:cs="Calibri"/>
                <w:color w:val="auto"/>
                <w:highlight w:val="none"/>
              </w:rPr>
              <w:t>二</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cs="Calibri"/>
                <w:bCs/>
                <w:color w:val="auto"/>
                <w:szCs w:val="21"/>
                <w:highlight w:val="none"/>
              </w:rPr>
            </w:pPr>
            <w:r>
              <w:rPr>
                <w:rFonts w:hint="eastAsia" w:cs="Calibri"/>
                <w:bCs/>
                <w:color w:val="auto"/>
                <w:szCs w:val="21"/>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eastAsia="宋体" w:cs="宋体"/>
                <w:color w:val="auto"/>
                <w:kern w:val="2"/>
                <w:sz w:val="21"/>
                <w:szCs w:val="21"/>
                <w:highlight w:val="none"/>
                <w:lang w:val="en-US" w:eastAsia="zh-CN" w:bidi="ar-SA"/>
              </w:rPr>
              <w:t>组织机构及主要管理人员</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宋体"/>
                <w:color w:val="auto"/>
                <w:szCs w:val="21"/>
                <w:highlight w:val="none"/>
              </w:rPr>
              <w:t>企业业绩</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工程获奖情况</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宋体"/>
                <w:szCs w:val="21"/>
                <w:highlight w:val="none"/>
              </w:rPr>
              <w:t>企业</w:t>
            </w:r>
            <w:r>
              <w:rPr>
                <w:rFonts w:hint="eastAsia" w:ascii="宋体" w:hAnsi="宋体" w:cs="宋体"/>
                <w:szCs w:val="21"/>
                <w:highlight w:val="none"/>
                <w:lang w:val="en-US" w:eastAsia="zh-CN"/>
              </w:rPr>
              <w:t>荣</w:t>
            </w:r>
            <w:r>
              <w:rPr>
                <w:rFonts w:hint="eastAsia" w:ascii="宋体" w:hAnsi="宋体" w:cs="宋体"/>
                <w:szCs w:val="21"/>
                <w:highlight w:val="none"/>
              </w:rPr>
              <w:t>誉</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Calibri"/>
                <w:b w:val="0"/>
                <w:i w:val="0"/>
                <w:caps w:val="0"/>
                <w:color w:val="000000"/>
                <w:spacing w:val="0"/>
                <w:w w:val="100"/>
                <w:sz w:val="21"/>
                <w:highlight w:val="none"/>
              </w:rPr>
              <w:t>管理体系</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cs="Calibri"/>
                <w:color w:val="auto"/>
                <w:szCs w:val="21"/>
                <w:highlight w:val="none"/>
              </w:rPr>
            </w:pPr>
            <w:r>
              <w:rPr>
                <w:rFonts w:hint="eastAsia" w:cs="Calibri"/>
                <w:color w:val="auto"/>
                <w:szCs w:val="21"/>
                <w:highlight w:val="none"/>
              </w:rPr>
              <w:t>第三方评价</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cs="Calibri"/>
                <w:color w:val="auto"/>
                <w:szCs w:val="21"/>
                <w:highlight w:val="none"/>
              </w:rPr>
            </w:pPr>
            <w:r>
              <w:rPr>
                <w:rFonts w:hint="eastAsia" w:cs="Calibri"/>
                <w:color w:val="auto"/>
                <w:szCs w:val="21"/>
                <w:highlight w:val="none"/>
              </w:rPr>
              <w:t>财务指标</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bl>
    <w:p>
      <w:pPr>
        <w:jc w:val="left"/>
        <w:rPr>
          <w:rFonts w:hint="eastAsia" w:ascii="仿宋" w:hAnsi="仿宋" w:eastAsia="仿宋" w:cs="仿宋"/>
          <w:color w:val="auto"/>
          <w:sz w:val="24"/>
          <w:szCs w:val="24"/>
          <w:highlight w:val="none"/>
        </w:rPr>
      </w:pPr>
    </w:p>
    <w:p>
      <w:pPr>
        <w:adjustRightInd w:val="0"/>
        <w:snapToGrid w:val="0"/>
        <w:spacing w:after="120" w:afterLines="50" w:line="400" w:lineRule="exact"/>
        <w:jc w:val="center"/>
        <w:rPr>
          <w:rFonts w:hint="eastAsia" w:eastAsia="宋体" w:cs="Times New Roman"/>
          <w:b/>
          <w:color w:val="auto"/>
          <w:szCs w:val="21"/>
          <w:highlight w:val="none"/>
          <w:lang w:val="en-US" w:eastAsia="zh-CN"/>
        </w:rPr>
      </w:pPr>
      <w:bookmarkStart w:id="309" w:name="_Toc14543"/>
      <w:bookmarkStart w:id="310" w:name="_Toc221949894"/>
      <w:bookmarkStart w:id="311" w:name="_Toc227133887"/>
      <w:bookmarkStart w:id="312" w:name="_Toc179715764"/>
      <w:bookmarkStart w:id="313" w:name="_Toc222029460"/>
      <w:bookmarkStart w:id="314" w:name="_Toc152047271"/>
      <w:r>
        <w:rPr>
          <w:rFonts w:hint="eastAsia" w:eastAsia="宋体" w:cs="Times New Roman"/>
          <w:b/>
          <w:color w:val="auto"/>
          <w:szCs w:val="21"/>
          <w:highlight w:val="none"/>
          <w:lang w:val="en-US" w:eastAsia="zh-CN"/>
        </w:rPr>
        <w:t>2、其他材料</w:t>
      </w:r>
      <w:bookmarkEnd w:id="30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 xml:space="preserve">  投标文件编制人员名单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 xml:space="preserve">  对投标文件编制的承诺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 xml:space="preserve">  投标文件编制情况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如投标报价低于警示价的，提供投标报价不低于成本价的证明材料</w:t>
      </w:r>
    </w:p>
    <w:p>
      <w:pPr>
        <w:spacing w:line="360" w:lineRule="auto"/>
        <w:ind w:firstLine="480" w:firstLineChars="200"/>
        <w:rPr>
          <w:rFonts w:hint="eastAsia" w:ascii="仿宋" w:hAnsi="仿宋" w:eastAsia="仿宋" w:cs="仿宋"/>
          <w:color w:val="auto"/>
          <w:sz w:val="24"/>
          <w:szCs w:val="24"/>
          <w:highlight w:val="none"/>
        </w:rPr>
      </w:pPr>
    </w:p>
    <w:bookmarkEnd w:id="310"/>
    <w:bookmarkEnd w:id="311"/>
    <w:bookmarkEnd w:id="312"/>
    <w:bookmarkEnd w:id="313"/>
    <w:bookmarkEnd w:id="314"/>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施工组织方案与技术措施</w:t>
      </w:r>
    </w:p>
    <w:p>
      <w:pPr>
        <w:widowControl/>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投标人自拟，格式不限。</w:t>
      </w:r>
    </w:p>
    <w:p>
      <w:pPr>
        <w:spacing w:line="360" w:lineRule="auto"/>
        <w:ind w:right="480"/>
        <w:jc w:val="both"/>
        <w:rPr>
          <w:rFonts w:hint="eastAsia" w:ascii="仿宋" w:hAnsi="仿宋" w:eastAsia="仿宋" w:cs="仿宋"/>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center"/>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组织机构及主要管理人员表</w:t>
      </w:r>
    </w:p>
    <w:p>
      <w:pPr>
        <w:spacing w:line="360" w:lineRule="auto"/>
        <w:jc w:val="both"/>
        <w:outlineLvl w:val="2"/>
        <w:rPr>
          <w:rFonts w:hint="default"/>
          <w:highlight w:val="none"/>
          <w:lang w:val="en-US"/>
        </w:rPr>
      </w:pPr>
      <w:r>
        <w:rPr>
          <w:rFonts w:hint="default" w:ascii="仿宋" w:hAnsi="仿宋" w:eastAsia="仿宋" w:cs="仿宋"/>
          <w:b w:val="0"/>
          <w:bCs w:val="0"/>
          <w:color w:val="auto"/>
          <w:kern w:val="2"/>
          <w:sz w:val="21"/>
          <w:szCs w:val="21"/>
          <w:highlight w:val="none"/>
          <w:lang w:val="en-US" w:eastAsia="zh-CN" w:bidi="ar-SA"/>
        </w:rPr>
        <w:t>投标人自拟，格式不限。</w:t>
      </w:r>
    </w:p>
    <w:p>
      <w:pPr>
        <w:numPr>
          <w:ilvl w:val="0"/>
          <w:numId w:val="0"/>
        </w:numPr>
        <w:spacing w:line="360" w:lineRule="auto"/>
        <w:jc w:val="center"/>
        <w:outlineLvl w:val="2"/>
        <w:rPr>
          <w:rFonts w:hint="eastAsia" w:ascii="仿宋" w:hAnsi="仿宋" w:eastAsia="仿宋" w:cs="仿宋"/>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企业业绩</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640"/>
        <w:gridCol w:w="1894"/>
        <w:gridCol w:w="1750"/>
        <w:gridCol w:w="1275"/>
        <w:gridCol w:w="16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4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894"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主要合同内容</w:t>
            </w:r>
          </w:p>
        </w:tc>
        <w:tc>
          <w:tcPr>
            <w:tcW w:w="175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中标日期</w:t>
            </w:r>
          </w:p>
        </w:tc>
        <w:tc>
          <w:tcPr>
            <w:tcW w:w="127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合同金额（万元）</w:t>
            </w:r>
          </w:p>
        </w:tc>
        <w:tc>
          <w:tcPr>
            <w:tcW w:w="1653"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bl>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1.需提供中标通知书、合同、完工验收鉴定书或单位工程验收鉴定书或工程竣工验收鉴定书等材料、交易中心发布的中标信息的网页截图及查询网址；</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业绩招标公告明确该业绩为独立的水利水电施工总承包资质招标（若为水利水电EPC项目，投标人须作为项目牵头人，合同额以承担的施工合同额作为评审依据）。提供的招标公告和中标信息的网页打印件及查询网址必须来自招标公告载明的公共交易平台；</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3.类似业绩证明的信息须明确业绩的项目名称、中标价等。时间及造价以中标通知书为准，若中标通知书或中标证明未能反映的，时间及造价以施工合同（不含补充合同）为准；</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4.EPC项目须提供分工情况和承担金额（比例）的证明文件；</w:t>
      </w:r>
    </w:p>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lang w:val="en-US" w:eastAsia="zh-CN"/>
        </w:rPr>
        <w:t>5.未能提供上述资料的不得分。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工程获奖</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numPr>
          <w:ilvl w:val="0"/>
          <w:numId w:val="0"/>
        </w:numPr>
        <w:spacing w:line="360" w:lineRule="auto"/>
        <w:jc w:val="left"/>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1.须提供获奖证书扫描件或图片、获奖公示网页打印页及网址，获奖时间以证书中载明的的发证时间为准。</w:t>
      </w:r>
    </w:p>
    <w:p>
      <w:pPr>
        <w:numPr>
          <w:ilvl w:val="0"/>
          <w:numId w:val="0"/>
        </w:numPr>
        <w:spacing w:line="360" w:lineRule="auto"/>
        <w:jc w:val="left"/>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获奖工程指水利水电工程施工项目，其他工程不得分。省部级工程奖项指鲁班奖、中国水利工程优质（大禹）奖、优质工程奖、土木工程詹天佑奖等，市级（含副省级）工程奖项指市级（含副省级）优质工程奖或优良样板工程奖；工程类奖项不含安全文明类、QC类、工法、技术应用、科技类或技术类等非项目整体工程类奖项。发证单位非政府部门的须同时提供该发证单位在“中国社会组织政务服务平台”有登记的网页查询截图（网址：https://chinanpo.mca.gov.cn），证明其有登记备案，否则不得分。</w:t>
      </w:r>
    </w:p>
    <w:p>
      <w:pPr>
        <w:numPr>
          <w:ilvl w:val="0"/>
          <w:numId w:val="0"/>
        </w:numPr>
        <w:spacing w:line="360" w:lineRule="auto"/>
        <w:jc w:val="left"/>
        <w:outlineLvl w:val="2"/>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rPr>
        <w:t>3.未能提供上述资料的不得分。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企业</w:t>
      </w:r>
      <w:r>
        <w:rPr>
          <w:rFonts w:hint="eastAsia" w:ascii="仿宋" w:hAnsi="仿宋" w:eastAsia="仿宋" w:cs="仿宋"/>
          <w:b/>
          <w:bCs/>
          <w:color w:val="auto"/>
          <w:sz w:val="24"/>
          <w:szCs w:val="24"/>
          <w:highlight w:val="none"/>
          <w:lang w:val="en-US" w:eastAsia="zh-CN"/>
        </w:rPr>
        <w:t>荣</w:t>
      </w:r>
      <w:r>
        <w:rPr>
          <w:rFonts w:hint="eastAsia" w:ascii="仿宋" w:hAnsi="仿宋" w:eastAsia="仿宋" w:cs="仿宋"/>
          <w:b/>
          <w:bCs/>
          <w:color w:val="auto"/>
          <w:sz w:val="24"/>
          <w:szCs w:val="24"/>
          <w:highlight w:val="none"/>
        </w:rPr>
        <w:t>誉</w:t>
      </w:r>
    </w:p>
    <w:tbl>
      <w:tblPr>
        <w:tblStyle w:val="40"/>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1529"/>
        <w:gridCol w:w="2321"/>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发证日期</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1.奖项颁发机构必须是国家、省、市人民政府或行政部门与经民政部门批准成立的组织方联合颁发的为准（民政部门批准成立的组织方须提供在“中国社会组织政务服务平台”有登记的网页查询截图（网址：https://chinanpo.mca.gov.cn），证明其有登记备案，否则不得分）。</w:t>
      </w:r>
    </w:p>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2.需提供荣誉证书扫描件（荣誉证书须提供在相关网站的查询结果网页截图）；时间以获奖证书载明日期为准。</w:t>
      </w:r>
    </w:p>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管理体系</w:t>
      </w:r>
    </w:p>
    <w:tbl>
      <w:tblPr>
        <w:tblStyle w:val="40"/>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70"/>
        <w:gridCol w:w="217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670"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173"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41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有效期时间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注：1.提供相关证书扫描件及国家认证认可监督管理委员会官方网站中全国认证认可信息公共服务平台（http://cx.cnca.cn/CertECloud/index/index/page）查询结果(含网址的网页截图)，不齐全的不得分；</w:t>
      </w:r>
    </w:p>
    <w:p>
      <w:pPr>
        <w:spacing w:line="360" w:lineRule="auto"/>
        <w:ind w:right="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2.上述资料扫描件及网页截图需加盖投标人公章；</w:t>
      </w:r>
    </w:p>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rPr>
        <w:t>3.未能提供上述资料的不得分。</w:t>
      </w:r>
    </w:p>
    <w:p>
      <w:pPr>
        <w:numPr>
          <w:ilvl w:val="0"/>
          <w:numId w:val="0"/>
        </w:numPr>
        <w:spacing w:line="360" w:lineRule="auto"/>
        <w:jc w:val="center"/>
        <w:outlineLvl w:val="2"/>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第三方评价</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634"/>
        <w:gridCol w:w="2216"/>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3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21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default" w:ascii="宋体" w:hAnsi="宋体" w:eastAsia="宋体" w:cs="宋体"/>
          <w:b w:val="0"/>
          <w:i w:val="0"/>
          <w:caps w:val="0"/>
          <w:spacing w:val="0"/>
          <w:w w:val="100"/>
          <w:sz w:val="21"/>
          <w:szCs w:val="21"/>
          <w:highlight w:val="none"/>
          <w:lang w:val="en-US" w:eastAsia="zh-CN"/>
        </w:rPr>
      </w:pPr>
      <w:r>
        <w:rPr>
          <w:rFonts w:hint="default" w:ascii="宋体" w:hAnsi="宋体" w:eastAsia="宋体" w:cs="宋体"/>
          <w:b w:val="0"/>
          <w:i w:val="0"/>
          <w:caps w:val="0"/>
          <w:spacing w:val="0"/>
          <w:w w:val="100"/>
          <w:sz w:val="21"/>
          <w:szCs w:val="21"/>
          <w:highlight w:val="none"/>
          <w:lang w:val="en-US" w:eastAsia="zh-CN"/>
        </w:rPr>
        <w:t>注：1.须提供相关证书（或奖牌或牌匾）扫描件（须同时提供在发证机构官网的查询结果网页截图），发证单位非政府部门的须同时提供该发证单位在“中国社会组织政务服务平台”有登记的网页查询截图（网址：https://chinanpo.mca.gov.cn/），证明其有登记备案，否则不得分。</w:t>
      </w:r>
    </w:p>
    <w:p>
      <w:pPr>
        <w:spacing w:line="360" w:lineRule="auto"/>
        <w:ind w:right="480"/>
        <w:jc w:val="both"/>
        <w:rPr>
          <w:rFonts w:hint="default" w:ascii="宋体" w:hAnsi="宋体" w:eastAsia="宋体" w:cs="宋体"/>
          <w:b w:val="0"/>
          <w:i w:val="0"/>
          <w:caps w:val="0"/>
          <w:spacing w:val="0"/>
          <w:w w:val="100"/>
          <w:sz w:val="21"/>
          <w:szCs w:val="21"/>
          <w:highlight w:val="none"/>
          <w:lang w:val="en-US" w:eastAsia="zh-CN"/>
        </w:rPr>
      </w:pPr>
      <w:r>
        <w:rPr>
          <w:rFonts w:hint="default" w:ascii="宋体" w:hAnsi="宋体" w:eastAsia="宋体" w:cs="宋体"/>
          <w:b w:val="0"/>
          <w:i w:val="0"/>
          <w:caps w:val="0"/>
          <w:spacing w:val="0"/>
          <w:w w:val="100"/>
          <w:sz w:val="21"/>
          <w:szCs w:val="21"/>
          <w:highlight w:val="none"/>
          <w:lang w:val="en-US" w:eastAsia="zh-CN"/>
        </w:rPr>
        <w:t>2.获奖时间以证书（或奖牌或牌匾）中载明的的发证时间为准（若证书未能体现发证时间，以发证机构官网查询结果中的批准日期为准）。</w:t>
      </w:r>
    </w:p>
    <w:p>
      <w:pPr>
        <w:spacing w:line="360" w:lineRule="auto"/>
        <w:ind w:right="480"/>
        <w:jc w:val="both"/>
        <w:rPr>
          <w:rFonts w:hint="eastAsia" w:ascii="仿宋" w:hAnsi="仿宋" w:eastAsia="仿宋"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default" w:ascii="宋体" w:hAnsi="宋体" w:eastAsia="宋体" w:cs="宋体"/>
          <w:b w:val="0"/>
          <w:i w:val="0"/>
          <w:caps w:val="0"/>
          <w:spacing w:val="0"/>
          <w:w w:val="100"/>
          <w:sz w:val="21"/>
          <w:szCs w:val="21"/>
          <w:highlight w:val="none"/>
          <w:lang w:val="en-US" w:eastAsia="zh-CN"/>
        </w:rPr>
        <w:t>3.未能提供上述资料的不得分</w:t>
      </w:r>
      <w:r>
        <w:rPr>
          <w:rFonts w:hint="eastAsia" w:ascii="宋体" w:hAnsi="宋体" w:eastAsia="宋体" w:cs="宋体"/>
          <w:b w:val="0"/>
          <w:i w:val="0"/>
          <w:caps w:val="0"/>
          <w:color w:val="000000"/>
          <w:spacing w:val="0"/>
          <w:w w:val="100"/>
          <w:kern w:val="2"/>
          <w:sz w:val="21"/>
          <w:szCs w:val="21"/>
          <w:highlight w:val="none"/>
          <w:lang w:val="en-US" w:eastAsia="zh-CN" w:bidi="ar-SA"/>
        </w:rPr>
        <w:t>。</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财务指标</w:t>
      </w:r>
    </w:p>
    <w:p>
      <w:pPr>
        <w:numPr>
          <w:ilvl w:val="0"/>
          <w:numId w:val="0"/>
        </w:numPr>
        <w:spacing w:line="360" w:lineRule="auto"/>
        <w:jc w:val="both"/>
        <w:outlineLvl w:val="2"/>
        <w:rPr>
          <w:rFonts w:hint="eastAsia"/>
          <w:highlight w:val="none"/>
        </w:rPr>
        <w:sectPr>
          <w:pgSz w:w="11906" w:h="16838"/>
          <w:pgMar w:top="1440" w:right="1800" w:bottom="1440" w:left="1800" w:header="851" w:footer="992" w:gutter="0"/>
          <w:pgNumType w:fmt="decimal"/>
          <w:cols w:space="720" w:num="1"/>
          <w:docGrid w:type="lines" w:linePitch="312" w:charSpace="0"/>
        </w:sectPr>
      </w:pPr>
      <w:r>
        <w:rPr>
          <w:rFonts w:hint="default" w:ascii="仿宋" w:hAnsi="仿宋" w:eastAsia="仿宋" w:cs="仿宋"/>
          <w:b w:val="0"/>
          <w:bCs w:val="0"/>
          <w:color w:val="auto"/>
          <w:kern w:val="2"/>
          <w:sz w:val="24"/>
          <w:szCs w:val="24"/>
          <w:highlight w:val="none"/>
          <w:lang w:val="en-US" w:eastAsia="zh-CN" w:bidi="ar-SA"/>
        </w:rPr>
        <w:t>投标人自拟，格式不限。</w:t>
      </w:r>
    </w:p>
    <w:p>
      <w:pPr>
        <w:spacing w:line="360" w:lineRule="auto"/>
        <w:ind w:right="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p>
    <w:p>
      <w:pPr>
        <w:tabs>
          <w:tab w:val="left" w:pos="720"/>
        </w:tabs>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投标文件编制人员名单</w:t>
      </w:r>
    </w:p>
    <w:p>
      <w:pPr>
        <w:tabs>
          <w:tab w:val="left" w:pos="720"/>
        </w:tabs>
        <w:snapToGrid w:val="0"/>
        <w:spacing w:line="360" w:lineRule="auto"/>
        <w:rPr>
          <w:rFonts w:hint="eastAsia" w:ascii="仿宋" w:hAnsi="仿宋" w:eastAsia="仿宋" w:cs="仿宋"/>
          <w:color w:val="auto"/>
          <w:sz w:val="24"/>
          <w:szCs w:val="24"/>
          <w:highlight w:val="none"/>
        </w:rPr>
      </w:pPr>
    </w:p>
    <w:tbl>
      <w:tblPr>
        <w:tblStyle w:val="40"/>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61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bl>
    <w:p>
      <w:pPr>
        <w:pStyle w:val="39"/>
        <w:spacing w:after="0" w:line="360" w:lineRule="auto"/>
        <w:ind w:left="-2" w:leftChars="-1"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注：参与编制投标文件所有人员名单应包括如编制技术投标方案、编制各种专业工程量清单投标报价、负责清样校对、负责打印及复印等所有人员在内的人员名单。</w:t>
      </w:r>
    </w:p>
    <w:p>
      <w:pPr>
        <w:pStyle w:val="39"/>
        <w:spacing w:after="0" w:line="360" w:lineRule="auto"/>
        <w:ind w:left="-2" w:leftChars="-1" w:firstLineChars="175"/>
        <w:jc w:val="center"/>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p>
    <w:p>
      <w:pPr>
        <w:pStyle w:val="39"/>
        <w:spacing w:after="0" w:line="360" w:lineRule="auto"/>
        <w:ind w:firstLine="0"/>
        <w:jc w:val="center"/>
        <w:rPr>
          <w:rFonts w:hint="eastAsia" w:ascii="仿宋" w:hAnsi="仿宋" w:eastAsia="仿宋" w:cs="仿宋"/>
          <w:b/>
          <w:color w:val="auto"/>
          <w:sz w:val="24"/>
          <w:szCs w:val="24"/>
          <w:highlight w:val="none"/>
        </w:rPr>
      </w:pPr>
    </w:p>
    <w:p>
      <w:pPr>
        <w:pStyle w:val="39"/>
        <w:spacing w:after="0"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对投标文件编制的承诺</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（身份证号：）</w:t>
      </w:r>
      <w:r>
        <w:rPr>
          <w:rFonts w:hint="eastAsia" w:ascii="仿宋" w:hAnsi="仿宋" w:eastAsia="仿宋" w:cs="仿宋"/>
          <w:color w:val="auto"/>
          <w:sz w:val="24"/>
          <w:szCs w:val="24"/>
          <w:highlight w:val="none"/>
        </w:rPr>
        <w:t>负责对投标文件的编制及内容进行解释、说明，并承诺以下事项：</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1.被授权人清楚投标文件编制的具体情况，包括技术方案文件、工程量清单、以及投标文件的加密打包的理解；</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2.在本项目开标至评标结束前，努力确保被授权人在项目评标所在地附近；</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3.从评标委员会要求澄清起二小时内，被授权人应如实地书面澄清。</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如由于未遵守上述承诺内容之一导致无法进行澄清的，我公司认可和接受评标委员会作出的评审结论。</w:t>
      </w:r>
    </w:p>
    <w:p>
      <w:pPr>
        <w:pStyle w:val="39"/>
        <w:spacing w:after="0" w:line="360" w:lineRule="auto"/>
        <w:ind w:firstLine="360" w:firstLineChars="150"/>
        <w:rPr>
          <w:rFonts w:hint="eastAsia" w:ascii="仿宋" w:hAnsi="仿宋" w:eastAsia="仿宋" w:cs="仿宋"/>
          <w:color w:val="auto"/>
          <w:sz w:val="24"/>
          <w:szCs w:val="24"/>
          <w:highlight w:val="none"/>
        </w:rPr>
      </w:pP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附件：《投标文件编制情况》</w:t>
      </w:r>
    </w:p>
    <w:p>
      <w:pPr>
        <w:spacing w:line="360" w:lineRule="auto"/>
        <w:ind w:right="90" w:firstLine="3240" w:firstLineChars="13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投标人名称（盖法人公章）：</w:t>
      </w:r>
    </w:p>
    <w:p>
      <w:pPr>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法定代表人或被授权人（签字或盖章）：</w:t>
      </w:r>
    </w:p>
    <w:p>
      <w:pPr>
        <w:spacing w:line="360" w:lineRule="auto"/>
        <w:ind w:firstLine="4440" w:firstLineChars="18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360" w:lineRule="auto"/>
        <w:rPr>
          <w:rFonts w:hint="eastAsia" w:ascii="仿宋" w:hAnsi="仿宋" w:eastAsia="仿宋" w:cs="仿宋"/>
          <w:b/>
          <w:color w:val="auto"/>
          <w:sz w:val="24"/>
          <w:szCs w:val="24"/>
          <w:highlight w:val="none"/>
        </w:rPr>
      </w:pPr>
    </w:p>
    <w:p>
      <w:pPr>
        <w:pStyle w:val="2"/>
        <w:rPr>
          <w:rFonts w:hint="eastAsia" w:ascii="仿宋" w:hAnsi="仿宋" w:eastAsia="仿宋" w:cs="仿宋"/>
          <w:b w:val="0"/>
          <w:color w:val="auto"/>
          <w:sz w:val="24"/>
          <w:szCs w:val="24"/>
          <w:highlight w:val="none"/>
        </w:rPr>
      </w:pPr>
    </w:p>
    <w:p>
      <w:pPr>
        <w:pStyle w:val="3"/>
        <w:numPr>
          <w:ilvl w:val="0"/>
          <w:numId w:val="0"/>
        </w:numPr>
        <w:ind w:leftChars="0"/>
        <w:rPr>
          <w:rFonts w:hint="eastAsia"/>
          <w:highlight w:val="none"/>
        </w:rPr>
      </w:pPr>
    </w:p>
    <w:p>
      <w:pPr>
        <w:rPr>
          <w:rFonts w:hint="eastAsia" w:ascii="仿宋" w:hAnsi="仿宋" w:eastAsia="仿宋" w:cs="仿宋"/>
          <w:b/>
          <w:color w:val="auto"/>
          <w:sz w:val="24"/>
          <w:szCs w:val="24"/>
          <w:highlight w:val="none"/>
        </w:rPr>
      </w:pPr>
    </w:p>
    <w:p>
      <w:pPr>
        <w:pStyle w:val="2"/>
        <w:rPr>
          <w:rFonts w:hint="eastAsia" w:ascii="仿宋" w:hAnsi="仿宋" w:eastAsia="仿宋" w:cs="仿宋"/>
          <w:b w:val="0"/>
          <w:color w:val="auto"/>
          <w:sz w:val="24"/>
          <w:szCs w:val="24"/>
          <w:highlight w:val="none"/>
        </w:rPr>
      </w:pPr>
    </w:p>
    <w:p>
      <w:pPr>
        <w:pStyle w:val="2"/>
        <w:rPr>
          <w:rFonts w:hint="eastAsia"/>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p>
    <w:p>
      <w:pPr>
        <w:pStyle w:val="39"/>
        <w:spacing w:after="0" w:line="360" w:lineRule="auto"/>
        <w:ind w:firstLine="482" w:firstLineChars="200"/>
        <w:jc w:val="center"/>
        <w:rPr>
          <w:rFonts w:hint="eastAsia" w:ascii="仿宋" w:hAnsi="仿宋" w:eastAsia="仿宋" w:cs="仿宋"/>
          <w:b/>
          <w:color w:val="auto"/>
          <w:sz w:val="24"/>
          <w:szCs w:val="24"/>
          <w:highlight w:val="none"/>
        </w:rPr>
      </w:pPr>
    </w:p>
    <w:p>
      <w:pPr>
        <w:pStyle w:val="39"/>
        <w:spacing w:after="0"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投标文件编制情况</w:t>
      </w: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1.投标文件加密打包的电脑情况</w:t>
      </w:r>
    </w:p>
    <w:tbl>
      <w:tblPr>
        <w:tblStyle w:val="4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投标文件加密打包的电脑自有□外包□其他□</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电脑类型</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电脑所属单位</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电脑所在地址（如××市××区(县) ××街（路）××号××大厦××房）</w:t>
            </w:r>
          </w:p>
        </w:tc>
      </w:tr>
    </w:tbl>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sectPr>
          <w:footerReference r:id="rId8"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w:t>
      </w:r>
    </w:p>
    <w:p>
      <w:pPr>
        <w:autoSpaceDE w:val="0"/>
        <w:autoSpaceDN w:val="0"/>
        <w:adjustRightInd w:val="0"/>
        <w:ind w:firstLine="420"/>
        <w:rPr>
          <w:rFonts w:hint="eastAsia" w:ascii="仿宋" w:hAnsi="仿宋" w:eastAsia="仿宋" w:cs="仿宋"/>
          <w:color w:val="auto"/>
          <w:sz w:val="24"/>
          <w:szCs w:val="24"/>
          <w:highlight w:val="none"/>
        </w:rPr>
      </w:pPr>
    </w:p>
    <w:p>
      <w:pPr>
        <w:pStyle w:val="39"/>
        <w:spacing w:after="0"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如投标报价低于警示价的，提供投标报价不低于成本价的证明材料</w:t>
      </w:r>
    </w:p>
    <w:p>
      <w:pPr>
        <w:spacing w:line="360" w:lineRule="auto"/>
        <w:ind w:right="48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
        <w:jc w:val="center"/>
        <w:rPr>
          <w:rFonts w:hint="eastAsia" w:ascii="仿宋" w:hAnsi="仿宋" w:eastAsia="仿宋" w:cs="仿宋"/>
          <w:color w:val="auto"/>
          <w:sz w:val="24"/>
          <w:szCs w:val="24"/>
          <w:highlight w:val="none"/>
        </w:rPr>
      </w:pPr>
      <w:bookmarkStart w:id="315" w:name="_Toc4024"/>
      <w:bookmarkStart w:id="316" w:name="_Toc13671"/>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章否决性条款汇总</w:t>
      </w:r>
      <w:bookmarkEnd w:id="315"/>
      <w:bookmarkEnd w:id="316"/>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招标文件的其他条款与该单列的否决性条款不一致的，以单列的否决性条款为准。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（一）拒绝受理投标文件的情形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未按要求加密的投标文件，</w:t>
      </w:r>
      <w:r>
        <w:rPr>
          <w:rFonts w:hint="eastAsia" w:ascii="仿宋" w:hAnsi="仿宋" w:eastAsia="仿宋" w:cs="仿宋"/>
          <w:color w:val="auto"/>
          <w:sz w:val="24"/>
          <w:szCs w:val="24"/>
          <w:highlight w:val="none"/>
          <w:u w:val="single"/>
          <w:lang w:bidi="ar"/>
        </w:rPr>
        <w:t>广州公共资源</w:t>
      </w:r>
      <w:r>
        <w:rPr>
          <w:rFonts w:hint="eastAsia" w:ascii="仿宋" w:hAnsi="仿宋" w:eastAsia="仿宋" w:cs="仿宋"/>
          <w:color w:val="auto"/>
          <w:sz w:val="24"/>
          <w:szCs w:val="24"/>
          <w:highlight w:val="none"/>
          <w:lang w:bidi="ar"/>
        </w:rPr>
        <w:t>交易平台将予以拒收。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电子投标文件未在投标截止时间前成功上传并保存在交易中心数字交易平台；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 因投标人原因造成电子投标文件未解密或逾期解密的；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 电子投标文件损坏或格式不正确的；</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 投标文件未按招标文件要求进行电子签章，并进行加密的；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（二）作无效投标的情形</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投标文件不符合招标文件评标办法中形式评审标准、资格评审标准、响应性评审标准的要求。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两个（含两个）以上的投标人加密打包的电子投标文件电脑机器码一致的；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（三）作不合格标处理的情形</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1.资格评审标准：见评标办法前附表。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2.形式评审标准：见评标</w:t>
      </w:r>
      <w:r>
        <w:rPr>
          <w:rFonts w:hint="eastAsia" w:ascii="仿宋" w:hAnsi="仿宋" w:eastAsia="仿宋" w:cs="仿宋"/>
          <w:color w:val="auto"/>
          <w:sz w:val="24"/>
          <w:szCs w:val="24"/>
          <w:highlight w:val="none"/>
          <w:lang w:bidi="ar"/>
        </w:rPr>
        <w:t>办法</w:t>
      </w:r>
      <w:r>
        <w:rPr>
          <w:rFonts w:hint="eastAsia" w:ascii="仿宋" w:hAnsi="仿宋" w:eastAsia="仿宋" w:cs="仿宋"/>
          <w:color w:val="auto"/>
          <w:kern w:val="0"/>
          <w:sz w:val="24"/>
          <w:szCs w:val="24"/>
          <w:highlight w:val="none"/>
        </w:rPr>
        <w:t>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3.响应性评审标准：见评标办法前附表。</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（四）其他否定投标文件效力情形</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1. ……</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2. ……</w:t>
      </w:r>
    </w:p>
    <w:p>
      <w:pPr>
        <w:spacing w:line="360" w:lineRule="auto"/>
        <w:ind w:firstLine="480" w:firstLineChars="200"/>
        <w:rPr>
          <w:rFonts w:hint="eastAsia" w:ascii="宋体" w:hAnsi="宋体" w:eastAsia="宋体" w:cs="宋体"/>
          <w:strike/>
          <w:color w:val="auto"/>
          <w:sz w:val="24"/>
          <w:szCs w:val="24"/>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lang w:val="en-US" w:eastAsia="zh-CN"/>
      </w:rP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HQF9g/pAQAA&#10;ygMAAA4AAAAAAAAAAQAgAAAAHgEAAGRycy9lMm9Eb2MueG1sUEsFBgAAAAAGAAYAWQEAAHkFAAAA&#10;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PAGE   \* MERGEFORMAT</w:instrText>
                          </w:r>
                          <w:r>
                            <w:fldChar w:fldCharType="separate"/>
                          </w:r>
                          <w:r>
                            <w:rPr>
                              <w:lang w:val="zh-CN"/>
                            </w:rPr>
                            <w:t>2</w:t>
                          </w:r>
                          <w:r>
                            <w:rPr>
                              <w:lang w:val="zh-CN"/>
                            </w:rP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QbSd8BAADBAwAADgAAAAAA&#10;AAABACAAAAAeAQAAZHJzL2Uyb0RvYy54bWxQSwUGAAAAAAYABgBZAQAAbwUAAAAA&#10;">
              <v:fill on="f" focussize="0,0"/>
              <v:stroke on="f"/>
              <v:imagedata o:title=""/>
              <o:lock v:ext="edit" aspectratio="f"/>
              <v:textbox inset="0mm,0mm,0mm,0mm" style="mso-fit-shape-to-text:t;">
                <w:txbxContent>
                  <w:p>
                    <w:pPr>
                      <w:pStyle w:val="26"/>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r>
      <w:rPr>
        <w:rFonts w:hint="eastAsia"/>
        <w:lang w:val="en-US" w:eastAsia="zh-CN"/>
      </w:rPr>
      <w:t xml:space="preserve"> </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 xml:space="preserve">第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 共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NUMPAGES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16</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 xml:space="preserve">第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 共 </w:t>
                    </w: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NUMPAGES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16</w:t>
                    </w:r>
                    <w:r>
                      <w:rPr>
                        <w:rFonts w:ascii="Times New Roman" w:hAnsi="Times New Roman" w:eastAsia="宋体" w:cs="Times New Roman"/>
                        <w:kern w:val="0"/>
                        <w:sz w:val="18"/>
                        <w:szCs w:val="18"/>
                        <w:lang w:val="en-US" w:eastAsia="zh-CN" w:bidi="ar-SA"/>
                      </w:rPr>
                      <w:fldChar w:fldCharType="end"/>
                    </w:r>
                    <w:r>
                      <w:rPr>
                        <w:rFonts w:ascii="Times New Roman" w:hAnsi="Times New Roman" w:eastAsia="宋体" w:cs="Times New Roman"/>
                        <w:kern w:val="0"/>
                        <w:sz w:val="18"/>
                        <w:szCs w:val="18"/>
                        <w:lang w:val="en-US" w:eastAsia="zh-CN" w:bidi="ar-SA"/>
                      </w:rPr>
                      <w:t xml:space="preserve"> 页</w:t>
                    </w:r>
                  </w:p>
                </w:txbxContent>
              </v:textbox>
            </v:shape>
          </w:pict>
        </mc:Fallback>
      </mc:AlternateContent>
    </w:r>
    <w:r>
      <w:rPr>
        <w:rFonts w:hint="eastAsia" w:ascii="Times New Roman" w:hAnsi="Times New Roman" w:eastAsia="宋体" w:cs="Times New Roman"/>
        <w:kern w:val="0"/>
        <w:sz w:val="18"/>
        <w:szCs w:val="18"/>
        <w:lang w:val="en-US" w:eastAsia="zh-CN" w:bidi="ar-SA"/>
      </w:rPr>
      <w:t xml:space="preserve">  </w:t>
    </w:r>
  </w:p>
  <w:p>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PCsOABAADB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bmq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LTwrDgAQAAwQMAAA4AAAAA&#10;AAAAAQAgAAAAHgEAAGRycy9lMm9Eb2MueG1sUEsFBgAAAAAGAAYAWQEAAHAFA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lang w:val="en-US" w:eastAsia="zh-CN"/>
      </w:rPr>
      <w:t xml:space="preserve">  </w:t>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t>69</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4OSj98BAADBAwAADgAAAAAA&#10;AAABACAAAAAeAQAAZHJzL2Uyb0RvYy54bWxQSwUGAAAAAAYABgBZAQAAbwU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lang w:val="en-US" w:eastAsia="zh-CN"/>
      </w:rPr>
      <w:t xml:space="preserve">  </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F9EAF"/>
    <w:multiLevelType w:val="multilevel"/>
    <w:tmpl w:val="BC1F9EAF"/>
    <w:lvl w:ilvl="0" w:tentative="0">
      <w:start w:val="1"/>
      <w:numFmt w:val="decimal"/>
      <w:lvlText w:val="3.%1"/>
      <w:lvlJc w:val="left"/>
      <w:pPr>
        <w:tabs>
          <w:tab w:val="left" w:pos="0"/>
        </w:tabs>
        <w:ind w:left="1320" w:hanging="420"/>
      </w:pPr>
    </w:lvl>
    <w:lvl w:ilvl="1" w:tentative="0">
      <w:start w:val="1"/>
      <w:numFmt w:val="decimal"/>
      <w:lvlText w:val="3.%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BD3E269F"/>
    <w:multiLevelType w:val="singleLevel"/>
    <w:tmpl w:val="BD3E269F"/>
    <w:lvl w:ilvl="0" w:tentative="0">
      <w:start w:val="6"/>
      <w:numFmt w:val="chineseCounting"/>
      <w:suff w:val="space"/>
      <w:lvlText w:val="第%1章"/>
      <w:lvlJc w:val="left"/>
      <w:rPr>
        <w:rFonts w:hint="eastAsia"/>
      </w:rPr>
    </w:lvl>
  </w:abstractNum>
  <w:abstractNum w:abstractNumId="2">
    <w:nsid w:val="CCF72102"/>
    <w:multiLevelType w:val="singleLevel"/>
    <w:tmpl w:val="CCF72102"/>
    <w:lvl w:ilvl="0" w:tentative="0">
      <w:start w:val="1"/>
      <w:numFmt w:val="chineseCounting"/>
      <w:suff w:val="space"/>
      <w:lvlText w:val="第%1章"/>
      <w:lvlJc w:val="left"/>
      <w:rPr>
        <w:rFonts w:hint="eastAsia"/>
      </w:rPr>
    </w:lvl>
  </w:abstractNum>
  <w:abstractNum w:abstractNumId="3">
    <w:nsid w:val="F1BBA918"/>
    <w:multiLevelType w:val="multilevel"/>
    <w:tmpl w:val="F1BBA918"/>
    <w:lvl w:ilvl="0" w:tentative="0">
      <w:start w:val="1"/>
      <w:numFmt w:val="decimal"/>
      <w:lvlText w:val="2.%1"/>
      <w:lvlJc w:val="left"/>
      <w:pPr>
        <w:tabs>
          <w:tab w:val="left" w:pos="0"/>
        </w:tabs>
        <w:ind w:left="900" w:hanging="420"/>
      </w:pPr>
    </w:lvl>
    <w:lvl w:ilvl="1" w:tentative="0">
      <w:start w:val="1"/>
      <w:numFmt w:val="decimal"/>
      <w:lvlText w:val="2.%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04585C45"/>
    <w:multiLevelType w:val="multilevel"/>
    <w:tmpl w:val="04585C45"/>
    <w:lvl w:ilvl="0" w:tentative="0">
      <w:start w:val="1"/>
      <w:numFmt w:val="decimal"/>
      <w:pStyle w:val="6"/>
      <w:lvlText w:val="1.1.%1"/>
      <w:lvlJc w:val="left"/>
      <w:pPr>
        <w:ind w:left="420" w:hanging="420"/>
      </w:pPr>
      <w:rPr>
        <w:rFonts w:hint="eastAsia"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5DC0DE"/>
    <w:multiLevelType w:val="singleLevel"/>
    <w:tmpl w:val="0B5DC0DE"/>
    <w:lvl w:ilvl="0" w:tentative="0">
      <w:start w:val="9"/>
      <w:numFmt w:val="decimal"/>
      <w:lvlText w:val="%1."/>
      <w:lvlJc w:val="left"/>
      <w:pPr>
        <w:tabs>
          <w:tab w:val="left" w:pos="312"/>
        </w:tabs>
      </w:pPr>
    </w:lvl>
  </w:abstractNum>
  <w:abstractNum w:abstractNumId="6">
    <w:nsid w:val="178FDF3D"/>
    <w:multiLevelType w:val="singleLevel"/>
    <w:tmpl w:val="178FDF3D"/>
    <w:lvl w:ilvl="0" w:tentative="0">
      <w:start w:val="1"/>
      <w:numFmt w:val="decimal"/>
      <w:lvlText w:val="%1."/>
      <w:lvlJc w:val="left"/>
      <w:pPr>
        <w:ind w:left="425" w:hanging="425"/>
      </w:pPr>
      <w:rPr>
        <w:rFonts w:hint="default"/>
      </w:rPr>
    </w:lvl>
  </w:abstractNum>
  <w:abstractNum w:abstractNumId="7">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8">
    <w:nsid w:val="22566F53"/>
    <w:multiLevelType w:val="multilevel"/>
    <w:tmpl w:val="22566F53"/>
    <w:lvl w:ilvl="0" w:tentative="0">
      <w:start w:val="1"/>
      <w:numFmt w:val="decimal"/>
      <w:lvlText w:val="1.1.%1"/>
      <w:lvlJc w:val="left"/>
      <w:pPr>
        <w:ind w:left="420" w:hanging="42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B600E"/>
    <w:multiLevelType w:val="multilevel"/>
    <w:tmpl w:val="250B600E"/>
    <w:lvl w:ilvl="0" w:tentative="0">
      <w:start w:val="1"/>
      <w:numFmt w:val="decimal"/>
      <w:lvlText w:val="3.%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5448C5"/>
    <w:multiLevelType w:val="multilevel"/>
    <w:tmpl w:val="295448C5"/>
    <w:lvl w:ilvl="0" w:tentative="0">
      <w:start w:val="1"/>
      <w:numFmt w:val="decimal"/>
      <w:lvlText w:val="6.%1"/>
      <w:lvlJc w:val="left"/>
      <w:pPr>
        <w:ind w:left="90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934594"/>
    <w:multiLevelType w:val="multilevel"/>
    <w:tmpl w:val="37934594"/>
    <w:lvl w:ilvl="0" w:tentative="0">
      <w:start w:val="1"/>
      <w:numFmt w:val="bullet"/>
      <w:pStyle w:val="125"/>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2">
    <w:nsid w:val="3FB01419"/>
    <w:multiLevelType w:val="multilevel"/>
    <w:tmpl w:val="3FB01419"/>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D578B5"/>
    <w:multiLevelType w:val="multilevel"/>
    <w:tmpl w:val="47D578B5"/>
    <w:lvl w:ilvl="0" w:tentative="0">
      <w:start w:val="1"/>
      <w:numFmt w:val="lowerLetter"/>
      <w:lvlText w:val="%1)"/>
      <w:lvlJc w:val="left"/>
      <w:pPr>
        <w:ind w:left="840" w:hanging="420"/>
      </w:pPr>
      <w:rPr>
        <w:rFonts w:hint="eastAsia"/>
      </w:rPr>
    </w:lvl>
    <w:lvl w:ilvl="1" w:tentative="0">
      <w:start w:val="1"/>
      <w:numFmt w:val="decimal"/>
      <w:lvlText w:val="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4F22F1"/>
    <w:multiLevelType w:val="multilevel"/>
    <w:tmpl w:val="494F22F1"/>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E943A2E"/>
    <w:multiLevelType w:val="multilevel"/>
    <w:tmpl w:val="4E943A2E"/>
    <w:lvl w:ilvl="0" w:tentative="0">
      <w:start w:val="1"/>
      <w:numFmt w:val="decimal"/>
      <w:lvlText w:val="%1"/>
      <w:lvlJc w:val="left"/>
      <w:pPr>
        <w:ind w:left="84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8">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222004"/>
    <w:multiLevelType w:val="multilevel"/>
    <w:tmpl w:val="61222004"/>
    <w:lvl w:ilvl="0" w:tentative="0">
      <w:start w:val="1"/>
      <w:numFmt w:val="decimal"/>
      <w:lvlText w:val="8.%1"/>
      <w:lvlJc w:val="left"/>
      <w:pPr>
        <w:ind w:left="1320" w:hanging="420"/>
      </w:pPr>
      <w:rPr>
        <w:rFonts w:hint="eastAsia"/>
      </w:rPr>
    </w:lvl>
    <w:lvl w:ilvl="1" w:tentative="0">
      <w:start w:val="1"/>
      <w:numFmt w:val="decimal"/>
      <w:lvlText w:val="8.%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E34801"/>
    <w:multiLevelType w:val="multilevel"/>
    <w:tmpl w:val="6EE34801"/>
    <w:lvl w:ilvl="0" w:tentative="0">
      <w:start w:val="1"/>
      <w:numFmt w:val="decimal"/>
      <w:lvlText w:val="1.3.%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720F72D6"/>
    <w:multiLevelType w:val="multilevel"/>
    <w:tmpl w:val="720F72D6"/>
    <w:lvl w:ilvl="0" w:tentative="0">
      <w:start w:val="1"/>
      <w:numFmt w:val="decimal"/>
      <w:lvlText w:val="1.2.%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abstractNum w:abstractNumId="23">
    <w:nsid w:val="78A4110E"/>
    <w:multiLevelType w:val="multilevel"/>
    <w:tmpl w:val="78A4110E"/>
    <w:lvl w:ilvl="0" w:tentative="0">
      <w:start w:val="1"/>
      <w:numFmt w:val="decimal"/>
      <w:lvlText w:val="7.%1"/>
      <w:lvlJc w:val="left"/>
      <w:pPr>
        <w:ind w:left="900" w:hanging="420"/>
      </w:pPr>
      <w:rPr>
        <w:rFonts w:hint="eastAsia"/>
      </w:rPr>
    </w:lvl>
    <w:lvl w:ilvl="1" w:tentative="0">
      <w:start w:val="1"/>
      <w:numFmt w:val="decimal"/>
      <w:lvlText w:val="7.%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2"/>
  </w:num>
  <w:num w:numId="2">
    <w:abstractNumId w:val="17"/>
  </w:num>
  <w:num w:numId="3">
    <w:abstractNumId w:val="4"/>
  </w:num>
  <w:num w:numId="4">
    <w:abstractNumId w:val="11"/>
  </w:num>
  <w:num w:numId="5">
    <w:abstractNumId w:val="7"/>
  </w:num>
  <w:num w:numId="6">
    <w:abstractNumId w:val="16"/>
  </w:num>
  <w:num w:numId="7">
    <w:abstractNumId w:val="1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20"/>
  </w:num>
  <w:num w:numId="12">
    <w:abstractNumId w:val="12"/>
  </w:num>
  <w:num w:numId="13">
    <w:abstractNumId w:val="9"/>
  </w:num>
  <w:num w:numId="14">
    <w:abstractNumId w:val="13"/>
  </w:num>
  <w:num w:numId="15">
    <w:abstractNumId w:val="10"/>
  </w:num>
  <w:num w:numId="16">
    <w:abstractNumId w:val="23"/>
  </w:num>
  <w:num w:numId="17">
    <w:abstractNumId w:val="19"/>
  </w:num>
  <w:num w:numId="18">
    <w:abstractNumId w:val="6"/>
  </w:num>
  <w:num w:numId="19">
    <w:abstractNumId w:val="3"/>
  </w:num>
  <w:num w:numId="20">
    <w:abstractNumId w:val="0"/>
  </w:num>
  <w:num w:numId="21">
    <w:abstractNumId w:val="5"/>
  </w:num>
  <w:num w:numId="22">
    <w:abstractNumId w:val="2"/>
  </w:num>
  <w:num w:numId="23">
    <w:abstractNumId w:val="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00172A27"/>
    <w:rsid w:val="00003247"/>
    <w:rsid w:val="00003368"/>
    <w:rsid w:val="00012571"/>
    <w:rsid w:val="0002311B"/>
    <w:rsid w:val="0003644B"/>
    <w:rsid w:val="00041A12"/>
    <w:rsid w:val="00053E5C"/>
    <w:rsid w:val="0006034D"/>
    <w:rsid w:val="00073414"/>
    <w:rsid w:val="0007617E"/>
    <w:rsid w:val="0007681F"/>
    <w:rsid w:val="00081EDD"/>
    <w:rsid w:val="000857B6"/>
    <w:rsid w:val="000A2CAF"/>
    <w:rsid w:val="000A3AC3"/>
    <w:rsid w:val="000A44E1"/>
    <w:rsid w:val="000A6523"/>
    <w:rsid w:val="000B0630"/>
    <w:rsid w:val="000B7710"/>
    <w:rsid w:val="000C1ACE"/>
    <w:rsid w:val="000D0560"/>
    <w:rsid w:val="000D1DA6"/>
    <w:rsid w:val="000D2FD2"/>
    <w:rsid w:val="000D4D8A"/>
    <w:rsid w:val="000D7608"/>
    <w:rsid w:val="000F28CC"/>
    <w:rsid w:val="000F3235"/>
    <w:rsid w:val="000F366F"/>
    <w:rsid w:val="000F3C3A"/>
    <w:rsid w:val="0010108D"/>
    <w:rsid w:val="001051FC"/>
    <w:rsid w:val="00107FE7"/>
    <w:rsid w:val="00111186"/>
    <w:rsid w:val="001139FE"/>
    <w:rsid w:val="00114AD8"/>
    <w:rsid w:val="0012246F"/>
    <w:rsid w:val="001237E8"/>
    <w:rsid w:val="00131608"/>
    <w:rsid w:val="00132EB5"/>
    <w:rsid w:val="001401D5"/>
    <w:rsid w:val="001455BB"/>
    <w:rsid w:val="00152311"/>
    <w:rsid w:val="00153346"/>
    <w:rsid w:val="00153A72"/>
    <w:rsid w:val="00155516"/>
    <w:rsid w:val="00160570"/>
    <w:rsid w:val="0016324E"/>
    <w:rsid w:val="00167FFB"/>
    <w:rsid w:val="00177B6A"/>
    <w:rsid w:val="0018147C"/>
    <w:rsid w:val="001A7E8C"/>
    <w:rsid w:val="001B044B"/>
    <w:rsid w:val="001B16CF"/>
    <w:rsid w:val="001B55B8"/>
    <w:rsid w:val="001C13B5"/>
    <w:rsid w:val="001C44B4"/>
    <w:rsid w:val="001C706B"/>
    <w:rsid w:val="001D1155"/>
    <w:rsid w:val="001D5BD2"/>
    <w:rsid w:val="001E69CB"/>
    <w:rsid w:val="001F0CF9"/>
    <w:rsid w:val="001F29E5"/>
    <w:rsid w:val="002012DA"/>
    <w:rsid w:val="0020324F"/>
    <w:rsid w:val="00204ED2"/>
    <w:rsid w:val="00213AF7"/>
    <w:rsid w:val="002168D2"/>
    <w:rsid w:val="00223C83"/>
    <w:rsid w:val="00231C8A"/>
    <w:rsid w:val="002330B4"/>
    <w:rsid w:val="00243888"/>
    <w:rsid w:val="00244149"/>
    <w:rsid w:val="002518F9"/>
    <w:rsid w:val="00253751"/>
    <w:rsid w:val="002577EC"/>
    <w:rsid w:val="00275063"/>
    <w:rsid w:val="00283890"/>
    <w:rsid w:val="00284171"/>
    <w:rsid w:val="00287C15"/>
    <w:rsid w:val="00290DCB"/>
    <w:rsid w:val="00294A51"/>
    <w:rsid w:val="002952FD"/>
    <w:rsid w:val="002A5126"/>
    <w:rsid w:val="002B44FC"/>
    <w:rsid w:val="002C2844"/>
    <w:rsid w:val="003000BA"/>
    <w:rsid w:val="003326EF"/>
    <w:rsid w:val="0033613D"/>
    <w:rsid w:val="00346BA3"/>
    <w:rsid w:val="00373FA0"/>
    <w:rsid w:val="0038191E"/>
    <w:rsid w:val="00384965"/>
    <w:rsid w:val="003A04EF"/>
    <w:rsid w:val="003A1BBC"/>
    <w:rsid w:val="003A22A0"/>
    <w:rsid w:val="003B4C86"/>
    <w:rsid w:val="003C6478"/>
    <w:rsid w:val="003D35FC"/>
    <w:rsid w:val="003E16BD"/>
    <w:rsid w:val="003E7F2B"/>
    <w:rsid w:val="003F2FD8"/>
    <w:rsid w:val="003F45B6"/>
    <w:rsid w:val="004029DC"/>
    <w:rsid w:val="00410F1F"/>
    <w:rsid w:val="00432244"/>
    <w:rsid w:val="00433D5C"/>
    <w:rsid w:val="0044156E"/>
    <w:rsid w:val="00455F8F"/>
    <w:rsid w:val="00472214"/>
    <w:rsid w:val="004843DD"/>
    <w:rsid w:val="004860B7"/>
    <w:rsid w:val="004A13EE"/>
    <w:rsid w:val="004A1E80"/>
    <w:rsid w:val="004B5497"/>
    <w:rsid w:val="004B5A5A"/>
    <w:rsid w:val="004B70D5"/>
    <w:rsid w:val="004B7B1D"/>
    <w:rsid w:val="004E6CD6"/>
    <w:rsid w:val="004F0B84"/>
    <w:rsid w:val="00507F71"/>
    <w:rsid w:val="00512BC7"/>
    <w:rsid w:val="00516E51"/>
    <w:rsid w:val="00517EAB"/>
    <w:rsid w:val="005351E1"/>
    <w:rsid w:val="0053591B"/>
    <w:rsid w:val="00542029"/>
    <w:rsid w:val="0054594C"/>
    <w:rsid w:val="00551BD1"/>
    <w:rsid w:val="005554DA"/>
    <w:rsid w:val="00557660"/>
    <w:rsid w:val="00562DCE"/>
    <w:rsid w:val="00566C06"/>
    <w:rsid w:val="00580EFB"/>
    <w:rsid w:val="00582DB3"/>
    <w:rsid w:val="005A22F2"/>
    <w:rsid w:val="005B0BF8"/>
    <w:rsid w:val="005B29E5"/>
    <w:rsid w:val="005C1983"/>
    <w:rsid w:val="005C263D"/>
    <w:rsid w:val="005C5023"/>
    <w:rsid w:val="005C511D"/>
    <w:rsid w:val="005C5398"/>
    <w:rsid w:val="005C63C3"/>
    <w:rsid w:val="005D7BD9"/>
    <w:rsid w:val="005E0662"/>
    <w:rsid w:val="005E1F7C"/>
    <w:rsid w:val="005E672C"/>
    <w:rsid w:val="005F3002"/>
    <w:rsid w:val="005F6B78"/>
    <w:rsid w:val="00600FB0"/>
    <w:rsid w:val="00610482"/>
    <w:rsid w:val="00613887"/>
    <w:rsid w:val="0062380B"/>
    <w:rsid w:val="0062749A"/>
    <w:rsid w:val="006301D5"/>
    <w:rsid w:val="00636D0E"/>
    <w:rsid w:val="006418CB"/>
    <w:rsid w:val="006420D1"/>
    <w:rsid w:val="00644C5C"/>
    <w:rsid w:val="006529BB"/>
    <w:rsid w:val="006553CC"/>
    <w:rsid w:val="00655768"/>
    <w:rsid w:val="00663095"/>
    <w:rsid w:val="0067133D"/>
    <w:rsid w:val="00675847"/>
    <w:rsid w:val="0068064B"/>
    <w:rsid w:val="00680FD3"/>
    <w:rsid w:val="006826A3"/>
    <w:rsid w:val="006827D0"/>
    <w:rsid w:val="006940C1"/>
    <w:rsid w:val="0069723A"/>
    <w:rsid w:val="006A0EE0"/>
    <w:rsid w:val="006A2301"/>
    <w:rsid w:val="006B6397"/>
    <w:rsid w:val="006C3C33"/>
    <w:rsid w:val="006C4A3B"/>
    <w:rsid w:val="006C5F54"/>
    <w:rsid w:val="006D00D2"/>
    <w:rsid w:val="006D161F"/>
    <w:rsid w:val="006D6F36"/>
    <w:rsid w:val="006E7455"/>
    <w:rsid w:val="006F164D"/>
    <w:rsid w:val="006F2AA9"/>
    <w:rsid w:val="006F590F"/>
    <w:rsid w:val="006F5A6E"/>
    <w:rsid w:val="00703392"/>
    <w:rsid w:val="00712C1C"/>
    <w:rsid w:val="00716FC5"/>
    <w:rsid w:val="00721BE1"/>
    <w:rsid w:val="00730DA0"/>
    <w:rsid w:val="00731775"/>
    <w:rsid w:val="007423E9"/>
    <w:rsid w:val="00742AC6"/>
    <w:rsid w:val="00742EBC"/>
    <w:rsid w:val="00744B42"/>
    <w:rsid w:val="00745193"/>
    <w:rsid w:val="00750405"/>
    <w:rsid w:val="0075248F"/>
    <w:rsid w:val="00755026"/>
    <w:rsid w:val="00760063"/>
    <w:rsid w:val="007611AB"/>
    <w:rsid w:val="00772549"/>
    <w:rsid w:val="00772624"/>
    <w:rsid w:val="007732C2"/>
    <w:rsid w:val="00773581"/>
    <w:rsid w:val="00784A06"/>
    <w:rsid w:val="007A5841"/>
    <w:rsid w:val="007B5479"/>
    <w:rsid w:val="007B7496"/>
    <w:rsid w:val="007D2884"/>
    <w:rsid w:val="007E2574"/>
    <w:rsid w:val="007E67F7"/>
    <w:rsid w:val="007E78F4"/>
    <w:rsid w:val="00802846"/>
    <w:rsid w:val="008138F4"/>
    <w:rsid w:val="00816E04"/>
    <w:rsid w:val="00823325"/>
    <w:rsid w:val="00823F18"/>
    <w:rsid w:val="00825B27"/>
    <w:rsid w:val="00830B23"/>
    <w:rsid w:val="00851768"/>
    <w:rsid w:val="00851C49"/>
    <w:rsid w:val="008562B9"/>
    <w:rsid w:val="0086779C"/>
    <w:rsid w:val="00877442"/>
    <w:rsid w:val="00882AC1"/>
    <w:rsid w:val="00884C00"/>
    <w:rsid w:val="008854C3"/>
    <w:rsid w:val="00893118"/>
    <w:rsid w:val="008A1D42"/>
    <w:rsid w:val="008B15C1"/>
    <w:rsid w:val="008B590F"/>
    <w:rsid w:val="008C3C2C"/>
    <w:rsid w:val="008C64C1"/>
    <w:rsid w:val="008D1EB3"/>
    <w:rsid w:val="008D6FB1"/>
    <w:rsid w:val="008E1986"/>
    <w:rsid w:val="008E61F3"/>
    <w:rsid w:val="008E6C1A"/>
    <w:rsid w:val="008F1452"/>
    <w:rsid w:val="008F5A0E"/>
    <w:rsid w:val="00902026"/>
    <w:rsid w:val="0090241E"/>
    <w:rsid w:val="00904214"/>
    <w:rsid w:val="009053DC"/>
    <w:rsid w:val="00914F9A"/>
    <w:rsid w:val="009203D3"/>
    <w:rsid w:val="009252CD"/>
    <w:rsid w:val="009263E0"/>
    <w:rsid w:val="00926447"/>
    <w:rsid w:val="00930BD8"/>
    <w:rsid w:val="00932DCD"/>
    <w:rsid w:val="00940A20"/>
    <w:rsid w:val="00944B31"/>
    <w:rsid w:val="00950273"/>
    <w:rsid w:val="00954231"/>
    <w:rsid w:val="00954FE8"/>
    <w:rsid w:val="009555AA"/>
    <w:rsid w:val="0095780D"/>
    <w:rsid w:val="00963E9F"/>
    <w:rsid w:val="00965B79"/>
    <w:rsid w:val="009877F0"/>
    <w:rsid w:val="009A17C8"/>
    <w:rsid w:val="009A4040"/>
    <w:rsid w:val="009B52F1"/>
    <w:rsid w:val="009B64C6"/>
    <w:rsid w:val="009B7C36"/>
    <w:rsid w:val="009C1238"/>
    <w:rsid w:val="009C5398"/>
    <w:rsid w:val="009C74EE"/>
    <w:rsid w:val="009C7696"/>
    <w:rsid w:val="009D7A1D"/>
    <w:rsid w:val="009E49DF"/>
    <w:rsid w:val="00A037A4"/>
    <w:rsid w:val="00A10439"/>
    <w:rsid w:val="00A1104E"/>
    <w:rsid w:val="00A16250"/>
    <w:rsid w:val="00A216C8"/>
    <w:rsid w:val="00A21FC6"/>
    <w:rsid w:val="00A253F9"/>
    <w:rsid w:val="00A2625D"/>
    <w:rsid w:val="00A3401F"/>
    <w:rsid w:val="00A44227"/>
    <w:rsid w:val="00A474D1"/>
    <w:rsid w:val="00A542EE"/>
    <w:rsid w:val="00A55610"/>
    <w:rsid w:val="00A562BA"/>
    <w:rsid w:val="00A60833"/>
    <w:rsid w:val="00A629C7"/>
    <w:rsid w:val="00A63FE5"/>
    <w:rsid w:val="00A73FC4"/>
    <w:rsid w:val="00A77622"/>
    <w:rsid w:val="00A8220A"/>
    <w:rsid w:val="00A87B7B"/>
    <w:rsid w:val="00A94D1B"/>
    <w:rsid w:val="00AA39B7"/>
    <w:rsid w:val="00AA4ADB"/>
    <w:rsid w:val="00AB31BE"/>
    <w:rsid w:val="00AB754D"/>
    <w:rsid w:val="00AC15F9"/>
    <w:rsid w:val="00AD02A5"/>
    <w:rsid w:val="00AD6B8D"/>
    <w:rsid w:val="00AE5197"/>
    <w:rsid w:val="00AE68BB"/>
    <w:rsid w:val="00AF56F2"/>
    <w:rsid w:val="00B00AA8"/>
    <w:rsid w:val="00B04557"/>
    <w:rsid w:val="00B067D1"/>
    <w:rsid w:val="00B06D1C"/>
    <w:rsid w:val="00B12331"/>
    <w:rsid w:val="00B1394F"/>
    <w:rsid w:val="00B15ECE"/>
    <w:rsid w:val="00B26D65"/>
    <w:rsid w:val="00B31060"/>
    <w:rsid w:val="00B34747"/>
    <w:rsid w:val="00B367E6"/>
    <w:rsid w:val="00B4291D"/>
    <w:rsid w:val="00B44B2A"/>
    <w:rsid w:val="00B47520"/>
    <w:rsid w:val="00B50ADE"/>
    <w:rsid w:val="00B519C9"/>
    <w:rsid w:val="00B55DFB"/>
    <w:rsid w:val="00B61F9B"/>
    <w:rsid w:val="00B66100"/>
    <w:rsid w:val="00B66C36"/>
    <w:rsid w:val="00B675B8"/>
    <w:rsid w:val="00B6774B"/>
    <w:rsid w:val="00B70C69"/>
    <w:rsid w:val="00B71ED5"/>
    <w:rsid w:val="00B75666"/>
    <w:rsid w:val="00B82DC5"/>
    <w:rsid w:val="00B85F3C"/>
    <w:rsid w:val="00B87A1A"/>
    <w:rsid w:val="00B91D81"/>
    <w:rsid w:val="00B93831"/>
    <w:rsid w:val="00BA420A"/>
    <w:rsid w:val="00BA54C4"/>
    <w:rsid w:val="00BA6535"/>
    <w:rsid w:val="00BB3CD5"/>
    <w:rsid w:val="00BB3EB7"/>
    <w:rsid w:val="00BB419D"/>
    <w:rsid w:val="00BB711D"/>
    <w:rsid w:val="00BC07D6"/>
    <w:rsid w:val="00BC578C"/>
    <w:rsid w:val="00BD6B0C"/>
    <w:rsid w:val="00C067F0"/>
    <w:rsid w:val="00C11739"/>
    <w:rsid w:val="00C14BAF"/>
    <w:rsid w:val="00C15168"/>
    <w:rsid w:val="00C175B3"/>
    <w:rsid w:val="00C40DDE"/>
    <w:rsid w:val="00C52BB8"/>
    <w:rsid w:val="00C575B0"/>
    <w:rsid w:val="00C61A97"/>
    <w:rsid w:val="00C71325"/>
    <w:rsid w:val="00C903CF"/>
    <w:rsid w:val="00C912BD"/>
    <w:rsid w:val="00C965AB"/>
    <w:rsid w:val="00C97D74"/>
    <w:rsid w:val="00CA0C33"/>
    <w:rsid w:val="00CA0FCC"/>
    <w:rsid w:val="00CA1B05"/>
    <w:rsid w:val="00CA3A96"/>
    <w:rsid w:val="00CA4BBF"/>
    <w:rsid w:val="00CB1090"/>
    <w:rsid w:val="00CB1804"/>
    <w:rsid w:val="00CB3A5C"/>
    <w:rsid w:val="00CC41D7"/>
    <w:rsid w:val="00CC7A78"/>
    <w:rsid w:val="00CD1A62"/>
    <w:rsid w:val="00CD2B07"/>
    <w:rsid w:val="00CE0611"/>
    <w:rsid w:val="00CE1398"/>
    <w:rsid w:val="00CE5AAD"/>
    <w:rsid w:val="00CF1151"/>
    <w:rsid w:val="00CF34BF"/>
    <w:rsid w:val="00D00019"/>
    <w:rsid w:val="00D02CDA"/>
    <w:rsid w:val="00D05E16"/>
    <w:rsid w:val="00D06FC5"/>
    <w:rsid w:val="00D10FB1"/>
    <w:rsid w:val="00D111FD"/>
    <w:rsid w:val="00D12CD4"/>
    <w:rsid w:val="00D22787"/>
    <w:rsid w:val="00D24D44"/>
    <w:rsid w:val="00D261EA"/>
    <w:rsid w:val="00D351D9"/>
    <w:rsid w:val="00D4175B"/>
    <w:rsid w:val="00D42A0B"/>
    <w:rsid w:val="00D50CD8"/>
    <w:rsid w:val="00D55DED"/>
    <w:rsid w:val="00D6042E"/>
    <w:rsid w:val="00D61EC1"/>
    <w:rsid w:val="00D66034"/>
    <w:rsid w:val="00D848DE"/>
    <w:rsid w:val="00D858A9"/>
    <w:rsid w:val="00D85E61"/>
    <w:rsid w:val="00D90146"/>
    <w:rsid w:val="00D95E7E"/>
    <w:rsid w:val="00DA1A41"/>
    <w:rsid w:val="00DA21CF"/>
    <w:rsid w:val="00DB14E9"/>
    <w:rsid w:val="00DB6A88"/>
    <w:rsid w:val="00DB7E22"/>
    <w:rsid w:val="00DC6EAD"/>
    <w:rsid w:val="00DD2201"/>
    <w:rsid w:val="00DD2276"/>
    <w:rsid w:val="00DE1574"/>
    <w:rsid w:val="00DE174E"/>
    <w:rsid w:val="00DF061D"/>
    <w:rsid w:val="00DF22D5"/>
    <w:rsid w:val="00DF4123"/>
    <w:rsid w:val="00DF7D84"/>
    <w:rsid w:val="00E0256B"/>
    <w:rsid w:val="00E247E2"/>
    <w:rsid w:val="00E2486C"/>
    <w:rsid w:val="00E25F05"/>
    <w:rsid w:val="00E31FC8"/>
    <w:rsid w:val="00E41B96"/>
    <w:rsid w:val="00E42523"/>
    <w:rsid w:val="00E571B0"/>
    <w:rsid w:val="00E61143"/>
    <w:rsid w:val="00E63F39"/>
    <w:rsid w:val="00E644F3"/>
    <w:rsid w:val="00E64CDC"/>
    <w:rsid w:val="00E657E6"/>
    <w:rsid w:val="00E677CC"/>
    <w:rsid w:val="00E702FE"/>
    <w:rsid w:val="00E864E2"/>
    <w:rsid w:val="00E97E16"/>
    <w:rsid w:val="00EA0EA9"/>
    <w:rsid w:val="00EA1930"/>
    <w:rsid w:val="00EA6179"/>
    <w:rsid w:val="00EA6E31"/>
    <w:rsid w:val="00EB0516"/>
    <w:rsid w:val="00EB4B86"/>
    <w:rsid w:val="00EC0020"/>
    <w:rsid w:val="00EE1BF3"/>
    <w:rsid w:val="00EE5734"/>
    <w:rsid w:val="00EE614B"/>
    <w:rsid w:val="00EE6C0B"/>
    <w:rsid w:val="00EE76E6"/>
    <w:rsid w:val="00EF2FAF"/>
    <w:rsid w:val="00F0047E"/>
    <w:rsid w:val="00F036E1"/>
    <w:rsid w:val="00F05904"/>
    <w:rsid w:val="00F13C92"/>
    <w:rsid w:val="00F14645"/>
    <w:rsid w:val="00F27868"/>
    <w:rsid w:val="00F33BF9"/>
    <w:rsid w:val="00F355AF"/>
    <w:rsid w:val="00F3664B"/>
    <w:rsid w:val="00F46F87"/>
    <w:rsid w:val="00F47992"/>
    <w:rsid w:val="00F520DC"/>
    <w:rsid w:val="00F52C13"/>
    <w:rsid w:val="00F56893"/>
    <w:rsid w:val="00F56F23"/>
    <w:rsid w:val="00F6179F"/>
    <w:rsid w:val="00F66829"/>
    <w:rsid w:val="00F73BB9"/>
    <w:rsid w:val="00F7682B"/>
    <w:rsid w:val="00F77F49"/>
    <w:rsid w:val="00F813B3"/>
    <w:rsid w:val="00F91A0A"/>
    <w:rsid w:val="00F9251C"/>
    <w:rsid w:val="00F9779C"/>
    <w:rsid w:val="00FA09A4"/>
    <w:rsid w:val="00FB1056"/>
    <w:rsid w:val="00FC1C24"/>
    <w:rsid w:val="00FD2B3F"/>
    <w:rsid w:val="00FE60F6"/>
    <w:rsid w:val="00FE6247"/>
    <w:rsid w:val="00FE7820"/>
    <w:rsid w:val="01084942"/>
    <w:rsid w:val="01167554"/>
    <w:rsid w:val="014F7DFC"/>
    <w:rsid w:val="0179336A"/>
    <w:rsid w:val="02115FEC"/>
    <w:rsid w:val="02B31F24"/>
    <w:rsid w:val="03113315"/>
    <w:rsid w:val="04267A70"/>
    <w:rsid w:val="047F1B5F"/>
    <w:rsid w:val="04CE51B7"/>
    <w:rsid w:val="05D847E5"/>
    <w:rsid w:val="062E7715"/>
    <w:rsid w:val="067C65F1"/>
    <w:rsid w:val="06A719CB"/>
    <w:rsid w:val="06AC5DD9"/>
    <w:rsid w:val="07261D4A"/>
    <w:rsid w:val="07522393"/>
    <w:rsid w:val="07B26081"/>
    <w:rsid w:val="08EF1EE3"/>
    <w:rsid w:val="0A913BCA"/>
    <w:rsid w:val="0BF4406D"/>
    <w:rsid w:val="0C242EE3"/>
    <w:rsid w:val="0C5677B6"/>
    <w:rsid w:val="0E8404C2"/>
    <w:rsid w:val="0FE125D4"/>
    <w:rsid w:val="112D3E25"/>
    <w:rsid w:val="11300DE2"/>
    <w:rsid w:val="11715182"/>
    <w:rsid w:val="11915392"/>
    <w:rsid w:val="11E51543"/>
    <w:rsid w:val="12AF7CD6"/>
    <w:rsid w:val="14D05932"/>
    <w:rsid w:val="14D871D9"/>
    <w:rsid w:val="156A00E7"/>
    <w:rsid w:val="16EF1057"/>
    <w:rsid w:val="1722536B"/>
    <w:rsid w:val="182F10F1"/>
    <w:rsid w:val="1A255DBF"/>
    <w:rsid w:val="1A2834B7"/>
    <w:rsid w:val="1AB040D2"/>
    <w:rsid w:val="1B04153E"/>
    <w:rsid w:val="1B506DE6"/>
    <w:rsid w:val="1B8D762B"/>
    <w:rsid w:val="1C733A47"/>
    <w:rsid w:val="1C8034A4"/>
    <w:rsid w:val="1CA817C2"/>
    <w:rsid w:val="1DFC5003"/>
    <w:rsid w:val="1E1A7314"/>
    <w:rsid w:val="1E6A6411"/>
    <w:rsid w:val="1E7C3212"/>
    <w:rsid w:val="1ECB2CBB"/>
    <w:rsid w:val="1EEC1386"/>
    <w:rsid w:val="1F3E72B0"/>
    <w:rsid w:val="1FEF0C63"/>
    <w:rsid w:val="1FFC6217"/>
    <w:rsid w:val="20446B5F"/>
    <w:rsid w:val="20661425"/>
    <w:rsid w:val="2194541E"/>
    <w:rsid w:val="22230DB0"/>
    <w:rsid w:val="225A509F"/>
    <w:rsid w:val="239C52BE"/>
    <w:rsid w:val="247E2C16"/>
    <w:rsid w:val="249E2089"/>
    <w:rsid w:val="25021B5F"/>
    <w:rsid w:val="25025C86"/>
    <w:rsid w:val="25071EF9"/>
    <w:rsid w:val="270A4E37"/>
    <w:rsid w:val="27220D48"/>
    <w:rsid w:val="282D549E"/>
    <w:rsid w:val="28EE1D39"/>
    <w:rsid w:val="2B1C0B7B"/>
    <w:rsid w:val="2C412DFA"/>
    <w:rsid w:val="2C806BCE"/>
    <w:rsid w:val="2CC46001"/>
    <w:rsid w:val="2D0C5618"/>
    <w:rsid w:val="2D6B05EA"/>
    <w:rsid w:val="2D6F0794"/>
    <w:rsid w:val="2D904132"/>
    <w:rsid w:val="2E663B90"/>
    <w:rsid w:val="2E8A3D5F"/>
    <w:rsid w:val="2EE16678"/>
    <w:rsid w:val="2F1135ED"/>
    <w:rsid w:val="2F3E1B6E"/>
    <w:rsid w:val="2F8152AD"/>
    <w:rsid w:val="3027435D"/>
    <w:rsid w:val="30C5119D"/>
    <w:rsid w:val="320F0DB6"/>
    <w:rsid w:val="323A479E"/>
    <w:rsid w:val="32B900B2"/>
    <w:rsid w:val="32E3786D"/>
    <w:rsid w:val="33275B4A"/>
    <w:rsid w:val="33377D32"/>
    <w:rsid w:val="338D5021"/>
    <w:rsid w:val="34A47AAB"/>
    <w:rsid w:val="34BD5094"/>
    <w:rsid w:val="34CC2216"/>
    <w:rsid w:val="35601230"/>
    <w:rsid w:val="356B3A8C"/>
    <w:rsid w:val="36032492"/>
    <w:rsid w:val="362106CC"/>
    <w:rsid w:val="363E5D73"/>
    <w:rsid w:val="36DC0D99"/>
    <w:rsid w:val="37EA2B82"/>
    <w:rsid w:val="37ED4FD5"/>
    <w:rsid w:val="386C1A3B"/>
    <w:rsid w:val="390B7438"/>
    <w:rsid w:val="394177A0"/>
    <w:rsid w:val="3A337237"/>
    <w:rsid w:val="3A4045A0"/>
    <w:rsid w:val="3B3C3DD4"/>
    <w:rsid w:val="3B4E64FB"/>
    <w:rsid w:val="3B6444BC"/>
    <w:rsid w:val="3B671C1F"/>
    <w:rsid w:val="3B77345A"/>
    <w:rsid w:val="3D6E7D4E"/>
    <w:rsid w:val="3EEF10AE"/>
    <w:rsid w:val="3F37438D"/>
    <w:rsid w:val="3FA13628"/>
    <w:rsid w:val="3FC86909"/>
    <w:rsid w:val="403A1C8F"/>
    <w:rsid w:val="408C7BD7"/>
    <w:rsid w:val="40BF7F73"/>
    <w:rsid w:val="42B123CC"/>
    <w:rsid w:val="431A6AD0"/>
    <w:rsid w:val="4348019D"/>
    <w:rsid w:val="4529489D"/>
    <w:rsid w:val="461106E9"/>
    <w:rsid w:val="462A06AC"/>
    <w:rsid w:val="46C30D68"/>
    <w:rsid w:val="46E1230A"/>
    <w:rsid w:val="48201E6B"/>
    <w:rsid w:val="48390A7E"/>
    <w:rsid w:val="48FF333A"/>
    <w:rsid w:val="49E8736E"/>
    <w:rsid w:val="4BB4165C"/>
    <w:rsid w:val="4BC73DDE"/>
    <w:rsid w:val="4BD626F6"/>
    <w:rsid w:val="4C3E6663"/>
    <w:rsid w:val="4D0A1F71"/>
    <w:rsid w:val="4D9C6877"/>
    <w:rsid w:val="4DA46C91"/>
    <w:rsid w:val="4E10744E"/>
    <w:rsid w:val="4EA1469A"/>
    <w:rsid w:val="50BC033B"/>
    <w:rsid w:val="50FC061C"/>
    <w:rsid w:val="5119144D"/>
    <w:rsid w:val="51343C8C"/>
    <w:rsid w:val="517644A3"/>
    <w:rsid w:val="517E1818"/>
    <w:rsid w:val="52226EE4"/>
    <w:rsid w:val="52BA135A"/>
    <w:rsid w:val="5392443C"/>
    <w:rsid w:val="53F2563B"/>
    <w:rsid w:val="542521BF"/>
    <w:rsid w:val="551F5395"/>
    <w:rsid w:val="552758CE"/>
    <w:rsid w:val="56144A5F"/>
    <w:rsid w:val="59DF3632"/>
    <w:rsid w:val="5B343CF6"/>
    <w:rsid w:val="5B540B7B"/>
    <w:rsid w:val="5BEE3DFE"/>
    <w:rsid w:val="5BFD59E6"/>
    <w:rsid w:val="5C686619"/>
    <w:rsid w:val="5C882FB1"/>
    <w:rsid w:val="5D8E554C"/>
    <w:rsid w:val="5DE352BC"/>
    <w:rsid w:val="5E5E75A8"/>
    <w:rsid w:val="5EC243AF"/>
    <w:rsid w:val="5ECD725E"/>
    <w:rsid w:val="5F4E3D7F"/>
    <w:rsid w:val="5F541703"/>
    <w:rsid w:val="5FF820FB"/>
    <w:rsid w:val="60666601"/>
    <w:rsid w:val="60B635FB"/>
    <w:rsid w:val="61507262"/>
    <w:rsid w:val="61853147"/>
    <w:rsid w:val="6191539E"/>
    <w:rsid w:val="61B734B3"/>
    <w:rsid w:val="62306DC9"/>
    <w:rsid w:val="63022198"/>
    <w:rsid w:val="634D235E"/>
    <w:rsid w:val="63941103"/>
    <w:rsid w:val="644C255F"/>
    <w:rsid w:val="644E124D"/>
    <w:rsid w:val="64557B1F"/>
    <w:rsid w:val="647A5F26"/>
    <w:rsid w:val="649661EF"/>
    <w:rsid w:val="64C47B75"/>
    <w:rsid w:val="654A13AF"/>
    <w:rsid w:val="654B4018"/>
    <w:rsid w:val="66C914FC"/>
    <w:rsid w:val="671B3414"/>
    <w:rsid w:val="67D3268C"/>
    <w:rsid w:val="685D437B"/>
    <w:rsid w:val="6918202A"/>
    <w:rsid w:val="693600DF"/>
    <w:rsid w:val="694C1DDD"/>
    <w:rsid w:val="69685E6D"/>
    <w:rsid w:val="6A06480C"/>
    <w:rsid w:val="6A086266"/>
    <w:rsid w:val="6BA510C0"/>
    <w:rsid w:val="6C07266B"/>
    <w:rsid w:val="6C7B56E6"/>
    <w:rsid w:val="6D09357F"/>
    <w:rsid w:val="6D9669EA"/>
    <w:rsid w:val="6E474553"/>
    <w:rsid w:val="6E9579A2"/>
    <w:rsid w:val="6EF4514B"/>
    <w:rsid w:val="70821719"/>
    <w:rsid w:val="7082685F"/>
    <w:rsid w:val="71C93D2A"/>
    <w:rsid w:val="720E23A2"/>
    <w:rsid w:val="7516751B"/>
    <w:rsid w:val="76932F2A"/>
    <w:rsid w:val="77DE303E"/>
    <w:rsid w:val="78537889"/>
    <w:rsid w:val="797A08D7"/>
    <w:rsid w:val="79843EB8"/>
    <w:rsid w:val="7A92277A"/>
    <w:rsid w:val="7AA30604"/>
    <w:rsid w:val="7CCD0462"/>
    <w:rsid w:val="7D1D795D"/>
    <w:rsid w:val="7DAF4A6A"/>
    <w:rsid w:val="7E1C5F4B"/>
    <w:rsid w:val="7E4234E1"/>
    <w:rsid w:val="7E7C185A"/>
    <w:rsid w:val="7F084246"/>
    <w:rsid w:val="7F113154"/>
    <w:rsid w:val="7F207C8E"/>
    <w:rsid w:val="7F627390"/>
    <w:rsid w:val="7F6A40DC"/>
    <w:rsid w:val="7F9A224A"/>
    <w:rsid w:val="7F9E22B0"/>
    <w:rsid w:val="7FFF1D27"/>
    <w:rsid w:val="FF7FAE11"/>
    <w:rsid w:val="FFF85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53"/>
    <w:qFormat/>
    <w:uiPriority w:val="0"/>
    <w:pPr>
      <w:keepNext/>
      <w:keepLines/>
      <w:spacing w:before="340" w:after="330" w:line="578" w:lineRule="auto"/>
      <w:outlineLvl w:val="0"/>
    </w:pPr>
    <w:rPr>
      <w:rFonts w:ascii="Times New Roman" w:hAnsi="Times New Roman" w:eastAsia="黑体"/>
      <w:b/>
      <w:bCs/>
      <w:kern w:val="44"/>
      <w:sz w:val="32"/>
      <w:szCs w:val="44"/>
    </w:rPr>
  </w:style>
  <w:style w:type="paragraph" w:styleId="3">
    <w:name w:val="heading 2"/>
    <w:basedOn w:val="1"/>
    <w:next w:val="1"/>
    <w:link w:val="54"/>
    <w:qFormat/>
    <w:uiPriority w:val="0"/>
    <w:pPr>
      <w:numPr>
        <w:ilvl w:val="0"/>
        <w:numId w:val="1"/>
      </w:numPr>
      <w:spacing w:before="260" w:after="260" w:line="415" w:lineRule="auto"/>
      <w:outlineLvl w:val="1"/>
    </w:pPr>
    <w:rPr>
      <w:rFonts w:ascii="黑体" w:hAnsi="黑体" w:eastAsia="黑体"/>
      <w:b/>
      <w:bCs/>
      <w:kern w:val="44"/>
      <w:sz w:val="30"/>
      <w:szCs w:val="30"/>
    </w:rPr>
  </w:style>
  <w:style w:type="paragraph" w:styleId="4">
    <w:name w:val="heading 3"/>
    <w:basedOn w:val="1"/>
    <w:next w:val="1"/>
    <w:link w:val="55"/>
    <w:qFormat/>
    <w:uiPriority w:val="9"/>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3"/>
    <w:next w:val="6"/>
    <w:link w:val="56"/>
    <w:qFormat/>
    <w:uiPriority w:val="0"/>
    <w:pPr>
      <w:numPr>
        <w:numId w:val="2"/>
      </w:numPr>
      <w:outlineLvl w:val="3"/>
    </w:pPr>
    <w:rPr>
      <w:b w:val="0"/>
      <w:sz w:val="28"/>
    </w:rPr>
  </w:style>
  <w:style w:type="paragraph" w:styleId="6">
    <w:name w:val="heading 5"/>
    <w:basedOn w:val="5"/>
    <w:next w:val="7"/>
    <w:link w:val="57"/>
    <w:qFormat/>
    <w:uiPriority w:val="0"/>
    <w:pPr>
      <w:numPr>
        <w:numId w:val="3"/>
      </w:numPr>
      <w:spacing w:line="360" w:lineRule="auto"/>
      <w:outlineLvl w:val="4"/>
    </w:pPr>
    <w:rPr>
      <w:rFonts w:eastAsia="宋体"/>
      <w:b/>
      <w:bCs w:val="0"/>
      <w:sz w:val="24"/>
    </w:rPr>
  </w:style>
  <w:style w:type="paragraph" w:styleId="8">
    <w:name w:val="heading 6"/>
    <w:basedOn w:val="1"/>
    <w:next w:val="1"/>
    <w:link w:val="5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7"/>
    <w:link w:val="60"/>
    <w:qFormat/>
    <w:uiPriority w:val="0"/>
    <w:pPr>
      <w:keepNext/>
      <w:keepLines/>
      <w:spacing w:before="240" w:after="64" w:line="320" w:lineRule="auto"/>
      <w:outlineLvl w:val="6"/>
    </w:pPr>
    <w:rPr>
      <w:rFonts w:ascii="Times New Roman" w:hAnsi="Times New Roman"/>
      <w:b/>
      <w:kern w:val="0"/>
      <w:sz w:val="24"/>
      <w:szCs w:val="20"/>
    </w:rPr>
  </w:style>
  <w:style w:type="paragraph" w:styleId="10">
    <w:name w:val="heading 8"/>
    <w:basedOn w:val="1"/>
    <w:next w:val="7"/>
    <w:link w:val="61"/>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62"/>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58"/>
    <w:unhideWhenUsed/>
    <w:qFormat/>
    <w:uiPriority w:val="0"/>
    <w:pPr>
      <w:ind w:firstLine="420" w:firstLineChars="200"/>
    </w:pPr>
    <w:rPr>
      <w:rFonts w:ascii="Times New Roman" w:hAnsi="Times New Roman"/>
    </w:rPr>
  </w:style>
  <w:style w:type="paragraph" w:styleId="12">
    <w:name w:val="toc 7"/>
    <w:basedOn w:val="1"/>
    <w:next w:val="1"/>
    <w:unhideWhenUsed/>
    <w:qFormat/>
    <w:uiPriority w:val="39"/>
    <w:pPr>
      <w:ind w:left="2520" w:leftChars="1200"/>
    </w:pPr>
  </w:style>
  <w:style w:type="paragraph" w:styleId="13">
    <w:name w:val="Document Map"/>
    <w:basedOn w:val="1"/>
    <w:link w:val="63"/>
    <w:semiHidden/>
    <w:qFormat/>
    <w:uiPriority w:val="0"/>
    <w:pPr>
      <w:shd w:val="clear" w:color="auto" w:fill="000080"/>
    </w:pPr>
    <w:rPr>
      <w:rFonts w:ascii="Times New Roman" w:hAnsi="Times New Roman"/>
      <w:kern w:val="0"/>
      <w:sz w:val="20"/>
      <w:szCs w:val="24"/>
    </w:rPr>
  </w:style>
  <w:style w:type="paragraph" w:styleId="14">
    <w:name w:val="annotation text"/>
    <w:basedOn w:val="1"/>
    <w:link w:val="64"/>
    <w:unhideWhenUsed/>
    <w:qFormat/>
    <w:uiPriority w:val="99"/>
    <w:pPr>
      <w:jc w:val="left"/>
    </w:pPr>
    <w:rPr>
      <w:rFonts w:ascii="Times New Roman" w:hAnsi="Times New Roman"/>
    </w:rPr>
  </w:style>
  <w:style w:type="paragraph" w:styleId="15">
    <w:name w:val="Body Text 3"/>
    <w:basedOn w:val="1"/>
    <w:link w:val="65"/>
    <w:unhideWhenUsed/>
    <w:qFormat/>
    <w:uiPriority w:val="99"/>
    <w:pPr>
      <w:spacing w:after="120"/>
    </w:pPr>
    <w:rPr>
      <w:rFonts w:ascii="Times New Roman" w:hAnsi="Times New Roman"/>
      <w:sz w:val="16"/>
      <w:szCs w:val="16"/>
    </w:rPr>
  </w:style>
  <w:style w:type="paragraph" w:styleId="16">
    <w:name w:val="Body Text"/>
    <w:basedOn w:val="1"/>
    <w:link w:val="66"/>
    <w:unhideWhenUsed/>
    <w:qFormat/>
    <w:uiPriority w:val="99"/>
    <w:pPr>
      <w:spacing w:after="120"/>
    </w:pPr>
    <w:rPr>
      <w:kern w:val="0"/>
      <w:sz w:val="20"/>
      <w:szCs w:val="20"/>
    </w:rPr>
  </w:style>
  <w:style w:type="paragraph" w:styleId="17">
    <w:name w:val="Body Text Indent"/>
    <w:basedOn w:val="1"/>
    <w:link w:val="67"/>
    <w:qFormat/>
    <w:uiPriority w:val="0"/>
    <w:pPr>
      <w:spacing w:after="120"/>
      <w:ind w:left="420" w:leftChars="200"/>
    </w:pPr>
    <w:rPr>
      <w:rFonts w:ascii="Times New Roman" w:hAnsi="Times New Roman"/>
      <w:kern w:val="0"/>
      <w:sz w:val="20"/>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widowControl/>
      <w:spacing w:after="100" w:line="276" w:lineRule="auto"/>
      <w:ind w:left="440"/>
      <w:jc w:val="left"/>
    </w:pPr>
    <w:rPr>
      <w:kern w:val="0"/>
      <w:sz w:val="22"/>
    </w:rPr>
  </w:style>
  <w:style w:type="paragraph" w:styleId="20">
    <w:name w:val="Plain Text"/>
    <w:basedOn w:val="1"/>
    <w:link w:val="68"/>
    <w:qFormat/>
    <w:uiPriority w:val="0"/>
    <w:rPr>
      <w:rFonts w:ascii="宋体" w:hAnsi="Courier New" w:eastAsia="楷体_GB2312"/>
      <w:kern w:val="0"/>
      <w:sz w:val="20"/>
      <w:szCs w:val="24"/>
    </w:rPr>
  </w:style>
  <w:style w:type="paragraph" w:styleId="21">
    <w:name w:val="toc 8"/>
    <w:basedOn w:val="1"/>
    <w:next w:val="1"/>
    <w:unhideWhenUsed/>
    <w:qFormat/>
    <w:uiPriority w:val="39"/>
    <w:pPr>
      <w:ind w:left="2940" w:leftChars="1400"/>
    </w:pPr>
  </w:style>
  <w:style w:type="paragraph" w:styleId="22">
    <w:name w:val="Date"/>
    <w:basedOn w:val="1"/>
    <w:next w:val="1"/>
    <w:link w:val="69"/>
    <w:unhideWhenUsed/>
    <w:qFormat/>
    <w:uiPriority w:val="0"/>
    <w:pPr>
      <w:ind w:left="100" w:leftChars="2500"/>
    </w:pPr>
    <w:rPr>
      <w:rFonts w:ascii="Times New Roman" w:hAnsi="Times New Roman"/>
    </w:rPr>
  </w:style>
  <w:style w:type="paragraph" w:styleId="23">
    <w:name w:val="Body Text Indent 2"/>
    <w:basedOn w:val="1"/>
    <w:link w:val="70"/>
    <w:qFormat/>
    <w:uiPriority w:val="0"/>
    <w:pPr>
      <w:spacing w:after="120" w:line="480" w:lineRule="auto"/>
      <w:ind w:left="420" w:leftChars="200"/>
    </w:pPr>
    <w:rPr>
      <w:rFonts w:ascii="Times New Roman" w:hAnsi="Times New Roman"/>
      <w:kern w:val="0"/>
      <w:sz w:val="20"/>
      <w:szCs w:val="24"/>
    </w:rPr>
  </w:style>
  <w:style w:type="paragraph" w:styleId="24">
    <w:name w:val="endnote text"/>
    <w:basedOn w:val="1"/>
    <w:link w:val="71"/>
    <w:unhideWhenUsed/>
    <w:qFormat/>
    <w:uiPriority w:val="99"/>
    <w:pPr>
      <w:snapToGrid w:val="0"/>
      <w:jc w:val="left"/>
    </w:pPr>
    <w:rPr>
      <w:rFonts w:ascii="Times New Roman" w:hAnsi="Times New Roman"/>
    </w:rPr>
  </w:style>
  <w:style w:type="paragraph" w:styleId="25">
    <w:name w:val="Balloon Text"/>
    <w:basedOn w:val="1"/>
    <w:link w:val="72"/>
    <w:unhideWhenUsed/>
    <w:qFormat/>
    <w:uiPriority w:val="99"/>
    <w:rPr>
      <w:kern w:val="0"/>
      <w:sz w:val="18"/>
      <w:szCs w:val="18"/>
    </w:rPr>
  </w:style>
  <w:style w:type="paragraph" w:styleId="26">
    <w:name w:val="footer"/>
    <w:basedOn w:val="1"/>
    <w:link w:val="73"/>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4"/>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unhideWhenUsed/>
    <w:qFormat/>
    <w:uiPriority w:val="39"/>
    <w:pPr>
      <w:widowControl/>
      <w:spacing w:after="100" w:line="276" w:lineRule="auto"/>
      <w:jc w:val="left"/>
    </w:pPr>
    <w:rPr>
      <w:kern w:val="0"/>
      <w:sz w:val="22"/>
    </w:rPr>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75"/>
    <w:qFormat/>
    <w:uiPriority w:val="0"/>
    <w:pPr>
      <w:spacing w:after="120"/>
      <w:ind w:left="420" w:leftChars="200"/>
    </w:pPr>
    <w:rPr>
      <w:rFonts w:ascii="Times New Roman" w:hAnsi="Times New Roman"/>
      <w:kern w:val="0"/>
      <w:sz w:val="16"/>
      <w:szCs w:val="16"/>
    </w:rPr>
  </w:style>
  <w:style w:type="paragraph" w:styleId="32">
    <w:name w:val="toc 2"/>
    <w:basedOn w:val="1"/>
    <w:next w:val="1"/>
    <w:unhideWhenUsed/>
    <w:qFormat/>
    <w:uiPriority w:val="39"/>
    <w:pPr>
      <w:widowControl/>
      <w:spacing w:after="100" w:line="276" w:lineRule="auto"/>
      <w:ind w:left="220"/>
      <w:jc w:val="left"/>
    </w:pPr>
    <w:rPr>
      <w:kern w:val="0"/>
      <w:sz w:val="22"/>
    </w:rPr>
  </w:style>
  <w:style w:type="paragraph" w:styleId="33">
    <w:name w:val="toc 9"/>
    <w:basedOn w:val="1"/>
    <w:next w:val="1"/>
    <w:unhideWhenUsed/>
    <w:qFormat/>
    <w:uiPriority w:val="39"/>
    <w:pPr>
      <w:ind w:left="3360" w:leftChars="1600"/>
    </w:pPr>
  </w:style>
  <w:style w:type="paragraph" w:styleId="34">
    <w:name w:val="Body Text 2"/>
    <w:basedOn w:val="1"/>
    <w:link w:val="76"/>
    <w:unhideWhenUsed/>
    <w:qFormat/>
    <w:uiPriority w:val="0"/>
    <w:rPr>
      <w:rFonts w:ascii="宋体" w:hAnsi="宋体" w:eastAsia="楷体_GB2312"/>
      <w:kern w:val="0"/>
      <w:sz w:val="20"/>
      <w:szCs w:val="24"/>
      <w:u w:val="single"/>
    </w:rPr>
  </w:style>
  <w:style w:type="paragraph" w:styleId="35">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6">
    <w:name w:val="index 1"/>
    <w:basedOn w:val="1"/>
    <w:next w:val="1"/>
    <w:semiHidden/>
    <w:qFormat/>
    <w:uiPriority w:val="0"/>
    <w:pPr>
      <w:spacing w:line="220" w:lineRule="exact"/>
      <w:jc w:val="center"/>
    </w:pPr>
    <w:rPr>
      <w:rFonts w:ascii="仿宋_GB2312" w:hAnsi="Times New Roman" w:eastAsia="仿宋_GB2312"/>
      <w:szCs w:val="21"/>
    </w:rPr>
  </w:style>
  <w:style w:type="paragraph" w:styleId="37">
    <w:name w:val="Title"/>
    <w:basedOn w:val="1"/>
    <w:link w:val="77"/>
    <w:qFormat/>
    <w:uiPriority w:val="0"/>
    <w:pPr>
      <w:spacing w:before="120" w:after="60"/>
      <w:jc w:val="center"/>
    </w:pPr>
    <w:rPr>
      <w:rFonts w:ascii="Arial" w:hAnsi="Arial" w:eastAsia="楷体_GB2312"/>
      <w:b/>
      <w:kern w:val="0"/>
      <w:sz w:val="44"/>
      <w:szCs w:val="20"/>
    </w:rPr>
  </w:style>
  <w:style w:type="paragraph" w:styleId="38">
    <w:name w:val="annotation subject"/>
    <w:basedOn w:val="14"/>
    <w:next w:val="14"/>
    <w:link w:val="78"/>
    <w:unhideWhenUsed/>
    <w:qFormat/>
    <w:uiPriority w:val="99"/>
    <w:rPr>
      <w:b/>
      <w:bCs/>
    </w:rPr>
  </w:style>
  <w:style w:type="paragraph" w:styleId="39">
    <w:name w:val="Body Text First Indent"/>
    <w:basedOn w:val="16"/>
    <w:link w:val="79"/>
    <w:qFormat/>
    <w:uiPriority w:val="0"/>
    <w:pPr>
      <w:ind w:firstLine="420"/>
    </w:pPr>
    <w:rPr>
      <w:rFonts w:ascii="Times New Roman" w:hAnsi="Times New Roman" w:eastAsia="楷体_GB2312"/>
    </w:rPr>
  </w:style>
  <w:style w:type="table" w:styleId="41">
    <w:name w:val="Table Grid"/>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Table Professional"/>
    <w:basedOn w:val="40"/>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5">
    <w:name w:val="Strong"/>
    <w:qFormat/>
    <w:uiPriority w:val="0"/>
    <w:rPr>
      <w:rFonts w:eastAsia="宋体"/>
      <w:b/>
      <w:bCs/>
      <w:kern w:val="2"/>
      <w:sz w:val="24"/>
      <w:szCs w:val="24"/>
      <w:lang w:val="en-US" w:eastAsia="zh-CN" w:bidi="ar-SA"/>
    </w:rPr>
  </w:style>
  <w:style w:type="character" w:styleId="46">
    <w:name w:val="endnote reference"/>
    <w:semiHidden/>
    <w:qFormat/>
    <w:uiPriority w:val="0"/>
    <w:rPr>
      <w:rFonts w:eastAsia="宋体"/>
      <w:kern w:val="2"/>
      <w:sz w:val="24"/>
      <w:szCs w:val="24"/>
      <w:vertAlign w:val="superscript"/>
      <w:lang w:val="en-US" w:eastAsia="zh-CN" w:bidi="ar-SA"/>
    </w:rPr>
  </w:style>
  <w:style w:type="character" w:styleId="47">
    <w:name w:val="page number"/>
    <w:qFormat/>
    <w:uiPriority w:val="0"/>
    <w:rPr>
      <w:rFonts w:ascii="Arial" w:hAnsi="Arial" w:eastAsia="黑体"/>
      <w:kern w:val="2"/>
      <w:sz w:val="21"/>
      <w:szCs w:val="21"/>
      <w:lang w:val="en-US" w:eastAsia="zh-CN" w:bidi="ar-SA"/>
    </w:rPr>
  </w:style>
  <w:style w:type="character" w:styleId="48">
    <w:name w:val="FollowedHyperlink"/>
    <w:qFormat/>
    <w:uiPriority w:val="0"/>
    <w:rPr>
      <w:rFonts w:ascii="Arial" w:hAnsi="Arial" w:eastAsia="黑体"/>
      <w:color w:val="800080"/>
      <w:kern w:val="2"/>
      <w:sz w:val="21"/>
      <w:szCs w:val="21"/>
      <w:u w:val="single"/>
      <w:lang w:val="en-US" w:eastAsia="zh-CN" w:bidi="ar-SA"/>
    </w:rPr>
  </w:style>
  <w:style w:type="character" w:styleId="49">
    <w:name w:val="Emphasis"/>
    <w:qFormat/>
    <w:uiPriority w:val="20"/>
    <w:rPr>
      <w:i/>
      <w:iCs/>
    </w:rPr>
  </w:style>
  <w:style w:type="character" w:styleId="50">
    <w:name w:val="Hyperlink"/>
    <w:basedOn w:val="44"/>
    <w:qFormat/>
    <w:uiPriority w:val="99"/>
    <w:rPr>
      <w:rFonts w:ascii="Arial" w:hAnsi="Arial" w:eastAsia="黑体"/>
      <w:color w:val="0000FF"/>
      <w:kern w:val="2"/>
      <w:sz w:val="21"/>
      <w:szCs w:val="21"/>
      <w:u w:val="single"/>
      <w:lang w:val="en-US" w:eastAsia="zh-CN" w:bidi="ar-SA"/>
    </w:rPr>
  </w:style>
  <w:style w:type="character" w:styleId="51">
    <w:name w:val="annotation reference"/>
    <w:unhideWhenUsed/>
    <w:qFormat/>
    <w:uiPriority w:val="99"/>
    <w:rPr>
      <w:sz w:val="21"/>
      <w:szCs w:val="21"/>
    </w:rPr>
  </w:style>
  <w:style w:type="paragraph" w:customStyle="1" w:styleId="52">
    <w:name w:val="样式 宋体 行距: 1.5 倍行距"/>
    <w:basedOn w:val="1"/>
    <w:unhideWhenUsed/>
    <w:qFormat/>
    <w:uiPriority w:val="0"/>
    <w:pPr>
      <w:spacing w:beforeLines="0" w:afterLines="0"/>
      <w:jc w:val="center"/>
    </w:pPr>
    <w:rPr>
      <w:rFonts w:hint="default"/>
      <w:b/>
      <w:sz w:val="21"/>
      <w:szCs w:val="22"/>
    </w:rPr>
  </w:style>
  <w:style w:type="character" w:customStyle="1" w:styleId="53">
    <w:name w:val="标题 1 Char"/>
    <w:link w:val="2"/>
    <w:qFormat/>
    <w:uiPriority w:val="0"/>
    <w:rPr>
      <w:rFonts w:eastAsia="黑体"/>
      <w:b/>
      <w:bCs/>
      <w:kern w:val="44"/>
      <w:sz w:val="32"/>
      <w:szCs w:val="44"/>
    </w:rPr>
  </w:style>
  <w:style w:type="character" w:customStyle="1" w:styleId="54">
    <w:name w:val="标题 2 Char"/>
    <w:link w:val="3"/>
    <w:qFormat/>
    <w:uiPriority w:val="0"/>
    <w:rPr>
      <w:rFonts w:ascii="黑体" w:hAnsi="黑体" w:eastAsia="黑体" w:cs="宋体"/>
      <w:b/>
      <w:bCs/>
      <w:kern w:val="44"/>
      <w:sz w:val="30"/>
      <w:szCs w:val="30"/>
    </w:rPr>
  </w:style>
  <w:style w:type="character" w:customStyle="1" w:styleId="55">
    <w:name w:val="标题 3 Char"/>
    <w:link w:val="4"/>
    <w:qFormat/>
    <w:uiPriority w:val="9"/>
    <w:rPr>
      <w:b/>
      <w:bCs/>
      <w:sz w:val="32"/>
      <w:szCs w:val="32"/>
    </w:rPr>
  </w:style>
  <w:style w:type="character" w:customStyle="1" w:styleId="56">
    <w:name w:val="标题 4 Char"/>
    <w:link w:val="5"/>
    <w:qFormat/>
    <w:uiPriority w:val="0"/>
    <w:rPr>
      <w:rFonts w:ascii="黑体" w:hAnsi="黑体" w:eastAsia="黑体" w:cs="宋体"/>
      <w:bCs/>
      <w:kern w:val="44"/>
      <w:sz w:val="28"/>
      <w:szCs w:val="30"/>
    </w:rPr>
  </w:style>
  <w:style w:type="character" w:customStyle="1" w:styleId="57">
    <w:name w:val="标题 5 Char"/>
    <w:link w:val="6"/>
    <w:qFormat/>
    <w:uiPriority w:val="0"/>
    <w:rPr>
      <w:rFonts w:ascii="黑体" w:hAnsi="黑体" w:cs="宋体"/>
      <w:bCs/>
      <w:kern w:val="44"/>
      <w:sz w:val="24"/>
      <w:szCs w:val="30"/>
    </w:rPr>
  </w:style>
  <w:style w:type="character" w:customStyle="1" w:styleId="58">
    <w:name w:val="正文缩进 Char"/>
    <w:link w:val="7"/>
    <w:qFormat/>
    <w:uiPriority w:val="0"/>
    <w:rPr>
      <w:kern w:val="2"/>
      <w:sz w:val="21"/>
      <w:szCs w:val="22"/>
    </w:rPr>
  </w:style>
  <w:style w:type="character" w:customStyle="1" w:styleId="59">
    <w:name w:val="标题 6 Char"/>
    <w:link w:val="8"/>
    <w:qFormat/>
    <w:uiPriority w:val="0"/>
    <w:rPr>
      <w:rFonts w:ascii="Arial" w:hAnsi="Arial" w:eastAsia="黑体"/>
      <w:b/>
      <w:bCs/>
      <w:sz w:val="24"/>
      <w:szCs w:val="24"/>
    </w:rPr>
  </w:style>
  <w:style w:type="character" w:customStyle="1" w:styleId="60">
    <w:name w:val="标题 7 Char"/>
    <w:link w:val="9"/>
    <w:qFormat/>
    <w:uiPriority w:val="0"/>
    <w:rPr>
      <w:rFonts w:ascii="Times New Roman" w:hAnsi="Times New Roman"/>
      <w:b/>
      <w:sz w:val="24"/>
    </w:rPr>
  </w:style>
  <w:style w:type="character" w:customStyle="1" w:styleId="61">
    <w:name w:val="标题 8 Char"/>
    <w:link w:val="10"/>
    <w:qFormat/>
    <w:uiPriority w:val="0"/>
    <w:rPr>
      <w:rFonts w:ascii="Arial" w:hAnsi="Arial" w:eastAsia="黑体"/>
      <w:sz w:val="24"/>
    </w:rPr>
  </w:style>
  <w:style w:type="character" w:customStyle="1" w:styleId="62">
    <w:name w:val="标题 9 Char"/>
    <w:link w:val="11"/>
    <w:qFormat/>
    <w:uiPriority w:val="0"/>
    <w:rPr>
      <w:rFonts w:ascii="Arial" w:hAnsi="Arial" w:eastAsia="黑体"/>
    </w:rPr>
  </w:style>
  <w:style w:type="character" w:customStyle="1" w:styleId="63">
    <w:name w:val="文档结构图 Char"/>
    <w:link w:val="13"/>
    <w:semiHidden/>
    <w:qFormat/>
    <w:uiPriority w:val="0"/>
    <w:rPr>
      <w:rFonts w:ascii="Times New Roman" w:hAnsi="Times New Roman"/>
      <w:szCs w:val="24"/>
      <w:shd w:val="clear" w:color="auto" w:fill="000080"/>
    </w:rPr>
  </w:style>
  <w:style w:type="character" w:customStyle="1" w:styleId="64">
    <w:name w:val="批注文字 Char"/>
    <w:link w:val="14"/>
    <w:qFormat/>
    <w:uiPriority w:val="99"/>
    <w:rPr>
      <w:kern w:val="2"/>
      <w:sz w:val="21"/>
      <w:szCs w:val="22"/>
    </w:rPr>
  </w:style>
  <w:style w:type="character" w:customStyle="1" w:styleId="65">
    <w:name w:val="正文文本 3 Char"/>
    <w:link w:val="15"/>
    <w:qFormat/>
    <w:uiPriority w:val="99"/>
    <w:rPr>
      <w:kern w:val="2"/>
      <w:sz w:val="16"/>
      <w:szCs w:val="16"/>
    </w:rPr>
  </w:style>
  <w:style w:type="character" w:customStyle="1" w:styleId="66">
    <w:name w:val="正文文本 Char"/>
    <w:link w:val="16"/>
    <w:semiHidden/>
    <w:qFormat/>
    <w:uiPriority w:val="99"/>
    <w:rPr>
      <w:rFonts w:ascii="Calibri" w:hAnsi="Calibri" w:eastAsia="宋体" w:cs="Times New Roman"/>
    </w:rPr>
  </w:style>
  <w:style w:type="character" w:customStyle="1" w:styleId="67">
    <w:name w:val="正文文本缩进 Char"/>
    <w:link w:val="17"/>
    <w:qFormat/>
    <w:uiPriority w:val="0"/>
    <w:rPr>
      <w:rFonts w:ascii="Times New Roman" w:hAnsi="Times New Roman"/>
      <w:szCs w:val="24"/>
    </w:rPr>
  </w:style>
  <w:style w:type="character" w:customStyle="1" w:styleId="68">
    <w:name w:val="纯文本 Char"/>
    <w:link w:val="20"/>
    <w:qFormat/>
    <w:locked/>
    <w:uiPriority w:val="0"/>
    <w:rPr>
      <w:rFonts w:ascii="宋体" w:hAnsi="Courier New" w:eastAsia="楷体_GB2312"/>
      <w:szCs w:val="24"/>
    </w:rPr>
  </w:style>
  <w:style w:type="character" w:customStyle="1" w:styleId="69">
    <w:name w:val="日期 Char"/>
    <w:link w:val="22"/>
    <w:qFormat/>
    <w:uiPriority w:val="0"/>
    <w:rPr>
      <w:kern w:val="2"/>
      <w:sz w:val="21"/>
      <w:szCs w:val="22"/>
    </w:rPr>
  </w:style>
  <w:style w:type="character" w:customStyle="1" w:styleId="70">
    <w:name w:val="正文文本缩进 2 Char"/>
    <w:link w:val="23"/>
    <w:qFormat/>
    <w:uiPriority w:val="0"/>
    <w:rPr>
      <w:rFonts w:ascii="Times New Roman" w:hAnsi="Times New Roman"/>
      <w:szCs w:val="24"/>
    </w:rPr>
  </w:style>
  <w:style w:type="character" w:customStyle="1" w:styleId="71">
    <w:name w:val="尾注文本 Char"/>
    <w:link w:val="24"/>
    <w:qFormat/>
    <w:uiPriority w:val="99"/>
    <w:rPr>
      <w:kern w:val="2"/>
      <w:sz w:val="21"/>
      <w:szCs w:val="22"/>
    </w:rPr>
  </w:style>
  <w:style w:type="character" w:customStyle="1" w:styleId="72">
    <w:name w:val="批注框文本 Char"/>
    <w:link w:val="25"/>
    <w:qFormat/>
    <w:uiPriority w:val="99"/>
    <w:rPr>
      <w:rFonts w:ascii="Calibri" w:hAnsi="Calibri" w:eastAsia="宋体" w:cs="Times New Roman"/>
      <w:sz w:val="18"/>
      <w:szCs w:val="18"/>
    </w:rPr>
  </w:style>
  <w:style w:type="character" w:customStyle="1" w:styleId="73">
    <w:name w:val="页脚 Char"/>
    <w:link w:val="26"/>
    <w:qFormat/>
    <w:uiPriority w:val="99"/>
    <w:rPr>
      <w:sz w:val="18"/>
      <w:szCs w:val="18"/>
    </w:rPr>
  </w:style>
  <w:style w:type="character" w:customStyle="1" w:styleId="74">
    <w:name w:val="页眉 Char"/>
    <w:link w:val="27"/>
    <w:qFormat/>
    <w:uiPriority w:val="99"/>
    <w:rPr>
      <w:sz w:val="18"/>
      <w:szCs w:val="18"/>
    </w:rPr>
  </w:style>
  <w:style w:type="character" w:customStyle="1" w:styleId="75">
    <w:name w:val="正文文本缩进 3 Char"/>
    <w:link w:val="31"/>
    <w:qFormat/>
    <w:uiPriority w:val="0"/>
    <w:rPr>
      <w:rFonts w:ascii="Times New Roman" w:hAnsi="Times New Roman"/>
      <w:sz w:val="16"/>
      <w:szCs w:val="16"/>
    </w:rPr>
  </w:style>
  <w:style w:type="character" w:customStyle="1" w:styleId="76">
    <w:name w:val="正文文本 2 Char"/>
    <w:link w:val="34"/>
    <w:qFormat/>
    <w:uiPriority w:val="0"/>
    <w:rPr>
      <w:rFonts w:ascii="宋体" w:hAnsi="宋体" w:eastAsia="楷体_GB2312"/>
      <w:szCs w:val="24"/>
      <w:u w:val="single"/>
    </w:rPr>
  </w:style>
  <w:style w:type="character" w:customStyle="1" w:styleId="77">
    <w:name w:val="标题 Char"/>
    <w:link w:val="37"/>
    <w:qFormat/>
    <w:uiPriority w:val="0"/>
    <w:rPr>
      <w:rFonts w:ascii="Arial" w:hAnsi="Arial" w:eastAsia="楷体_GB2312"/>
      <w:b/>
      <w:sz w:val="44"/>
    </w:rPr>
  </w:style>
  <w:style w:type="character" w:customStyle="1" w:styleId="78">
    <w:name w:val="批注主题 Char"/>
    <w:link w:val="38"/>
    <w:qFormat/>
    <w:uiPriority w:val="99"/>
    <w:rPr>
      <w:b/>
      <w:bCs/>
      <w:kern w:val="2"/>
      <w:sz w:val="21"/>
      <w:szCs w:val="22"/>
    </w:rPr>
  </w:style>
  <w:style w:type="character" w:customStyle="1" w:styleId="79">
    <w:name w:val="正文首行缩进 Char"/>
    <w:link w:val="39"/>
    <w:qFormat/>
    <w:uiPriority w:val="0"/>
    <w:rPr>
      <w:rFonts w:ascii="Times New Roman" w:hAnsi="Times New Roman" w:eastAsia="楷体_GB2312" w:cs="Times New Roman"/>
      <w:kern w:val="0"/>
      <w:sz w:val="20"/>
      <w:szCs w:val="20"/>
    </w:rPr>
  </w:style>
  <w:style w:type="character" w:customStyle="1" w:styleId="80">
    <w:name w:val="正文文本缩进 3 Char1"/>
    <w:semiHidden/>
    <w:qFormat/>
    <w:uiPriority w:val="99"/>
    <w:rPr>
      <w:rFonts w:ascii="Calibri" w:hAnsi="Calibri" w:eastAsia="宋体" w:cs="Times New Roman"/>
      <w:sz w:val="16"/>
      <w:szCs w:val="16"/>
    </w:rPr>
  </w:style>
  <w:style w:type="character" w:customStyle="1" w:styleId="81">
    <w:name w:val="正文文本 3 Char1"/>
    <w:semiHidden/>
    <w:qFormat/>
    <w:uiPriority w:val="99"/>
    <w:rPr>
      <w:rFonts w:ascii="Calibri" w:hAnsi="Calibri" w:eastAsia="宋体" w:cs="Times New Roman"/>
      <w:sz w:val="16"/>
      <w:szCs w:val="16"/>
    </w:rPr>
  </w:style>
  <w:style w:type="character" w:customStyle="1" w:styleId="82">
    <w:name w:val="hover42"/>
    <w:basedOn w:val="44"/>
    <w:qFormat/>
    <w:uiPriority w:val="0"/>
  </w:style>
  <w:style w:type="character" w:customStyle="1" w:styleId="83">
    <w:name w:val="font5 Char"/>
    <w:link w:val="84"/>
    <w:qFormat/>
    <w:uiPriority w:val="0"/>
    <w:rPr>
      <w:rFonts w:ascii="宋体" w:hAnsi="宋体"/>
      <w:sz w:val="24"/>
      <w:szCs w:val="24"/>
    </w:rPr>
  </w:style>
  <w:style w:type="paragraph" w:customStyle="1" w:styleId="84">
    <w:name w:val="font5"/>
    <w:basedOn w:val="1"/>
    <w:link w:val="83"/>
    <w:qFormat/>
    <w:uiPriority w:val="0"/>
    <w:pPr>
      <w:widowControl/>
      <w:spacing w:before="100" w:beforeAutospacing="1" w:after="100" w:afterAutospacing="1"/>
      <w:jc w:val="left"/>
    </w:pPr>
    <w:rPr>
      <w:rFonts w:ascii="宋体" w:hAnsi="宋体"/>
      <w:kern w:val="0"/>
      <w:sz w:val="24"/>
      <w:szCs w:val="24"/>
    </w:rPr>
  </w:style>
  <w:style w:type="character" w:customStyle="1" w:styleId="85">
    <w:name w:val="批注主题 Char1"/>
    <w:semiHidden/>
    <w:qFormat/>
    <w:uiPriority w:val="99"/>
    <w:rPr>
      <w:rFonts w:ascii="Calibri" w:hAnsi="Calibri" w:eastAsia="宋体" w:cs="Times New Roman"/>
      <w:b/>
      <w:bCs/>
    </w:rPr>
  </w:style>
  <w:style w:type="character" w:customStyle="1" w:styleId="86">
    <w:name w:val="日期 Char1"/>
    <w:semiHidden/>
    <w:qFormat/>
    <w:uiPriority w:val="99"/>
    <w:rPr>
      <w:rFonts w:ascii="Calibri" w:hAnsi="Calibri" w:eastAsia="宋体" w:cs="Times New Roman"/>
    </w:rPr>
  </w:style>
  <w:style w:type="character" w:customStyle="1" w:styleId="87">
    <w:name w:val="times1"/>
    <w:basedOn w:val="44"/>
    <w:qFormat/>
    <w:uiPriority w:val="0"/>
    <w:rPr>
      <w:color w:val="CDCDCD"/>
      <w:bdr w:val="single" w:color="CDCDCD" w:sz="6" w:space="0"/>
      <w:shd w:val="clear" w:color="auto" w:fill="EFEFEF"/>
    </w:rPr>
  </w:style>
  <w:style w:type="character" w:customStyle="1" w:styleId="88">
    <w:name w:val="批注框文本 Char1"/>
    <w:semiHidden/>
    <w:qFormat/>
    <w:uiPriority w:val="99"/>
    <w:rPr>
      <w:rFonts w:ascii="Calibri" w:hAnsi="Calibri" w:eastAsia="宋体" w:cs="Times New Roman"/>
      <w:sz w:val="18"/>
      <w:szCs w:val="18"/>
    </w:rPr>
  </w:style>
  <w:style w:type="character" w:customStyle="1" w:styleId="89">
    <w:name w:val="尾注文本 Char1"/>
    <w:semiHidden/>
    <w:qFormat/>
    <w:uiPriority w:val="99"/>
    <w:rPr>
      <w:rFonts w:ascii="Calibri" w:hAnsi="Calibri" w:eastAsia="宋体" w:cs="Times New Roman"/>
    </w:rPr>
  </w:style>
  <w:style w:type="character" w:customStyle="1" w:styleId="90">
    <w:name w:val="正文文本缩进 2 Char1"/>
    <w:semiHidden/>
    <w:qFormat/>
    <w:uiPriority w:val="99"/>
    <w:rPr>
      <w:rFonts w:ascii="Calibri" w:hAnsi="Calibri" w:eastAsia="宋体" w:cs="Times New Roman"/>
    </w:rPr>
  </w:style>
  <w:style w:type="character" w:customStyle="1" w:styleId="91">
    <w:name w:val="正文首行缩进 Char1"/>
    <w:semiHidden/>
    <w:qFormat/>
    <w:uiPriority w:val="99"/>
  </w:style>
  <w:style w:type="character" w:customStyle="1" w:styleId="92">
    <w:name w:val="正文文本缩进 Char1"/>
    <w:semiHidden/>
    <w:qFormat/>
    <w:uiPriority w:val="99"/>
    <w:rPr>
      <w:rFonts w:ascii="Calibri" w:hAnsi="Calibri" w:eastAsia="宋体" w:cs="Times New Roman"/>
    </w:rPr>
  </w:style>
  <w:style w:type="character" w:customStyle="1" w:styleId="93">
    <w:name w:val="纯文本 Char2"/>
    <w:semiHidden/>
    <w:qFormat/>
    <w:uiPriority w:val="99"/>
    <w:rPr>
      <w:rFonts w:ascii="宋体" w:hAnsi="Courier New" w:eastAsia="宋体" w:cs="Courier New"/>
      <w:szCs w:val="21"/>
    </w:rPr>
  </w:style>
  <w:style w:type="character" w:customStyle="1" w:styleId="94">
    <w:name w:val="正文文本 Char1"/>
    <w:semiHidden/>
    <w:qFormat/>
    <w:uiPriority w:val="99"/>
    <w:rPr>
      <w:rFonts w:ascii="Calibri" w:hAnsi="Calibri" w:eastAsia="宋体" w:cs="Times New Roman"/>
    </w:rPr>
  </w:style>
  <w:style w:type="character" w:customStyle="1" w:styleId="95">
    <w:name w:val="标题 Char1"/>
    <w:qFormat/>
    <w:uiPriority w:val="10"/>
    <w:rPr>
      <w:rFonts w:ascii="Cambria" w:hAnsi="Cambria" w:eastAsia="宋体" w:cs="Times New Roman"/>
      <w:b/>
      <w:bCs/>
      <w:sz w:val="32"/>
      <w:szCs w:val="32"/>
    </w:rPr>
  </w:style>
  <w:style w:type="character" w:customStyle="1" w:styleId="96">
    <w:name w:val="页脚 Char1"/>
    <w:semiHidden/>
    <w:qFormat/>
    <w:uiPriority w:val="99"/>
    <w:rPr>
      <w:rFonts w:ascii="Calibri" w:hAnsi="Calibri" w:eastAsia="宋体" w:cs="Times New Roman"/>
      <w:sz w:val="18"/>
      <w:szCs w:val="18"/>
    </w:rPr>
  </w:style>
  <w:style w:type="character" w:customStyle="1" w:styleId="97">
    <w:name w:val="times"/>
    <w:basedOn w:val="44"/>
    <w:qFormat/>
    <w:uiPriority w:val="0"/>
    <w:rPr>
      <w:color w:val="3399FF"/>
      <w:bdr w:val="single" w:color="D1EDF8" w:sz="6" w:space="0"/>
      <w:shd w:val="clear" w:color="auto" w:fill="EAF9FF"/>
    </w:rPr>
  </w:style>
  <w:style w:type="character" w:customStyle="1" w:styleId="98">
    <w:name w:val="文档结构图 Char1"/>
    <w:semiHidden/>
    <w:qFormat/>
    <w:uiPriority w:val="99"/>
    <w:rPr>
      <w:rFonts w:ascii="宋体" w:hAnsi="Calibri" w:eastAsia="宋体" w:cs="Times New Roman"/>
      <w:sz w:val="18"/>
      <w:szCs w:val="18"/>
    </w:rPr>
  </w:style>
  <w:style w:type="character" w:customStyle="1" w:styleId="99">
    <w:name w:val="纯文本 Char1"/>
    <w:qFormat/>
    <w:uiPriority w:val="99"/>
    <w:rPr>
      <w:rFonts w:ascii="宋体" w:hAnsi="Courier New" w:cs="Courier New"/>
      <w:kern w:val="2"/>
      <w:sz w:val="21"/>
      <w:szCs w:val="21"/>
    </w:rPr>
  </w:style>
  <w:style w:type="character" w:customStyle="1" w:styleId="100">
    <w:name w:val="批注文字 Char1"/>
    <w:semiHidden/>
    <w:qFormat/>
    <w:uiPriority w:val="99"/>
    <w:rPr>
      <w:rFonts w:ascii="Calibri" w:hAnsi="Calibri" w:eastAsia="宋体" w:cs="Times New Roman"/>
    </w:rPr>
  </w:style>
  <w:style w:type="character" w:customStyle="1" w:styleId="101">
    <w:name w:val="正文文本 2 Char1"/>
    <w:semiHidden/>
    <w:qFormat/>
    <w:uiPriority w:val="99"/>
    <w:rPr>
      <w:rFonts w:ascii="Calibri" w:hAnsi="Calibri" w:eastAsia="宋体" w:cs="Times New Roman"/>
    </w:rPr>
  </w:style>
  <w:style w:type="character" w:customStyle="1" w:styleId="102">
    <w:name w:val="font161"/>
    <w:qFormat/>
    <w:uiPriority w:val="0"/>
    <w:rPr>
      <w:rFonts w:ascii="Arial" w:hAnsi="Arial" w:eastAsia="黑体"/>
      <w:b/>
      <w:bCs/>
      <w:kern w:val="2"/>
      <w:sz w:val="32"/>
      <w:szCs w:val="32"/>
      <w:lang w:val="en-US" w:eastAsia="zh-CN" w:bidi="ar-SA"/>
    </w:rPr>
  </w:style>
  <w:style w:type="character" w:customStyle="1" w:styleId="103">
    <w:name w:val="页眉 Char1"/>
    <w:semiHidden/>
    <w:qFormat/>
    <w:uiPriority w:val="99"/>
    <w:rPr>
      <w:rFonts w:ascii="Calibri" w:hAnsi="Calibri" w:eastAsia="宋体" w:cs="Times New Roman"/>
      <w:sz w:val="18"/>
      <w:szCs w:val="18"/>
    </w:rPr>
  </w:style>
  <w:style w:type="paragraph" w:customStyle="1" w:styleId="104">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5">
    <w:name w:val="样式 标题 2 + Times New Roman 四号 非加粗 段前: 5 磅 段后: 0 磅 行距: 固定值 20..."/>
    <w:basedOn w:val="3"/>
    <w:qFormat/>
    <w:uiPriority w:val="0"/>
    <w:pPr>
      <w:numPr>
        <w:ilvl w:val="0"/>
        <w:numId w:val="0"/>
      </w:numPr>
      <w:spacing w:before="100" w:after="0"/>
      <w:ind w:left="420" w:hanging="420"/>
    </w:pPr>
    <w:rPr>
      <w:rFonts w:ascii="Times New Roman" w:hAnsi="Times New Roman"/>
      <w:sz w:val="28"/>
      <w:szCs w:val="20"/>
    </w:rPr>
  </w:style>
  <w:style w:type="paragraph" w:customStyle="1" w:styleId="106">
    <w:name w:val="表格"/>
    <w:basedOn w:val="1"/>
    <w:qFormat/>
    <w:uiPriority w:val="0"/>
    <w:pPr>
      <w:jc w:val="center"/>
      <w:textAlignment w:val="center"/>
    </w:pPr>
    <w:rPr>
      <w:rFonts w:ascii="华文细黑" w:hAnsi="华文细黑"/>
      <w:kern w:val="0"/>
      <w:szCs w:val="20"/>
    </w:rPr>
  </w:style>
  <w:style w:type="paragraph" w:customStyle="1" w:styleId="10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8">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9">
    <w:name w:val="text"/>
    <w:basedOn w:val="1"/>
    <w:qFormat/>
    <w:uiPriority w:val="0"/>
    <w:pPr>
      <w:widowControl/>
      <w:spacing w:after="120" w:line="360" w:lineRule="atLeast"/>
      <w:ind w:firstLine="300"/>
      <w:jc w:val="left"/>
    </w:pPr>
    <w:rPr>
      <w:rFonts w:ascii="宋体" w:hAnsi="宋体" w:cs="宋体"/>
      <w:kern w:val="0"/>
      <w:sz w:val="24"/>
      <w:szCs w:val="24"/>
    </w:rPr>
  </w:style>
  <w:style w:type="paragraph" w:customStyle="1" w:styleId="110">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1">
    <w:name w:val="Char Char Char Char"/>
    <w:basedOn w:val="1"/>
    <w:qFormat/>
    <w:uiPriority w:val="0"/>
    <w:rPr>
      <w:rFonts w:ascii="Times New Roman" w:hAnsi="Times New Roman"/>
      <w:sz w:val="30"/>
      <w:szCs w:val="24"/>
    </w:rPr>
  </w:style>
  <w:style w:type="paragraph" w:customStyle="1" w:styleId="112">
    <w:name w:val="列出段落1"/>
    <w:basedOn w:val="1"/>
    <w:qFormat/>
    <w:uiPriority w:val="0"/>
    <w:pPr>
      <w:keepNext w:val="0"/>
      <w:keepLines w:val="0"/>
      <w:widowControl w:val="0"/>
      <w:suppressLineNumbers w:val="0"/>
      <w:tabs>
        <w:tab w:val="left" w:pos="960"/>
      </w:tabs>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5">
    <w:name w:val="样式 标题 1 + 黑体 三号 非加粗 居中 段前: 6 磅 段后: 6 磅 行距: 固定值 20 磅"/>
    <w:basedOn w:val="2"/>
    <w:qFormat/>
    <w:uiPriority w:val="0"/>
    <w:pPr>
      <w:spacing w:before="120" w:after="120" w:line="400" w:lineRule="exact"/>
      <w:jc w:val="center"/>
    </w:pPr>
    <w:rPr>
      <w:rFonts w:ascii="黑体" w:hAnsi="黑体" w:cs="宋体"/>
      <w:b w:val="0"/>
      <w:bCs w:val="0"/>
      <w:szCs w:val="20"/>
    </w:rPr>
  </w:style>
  <w:style w:type="paragraph" w:customStyle="1" w:styleId="11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7">
    <w:name w:val="1"/>
    <w:basedOn w:val="1"/>
    <w:qFormat/>
    <w:uiPriority w:val="0"/>
    <w:rPr>
      <w:rFonts w:ascii="Times New Roman" w:hAnsi="Times New Roman"/>
      <w:szCs w:val="24"/>
    </w:rPr>
  </w:style>
  <w:style w:type="paragraph" w:customStyle="1" w:styleId="11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9">
    <w:name w:val="发文落款"/>
    <w:basedOn w:val="113"/>
    <w:qFormat/>
    <w:uiPriority w:val="0"/>
    <w:pPr>
      <w:ind w:left="4094" w:right="607" w:firstLine="0"/>
      <w:jc w:val="center"/>
    </w:pPr>
  </w:style>
  <w:style w:type="paragraph" w:customStyle="1" w:styleId="120">
    <w:name w:val="p0"/>
    <w:basedOn w:val="1"/>
    <w:qFormat/>
    <w:uiPriority w:val="0"/>
    <w:pPr>
      <w:widowControl/>
      <w:spacing w:before="75" w:after="75"/>
      <w:jc w:val="left"/>
    </w:pPr>
    <w:rPr>
      <w:rFonts w:ascii="宋体" w:hAnsi="宋体" w:cs="宋体"/>
      <w:kern w:val="0"/>
      <w:sz w:val="24"/>
      <w:szCs w:val="24"/>
    </w:rPr>
  </w:style>
  <w:style w:type="paragraph" w:customStyle="1" w:styleId="121">
    <w:name w:val="标题2"/>
    <w:basedOn w:val="3"/>
    <w:next w:val="1"/>
    <w:qFormat/>
    <w:uiPriority w:val="0"/>
    <w:pPr>
      <w:numPr>
        <w:ilvl w:val="0"/>
        <w:numId w:val="0"/>
      </w:numPr>
      <w:tabs>
        <w:tab w:val="left" w:pos="840"/>
      </w:tabs>
      <w:snapToGrid w:val="0"/>
      <w:spacing w:before="120" w:line="240" w:lineRule="auto"/>
      <w:ind w:left="840" w:hanging="420"/>
      <w:jc w:val="left"/>
    </w:pPr>
    <w:rPr>
      <w:rFonts w:ascii="Arial" w:hAnsi="Arial"/>
      <w:sz w:val="21"/>
      <w:szCs w:val="21"/>
    </w:rPr>
  </w:style>
  <w:style w:type="paragraph" w:styleId="122">
    <w:name w:val="List Paragraph"/>
    <w:basedOn w:val="1"/>
    <w:qFormat/>
    <w:uiPriority w:val="34"/>
    <w:pPr>
      <w:ind w:firstLine="420" w:firstLineChars="200"/>
    </w:pPr>
  </w:style>
  <w:style w:type="paragraph" w:customStyle="1" w:styleId="123">
    <w:name w:val="TOC Heading"/>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2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25">
    <w:name w:val="Char"/>
    <w:basedOn w:val="1"/>
    <w:qFormat/>
    <w:uiPriority w:val="0"/>
    <w:pPr>
      <w:numPr>
        <w:ilvl w:val="0"/>
        <w:numId w:val="4"/>
      </w:numPr>
    </w:pPr>
    <w:rPr>
      <w:rFonts w:ascii="Times New Roman" w:hAnsi="Times New Roman"/>
      <w:sz w:val="24"/>
      <w:szCs w:val="24"/>
    </w:rPr>
  </w:style>
  <w:style w:type="paragraph" w:customStyle="1" w:styleId="126">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121</Pages>
  <Words>50868</Words>
  <Characters>53703</Characters>
  <Lines>389</Lines>
  <Paragraphs>109</Paragraphs>
  <TotalTime>179</TotalTime>
  <ScaleCrop>false</ScaleCrop>
  <LinksUpToDate>false</LinksUpToDate>
  <CharactersWithSpaces>56816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2021-10-25T15:12:00Z</dcterms:created>
  <dc:creator>PC</dc:creator>
  <cp:lastModifiedBy>Administrator</cp:lastModifiedBy>
  <cp:lastPrinted>2022-11-16T11:07:00Z</cp:lastPrinted>
  <dcterms:modified xsi:type="dcterms:W3CDTF">2022-11-17T06:30:48Z</dcterms:modified>
  <dc:title>黄埔区2022水利设施维修改造工程施工Ⅰ标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C718EC336172481EA52042A29F3CB06F</vt:lpwstr>
  </property>
</Properties>
</file>