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440" w:lineRule="auto"/>
        <w:jc w:val="center"/>
        <w:outlineLvl w:val="3"/>
      </w:pPr>
      <w:r>
        <w:rPr>
          <w:rFonts w:ascii="标宋" w:eastAsia="标宋" w:hint="eastAsia"/>
          <w:sz w:val="34.5"/>
          <w:szCs w:val="34.5"/>
          <w:u w:val="single"/>
          <w:color w:val="000000"/>
        </w:rPr>
        <w:t xml:space="preserve"> 揭普惠高速公路南延线土建工程施工 </w:t>
      </w:r>
      <w:r>
        <w:rPr>
          <w:rFonts w:ascii="标宋" w:eastAsia="标宋" w:hint="eastAsia"/>
          <w:sz w:val="34.5"/>
          <w:szCs w:val="34.5"/>
          <w:color w:val="000000"/>
        </w:rPr>
        <w:t xml:space="preserve">招标公告</w:t>
      </w:r>
    </w:p>
    <w:p>
      <w:pPr>
        <w:spacing w:line="280" w:lineRule="auto"/>
        <w:jc w:val="center"/>
      </w:pPr>
    </w:p>
    <w:p>
      <w:pPr>
        <w:outlineLvl w:val="3"/>
      </w:pPr>
      <w:r>
        <w:rPr>
          <w:rFonts w:ascii="" w:eastAsia="" w:hint="eastAsia"/>
          <w:sz w:val="34.5"/>
          <w:szCs w:val="34.5"/>
          <w:b/>
          <w:color w:val="000000"/>
        </w:rPr>
        <w:t xml:space="preserve">1.招标条件</w:t>
      </w:r>
    </w:p>
    <w:p>
      <w:pPr/>
      <w:r>
        <w:rPr>
          <w:rFonts w:ascii="标宋" w:eastAsia="标宋" w:hint="eastAsia"/>
          <w:sz w:val="21.0"/>
          <w:szCs w:val="21.0"/>
          <w:color w:val="000000"/>
        </w:rPr>
        <w:t xml:space="preserve">    本招标项目</w:t>
      </w:r>
      <w:r>
        <w:rPr>
          <w:rFonts w:ascii="标宋" w:eastAsia="标宋" w:hint="eastAsia"/>
          <w:sz w:val="21.0"/>
          <w:szCs w:val="21.0"/>
          <w:u w:val="single"/>
          <w:color w:val="000000"/>
        </w:rPr>
        <w:t xml:space="preserve"> 揭普惠高速公路南延线工程 </w:t>
      </w:r>
      <w:r>
        <w:rPr>
          <w:rFonts w:ascii="标宋" w:eastAsia="标宋" w:hint="eastAsia"/>
          <w:sz w:val="21.0"/>
          <w:szCs w:val="21.0"/>
          <w:color w:val="000000"/>
        </w:rPr>
        <w:t xml:space="preserve">已由</w:t>
      </w:r>
      <w:r>
        <w:rPr>
          <w:rFonts w:ascii="标宋" w:eastAsia="标宋" w:hint="eastAsia"/>
          <w:sz w:val="21.0"/>
          <w:szCs w:val="21.0"/>
          <w:u w:val="single"/>
          <w:color w:val="000000"/>
        </w:rPr>
        <w:t xml:space="preserve">  广东省发展改革委员会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粤发改核准〔2022〕45号文  </w:t>
      </w:r>
      <w:r>
        <w:rPr>
          <w:rFonts w:ascii="标宋" w:eastAsia="标宋" w:hint="eastAsia"/>
          <w:sz w:val="21.0"/>
          <w:szCs w:val="21.0"/>
          <w:color w:val="000000"/>
        </w:rPr>
        <w:t xml:space="preserve">批准建设,施工图设计已由</w:t>
      </w:r>
      <w:r>
        <w:rPr>
          <w:rFonts w:ascii="标宋" w:eastAsia="标宋" w:hint="eastAsia"/>
          <w:sz w:val="21.0"/>
          <w:szCs w:val="21.0"/>
          <w:u w:val="single"/>
          <w:color w:val="000000"/>
        </w:rPr>
        <w:t xml:space="preserve">  广东省交通运输厅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粤交基〔2022〕542号文 </w:t>
      </w:r>
      <w:r>
        <w:rPr>
          <w:rFonts w:ascii="标宋" w:eastAsia="标宋" w:hint="eastAsia"/>
          <w:sz w:val="21.0"/>
          <w:szCs w:val="21.0"/>
          <w:color w:val="000000"/>
        </w:rPr>
        <w:t xml:space="preserve">批准，项目业主为</w:t>
      </w:r>
      <w:r>
        <w:rPr>
          <w:rFonts w:ascii="标宋" w:eastAsia="标宋" w:hint="eastAsia"/>
          <w:sz w:val="21.0"/>
          <w:szCs w:val="21.0"/>
          <w:u w:val="single"/>
          <w:color w:val="000000"/>
        </w:rPr>
        <w:t xml:space="preserve">  广东潮惠高速公路有限公司  </w:t>
      </w:r>
      <w:r>
        <w:rPr>
          <w:rFonts w:ascii="标宋" w:eastAsia="标宋" w:hint="eastAsia"/>
          <w:sz w:val="21.0"/>
          <w:szCs w:val="21.0"/>
          <w:color w:val="000000"/>
        </w:rPr>
        <w:t xml:space="preserve">，建设资金来自</w:t>
      </w:r>
      <w:r>
        <w:rPr>
          <w:rFonts w:ascii="标宋" w:eastAsia="标宋" w:hint="eastAsia"/>
          <w:sz w:val="21.0"/>
          <w:szCs w:val="21.0"/>
          <w:u w:val="single"/>
          <w:color w:val="000000"/>
        </w:rPr>
        <w:t xml:space="preserve">  企业自筹、银行贷款  </w:t>
      </w:r>
      <w:r>
        <w:rPr>
          <w:rFonts w:ascii="标宋" w:eastAsia="标宋" w:hint="eastAsia"/>
          <w:sz w:val="21.0"/>
          <w:szCs w:val="21.0"/>
          <w:color w:val="000000"/>
        </w:rPr>
        <w:t xml:space="preserve">,项目出资比例为</w:t>
      </w:r>
      <w:r>
        <w:rPr>
          <w:rFonts w:ascii="标宋" w:eastAsia="标宋" w:hint="eastAsia"/>
          <w:sz w:val="21.0"/>
          <w:szCs w:val="21.0"/>
          <w:u w:val="single"/>
          <w:color w:val="000000"/>
        </w:rPr>
        <w:t xml:space="preserve">  企业自筹40%，银行贷款60% </w:t>
      </w:r>
      <w:r>
        <w:rPr>
          <w:rFonts w:ascii="标宋" w:eastAsia="标宋" w:hint="eastAsia"/>
          <w:sz w:val="21.0"/>
          <w:szCs w:val="21.0"/>
          <w:color w:val="000000"/>
        </w:rPr>
        <w:t xml:space="preserve">，招标人为</w:t>
      </w:r>
      <w:r>
        <w:rPr>
          <w:rFonts w:ascii="标宋" w:eastAsia="标宋" w:hint="eastAsia"/>
          <w:sz w:val="21.0"/>
          <w:szCs w:val="21.0"/>
          <w:u w:val="single"/>
          <w:color w:val="000000"/>
        </w:rPr>
        <w:t xml:space="preserve">  广东潮惠高速公路有限公司粤东分公司  </w:t>
      </w:r>
      <w:r>
        <w:rPr>
          <w:rFonts w:ascii="标宋" w:eastAsia="标宋" w:hint="eastAsia"/>
          <w:sz w:val="21.0"/>
          <w:szCs w:val="21.0"/>
          <w:color w:val="000000"/>
        </w:rPr>
        <w:t xml:space="preserve">。项目已具备招标条件，现对该项目的施工采用资格后审方式进行公开招标。</w:t>
      </w:r>
    </w:p>
    <w:p>
      <w:pPr>
        <w:spacing w:line="280" w:lineRule="auto"/>
      </w:pPr>
    </w:p>
    <w:p>
      <w:pPr>
        <w:spacing w:line="280" w:lineRule="auto"/>
        <w:outlineLvl w:val="3"/>
      </w:pPr>
      <w:r>
        <w:rPr>
          <w:rFonts w:ascii="" w:eastAsia="" w:hint="eastAsia"/>
          <w:sz w:val="34.5"/>
          <w:szCs w:val="34.5"/>
          <w:b/>
          <w:color w:val="000000"/>
        </w:rPr>
        <w:t xml:space="preserve">2.项目概况与招标范围</w:t>
      </w:r>
    </w:p>
    <w:p>
      <w:pPr/>
      <w:r>
        <w:rPr>
          <w:rFonts w:ascii="" w:eastAsia="" w:hint="eastAsia"/>
          <w:sz w:val="21.0"/>
          <w:szCs w:val="21.0"/>
          <w:color w:val="000000"/>
        </w:rPr>
        <w:t xml:space="preserve">     揭普惠高速公路南延线工程（以下简称“本项目”）已列入《广东省高速公路网规划》（2020-2035年），是广东省构建以“两环十六射十二纵八横”为基本架构，以七十八条加密联络线织网拓面的一体化网络中的二纵并行线揭普惠高速公路的南延线。本项目是连接陆丰东部片区与珠三角地区的快速通道，是汕尾陆丰港区湖东、甲西作业区及三甲化工基地、湖东风电等能源基地的集疏运通道。</w:t>
      </w:r>
    </w:p>
    <w:p>
      <w:pPr/>
      <w:r>
        <w:rPr>
          <w:rFonts w:ascii="" w:eastAsia="" w:hint="eastAsia"/>
          <w:sz w:val="21.0"/>
          <w:szCs w:val="21.0"/>
          <w:color w:val="000000"/>
        </w:rPr>
        <w:t xml:space="preserve">     路线起于揭阳市惠来县东港镇东港村，顺接揭普惠高速公路，并与沈海高速公路呈十字交叉设东港枢纽互通立交，经汕尾市华侨管理区、陆丰市南塘镇，终于甲西镇濠头村，接改线后的国道G228 线。全长13.621km，设特大桥4896.2m/2 座，大桥750.6m/1 座，中桥229.2m/3 座，涵洞22座；设东港枢纽互通立交1 处（现状改造），预留衡山互通立交1 处；设主线收费站1 处，改造集中住宿区和养护工区1 处（合址建设）。</w:t>
      </w:r>
    </w:p>
    <w:p>
      <w:pPr/>
      <w:r>
        <w:rPr>
          <w:rFonts w:ascii="" w:eastAsia="" w:hint="eastAsia"/>
          <w:sz w:val="21.0"/>
          <w:szCs w:val="21.0"/>
          <w:color w:val="000000"/>
        </w:rPr>
        <w:t xml:space="preserve">    本项目采用高速公路技术标准，双向四车道，主要技术指标如下：1.设计速度：100km/h；2.桥涵设计汽车荷载等级：公路－I 级；3.设计洪水频率：特大桥1/300，其余桥涵、路基1/100；4.路基宽度：26.5m、分离式13.25m；5.地震动峰值加速度：0.10g。</w:t>
      </w:r>
    </w:p>
    <w:p>
      <w:pPr/>
      <w:r>
        <w:rPr>
          <w:rFonts w:ascii="" w:eastAsia="" w:hint="eastAsia"/>
          <w:sz w:val="21.0"/>
          <w:szCs w:val="21.0"/>
          <w:color w:val="000000"/>
        </w:rPr>
        <w:t xml:space="preserve">    项目建设管理机构为广东潮惠高速公路有限公司粤东分公司，工程地点位于揭阳市惠来县、汕尾市华侨管理区、陆丰市。</w:t>
      </w:r>
    </w:p>
    <w:p>
      <w:pPr/>
      <w:r>
        <w:rPr>
          <w:rFonts w:ascii="" w:eastAsia="" w:hint="eastAsia"/>
          <w:sz w:val="21.0"/>
          <w:szCs w:val="21.0"/>
          <w:color w:val="000000"/>
        </w:rPr>
        <w:t xml:space="preserve">    本次招标范围为揭普惠高速公路南延线工程范围内的路基、桥涵、路面、绿化环保、交通安全设施及附属区房建工程等工程的施工。</w:t>
      </w:r>
    </w:p>
    <w:p>
      <w:pPr/>
      <w:r>
        <w:rPr>
          <w:rFonts w:ascii="" w:eastAsia="" w:hint="eastAsia"/>
          <w:sz w:val="21.0"/>
          <w:szCs w:val="21.0"/>
          <w:color w:val="000000"/>
        </w:rPr>
        <w:t xml:space="preserve">   计划工期：</w:t>
      </w:r>
    </w:p>
    <w:p>
      <w:pPr/>
      <w:r>
        <w:rPr>
          <w:rFonts w:ascii="" w:eastAsia="" w:hint="eastAsia"/>
          <w:sz w:val="21.0"/>
          <w:szCs w:val="21.0"/>
          <w:color w:val="000000"/>
        </w:rPr>
        <w:t xml:space="preserve">   TJ1标总工期24个月，工期自发包人发出的进场通知中载明的开工日期起算；</w:t>
      </w:r>
    </w:p>
    <w:p>
      <w:pPr/>
      <w:r>
        <w:rPr>
          <w:rFonts w:ascii="" w:eastAsia="" w:hint="eastAsia"/>
          <w:sz w:val="21.0"/>
          <w:szCs w:val="21.0"/>
          <w:color w:val="000000"/>
        </w:rPr>
        <w:t xml:space="preserve">   TJ2标总工期30个月，工期自发包人发出的进场通知中载明的开工日期起算；</w:t>
      </w:r>
    </w:p>
    <w:p>
      <w:pPr>
        <w:spacing w:line="280" w:lineRule="auto"/>
      </w:pPr>
    </w:p>
    <w:p>
      <w:pPr/>
      <w:r>
        <w:rPr>
          <w:rFonts w:ascii="标宋" w:eastAsia="标宋" w:hint="eastAsia"/>
          <w:sz w:val="21.0"/>
          <w:szCs w:val="21.0"/>
          <w:color w:val="000000"/>
        </w:rPr>
        <w:t xml:space="preserve">本次招标共分</w:t>
      </w:r>
      <w:r>
        <w:rPr>
          <w:rFonts w:ascii="标宋" w:eastAsia="标宋" w:hint="eastAsia"/>
          <w:sz w:val="21.0"/>
          <w:szCs w:val="21.0"/>
          <w:u w:val="single"/>
          <w:color w:val="000000"/>
        </w:rPr>
        <w:t xml:space="preserve"> 2 </w:t>
      </w:r>
      <w:r>
        <w:rPr>
          <w:rFonts w:ascii="标宋" w:eastAsia="标宋" w:hint="eastAsia"/>
          <w:sz w:val="21.0"/>
          <w:szCs w:val="21.0"/>
          <w:color w:val="000000"/>
        </w:rPr>
        <w:t xml:space="preserve">个标类</w:t>
      </w:r>
      <w:r>
        <w:rPr>
          <w:rFonts w:ascii="标宋" w:eastAsia="标宋" w:hint="eastAsia"/>
          <w:sz w:val="21.0"/>
          <w:szCs w:val="21.0"/>
          <w:u w:val="single"/>
          <w:color w:val="000000"/>
        </w:rPr>
        <w:t xml:space="preserve"> 2 </w:t>
      </w:r>
      <w:r>
        <w:rPr>
          <w:rFonts w:ascii="标宋" w:eastAsia="标宋" w:hint="eastAsia"/>
          <w:sz w:val="21.0"/>
          <w:szCs w:val="21.0"/>
          <w:color w:val="000000"/>
        </w:rPr>
        <w:t xml:space="preserve">个合同段。具体见附件1。</w:t>
      </w:r>
    </w:p>
    <w:tbl>
      <w:tblPr>
        <w:tblW w:w="0" w:type="auto"/>
      </w:tblPr>
      <w:tblGrid>
        <w:gridCol w:w="1100"/>
        <w:gridCol w:w="1180"/>
        <w:gridCol w:w="1500"/>
        <w:gridCol w:w="1050"/>
        <w:gridCol w:w="1710"/>
        <w:gridCol w:w="2000"/>
        <w:gridCol w:w="1850"/>
      </w:tblGrid>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b/>
                <w:color w:val="000000"/>
              </w:rPr>
              <w:t xml:space="preserve">标段类别</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b/>
                <w:color w:val="000000"/>
              </w:rPr>
              <w:t xml:space="preserve">标段</w:t>
            </w:r>
          </w:p>
        </w:tc>
        <w:tc>
          <w:tcPr>
            <w:tcBorders>
              <w:left w:val="single" w:color="000000" w:sz="5.0"/>
              <w:top w:val="single" w:color="000000" w:sz="5.0"/>
              <w:right w:val="single" w:color="000000" w:sz="5.0"/>
              <w:bottom w:val="single" w:color="000000" w:sz="5.0"/>
            </w:tcBorders>
            <w:tcW w:w="2250" w:type="dxa"/>
          </w:tcPr>
          <w:p>
            <w:pPr>
              <w:spacing w:line="280" w:lineRule="auto"/>
              <w:jc w:val="center"/>
            </w:pPr>
            <w:r>
              <w:rPr>
                <w:rFonts w:ascii="" w:eastAsia="" w:hint="eastAsia"/>
                <w:sz w:val="21.0"/>
                <w:szCs w:val="21.0"/>
                <w:b/>
                <w:color w:val="000000"/>
              </w:rPr>
              <w:t xml:space="preserve">起讫桩号</w:t>
            </w:r>
          </w:p>
        </w:tc>
        <w:tc>
          <w:tcPr>
            <w:tcBorders>
              <w:left w:val="single" w:color="000000" w:sz="5.0"/>
              <w:top w:val="single" w:color="000000" w:sz="5.0"/>
              <w:right w:val="single" w:color="000000" w:sz="5.0"/>
              <w:bottom w:val="single" w:color="000000" w:sz="5.0"/>
            </w:tcBorders>
            <w:tcW w:w="1575" w:type="dxa"/>
          </w:tcPr>
          <w:p>
            <w:pPr>
              <w:spacing w:line="280" w:lineRule="auto"/>
              <w:jc w:val="center"/>
            </w:pPr>
            <w:r>
              <w:rPr>
                <w:rFonts w:ascii="" w:eastAsia="" w:hint="eastAsia"/>
                <w:sz w:val="21.0"/>
                <w:szCs w:val="21.0"/>
                <w:b/>
                <w:color w:val="000000"/>
              </w:rPr>
              <w:t xml:space="preserve">长度(KM)</w:t>
            </w:r>
          </w:p>
        </w:tc>
        <w:tc>
          <w:tcPr>
            <w:tcBorders>
              <w:left w:val="single" w:color="000000" w:sz="5.0"/>
              <w:top w:val="single" w:color="000000" w:sz="5.0"/>
              <w:right w:val="single" w:color="000000" w:sz="5.0"/>
              <w:bottom w:val="single" w:color="000000" w:sz="5.0"/>
            </w:tcBorders>
            <w:tcW w:w="2565" w:type="dxa"/>
          </w:tcPr>
          <w:p>
            <w:pPr>
              <w:spacing w:line="280" w:lineRule="auto"/>
              <w:jc w:val="center"/>
            </w:pPr>
            <w:r>
              <w:rPr>
                <w:rFonts w:ascii="" w:eastAsia="" w:hint="eastAsia"/>
                <w:sz w:val="21.0"/>
                <w:szCs w:val="21.0"/>
                <w:b/>
                <w:color w:val="000000"/>
              </w:rPr>
              <w:t xml:space="preserve">主要工程项目</w:t>
            </w:r>
          </w:p>
        </w:tc>
        <w:tc>
          <w:tcPr>
            <w:tcBorders>
              <w:left w:val="single" w:color="000000" w:sz="5.0"/>
              <w:top w:val="single" w:color="000000" w:sz="5.0"/>
              <w:right w:val="single" w:color="000000" w:sz="5.0"/>
              <w:bottom w:val="single" w:color="000000" w:sz="5.0"/>
            </w:tcBorders>
            <w:tcW w:w="3000" w:type="dxa"/>
          </w:tcPr>
          <w:p>
            <w:pPr>
              <w:spacing w:line="280" w:lineRule="auto"/>
              <w:jc w:val="center"/>
            </w:pPr>
            <w:r>
              <w:rPr>
                <w:rFonts w:ascii="" w:eastAsia="" w:hint="eastAsia"/>
                <w:sz w:val="21.0"/>
                <w:szCs w:val="21.0"/>
                <w:b/>
                <w:color w:val="000000"/>
              </w:rPr>
              <w:t xml:space="preserve">对投标人资质要求</w:t>
            </w:r>
          </w:p>
        </w:tc>
        <w:tc>
          <w:tcPr>
            <w:tcBorders>
              <w:left w:val="single" w:color="000000" w:sz="5.0"/>
              <w:top w:val="single" w:color="000000" w:sz="5.0"/>
              <w:right w:val="single" w:color="000000" w:sz="5.0"/>
              <w:bottom w:val="single" w:color="000000" w:sz="5.0"/>
            </w:tcBorders>
            <w:tcW w:w="2775" w:type="dxa"/>
          </w:tcPr>
          <w:p>
            <w:pPr>
              <w:spacing w:line="280" w:lineRule="auto"/>
              <w:jc w:val="center"/>
            </w:pPr>
            <w:r>
              <w:rPr>
                <w:rFonts w:ascii="" w:eastAsia="" w:hint="eastAsia"/>
                <w:sz w:val="21.0"/>
                <w:szCs w:val="21.0"/>
                <w:b/>
                <w:color w:val="000000"/>
              </w:rPr>
              <w:t xml:space="preserve">备注</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B类桥隧比较大工程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TJ1</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-K0+782～K3+801</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4.583</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1、标段范围内的路基、桥涵工程及全线梁板预制（下穿汕汕高铁中桥24片小箱梁除外）等；2、主要工程量有东港互通立交主线特大桥梁1563.6米/1座，鳌江特大桥（北段）1819.8米，中桥132.8米/2座，匝道桥梁2751.4米/9座，通道小桥17.6米/1座，预制梁板2302片。</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具备国家住建部核发的公路工程施工总承包特级资质，或公路工程施工总承包一级且公路桥梁工程专业承包一级及以上资质；</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资格审查条件附录1至附录7，详见附件2</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G类路面工程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TJ2</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路面：-K0+782～K12+839；                   土建：K3+801～K12+839</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路基9.038/路面13.621</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1、全线路面工程 ；</w:t>
            </w:r>
          </w:p>
          <w:p>
            <w:pPr>
              <w:spacing w:line="280" w:lineRule="auto"/>
            </w:pPr>
            <w:r>
              <w:rPr>
                <w:rFonts w:ascii="" w:eastAsia="" w:hint="eastAsia"/>
                <w:sz w:val="21.0"/>
                <w:szCs w:val="21.0"/>
                <w:color w:val="000000"/>
              </w:rPr>
              <w:t xml:space="preserve">2、K3+801～K12+839范围内的路基、桥涵工程；</w:t>
            </w:r>
          </w:p>
          <w:p>
            <w:pPr>
              <w:spacing w:line="280" w:lineRule="auto"/>
            </w:pPr>
            <w:r>
              <w:rPr>
                <w:rFonts w:ascii="" w:eastAsia="" w:hint="eastAsia"/>
                <w:sz w:val="21.0"/>
                <w:szCs w:val="21.0"/>
                <w:color w:val="000000"/>
              </w:rPr>
              <w:t xml:space="preserve">3、全线房建、交安、绿化等工程；</w:t>
            </w:r>
          </w:p>
          <w:p>
            <w:pPr>
              <w:spacing w:line="280" w:lineRule="auto"/>
            </w:pPr>
            <w:r>
              <w:rPr>
                <w:rFonts w:ascii="" w:eastAsia="" w:hint="eastAsia"/>
                <w:sz w:val="21.0"/>
                <w:szCs w:val="21.0"/>
                <w:color w:val="000000"/>
              </w:rPr>
              <w:t xml:space="preserve">4、主要工程量有鳌江特大桥（南段）1512.8米，长沟大桥750.6米，下穿汕汕高铁中桥96.4米及下穿汕汕高铁中桥24片小箱梁预制。</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具备国家住建部核发的公路工程施工总承包特级资质，或公路工程施工总承包一级、且公路路面工程专业承包一级、且公路桥梁工程专业承包一级及以上资质；</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资格审查条件附录1至附录7，详见附件2</w:t>
            </w:r>
          </w:p>
        </w:tc>
      </w:tr>
    </w:tbl>
    <w:p>
      <w:pPr>
        <w:spacing w:line="280" w:lineRule="auto"/>
      </w:pPr>
      <w:r>
        <w:rPr>
          <w:rFonts w:ascii="标宋" w:eastAsia="标宋" w:hint="eastAsia"/>
          <w:sz w:val="21.0"/>
          <w:szCs w:val="21.0"/>
          <w:u w:val="single"/>
          <w:color w:val="000000"/>
        </w:rPr>
        <w:t xml:space="preserve">    </w:t>
      </w:r>
    </w:p>
    <w:p>
      <w:pPr>
        <w:spacing w:line="280" w:lineRule="auto"/>
      </w:pPr>
    </w:p>
    <w:p>
      <w:pPr>
        <w:spacing w:line="280" w:lineRule="auto"/>
        <w:outlineLvl w:val="3"/>
      </w:pPr>
      <w:r>
        <w:rPr>
          <w:rFonts w:ascii="" w:eastAsia="" w:hint="eastAsia"/>
          <w:sz w:val="34.5"/>
          <w:szCs w:val="34.5"/>
          <w:b/>
          <w:color w:val="000000"/>
        </w:rPr>
        <w:t xml:space="preserve">3.投标人资格条件</w:t>
      </w:r>
    </w:p>
    <w:p>
      <w:pPr/>
      <w:r>
        <w:rPr>
          <w:rFonts w:ascii="" w:eastAsia="" w:hint="eastAsia"/>
          <w:sz w:val="21.0"/>
          <w:szCs w:val="21.0"/>
          <w:color w:val="000000"/>
        </w:rPr>
        <w:t xml:space="preserve">    3.1 本次招标要求投标人须具备上述第2款表中所列相应资质，具有类似工程业绩, 并在人员、设备、资金等方面具备相应的施工能力。投标人应进入交通运输部“全国公路建设市场信用信息管理系统(http://glxy.mot.gov.cn)”中的公路工程施工资质企业名录，且投标人名称和资质与该名录中的相应企业名称和资质完全一致。</w:t>
      </w:r>
    </w:p>
    <w:p>
      <w:pPr/>
      <w:r>
        <w:rPr>
          <w:rFonts w:ascii="" w:eastAsia="" w:hint="eastAsia"/>
          <w:sz w:val="21.0"/>
          <w:szCs w:val="21.0"/>
          <w:color w:val="000000"/>
        </w:rPr>
        <w:t xml:space="preserve">    3.2 本次招标不接受联合体投标。</w:t>
      </w:r>
    </w:p>
    <w:p>
      <w:pPr/>
      <w:r>
        <w:rPr>
          <w:rFonts w:ascii="" w:eastAsia="" w:hint="eastAsia"/>
          <w:sz w:val="21.0"/>
          <w:szCs w:val="21.0"/>
          <w:color w:val="000000"/>
        </w:rPr>
        <w:t xml:space="preserve">    3.3 在本次招标中，被广东省交通运输厅评为AA、A级信用等级的投标人(信用等级类别应与招标相应的标段类别对应)，最多可分别对2个标段类别中的各1个标段进行投标，其余投标人最多可对其中的1个标段进行投标，但均只允许中1个标段。( 本款所指的信用等级为广东省交通运输厅最新年度发布的信用等级，投标登记阶段无需承诺是否在此次投标过程中使用)。</w:t>
      </w:r>
    </w:p>
    <w:p>
      <w:pPr/>
      <w:r>
        <w:rPr>
          <w:rFonts w:ascii="" w:eastAsia="" w:hint="eastAsia"/>
          <w:sz w:val="21.0"/>
          <w:szCs w:val="21.0"/>
          <w:color w:val="000000"/>
        </w:rPr>
        <w:t xml:space="preserve">     注：①如投标人在广州公共资源交易中心网站投标登记的标段数量超出本款规定，造成投标人在本招标项目投标登记失败的，后果由投标人自负，招标人不承担任何责任。</w:t>
      </w:r>
    </w:p>
    <w:p>
      <w:pPr/>
      <w:r>
        <w:rPr>
          <w:rFonts w:ascii="" w:eastAsia="" w:hint="eastAsia"/>
          <w:sz w:val="21.0"/>
          <w:szCs w:val="21.0"/>
          <w:color w:val="000000"/>
        </w:rPr>
        <w:t xml:space="preserve">    3.4 与招标人存在利害关系可能影响招标公正性的法人，不得参加投标，单位负责人①为同一人、或者存在控股②、管理关系③的不同单位，不得参加同一标段投标或者未划分标段的同一招标项目投标，否则按否决其投标处理。</w:t>
      </w:r>
    </w:p>
    <w:p>
      <w:pPr/>
      <w:r>
        <w:rPr>
          <w:rFonts w:ascii="" w:eastAsia="" w:hint="eastAsia"/>
          <w:sz w:val="21.0"/>
          <w:szCs w:val="21.0"/>
          <w:color w:val="000000"/>
        </w:rPr>
        <w:t xml:space="preserve">    注：①单位负责人是指单位的法定代表人或者法律、行政法规规定代表单位行使职权的主要负责人。②控股是指股份占股份有限公司股本总额的50%以上的绝对控股、相对控股或协议控股。③管理关系是指不具有出资持股关系的其它单位之间存在的管理与被管理关系。</w:t>
      </w:r>
    </w:p>
    <w:p>
      <w:pPr/>
      <w:r>
        <w:rPr>
          <w:rFonts w:ascii="" w:eastAsia="" w:hint="eastAsia"/>
          <w:sz w:val="21.0"/>
          <w:szCs w:val="21.0"/>
          <w:color w:val="000000"/>
        </w:rPr>
        <w:t xml:space="preserve">    3.5 在“信用中国”网站(http://www.creditchina.gov.cn/)中被列入失信被执行人名单的投标人，在国家企业信用信息公示系统( www.gsxt.gov.cn)中被列入严重违法失信企业名单的投标人，均按否决投标处理。</w:t>
      </w:r>
    </w:p>
    <w:p>
      <w:pPr/>
      <w:r>
        <w:rPr>
          <w:rFonts w:ascii="" w:eastAsia="" w:hint="eastAsia"/>
          <w:sz w:val="21.0"/>
          <w:szCs w:val="21.0"/>
          <w:color w:val="000000"/>
        </w:rPr>
        <w:t xml:space="preserve">    3.6 TJ2标投标人如不具备专用合同条款4.3要求的附属区房建工程、交通安全设施及涉铁路工程施工资质的，应当按照第九章“投标文件格式”的要求填写“拟分包项目情况表。如投标人不具备相关资质而未按要求填写的，视为未对招标文件的实质性要求和条件作出响应，按否决其投标处理。</w:t>
      </w:r>
    </w:p>
    <w:p>
      <w:pPr>
        <w:spacing w:line="280" w:lineRule="auto"/>
      </w:pPr>
    </w:p>
    <w:p>
      <w:pPr>
        <w:spacing w:line="280" w:lineRule="auto"/>
        <w:outlineLvl w:val="3"/>
      </w:pPr>
      <w:r>
        <w:rPr>
          <w:rFonts w:ascii="标宋" w:eastAsia="标宋" w:hint="eastAsia"/>
          <w:sz w:val="34.5"/>
          <w:szCs w:val="34.5"/>
          <w:b/>
          <w:color w:val="000000"/>
        </w:rPr>
        <w:t xml:space="preserve">4.招标文件获取</w:t>
      </w:r>
    </w:p>
    <w:p>
      <w:pPr>
        <w:spacing w:line="280" w:lineRule="auto"/>
      </w:pPr>
      <w:r>
        <w:rPr>
          <w:rFonts w:ascii="标宋" w:eastAsia="标宋" w:hint="eastAsia"/>
          <w:sz w:val="21.0"/>
          <w:szCs w:val="21.0"/>
          <w:color w:val="000000"/>
        </w:rPr>
        <w:t xml:space="preserve">    4.1  凡有意参加投标者，请于</w:t>
      </w:r>
      <w:r>
        <w:rPr>
          <w:rFonts w:ascii="标宋" w:eastAsia="标宋" w:hint="eastAsia"/>
          <w:sz w:val="21.0"/>
          <w:szCs w:val="21.0"/>
          <w:u w:val="single"/>
          <w:color w:val="000000"/>
        </w:rPr>
        <w:t xml:space="preserve">  2022年11月18日  </w:t>
      </w:r>
      <w:r>
        <w:rPr>
          <w:rFonts w:ascii="标宋" w:eastAsia="标宋" w:hint="eastAsia"/>
          <w:sz w:val="21.0"/>
          <w:szCs w:val="21.0"/>
          <w:color w:val="000000"/>
        </w:rPr>
        <w:t xml:space="preserve">至</w:t>
      </w:r>
      <w:r>
        <w:rPr>
          <w:rFonts w:ascii="标宋" w:eastAsia="标宋" w:hint="eastAsia"/>
          <w:sz w:val="21.0"/>
          <w:szCs w:val="21.0"/>
          <w:u w:val="single"/>
          <w:color w:val="000000"/>
        </w:rPr>
        <w:t xml:space="preserve">  2022年11月24日  </w:t>
      </w:r>
      <w:r>
        <w:rPr>
          <w:rFonts w:ascii="标宋" w:eastAsia="标宋" w:hint="eastAsia"/>
          <w:sz w:val="21.0"/>
          <w:szCs w:val="21.0"/>
          <w:color w:val="000000"/>
        </w:rPr>
        <w:t xml:space="preserve">（法定公休日、法定节假日除外），登陆</w:t>
      </w:r>
      <w:r>
        <w:rPr>
          <w:rFonts w:ascii="标宋" w:eastAsia="标宋" w:hint="eastAsia"/>
          <w:sz w:val="21.0"/>
          <w:szCs w:val="21.0"/>
          <w:u w:val="single"/>
          <w:color w:val="000000"/>
        </w:rPr>
        <w:t xml:space="preserve">  广州公共资源交易中心网站（http://www.gzggzy.cn）  </w:t>
      </w:r>
      <w:r>
        <w:rPr>
          <w:rFonts w:ascii="标宋" w:eastAsia="标宋" w:hint="eastAsia"/>
          <w:sz w:val="21.0"/>
          <w:szCs w:val="21.0"/>
          <w:color w:val="000000"/>
        </w:rPr>
        <w:t xml:space="preserve">选择对应标段进行投标登记，并在广东省公路工程建设项目电子招投标交易平台（https://jtcbs.gdcd.gov.cn） 进行账号注册。</w:t>
      </w:r>
      <w:r>
        <w:rPr>
          <w:rFonts w:ascii="标宋" w:eastAsia="标宋" w:hint="eastAsia"/>
          <w:sz w:val="21.0"/>
          <w:szCs w:val="21.0"/>
          <w:color w:val="000000"/>
        </w:rPr>
        <w:t xml:space="preserve">经招标人或招标代理确认投标登记成功后，投标人在广东省公路工程建设项目电子招投标交易平台自行下载招标文件等相关资料。</w:t>
      </w:r>
    </w:p>
    <w:p>
      <w:pPr>
        <w:spacing w:line="280" w:lineRule="auto"/>
      </w:pPr>
      <w:r>
        <w:rPr>
          <w:rFonts w:ascii="标宋" w:eastAsia="标宋" w:hint="eastAsia"/>
          <w:sz w:val="21.0"/>
          <w:szCs w:val="21.0"/>
          <w:color w:val="000000"/>
        </w:rPr>
        <w:t xml:space="preserve">    4.2 电子交易平台服务费收取费用</w:t>
      </w:r>
      <w:r>
        <w:rPr>
          <w:rFonts w:ascii="标宋" w:eastAsia="标宋" w:hint="eastAsia"/>
          <w:sz w:val="21.0"/>
          <w:szCs w:val="21.0"/>
          <w:u w:val="single"/>
          <w:color w:val="000000"/>
        </w:rPr>
        <w:t xml:space="preserve">  1,000  </w:t>
      </w:r>
      <w:r>
        <w:rPr>
          <w:rFonts w:ascii="标宋" w:eastAsia="标宋" w:hint="eastAsia"/>
          <w:sz w:val="21.0"/>
          <w:szCs w:val="21.0"/>
          <w:color w:val="000000"/>
        </w:rPr>
        <w:t xml:space="preserve">元,售后不退售后不退（同一投标人在本次招标中只收取一次电子交易平台服务费，不分标段收取）。投标人须将缴费证明资料扫描件上传到广东公路工程建设项目电子招投标交易平台，电子交易平台服务费缴纳方式为电汇或转账，由技术支持单位收取，须用单位账户转账，转账备注中写明项目名称。</w:t>
      </w:r>
    </w:p>
    <w:p>
      <w:pPr>
        <w:spacing w:line="280" w:lineRule="auto"/>
      </w:pPr>
    </w:p>
    <w:p>
      <w:pPr>
        <w:spacing w:line="280" w:lineRule="auto"/>
      </w:pPr>
      <w:r>
        <w:rPr>
          <w:rFonts w:ascii="标宋" w:eastAsia="标宋" w:hint="eastAsia"/>
          <w:sz w:val="21.0"/>
          <w:szCs w:val="21.0"/>
          <w:color w:val="000000"/>
        </w:rPr>
        <w:t xml:space="preserve">技术支持单位开户银行及账号如下：</w:t>
      </w:r>
    </w:p>
    <w:p>
      <w:pPr>
        <w:spacing w:line="280" w:lineRule="auto"/>
      </w:pPr>
      <w:r>
        <w:rPr>
          <w:rFonts w:ascii="标宋" w:eastAsia="标宋" w:hint="eastAsia"/>
          <w:sz w:val="21.0"/>
          <w:szCs w:val="21.0"/>
          <w:color w:val="000000"/>
        </w:rPr>
        <w:t xml:space="preserve">开户名称：</w:t>
      </w:r>
      <w:r>
        <w:rPr>
          <w:rFonts w:ascii="标宋" w:eastAsia="标宋" w:hint="eastAsia"/>
          <w:sz w:val="21.0"/>
          <w:szCs w:val="21.0"/>
          <w:u w:val="single"/>
          <w:color w:val="000000"/>
        </w:rPr>
        <w:t xml:space="preserve"> 广州市交正工程咨询有限公司 </w:t>
      </w:r>
    </w:p>
    <w:p>
      <w:pPr>
        <w:spacing w:line="280" w:lineRule="auto"/>
      </w:pPr>
      <w:r>
        <w:rPr>
          <w:rFonts w:ascii="标宋" w:eastAsia="标宋" w:hint="eastAsia"/>
          <w:sz w:val="21.0"/>
          <w:szCs w:val="21.0"/>
          <w:color w:val="000000"/>
        </w:rPr>
        <w:t xml:space="preserve">开户银行：</w:t>
      </w:r>
      <w:r>
        <w:rPr>
          <w:rFonts w:ascii="标宋" w:eastAsia="标宋" w:hint="eastAsia"/>
          <w:sz w:val="21.0"/>
          <w:szCs w:val="21.0"/>
          <w:u w:val="single"/>
          <w:color w:val="000000"/>
        </w:rPr>
        <w:t xml:space="preserve"> 中国工商银行广州花城支行  </w:t>
      </w:r>
    </w:p>
    <w:p>
      <w:pPr>
        <w:spacing w:line="280" w:lineRule="auto"/>
      </w:pPr>
      <w:r>
        <w:rPr>
          <w:rFonts w:ascii="标宋" w:eastAsia="标宋" w:hint="eastAsia"/>
          <w:sz w:val="21.0"/>
          <w:szCs w:val="21.0"/>
          <w:color w:val="000000"/>
        </w:rPr>
        <w:t xml:space="preserve">账号</w:t>
      </w:r>
      <w:r>
        <w:rPr>
          <w:rFonts w:ascii="标宋" w:eastAsia="标宋" w:hint="eastAsia"/>
          <w:sz w:val="21.0"/>
          <w:szCs w:val="21.0"/>
          <w:u w:val="single"/>
          <w:color w:val="000000"/>
        </w:rPr>
        <w:t xml:space="preserve"> 3602028519202301018 </w:t>
      </w:r>
    </w:p>
    <w:p>
      <w:pPr>
        <w:spacing w:line="280" w:lineRule="auto"/>
      </w:pPr>
      <w:r>
        <w:rPr>
          <w:rFonts w:ascii="标宋" w:eastAsia="标宋" w:hint="eastAsia"/>
          <w:sz w:val="21.0"/>
          <w:szCs w:val="21.0"/>
          <w:color w:val="000000"/>
        </w:rPr>
        <w:t xml:space="preserve">技术支持联系人及联系方式：</w:t>
      </w:r>
      <w:r>
        <w:rPr>
          <w:rFonts w:ascii="标宋" w:eastAsia="标宋" w:hint="eastAsia"/>
          <w:sz w:val="21.0"/>
          <w:szCs w:val="21.0"/>
          <w:u w:val="single"/>
          <w:color w:val="000000"/>
        </w:rPr>
        <w:t xml:space="preserve"> 王工、林工020-39185477 </w:t>
      </w:r>
    </w:p>
    <w:p>
      <w:pPr>
        <w:spacing w:line="280" w:lineRule="auto"/>
      </w:pPr>
    </w:p>
    <w:p>
      <w:pPr>
        <w:spacing w:line="280" w:lineRule="auto"/>
        <w:outlineLvl w:val="3"/>
      </w:pPr>
      <w:r>
        <w:rPr>
          <w:rFonts w:ascii="标宋" w:eastAsia="标宋" w:hint="eastAsia"/>
          <w:sz w:val="34.5"/>
          <w:szCs w:val="34.5"/>
          <w:b/>
          <w:color w:val="000000"/>
        </w:rPr>
        <w:t xml:space="preserve">5.投标文件的递交及相关事宜</w:t>
      </w:r>
    </w:p>
    <w:p>
      <w:pPr>
        <w:spacing w:line="280" w:lineRule="auto"/>
      </w:pPr>
      <w:r>
        <w:rPr>
          <w:rFonts w:ascii="标宋" w:eastAsia="标宋" w:hint="eastAsia"/>
          <w:sz w:val="21.0"/>
          <w:szCs w:val="21.0"/>
          <w:color w:val="000000"/>
        </w:rPr>
        <w:t xml:space="preserve">    5.1 招标人将不统一组织现场考察及召开投标预备会。</w:t>
      </w:r>
    </w:p>
    <w:p>
      <w:pPr>
        <w:spacing w:line="280" w:lineRule="auto"/>
      </w:pPr>
      <w:r>
        <w:rPr>
          <w:rFonts w:ascii="标宋" w:eastAsia="标宋" w:hint="eastAsia"/>
          <w:sz w:val="21.0"/>
          <w:szCs w:val="21.0"/>
          <w:color w:val="000000"/>
        </w:rPr>
        <w:t xml:space="preserve">    5.2 投标文件递交的截止时间(投标截止时间，下同)为</w:t>
      </w:r>
      <w:r>
        <w:rPr>
          <w:rFonts w:ascii="标宋" w:eastAsia="标宋" w:hint="eastAsia"/>
          <w:sz w:val="21.0"/>
          <w:szCs w:val="21.0"/>
          <w:u w:val="single"/>
          <w:color w:val="000000"/>
        </w:rPr>
        <w:t xml:space="preserve">  2022年12月12日10时00分  </w:t>
      </w:r>
      <w:r>
        <w:rPr>
          <w:rFonts w:ascii="" w:eastAsia="" w:hint="eastAsia"/>
          <w:sz w:val="21.0"/>
          <w:szCs w:val="21.0"/>
          <w:color w:val="000000"/>
        </w:rPr>
        <w:t xml:space="preserve">。</w:t>
      </w:r>
    </w:p>
    <w:p>
      <w:pPr>
        <w:spacing w:line="280" w:lineRule="auto"/>
      </w:pPr>
      <w:r>
        <w:rPr>
          <w:rFonts w:ascii="" w:eastAsia="" w:hint="eastAsia"/>
          <w:sz w:val="21.0"/>
          <w:szCs w:val="21.0"/>
          <w:color w:val="000000"/>
        </w:rPr>
        <w:t xml:space="preserve">    投标文件电子文件统一采用网络上传的方式，投标人于2022年11月25日00时00分至2022 年12月12日10时00分将电子文件完整上传。递交投标文件纸质文件截止时间为2022年12月12日10时00分，投标人应于2022年12月12日9时00分至2022年12月12日10时00分将投标文件纸质文件递交至广州公共资源交易中心相应的开标室，具体开标室见交易中心大厅公告（广州市天河区天润路333号）。</w:t>
      </w:r>
    </w:p>
    <w:p>
      <w:pPr>
        <w:spacing w:line="280" w:lineRule="auto"/>
      </w:pPr>
      <w:r>
        <w:rPr>
          <w:rFonts w:ascii="" w:eastAsia="" w:hint="eastAsia"/>
          <w:sz w:val="21.0"/>
          <w:szCs w:val="21.0"/>
          <w:color w:val="000000"/>
        </w:rPr>
        <w:t xml:space="preserve">   5.3逾期送达的、未送达指定地点的或不按照招标文件要求密封的投标文件，招标人将予以拒收。</w:t>
      </w:r>
    </w:p>
    <w:p>
      <w:pPr>
        <w:spacing w:line="280" w:lineRule="auto"/>
      </w:pPr>
    </w:p>
    <w:p>
      <w:pPr>
        <w:spacing w:line="280" w:lineRule="auto"/>
        <w:outlineLvl w:val="3"/>
      </w:pPr>
      <w:r>
        <w:rPr>
          <w:rFonts w:ascii="标宋" w:eastAsia="标宋" w:hint="eastAsia"/>
          <w:sz w:val="34.5"/>
          <w:szCs w:val="34.5"/>
          <w:b/>
          <w:color w:val="000000"/>
        </w:rPr>
        <w:t xml:space="preserve">6.发布公告的媒介</w:t>
      </w:r>
    </w:p>
    <w:p>
      <w:pPr>
        <w:spacing w:line="280" w:lineRule="auto"/>
      </w:pPr>
      <w:r>
        <w:rPr>
          <w:rFonts w:ascii="" w:eastAsia="" w:hint="eastAsia"/>
          <w:sz w:val="21.0"/>
          <w:szCs w:val="21.0"/>
          <w:color w:val="000000"/>
        </w:rPr>
        <w:t xml:space="preserve">    本次招标公告同时在广东省招标投标监管网、“粤采易”阳光采购平台、广州公共资源交易网上发布。 如公告详细内容不一致者，以广东省招标投标监管网公告为准。</w:t>
      </w:r>
    </w:p>
    <w:p>
      <w:pPr>
        <w:spacing w:line="280" w:lineRule="auto"/>
      </w:pPr>
      <w:r>
        <w:rPr>
          <w:rFonts w:ascii="" w:eastAsia="" w:hint="eastAsia"/>
          <w:sz w:val="21.0"/>
          <w:szCs w:val="21.0"/>
          <w:color w:val="000000"/>
        </w:rPr>
        <w:t xml:space="preserve">    在规定的投标登记期间，如某个标段投标登记并购买招标文件的投标人不足3家时，招标人依法有权选择以下任一方式: (1) 在广东省招标投标监管网、广州公共资源交易网网站发布公告延长投标登记时间，在延期投标登记时间内，已投标登记投标人的资料仍有效并可自行补充资料，未投标登记的投标人可根据公告的约定进行投标登记；(2) 依法重新组织招标或不再招标。</w:t>
      </w:r>
    </w:p>
    <w:p>
      <w:pPr>
        <w:spacing w:line="280" w:lineRule="auto"/>
        <w:jc w:val="center"/>
      </w:pPr>
    </w:p>
    <w:p>
      <w:pPr>
        <w:spacing w:line="280" w:lineRule="auto"/>
        <w:outlineLvl w:val="3"/>
      </w:pPr>
      <w:r>
        <w:rPr>
          <w:rFonts w:ascii="标宋" w:eastAsia="标宋" w:hint="eastAsia"/>
          <w:sz w:val="34.5"/>
          <w:szCs w:val="34.5"/>
          <w:b/>
          <w:color w:val="000000"/>
        </w:rPr>
        <w:t xml:space="preserve">7.联系方式</w:t>
      </w:r>
    </w:p>
    <w:p>
      <w:pPr>
        <w:spacing w:line="280" w:lineRule="auto"/>
        <w:jc w:val="center"/>
      </w:pPr>
    </w:p>
    <w:tbl>
      <w:tblPr>
        <w:tblW w:w="0" w:type="auto"/>
      </w:tblPr>
      <w:tblGrid>
        <w:gridCol w:w="3240"/>
        <w:gridCol w:w="3300"/>
      </w:tblGrid>
      <w:tr>
        <w:trPr>
          <w:trHeight w:val="2220"/>
        </w:trPr>
        <w:tc>
          <w:tcPr>
            <w:tcBorders/>
            <w:tcW w:w="4860" w:type="dxa"/>
          </w:tcPr>
          <w:p>
            <w:pPr/>
            <w:r>
              <w:rPr>
                <w:rFonts w:ascii="标宋" w:eastAsia="标宋" w:hint="eastAsia"/>
                <w:sz w:val="21.0"/>
                <w:szCs w:val="21.0"/>
                <w:color w:val="000000"/>
              </w:rPr>
              <w:t xml:space="preserve">招标人：  广东潮惠高速公路有限公司粤东分公司</w:t>
            </w:r>
          </w:p>
          <w:p>
            <w:pPr/>
            <w:r>
              <w:rPr>
                <w:rFonts w:ascii="标宋" w:eastAsia="标宋" w:hint="eastAsia"/>
                <w:sz w:val="21.0"/>
                <w:szCs w:val="21.0"/>
                <w:color w:val="000000"/>
              </w:rPr>
              <w:t xml:space="preserve">地址：  揭阳产业转移工业园霖磐镇省道S335线德中路段粤东高速管理中心</w:t>
            </w:r>
          </w:p>
          <w:p>
            <w:pPr/>
            <w:r>
              <w:rPr>
                <w:rFonts w:ascii="标宋" w:eastAsia="标宋" w:hint="eastAsia"/>
                <w:sz w:val="21.0"/>
                <w:szCs w:val="21.0"/>
                <w:color w:val="000000"/>
              </w:rPr>
              <w:t xml:space="preserve">邮政编码：  </w:t>
            </w:r>
          </w:p>
          <w:p>
            <w:pPr/>
            <w:r>
              <w:rPr>
                <w:rFonts w:ascii="标宋" w:eastAsia="标宋" w:hint="eastAsia"/>
                <w:sz w:val="21.0"/>
                <w:szCs w:val="21.0"/>
                <w:color w:val="000000"/>
              </w:rPr>
              <w:t xml:space="preserve">联系人：  易先生</w:t>
            </w:r>
          </w:p>
          <w:p>
            <w:pPr/>
            <w:r>
              <w:rPr>
                <w:rFonts w:ascii="标宋" w:eastAsia="标宋" w:hint="eastAsia"/>
                <w:sz w:val="21.0"/>
                <w:szCs w:val="21.0"/>
                <w:color w:val="000000"/>
              </w:rPr>
              <w:t xml:space="preserve">电 话：  13926269536</w:t>
            </w:r>
          </w:p>
          <w:p>
            <w:pPr/>
            <w:r>
              <w:rPr>
                <w:rFonts w:ascii="标宋" w:eastAsia="标宋" w:hint="eastAsia"/>
                <w:sz w:val="21.0"/>
                <w:szCs w:val="21.0"/>
                <w:color w:val="000000"/>
              </w:rPr>
              <w:t xml:space="preserve">传 真：  </w:t>
            </w:r>
          </w:p>
          <w:p>
            <w:pPr/>
            <w:r>
              <w:rPr>
                <w:rFonts w:ascii="标宋" w:eastAsia="标宋" w:hint="eastAsia"/>
                <w:sz w:val="21.0"/>
                <w:szCs w:val="21.0"/>
                <w:color w:val="000000"/>
              </w:rPr>
              <w:t xml:space="preserve">电子邮件：  137408739@qq.com</w:t>
            </w:r>
          </w:p>
        </w:tc>
        <w:tc>
          <w:tcPr>
            <w:tcBorders/>
            <w:tcW w:w="4950" w:type="dxa"/>
          </w:tcPr>
          <w:p>
            <w:pPr/>
            <w:r>
              <w:rPr>
                <w:rFonts w:ascii="" w:eastAsia="" w:hint="eastAsia"/>
                <w:sz w:val="21.0"/>
                <w:szCs w:val="21.0"/>
                <w:color w:val="000000"/>
              </w:rPr>
              <w:t xml:space="preserve"/>
            </w:r>
          </w:p>
          <w:p>
            <w:pPr/>
            <w:r>
              <w:rPr>
                <w:rFonts w:ascii="" w:eastAsia="" w:hint="eastAsia"/>
                <w:sz w:val="21.0"/>
                <w:szCs w:val="21.0"/>
                <w:color w:val="000000"/>
              </w:rPr>
              <w:t xml:space="preserve"/>
            </w:r>
          </w:p>
        </w:tc>
      </w:tr>
    </w:tbl>
    <w:p>
      <w:pPr>
        <w:spacing w:line="280" w:lineRule="auto"/>
      </w:pPr>
      <w:r>
        <w:rPr>
          <w:rFonts w:ascii="" w:eastAsia="" w:hint="eastAsia"/>
          <w:sz w:val="21.0"/>
          <w:szCs w:val="21.0"/>
          <w:color w:val="000000"/>
        </w:rPr>
        <w:t xml:space="preserve">                                                      2022年11月18日</w:t>
      </w:r>
    </w:p>
    <w:p>
      <w:pPr>
        <w:spacing w:line="280" w:lineRule="auto"/>
      </w:pPr>
    </w:p>
    <w:p>
      <w:pPr>
        <w:spacing w:line="280" w:lineRule="auto"/>
      </w:pPr>
    </w:p>
    <w:p>
      <w:pPr>
        <w:spacing w:line="280" w:lineRule="auto"/>
      </w:pPr>
    </w:p>
    <w:p>
      <w:pPr>
        <w:spacing w:line="280" w:lineRule="auto"/>
      </w:pPr>
    </w:p>
    <w:p>
      <w:pPr>
        <w:spacing w:line="280" w:lineRule="auto"/>
      </w:pPr>
      <w:r>
        <w:rPr>
          <w:rFonts w:ascii="" w:eastAsia="" w:hint="eastAsia"/>
          <w:sz w:val="21.0"/>
          <w:szCs w:val="21.0"/>
          <w:color w:val="000000"/>
        </w:rPr>
        <w:t xml:space="preserve">附件</w:t>
      </w:r>
    </w:p>
    <w:p>
      <w:pPr>
        <w:spacing w:line="280" w:lineRule="auto"/>
      </w:pPr>
      <w:r>
        <w:rPr>
          <w:rFonts w:ascii="" w:eastAsia="" w:hint="eastAsia"/>
          <w:sz w:val="21.0"/>
          <w:szCs w:val="21.0"/>
          <w:color w:val="000000"/>
        </w:rPr>
        <w:t xml:space="preserve">附件1：标段的划分及主要工程项目情况</w:t>
      </w:r>
    </w:p>
    <w:p>
      <w:pPr>
        <w:spacing w:line="280" w:lineRule="auto"/>
      </w:pPr>
      <w:r>
        <w:rPr>
          <w:rFonts w:ascii="" w:eastAsia="" w:hint="eastAsia"/>
          <w:sz w:val="21.0"/>
          <w:szCs w:val="21.0"/>
          <w:color w:val="000000"/>
        </w:rPr>
        <w:t xml:space="preserve">附件2：资格审查条件附录</w:t>
      </w:r>
      <w:r>
        <w:rPr>
          <w:rFonts w:ascii="" w:eastAsia="" w:hint="eastAsia"/>
          <w:sz w:val="21.0"/>
          <w:szCs w:val="21.0"/>
          <w:u w:val="single"/>
          <w:color w:val="000000"/>
        </w:rPr>
        <w:t xml:space="preserve">1</w:t>
      </w:r>
      <w:r>
        <w:rPr>
          <w:rFonts w:ascii="" w:eastAsia="" w:hint="eastAsia"/>
          <w:sz w:val="21.0"/>
          <w:szCs w:val="21.0"/>
          <w:color w:val="000000"/>
        </w:rPr>
        <w:t xml:space="preserve">至附录</w:t>
      </w:r>
      <w:r>
        <w:rPr>
          <w:rFonts w:ascii="" w:eastAsia="" w:hint="eastAsia"/>
          <w:sz w:val="21.0"/>
          <w:szCs w:val="21.0"/>
          <w:u w:val="single"/>
          <w:color w:val="000000"/>
        </w:rPr>
        <w:t xml:space="preserve">7</w:t>
      </w:r>
    </w:p>
    <w:p>
      <w:pPr>
        <w:spacing w:line="280" w:lineRule="auto"/>
      </w:pPr>
      <w:r>
        <w:rPr>
          <w:rFonts w:ascii="" w:eastAsia="" w:hint="eastAsia"/>
          <w:sz w:val="21.0"/>
          <w:szCs w:val="21.0"/>
          <w:color w:val="000000"/>
        </w:rPr>
        <w:t xml:space="preserve">附件3：评标办法</w:t>
      </w:r>
    </w:p>
    <w:p>
      <w:pPr>
        <w:spacing w:line="280" w:lineRule="auto"/>
      </w:pPr>
      <w:r>
        <w:rPr>
          <w:rFonts w:ascii="" w:eastAsia="" w:hint="eastAsia"/>
          <w:sz w:val="21.0"/>
          <w:szCs w:val="21.0"/>
          <w:color w:val="000000"/>
        </w:rPr>
        <w:t xml:space="preserve">以上附件可从发布公告的网站媒介上下载</w:t>
      </w:r>
    </w:p>
    <w:sectPr>
      <w:headerReference w:type="default" r:id="rId6"/>
      <w:pgSz w:w="11895" w:h="16830"/>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361" w:rsidRDefault="007D4361" w:rsidP="00FB4EB6">
      <w:r>
        <w:separator/>
      </w:r>
    </w:p>
  </w:endnote>
  <w:endnote w:type="continuationSeparator" w:id="0">
    <w:p w:rsidR="007D4361" w:rsidRDefault="007D4361" w:rsidP="00FB4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361" w:rsidRDefault="007D4361" w:rsidP="00FB4EB6">
      <w:r>
        <w:separator/>
      </w:r>
    </w:p>
  </w:footnote>
  <w:footnote w:type="continuationSeparator" w:id="0">
    <w:p w:rsidR="007D4361" w:rsidRDefault="007D4361" w:rsidP="00FB4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4EB6"/>
    <w:rsid w:val="00042A47"/>
    <w:rsid w:val="000F0DDC"/>
    <w:rsid w:val="001C6EE4"/>
    <w:rsid w:val="001D3119"/>
    <w:rsid w:val="00220E97"/>
    <w:rsid w:val="003B5F21"/>
    <w:rsid w:val="004E4AE8"/>
    <w:rsid w:val="00563D4F"/>
    <w:rsid w:val="005E0DA2"/>
    <w:rsid w:val="00657103"/>
    <w:rsid w:val="007D1547"/>
    <w:rsid w:val="007D4361"/>
    <w:rsid w:val="008B57B6"/>
    <w:rsid w:val="008E041F"/>
    <w:rsid w:val="00922B72"/>
    <w:rsid w:val="009D1018"/>
    <w:rsid w:val="00BE5625"/>
    <w:rsid w:val="00D317F6"/>
    <w:rsid w:val="00F6648A"/>
    <w:rsid w:val="00FB4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5F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B4E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B4EB6"/>
    <w:rPr>
      <w:kern w:val="2"/>
      <w:sz w:val="18"/>
      <w:szCs w:val="18"/>
    </w:rPr>
  </w:style>
  <w:style w:type="paragraph" w:styleId="a4">
    <w:name w:val="footer"/>
    <w:basedOn w:val="a"/>
    <w:link w:val="Char0"/>
    <w:rsid w:val="00FB4EB6"/>
    <w:pPr>
      <w:tabs>
        <w:tab w:val="center" w:pos="4153"/>
        <w:tab w:val="right" w:pos="8306"/>
      </w:tabs>
      <w:snapToGrid w:val="0"/>
      <w:jc w:val="left"/>
    </w:pPr>
    <w:rPr>
      <w:sz w:val="18"/>
      <w:szCs w:val="18"/>
    </w:rPr>
  </w:style>
  <w:style w:type="character" w:customStyle="1" w:styleId="Char0">
    <w:name w:val="页脚 Char"/>
    <w:basedOn w:val="a0"/>
    <w:link w:val="a4"/>
    <w:rsid w:val="00FB4EB6"/>
    <w:rPr>
      <w:kern w:val="2"/>
      <w:sz w:val="18"/>
      <w:szCs w:val="18"/>
    </w:rPr>
  </w:style>
  <w:style w:type="table" w:styleId="a5">
    <w:name w:val="Table Grid"/>
    <w:basedOn w:val="a1"/>
    <w:rsid w:val="00BF4F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wanghg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wanghg</dc:creator>
  <cp:keywords/>
  <dc:description/>
  <cp:lastModifiedBy>wanghg</cp:lastModifiedBy>
  <cp:revision>1</cp:revision>
  <dcterms:created xsi:type="dcterms:W3CDTF">2010-04-22T11:37:00Z</dcterms:created>
  <dcterms:modified xsi:type="dcterms:W3CDTF">2010-04-22T11:38:00Z</dcterms:modified>
</cp:coreProperties>
</file>